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حرمة محارم الموطوء على الواطی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3013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03015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03017_372815092">
            <w:r>
              <w:rPr>
                <w:webHidden/>
                <w:rStyle w:val="IndexLink"/>
                <w:rtl w:val="true"/>
              </w:rPr>
              <w:t>مقدّمة التحقيق</w:t>
            </w:r>
            <w:r>
              <w:rPr>
                <w:rStyle w:val="IndexLink"/>
                <w:rtl w:val="true"/>
              </w:rPr>
              <w:tab/>
            </w:r>
            <w:r>
              <w:rPr>
                <w:rStyle w:val="IndexLink"/>
              </w:rPr>
              <w:t>8</w:t>
            </w:r>
          </w:hyperlink>
        </w:p>
        <w:p>
          <w:pPr>
            <w:pStyle w:val="Contents2"/>
            <w:tabs>
              <w:tab w:val="clear" w:pos="8743"/>
              <w:tab w:val="right" w:pos="9026" w:leader="dot"/>
            </w:tabs>
            <w:rPr/>
          </w:pPr>
          <w:hyperlink w:anchor="__RefHeading___Toc3503019_372815092">
            <w:r>
              <w:rPr>
                <w:webHidden/>
                <w:rStyle w:val="IndexLink"/>
                <w:rtl w:val="true"/>
              </w:rPr>
              <w:t>الفصل الأوّل</w:t>
            </w:r>
            <w:r>
              <w:rPr>
                <w:rStyle w:val="IndexLink"/>
                <w:rtl w:val="true"/>
              </w:rPr>
              <w:t>:</w:t>
            </w:r>
            <w:r>
              <w:rPr>
                <w:rStyle w:val="IndexLink"/>
                <w:rtl w:val="true"/>
              </w:rPr>
              <w:t>نبذة من حياة المؤلّف قدس‌سره</w:t>
            </w:r>
            <w:r>
              <w:rPr>
                <w:rStyle w:val="IndexLink"/>
                <w:rtl w:val="true"/>
              </w:rPr>
              <w:tab/>
            </w:r>
            <w:r>
              <w:rPr>
                <w:rStyle w:val="IndexLink"/>
              </w:rPr>
              <w:t>11</w:t>
            </w:r>
          </w:hyperlink>
        </w:p>
        <w:p>
          <w:pPr>
            <w:pStyle w:val="Contents3"/>
            <w:tabs>
              <w:tab w:val="clear" w:pos="8459"/>
              <w:tab w:val="right" w:pos="9026" w:leader="dot"/>
            </w:tabs>
            <w:rPr/>
          </w:pPr>
          <w:hyperlink w:anchor="__RefHeading___Toc3503021_37281509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503023_372815092">
            <w:r>
              <w:rPr>
                <w:webHidden/>
                <w:rStyle w:val="IndexLink"/>
                <w:rtl w:val="true"/>
              </w:rPr>
              <w:t>اسمه و نسبه</w:t>
            </w:r>
            <w:r>
              <w:rPr>
                <w:rStyle w:val="IndexLink"/>
                <w:rtl w:val="true"/>
              </w:rPr>
              <w:tab/>
            </w:r>
            <w:r>
              <w:rPr>
                <w:rStyle w:val="IndexLink"/>
              </w:rPr>
              <w:t>11</w:t>
            </w:r>
          </w:hyperlink>
        </w:p>
        <w:p>
          <w:pPr>
            <w:pStyle w:val="Contents3"/>
            <w:tabs>
              <w:tab w:val="clear" w:pos="8459"/>
              <w:tab w:val="right" w:pos="9026" w:leader="dot"/>
            </w:tabs>
            <w:rPr/>
          </w:pPr>
          <w:hyperlink w:anchor="__RefHeading___Toc3503025_372815092">
            <w:r>
              <w:rPr>
                <w:webHidden/>
                <w:rStyle w:val="IndexLink"/>
                <w:rtl w:val="true"/>
              </w:rPr>
              <w:t>ولادته و نشأته</w:t>
            </w:r>
            <w:r>
              <w:rPr>
                <w:rStyle w:val="IndexLink"/>
                <w:rtl w:val="true"/>
              </w:rPr>
              <w:tab/>
            </w:r>
            <w:r>
              <w:rPr>
                <w:rStyle w:val="IndexLink"/>
              </w:rPr>
              <w:t>12</w:t>
            </w:r>
          </w:hyperlink>
        </w:p>
        <w:p>
          <w:pPr>
            <w:pStyle w:val="Contents3"/>
            <w:tabs>
              <w:tab w:val="clear" w:pos="8459"/>
              <w:tab w:val="right" w:pos="9026" w:leader="dot"/>
            </w:tabs>
            <w:rPr/>
          </w:pPr>
          <w:hyperlink w:anchor="__RefHeading___Toc3503027_372815092">
            <w:r>
              <w:rPr>
                <w:webHidden/>
                <w:rStyle w:val="IndexLink"/>
                <w:rtl w:val="true"/>
              </w:rPr>
              <w:t>إطراء العلماء له</w:t>
            </w:r>
            <w:r>
              <w:rPr>
                <w:rStyle w:val="IndexLink"/>
                <w:rtl w:val="true"/>
              </w:rPr>
              <w:tab/>
            </w:r>
            <w:r>
              <w:rPr>
                <w:rStyle w:val="IndexLink"/>
              </w:rPr>
              <w:t>17</w:t>
            </w:r>
          </w:hyperlink>
        </w:p>
        <w:p>
          <w:pPr>
            <w:pStyle w:val="Contents4"/>
            <w:tabs>
              <w:tab w:val="clear" w:pos="8176"/>
              <w:tab w:val="right" w:pos="9026" w:leader="dot"/>
            </w:tabs>
            <w:rPr/>
          </w:pPr>
          <w:hyperlink w:anchor="__RefHeading___Toc3503029_372815092">
            <w:r>
              <w:rPr>
                <w:webHidden/>
                <w:rStyle w:val="IndexLink"/>
              </w:rPr>
              <w:t>1</w:t>
            </w:r>
            <w:r>
              <w:rPr>
                <w:rStyle w:val="IndexLink"/>
                <w:rtl w:val="true"/>
              </w:rPr>
              <w:t xml:space="preserve"> - </w:t>
            </w:r>
            <w:r>
              <w:rPr>
                <w:rStyle w:val="IndexLink"/>
                <w:rtl w:val="true"/>
              </w:rPr>
              <w:t>الفقيه المحقّق ميرزا أبوالقاسم القمّي قدس‌سره</w:t>
            </w:r>
            <w:r>
              <w:rPr>
                <w:rStyle w:val="IndexLink"/>
                <w:rtl w:val="true"/>
              </w:rPr>
              <w:tab/>
            </w:r>
            <w:r>
              <w:rPr>
                <w:rStyle w:val="IndexLink"/>
              </w:rPr>
              <w:t>17</w:t>
            </w:r>
          </w:hyperlink>
        </w:p>
        <w:p>
          <w:pPr>
            <w:pStyle w:val="Contents4"/>
            <w:tabs>
              <w:tab w:val="clear" w:pos="8176"/>
              <w:tab w:val="right" w:pos="9026" w:leader="dot"/>
            </w:tabs>
            <w:rPr/>
          </w:pPr>
          <w:hyperlink w:anchor="__RefHeading___Toc3503031_372815092">
            <w:r>
              <w:rPr>
                <w:webHidden/>
                <w:rStyle w:val="IndexLink"/>
              </w:rPr>
              <w:t>2</w:t>
            </w:r>
            <w:r>
              <w:rPr>
                <w:rStyle w:val="IndexLink"/>
                <w:rtl w:val="true"/>
              </w:rPr>
              <w:t xml:space="preserve"> - </w:t>
            </w:r>
            <w:r>
              <w:rPr>
                <w:rStyle w:val="IndexLink"/>
                <w:rtl w:val="true"/>
              </w:rPr>
              <w:t>الحكيم المولى علي النوري قدس‌سره</w:t>
            </w:r>
            <w:r>
              <w:rPr>
                <w:rStyle w:val="IndexLink"/>
                <w:rtl w:val="true"/>
              </w:rPr>
              <w:tab/>
            </w:r>
            <w:r>
              <w:rPr>
                <w:rStyle w:val="IndexLink"/>
              </w:rPr>
              <w:t>17</w:t>
            </w:r>
          </w:hyperlink>
        </w:p>
        <w:p>
          <w:pPr>
            <w:pStyle w:val="Contents4"/>
            <w:tabs>
              <w:tab w:val="clear" w:pos="8176"/>
              <w:tab w:val="right" w:pos="9026" w:leader="dot"/>
            </w:tabs>
            <w:rPr/>
          </w:pPr>
          <w:hyperlink w:anchor="__RefHeading___Toc3503033_372815092">
            <w:r>
              <w:rPr>
                <w:webHidden/>
                <w:rStyle w:val="IndexLink"/>
              </w:rPr>
              <w:t>3</w:t>
            </w:r>
            <w:r>
              <w:rPr>
                <w:rStyle w:val="IndexLink"/>
                <w:rtl w:val="true"/>
              </w:rPr>
              <w:t xml:space="preserve"> - </w:t>
            </w:r>
            <w:r>
              <w:rPr>
                <w:rStyle w:val="IndexLink"/>
                <w:rtl w:val="true"/>
              </w:rPr>
              <w:t>العلاّمة الفقيه الحاج محمّد إبراهيم الكرباسي قدس‌سره</w:t>
            </w:r>
            <w:r>
              <w:rPr>
                <w:rStyle w:val="IndexLink"/>
                <w:rtl w:val="true"/>
              </w:rPr>
              <w:tab/>
            </w:r>
            <w:r>
              <w:rPr>
                <w:rStyle w:val="IndexLink"/>
              </w:rPr>
              <w:t>18</w:t>
            </w:r>
          </w:hyperlink>
        </w:p>
        <w:p>
          <w:pPr>
            <w:pStyle w:val="Contents4"/>
            <w:tabs>
              <w:tab w:val="clear" w:pos="8176"/>
              <w:tab w:val="right" w:pos="9026" w:leader="dot"/>
            </w:tabs>
            <w:rPr/>
          </w:pPr>
          <w:hyperlink w:anchor="__RefHeading___Toc3503035_372815092">
            <w:r>
              <w:rPr>
                <w:webHidden/>
                <w:rStyle w:val="IndexLink"/>
              </w:rPr>
              <w:t>4</w:t>
            </w:r>
            <w:r>
              <w:rPr>
                <w:rStyle w:val="IndexLink"/>
                <w:rtl w:val="true"/>
              </w:rPr>
              <w:t xml:space="preserve"> - </w:t>
            </w:r>
            <w:r>
              <w:rPr>
                <w:rStyle w:val="IndexLink"/>
                <w:rtl w:val="true"/>
              </w:rPr>
              <w:t>العلاّمة السيّد محمّد شفيع الجابلقي قدس‌سره</w:t>
            </w:r>
            <w:r>
              <w:rPr>
                <w:rStyle w:val="IndexLink"/>
                <w:rtl w:val="true"/>
              </w:rPr>
              <w:tab/>
            </w:r>
            <w:r>
              <w:rPr>
                <w:rStyle w:val="IndexLink"/>
              </w:rPr>
              <w:t>18</w:t>
            </w:r>
          </w:hyperlink>
        </w:p>
        <w:p>
          <w:pPr>
            <w:pStyle w:val="Contents4"/>
            <w:tabs>
              <w:tab w:val="clear" w:pos="8176"/>
              <w:tab w:val="right" w:pos="9026" w:leader="dot"/>
            </w:tabs>
            <w:rPr/>
          </w:pPr>
          <w:hyperlink w:anchor="__RefHeading___Toc3503037_372815092">
            <w:r>
              <w:rPr>
                <w:webHidden/>
                <w:rStyle w:val="IndexLink"/>
              </w:rPr>
              <w:t>5</w:t>
            </w:r>
            <w:r>
              <w:rPr>
                <w:rStyle w:val="IndexLink"/>
                <w:rtl w:val="true"/>
              </w:rPr>
              <w:t xml:space="preserve"> - </w:t>
            </w:r>
            <w:r>
              <w:rPr>
                <w:rStyle w:val="IndexLink"/>
                <w:rtl w:val="true"/>
              </w:rPr>
              <w:t>ولده العلاّمة المحقّق السيّد أسد اللّه الشفتي قدس‌سره</w:t>
            </w:r>
            <w:r>
              <w:rPr>
                <w:rStyle w:val="IndexLink"/>
                <w:rtl w:val="true"/>
              </w:rPr>
              <w:tab/>
            </w:r>
            <w:r>
              <w:rPr>
                <w:rStyle w:val="IndexLink"/>
              </w:rPr>
              <w:t>18</w:t>
            </w:r>
          </w:hyperlink>
        </w:p>
        <w:p>
          <w:pPr>
            <w:pStyle w:val="Contents3"/>
            <w:tabs>
              <w:tab w:val="clear" w:pos="8459"/>
              <w:tab w:val="right" w:pos="9026" w:leader="dot"/>
            </w:tabs>
            <w:rPr/>
          </w:pPr>
          <w:hyperlink w:anchor="__RefHeading___Toc3503039_372815092">
            <w:r>
              <w:rPr>
                <w:webHidden/>
                <w:rStyle w:val="IndexLink"/>
                <w:rtl w:val="true"/>
              </w:rPr>
              <w:t>زهده و عبادته</w:t>
            </w:r>
            <w:r>
              <w:rPr>
                <w:rStyle w:val="IndexLink"/>
                <w:rtl w:val="true"/>
              </w:rPr>
              <w:tab/>
            </w:r>
            <w:r>
              <w:rPr>
                <w:rStyle w:val="IndexLink"/>
              </w:rPr>
              <w:t>19</w:t>
            </w:r>
          </w:hyperlink>
        </w:p>
        <w:p>
          <w:pPr>
            <w:pStyle w:val="Contents3"/>
            <w:tabs>
              <w:tab w:val="clear" w:pos="8459"/>
              <w:tab w:val="right" w:pos="9026" w:leader="dot"/>
            </w:tabs>
            <w:rPr/>
          </w:pPr>
          <w:hyperlink w:anchor="__RefHeading___Toc3503041_372815092">
            <w:r>
              <w:rPr>
                <w:webHidden/>
                <w:rStyle w:val="IndexLink"/>
                <w:rtl w:val="true"/>
              </w:rPr>
              <w:t>إقامته الحدود الشرعيّة</w:t>
            </w:r>
            <w:r>
              <w:rPr>
                <w:rStyle w:val="IndexLink"/>
                <w:rtl w:val="true"/>
              </w:rPr>
              <w:tab/>
            </w:r>
            <w:r>
              <w:rPr>
                <w:rStyle w:val="IndexLink"/>
              </w:rPr>
              <w:t>20</w:t>
            </w:r>
          </w:hyperlink>
        </w:p>
        <w:p>
          <w:pPr>
            <w:pStyle w:val="Contents3"/>
            <w:tabs>
              <w:tab w:val="clear" w:pos="8459"/>
              <w:tab w:val="right" w:pos="9026" w:leader="dot"/>
            </w:tabs>
            <w:rPr/>
          </w:pPr>
          <w:hyperlink w:anchor="__RefHeading___Toc3503043_372815092">
            <w:r>
              <w:rPr>
                <w:webHidden/>
                <w:rStyle w:val="IndexLink"/>
                <w:rtl w:val="true"/>
              </w:rPr>
              <w:t>مشايخ روايته</w:t>
            </w:r>
            <w:r>
              <w:rPr>
                <w:rStyle w:val="IndexLink"/>
                <w:rtl w:val="true"/>
              </w:rPr>
              <w:tab/>
            </w:r>
            <w:r>
              <w:rPr>
                <w:rStyle w:val="IndexLink"/>
              </w:rPr>
              <w:t>20</w:t>
            </w:r>
          </w:hyperlink>
        </w:p>
        <w:p>
          <w:pPr>
            <w:pStyle w:val="Contents3"/>
            <w:tabs>
              <w:tab w:val="clear" w:pos="8459"/>
              <w:tab w:val="right" w:pos="9026" w:leader="dot"/>
            </w:tabs>
            <w:rPr/>
          </w:pPr>
          <w:hyperlink w:anchor="__RefHeading___Toc3503045_372815092">
            <w:r>
              <w:rPr>
                <w:webHidden/>
                <w:rStyle w:val="IndexLink"/>
                <w:rtl w:val="true"/>
              </w:rPr>
              <w:t>تلامذته</w:t>
            </w:r>
            <w:r>
              <w:rPr>
                <w:rStyle w:val="IndexLink"/>
                <w:rtl w:val="true"/>
              </w:rPr>
              <w:tab/>
            </w:r>
            <w:r>
              <w:rPr>
                <w:rStyle w:val="IndexLink"/>
              </w:rPr>
              <w:t>21</w:t>
            </w:r>
          </w:hyperlink>
        </w:p>
        <w:p>
          <w:pPr>
            <w:pStyle w:val="Contents3"/>
            <w:tabs>
              <w:tab w:val="clear" w:pos="8459"/>
              <w:tab w:val="right" w:pos="9026" w:leader="dot"/>
            </w:tabs>
            <w:rPr/>
          </w:pPr>
          <w:hyperlink w:anchor="__RefHeading___Toc3503047_372815092">
            <w:r>
              <w:rPr>
                <w:webHidden/>
                <w:rStyle w:val="IndexLink"/>
                <w:rtl w:val="true"/>
              </w:rPr>
              <w:t>أولاده</w:t>
            </w:r>
            <w:r>
              <w:rPr>
                <w:rStyle w:val="IndexLink"/>
                <w:rtl w:val="true"/>
              </w:rPr>
              <w:tab/>
            </w:r>
            <w:r>
              <w:rPr>
                <w:rStyle w:val="IndexLink"/>
              </w:rPr>
              <w:t>22</w:t>
            </w:r>
          </w:hyperlink>
        </w:p>
        <w:p>
          <w:pPr>
            <w:pStyle w:val="Contents3"/>
            <w:tabs>
              <w:tab w:val="clear" w:pos="8459"/>
              <w:tab w:val="right" w:pos="9026" w:leader="dot"/>
            </w:tabs>
            <w:rPr/>
          </w:pPr>
          <w:hyperlink w:anchor="__RefHeading___Toc3503049_372815092">
            <w:r>
              <w:rPr>
                <w:webHidden/>
                <w:rStyle w:val="IndexLink"/>
                <w:rtl w:val="true"/>
              </w:rPr>
              <w:t>تآليفه القيّمة</w:t>
            </w:r>
            <w:r>
              <w:rPr>
                <w:rStyle w:val="IndexLink"/>
                <w:rtl w:val="true"/>
              </w:rPr>
              <w:tab/>
            </w:r>
            <w:r>
              <w:rPr>
                <w:rStyle w:val="IndexLink"/>
              </w:rPr>
              <w:t>24</w:t>
            </w:r>
          </w:hyperlink>
        </w:p>
        <w:p>
          <w:pPr>
            <w:pStyle w:val="Contents3"/>
            <w:tabs>
              <w:tab w:val="clear" w:pos="8459"/>
              <w:tab w:val="right" w:pos="9026" w:leader="dot"/>
            </w:tabs>
            <w:rPr/>
          </w:pPr>
          <w:hyperlink w:anchor="__RefHeading___Toc3503051_372815092">
            <w:r>
              <w:rPr>
                <w:webHidden/>
                <w:rStyle w:val="IndexLink"/>
                <w:rtl w:val="true"/>
              </w:rPr>
              <w:t xml:space="preserve">« </w:t>
            </w:r>
            <w:r>
              <w:rPr>
                <w:rStyle w:val="IndexLink"/>
                <w:rtl w:val="true"/>
              </w:rPr>
              <w:t xml:space="preserve">الكتب والرسائل الفقهيّة </w:t>
            </w:r>
            <w:r>
              <w:rPr>
                <w:rStyle w:val="IndexLink"/>
                <w:rtl w:val="true"/>
              </w:rPr>
              <w:t>»</w:t>
              <w:tab/>
            </w:r>
            <w:r>
              <w:rPr>
                <w:rStyle w:val="IndexLink"/>
              </w:rPr>
              <w:t>25</w:t>
            </w:r>
          </w:hyperlink>
        </w:p>
        <w:p>
          <w:pPr>
            <w:pStyle w:val="Contents3"/>
            <w:tabs>
              <w:tab w:val="clear" w:pos="8459"/>
              <w:tab w:val="right" w:pos="9026" w:leader="dot"/>
            </w:tabs>
            <w:rPr/>
          </w:pPr>
          <w:hyperlink w:anchor="__RefHeading___Toc3503053_372815092">
            <w:r>
              <w:rPr>
                <w:webHidden/>
                <w:rStyle w:val="IndexLink"/>
                <w:rtl w:val="true"/>
              </w:rPr>
              <w:t xml:space="preserve">« </w:t>
            </w:r>
            <w:r>
              <w:rPr>
                <w:rStyle w:val="IndexLink"/>
                <w:rtl w:val="true"/>
              </w:rPr>
              <w:t xml:space="preserve">الكتب والرسائل الحديثيّة </w:t>
            </w:r>
            <w:r>
              <w:rPr>
                <w:rStyle w:val="IndexLink"/>
                <w:rtl w:val="true"/>
              </w:rPr>
              <w:t>»</w:t>
              <w:tab/>
            </w:r>
            <w:r>
              <w:rPr>
                <w:rStyle w:val="IndexLink"/>
              </w:rPr>
              <w:t>41</w:t>
            </w:r>
          </w:hyperlink>
        </w:p>
        <w:p>
          <w:pPr>
            <w:pStyle w:val="Contents3"/>
            <w:tabs>
              <w:tab w:val="clear" w:pos="8459"/>
              <w:tab w:val="right" w:pos="9026" w:leader="dot"/>
            </w:tabs>
            <w:rPr/>
          </w:pPr>
          <w:hyperlink w:anchor="__RefHeading___Toc3503055_372815092">
            <w:r>
              <w:rPr>
                <w:webHidden/>
                <w:rStyle w:val="IndexLink"/>
                <w:rtl w:val="true"/>
              </w:rPr>
              <w:t xml:space="preserve">« </w:t>
            </w:r>
            <w:r>
              <w:rPr>
                <w:rStyle w:val="IndexLink"/>
                <w:rtl w:val="true"/>
              </w:rPr>
              <w:t xml:space="preserve">الكتب والرسائل الأصوليّة </w:t>
            </w:r>
            <w:r>
              <w:rPr>
                <w:rStyle w:val="IndexLink"/>
                <w:rtl w:val="true"/>
              </w:rPr>
              <w:t>»</w:t>
              <w:tab/>
            </w:r>
            <w:r>
              <w:rPr>
                <w:rStyle w:val="IndexLink"/>
              </w:rPr>
              <w:t>42</w:t>
            </w:r>
          </w:hyperlink>
        </w:p>
        <w:p>
          <w:pPr>
            <w:pStyle w:val="Contents3"/>
            <w:tabs>
              <w:tab w:val="clear" w:pos="8459"/>
              <w:tab w:val="right" w:pos="9026" w:leader="dot"/>
            </w:tabs>
            <w:rPr/>
          </w:pPr>
          <w:hyperlink w:anchor="__RefHeading___Toc3503057_372815092">
            <w:r>
              <w:rPr>
                <w:webHidden/>
                <w:rStyle w:val="IndexLink"/>
                <w:rtl w:val="true"/>
              </w:rPr>
              <w:t xml:space="preserve">« </w:t>
            </w:r>
            <w:r>
              <w:rPr>
                <w:rStyle w:val="IndexLink"/>
                <w:rtl w:val="true"/>
              </w:rPr>
              <w:t xml:space="preserve">الكتب والرسائل الرجاليّة </w:t>
            </w:r>
            <w:r>
              <w:rPr>
                <w:rStyle w:val="IndexLink"/>
                <w:rtl w:val="true"/>
              </w:rPr>
              <w:t>»</w:t>
              <w:tab/>
            </w:r>
            <w:r>
              <w:rPr>
                <w:rStyle w:val="IndexLink"/>
              </w:rPr>
              <w:t>44</w:t>
            </w:r>
          </w:hyperlink>
        </w:p>
        <w:p>
          <w:pPr>
            <w:pStyle w:val="Contents3"/>
            <w:tabs>
              <w:tab w:val="clear" w:pos="8459"/>
              <w:tab w:val="right" w:pos="9026" w:leader="dot"/>
            </w:tabs>
            <w:rPr/>
          </w:pPr>
          <w:hyperlink w:anchor="__RefHeading___Toc3503059_372815092">
            <w:r>
              <w:rPr>
                <w:webHidden/>
                <w:rStyle w:val="IndexLink"/>
                <w:rtl w:val="true"/>
              </w:rPr>
              <w:t xml:space="preserve">« </w:t>
            </w:r>
            <w:r>
              <w:rPr>
                <w:rStyle w:val="IndexLink"/>
                <w:rtl w:val="true"/>
              </w:rPr>
              <w:t xml:space="preserve">الكتب والرسائل المتفرّقة </w:t>
            </w:r>
            <w:r>
              <w:rPr>
                <w:rStyle w:val="IndexLink"/>
                <w:rtl w:val="true"/>
              </w:rPr>
              <w:t>»</w:t>
              <w:tab/>
            </w:r>
            <w:r>
              <w:rPr>
                <w:rStyle w:val="IndexLink"/>
              </w:rPr>
              <w:t>47</w:t>
            </w:r>
          </w:hyperlink>
        </w:p>
        <w:p>
          <w:pPr>
            <w:pStyle w:val="Contents3"/>
            <w:tabs>
              <w:tab w:val="clear" w:pos="8459"/>
              <w:tab w:val="right" w:pos="9026" w:leader="dot"/>
            </w:tabs>
            <w:rPr/>
          </w:pPr>
          <w:hyperlink w:anchor="__RefHeading___Toc3503061_372815092">
            <w:r>
              <w:rPr>
                <w:webHidden/>
                <w:rStyle w:val="IndexLink"/>
                <w:rtl w:val="true"/>
              </w:rPr>
              <w:t>وفاته و مرقده</w:t>
            </w:r>
            <w:r>
              <w:rPr>
                <w:rStyle w:val="IndexLink"/>
                <w:rtl w:val="true"/>
              </w:rPr>
              <w:tab/>
            </w:r>
            <w:r>
              <w:rPr>
                <w:rStyle w:val="IndexLink"/>
              </w:rPr>
              <w:t>48</w:t>
            </w:r>
          </w:hyperlink>
        </w:p>
        <w:p>
          <w:pPr>
            <w:pStyle w:val="Contents2"/>
            <w:tabs>
              <w:tab w:val="clear" w:pos="8743"/>
              <w:tab w:val="right" w:pos="9026" w:leader="dot"/>
            </w:tabs>
            <w:rPr/>
          </w:pPr>
          <w:hyperlink w:anchor="__RefHeading___Toc3503063_372815092">
            <w:r>
              <w:rPr>
                <w:webHidden/>
                <w:rStyle w:val="IndexLink"/>
                <w:rtl w:val="true"/>
              </w:rPr>
              <w:t>الفصل الثاني</w:t>
            </w:r>
            <w:r>
              <w:rPr>
                <w:rStyle w:val="IndexLink"/>
                <w:rtl w:val="true"/>
              </w:rPr>
              <w:t xml:space="preserve">: </w:t>
            </w:r>
            <w:r>
              <w:rPr>
                <w:rStyle w:val="IndexLink"/>
                <w:rtl w:val="true"/>
              </w:rPr>
              <w:t>ما يتعلّق بالرسالة</w:t>
            </w:r>
            <w:r>
              <w:rPr>
                <w:rStyle w:val="IndexLink"/>
                <w:rtl w:val="true"/>
              </w:rPr>
              <w:tab/>
            </w:r>
            <w:r>
              <w:rPr>
                <w:rStyle w:val="IndexLink"/>
              </w:rPr>
              <w:t>50</w:t>
            </w:r>
          </w:hyperlink>
        </w:p>
        <w:p>
          <w:pPr>
            <w:pStyle w:val="Contents2"/>
            <w:tabs>
              <w:tab w:val="clear" w:pos="8743"/>
              <w:tab w:val="right" w:pos="9026" w:leader="dot"/>
            </w:tabs>
            <w:rPr/>
          </w:pPr>
          <w:hyperlink w:anchor="__RefHeading___Toc3503065_372815092">
            <w:r>
              <w:rPr>
                <w:webHidden/>
                <w:rStyle w:val="IndexLink"/>
                <w:rtl w:val="true"/>
              </w:rPr>
              <w:t>الفصل الثالث</w:t>
            </w:r>
            <w:r>
              <w:rPr>
                <w:rStyle w:val="IndexLink"/>
                <w:rtl w:val="true"/>
              </w:rPr>
              <w:t xml:space="preserve">: </w:t>
            </w:r>
            <w:r>
              <w:rPr>
                <w:rStyle w:val="IndexLink"/>
                <w:rtl w:val="true"/>
              </w:rPr>
              <w:t>عملنا في التحقيق</w:t>
            </w:r>
            <w:r>
              <w:rPr>
                <w:rStyle w:val="IndexLink"/>
                <w:rtl w:val="true"/>
              </w:rPr>
              <w:tab/>
            </w:r>
            <w:r>
              <w:rPr>
                <w:rStyle w:val="IndexLink"/>
              </w:rPr>
              <w:t>51</w:t>
            </w:r>
          </w:hyperlink>
        </w:p>
        <w:p>
          <w:pPr>
            <w:pStyle w:val="Contents3"/>
            <w:tabs>
              <w:tab w:val="clear" w:pos="8459"/>
              <w:tab w:val="right" w:pos="9026" w:leader="dot"/>
            </w:tabs>
            <w:rPr/>
          </w:pPr>
          <w:hyperlink w:anchor="__RefHeading___Toc3503067_372815092">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503069_372815092">
            <w:r>
              <w:rPr>
                <w:webHidden/>
                <w:rStyle w:val="IndexLink"/>
                <w:rtl w:val="true"/>
              </w:rPr>
              <w:t>رسالة في حرمة محارم الموطوء على الواطي</w:t>
            </w:r>
            <w:r>
              <w:rPr>
                <w:rStyle w:val="IndexLink"/>
                <w:rtl w:val="true"/>
              </w:rPr>
              <w:tab/>
            </w:r>
            <w:r>
              <w:rPr>
                <w:rStyle w:val="IndexLink"/>
              </w:rPr>
              <w:t>54</w:t>
            </w:r>
          </w:hyperlink>
        </w:p>
        <w:p>
          <w:pPr>
            <w:pStyle w:val="Contents3"/>
            <w:tabs>
              <w:tab w:val="clear" w:pos="8459"/>
              <w:tab w:val="right" w:pos="9026" w:leader="dot"/>
            </w:tabs>
            <w:rPr/>
          </w:pPr>
          <w:hyperlink w:anchor="__RefHeading___Toc3503071_372815092">
            <w:r>
              <w:rPr>
                <w:webHidden/>
                <w:rStyle w:val="IndexLink"/>
                <w:rtl w:val="true"/>
              </w:rPr>
              <w:t>الوطى في الصغر هل ينشر الحرمة، أم لا ؟</w:t>
            </w:r>
            <w:r>
              <w:rPr>
                <w:rStyle w:val="IndexLink"/>
                <w:rtl w:val="true"/>
              </w:rPr>
              <w:tab/>
            </w:r>
            <w:r>
              <w:rPr>
                <w:rStyle w:val="IndexLink"/>
              </w:rPr>
              <w:t>56</w:t>
            </w:r>
          </w:hyperlink>
        </w:p>
        <w:p>
          <w:pPr>
            <w:pStyle w:val="Contents3"/>
            <w:tabs>
              <w:tab w:val="clear" w:pos="8459"/>
              <w:tab w:val="right" w:pos="9026" w:leader="dot"/>
            </w:tabs>
            <w:rPr/>
          </w:pPr>
          <w:hyperlink w:anchor="__RefHeading___Toc3503073_372815092">
            <w:r>
              <w:rPr>
                <w:webHidden/>
                <w:rStyle w:val="IndexLink"/>
                <w:rtl w:val="true"/>
              </w:rPr>
              <w:t>المستند في المسألة</w:t>
            </w:r>
            <w:r>
              <w:rPr>
                <w:rStyle w:val="IndexLink"/>
                <w:rtl w:val="true"/>
              </w:rPr>
              <w:tab/>
            </w:r>
            <w:r>
              <w:rPr>
                <w:rStyle w:val="IndexLink"/>
              </w:rPr>
              <w:t>65</w:t>
            </w:r>
          </w:hyperlink>
        </w:p>
        <w:p>
          <w:pPr>
            <w:pStyle w:val="Contents3"/>
            <w:tabs>
              <w:tab w:val="clear" w:pos="8459"/>
              <w:tab w:val="right" w:pos="9026" w:leader="dot"/>
            </w:tabs>
            <w:rPr/>
          </w:pPr>
          <w:hyperlink w:anchor="__RefHeading___Toc3503075_372815092">
            <w:r>
              <w:rPr>
                <w:webHidden/>
                <w:rStyle w:val="IndexLink"/>
                <w:rtl w:val="true"/>
              </w:rPr>
              <w:t>مختار المؤلّف و مستنده</w:t>
            </w:r>
            <w:r>
              <w:rPr>
                <w:rStyle w:val="IndexLink"/>
                <w:rtl w:val="true"/>
              </w:rPr>
              <w:tab/>
            </w:r>
            <w:r>
              <w:rPr>
                <w:rStyle w:val="IndexLink"/>
              </w:rPr>
              <w:t>68</w:t>
            </w:r>
          </w:hyperlink>
        </w:p>
        <w:p>
          <w:pPr>
            <w:pStyle w:val="Contents3"/>
            <w:tabs>
              <w:tab w:val="clear" w:pos="8459"/>
              <w:tab w:val="right" w:pos="9026" w:leader="dot"/>
            </w:tabs>
            <w:rPr/>
          </w:pPr>
          <w:hyperlink w:anchor="__RefHeading___Toc3503077_372815092">
            <w:r>
              <w:rPr>
                <w:webHidden/>
                <w:rStyle w:val="IndexLink"/>
                <w:rtl w:val="true"/>
              </w:rPr>
              <w:t>التنبيه على أمور</w:t>
            </w:r>
            <w:r>
              <w:rPr>
                <w:rStyle w:val="IndexLink"/>
                <w:rtl w:val="true"/>
              </w:rPr>
              <w:tab/>
            </w:r>
            <w:r>
              <w:rPr>
                <w:rStyle w:val="IndexLink"/>
              </w:rPr>
              <w:t>70</w:t>
            </w:r>
          </w:hyperlink>
        </w:p>
        <w:p>
          <w:pPr>
            <w:pStyle w:val="Contents3"/>
            <w:tabs>
              <w:tab w:val="clear" w:pos="8459"/>
              <w:tab w:val="right" w:pos="9026" w:leader="dot"/>
            </w:tabs>
            <w:rPr/>
          </w:pPr>
          <w:hyperlink w:anchor="__RefHeading___Toc3503079_372815092">
            <w:r>
              <w:rPr>
                <w:webHidden/>
                <w:rStyle w:val="IndexLink"/>
                <w:rtl w:val="true"/>
              </w:rPr>
              <w:t xml:space="preserve">التنبيه الأوّل </w:t>
            </w:r>
            <w:r>
              <w:rPr>
                <w:rStyle w:val="IndexLink"/>
                <w:rtl w:val="true"/>
              </w:rPr>
              <w:t xml:space="preserve">: </w:t>
            </w:r>
            <w:r>
              <w:rPr>
                <w:rStyle w:val="IndexLink"/>
                <w:rtl w:val="true"/>
              </w:rPr>
              <w:t>في أنّ الإيقاب الّذي هو المناط في التحريم هو الإدخال</w:t>
            </w:r>
            <w:r>
              <w:rPr>
                <w:rStyle w:val="IndexLink"/>
                <w:rtl w:val="true"/>
              </w:rPr>
              <w:tab/>
            </w:r>
            <w:r>
              <w:rPr>
                <w:rStyle w:val="IndexLink"/>
              </w:rPr>
              <w:t>70</w:t>
            </w:r>
          </w:hyperlink>
        </w:p>
        <w:p>
          <w:pPr>
            <w:pStyle w:val="Contents3"/>
            <w:tabs>
              <w:tab w:val="clear" w:pos="8459"/>
              <w:tab w:val="right" w:pos="9026" w:leader="dot"/>
            </w:tabs>
            <w:rPr/>
          </w:pPr>
          <w:hyperlink w:anchor="__RefHeading___Toc3503081_372815092">
            <w:r>
              <w:rPr>
                <w:webHidden/>
                <w:rStyle w:val="IndexLink"/>
                <w:rtl w:val="true"/>
              </w:rPr>
              <w:t xml:space="preserve">التنبيه الثاني </w:t>
            </w:r>
            <w:r>
              <w:rPr>
                <w:rStyle w:val="IndexLink"/>
                <w:rtl w:val="true"/>
              </w:rPr>
              <w:t xml:space="preserve">: </w:t>
            </w:r>
            <w:r>
              <w:rPr>
                <w:rStyle w:val="IndexLink"/>
                <w:rtl w:val="true"/>
              </w:rPr>
              <w:t>في ثبوت التحريم فيما إذا كان الفجور مسبوقًا بالعقد</w:t>
            </w:r>
            <w:r>
              <w:rPr>
                <w:rStyle w:val="IndexLink"/>
                <w:rtl w:val="true"/>
              </w:rPr>
              <w:tab/>
            </w:r>
            <w:r>
              <w:rPr>
                <w:rStyle w:val="IndexLink"/>
              </w:rPr>
              <w:t>74</w:t>
            </w:r>
          </w:hyperlink>
        </w:p>
        <w:p>
          <w:pPr>
            <w:pStyle w:val="Contents4"/>
            <w:tabs>
              <w:tab w:val="clear" w:pos="8176"/>
              <w:tab w:val="right" w:pos="9026" w:leader="dot"/>
            </w:tabs>
            <w:rPr/>
          </w:pPr>
          <w:hyperlink w:anchor="__RefHeading___Toc3503083_372815092">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3503085_372815092">
            <w:r>
              <w:rPr>
                <w:webHidden/>
                <w:rStyle w:val="IndexLink"/>
                <w:rtl w:val="true"/>
              </w:rPr>
              <w:t>مستند القولين</w:t>
            </w:r>
            <w:r>
              <w:rPr>
                <w:rStyle w:val="IndexLink"/>
                <w:rtl w:val="true"/>
              </w:rPr>
              <w:tab/>
            </w:r>
            <w:r>
              <w:rPr>
                <w:rStyle w:val="IndexLink"/>
              </w:rPr>
              <w:t>80</w:t>
            </w:r>
          </w:hyperlink>
        </w:p>
        <w:p>
          <w:pPr>
            <w:pStyle w:val="Contents4"/>
            <w:tabs>
              <w:tab w:val="clear" w:pos="8176"/>
              <w:tab w:val="right" w:pos="9026" w:leader="dot"/>
            </w:tabs>
            <w:rPr/>
          </w:pPr>
          <w:hyperlink w:anchor="__RefHeading___Toc3503087_372815092">
            <w:r>
              <w:rPr>
                <w:webHidden/>
                <w:rStyle w:val="IndexLink"/>
                <w:rtl w:val="true"/>
              </w:rPr>
              <w:t>الجواب عن مستند القول الأوّل</w:t>
            </w:r>
            <w:r>
              <w:rPr>
                <w:rStyle w:val="IndexLink"/>
                <w:rtl w:val="true"/>
              </w:rPr>
              <w:tab/>
            </w:r>
            <w:r>
              <w:rPr>
                <w:rStyle w:val="IndexLink"/>
              </w:rPr>
              <w:t>82</w:t>
            </w:r>
          </w:hyperlink>
        </w:p>
        <w:p>
          <w:pPr>
            <w:pStyle w:val="Contents3"/>
            <w:tabs>
              <w:tab w:val="clear" w:pos="8459"/>
              <w:tab w:val="right" w:pos="9026" w:leader="dot"/>
            </w:tabs>
            <w:rPr/>
          </w:pPr>
          <w:hyperlink w:anchor="__RefHeading___Toc3503089_372815092">
            <w:r>
              <w:rPr>
                <w:webHidden/>
                <w:rStyle w:val="IndexLink"/>
                <w:rtl w:val="true"/>
              </w:rPr>
              <w:t xml:space="preserve">التنبيه الثالث </w:t>
            </w:r>
            <w:r>
              <w:rPr>
                <w:rStyle w:val="IndexLink"/>
                <w:rtl w:val="true"/>
              </w:rPr>
              <w:t xml:space="preserve">: </w:t>
            </w:r>
            <w:r>
              <w:rPr>
                <w:rStyle w:val="IndexLink"/>
                <w:rtl w:val="true"/>
              </w:rPr>
              <w:t>في أنّه هل يختصّ الحكم المذكور بأخت الموطوء أو يعمّ</w:t>
            </w:r>
            <w:r>
              <w:rPr>
                <w:rStyle w:val="IndexLink"/>
                <w:rtl w:val="true"/>
              </w:rPr>
              <w:t>...</w:t>
              <w:tab/>
            </w:r>
            <w:r>
              <w:rPr>
                <w:rStyle w:val="IndexLink"/>
              </w:rPr>
              <w:t>87</w:t>
            </w:r>
          </w:hyperlink>
        </w:p>
        <w:p>
          <w:pPr>
            <w:pStyle w:val="Contents3"/>
            <w:tabs>
              <w:tab w:val="clear" w:pos="8459"/>
              <w:tab w:val="right" w:pos="9026" w:leader="dot"/>
            </w:tabs>
            <w:rPr/>
          </w:pPr>
          <w:hyperlink w:anchor="__RefHeading___Toc3503091_372815092">
            <w:r>
              <w:rPr>
                <w:webHidden/>
                <w:rStyle w:val="IndexLink"/>
                <w:rtl w:val="true"/>
              </w:rPr>
              <w:t xml:space="preserve">التنبيه الرابع </w:t>
            </w:r>
            <w:r>
              <w:rPr>
                <w:rStyle w:val="IndexLink"/>
                <w:rtl w:val="true"/>
              </w:rPr>
              <w:t xml:space="preserve">: </w:t>
            </w:r>
            <w:r>
              <w:rPr>
                <w:rStyle w:val="IndexLink"/>
                <w:rtl w:val="true"/>
              </w:rPr>
              <w:t>في أنّ الحكم المذكور هل يختصّ بالأصناف المذكورة إذا كانت من النسب، أو يعمّها والرضاع ؟</w:t>
            </w:r>
            <w:r>
              <w:rPr>
                <w:rStyle w:val="IndexLink"/>
                <w:rtl w:val="true"/>
              </w:rPr>
              <w:tab/>
            </w:r>
            <w:r>
              <w:rPr>
                <w:rStyle w:val="IndexLink"/>
              </w:rPr>
              <w:t>93</w:t>
            </w:r>
          </w:hyperlink>
        </w:p>
        <w:p>
          <w:pPr>
            <w:pStyle w:val="Contents4"/>
            <w:tabs>
              <w:tab w:val="clear" w:pos="8176"/>
              <w:tab w:val="right" w:pos="9026" w:leader="dot"/>
            </w:tabs>
            <w:rPr/>
          </w:pPr>
          <w:hyperlink w:anchor="__RefHeading___Toc3503093_372815092">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503095_372815092">
            <w:r>
              <w:rPr>
                <w:webHidden/>
                <w:rStyle w:val="IndexLink"/>
                <w:rtl w:val="true"/>
              </w:rPr>
              <w:t>مختار المؤلّف قدس‌سره</w:t>
            </w:r>
            <w:r>
              <w:rPr>
                <w:rStyle w:val="IndexLink"/>
                <w:rtl w:val="true"/>
              </w:rPr>
              <w:tab/>
            </w:r>
            <w:r>
              <w:rPr>
                <w:rStyle w:val="IndexLink"/>
              </w:rPr>
              <w:t>99</w:t>
            </w:r>
          </w:hyperlink>
        </w:p>
        <w:p>
          <w:pPr>
            <w:pStyle w:val="Contents4"/>
            <w:tabs>
              <w:tab w:val="clear" w:pos="8176"/>
              <w:tab w:val="right" w:pos="9026" w:leader="dot"/>
            </w:tabs>
            <w:rPr/>
          </w:pPr>
          <w:hyperlink w:anchor="__RefHeading___Toc3503097_372815092">
            <w:r>
              <w:rPr>
                <w:webHidden/>
                <w:rStyle w:val="IndexLink"/>
                <w:rtl w:val="true"/>
              </w:rPr>
              <w:t xml:space="preserve">تنبيهٌ </w:t>
            </w:r>
            <w:r>
              <w:rPr>
                <w:rStyle w:val="IndexLink"/>
                <w:rtl w:val="true"/>
              </w:rPr>
              <w:t xml:space="preserve">: </w:t>
            </w:r>
            <w:r>
              <w:rPr>
                <w:rStyle w:val="IndexLink"/>
                <w:rtl w:val="true"/>
              </w:rPr>
              <w:t xml:space="preserve">في أنّ المحرّمات بالرضاع بأسرها هل هي مثل المحرّمات في </w:t>
            </w:r>
            <w:r>
              <w:rPr>
                <w:rStyle w:val="IndexLink"/>
                <w:rtl w:val="true"/>
              </w:rPr>
              <w:t>...</w:t>
              <w:tab/>
            </w:r>
            <w:r>
              <w:rPr>
                <w:rStyle w:val="IndexLink"/>
              </w:rPr>
              <w:t>103</w:t>
            </w:r>
          </w:hyperlink>
        </w:p>
        <w:p>
          <w:pPr>
            <w:pStyle w:val="Contents4"/>
            <w:tabs>
              <w:tab w:val="clear" w:pos="8176"/>
              <w:tab w:val="right" w:pos="9026" w:leader="dot"/>
            </w:tabs>
            <w:rPr/>
          </w:pPr>
          <w:hyperlink w:anchor="__RefHeading___Toc3503099_372815092">
            <w:r>
              <w:rPr>
                <w:webHidden/>
                <w:rStyle w:val="IndexLink"/>
                <w:rtl w:val="true"/>
              </w:rPr>
              <w:t xml:space="preserve">المقام الأوّل </w:t>
            </w:r>
            <w:r>
              <w:rPr>
                <w:rStyle w:val="IndexLink"/>
                <w:rtl w:val="true"/>
              </w:rPr>
              <w:t xml:space="preserve">: </w:t>
            </w:r>
            <w:r>
              <w:rPr>
                <w:rStyle w:val="IndexLink"/>
                <w:rtl w:val="true"/>
              </w:rPr>
              <w:t>ثبوت المحرميّة بين المرتضع و بين من تحقّق</w:t>
            </w:r>
            <w:r>
              <w:rPr>
                <w:rStyle w:val="IndexLink"/>
                <w:rtl w:val="true"/>
              </w:rPr>
              <w:t>...</w:t>
              <w:tab/>
            </w:r>
            <w:r>
              <w:rPr>
                <w:rStyle w:val="IndexLink"/>
              </w:rPr>
              <w:t>103</w:t>
            </w:r>
          </w:hyperlink>
        </w:p>
        <w:p>
          <w:pPr>
            <w:pStyle w:val="Contents2"/>
            <w:tabs>
              <w:tab w:val="clear" w:pos="8743"/>
              <w:tab w:val="right" w:pos="9026" w:leader="dot"/>
            </w:tabs>
            <w:rPr/>
          </w:pPr>
          <w:hyperlink w:anchor="__RefHeading___Toc3503101_372815092">
            <w:r>
              <w:rPr>
                <w:webHidden/>
                <w:rStyle w:val="IndexLink"/>
                <w:rtl w:val="true"/>
              </w:rPr>
              <w:t>فهرس مصادر التحقيق</w:t>
            </w:r>
            <w:r>
              <w:rPr>
                <w:rStyle w:val="IndexLink"/>
                <w:rtl w:val="true"/>
              </w:rPr>
              <w:tab/>
            </w:r>
            <w:r>
              <w:rPr>
                <w:rStyle w:val="IndexLink"/>
              </w:rPr>
              <w:t>107</w:t>
            </w:r>
          </w:hyperlink>
        </w:p>
        <w:p>
          <w:pPr>
            <w:pStyle w:val="Contents2"/>
            <w:tabs>
              <w:tab w:val="clear" w:pos="8743"/>
              <w:tab w:val="right" w:pos="9026" w:leader="dot"/>
            </w:tabs>
            <w:rPr/>
          </w:pPr>
          <w:hyperlink w:anchor="__RefHeading___Toc3503103_372815092">
            <w:r>
              <w:rPr>
                <w:webHidden/>
                <w:rStyle w:val="IndexLink"/>
                <w:rtl w:val="true"/>
              </w:rPr>
              <w:t>فهرس المحتوى</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92_62127"/>
      <w:bookmarkStart w:id="1" w:name="pg7092_62127"/>
      <w:bookmarkEnd w:id="1"/>
    </w:p>
    <w:p>
      <w:pPr>
        <w:pStyle w:val="Heading2"/>
        <w:numPr>
          <w:ilvl w:val="1"/>
          <w:numId w:val="1"/>
        </w:numPr>
        <w:rPr/>
      </w:pPr>
      <w:bookmarkStart w:id="2" w:name="pg7092_62127"/>
      <w:bookmarkStart w:id="3" w:name="__RefHeading___Toc3503013_37281509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رسالة في حرمة محارم الموطوء على الواطي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المحقّق الورع السيّد محمّد باقر بن محمّد نقي الشفتيّ قدس‌سره</w:t>
      </w:r>
    </w:p>
    <w:p>
      <w:pPr>
        <w:pStyle w:val="BookText"/>
        <w:rPr/>
      </w:pPr>
      <w:r>
        <w:rPr>
          <w:rFonts w:ascii="Amiri" w:hAnsi="Amiri" w:eastAsia="Amiri" w:cs="Amiri"/>
          <w:color w:val="111111"/>
          <w:sz w:val="28"/>
          <w:sz w:val="28"/>
          <w:szCs w:val="28"/>
          <w:rtl w:val="true"/>
          <w:lang w:bidi="ar-SA"/>
        </w:rPr>
        <w:t>المشتهر بحجّة الإسلام على الإطلاق</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مسجد السيّد حجّة الإسلام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3015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92_62131"/>
      <w:bookmarkStart w:id="8" w:name="pg7092_62131"/>
      <w:bookmarkEnd w:id="8"/>
    </w:p>
    <w:p>
      <w:pPr>
        <w:pStyle w:val="Heading2"/>
        <w:numPr>
          <w:ilvl w:val="1"/>
          <w:numId w:val="1"/>
        </w:numPr>
        <w:rPr/>
      </w:pPr>
      <w:bookmarkStart w:id="9" w:name="pg7092_62131"/>
      <w:bookmarkStart w:id="10" w:name="__RefHeading___Toc3503017_372815092"/>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 xml:space="preserve">و تتضمّن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ترجمة المؤلّف</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بالرسالة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التحقيق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باطلاقه مُتَجلِّيًا في مرايا آفاقِهِ، والصلاةُ و السلام على سيّدِ أنبيائِه البشير النذير والسِراج المُنيرِ، سيِّدنا أحمد و نبيِّنا أبي القاسم محمَّد، وعلى آله الطيّبين الطاهرين، واللَعنُ</w:t>
      </w:r>
    </w:p>
    <w:p>
      <w:pPr>
        <w:pStyle w:val="BookText"/>
        <w:rPr/>
      </w:pPr>
      <w:r>
        <w:rPr>
          <w:rFonts w:ascii="Amiri" w:hAnsi="Amiri" w:eastAsia="Amiri" w:cs="Amiri"/>
          <w:color w:val="111111"/>
          <w:sz w:val="28"/>
          <w:sz w:val="28"/>
          <w:szCs w:val="28"/>
          <w:rtl w:val="true"/>
          <w:lang w:bidi="ar-SA"/>
        </w:rPr>
        <w:t xml:space="preserve">الدائم على أعدائهم أجمعين مِن الآن إلى قيام يوم الدين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فهذه مقدّمة وجيزة مشتملة على ثلاثة فصول </w:t>
      </w:r>
      <w:r>
        <w:rPr>
          <w:rFonts w:eastAsia="Amiri" w:cs="Amiri" w:ascii="Amiri" w:hAnsi="Amiri"/>
          <w:color w:val="111111"/>
          <w:sz w:val="28"/>
          <w:szCs w:val="28"/>
          <w:rtl w:val="true"/>
          <w:lang w:bidi="ar-SA"/>
        </w:rPr>
        <w:t xml:space="preserve">: </w:t>
      </w:r>
      <w:bookmarkStart w:id="12" w:name="pg7092_62134"/>
    </w:p>
    <w:p>
      <w:pPr>
        <w:pStyle w:val="Heading2"/>
        <w:numPr>
          <w:ilvl w:val="1"/>
          <w:numId w:val="1"/>
        </w:numPr>
        <w:rPr/>
      </w:pPr>
      <w:bookmarkStart w:id="13" w:name="__RefHeading___Toc3503019_372815092"/>
      <w:bookmarkStart w:id="14" w:name="_Toc4"/>
      <w:bookmarkEnd w:id="12"/>
      <w:bookmarkEnd w:id="13"/>
      <w:r>
        <w:rPr>
          <w:rtl w:val="true"/>
        </w:rPr>
        <w:t>الفصل الأوّل</w:t>
      </w:r>
      <w:r>
        <w:rPr>
          <w:rtl w:val="true"/>
        </w:rPr>
        <w:t>:</w:t>
      </w:r>
      <w:r>
        <w:rPr>
          <w:rtl w:val="true"/>
        </w:rPr>
        <w:t>نبذة من حياة المؤلّف قدس‌سره</w:t>
      </w:r>
      <w:bookmarkEnd w:id="14"/>
    </w:p>
    <w:p>
      <w:pPr>
        <w:pStyle w:val="Heading3"/>
        <w:numPr>
          <w:ilvl w:val="2"/>
          <w:numId w:val="1"/>
        </w:numPr>
        <w:rPr/>
      </w:pPr>
      <w:bookmarkStart w:id="15" w:name="__RefHeading___Toc3503021_372815092"/>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نبذة من حياة المؤلّف قدس‌سره </w:t>
      </w:r>
      <w:r>
        <w:rPr>
          <w:rStyle w:val="FootnoteAnchor"/>
          <w:rtl w:val="true"/>
        </w:rPr>
        <w:footnoteReference w:id="2"/>
      </w:r>
    </w:p>
    <w:p>
      <w:pPr>
        <w:pStyle w:val="Heading3"/>
        <w:numPr>
          <w:ilvl w:val="2"/>
          <w:numId w:val="1"/>
        </w:numPr>
        <w:rPr/>
      </w:pPr>
      <w:bookmarkStart w:id="17" w:name="__RefHeading___Toc3503023_372815092"/>
      <w:bookmarkStart w:id="18" w:name="_Toc6"/>
      <w:bookmarkEnd w:id="17"/>
      <w:r>
        <w:rPr>
          <w:rtl w:val="true"/>
        </w:rPr>
        <w:t>اسمه و نسبه</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العراقي، الأصفهاني البيدآبادي المنشأ والموطن والمدفن والمآب، الشهير في الآفاق بحجّة الإسلام على الإطلاق، من فحول علماء الإمامية في القرنين الثاني </w:t>
      </w:r>
      <w:bookmarkStart w:id="19" w:name="pg7092_62135"/>
    </w:p>
    <w:p>
      <w:pPr>
        <w:pStyle w:val="BookText"/>
        <w:rPr/>
      </w:pPr>
      <w:bookmarkEnd w:id="19"/>
      <w:r>
        <w:rPr>
          <w:rFonts w:ascii="Amiri" w:hAnsi="Amiri" w:eastAsia="Amiri" w:cs="Amiri"/>
          <w:color w:val="111111"/>
          <w:sz w:val="28"/>
          <w:sz w:val="28"/>
          <w:szCs w:val="28"/>
          <w:rtl w:val="true"/>
          <w:lang w:bidi="ar-SA"/>
        </w:rPr>
        <w:t xml:space="preserve">عشر والثالث عشر، و من كبار زعماء الدين وأعلام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نسبه الشريف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عليه‌السلام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3503025_372815092"/>
      <w:bookmarkStart w:id="21" w:name="_Toc7"/>
      <w:bookmarkEnd w:id="20"/>
      <w:r>
        <w:rPr>
          <w:rtl w:val="true"/>
        </w:rPr>
        <w:t>ولادته و نشأته</w:t>
      </w:r>
      <w:bookmarkEnd w:id="21"/>
    </w:p>
    <w:p>
      <w:p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 xml:space="preserve">في قرية من 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طارم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العراق لطلب العلوم الدينيّة والكمالات النفسانيّة في حدود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قريبًا من ذلك،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xml:space="preserve">، فحضر في أوّل </w:t>
      </w:r>
    </w:p>
    <w:p>
      <w:pPr>
        <w:pStyle w:val="BookText"/>
        <w:rPr/>
      </w:pPr>
      <w:r>
        <w:rPr>
          <w:rFonts w:ascii="Amiri" w:hAnsi="Amiri" w:eastAsia="Amiri" w:cs="Amiri"/>
          <w:color w:val="111111"/>
          <w:sz w:val="28"/>
          <w:sz w:val="28"/>
          <w:szCs w:val="28"/>
          <w:rtl w:val="true"/>
          <w:lang w:bidi="ar-SA"/>
        </w:rPr>
        <w:t xml:space="preserve">أمره على الأستاذ الأكبر الآقا محمّد باقر الوحيد البهبهاني قدس‌سره في كربلاء </w:t>
      </w:r>
      <w:r>
        <w:rPr>
          <w:rStyle w:val="FootnoteAnchor"/>
          <w:rtl w:val="true"/>
        </w:rPr>
        <w:footnoteReference w:id="7"/>
      </w:r>
      <w:r>
        <w:rPr>
          <w:rFonts w:ascii="Amiri" w:hAnsi="Amiri" w:eastAsia="Amiri" w:cs="Amiri"/>
          <w:color w:val="111111"/>
          <w:sz w:val="28"/>
          <w:sz w:val="28"/>
          <w:szCs w:val="28"/>
          <w:rtl w:val="true"/>
          <w:lang w:bidi="ar-SA"/>
        </w:rPr>
        <w:t xml:space="preserve">، ثمّ على أستاذه العلاّمة المير سيّد عليّ الطباطبائيّ قدس‌سره 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النجف الأشرف وأقام فيها سبع سنين، وحضر فيها على العلاّمة الطباطبائيّ بحرالعلوم قدس‌سره، والشيخ الأكبر صاحب كشف الغطاء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الكاظميّة، فحضر فيها على السيّد المحقّق المُحسن البغداديّ المقدّس الأعرجي رحمه‌الله قليلاً، فقد قرأ عليه القضاء والشهادات، وأقام عنده مدّة من الزمان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Amiri" w:hAnsi="Amiri" w:eastAsia="Amiri" w:cs="Amiri"/>
          <w:color w:val="111111"/>
          <w:sz w:val="28"/>
          <w:sz w:val="28"/>
          <w:szCs w:val="28"/>
          <w:rtl w:val="true"/>
          <w:lang w:bidi="ar-SA"/>
        </w:rPr>
        <w:t xml:space="preserve">و توطّن في أصفهان </w:t>
      </w:r>
      <w:r>
        <w:rPr>
          <w:rStyle w:val="FootnoteAnchor"/>
          <w:rtl w:val="true"/>
        </w:rPr>
        <w:footnoteReference w:id="9"/>
      </w:r>
      <w:r>
        <w:rPr>
          <w:rFonts w:ascii="Amiri" w:hAnsi="Amiri" w:eastAsia="Amiri" w:cs="Amiri"/>
          <w:color w:val="111111"/>
          <w:sz w:val="28"/>
          <w:sz w:val="28"/>
          <w:szCs w:val="28"/>
          <w:rtl w:val="true"/>
          <w:lang w:bidi="ar-SA"/>
        </w:rPr>
        <w:t xml:space="preserve">مع الحاجّ محمّد ابراهيم الكلباسي قدس‌سره، وكانا صديقين رفيقين شفيقين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رحمه‌الله، فحضر مجلسه بما ينيف على ستّة أشهر </w:t>
      </w:r>
      <w:r>
        <w:rPr>
          <w:rStyle w:val="FootnoteAnchor"/>
          <w:rtl w:val="true"/>
        </w:rPr>
        <w:footnoteReference w:id="10"/>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العاليات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فكتب له الميرزا قدس‌سره إجازة مبسوطة مضبوطة كان يغتنم بها من ذلك السفر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بعدها إلى كاشان، فحضر على المولى محمّد مهدي النراقي رحمه‌الله، وتلمّذ عليه مدّة قليلة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من بعض المشايخ أنّه بعد وروده إلى أصفهان ليس له شيء من الكتب إلاّ مجلّدًا واحدًا من المدارك، و كان مجرّدًا من الأموال، قليل البضاعة، بل عديمها، إلاّ منديلاً لمحلّ الخبز، ويسمّى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سكن في مدرسة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بابه إلى چهارباغ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في اصفهان بمدرسة چهارباغ، واجتمع الطلاّب والمشتغلون عنده للتحصيل والتعليم، و أخرجه المدرّس من المدرسة و لم يتعرّض له و لم يعارضه، فإذا اطّلع </w:t>
      </w:r>
    </w:p>
    <w:p>
      <w:pPr>
        <w:pStyle w:val="BookText"/>
        <w:rPr/>
      </w:pPr>
      <w:r>
        <w:rPr>
          <w:rFonts w:ascii="Amiri" w:hAnsi="Amiri" w:eastAsia="Amiri" w:cs="Amiri"/>
          <w:color w:val="111111"/>
          <w:sz w:val="28"/>
          <w:sz w:val="28"/>
          <w:szCs w:val="28"/>
          <w:rtl w:val="true"/>
          <w:lang w:bidi="ar-SA"/>
        </w:rPr>
        <w:t xml:space="preserve">على أنّه أمر بالخروج، خرج من غير إظهار للكراهة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قليل من الزمان إجتمع عليه أهل العلم والمحصّلون، وانتقلت إليه رياسة الإماميّة في أغلب الأقطار بعد ذهاب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رشت، و يربح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الباعث على ترويج أمره في أصفهان و في غيره من البلاد، العالم الربّاني والمحقّق الصمداني ميرزا أبوالقاسم الجيلاني القمّي قدس‌سره، المقبول قوله عند العوام والخواص، و عند السلطان والرعيّة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يقدّمه العالم الزعيم الحاج محمّد إبراهيم الكرباسي رحمه‌الله في المشي والحكم و غيرهما، فكلّ هذه الأمور كانت ترفع شأنه، إلاّ أنّ يده تعالى فوق الأيدي، ترفع و تضع طبق المصالح الربّانيّة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بينه وبين الحاج محمّد إبراهيم المذكور صلة متينة و صداقة تامّة من بدء أمرهما، فقد كانا زميلين كريمين في النجف، تجمع بينهما معاهد العلم، وشاء اللّه أن تنمو هذه المودّة شيئًا فشيئًا، و يبلغ كلّ منهما في الزعامة مبلغًا لم يكن </w:t>
      </w:r>
    </w:p>
    <w:p>
      <w:pPr>
        <w:pStyle w:val="BookText"/>
        <w:rPr/>
      </w:pPr>
      <w:r>
        <w:rPr>
          <w:rFonts w:ascii="Amiri" w:hAnsi="Amiri" w:eastAsia="Amiri" w:cs="Amiri"/>
          <w:color w:val="111111"/>
          <w:sz w:val="28"/>
          <w:sz w:val="28"/>
          <w:szCs w:val="28"/>
          <w:rtl w:val="true"/>
          <w:lang w:bidi="ar-SA"/>
        </w:rPr>
        <w:t xml:space="preserve">يحدث له في البال، وأن يسكنا معًا بلدة أصفهان، ويتزعّما بها في وقت واحد، ولم تكن الرياسة لتكدّر صفو ذلك الودّ الخالص، أو تؤثّر مثقال ذرّة، فكلّما زادت سطوة أحدهما زاد اتّصالاً و رغبة بصاحبه، فاعتبروا يا أولى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
      </w:r>
      <w:r>
        <w:rPr>
          <w:rFonts w:ascii="Amiri" w:hAnsi="Amiri" w:eastAsia="Amiri" w:cs="Amiri"/>
          <w:color w:val="111111"/>
          <w:sz w:val="28"/>
          <w:sz w:val="28"/>
          <w:szCs w:val="28"/>
          <w:rtl w:val="true"/>
          <w:lang w:bidi="ar-SA"/>
        </w:rPr>
        <w:t>من طريق البحر، و كان ذلك أيّام</w:t>
      </w:r>
    </w:p>
    <w:p>
      <w:pPr>
        <w:pStyle w:val="BookText"/>
        <w:rPr/>
      </w:pPr>
      <w:r>
        <w:rPr>
          <w:rFonts w:ascii="Amiri" w:hAnsi="Amiri" w:eastAsia="Amiri" w:cs="Amiri"/>
          <w:color w:val="111111"/>
          <w:sz w:val="28"/>
          <w:sz w:val="28"/>
          <w:szCs w:val="28"/>
          <w:rtl w:val="true"/>
          <w:lang w:bidi="ar-SA"/>
        </w:rPr>
        <w:t xml:space="preserve">محمّد علي باشا المصريّ، و كانت له زيارة خاصّة له، فأخذ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 بها سادات المدينة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ميراث أولاد الزهراء استرد لهم من غاصبي فدك في طوفه الحرما</w:t>
      </w:r>
    </w:p>
    <w:p>
      <w:pPr>
        <w:pStyle w:val="BookText"/>
        <w:rPr/>
      </w:pPr>
      <w:r>
        <w:rPr>
          <w:rFonts w:ascii="Amiri" w:hAnsi="Amiri" w:eastAsia="Amiri" w:cs="Amiri"/>
          <w:color w:val="111111"/>
          <w:sz w:val="28"/>
          <w:sz w:val="28"/>
          <w:szCs w:val="28"/>
          <w:rtl w:val="true"/>
          <w:lang w:bidi="ar-SA"/>
        </w:rPr>
        <w:t>؛ و كذلك حدّد المطاف على مذهب الشيعة للمسلمين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19"/>
      </w:r>
      <w:r>
        <w:rPr>
          <w:rFonts w:ascii="Amiri" w:hAnsi="Amiri" w:eastAsia="Amiri" w:cs="Amiri"/>
          <w:color w:val="111111"/>
          <w:sz w:val="28"/>
          <w:sz w:val="28"/>
          <w:szCs w:val="28"/>
          <w:rtl w:val="true"/>
          <w:lang w:bidi="ar-SA"/>
        </w:rPr>
        <w:t>و أنفق عليه 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يقرب من مائة ألف دينار شرعيّ تقريبًا من أمواله الخالصة، و مال بقبلته إلى يمين قبلة سائر المساجد يسيرًا، و جعل له مدارس و حجرات للطلبة، و أسّس أساسًا لم يعهد مثله من أحد العلماء والمجتهدين، و بنى فيه قبّة لمدفن نفسه، و هي الآن </w:t>
      </w:r>
      <w:bookmarkStart w:id="22" w:name="pg7092_62140"/>
    </w:p>
    <w:p>
      <w:pPr>
        <w:pStyle w:val="BookText"/>
        <w:rPr/>
      </w:pPr>
      <w:bookmarkEnd w:id="22"/>
      <w:r>
        <w:rPr>
          <w:rFonts w:ascii="Amiri" w:hAnsi="Amiri" w:eastAsia="Amiri" w:cs="Amiri"/>
          <w:color w:val="111111"/>
          <w:sz w:val="28"/>
          <w:sz w:val="28"/>
          <w:szCs w:val="28"/>
          <w:rtl w:val="true"/>
          <w:lang w:bidi="ar-SA"/>
        </w:rPr>
        <w:t xml:space="preserve">بمنزلة مشهد من مشاهد الأنبياء والأئمّة عليهم‌السلام مطاف للخلائق في خمسة أوقات الصلوات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503027_372815092"/>
      <w:bookmarkStart w:id="24" w:name="_Toc8"/>
      <w:bookmarkEnd w:id="23"/>
      <w:r>
        <w:rPr>
          <w:rtl w:val="true"/>
        </w:rPr>
        <w:t>إطراء العلماء له</w:t>
      </w:r>
      <w:bookmarkEnd w:id="24"/>
    </w:p>
    <w:p>
      <w:pPr>
        <w:pStyle w:val="Heading4"/>
        <w:numPr>
          <w:ilvl w:val="3"/>
          <w:numId w:val="1"/>
        </w:numPr>
        <w:rPr/>
      </w:pPr>
      <w:bookmarkStart w:id="25" w:name="__RefHeading___Toc3503029_372815092"/>
      <w:bookmarkStart w:id="26" w:name="_Toc9"/>
      <w:bookmarkEnd w:id="25"/>
      <w:r>
        <w:rPr/>
        <w:t>1</w:t>
      </w:r>
      <w:r>
        <w:rPr>
          <w:rtl w:val="true"/>
        </w:rPr>
        <w:t xml:space="preserve"> - </w:t>
      </w:r>
      <w:r>
        <w:rPr>
          <w:rtl w:val="true"/>
        </w:rPr>
        <w:t>الفقيه المحقّق ميرزا أبوالقاسم القمّي قدس‌سره</w:t>
      </w:r>
      <w:bookmarkEnd w:id="26"/>
    </w:p>
    <w:p>
      <w:pPr>
        <w:pStyle w:val="BookText"/>
        <w:rPr/>
      </w:pPr>
      <w:r>
        <w:rPr>
          <w:rFonts w:ascii="Amiri" w:hAnsi="Amiri" w:eastAsia="Amiri" w:cs="Amiri"/>
          <w:color w:val="111111"/>
          <w:sz w:val="28"/>
          <w:sz w:val="28"/>
          <w:szCs w:val="28"/>
          <w:rtl w:val="true"/>
          <w:lang w:bidi="ar-SA"/>
        </w:rPr>
        <w:t xml:space="preserve">هو من أساتذته و مشايخه، قال في إجازته الكبيرة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 كثّر في الفرقة الناجية أمثاله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3503031_372815092"/>
      <w:bookmarkStart w:id="28" w:name="_Toc10"/>
      <w:bookmarkEnd w:id="27"/>
      <w:r>
        <w:rPr/>
        <w:t>2</w:t>
      </w:r>
      <w:r>
        <w:rPr>
          <w:rtl w:val="true"/>
        </w:rPr>
        <w:t xml:space="preserve"> - </w:t>
      </w:r>
      <w:r>
        <w:rPr>
          <w:rtl w:val="true"/>
        </w:rPr>
        <w:t>الحكيم المولى علي النوري قدس‌سره</w:t>
      </w:r>
      <w:bookmarkEnd w:id="28"/>
    </w:p>
    <w:p>
      <w:pPr>
        <w:pStyle w:val="BookText"/>
        <w:rPr/>
      </w:pPr>
      <w:r>
        <w:rPr>
          <w:rFonts w:ascii="Amiri" w:hAnsi="Amiri" w:eastAsia="Amiri" w:cs="Amiri"/>
          <w:color w:val="111111"/>
          <w:sz w:val="28"/>
          <w:sz w:val="28"/>
          <w:szCs w:val="28"/>
          <w:rtl w:val="true"/>
          <w:lang w:bidi="ar-SA"/>
        </w:rPr>
        <w:t xml:space="preserve">هو من أساتذته، قد أطرى عليه بقوله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الفريد الدهريّ، والوحيد العصريّ، مطاع، واجب الاتّباع، معظّم، مجموعة المناقب والمفاخر، آقا سيّد محمّد باقر، دامت بركات فضائله الإنسيّة و شمائله القدسيّة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9" w:name="pg7092_62141"/>
    </w:p>
    <w:p>
      <w:pPr>
        <w:pStyle w:val="Heading4"/>
        <w:numPr>
          <w:ilvl w:val="3"/>
          <w:numId w:val="1"/>
        </w:numPr>
        <w:rPr/>
      </w:pPr>
      <w:bookmarkStart w:id="30" w:name="__RefHeading___Toc3503033_372815092"/>
      <w:bookmarkStart w:id="31" w:name="_Toc11"/>
      <w:bookmarkEnd w:id="29"/>
      <w:bookmarkEnd w:id="30"/>
      <w:r>
        <w:rPr/>
        <w:t>3</w:t>
      </w:r>
      <w:r>
        <w:rPr>
          <w:rtl w:val="true"/>
        </w:rPr>
        <w:t xml:space="preserve"> - </w:t>
      </w:r>
      <w:r>
        <w:rPr>
          <w:rtl w:val="true"/>
        </w:rPr>
        <w:t>العلاّمة الفقيه الحاج محمّد إبراهيم الكرباسي قدس‌سره</w:t>
      </w:r>
      <w:bookmarkEnd w:id="31"/>
    </w:p>
    <w:p>
      <w:pPr>
        <w:pStyle w:val="BookText"/>
        <w:rPr/>
      </w:pPr>
      <w:r>
        <w:rPr>
          <w:rFonts w:ascii="Amiri" w:hAnsi="Amiri" w:eastAsia="Amiri" w:cs="Amiri"/>
          <w:color w:val="111111"/>
          <w:sz w:val="28"/>
          <w:sz w:val="28"/>
          <w:szCs w:val="28"/>
          <w:rtl w:val="true"/>
          <w:lang w:bidi="ar-SA"/>
        </w:rPr>
        <w:t xml:space="preserve">أطرى على صاحب الترجمة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فضله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المحقّقين، وأساطين الفقهاء الراسخين، فضلاً عن مجرّد كونه من المجتهدين الّذين يجب إطاعة أمرهم و امضاء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و من أعلام الطائفة و أركانها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3503035_372815092"/>
      <w:bookmarkStart w:id="33" w:name="_Toc12"/>
      <w:bookmarkEnd w:id="32"/>
      <w:r>
        <w:rPr/>
        <w:t>4</w:t>
      </w:r>
      <w:r>
        <w:rPr>
          <w:rtl w:val="true"/>
        </w:rPr>
        <w:t xml:space="preserve"> - </w:t>
      </w:r>
      <w:r>
        <w:rPr>
          <w:rtl w:val="true"/>
        </w:rPr>
        <w:t>العلاّمة السيّد محمّد شفيع الجابلقي قدس‌سره</w:t>
      </w:r>
      <w:bookmarkEnd w:id="33"/>
    </w:p>
    <w:p>
      <w:pPr>
        <w:pStyle w:val="BookText"/>
        <w:rPr/>
      </w:pPr>
      <w:r>
        <w:rPr>
          <w:rFonts w:ascii="Amiri" w:hAnsi="Amiri" w:eastAsia="Amiri" w:cs="Amiri"/>
          <w:color w:val="111111"/>
          <w:sz w:val="28"/>
          <w:sz w:val="28"/>
          <w:szCs w:val="28"/>
          <w:rtl w:val="true"/>
          <w:lang w:bidi="ar-SA"/>
        </w:rPr>
        <w:t xml:space="preserve">قد وصفه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الطرق الشفيعيّة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والركن المعتمد، الإمام الأجلّ الأعظم، النحرير الذاخر، والسحاب الماطر، الفائق على الأوائل و الأواخر، الحاج السيّد محمّد باقر بن محمّد نقي الرشتي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أزهد أهل زمانه و أعبدهم وأسماهم، فلذا أقبلت له الدنيا بحيث إنتهت الرياسة الدينيّة و الدنيويّة إليه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3503037_372815092"/>
      <w:bookmarkStart w:id="35" w:name="_Toc13"/>
      <w:bookmarkEnd w:id="34"/>
      <w:r>
        <w:rPr/>
        <w:t>5</w:t>
      </w:r>
      <w:r>
        <w:rPr>
          <w:rtl w:val="true"/>
        </w:rPr>
        <w:t xml:space="preserve"> - </w:t>
      </w:r>
      <w:r>
        <w:rPr>
          <w:rtl w:val="true"/>
        </w:rPr>
        <w:t>ولده العلاّمة المحقّق السيّد أسد اللّه الشفتي قدس‌سره</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الوالد العلاّمة والفقيه الفهامة رأس الفضل و رئيس الفضلاء، عماد الدين </w:t>
      </w:r>
      <w:bookmarkStart w:id="36" w:name="pg7092_62142"/>
    </w:p>
    <w:p>
      <w:pPr>
        <w:pStyle w:val="BookText"/>
        <w:rPr/>
      </w:pPr>
      <w:bookmarkEnd w:id="36"/>
      <w:r>
        <w:rPr>
          <w:rFonts w:ascii="Amiri" w:hAnsi="Amiri" w:eastAsia="Amiri" w:cs="Amiri"/>
          <w:color w:val="111111"/>
          <w:sz w:val="28"/>
          <w:sz w:val="28"/>
          <w:szCs w:val="28"/>
          <w:rtl w:val="true"/>
          <w:lang w:bidi="ar-SA"/>
        </w:rPr>
        <w:t xml:space="preserve">و عمود الملّة البيضاء، صاحب الكرامات الظاهرة والمعجزات الباهرة، فخر أهل العلم و أولى الافضال الّذي لا أظنّ وجود مثله في علم الرجال، بل هو أبو عذره، و هو السابق ميدان السبق على زعم العنود الحسود، جعلني اللّه فداه و في كلتا الدارين علاه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3503039_372815092"/>
      <w:bookmarkStart w:id="38" w:name="_Toc14"/>
      <w:bookmarkEnd w:id="37"/>
      <w:r>
        <w:rPr>
          <w:rtl w:val="true"/>
        </w:rPr>
        <w:t>زهده و عبادته</w:t>
      </w:r>
      <w:bookmarkEnd w:id="38"/>
    </w:p>
    <w:p>
      <w:pPr>
        <w:pStyle w:val="BookText"/>
        <w:rPr/>
      </w:pPr>
      <w:r>
        <w:rPr>
          <w:rFonts w:ascii="Amiri" w:hAnsi="Amiri" w:eastAsia="Amiri" w:cs="Amiri"/>
          <w:color w:val="111111"/>
          <w:sz w:val="28"/>
          <w:sz w:val="28"/>
          <w:szCs w:val="28"/>
          <w:rtl w:val="true"/>
          <w:lang w:bidi="ar-SA"/>
        </w:rPr>
        <w:t xml:space="preserve">قال المحدّث القمّي رحمه‌الله في الفوائد الرضويّة، نقلاً عن صاحب التكملة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السيّد محمّد باقر كان عالمًا ربّانيًّا روحانيًّا ممّن عرف حلال آل محمّد عليهم‌السلام وحرامهم، وشيّد أحكامهم، وخالف هواه، واتّبع أمر مولاه، كان دائم المراقبة لربّه، لايشغله شيء عن الحضور والمراقبة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رحمه‌الله انّ آماق عين السيّد كانت مجروحة من كثرة بكائه في تهجّده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بعض خواصّه،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معه إلى بعض قراه، فبتنا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مضجعي فظنّ أني نمت، فقام يصلّي، فواللّه إنّي رأيت فرائصه وأعضائه يرتعد بحيث كان يكرّر الكلمة مرارًا من شدّة حركة فكّيه وأعضائه، حتّى ينطق بها صحيحة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9" w:name="pg7092_62143"/>
    </w:p>
    <w:p>
      <w:pPr>
        <w:pStyle w:val="Heading3"/>
        <w:numPr>
          <w:ilvl w:val="2"/>
          <w:numId w:val="1"/>
        </w:numPr>
        <w:rPr/>
      </w:pPr>
      <w:bookmarkStart w:id="40" w:name="__RefHeading___Toc3503041_372815092"/>
      <w:bookmarkStart w:id="41" w:name="_Toc15"/>
      <w:bookmarkEnd w:id="39"/>
      <w:bookmarkEnd w:id="40"/>
      <w:r>
        <w:rPr>
          <w:rtl w:val="true"/>
        </w:rPr>
        <w:t>إقامته الحدود الشرعيّة</w:t>
      </w:r>
      <w:bookmarkEnd w:id="41"/>
    </w:p>
    <w:p>
      <w:p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قدس‌سره في اثبات هذا الاعتقاد رسالة ؛ و بهذا كان يقيم الحدود الشرعيّة ويجريها بيده أو يد من يأمره بلا خشية و لا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الروضات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يقدم إلى إجرائه بالمباشرة أو الأمر، بحيث بلغ عدد من قتله رحمه‌الله في سبيل ربّه تبارك و تعالى من الجناة والجفاة أو الزناة أو المحاربين اللاطين زمن رئاسته ثمانين أو تسعين،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503043_372815092"/>
      <w:bookmarkStart w:id="43" w:name="_Toc16"/>
      <w:bookmarkEnd w:id="42"/>
      <w:r>
        <w:rPr>
          <w:rtl w:val="true"/>
        </w:rPr>
        <w:t>مشايخ روايته</w:t>
      </w:r>
      <w:bookmarkEnd w:id="43"/>
    </w:p>
    <w:p>
      <w:pPr>
        <w:pStyle w:val="BookText"/>
        <w:rPr/>
      </w:pPr>
      <w:r>
        <w:rPr>
          <w:rFonts w:ascii="Amiri" w:hAnsi="Amiri" w:eastAsia="Amiri" w:cs="Amiri"/>
          <w:color w:val="111111"/>
          <w:sz w:val="28"/>
          <w:sz w:val="28"/>
          <w:szCs w:val="28"/>
          <w:rtl w:val="true"/>
          <w:lang w:bidi="ar-SA"/>
        </w:rPr>
        <w:t xml:space="preserve">يروي عن عدّة من أعلام الأمّة، وإليك سرد ما نصّ عليه نفسه قدس‌سره في بعض إجازاته أو نبّه عليه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السيّد علي الطباطبائي الحائري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أبوالقاسم الجيلاني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والصلاة على رسول اللّه و على آله أولياء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طبعت مصوّرتها بتمامها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خطّى كتابخانه‌هاى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بيان المفاخر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4" w:name="pg7092_62144"/>
    </w:p>
    <w:p>
      <w:pPr>
        <w:pStyle w:val="BookText"/>
        <w:rPr/>
      </w:pPr>
      <w:bookmarkEnd w:id="4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الأكبر الشيخ جعفر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503045_372815092"/>
      <w:bookmarkStart w:id="46" w:name="_Toc17"/>
      <w:bookmarkEnd w:id="45"/>
      <w:r>
        <w:rPr>
          <w:rtl w:val="true"/>
        </w:rPr>
        <w:t>تلامذته</w:t>
      </w:r>
      <w:bookmarkEnd w:id="46"/>
    </w:p>
    <w:p>
      <w:pPr>
        <w:pStyle w:val="BookText"/>
        <w:rPr/>
      </w:pPr>
      <w:r>
        <w:rPr>
          <w:rFonts w:ascii="Amiri" w:hAnsi="Amiri" w:eastAsia="Amiri" w:cs="Amiri"/>
          <w:color w:val="111111"/>
          <w:sz w:val="28"/>
          <w:sz w:val="28"/>
          <w:szCs w:val="28"/>
          <w:rtl w:val="true"/>
          <w:lang w:bidi="ar-SA"/>
        </w:rPr>
        <w:t xml:space="preserve">قد خرج من عالي مجلس تدريسه أكثر من مائة و خمسين مجتهد، من أكابرهم وأعاظمهم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آقا بزرك الحسيني القاضي عسكر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محمّد جعفر بن محمّد صفي الآباده‌اي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أحمد بن علي أكبر التربتي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علي أكبر بن إبراهيم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ملاّ عبد الباقي الكاشاني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عبدالوهّاب الشريف القزويني</w:t>
      </w:r>
      <w:r>
        <w:rPr>
          <w:rFonts w:eastAsia="Amiri" w:cs="Amiri" w:ascii="Amiri" w:hAnsi="Amiri"/>
          <w:color w:val="111111"/>
          <w:sz w:val="28"/>
          <w:szCs w:val="28"/>
          <w:rtl w:val="true"/>
          <w:lang w:bidi="ar-SA"/>
        </w:rPr>
        <w:t xml:space="preserve">. </w:t>
      </w:r>
      <w:bookmarkStart w:id="47" w:name="pg7092_62145"/>
    </w:p>
    <w:p>
      <w:pPr>
        <w:pStyle w:val="BookText"/>
        <w:rPr/>
      </w:pPr>
      <w:bookmarkEnd w:id="4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محمّد إبراهيم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الموسوي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محمّد بن محمّد إبراهيم الكرباسي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بن محمّد مهدي المازندراني الشهير بالحاج الأشرفي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من الأعلام لم نذكرهم رومًا للاختصار، و مَن أراد أن تطّلع على أسمائهم و ترجمتهم فليراجع الجزء الأوّل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المرحوم السيّد مصلح الدّين المهدوي، وغيره من كتب التراجم والسير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503047_372815092"/>
      <w:bookmarkStart w:id="49" w:name="_Toc18"/>
      <w:bookmarkEnd w:id="48"/>
      <w:r>
        <w:rPr>
          <w:rtl w:val="true"/>
        </w:rPr>
        <w:t>أولاده</w:t>
      </w:r>
      <w:bookmarkEnd w:id="49"/>
    </w:p>
    <w:p>
      <w:pPr>
        <w:pStyle w:val="BookText"/>
        <w:rPr/>
      </w:pPr>
      <w:r>
        <w:rPr>
          <w:rFonts w:ascii="Amiri" w:hAnsi="Amiri" w:eastAsia="Amiri" w:cs="Amiri"/>
          <w:color w:val="111111"/>
          <w:sz w:val="28"/>
          <w:sz w:val="28"/>
          <w:szCs w:val="28"/>
          <w:rtl w:val="true"/>
          <w:lang w:bidi="ar-SA"/>
        </w:rPr>
        <w:t xml:space="preserve">له قدس‌سره أولاد متعدّدون، كلّهم علماء أجلاّء، و سادة فضلاء، إنتهت إليهم الرياسة الدينيّة والعلميّة بعد أبيهم في أصفهان، و هم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قال الإمام السيّد عبدالحسين شرف الدين في ترجمة والده قدس‌سره ما هذا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ولده الأبرّ الأغرّ، الفقيه الأصولي، المحقّق البحّاثة، العلاّمة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رحمه‌الله على شاكلة أبيه في العلم والعمل والجهاد لنفسه و المراقبة عليها آناء الليل،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إليه رئاسة الدين في ايران، وانقادت لأمره عامّة الناس و خاصّتها حتّى السلطان ناصر الدين شاه </w:t>
      </w:r>
      <w:r>
        <w:rPr>
          <w:rFonts w:eastAsia="Amiri" w:cs="Amiri" w:ascii="Amiri" w:hAnsi="Amiri"/>
          <w:color w:val="111111"/>
          <w:sz w:val="28"/>
          <w:szCs w:val="28"/>
          <w:rtl w:val="true"/>
          <w:lang w:bidi="ar-SA"/>
        </w:rPr>
        <w:t xml:space="preserve">...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المفاخر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بزرگان ودانشمندان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bookmarkStart w:id="50" w:name="pg7092_62147"/>
    </w:p>
    <w:p>
      <w:pPr>
        <w:pStyle w:val="BookText"/>
        <w:rPr/>
      </w:pPr>
      <w:bookmarkEnd w:id="5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المفاخر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3"/>
        <w:numPr>
          <w:ilvl w:val="2"/>
          <w:numId w:val="1"/>
        </w:numPr>
        <w:rPr/>
      </w:pPr>
      <w:bookmarkStart w:id="51" w:name="__RefHeading___Toc3503049_372815092"/>
      <w:bookmarkStart w:id="52" w:name="_Toc19"/>
      <w:bookmarkEnd w:id="51"/>
      <w:r>
        <w:rPr>
          <w:rtl w:val="true"/>
        </w:rPr>
        <w:t>تآليفه القيّمة</w:t>
      </w:r>
      <w:bookmarkEnd w:id="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كثيرة، و رسائل متعدّدة، كلّها تفصح عن تضلّعه في شتّى العلوم المختلفة خصوصًا الفقه والرجال، و تظهر منها جامعيّته من المعقول والمنقول، </w:t>
      </w:r>
      <w:bookmarkStart w:id="53" w:name="pg7092_62148"/>
    </w:p>
    <w:p>
      <w:pPr>
        <w:pStyle w:val="BookText"/>
        <w:rPr/>
      </w:pPr>
      <w:bookmarkEnd w:id="53"/>
      <w:r>
        <w:rPr>
          <w:rFonts w:ascii="Amiri" w:hAnsi="Amiri" w:eastAsia="Amiri" w:cs="Amiri"/>
          <w:color w:val="111111"/>
          <w:sz w:val="28"/>
          <w:sz w:val="28"/>
          <w:szCs w:val="28"/>
          <w:rtl w:val="true"/>
          <w:lang w:bidi="ar-SA"/>
        </w:rPr>
        <w:t xml:space="preserve">وإليك أسماء بعضها والإشادة بأبعادها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503051_372815092"/>
      <w:bookmarkStart w:id="55" w:name="_Toc20"/>
      <w:bookmarkEnd w:id="54"/>
      <w:r>
        <w:rPr>
          <w:rtl w:val="true"/>
        </w:rPr>
        <w:t xml:space="preserve">« </w:t>
      </w:r>
      <w:r>
        <w:rPr>
          <w:rtl w:val="true"/>
        </w:rPr>
        <w:t xml:space="preserve">الكتب والرسائل الفقهيّة </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المقتبسة من آثار الأئمّة الأطهار عليهم‌السلام</w:t>
      </w:r>
    </w:p>
    <w:p>
      <w:pPr>
        <w:pStyle w:val="BookText"/>
        <w:rPr/>
      </w:pPr>
      <w:r>
        <w:rPr>
          <w:rFonts w:ascii="Amiri" w:hAnsi="Amiri" w:eastAsia="Amiri" w:cs="Amiri"/>
          <w:color w:val="111111"/>
          <w:sz w:val="28"/>
          <w:sz w:val="28"/>
          <w:szCs w:val="28"/>
          <w:rtl w:val="true"/>
          <w:lang w:bidi="ar-SA"/>
        </w:rPr>
        <w:t>شرح لكتاب شرائع الإسلام، لم يخرج منه غير مقاصد كتاب الصلاة إلى آخر أحكام صلاة الأموات في ستّة مجلّدات، إلاّ أنّه مشتمل على أغلب قواعد الفقه وضوابطه الكلّيّات، بل محتو على معظم المسائل المتفرّقة من الطهارة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بالطبع الأفست، و قد قامت بطبعه مكتبة مسجد السيّد حجّة الإسلام الشفتي قدس‌سره بأصفهان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 لتنوير قلوب الأخيار</w:t>
      </w:r>
    </w:p>
    <w:p>
      <w:pPr>
        <w:pStyle w:val="BookText"/>
        <w:rPr/>
      </w:pPr>
      <w:r>
        <w:rPr>
          <w:rFonts w:ascii="Amiri" w:hAnsi="Amiri" w:eastAsia="Amiri" w:cs="Amiri"/>
          <w:color w:val="111111"/>
          <w:sz w:val="28"/>
          <w:sz w:val="28"/>
          <w:szCs w:val="28"/>
          <w:rtl w:val="true"/>
          <w:lang w:bidi="ar-SA"/>
        </w:rPr>
        <w:t xml:space="preserve">رسالة فارسية مبسوطة، يتعرّض فيها للأدلّة غالبًا، و هي في خصوص الصلاة، مرتّبة على مقدّمة في مسائل الاجتهاد والتقليد، وأبواب ثلاثة ذات مباحث، وخاتمة في الخلل وأحكام الشكوك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والخاتمة رسالة كبيرة جدًّا، سيأتي الكلام عنها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دون خاتمتها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مجلّدتين كبيرتين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قدس‌سره باصفهان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w:t>
      </w:r>
    </w:p>
    <w:p>
      <w:pPr>
        <w:pStyle w:val="BookText"/>
        <w:rPr/>
      </w:pPr>
      <w:r>
        <w:rPr>
          <w:rFonts w:ascii="Amiri" w:hAnsi="Amiri" w:eastAsia="Amiri" w:cs="Amiri"/>
          <w:color w:val="111111"/>
          <w:sz w:val="28"/>
          <w:sz w:val="28"/>
          <w:szCs w:val="28"/>
          <w:rtl w:val="true"/>
          <w:lang w:bidi="ar-SA"/>
        </w:rPr>
        <w:t xml:space="preserve">قال مؤلّفه في مفتتح المجلّد الأوّل من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في فضل الصلاة، 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تكلّمنا في هذا الحديث في المصباح الشارقة بما قد بلغ التطويل والإطناب في الغاية وأبرزنا فيه كثيرًا من الإشكالات المتوجّهة إليه وعقبنا كلاًّ منها بما يزيله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والجواب</w:t>
      </w:r>
    </w:p>
    <w:p>
      <w:pPr>
        <w:pStyle w:val="BookText"/>
        <w:rPr/>
      </w:pPr>
      <w:r>
        <w:rPr>
          <w:rFonts w:ascii="Amiri" w:hAnsi="Amiri" w:eastAsia="Amiri" w:cs="Amiri"/>
          <w:color w:val="111111"/>
          <w:sz w:val="28"/>
          <w:sz w:val="28"/>
          <w:szCs w:val="28"/>
          <w:rtl w:val="true"/>
          <w:lang w:bidi="ar-SA"/>
        </w:rPr>
        <w:t xml:space="preserve">فارسي و عربي، و هو أجوبة مسائله المعروفة في مجلّدين كبيرين، تشتمل على أربعين كتابًا من الكتب الفقهيّة، و رسائل متعدّدة في مسائل متبدّدة،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الأوقاف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إقامة الحدود في زمن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الرسائل الّتي نذكر كلاًّ منها بعنوان مستقلّ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والشهادات</w:t>
      </w:r>
    </w:p>
    <w:p>
      <w:pPr>
        <w:pStyle w:val="BookText"/>
        <w:rPr/>
      </w:pPr>
      <w:r>
        <w:rPr>
          <w:rFonts w:ascii="Amiri" w:hAnsi="Amiri" w:eastAsia="Amiri" w:cs="Amiri"/>
          <w:color w:val="111111"/>
          <w:sz w:val="28"/>
          <w:sz w:val="28"/>
          <w:szCs w:val="28"/>
          <w:rtl w:val="true"/>
          <w:lang w:bidi="ar-SA"/>
        </w:rPr>
        <w:t xml:space="preserve">قال في الروضات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تصنيفاته الفائقة أيضًا كتاب ألّفه في القضاء والشهادات بطريق </w:t>
      </w:r>
    </w:p>
    <w:p>
      <w:pPr>
        <w:pStyle w:val="BookText"/>
        <w:rPr/>
      </w:pPr>
      <w:r>
        <w:rPr>
          <w:rFonts w:ascii="Amiri" w:hAnsi="Amiri" w:eastAsia="Amiri" w:cs="Amiri"/>
          <w:color w:val="111111"/>
          <w:sz w:val="28"/>
          <w:sz w:val="28"/>
          <w:szCs w:val="28"/>
          <w:rtl w:val="true"/>
          <w:lang w:bidi="ar-SA"/>
        </w:rPr>
        <w:t xml:space="preserve">الاستدلال التامّ زمن قراءته في تلك المباحث على شيخه السيّد محسن المرحوم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فارسي، ذكر فيه واجبات الحجّ ومستحبّاته، ورتّبه على مقدّمة، وثلاثة مقاصد، وخاتمة ؛ صرّح في أواسطه بأنّه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توجّهه إلى بيت اللّه الحرام من طريق 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صلاة الليل و فضلها</w:t>
      </w:r>
    </w:p>
    <w:p>
      <w:pPr>
        <w:pStyle w:val="BookText"/>
        <w:rPr/>
      </w:pPr>
      <w:r>
        <w:rPr>
          <w:rFonts w:ascii="Amiri" w:hAnsi="Amiri" w:eastAsia="Amiri" w:cs="Amiri"/>
          <w:color w:val="111111"/>
          <w:sz w:val="28"/>
          <w:sz w:val="28"/>
          <w:szCs w:val="28"/>
          <w:rtl w:val="true"/>
          <w:lang w:bidi="ar-SA"/>
        </w:rPr>
        <w:t xml:space="preserve">هي مدرّجة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قدس‌سره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ابراء الوليّ مدّة المتعة عن المولى عليه</w:t>
      </w:r>
    </w:p>
    <w:p>
      <w:pPr>
        <w:pStyle w:val="BookText"/>
        <w:rPr/>
      </w:pPr>
      <w:r>
        <w:rPr>
          <w:rFonts w:ascii="Amiri" w:hAnsi="Amiri" w:eastAsia="Amiri" w:cs="Amiri"/>
          <w:color w:val="111111"/>
          <w:sz w:val="28"/>
          <w:sz w:val="28"/>
          <w:szCs w:val="28"/>
          <w:rtl w:val="true"/>
          <w:lang w:bidi="ar-SA"/>
        </w:rPr>
        <w:t xml:space="preserve">قال صاحب الذريعة رحمه‌الله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هبة الولي مدّة الزوجة المنقطعة للمولى عليه،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للسيّد محمّد باقر بن محمّد نقي الشفتي الاصفهاني، اختار فيها الجواز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حرمة محارم الموطوء على الواطي</w:t>
      </w:r>
    </w:p>
    <w:p>
      <w:pPr>
        <w:pStyle w:val="BookText"/>
        <w:rPr/>
      </w:pPr>
      <w:r>
        <w:rPr>
          <w:rFonts w:ascii="Amiri" w:hAnsi="Amiri" w:eastAsia="Amiri" w:cs="Amiri"/>
          <w:color w:val="111111"/>
          <w:sz w:val="28"/>
          <w:sz w:val="28"/>
          <w:szCs w:val="28"/>
          <w:rtl w:val="true"/>
          <w:lang w:bidi="ar-SA"/>
        </w:rPr>
        <w:t xml:space="preserve">و هي الّتي بين يديك، و سيأتي الكلام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رسالة تعيين السلام الأخير في النوافل</w:t>
      </w:r>
    </w:p>
    <w:p>
      <w:pPr>
        <w:pStyle w:val="BookText"/>
        <w:rPr/>
      </w:pPr>
      <w:r>
        <w:rPr>
          <w:rFonts w:ascii="Amiri" w:hAnsi="Amiri" w:eastAsia="Amiri" w:cs="Amiri"/>
          <w:color w:val="111111"/>
          <w:sz w:val="28"/>
          <w:sz w:val="28"/>
          <w:szCs w:val="28"/>
          <w:rtl w:val="true"/>
          <w:lang w:bidi="ar-SA"/>
        </w:rPr>
        <w:t xml:space="preserve">كتبه في الردّ على رسالة المولى علي أكبر الإيجهي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ردّ المولى الإيجهي رحمه‌الله</w:t>
      </w:r>
    </w:p>
    <w:p>
      <w:pPr>
        <w:pStyle w:val="BookText"/>
        <w:rPr/>
      </w:pPr>
      <w:r>
        <w:rPr>
          <w:rFonts w:ascii="Amiri" w:hAnsi="Amiri" w:eastAsia="Amiri" w:cs="Amiri"/>
          <w:color w:val="111111"/>
          <w:sz w:val="28"/>
          <w:sz w:val="28"/>
          <w:szCs w:val="28"/>
          <w:rtl w:val="true"/>
          <w:lang w:bidi="ar-SA"/>
        </w:rPr>
        <w:t xml:space="preserve">أيضًا له قدس‌سره، كتبه ثانيًا بعد ردّ المولى الإيجهي رحمه‌الله الردّ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الرسالة السابقة والرسالتين للمولى الإيجهي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رسائل فقهيّة حول مسألة سلام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والدي المحقّق سماحة حجّة الإسلام والمسلمين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قدس‌سره 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ascii="Amiri" w:hAnsi="Amiri" w:eastAsia="Amiri" w:cs="Amiri"/>
          <w:color w:val="111111"/>
          <w:sz w:val="28"/>
          <w:sz w:val="28"/>
          <w:szCs w:val="28"/>
          <w:rtl w:val="true"/>
          <w:lang w:bidi="ar-SA"/>
        </w:rPr>
        <w:t xml:space="preserve">هي رسالة كبيرة استدلاليّة،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بطبعها مكتبة مسجد السيّد باصفهان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يد الواقف كافٍ في القبض لو كان هو المتولّي</w:t>
      </w:r>
    </w:p>
    <w:p>
      <w:pPr>
        <w:pStyle w:val="BookText"/>
        <w:rPr/>
      </w:pPr>
      <w:r>
        <w:rPr>
          <w:rFonts w:ascii="Amiri" w:hAnsi="Amiri" w:eastAsia="Amiri" w:cs="Amiri"/>
          <w:color w:val="111111"/>
          <w:sz w:val="28"/>
          <w:sz w:val="28"/>
          <w:szCs w:val="28"/>
          <w:rtl w:val="true"/>
          <w:lang w:bidi="ar-SA"/>
        </w:rPr>
        <w:t xml:space="preserve">هي رسالة استدلاليّة مفصّلة، مدرّجة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كتبها في الردّ على المولى أحمد النراقي قدس‌سره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الحجّة الدكتور السيّد أحمد التويسركاني رحمه‌الله</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وقف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الغُسالة</w:t>
      </w:r>
    </w:p>
    <w:p>
      <w:pPr>
        <w:pStyle w:val="BookText"/>
        <w:rPr/>
      </w:pPr>
      <w:r>
        <w:rPr>
          <w:rFonts w:ascii="Amiri" w:hAnsi="Amiri" w:eastAsia="Amiri" w:cs="Amiri"/>
          <w:color w:val="111111"/>
          <w:sz w:val="28"/>
          <w:sz w:val="28"/>
          <w:szCs w:val="28"/>
          <w:rtl w:val="true"/>
          <w:lang w:bidi="ar-SA"/>
        </w:rPr>
        <w:t xml:space="preserve">ذكرها ولده العلاّمة الحاج السيّد أسد اللّه قدس‌سره في شرحه على شرائع الإسلام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مسألة الغسالة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تطهير البدن والثياب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والزبدة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بعض تلامذته ؛ نسخة منها موجودة في مكتبة أميرالمؤمنين عليه‌السلام بأصفهان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تطهير العجين بالماء النجس بتخبيزه و عدمه</w:t>
      </w:r>
    </w:p>
    <w:p>
      <w:pPr>
        <w:pStyle w:val="BookText"/>
        <w:rPr/>
      </w:pPr>
      <w:r>
        <w:rPr>
          <w:rFonts w:ascii="Amiri" w:hAnsi="Amiri" w:eastAsia="Amiri" w:cs="Amiri"/>
          <w:color w:val="111111"/>
          <w:sz w:val="28"/>
          <w:sz w:val="28"/>
          <w:szCs w:val="28"/>
          <w:rtl w:val="true"/>
          <w:lang w:bidi="ar-SA"/>
        </w:rPr>
        <w:t xml:space="preserve">قال العلاّمة الطهراني قدس‌سره 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تطهير العجين بتخبيزه و عدمه، للسيّد حجّة الإسلام الشفتيّ الرشتيّ، ضمن مجموعة في موقوفة مدرسة البروجردي في النجف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القِدْريّة</w:t>
      </w:r>
    </w:p>
    <w:p>
      <w:pPr>
        <w:pStyle w:val="BookText"/>
        <w:rPr/>
      </w:pPr>
      <w:r>
        <w:rPr>
          <w:rFonts w:ascii="IRNazanin" w:hAnsi="IRNazanin" w:eastAsia="IRNazanin"/>
          <w:color w:val="111111"/>
          <w:sz w:val="28"/>
          <w:sz w:val="28"/>
          <w:szCs w:val="28"/>
          <w:rtl w:val="true"/>
          <w:lang w:bidi="fa-IR"/>
        </w:rPr>
        <w:t xml:space="preserve">ذكرها العلاّمة السيّد محمّد هاشم الچهارسوقي قدس‌سره في إجازته الّتي كتبها لميرزا عبدالوهّاب الهمداني رحمه‌الله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العابدين الخوانساريّ رحمهماالله ؛ انظر مقدّمة مناهج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فيها ما هذا لفظه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رسالته القِدرية في طهارة الدم الّذي يلقى في القِدر فيغلى حتّى يستحيل، كما ورد في بعض الصحاح، و لعلّها لا تخلو عن قوّة، إلاّ أنّ ظاهر أكثر الأصحاب الإعراض عنها، و إعراضهم من أقوى الموهنات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المصنّف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أكل التربة الحسينيّة و تعيين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تحقيق أبرزناه فيما كتبناه في تحقيق الدم الّذي يقع في القدر ثمّ يغلي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اللبن المضروب بماء نجس هل يطهر بطبخه آجرًا أو خزفًا، أم لا ؟</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الأراضي الخراجيّة</w:t>
      </w:r>
    </w:p>
    <w:p>
      <w:pPr>
        <w:pStyle w:val="BookText"/>
        <w:rPr/>
      </w:pPr>
      <w:r>
        <w:rPr>
          <w:rFonts w:ascii="Amiri" w:hAnsi="Amiri" w:eastAsia="Amiri" w:cs="Amiri"/>
          <w:color w:val="111111"/>
          <w:sz w:val="28"/>
          <w:sz w:val="28"/>
          <w:szCs w:val="28"/>
          <w:rtl w:val="true"/>
          <w:lang w:bidi="ar-SA"/>
        </w:rPr>
        <w:t xml:space="preserve">هي رسالة استدلاليّة كبيرة، كتبها في جواب مسألة سئل عنها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نسخة خطيّة منها ضمن مجموعة في المكتبة الخاصّة للدكتور السيّد أحمد التويسركاني رحمه‌الله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الشكّ والسهو في الصلاة</w:t>
      </w:r>
    </w:p>
    <w:p>
      <w:pPr>
        <w:pStyle w:val="BookText"/>
        <w:rPr/>
      </w:pPr>
      <w:r>
        <w:rPr>
          <w:rFonts w:ascii="Amiri" w:hAnsi="Amiri" w:eastAsia="Amiri" w:cs="Amiri"/>
          <w:color w:val="111111"/>
          <w:sz w:val="28"/>
          <w:sz w:val="28"/>
          <w:szCs w:val="28"/>
          <w:rtl w:val="true"/>
          <w:lang w:bidi="ar-SA"/>
        </w:rPr>
        <w:t xml:space="preserve">رسالة كبيرة جدًّا، حسنة الوضع والتفريع، جعلها تتمّة لكتابه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صاحب الذريعة و عبّر عنها بالشكيّات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بتحقيق حفيده الحجّة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قدس‌سره 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طهارة عرق الجنب من الحرام</w:t>
      </w:r>
    </w:p>
    <w:p>
      <w:pPr>
        <w:pStyle w:val="BookText"/>
        <w:rPr/>
      </w:pPr>
      <w:r>
        <w:rPr>
          <w:rFonts w:ascii="Amiri" w:hAnsi="Amiri" w:eastAsia="Amiri" w:cs="Amiri"/>
          <w:color w:val="111111"/>
          <w:sz w:val="28"/>
          <w:sz w:val="28"/>
          <w:szCs w:val="28"/>
          <w:rtl w:val="true"/>
          <w:lang w:bidi="ar-SA"/>
        </w:rPr>
        <w:t xml:space="preserve">نسبها إليه ولده العلاّمة السيّد أسداللّه قدس‌سره في شرحه على الشرائع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جمع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أميرالمؤمنين عليه‌السلامبأصفهان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بها نفسه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اختار فيها وجوبها التخييريّ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ascii="Amiri" w:hAnsi="Amiri" w:eastAsia="Amiri" w:cs="Amiri"/>
          <w:color w:val="111111"/>
          <w:sz w:val="28"/>
          <w:sz w:val="28"/>
          <w:szCs w:val="28"/>
          <w:rtl w:val="true"/>
          <w:lang w:bidi="ar-SA"/>
        </w:rPr>
        <w:t xml:space="preserve">كتبها في جواب سائل سأله عن ذلك، مدرّجة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صلح حقّ الرجوع في الطلاق الرجعيّ</w:t>
      </w:r>
    </w:p>
    <w:p>
      <w:pPr>
        <w:pStyle w:val="BookText"/>
        <w:rPr/>
      </w:pPr>
      <w:r>
        <w:rPr>
          <w:rFonts w:ascii="Amiri" w:hAnsi="Amiri" w:eastAsia="Amiri" w:cs="Amiri"/>
          <w:color w:val="111111"/>
          <w:sz w:val="28"/>
          <w:sz w:val="28"/>
          <w:szCs w:val="28"/>
          <w:rtl w:val="true"/>
          <w:lang w:bidi="ar-SA"/>
        </w:rPr>
        <w:t xml:space="preserve">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جواب مسألة سئل عنها، فرغ منها في مزرعة تندران من مزارع كرون من محالّ أصفهان في يوم الإثنين السابع من جمادي الآخرة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الاتّكال بقول النساء في انتفاء موانع النكاح فيها</w:t>
      </w:r>
    </w:p>
    <w:p>
      <w:pPr>
        <w:pStyle w:val="BookText"/>
        <w:rPr/>
      </w:pPr>
      <w:r>
        <w:rPr>
          <w:rFonts w:ascii="Amiri" w:hAnsi="Amiri" w:eastAsia="Amiri" w:cs="Amiri"/>
          <w:color w:val="111111"/>
          <w:sz w:val="28"/>
          <w:sz w:val="28"/>
          <w:szCs w:val="28"/>
          <w:rtl w:val="true"/>
          <w:lang w:bidi="ar-SA"/>
        </w:rPr>
        <w:t xml:space="preserve">صرّح بها المؤلّف قدس‌سره نفسه في مطالع أنواره بقوله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وثاقته كما حقّقناه في رسالتنا الموضوعة في جواز الاتّكال بقول المرأة في خلوّها عن موانع النكاح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ذكرها كلّ من العَلَمَين الشيخ الطهراني والسيّد الأمين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نسخة منها ناقصة الآخر ضمن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مدرسة الشهيد المطهّري في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أوّلها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رسالة في جواز الاتّكال بقول النساء في انتفاء موانع النكاح فيها،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على ضربين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ascii="Amiri" w:hAnsi="Amiri" w:eastAsia="Amiri" w:cs="Amiri"/>
          <w:color w:val="111111"/>
          <w:sz w:val="28"/>
          <w:sz w:val="28"/>
          <w:szCs w:val="28"/>
          <w:rtl w:val="true"/>
          <w:lang w:bidi="ar-SA"/>
        </w:rPr>
        <w:t xml:space="preserve">هي رسالة كبيرة استدلاليّة، كتبها في جواب السؤال عن حكم الصلاة في جلد الميتة المدبوغ،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ثبوت الزنا واللواط بالإقرار</w:t>
      </w:r>
    </w:p>
    <w:p>
      <w:pPr>
        <w:pStyle w:val="BookText"/>
        <w:rPr/>
      </w:pPr>
      <w:r>
        <w:rPr>
          <w:rFonts w:ascii="Amiri" w:hAnsi="Amiri" w:eastAsia="Amiri" w:cs="Amiri"/>
          <w:color w:val="111111"/>
          <w:sz w:val="28"/>
          <w:sz w:val="28"/>
          <w:szCs w:val="28"/>
          <w:rtl w:val="true"/>
          <w:lang w:bidi="ar-SA"/>
        </w:rPr>
        <w:t xml:space="preserve">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جواب مسألة سئل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جواب المحقّق القمّي رحمه‌الله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فيها جوابه عن مسألة في الطلاق في حياته و حسب أمره ؛ يذكر فيها جوابه، ثمّ إيضاح الجواب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يعبّر عنه أيضًا برسالة في طلاق مدّعى الوكالة عن الزوج مع إنكار الزوج، و رسالة في تقديم اليد على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القناة</w:t>
      </w:r>
    </w:p>
    <w:p>
      <w:pPr>
        <w:pStyle w:val="BookText"/>
        <w:rPr/>
      </w:pPr>
      <w:r>
        <w:rPr>
          <w:rFonts w:ascii="Amiri" w:hAnsi="Amiri" w:eastAsia="Amiri" w:cs="Amiri"/>
          <w:color w:val="111111"/>
          <w:sz w:val="28"/>
          <w:sz w:val="28"/>
          <w:szCs w:val="28"/>
          <w:rtl w:val="true"/>
          <w:lang w:bidi="ar-SA"/>
        </w:rPr>
        <w:t xml:space="preserve">هي رسالة فارسيّة، كتبها في جواب مسائل بعض أهالي يزد،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ascii="Amiri" w:hAnsi="Amiri" w:eastAsia="Amiri" w:cs="Amiri"/>
          <w:color w:val="111111"/>
          <w:sz w:val="28"/>
          <w:sz w:val="28"/>
          <w:szCs w:val="28"/>
          <w:rtl w:val="true"/>
          <w:lang w:bidi="ar-SA"/>
        </w:rPr>
        <w:t xml:space="preserve">كتبها في جواب مَن سأله عن المسألة،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عن الميّت</w:t>
      </w:r>
    </w:p>
    <w:p>
      <w:pPr>
        <w:pStyle w:val="BookText"/>
        <w:rPr/>
      </w:pPr>
      <w:r>
        <w:rPr>
          <w:rFonts w:ascii="Amiri" w:hAnsi="Amiri" w:eastAsia="Amiri" w:cs="Amiri"/>
          <w:color w:val="111111"/>
          <w:sz w:val="28"/>
          <w:sz w:val="28"/>
          <w:szCs w:val="28"/>
          <w:rtl w:val="true"/>
          <w:lang w:bidi="ar-SA"/>
        </w:rPr>
        <w:t xml:space="preserve">كتبها في جواب مسألة سئل عنها،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آية الكرسي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جواب مَن سأل عن تحديد هذه الآية، مدرّجة في السؤال والجواب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كيفيّة زيارة عاشوراء</w:t>
      </w:r>
    </w:p>
    <w:p>
      <w:pPr>
        <w:pStyle w:val="BookText"/>
        <w:rPr/>
      </w:pPr>
      <w:r>
        <w:rPr>
          <w:rFonts w:ascii="Amiri" w:hAnsi="Amiri" w:eastAsia="Amiri" w:cs="Amiri"/>
          <w:color w:val="111111"/>
          <w:sz w:val="28"/>
          <w:sz w:val="28"/>
          <w:szCs w:val="28"/>
          <w:rtl w:val="true"/>
          <w:lang w:bidi="ar-SA"/>
        </w:rPr>
        <w:t xml:space="preserve">مدرّجة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قدس‌سره ؛ كتبها في جواب مَن سأله عن كيفيّة الزيارة و صلاتها، فأدرج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صلاتها ركعتان، لا أكثر، تفعلهما بعد الفراغ من اللعن والسلام والدعاء والسجدة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رسالة أخرى في هذا الموضوع لولده العلاّمة السيّد أسد اللّه قدس‌سره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بطبعها مكتبة مسجد السيّد حجّة الإسلام قدس‌سرهباصفهان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أكل التربة الحسينيّة و تعيين الحائر</w:t>
      </w:r>
    </w:p>
    <w:p>
      <w:pPr>
        <w:pStyle w:val="BookText"/>
        <w:rPr/>
      </w:pPr>
      <w:r>
        <w:rPr>
          <w:rFonts w:ascii="Amiri" w:hAnsi="Amiri" w:eastAsia="Amiri" w:cs="Amiri"/>
          <w:color w:val="111111"/>
          <w:sz w:val="28"/>
          <w:sz w:val="28"/>
          <w:szCs w:val="28"/>
          <w:rtl w:val="true"/>
          <w:lang w:bidi="ar-SA"/>
        </w:rPr>
        <w:t xml:space="preserve">مدرّجة في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قدس‌سره ؛ كتبها في جواب مسألتين سئل عنهما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رسالة أخرى في هذا الموضوع لولده العلاّمة السيّد أسد اللّه قدس‌سره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بطبعها مكتبة مسجد السيّد حجّة الإسلام قدس‌سرهباصفهان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صيغ النكاح</w:t>
      </w:r>
    </w:p>
    <w:p>
      <w:pPr>
        <w:pStyle w:val="BookText"/>
        <w:rPr/>
      </w:pPr>
      <w:r>
        <w:rPr>
          <w:rFonts w:ascii="Amiri" w:hAnsi="Amiri" w:eastAsia="Amiri" w:cs="Amiri"/>
          <w:color w:val="111111"/>
          <w:sz w:val="28"/>
          <w:sz w:val="28"/>
          <w:szCs w:val="28"/>
          <w:rtl w:val="true"/>
          <w:lang w:bidi="ar-SA"/>
        </w:rPr>
        <w:t xml:space="preserve">هي رسالة فارسية في بيان أنحاء إجراء الصيغة و أنواع تغييراته ؛ ذكر فيها أربع عشرة صورة لصيغة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نسخة منها موجودة في مكتبة أميرالمؤمنين عليه‌السلام 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نجاسة المخالفين و عدمها</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يجوز نيّة الوجوب في الوضوء قبل دخول الوقت مع اشتغال الذمّة بالقضاء و عدم ارادة الإتيان بها بذلك الوضوء، أم لا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تعريف البيع و أقسامه و شروطه</w:t>
      </w:r>
    </w:p>
    <w:p>
      <w:pPr>
        <w:pStyle w:val="BookText"/>
        <w:rPr/>
      </w:pPr>
      <w:r>
        <w:rPr>
          <w:rFonts w:ascii="Amiri" w:hAnsi="Amiri" w:eastAsia="Amiri" w:cs="Amiri"/>
          <w:color w:val="111111"/>
          <w:sz w:val="28"/>
          <w:sz w:val="28"/>
          <w:szCs w:val="28"/>
          <w:rtl w:val="true"/>
          <w:lang w:bidi="ar-SA"/>
        </w:rPr>
        <w:t xml:space="preserve">و هي ناقصة، توجد نسخة منها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حقيقة البيع و بيان أقسامه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توكيل الصبيّ المميّز</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ينفسخ المبايعة الخياريّة بمجرّد ردّ مثل الثمن و إرادة الفسخ من غير أن يتلفّظ بصيغة الفسخ، أم لا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وقع عقد النكاح من الأب وكالة للإبن المريض، فمات قبل الدخول ما حكمه من العدّة والصداق والميراث و تزويج المرأة في العدّة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انهدم بنيان لمالكين، هل يجوز لمالك بناء التحت بعد الإحياء منع مالك الفوق من الإحياء، أم لا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قتل عبد حرًّا ما حكمه</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الرسائل ونخبة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ميراث الغائب و بيان زمان التربّص</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الوصل بين اسطوانين أو أسطوانات المسجد لجدار ضعيف البنيان لمصلحة إقامة الجماعة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سلام التحيّة في الصلاة</w:t>
      </w:r>
    </w:p>
    <w:p>
      <w:pPr>
        <w:pStyle w:val="BookText"/>
        <w:rPr/>
      </w:pPr>
      <w:r>
        <w:rPr>
          <w:rFonts w:ascii="Amiri" w:hAnsi="Amiri" w:eastAsia="Amiri" w:cs="Amiri"/>
          <w:color w:val="111111"/>
          <w:sz w:val="28"/>
          <w:sz w:val="28"/>
          <w:szCs w:val="28"/>
          <w:rtl w:val="true"/>
          <w:lang w:bidi="ar-SA"/>
        </w:rPr>
        <w:t xml:space="preserve">و هي ناقصة، توجد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توجد نسخة منها ناقصة الآخر في مكتبة أميرالمؤمنين عليه‌السلام 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أعدّ لعباده دار السلام و جعل تحيّتهم فيها سلام، والصلاة والسلام على من أرشد إلى طريق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تعارض اليد والبيّنة على العين الموقوفة</w:t>
      </w:r>
    </w:p>
    <w:p>
      <w:pPr>
        <w:pStyle w:val="BookText"/>
        <w:rPr/>
      </w:pPr>
      <w:r>
        <w:rPr>
          <w:rFonts w:ascii="Amiri" w:hAnsi="Amiri" w:eastAsia="Amiri" w:cs="Amiri"/>
          <w:color w:val="111111"/>
          <w:sz w:val="28"/>
          <w:sz w:val="28"/>
          <w:szCs w:val="28"/>
          <w:rtl w:val="true"/>
          <w:lang w:bidi="ar-SA"/>
        </w:rPr>
        <w:t xml:space="preserve">كتبها في جواب مسألة سئل عنها،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أيضًا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توجد نسخة منها ناقصة الآخر في مكتبة أميرالمؤمنين عليه‌السلام 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العمليّة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بالفارسيّة، في أوّلها أصول الدين إجمالاً ؛ توجد نسخة منه في مكتبة مجلس الشورى بطهران برقم </w:t>
      </w:r>
      <w:r>
        <w:rPr>
          <w:rFonts w:eastAsia="Amiri" w:cs="Amiri" w:ascii="Amiri" w:hAnsi="Amiri"/>
          <w:color w:val="111111"/>
          <w:sz w:val="28"/>
          <w:szCs w:val="28"/>
          <w:lang w:bidi="ar-SA"/>
        </w:rPr>
        <w:t>15224</w:t>
      </w:r>
      <w:r>
        <w:rPr>
          <w:rFonts w:eastAsia="Amiri" w:cs="Amiri" w:ascii="Amiri" w:hAnsi="Amiri"/>
          <w:color w:val="111111"/>
          <w:sz w:val="28"/>
          <w:szCs w:val="28"/>
          <w:rtl w:val="true"/>
          <w:lang w:bidi="ar-SA"/>
        </w:rPr>
        <w:t xml:space="preserve"> . </w:t>
      </w:r>
      <w:bookmarkStart w:id="56" w:name="pg7092_62174"/>
    </w:p>
    <w:p>
      <w:pPr>
        <w:pStyle w:val="Heading3"/>
        <w:numPr>
          <w:ilvl w:val="2"/>
          <w:numId w:val="1"/>
        </w:numPr>
        <w:rPr/>
      </w:pPr>
      <w:bookmarkStart w:id="57" w:name="__RefHeading___Toc3503053_372815092"/>
      <w:bookmarkStart w:id="58" w:name="_Toc21"/>
      <w:bookmarkEnd w:id="56"/>
      <w:bookmarkEnd w:id="57"/>
      <w:r>
        <w:rPr>
          <w:rtl w:val="true"/>
        </w:rPr>
        <w:t xml:space="preserve">« </w:t>
      </w:r>
      <w:r>
        <w:rPr>
          <w:rtl w:val="true"/>
        </w:rPr>
        <w:t xml:space="preserve">الكتب والرسائل الحديثيّة </w:t>
      </w:r>
      <w:r>
        <w:rPr>
          <w:rtl w:val="true"/>
        </w:rPr>
        <w:t>»</w:t>
      </w:r>
      <w:bookmarkEnd w:id="58"/>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الكافي</w:t>
      </w:r>
    </w:p>
    <w:p>
      <w:pPr>
        <w:pStyle w:val="BookText"/>
        <w:rPr/>
      </w:pPr>
      <w:r>
        <w:rPr>
          <w:rFonts w:ascii="Amiri" w:hAnsi="Amiri" w:eastAsia="Amiri" w:cs="Amiri"/>
          <w:color w:val="111111"/>
          <w:sz w:val="28"/>
          <w:sz w:val="28"/>
          <w:szCs w:val="28"/>
          <w:rtl w:val="true"/>
          <w:lang w:bidi="ar-SA"/>
        </w:rPr>
        <w:t>هي حواشي قليلة على كتاب الفروع من الكافي، من الطهارة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الوافي</w:t>
      </w:r>
    </w:p>
    <w:p>
      <w:pPr>
        <w:pStyle w:val="BookText"/>
        <w:rPr/>
      </w:pPr>
      <w:r>
        <w:rPr>
          <w:rFonts w:ascii="Amiri" w:hAnsi="Amiri" w:eastAsia="Amiri" w:cs="Amiri"/>
          <w:color w:val="111111"/>
          <w:sz w:val="28"/>
          <w:sz w:val="28"/>
          <w:szCs w:val="28"/>
          <w:rtl w:val="true"/>
          <w:lang w:bidi="ar-SA"/>
        </w:rPr>
        <w:t xml:space="preserve">نصّ عليها المؤلّف نفسه قدس‌سره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الحديثين المرويّين عن العترة الطاهرة عليهم‌السلام</w:t>
      </w:r>
    </w:p>
    <w:p>
      <w:pPr>
        <w:pStyle w:val="BookText"/>
        <w:rPr/>
      </w:pPr>
      <w:r>
        <w:rPr>
          <w:rFonts w:ascii="Amiri" w:hAnsi="Amiri" w:eastAsia="Amiri" w:cs="Amiri"/>
          <w:color w:val="111111"/>
          <w:sz w:val="28"/>
          <w:sz w:val="28"/>
          <w:szCs w:val="28"/>
          <w:rtl w:val="true"/>
          <w:lang w:bidi="ar-SA"/>
        </w:rPr>
        <w:t xml:space="preserve">الحديث الأوّل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سوّد اسمه في ديوان ولد سابع حشره اللّه يوم القيامة خنزيرًا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والحديث الثاني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اثنا عشر هكذا حول عرش ربّنا عزّوجلّ وفي مبتدأ خلقنا، أوّلنا محمّد وأوسطنا محمّد وآخرنا محمّد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نسخة منها ضمن مجموعة في المكتبة الملّيّة بطهران برقم </w:t>
      </w:r>
      <w:r>
        <w:rPr>
          <w:rFonts w:eastAsia="Amiri" w:cs="Amiri" w:ascii="Amiri" w:hAnsi="Amiri"/>
          <w:color w:val="111111"/>
          <w:sz w:val="28"/>
          <w:szCs w:val="28"/>
          <w:lang w:bidi="ar-SA"/>
        </w:rPr>
        <w:t>4133088</w:t>
      </w:r>
      <w:r>
        <w:rPr>
          <w:rFonts w:eastAsia="Amiri" w:cs="Amiri" w:ascii="Amiri" w:hAnsi="Amiri"/>
          <w:color w:val="111111"/>
          <w:sz w:val="28"/>
          <w:szCs w:val="28"/>
          <w:rtl w:val="true"/>
          <w:lang w:bidi="ar-SA"/>
        </w:rPr>
        <w:t xml:space="preserve"> . </w:t>
      </w:r>
      <w:bookmarkStart w:id="59" w:name="pg7092_62175"/>
    </w:p>
    <w:p>
      <w:pPr>
        <w:pStyle w:val="Heading3"/>
        <w:numPr>
          <w:ilvl w:val="2"/>
          <w:numId w:val="1"/>
        </w:numPr>
        <w:rPr/>
      </w:pPr>
      <w:bookmarkStart w:id="60" w:name="__RefHeading___Toc3503055_372815092"/>
      <w:bookmarkStart w:id="61" w:name="_Toc22"/>
      <w:bookmarkEnd w:id="59"/>
      <w:bookmarkEnd w:id="60"/>
      <w:r>
        <w:rPr>
          <w:rtl w:val="true"/>
        </w:rPr>
        <w:t xml:space="preserve">« </w:t>
      </w:r>
      <w:r>
        <w:rPr>
          <w:rtl w:val="true"/>
        </w:rPr>
        <w:t xml:space="preserve">الكتب والرسائل الأصوليّة </w:t>
      </w:r>
      <w:r>
        <w:rPr>
          <w:rtl w:val="true"/>
        </w:rPr>
        <w:t>»</w:t>
      </w:r>
      <w:bookmarkEnd w:id="61"/>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ascii="Amiri" w:hAnsi="Amiri" w:eastAsia="Amiri" w:cs="Amiri"/>
          <w:color w:val="111111"/>
          <w:sz w:val="28"/>
          <w:sz w:val="28"/>
          <w:szCs w:val="28"/>
          <w:rtl w:val="true"/>
          <w:lang w:bidi="ar-SA"/>
        </w:rPr>
        <w:t xml:space="preserve">مشتمل على جمّ غفير من المسائل الأصوليّة والعربيّة و مباحث الألفاظ والمبادئ اللغويّة، في نحو من ثمانية آلاف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بعد وفاته بأمر تلميذه و صهره الآقا محمّد مهدي بن محمّد إبراهيم الكرباسي رحمهماالله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 xml:space="preserve">نصّ عليها المؤلّف نفسه قدس‌سره في مطالع الأنوار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عامّ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فقه أهل البيت عليهم‌السلام، العدد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الوصول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حاشية علميّة مفصّلة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تآليف آية اللّه العلاّمة الحلّي قدس‌سره ؛ ذكرها المؤلّف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البارقة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معالم الدين</w:t>
      </w:r>
    </w:p>
    <w:p>
      <w:pPr>
        <w:pStyle w:val="BookText"/>
        <w:rPr/>
      </w:pPr>
      <w:r>
        <w:rPr>
          <w:rFonts w:ascii="Amiri" w:hAnsi="Amiri" w:eastAsia="Amiri" w:cs="Amiri"/>
          <w:color w:val="111111"/>
          <w:sz w:val="28"/>
          <w:sz w:val="28"/>
          <w:szCs w:val="28"/>
          <w:rtl w:val="true"/>
          <w:lang w:bidi="ar-SA"/>
        </w:rPr>
        <w:t xml:space="preserve">هي تعليقات مدوّنة بمنزلة شرح مبسوط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الشهيد الثاني ؛ ذكرها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الاجتهاد والتقليد</w:t>
      </w:r>
    </w:p>
    <w:p>
      <w:pPr>
        <w:pStyle w:val="BookText"/>
        <w:rPr/>
      </w:pPr>
      <w:r>
        <w:rPr>
          <w:rFonts w:ascii="Amiri" w:hAnsi="Amiri" w:eastAsia="Amiri" w:cs="Amiri"/>
          <w:color w:val="111111"/>
          <w:sz w:val="28"/>
          <w:sz w:val="28"/>
          <w:szCs w:val="28"/>
          <w:rtl w:val="true"/>
          <w:lang w:bidi="ar-SA"/>
        </w:rPr>
        <w:t xml:space="preserve">قال المحقّق الطهراني رحمه‌الله 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التقليد في مسائل التقليد، لحجّة الإسلام الحاج السيّد محمّد باقر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بها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ينقل عباراتها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رآها الميرزا عبدالوهّاب القزوينيّ قدس‌سره، كتب في ردّها 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حكم التقليد للعوام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2" w:name="pg7092_62177"/>
    </w:p>
    <w:p>
      <w:pPr>
        <w:pStyle w:val="Heading3"/>
        <w:numPr>
          <w:ilvl w:val="2"/>
          <w:numId w:val="1"/>
        </w:numPr>
        <w:rPr/>
      </w:pPr>
      <w:bookmarkStart w:id="63" w:name="__RefHeading___Toc3503057_372815092"/>
      <w:bookmarkStart w:id="64" w:name="_Toc23"/>
      <w:bookmarkEnd w:id="62"/>
      <w:bookmarkEnd w:id="63"/>
      <w:r>
        <w:rPr>
          <w:rtl w:val="true"/>
        </w:rPr>
        <w:t xml:space="preserve">« </w:t>
      </w:r>
      <w:r>
        <w:rPr>
          <w:rtl w:val="true"/>
        </w:rPr>
        <w:t xml:space="preserve">الكتب والرسائل الرجاليّة </w:t>
      </w:r>
      <w:r>
        <w:rPr>
          <w:rtl w:val="true"/>
        </w:rPr>
        <w:t>»</w:t>
      </w:r>
      <w:bookmarkEnd w:id="64"/>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الرجال</w:t>
      </w:r>
    </w:p>
    <w:p>
      <w:pPr>
        <w:pStyle w:val="BookText"/>
        <w:rPr/>
      </w:pPr>
      <w:r>
        <w:rPr>
          <w:rFonts w:ascii="Amiri" w:hAnsi="Amiri" w:eastAsia="Amiri" w:cs="Amiri"/>
          <w:color w:val="111111"/>
          <w:sz w:val="28"/>
          <w:sz w:val="28"/>
          <w:szCs w:val="28"/>
          <w:rtl w:val="true"/>
          <w:lang w:bidi="ar-SA"/>
        </w:rPr>
        <w:t xml:space="preserve">هي تعليقات مختصرة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الطوسي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الفهرست</w:t>
      </w:r>
    </w:p>
    <w:p>
      <w:pPr>
        <w:pStyle w:val="BookText"/>
        <w:rPr/>
      </w:pPr>
      <w:r>
        <w:rPr>
          <w:rFonts w:ascii="Amiri" w:hAnsi="Amiri" w:eastAsia="Amiri" w:cs="Amiri"/>
          <w:color w:val="111111"/>
          <w:sz w:val="28"/>
          <w:sz w:val="28"/>
          <w:szCs w:val="28"/>
          <w:rtl w:val="true"/>
          <w:lang w:bidi="ar-SA"/>
        </w:rPr>
        <w:t xml:space="preserve">انّها تعليقات مختصرة غير مدوّنة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خلاصة الأقوال</w:t>
      </w:r>
    </w:p>
    <w:p>
      <w:pPr>
        <w:pStyle w:val="BookText"/>
        <w:rPr/>
      </w:pPr>
      <w:r>
        <w:rPr>
          <w:rFonts w:ascii="Amiri" w:hAnsi="Amiri" w:eastAsia="Amiri" w:cs="Amiri"/>
          <w:color w:val="111111"/>
          <w:sz w:val="28"/>
          <w:sz w:val="28"/>
          <w:szCs w:val="28"/>
          <w:rtl w:val="true"/>
          <w:lang w:bidi="ar-SA"/>
        </w:rPr>
        <w:t xml:space="preserve">صرّح بها في حاشية المجلّد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تحقيق حال أبان بن عثمان و أصحاب الإجماع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رسالتان في تحقيق حال إبراهيم بن هاشم القمّي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الخبير البصير إلى تحقيق الحال في أبي بصير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خالد البرقي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عيسى الأشعري</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إسحاق بن عمّار الساباطي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حسين بن خالد</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حماد بن عيسى الجهني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سهل بن زياد الآدمي الرازي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شهاب بن عبد ربّه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عبدالحميد بن سالم العطّار وولده محمّد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عمر بن يزيد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تعيين محمّد بن اسماعيل الواقع في صدر بعض أسانيد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66"/>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أحمد الراوي عن العمركي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خالد البرقي</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محمّد بن سنان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الفضيل</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عيسى اليقطيني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أشخاص الّذين لقّبوا بما جيلويه</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الحال في معاوية بن شريح و معاوية بن ميسرة وأنّهما واحد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بيان العدّة المتكرّرة في أسانيد الكافي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أكثر هذه الرسائل في مجلّد واحد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الشفتي قدس‌سره بأصفهان </w:t>
      </w:r>
      <w:r>
        <w:rPr>
          <w:rFonts w:eastAsia="Amiri" w:cs="Amiri" w:ascii="Amiri" w:hAnsi="Amiri"/>
          <w:color w:val="111111"/>
          <w:sz w:val="28"/>
          <w:szCs w:val="28"/>
          <w:rtl w:val="true"/>
          <w:lang w:bidi="ar-SA"/>
        </w:rPr>
        <w:t xml:space="preserve">. </w:t>
      </w:r>
      <w:bookmarkStart w:id="65" w:name="pg7092_62180"/>
    </w:p>
    <w:p>
      <w:pPr>
        <w:pStyle w:val="Heading3"/>
        <w:numPr>
          <w:ilvl w:val="2"/>
          <w:numId w:val="1"/>
        </w:numPr>
        <w:rPr/>
      </w:pPr>
      <w:bookmarkStart w:id="66" w:name="__RefHeading___Toc3503059_372815092"/>
      <w:bookmarkStart w:id="67" w:name="_Toc24"/>
      <w:bookmarkEnd w:id="65"/>
      <w:bookmarkEnd w:id="66"/>
      <w:r>
        <w:rPr>
          <w:rtl w:val="true"/>
        </w:rPr>
        <w:t xml:space="preserve">« </w:t>
      </w:r>
      <w:r>
        <w:rPr>
          <w:rtl w:val="true"/>
        </w:rPr>
        <w:t xml:space="preserve">الكتب والرسائل المتفرّقة </w:t>
      </w:r>
      <w:r>
        <w:rPr>
          <w:rtl w:val="true"/>
        </w:rPr>
        <w:t>»</w:t>
      </w:r>
      <w:bookmarkEnd w:id="67"/>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الدين</w:t>
      </w:r>
    </w:p>
    <w:p>
      <w:pPr>
        <w:pStyle w:val="BookText"/>
        <w:rPr/>
      </w:pPr>
      <w:r>
        <w:rPr>
          <w:rFonts w:ascii="Amiri" w:hAnsi="Amiri" w:eastAsia="Amiri" w:cs="Amiri"/>
          <w:color w:val="111111"/>
          <w:sz w:val="28"/>
          <w:sz w:val="28"/>
          <w:szCs w:val="28"/>
          <w:rtl w:val="true"/>
          <w:lang w:bidi="ar-SA"/>
        </w:rPr>
        <w:t xml:space="preserve">فارسية، في عدّة أبواب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w:t>
      </w:r>
    </w:p>
    <w:p>
      <w:pPr>
        <w:pStyle w:val="BookText"/>
        <w:rPr/>
      </w:pPr>
      <w:r>
        <w:rPr>
          <w:rFonts w:ascii="Amiri" w:hAnsi="Amiri" w:eastAsia="Amiri" w:cs="Amiri"/>
          <w:color w:val="111111"/>
          <w:sz w:val="28"/>
          <w:sz w:val="28"/>
          <w:szCs w:val="28"/>
          <w:rtl w:val="true"/>
          <w:lang w:bidi="ar-SA"/>
        </w:rPr>
        <w:t xml:space="preserve">الفارسي، عن بعض عقائد الشيخيّة، طبع أوّلاً بعد وفاته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كما ذكره صاحب الذريعة </w:t>
      </w:r>
      <w:r>
        <w:rPr>
          <w:rStyle w:val="FootnoteAnchor"/>
          <w:rtl w:val="true"/>
        </w:rPr>
        <w:footnoteReference w:id="68"/>
      </w:r>
      <w:r>
        <w:rPr>
          <w:rFonts w:ascii="Amiri" w:hAnsi="Amiri" w:eastAsia="Amiri" w:cs="Amiri"/>
          <w:color w:val="111111"/>
          <w:sz w:val="28"/>
          <w:sz w:val="28"/>
          <w:szCs w:val="28"/>
          <w:rtl w:val="true"/>
          <w:lang w:bidi="ar-SA"/>
        </w:rPr>
        <w:t xml:space="preserve">؛ و قد طبع ثانيًا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طباعة حروفيّة محقّقة، قامت بتحقيقه و طبعه مكتبة مسجد 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أنّ المراد من الطعام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نسخة منها موجودة في مكتبة أميرالمؤمنين عليه‌السلام بأصفهان </w:t>
      </w:r>
      <w:r>
        <w:rPr>
          <w:rFonts w:eastAsia="Amiri" w:cs="Amiri" w:ascii="Amiri" w:hAnsi="Amiri"/>
          <w:color w:val="111111"/>
          <w:sz w:val="28"/>
          <w:szCs w:val="28"/>
          <w:rtl w:val="true"/>
          <w:lang w:bidi="ar-SA"/>
        </w:rPr>
        <w:t xml:space="preserve">. </w:t>
      </w:r>
      <w:bookmarkStart w:id="68" w:name="pg7092_62181"/>
    </w:p>
    <w:p>
      <w:pPr>
        <w:pStyle w:val="BookText"/>
        <w:rPr/>
      </w:pPr>
      <w:bookmarkEnd w:id="68"/>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BookText"/>
        <w:rPr/>
      </w:pPr>
      <w:r>
        <w:rPr>
          <w:rFonts w:ascii="Amiri" w:hAnsi="Amiri" w:eastAsia="Amiri" w:cs="Amiri"/>
          <w:color w:val="111111"/>
          <w:sz w:val="28"/>
          <w:sz w:val="28"/>
          <w:szCs w:val="28"/>
          <w:rtl w:val="true"/>
          <w:lang w:bidi="ar-SA"/>
        </w:rPr>
        <w:t xml:space="preserve">هي تعليقات مدوّنة بمنزلة شرح مبسوط على شرح الفاضل السيوطي على ألفيّة النحو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ألّفها في جزءين، قامت بطبع الجزء الأوّل منها مكتبة مسجد السيّد باصفهان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503061_372815092"/>
      <w:bookmarkStart w:id="70" w:name="_Toc25"/>
      <w:bookmarkEnd w:id="69"/>
      <w:r>
        <w:rPr>
          <w:rtl w:val="true"/>
        </w:rPr>
        <w:t>وفاته و مرقده</w:t>
      </w:r>
      <w:bookmarkEnd w:id="70"/>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اول حمل و دويم ربيع دويم زدامگاه جهان شد بسوى دار سلامبلفظ تازى تاريخ رحلتش گفتم چو بشمرى مأتين است و ألف و ستّين عام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 الأقوال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دفن بعد ثلاثة أيّام من وفاته في البقعة الّتي بناها لنفسه في جانب مسجده الكبير باصبهان، و هي الآن مشهد معروف و مزار متبرّك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الچهارسوقي قدس‌سره في الروضات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مثل يوم وفاته، يوم عظيم، ملأت زقاق البلد من أفواج الأنام رجالاً ونساءًا، يبكون عليه بكاء الفاقد والده الرحيم و مشفقه الكريم، بحيث كان همهمة الخلايق تسمع من وراء البلد، و غسل في بيته الشريف، ثمّ أتى به إلى المسجد، فصلّى عليه ولده الأفضل وخلفه الأسعد الأرشد والفقيه الأوحد والحبر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سيّدنا السيّد أسد اللّه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العجائب اتّفاق فراغه من التحصيل و مراجعته من النجف الأشرف بإصرار والده الجليل في سنة وفاته، و مسارعة روحه المطهّر إلى جنّاته </w:t>
      </w:r>
      <w:r>
        <w:rPr>
          <w:rFonts w:eastAsia="Amiri" w:cs="Amiri" w:ascii="Amiri" w:hAnsi="Amiri"/>
          <w:color w:val="111111"/>
          <w:sz w:val="28"/>
          <w:szCs w:val="28"/>
          <w:rtl w:val="true"/>
          <w:lang w:bidi="ar-SA"/>
        </w:rPr>
        <w:t xml:space="preserve">». </w:t>
      </w:r>
      <w:bookmarkStart w:id="71" w:name="pg7092_62183"/>
    </w:p>
    <w:p>
      <w:pPr>
        <w:pStyle w:val="Heading2"/>
        <w:numPr>
          <w:ilvl w:val="1"/>
          <w:numId w:val="1"/>
        </w:numPr>
        <w:rPr/>
      </w:pPr>
      <w:bookmarkStart w:id="72" w:name="__RefHeading___Toc3503063_372815092"/>
      <w:bookmarkStart w:id="73" w:name="_Toc26"/>
      <w:bookmarkEnd w:id="71"/>
      <w:bookmarkEnd w:id="72"/>
      <w:r>
        <w:rPr>
          <w:rtl w:val="true"/>
        </w:rPr>
        <w:t>الفصل الثاني</w:t>
      </w:r>
      <w:r>
        <w:rPr>
          <w:rtl w:val="true"/>
        </w:rPr>
        <w:t xml:space="preserve">: </w:t>
      </w:r>
      <w:r>
        <w:rPr>
          <w:rtl w:val="true"/>
        </w:rPr>
        <w:t>ما يتعلّق بالرسالة</w:t>
      </w:r>
      <w:bookmarkEnd w:id="73"/>
    </w:p>
    <w:p>
      <w:pPr>
        <w:pStyle w:val="BookText"/>
        <w:rPr/>
      </w:pPr>
      <w:r>
        <w:rPr>
          <w:rFonts w:ascii="Amiri" w:hAnsi="Amiri" w:eastAsia="Amiri" w:cs="Amiri"/>
          <w:color w:val="111111"/>
          <w:sz w:val="28"/>
          <w:sz w:val="28"/>
          <w:szCs w:val="28"/>
          <w:rtl w:val="true"/>
          <w:lang w:bidi="ar-SA"/>
        </w:rPr>
        <w:t xml:space="preserve">هذه الرسالة الماثلة بين يدي القارئ الكريم رسالة استدلاليّة تبحث عن مسألة فقهيّة تعرّض لها الفقهاء في كتبهم الفقهيّة،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محارم الموطوء على الواطي،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و أخته و 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رسالة صغيرة في حجمها كبيرة في محتواها، تشتمل على عبارات الأصحاب و بيان ما يفهم من كلّ واحدة منها مع الإحاطة بجميع أطراف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فيها مؤلّفها قدس‌سره حكم المسألة مع فروع حسنة تتعلّق بها، وأدرج فيها تحقيقات رشيقة و فوائد نافعة مفيدة تنبئ عن دقّة نظره و غوره، واستوفى فيها إنصافًا حقّ الاستدلال والتحليل، و كان هذا ممّا يدلّ على طول باعه وتبحّره في المباحث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 هذه الرسالة الشريفة المحقّق الطهراني رحمه‌الله في ذريعته بقوله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حرمة محارم الموطوء على الواطي،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و أخته وبنته ؛ للسيّد حجّة الإسلام الشفتي المتوفّى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لمن أبدع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74" w:name="pg7092_62184"/>
    </w:p>
    <w:p>
      <w:pPr>
        <w:pStyle w:val="Heading2"/>
        <w:numPr>
          <w:ilvl w:val="1"/>
          <w:numId w:val="1"/>
        </w:numPr>
        <w:rPr/>
      </w:pPr>
      <w:bookmarkStart w:id="75" w:name="__RefHeading___Toc3503065_372815092"/>
      <w:bookmarkStart w:id="76" w:name="_Toc27"/>
      <w:bookmarkEnd w:id="74"/>
      <w:bookmarkEnd w:id="75"/>
      <w:r>
        <w:rPr>
          <w:rtl w:val="true"/>
        </w:rPr>
        <w:t>الفصل الثالث</w:t>
      </w:r>
      <w:r>
        <w:rPr>
          <w:rtl w:val="true"/>
        </w:rPr>
        <w:t xml:space="preserve">: </w:t>
      </w:r>
      <w:r>
        <w:rPr>
          <w:rtl w:val="true"/>
        </w:rPr>
        <w:t>عملنا في التحقيق</w:t>
      </w:r>
      <w:bookmarkEnd w:id="76"/>
    </w:p>
    <w:p>
      <w:pPr>
        <w:pStyle w:val="Heading3"/>
        <w:numPr>
          <w:ilvl w:val="2"/>
          <w:numId w:val="1"/>
        </w:numPr>
        <w:rPr/>
      </w:pPr>
      <w:bookmarkStart w:id="77" w:name="__RefHeading___Toc3503067_372815092"/>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اعتمدنا في تحقيق هذه الرسالة على أربع نسخ خطّية،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الخطّية المحفوظة في مكتبتنا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مسجد السيّد حجّة الإسلام قدس‌سره</w:t>
      </w:r>
    </w:p>
    <w:p>
      <w:pPr>
        <w:pStyle w:val="BookText"/>
        <w:rPr/>
      </w:pPr>
      <w:r>
        <w:rPr>
          <w:rFonts w:ascii="Amiri" w:hAnsi="Amiri" w:eastAsia="Amiri" w:cs="Amiri"/>
          <w:color w:val="111111"/>
          <w:sz w:val="28"/>
          <w:sz w:val="28"/>
          <w:szCs w:val="28"/>
          <w:rtl w:val="true"/>
          <w:lang w:bidi="ar-SA"/>
        </w:rPr>
        <w:t xml:space="preserve">في مدينة اصفهان،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رحمه‌الله، تحت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والمذكورة في فهرس مخطوطات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 هي بخطّ النستعليق، مجهولة الكاتب، كتبت في حياة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كلّ ورقة تحتوي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مكتبة الإمام الحكيم العامّة في النجف الأشرف،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رحمه‌الله، تحت رقم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و هي بخطّ النسخ، مجهولة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وكلّ ورقة تحتوي 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مكتبة الإمام الحكيم العامّة في النجف الأشرف،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رحمه‌الله، تحت رقم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بخطّ النسخ، مجهولة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وكلّ ورقة تحتوي 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مكتبة كاشف الغطاء العامّة في النجف الأشرف،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رحمه‌الله، تحت رقم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والمذكورة في فهرس مخطوطات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هي بخطّ النسخ، مجهولة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هذه النسخة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كلّ ورقة تحتوي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منهج التحقيق وفق المراحل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الحروف و مقابلة النسخ الخطّية بعضها مع بعض، و تثبيت موارد الاختلاف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النصّ على المنهج المتّفق عليه عند المحقّقين، والإشارة إلى موارد الاختلاف بين النسخ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الآيات القرآنيّة والأحاديث الشريفة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الأقوال و كلمات الفقهاء الّتي نقلها المؤلّف من مصادرها الّتي ذكرها إن وجدت، و إلاّ فمن مصادر أخرى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 إلى فقرات و مقاطع مع إضافة بعض العناوين المناسبة بين معقوفين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بذلنا قصارى جهدنا في تحقيق هذه الرسالة وإخراجها إلى عالم النور، فما وجد فيها من خلل أو خطأ فهو عن قصور لا تقصير، و نسأل اللّه تعالى أن يتقبّل منّا هذا القليل بقبول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نقدّم جزيل شكرنا إلى إخواننا الّذين يسعون في إحياء هذه الرسالة و طبعها و نشرها، فجزاهم اللّه عن الإسلام وأهله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السيّد محمّد الرضا الشفتيّ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79" w:name="pg7092_62187"/>
    </w:p>
    <w:p>
      <w:pPr>
        <w:pStyle w:val="Heading3"/>
        <w:numPr>
          <w:ilvl w:val="2"/>
          <w:numId w:val="1"/>
        </w:numPr>
        <w:rPr/>
      </w:pPr>
      <w:bookmarkStart w:id="80" w:name="__RefHeading___Toc3503069_372815092"/>
      <w:bookmarkStart w:id="81" w:name="_Toc29"/>
      <w:bookmarkEnd w:id="79"/>
      <w:bookmarkEnd w:id="80"/>
      <w:r>
        <w:rPr>
          <w:rtl w:val="true"/>
        </w:rPr>
        <w:t>رسالة في حرمة محارم الموطوء على الواطي</w:t>
      </w:r>
      <w:bookmarkEnd w:id="8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المحقّق الورع</w:t>
      </w:r>
    </w:p>
    <w:p>
      <w:pPr>
        <w:pStyle w:val="BookText"/>
        <w:rPr/>
      </w:pPr>
      <w:r>
        <w:rPr>
          <w:rFonts w:ascii="Amiri" w:hAnsi="Amiri" w:eastAsia="Amiri" w:cs="Amiri"/>
          <w:color w:val="111111"/>
          <w:sz w:val="28"/>
          <w:sz w:val="28"/>
          <w:szCs w:val="28"/>
          <w:rtl w:val="true"/>
          <w:lang w:bidi="ar-SA"/>
        </w:rPr>
        <w:t>السيّد محمّد باقر بن محمّد نقي الشفتيّ قدس‌سره</w:t>
      </w:r>
    </w:p>
    <w:p>
      <w:pPr>
        <w:pStyle w:val="BookText"/>
        <w:rPr/>
      </w:pPr>
      <w:r>
        <w:rPr>
          <w:rFonts w:ascii="Amiri" w:hAnsi="Amiri" w:eastAsia="Amiri" w:cs="Amiri"/>
          <w:color w:val="111111"/>
          <w:sz w:val="28"/>
          <w:sz w:val="28"/>
          <w:szCs w:val="28"/>
          <w:rtl w:val="true"/>
          <w:lang w:bidi="ar-SA"/>
        </w:rPr>
        <w:t>المشتهر بحجّة الإسلام على الإطلاق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مسجد السيّد حجّة الإسلام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092_62189"/>
      <w:bookmarkStart w:id="83" w:name="pg7092_62189"/>
      <w:bookmarkEnd w:id="83"/>
    </w:p>
    <w:p>
      <w:pPr>
        <w:pStyle w:val="BookText"/>
        <w:rPr/>
      </w:pPr>
      <w:bookmarkStart w:id="84" w:name="pg7092_62189"/>
      <w:bookmarkEnd w:id="8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لمن أبدع السماوات و الأرضين، و الصلاة على من ختمت به الرسالة، و هو سيّد المرسلين ؛ و على ابن عمّه الّذي فاق الأنبياء و الملائكة المقرّبين، وآله</w:t>
      </w:r>
    </w:p>
    <w:p>
      <w:pPr>
        <w:pStyle w:val="BookText"/>
        <w:rPr/>
      </w:pPr>
      <w:r>
        <w:rPr>
          <w:rFonts w:ascii="Amiri" w:hAnsi="Amiri" w:eastAsia="Amiri" w:cs="Amiri"/>
          <w:color w:val="111111"/>
          <w:sz w:val="28"/>
          <w:sz w:val="28"/>
          <w:szCs w:val="28"/>
          <w:rtl w:val="true"/>
          <w:lang w:bidi="ar-SA"/>
        </w:rPr>
        <w:t xml:space="preserve">الّذين هم الشفعاء لقاطبة العاصين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 يقول العبد الملتجئ إلى باب سيّده الغافر، ابن محمّد نقي الموسويّ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الأصحاب على حرمة أمّ الموطوء و بنته و أخته على الواطي المكلَّف، و دعوى الإجماع عليه مستفيضة، فهو ممّا لا شبهة فيه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503071_372815092"/>
      <w:bookmarkStart w:id="86" w:name="_Toc30"/>
      <w:bookmarkEnd w:id="85"/>
      <w:r>
        <w:rPr>
          <w:rtl w:val="true"/>
        </w:rPr>
        <w:t>الوطى في الصغر هل ينشر الحرمة، أم لا ؟</w:t>
      </w:r>
      <w:bookmarkEnd w:id="86"/>
    </w:p>
    <w:p>
      <w:pPr>
        <w:pStyle w:val="BookText"/>
        <w:rPr/>
      </w:pPr>
      <w:r>
        <w:rPr>
          <w:rFonts w:ascii="Amiri" w:hAnsi="Amiri" w:eastAsia="Amiri" w:cs="Amiri"/>
          <w:color w:val="111111"/>
          <w:sz w:val="28"/>
          <w:sz w:val="28"/>
          <w:szCs w:val="28"/>
          <w:rtl w:val="true"/>
          <w:lang w:bidi="ar-SA"/>
        </w:rPr>
        <w:t>و إنّما الكلام في أنّ الواطي الغير المكلَّف، هل يكون حكمه حكم المكلَّف، فتحرم عليه الأصناف المذكورة، أم لا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المقنعة والانتصار والنهاية والخلاف والوسيلة والكافي والمراسم </w:t>
      </w:r>
    </w:p>
    <w:p>
      <w:pPr>
        <w:pStyle w:val="BookText"/>
        <w:rPr/>
      </w:pPr>
      <w:r>
        <w:rPr>
          <w:rFonts w:ascii="Amiri" w:hAnsi="Amiri" w:eastAsia="Amiri" w:cs="Amiri"/>
          <w:color w:val="111111"/>
          <w:sz w:val="28"/>
          <w:sz w:val="28"/>
          <w:szCs w:val="28"/>
          <w:rtl w:val="true"/>
          <w:lang w:bidi="ar-SA"/>
        </w:rPr>
        <w:t xml:space="preserve">والمهذّب والغنية والسرائر والجامع والشرائع والنافع و غيرهم هو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أنا أورد عباراتهم في المقام للاطّلاع على حقيقة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فجر بغلام فأوقبه لم تحلّ له أخت الغلام ولا أمّه ولا ابنته أبدًا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الظهور هو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العموم، فيشمل الغير المكلَّف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الانتصار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انفردت به الإماميّة، القول بأنّ من تلوط بغلام فأوقب، لم تحلّ له أمّ الغلام، و لا أخته، و لا بنته أبدًا ؛ و حكي عن الأوزاعي وابن حنبل أنّ من تلوط بغلام يحرم عليه تزويج بنته، و الطريقة في هذه المسألة كالطريقة فيما تقدّمها من المسائل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والطريقة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إلى التمسّك بالإجماع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فجر بغلام فأوقب، حرم عليه العقد على أمّه و أخته و بنته على جميع الأحوال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فجر بغلام فأوقب، حرم عليه بنته و أمّه و أخته، 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لاط بغلام حرم عليه بنت هذا الغلام، لأنّها بنت من دخل به، دليلنا إجماع الفرقة وأخبارهم، و طريقة الاحتياط تقتضي تجنّب ذلك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المحرَّمات من النساء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يحرم بالنسب، أو بالسبب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السبب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يحرم نكاحه أبدًا، أو في حال دون حال، و الأوّل أربعون صنفًا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يلوط بأبيها أو أخيها أو ابنها فأوقب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المحرّمات بالأسباب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المرأة المعقود عليها و ابنتها المدخول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 الغلام الموقب و أخته و ابنته قبل العقد عليهنّ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المراسم، في بيان شرائط النكاح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أن يكون الزوجة من غير المحرّمات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تكون غير أمّ غلام قد فجر به الناكح فأوقبه و لا أخته و لا بنته، فإنّهنّ لايحللن له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لابن البرّاج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فجر بغلام فأوقب، حرم عليه العقد على أمّه و بنته وأخته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العقد على الزانية، و هي ذات بعل، أو في عدّة رجعيّة ممّن زنى بها، و على أمّ الغلام الموقَب و أخته و ابنته ممّن لاط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ذلك كلّه إجماع الطائفة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أوقب غلامًا أو رجلاً حرم على اللائط الموقب بنت المفعول به وأمّه و أخته تحريمًا أبدًا، و يدخل في تحريم الأمّ تحريم الجدّة وإن علت، لأنّها أمّ عندنا حقيقة ؛ و كذلك بنت البنت، و كذلك بنت ابنه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بنت ابن بنته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سفلن، لأنّهن بناته حقيقة ؛ و أمّا بنت أخته فإنّها لا تحرم، لأنّبنت الأخت ليست أختًا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على الفاعل أخت المفعول به بالإيقاب، و أمّه و بنته و إن كانت زوجته انفسخ نكاحها،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ينفسخ، و لا تحرمن بدون الإيقاب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فجر بغلام فأوقبه، حرم على الواطي العقد على أمّ الموطوء وأخته و بنته، و لا يحرم إحديهنّ لو كان عقدها سابقًا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لاط بغلام فأوقبه، حرم على الواطي العقد على أمّ الموطوء وأخته وبنته، و لا يحرم إحديهنّ لو كان عقدها سابقًا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هذه العبارات و نحوها أنّ حرمة العقد تابعة للإيقاب، سواء كان الموقِب مكلَّفًا أو غير مكلَّف ؛ و الأمر في المكلَّف ظاهر، و فيغير المكلَّف يكون تعلّق التحريم بعد أن استجمع شرائط التكليف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الاحتمالات هنا 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الموقِب و الموقَب </w:t>
      </w:r>
    </w:p>
    <w:p>
      <w:pPr>
        <w:pStyle w:val="BookText"/>
        <w:rPr/>
      </w:pPr>
      <w:r>
        <w:rPr>
          <w:rFonts w:ascii="Amiri" w:hAnsi="Amiri" w:eastAsia="Amiri" w:cs="Amiri"/>
          <w:color w:val="111111"/>
          <w:sz w:val="28"/>
          <w:sz w:val="28"/>
          <w:szCs w:val="28"/>
          <w:rtl w:val="true"/>
          <w:lang w:bidi="ar-SA"/>
        </w:rPr>
        <w:t xml:space="preserve">كلاهما مكلَّفًا ؛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كلاهما غير مكلّف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الموقِب مكلَّفًا والموقَب غير مكلّف ؛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التحريم في القسمين منهما ممّا لا يرتاب فيه، و هو القسم الأوّل و الثالث، أي فيما إذا كان الموقِب مكلَّفًا، سواء كان الموقَب مكلَّفًا أيضًا كما في القسم الأوّل، أو غير مكلَّف كما في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القسمين الباقيين،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كلاهما غير مكلَّف، أو يكون الموقِب الفاعل غيره و إن كان المفعول مكلَّفًا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مقتضى العموم في كلماتهم ثبوت التحريم بعنوان العموم، و هو المصرّح به في التحرير والإيضاح و جامع المقاصد والتنقيح والروضة والمسالك والكفاية والمفاتيح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الزنا السابق على العقد، فالمشهور أنّ مَن زنى بعمّته أو خالته حرمت عليه ابنتاهما أبدًا، و يلوح من كلام ابن إدريس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لاط بغلام أو رجل فأوقب، فإنّه يحرم على اللائط أمّ المفعول به وأخته و بنته، تحريمًا مؤبَّدًا، سواء كان اللواط بإيقاب الحشفة بكمالها، أو بجزئها بعد أن يتحقّق الإيقاب ؛ و سواء كانا صغيرين، أو كبيرين، أو بالتفريق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يحرم على المفعول به أقارب الفاعل، ولا يحرم مع عدم الإيقاب </w:t>
      </w:r>
    </w:p>
    <w:p>
      <w:pPr>
        <w:pStyle w:val="BookText"/>
        <w:rPr/>
      </w:pPr>
      <w:r>
        <w:rPr>
          <w:rFonts w:ascii="Amiri" w:hAnsi="Amiri" w:eastAsia="Amiri" w:cs="Amiri"/>
          <w:color w:val="111111"/>
          <w:sz w:val="28"/>
          <w:sz w:val="28"/>
          <w:szCs w:val="28"/>
          <w:rtl w:val="true"/>
          <w:lang w:bidi="ar-SA"/>
        </w:rPr>
        <w:t xml:space="preserve">من الطرفين ؛ و يحرم مع الإيقاب جدّة المفعول و إن علت، و بناته وإن نزلن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له أمّ أو أخت أو بنت من الرضاع فالأقرب تحريمهنّ أيضًا، ولا تحرم بنت أخيه ولا أخت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لاط المجنون فالأقرب التحريم عليه بعد زوال عذره، ولو لاط مكرهًا على إشكال، أو يشتبه عليه بإمرأته فكذلك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عنون كلام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الرضاع و الفاعل الصغير 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الصغير من حيث العموم المتناول له، من أنّ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المجازات والاستفهام للعموم، و من أنّه حال الوطي لا أثر، لأنّ التحريم تكليف و بعده لا 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عندي الأوّل، لأنّه من باب الأسباب و التكليف على الوليّ،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زوّجه أبوه، فإنّه يحرم عليه أمّ زوجته، بمعنى </w:t>
      </w:r>
      <w:r>
        <w:rPr>
          <w:rStyle w:val="FootnoteAnchor"/>
          <w:rtl w:val="true"/>
        </w:rPr>
        <w:footnoteReference w:id="84"/>
      </w:r>
      <w:r>
        <w:rPr>
          <w:rFonts w:ascii="Amiri" w:hAnsi="Amiri" w:eastAsia="Amiri" w:cs="Amiri"/>
          <w:color w:val="111111"/>
          <w:sz w:val="28"/>
          <w:sz w:val="28"/>
          <w:szCs w:val="28"/>
          <w:rtl w:val="true"/>
          <w:lang w:bidi="ar-SA"/>
        </w:rPr>
        <w:t xml:space="preserve">أنّه يحرم على الوليّ إنكاحه أمّها و بعد البلوغ يتعلّق به، فحال العقد </w:t>
      </w:r>
      <w:r>
        <w:rPr>
          <w:rStyle w:val="FootnoteAnchor"/>
          <w:rtl w:val="true"/>
        </w:rPr>
        <w:footnoteReference w:id="85"/>
      </w:r>
      <w:r>
        <w:rPr>
          <w:rFonts w:ascii="IRNazanin" w:hAnsi="IRNazanin" w:eastAsia="IRNazanin"/>
          <w:color w:val="111111"/>
          <w:sz w:val="28"/>
          <w:sz w:val="28"/>
          <w:szCs w:val="28"/>
          <w:rtl w:val="true"/>
          <w:lang w:bidi="fa-IR"/>
        </w:rPr>
        <w:t xml:space="preserve">وجد </w:t>
      </w:r>
    </w:p>
    <w:p>
      <w:pPr>
        <w:pStyle w:val="BookText"/>
        <w:rPr/>
      </w:pPr>
      <w:r>
        <w:rPr>
          <w:rFonts w:ascii="IRNazanin" w:hAnsi="IRNazanin" w:eastAsia="IRNazanin"/>
          <w:color w:val="111111"/>
          <w:sz w:val="28"/>
          <w:sz w:val="28"/>
          <w:szCs w:val="28"/>
          <w:rtl w:val="true"/>
          <w:lang w:bidi="fa-IR"/>
        </w:rPr>
        <w:t xml:space="preserve">الأثر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أطبق الأصحاب على أنّ مَن لاط بغلام أو رجل فأوقبه، حرم عليه أمّ الغلام و أخته و بنته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الإشكال لو كان الفاعل صغيرًا، و منشؤه أنّ التحريم الوارد في النصّ دليلٌ على أنّ هذا الحكم إنّما هو في البالغ، لامتناع تعلّق التحريم بالصبيّ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النصّ خرج مخرج الغالب، لأنّ هذا الفعل إنّما يقع غالبًا من البالغ، و لأنّه بعد البلوغ يصدق عليه أنّه رجل أوقب غلامًا، فيتعلّق به التحريم، لعموم النصّ لمن تقدّم إيقابه على البلوغ و من تأخّر عنه ؛ و حينئذٍ فيكون الحكم بالتحريم قبل البلوغ متعلّقًا بالوليّ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أحكام المصاهرة لا يفرق فيها بين البالغ والصبيّ، والفرد النادر يلحق بالأعمّ الغالب، والتحريم أقوى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 كون المفعول به غلامًا أو رجلاً، أمّا الفاعل فهل يشترطبلوغه ؟ يحتمل ذلك، لأنّه تكليف، لقوله في 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على </w:t>
      </w:r>
    </w:p>
    <w:p>
      <w:pPr>
        <w:pStyle w:val="BookText"/>
        <w:rPr/>
      </w:pPr>
      <w:r>
        <w:rPr>
          <w:rFonts w:ascii="Amiri" w:hAnsi="Amiri" w:eastAsia="Amiri" w:cs="Amiri"/>
          <w:color w:val="111111"/>
          <w:sz w:val="28"/>
          <w:sz w:val="28"/>
          <w:szCs w:val="28"/>
          <w:rtl w:val="true"/>
          <w:lang w:bidi="ar-SA"/>
        </w:rPr>
        <w:t xml:space="preserve">الموقب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يحتمل العدم للعموم،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المجازات والاستفهام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الأقرب، لأنّه من الأسباب، فهو من باب الوضع، و لهذا لو زوّجه الوليّ، فإنّه يحرم عليه أمّ زوجته، بمعنى أنّه يحرم على الوليّ إنكاحه إيّاها وبعد البلوغ يتعلّق به، فحال الفعل وجد الأثر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فيهما بين الصغير و الكبير على الأقوى، للعموم، فيتعلّق التحريم قبل البلوغ بالوليّ و بعده به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الفاعل و المفعول بين الصغير و الكبير على الأقوى، فيتعلّق التحريم قبل البلوغ بالوليّ و بعده به، جعلاً للفعل من باب الأسباب الّتي لا يشترط بالتكليف ؛ و لا يحرم على المفعول بسببه شيء للأصل ؛ و إنّما يحرم المذكورات مع سبق الفعل على النكاح كالزنا، أمّا مع تأخّره فيستصحب الحلّ، و لا يحرّم الحرام الحلال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 xml:space="preserve">: </w:t>
      </w:r>
      <w:bookmarkStart w:id="87" w:name="pg7092_62198"/>
    </w:p>
    <w:p>
      <w:pPr>
        <w:pStyle w:val="BookText"/>
        <w:rPr/>
      </w:pPr>
      <w:bookmarkEnd w:id="87"/>
      <w:r>
        <w:rPr>
          <w:rFonts w:ascii="Amiri" w:hAnsi="Amiri" w:eastAsia="Amiri" w:cs="Amiri"/>
          <w:color w:val="111111"/>
          <w:sz w:val="28"/>
          <w:sz w:val="28"/>
          <w:szCs w:val="28"/>
          <w:rtl w:val="true"/>
          <w:lang w:bidi="ar-SA"/>
        </w:rPr>
        <w:t xml:space="preserve">و الأقوى أنّه لا فرق في الفاعل و المفعول بين الصغير و الكبير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الصغير والكبير في الطرفين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فيما اتّفقوا عليه بين الصغير والكبير في الفاعل والمفعول، لعموم النصّ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503073_372815092"/>
      <w:bookmarkStart w:id="89" w:name="_Toc31"/>
      <w:bookmarkEnd w:id="88"/>
      <w:r>
        <w:rPr>
          <w:rtl w:val="true"/>
        </w:rPr>
        <w:t>المستند في المسألة</w:t>
      </w:r>
      <w:bookmarkEnd w:id="89"/>
    </w:p>
    <w:p>
      <w:pPr>
        <w:pStyle w:val="BookText"/>
        <w:rPr/>
      </w:pPr>
      <w:r>
        <w:rPr>
          <w:rFonts w:ascii="Amiri" w:hAnsi="Amiri" w:eastAsia="Amiri" w:cs="Amiri"/>
          <w:color w:val="111111"/>
          <w:sz w:val="28"/>
          <w:sz w:val="28"/>
          <w:szCs w:val="28"/>
          <w:rtl w:val="true"/>
          <w:lang w:bidi="ar-SA"/>
        </w:rPr>
        <w:t xml:space="preserve">و المستند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الإجماعات المنقولة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الكافي والتهذيب عن ابن أبي عمير، عن بعض أصحابنا، عن أبي عبداللّه عليه‌السلام في رجل يعبث بالغلام،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أوقب حرمت عليه بنته و أخته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المرويّ في الكافي أيضًا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غلامًا أتحلّ له أخته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ثقب فلا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التهذيب عن حمّاد بن عيسى، عن إبراهيم بن عمر، عن أبي عبداللّه عليه‌السلام في رجل لعب بغلام، هل تحلّ له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فلا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المرويّ في باب عقاب اللواطة من محاسن البرقي، و في باب عقاب اللوطي من عقاب الأعمال لشيخنا الصدوق،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عليه‌السلام في رجل لعب بغلام،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أوقب لم تحلّ له أخته أبدًا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النصوص لاشتمال بعضها على البنت و الأخت، و بعضها على الأمّ، و بعضها على الأخت فقط، يكون المتحصّل منها حرمة أمّ المفعول و بنته وأخته على الموقِب، كما هو المصرّح به في كلام الأصحاب، لكن لاشتمالها على الرجل لايكون المستفاد منها إلاّ التحريم على البالغ، لكون الرجل ظاهرًا فيه، فلا ينصرف إلى الصغير عرفًا و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خلاف المرأة، 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و رجالات،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w:t>
      </w:r>
    </w:p>
    <w:p>
      <w:pPr>
        <w:pStyle w:val="BookText"/>
        <w:rPr/>
      </w:pPr>
      <w:r>
        <w:rPr>
          <w:rFonts w:ascii="IRNazanin" w:hAnsi="IRNazanin" w:eastAsia="IRNazanin"/>
          <w:color w:val="111111"/>
          <w:sz w:val="28"/>
          <w:sz w:val="28"/>
          <w:szCs w:val="28"/>
          <w:rtl w:val="true"/>
          <w:lang w:bidi="fa-IR"/>
        </w:rPr>
        <w:t xml:space="preserve">و جمالات، و أراجل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رجل، خلاف المرأة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بضمّ الجيم و سكونه، و إنّما هو إذا احتلم و شَبَّ، أو هو رجل ساعة يولد،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من كلمات الأصحاب ثبوت الحكم في كلّ مَن أوقب و لو لم يكن حال الإيقاب كبيرًا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إرادة العموم منهم في كلماتهم عدولهم إلاّ ممّن شذّ عن ظاهر النصّ في طرف الفاعل دون جانب المفعول، حيث عبّروا في الأوّل بمَن الظاهر في العموم، لشموله قبل البلوغ أيضًا، و في الثاني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المذكور في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ذكر الرجل بعد ذكر الغلام في جانب المفعول في جملة من العبارات، بخلافه في طرف الفاعل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النكتة في اختيار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في طرف </w:t>
      </w:r>
      <w:bookmarkStart w:id="90" w:name="pg7092_62203"/>
    </w:p>
    <w:p>
      <w:pPr>
        <w:pStyle w:val="BookText"/>
        <w:rPr/>
      </w:pPr>
      <w:bookmarkEnd w:id="90"/>
      <w:r>
        <w:rPr>
          <w:rFonts w:ascii="Amiri" w:hAnsi="Amiri" w:eastAsia="Amiri" w:cs="Amiri"/>
          <w:color w:val="111111"/>
          <w:sz w:val="28"/>
          <w:sz w:val="28"/>
          <w:szCs w:val="28"/>
          <w:rtl w:val="true"/>
          <w:lang w:bidi="ar-SA"/>
        </w:rPr>
        <w:t xml:space="preserve">الفاعل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المفعول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صدور الفعل من البالغ على غيره، كما لا يخفى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503075_372815092"/>
      <w:bookmarkStart w:id="92" w:name="_Toc32"/>
      <w:bookmarkEnd w:id="91"/>
      <w:r>
        <w:rPr>
          <w:rtl w:val="true"/>
        </w:rPr>
        <w:t>مختار المؤلّف و مستنده</w:t>
      </w:r>
      <w:bookmarkEnd w:id="92"/>
    </w:p>
    <w:p>
      <w:pPr>
        <w:pStyle w:val="BookText"/>
        <w:rPr/>
      </w:pPr>
      <w:r>
        <w:rPr>
          <w:rFonts w:ascii="Amiri" w:hAnsi="Amiri" w:eastAsia="Amiri" w:cs="Amiri"/>
          <w:color w:val="111111"/>
          <w:sz w:val="28"/>
          <w:sz w:val="28"/>
          <w:szCs w:val="28"/>
          <w:rtl w:val="true"/>
          <w:lang w:bidi="ar-SA"/>
        </w:rPr>
        <w:t xml:space="preserve">و الحاصل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جواز العقد إلاّ ما دلّ الدليل على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الموطوء و بنته و أخته فيما إذا كان الواطي بالغًا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المستفاد من كلمات الأصحاب ثبوت الحكم في كلّ ما تحقّق فيه الإيقاب و لو كان الموقِب غير بالغ، فهذا 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استصحاب تحريم الوطي الثابت 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في كلام الانتصار والخلاف والغنية، فلاحظ عباراتهم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العقد على أمّ الغلام الموقَب و أخته و بنته ممّن لاط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ذلك كلّه إجماع الطائفة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شمول هذا الكلام لللاّئط قبل البلوغ ممّا لا ينبغي التأمّل فيه ؛ و كذلك الحال </w:t>
      </w:r>
    </w:p>
    <w:p>
      <w:pPr>
        <w:pStyle w:val="BookText"/>
        <w:rPr/>
      </w:pPr>
      <w:r>
        <w:rPr>
          <w:rFonts w:ascii="Amiri" w:hAnsi="Amiri" w:eastAsia="Amiri" w:cs="Amiri"/>
          <w:color w:val="111111"/>
          <w:sz w:val="28"/>
          <w:sz w:val="28"/>
          <w:szCs w:val="28"/>
          <w:rtl w:val="true"/>
          <w:lang w:bidi="ar-SA"/>
        </w:rPr>
        <w:t xml:space="preserve">في عبارة الخلاف والانتصار و غيرهم من علمائنا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رضوان اللّه الملك الغفّار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في إثبات العموم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المجازات و الاستفهام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الإيضاح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ما فيه، كالتمسّك في كلام شارح المفاتيح بعموم النصّ، لعدم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النصوص الواردة في المسألة، كما علمت ممّا أوردناه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مذكور في كلمات الأصحاب، و قد علمت الوجه في عدول الأصحاب عمّا اقتضاه ظاهر النصّ </w:t>
      </w:r>
      <w:r>
        <w:rPr>
          <w:rFonts w:eastAsia="Amiri" w:cs="Amiri" w:ascii="Amiri" w:hAnsi="Amiri"/>
          <w:color w:val="111111"/>
          <w:sz w:val="28"/>
          <w:szCs w:val="28"/>
          <w:rtl w:val="true"/>
          <w:lang w:bidi="ar-SA"/>
        </w:rPr>
        <w:t xml:space="preserve">. </w:t>
      </w:r>
      <w:bookmarkStart w:id="93" w:name="pg7092_62207"/>
    </w:p>
    <w:p>
      <w:pPr>
        <w:pStyle w:val="Heading3"/>
        <w:numPr>
          <w:ilvl w:val="2"/>
          <w:numId w:val="1"/>
        </w:numPr>
        <w:rPr/>
      </w:pPr>
      <w:bookmarkStart w:id="94" w:name="__RefHeading___Toc3503077_372815092"/>
      <w:bookmarkStart w:id="95" w:name="_Toc33"/>
      <w:bookmarkEnd w:id="93"/>
      <w:bookmarkEnd w:id="94"/>
      <w:r>
        <w:rPr>
          <w:rtl w:val="true"/>
        </w:rPr>
        <w:t>التنبيه على أمور</w:t>
      </w:r>
      <w:bookmarkEnd w:id="95"/>
    </w:p>
    <w:p>
      <w:pPr>
        <w:pStyle w:val="BookText"/>
        <w:rPr/>
      </w:pPr>
      <w:r>
        <w:rPr>
          <w:rFonts w:ascii="Amiri" w:hAnsi="Amiri" w:eastAsia="Amiri" w:cs="Amiri"/>
          <w:color w:val="111111"/>
          <w:sz w:val="28"/>
          <w:sz w:val="28"/>
          <w:szCs w:val="28"/>
          <w:rtl w:val="true"/>
          <w:lang w:bidi="ar-SA"/>
        </w:rPr>
        <w:t xml:space="preserve">ثمّ إنّه ينبغي التنبيه في المقام على أمور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503079_372815092"/>
      <w:bookmarkStart w:id="97" w:name="_Toc34"/>
      <w:bookmarkEnd w:id="96"/>
      <w:r>
        <w:rPr>
          <w:rtl w:val="true"/>
        </w:rPr>
        <w:t xml:space="preserve">التنبيه الأوّل </w:t>
      </w:r>
      <w:r>
        <w:rPr>
          <w:rtl w:val="true"/>
        </w:rPr>
        <w:t xml:space="preserve">: </w:t>
      </w:r>
      <w:r>
        <w:rPr>
          <w:rtl w:val="true"/>
        </w:rPr>
        <w:t>في أنّ الإيقاب الّذي هو المناط في التحريم هو الإدخال</w:t>
      </w:r>
      <w:bookmarkEnd w:id="9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الإيقاب الّذي هو المناط في التحريم وجودًا و عدمًا هو الإدخال، ولو ببعض الحشفة، ولم يجب معه الغسل، و هو المصرّح به في كثير من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الإيقاب المحرّم لذلك إدخال بعض الحشفة و لو قليلاً وإن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يجب عليه الغسل، لأنّ الغسل لا يجب إلاّ بغيبوبة الحشفة جميعها، والتحريم لهؤلاء المذكورات يتعلّق بإدخال بعضها، لأنّ الإيقاب هو </w:t>
      </w:r>
    </w:p>
    <w:p>
      <w:pPr>
        <w:pStyle w:val="BookText"/>
        <w:rPr/>
      </w:pPr>
      <w:r>
        <w:rPr>
          <w:rFonts w:ascii="IRNazanin" w:hAnsi="IRNazanin" w:eastAsia="IRNazanin"/>
          <w:color w:val="111111"/>
          <w:sz w:val="28"/>
          <w:sz w:val="28"/>
          <w:szCs w:val="28"/>
          <w:rtl w:val="true"/>
          <w:lang w:bidi="fa-IR"/>
        </w:rPr>
        <w:t xml:space="preserve">الدخول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التحرير بعد الحكم بالتحريم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اللواط بإيقاب الحشفة بكمالها، أو بجزئها بعد أن يتحقّق الإيقاب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الإيقاب إدخال بعض الحشفة و لو قليلاً، أمّا الغسل فإنّما يجب لغيبوبة الجميع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البارع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يتعلّق الحكم بإدخال بعض الحشفة و إن لم يجب الغسل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إدخال الذكر و لو ببعض الحشفة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أوقب غلامًا أو رجلاً بأن أدخل به بعض الحشفة و إن لم يجب </w:t>
      </w:r>
    </w:p>
    <w:p>
      <w:pPr>
        <w:pStyle w:val="BookText"/>
        <w:rPr/>
      </w:pPr>
      <w:r>
        <w:rPr>
          <w:rFonts w:ascii="IRNazanin" w:hAnsi="IRNazanin" w:eastAsia="IRNazanin"/>
          <w:color w:val="111111"/>
          <w:sz w:val="28"/>
          <w:sz w:val="28"/>
          <w:szCs w:val="28"/>
          <w:rtl w:val="true"/>
          <w:lang w:bidi="fa-IR"/>
        </w:rPr>
        <w:t xml:space="preserve">الغسل، حرمت على الموقب أمّ الموطوء، إلى آخره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يتحقّق الإيقاب بإدخال بعض الحشفة و إن لم يوجب الغسل، لأنّ أصله الإدخال و هو متحقّق بذلك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الشرح الصغير و الكبير لسيّدنا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ضريحه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لاط بغلام أو رجل فأوقبه و لو بإدخال بعض الحشفة، حرمت عليه أمّ الغلام، إلى آخره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في ذلك العموم في النصوص السالفة،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أوقب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والإيقاب هو الإدخال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 الشيء، يقب، وقبًا،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وقبت الشمس إذا غابت ودخلت موضعها ؛ و وقب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أوقبت الشيء إذا أدختله في الوقبة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في الصخرة يجتمع فيها الماء، كالوَقْبَة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ظلّ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أَوقَب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الوَقْبَة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آلته فيه، و إدخال الشيء فيه كما يصدق عند إدخال كلّه يصدق عند إدخال بعضه،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إصبعي في النهر، ولا شبهة في صدقه عادة فيما إذا أدخل بعض إصبعه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 ذكره في دبره ؛ و قد نبّهنا عليه أنّه يصدق و لو بإدخال بعضه فيه، و هذا القدر يكفي في المقام، سيّما بعد عدم ظهور الخلاف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الكبير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لاط بغلام و لو بإدخال بعض الحشفة، لصدق الإيقاب عليه مع تأمّل في انصرافه إليه، إلاّ أنّ الاتّفاق في الظاهر واقع عليه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98" w:name="pg7092_62214"/>
    </w:p>
    <w:p>
      <w:pPr>
        <w:pStyle w:val="Heading3"/>
        <w:numPr>
          <w:ilvl w:val="2"/>
          <w:numId w:val="1"/>
        </w:numPr>
        <w:rPr/>
      </w:pPr>
      <w:bookmarkStart w:id="99" w:name="__RefHeading___Toc3503081_372815092"/>
      <w:bookmarkStart w:id="100" w:name="_Toc35"/>
      <w:bookmarkEnd w:id="98"/>
      <w:bookmarkEnd w:id="99"/>
      <w:r>
        <w:rPr>
          <w:rtl w:val="true"/>
        </w:rPr>
        <w:t xml:space="preserve">التنبيه الثاني </w:t>
      </w:r>
      <w:r>
        <w:rPr>
          <w:rtl w:val="true"/>
        </w:rPr>
        <w:t xml:space="preserve">: </w:t>
      </w:r>
      <w:r>
        <w:rPr>
          <w:rtl w:val="true"/>
        </w:rPr>
        <w:t>في ثبوت التحريم فيما إذا كان الفجور مسبوقًا بالعقد</w:t>
      </w:r>
      <w:bookmarkEnd w:id="100"/>
    </w:p>
    <w:p>
      <w:pPr>
        <w:pStyle w:val="Heading4"/>
        <w:numPr>
          <w:ilvl w:val="3"/>
          <w:numId w:val="1"/>
        </w:numPr>
        <w:rPr/>
      </w:pPr>
      <w:bookmarkStart w:id="101" w:name="__RefHeading___Toc3503083_372815092"/>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ثبوت التحريم فيما إذا كان الفجور سابقًا على العقد، فلايسوّغ له عقدهنّ ؛ و إنّما الكلام فيما إذا كان مسبوقًا به، و قد اختلفت مقالة الأصحاب في ذلك، فالظاهر من أكثر الأصحاب اختصاص الحكم بالأوّل، فلا يؤثّر فيما إذا كان مسبوقًا بالعقد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المفيد، قال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لاط المسلم بغلام فأوقبه و لم تقم عليه بيّنة بذلك، و لا كان منه فيه إقرار، فيقام فيه الحدّ بالقتل، ثمّ تاب من ذلك، أو لم يتب، حرم عليه بما فعله بالغلام نكاح أخته وابنته وأمّه بعد ذلك، ولم تحلّ واحدة منهنّ له باستيناف عقد النكاح على حال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موضعين من هذا الكلام دلالة على اختصاص التحريم بما إذا كان الفجور </w:t>
      </w:r>
    </w:p>
    <w:p>
      <w:pPr>
        <w:pStyle w:val="BookText"/>
        <w:rPr/>
      </w:pPr>
      <w:r>
        <w:rPr>
          <w:rFonts w:ascii="Amiri" w:hAnsi="Amiri" w:eastAsia="Amiri" w:cs="Amiri"/>
          <w:color w:val="111111"/>
          <w:sz w:val="28"/>
          <w:sz w:val="28"/>
          <w:szCs w:val="28"/>
          <w:rtl w:val="true"/>
          <w:lang w:bidi="ar-SA"/>
        </w:rPr>
        <w:t xml:space="preserve">سابقًا على العقد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النهاية، قال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فجر بغلام فأوقب، حرم عليه العقد على أمّه وأخته و بنته على جميع الأحوال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عليه العقد على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مراده فيما إذا سبق الفعل على العقد،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الصلاح، قال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المحرّمات بالأسباب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المرأة المعقود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 الغلام الموقب و أخته و بنته قبل العقد عليهنّ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ابن البرّاج، قال في المهذّب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فجر بغلام فأوقب، حرم عليه العقد على بنته و أمّه و أخته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زهرة، قال في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العقد على الزانية، و هي ذات بعل أو في عدّة رجعيّة ممّن زنى بها، و على أمّ الغلام الموقب و أخته و بنته ممّن لاط به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أمّ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العقد على الزانية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المحقّق، و كلامه صريحٌ في ذلك، 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فجر بغلام فأوقبه، حرم على الواطي العقد على أمّ الموطوء وأخته و بنته، و لا يحرم إحداهنّ لو كان عَقَدها سابقًا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كلامه في النافع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قال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الزنا الطارئ لا ينشر الحرمة، فلو زنى بأمّ امرأته بعد العقد أو بابنتها أو لاط بأخيها أو ابنها أو أبيها، لم يحرم ابنته عليه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سبق العقد لم تحرم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تحريم لو سبق العقد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التلخيص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يحرم العقد على الأمّ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من أوقبه و أخته و بنته مع التأخّر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العقد عليهنّ إنّما هو إذا كان متأخّرًا عن الإيقاب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سبق عقدهنّ لم يحرمن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الشهيدان، قال في اللمعة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سبق العقد لم تحرم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يحرم المذكورات مع سبق الفعل على النكاح كالزنا، أمّا مع تأخّره فيستصحب الحلّ، و لا يحرّم الحرام الحلال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صاحب المدارك، قال في شرحه على النافع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يحرم المذكورات مع سبق الفعل على العقد عليهنّ، فلو سبق العقد على الفعل فلا تحريم، للأصل 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w:t>
      </w:r>
    </w:p>
    <w:p>
      <w:pPr>
        <w:pStyle w:val="BookText"/>
        <w:rPr/>
      </w:pPr>
      <w:r>
        <w:rPr>
          <w:rFonts w:ascii="IRNazanin" w:hAnsi="IRNazanin" w:eastAsia="IRNazanin"/>
          <w:color w:val="111111"/>
          <w:sz w:val="28"/>
          <w:sz w:val="28"/>
          <w:szCs w:val="28"/>
          <w:rtl w:val="true"/>
          <w:lang w:bidi="fa-IR"/>
        </w:rPr>
        <w:t xml:space="preserve">الحلال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شيخنا السديد يحيى بن سعيد إلى انتفاء التفرقة بين الصورتين وثبوت التحريم في الحالين </w:t>
      </w:r>
      <w:r>
        <w:rPr>
          <w:rStyle w:val="FootnoteAnchor"/>
          <w:rtl w:val="true"/>
        </w:rPr>
        <w:footnoteReference w:id="128"/>
      </w:r>
      <w:r>
        <w:rPr>
          <w:rFonts w:ascii="Amiri" w:hAnsi="Amiri" w:eastAsia="Amiri" w:cs="Amiri"/>
          <w:color w:val="111111"/>
          <w:sz w:val="28"/>
          <w:sz w:val="28"/>
          <w:szCs w:val="28"/>
          <w:rtl w:val="true"/>
          <w:lang w:bidi="ar-SA"/>
        </w:rPr>
        <w:t xml:space="preserve">، قال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زوجته انفسخ نكاحها،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ينفسخ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منه ندرة القائل بالاختصاص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وافقه في ذلك أو </w:t>
      </w:r>
      <w:r>
        <w:rPr>
          <w:rStyle w:val="FootnoteAnchor"/>
          <w:rtl w:val="true"/>
        </w:rPr>
        <w:footnoteReference w:id="130"/>
      </w:r>
      <w:r>
        <w:rPr>
          <w:rFonts w:ascii="Amiri" w:hAnsi="Amiri" w:eastAsia="Amiri" w:cs="Amiri"/>
          <w:color w:val="111111"/>
          <w:sz w:val="28"/>
          <w:sz w:val="28"/>
          <w:szCs w:val="28"/>
          <w:rtl w:val="true"/>
          <w:lang w:bidi="ar-SA"/>
        </w:rPr>
        <w:t xml:space="preserve">مال إليه سيّدنا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الشرح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تحرم المذكورات بذلك مطلقًا، أم بشرط سبق الوطى‌ء على العقد عليهنّ، و إلاّ لم تحرمن ؟ وجهان، بل قولان، أحوطهما الأوّل، إن لم يكن أظهر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شرحه الكبير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ما يظهر من الفاضل السميّ الخراساني و شارح المفاتيح من الوفاق ونفي الخلاف في المسألة، فلا يخفى ما فيه ؛ قال في الكفاية </w:t>
      </w:r>
      <w:r>
        <w:rPr>
          <w:rFonts w:eastAsia="Amiri" w:cs="Amiri" w:ascii="Amiri" w:hAnsi="Amiri"/>
          <w:color w:val="111111"/>
          <w:sz w:val="28"/>
          <w:szCs w:val="28"/>
          <w:rtl w:val="true"/>
          <w:lang w:bidi="ar-SA"/>
        </w:rPr>
        <w:t xml:space="preserve">: </w:t>
      </w:r>
      <w:bookmarkStart w:id="103" w:name="pg7092_62224"/>
    </w:p>
    <w:p>
      <w:pPr>
        <w:pStyle w:val="BookText"/>
        <w:rPr/>
      </w:pPr>
      <w:bookmarkEnd w:id="103"/>
      <w:r>
        <w:rPr>
          <w:rFonts w:ascii="Amiri" w:hAnsi="Amiri" w:eastAsia="Amiri" w:cs="Amiri"/>
          <w:color w:val="111111"/>
          <w:sz w:val="28"/>
          <w:sz w:val="28"/>
          <w:szCs w:val="28"/>
          <w:rtl w:val="true"/>
          <w:lang w:bidi="ar-SA"/>
        </w:rPr>
        <w:t xml:space="preserve">مَن فجر بغلام فأوقبه، حرمت عليه أمّه و أخته و بنته، إذا سبق الفعل على النكاح، لأخبار متعدّدة دالّة عليه، مع اعتضادها بالشهرة البالغة حدّ الاتّفاق، و لا يحرم إحداهنّ لو كان عَقَدها سابقًا عندهم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 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الإيقاب متأخّرًا عن عقدهنّ، فلا يحرم كالزنا الطارئ، لاستصحاب الحلّ، ولعموم الأخبار المتقدّمة القائلة بأنّ الحرام لايحرِّم الحلال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ممّا لا خلاف فيه أيضًا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503085_372815092"/>
      <w:bookmarkStart w:id="105" w:name="_Toc37"/>
      <w:bookmarkEnd w:id="104"/>
      <w:r>
        <w:rPr>
          <w:rtl w:val="true"/>
        </w:rPr>
        <w:t>مستند القولين</w:t>
      </w:r>
      <w:bookmarkEnd w:id="105"/>
    </w:p>
    <w:p>
      <w:pPr>
        <w:pStyle w:val="BookText"/>
        <w:rPr/>
      </w:pPr>
      <w:r>
        <w:rPr>
          <w:rFonts w:ascii="Amiri" w:hAnsi="Amiri" w:eastAsia="Amiri" w:cs="Amiri"/>
          <w:color w:val="111111"/>
          <w:sz w:val="28"/>
          <w:sz w:val="28"/>
          <w:szCs w:val="28"/>
          <w:rtl w:val="true"/>
          <w:lang w:bidi="ar-SA"/>
        </w:rPr>
        <w:t xml:space="preserve">و المستند في الأوّل، أمّا في التحريم في صورة تقدّم الفجور على العقد، فالإجماعات المنقولة والنصوص المعتبرة السالفة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انتفائه في صورة تأخّره عنه فاستصحاب الحلّيّة السابقة والنصوص المعتبرة الناطقة بأنّ الحرام لايفسد الحلال، كالصحيح المرويّ في الكافي عن محمّد بن مسلم،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يفجر بالمرأة أيتزوّج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إن كانت عنده امرأة ثمّ فجر بأمّها أو بنتها أو أختها لم يحرم </w:t>
      </w:r>
    </w:p>
    <w:p>
      <w:pPr>
        <w:pStyle w:val="BookText"/>
        <w:rPr/>
      </w:pPr>
      <w:r>
        <w:rPr>
          <w:rFonts w:ascii="Amiri" w:hAnsi="Amiri" w:eastAsia="Amiri" w:cs="Amiri"/>
          <w:color w:val="111111"/>
          <w:sz w:val="28"/>
          <w:sz w:val="28"/>
          <w:szCs w:val="28"/>
          <w:rtl w:val="true"/>
          <w:lang w:bidi="ar-SA"/>
        </w:rPr>
        <w:t xml:space="preserve">عليه إمرأته، إنّ الحرام لايفسد الحلال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المرويّ فيه أيضًا عن الحلبي،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w:t>
      </w:r>
      <w:r>
        <w:rPr>
          <w:rStyle w:val="FootnoteAnchor"/>
          <w:rtl w:val="true"/>
        </w:rPr>
        <w:footnoteReference w:id="136"/>
      </w:r>
      <w:r>
        <w:rPr>
          <w:rFonts w:ascii="Amiri" w:hAnsi="Amiri" w:eastAsia="Amiri" w:cs="Amiri"/>
          <w:color w:val="111111"/>
          <w:sz w:val="28"/>
          <w:sz w:val="28"/>
          <w:szCs w:val="28"/>
          <w:rtl w:val="true"/>
          <w:lang w:bidi="ar-SA"/>
        </w:rPr>
        <w:t xml:space="preserve">جارية فدخل بها، ثمّ ابتلى بها ففجر بأمّها، أتحرم عليه إمرأته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لايحرّم الحلال الحرام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 المرويّ فيه أيضًا عن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رجل زنى بأمّ إمرأته أو بابنتها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بأختها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ذلك عليه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قطّ حلالاً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والمعتبر المرويّ فيه أيضًا عن زرارة، عن أبي جعفر عليه‌السلام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زنى بأمّ إمرأته أو بابنتها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بأختها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ذلك عليه إمرأته، إنّ الحرام لايفسد الحلال و لا يحرّمه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المستند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النصوص المذكورة، لوضوح أنّقوله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أوقب حرمت عليه بنته و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صورة سبق العقد على الفجور </w:t>
      </w:r>
      <w:bookmarkStart w:id="106" w:name="pg7092_62228"/>
    </w:p>
    <w:p>
      <w:pPr>
        <w:pStyle w:val="BookText"/>
        <w:rPr/>
      </w:pPr>
      <w:bookmarkEnd w:id="106"/>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الصحيح المرويّ في الكافي عن ابن أبي عمير، عن بعض أصحابه،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أخا إمرأته،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أوقبه فقد حرمت عليه المرأة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3503087_372815092"/>
      <w:bookmarkStart w:id="108" w:name="_Toc38"/>
      <w:bookmarkEnd w:id="107"/>
      <w:r>
        <w:rPr>
          <w:rtl w:val="true"/>
        </w:rPr>
        <w:t>الجواب عن مستند القول الأوّل</w:t>
      </w:r>
      <w:bookmarkEnd w:id="108"/>
    </w:p>
    <w:p>
      <w:pPr>
        <w:pStyle w:val="BookText"/>
        <w:rPr/>
      </w:pPr>
      <w:r>
        <w:rPr>
          <w:rFonts w:ascii="Amiri" w:hAnsi="Amiri" w:eastAsia="Amiri" w:cs="Amiri"/>
          <w:color w:val="111111"/>
          <w:sz w:val="28"/>
          <w:sz w:val="28"/>
          <w:szCs w:val="28"/>
          <w:rtl w:val="true"/>
          <w:lang w:bidi="ar-SA"/>
        </w:rPr>
        <w:t xml:space="preserve">والجواب عمّا ذكر مستندًا للأوّل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إنّما يعوّل عليه عند إنتفاء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النصوص المذكورة، فأوّل ما يتوجّه عليها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ذيلها معارض بصدرها، لوضوح أنّ المستفاد من ذيلها انتفاء التحريم مطلقًا، للقطع بحلّيّة العقد عليها قبل الفجور المحرّم، فالحكم بتحريم العقد بعده يستلزم الحكم بأنّ الحرام حرّم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الحكم بأنّ حرامًا لا يحرّم حلالاً قطّ، منقوضٌ بما إذا حصل الاختلاط والامتزاج بين الحرام والحلال بحيث لا يتميّز أحدهما عن الآخر، كما إذا حصل الامتزاج بين الشيء المغصوب والمباح على النحو المذكور، فحينئذٍ لايجوز أكله و لا استعماله، فيصدق أنّ الحرام قد حرّم حلالاً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أنّ الحيوان المحلّل الأكل يحرم بالوطي المحرّم، فيصدق عليه أنّ الحرام حرّم الحلال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أنّ العقد على المعتدّة بالعدّة الرجعيّة محرّم فيما إذا علم بالموضوع والحكم، فعند وقوعه يكون ذلك موجبًا لتحريمها عليه أبدًا، و قد كانت محلّلة عليه بعد انقضاء العدّة، و مثل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يتوجّه إذا كان لفظا الحرام والحلال في النصوص باقيين على إطلاقهما، و هو ليس بلازم،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البضع بغير محلِّل شرعيّ،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و من الحلال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w:t>
      </w:r>
    </w:p>
    <w:p>
      <w:pPr>
        <w:pStyle w:val="BookText"/>
        <w:rPr/>
      </w:pPr>
      <w:r>
        <w:rPr>
          <w:rFonts w:ascii="Amiri" w:hAnsi="Amiri" w:eastAsia="Amiri" w:cs="Amiri"/>
          <w:color w:val="111111"/>
          <w:sz w:val="28"/>
          <w:sz w:val="28"/>
          <w:szCs w:val="28"/>
          <w:rtl w:val="true"/>
          <w:lang w:bidi="ar-SA"/>
        </w:rPr>
        <w:t xml:space="preserve">الّذي حلَّله محلِّل شرعيّ كالعقد 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الزنا لا يحرّم البضع الّذي حلَّله قبله محلِّل شرعيّ ؛ و هذا و إن كان مخالفًا لظاهر اللفظ، لا سيّما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حرّم حرام قطّ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ممّا لابدّ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ذكر، و إن اندفع الإيراد، لكن لا يصحّ التمسّك بالنصوص المذكورة فيما نحن فيه، إلاّ أن يحمل الحرام على أعمّ من الزنا واللواط، فحينئذٍ و إن اتّجه الاستدلال، لكنّه إنّما يستقيم عند انتفاء المعارض ؛ و صحيحة ابن أبي عمير المذكورة مقيّدة لها بغير اللواط، فلا يستقيم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المذكورة لاعتضادها بالاشتهار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يظهر القائل به عدا صاحب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الحديث المذكور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ما ذكر في دفع الإشكال إنّما يجدي بالإضافة إلى النصوص المذكورة للتفرقة فيهما بين قبل العقد و بعده، فقضي بالحرمة في الأوّل دون الثاني ؛ و أمّا ما اشتمل على العلّة المذكورة في مقام الاستدلال على انتفاء </w:t>
      </w:r>
    </w:p>
    <w:p>
      <w:pPr>
        <w:pStyle w:val="BookText"/>
        <w:rPr/>
      </w:pPr>
      <w:r>
        <w:rPr>
          <w:rFonts w:ascii="Amiri" w:hAnsi="Amiri" w:eastAsia="Amiri" w:cs="Amiri"/>
          <w:color w:val="111111"/>
          <w:sz w:val="28"/>
          <w:sz w:val="28"/>
          <w:szCs w:val="28"/>
          <w:rtl w:val="true"/>
          <w:lang w:bidi="ar-SA"/>
        </w:rPr>
        <w:t xml:space="preserve">التحريم و لو كان الفجور قبل العقد، فلا يجدي فيه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التهذيب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رجل فجر بامرأة يتزوّج ابنتها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لايفسد الحلال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المرويّ فيه أيضًا عن عليّ بن الحسن بن رباط، عمّن رواه،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هل يجوز له أن يتزوّج بابنتها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حلالاً قطّ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فيه أيضًا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المرزبان عن رجل </w:t>
      </w:r>
      <w:r>
        <w:rPr>
          <w:rStyle w:val="FootnoteAnchor"/>
          <w:rtl w:val="true"/>
        </w:rPr>
        <w:footnoteReference w:id="146"/>
      </w:r>
      <w:r>
        <w:rPr>
          <w:rFonts w:ascii="Amiri" w:hAnsi="Amiri" w:eastAsia="Amiri" w:cs="Amiri"/>
          <w:color w:val="111111"/>
          <w:sz w:val="28"/>
          <w:sz w:val="28"/>
          <w:szCs w:val="28"/>
          <w:rtl w:val="true"/>
          <w:lang w:bidi="ar-SA"/>
        </w:rPr>
        <w:t>يفجر بالمرأة و هي جارية قوم آخرين ثمّ اشترى ابنتها، أيحلّ له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الحرام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فجر بامرأة حرامًا، أيتزوّج ابنتها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الحرام الحلال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يقع التعارض بينها و بين النصوص في المسألة، لوضوح أنّ مقتضى النصوص في المسألة أنّه يحرم على اللائط أمّ الموطوء و بنته و أخته، و مقتضى النصوص المذكورة انتفاؤه، للقطع بأنّ الإيقاب حرام، فلا يكون محرِّمًا للحلال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النصوص في المسألة أخصّ، فلابدّ من حمل </w:t>
      </w:r>
    </w:p>
    <w:p>
      <w:pPr>
        <w:pStyle w:val="BookText"/>
        <w:rPr/>
      </w:pPr>
      <w:r>
        <w:rPr>
          <w:rFonts w:ascii="Amiri" w:hAnsi="Amiri" w:eastAsia="Amiri" w:cs="Amiri"/>
          <w:color w:val="111111"/>
          <w:sz w:val="28"/>
          <w:sz w:val="28"/>
          <w:szCs w:val="28"/>
          <w:rtl w:val="true"/>
          <w:lang w:bidi="ar-SA"/>
        </w:rPr>
        <w:t xml:space="preserve">النصوص المذكورة على غير ما نحن فيه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المتحصّل من ذلك أنّه لا يكون الحرام محرِّمًا للحلال إلاّ في الإيقاب، فإنّه حرام و يحرِّم الحلال، فتأمّل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7092_62238"/>
      <w:bookmarkStart w:id="110" w:name="pg7092_62238"/>
      <w:bookmarkEnd w:id="110"/>
    </w:p>
    <w:p>
      <w:pPr>
        <w:pStyle w:val="Heading3"/>
        <w:numPr>
          <w:ilvl w:val="2"/>
          <w:numId w:val="1"/>
        </w:numPr>
        <w:rPr/>
      </w:pPr>
      <w:bookmarkStart w:id="111" w:name="pg7092_62238"/>
      <w:bookmarkStart w:id="112" w:name="__RefHeading___Toc3503089_372815092"/>
      <w:bookmarkStart w:id="113" w:name="_Toc39"/>
      <w:bookmarkEnd w:id="111"/>
      <w:bookmarkEnd w:id="112"/>
      <w:r>
        <w:rPr>
          <w:rtl w:val="true"/>
        </w:rPr>
        <w:t xml:space="preserve">التنبيه الثالث </w:t>
      </w:r>
      <w:r>
        <w:rPr>
          <w:rtl w:val="true"/>
        </w:rPr>
        <w:t xml:space="preserve">: </w:t>
      </w:r>
      <w:r>
        <w:rPr>
          <w:rtl w:val="true"/>
        </w:rPr>
        <w:t>في أنّه هل يختصّ الحكم المذكور بأخت الموطوء أو يعمّ</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الحكم المذكور بأخت الموطوء أو يعمّ بنت بنت الموطوء وإن نزلت، و كذا بنت ابنه و كذا أمّ الأمّ وإن علت</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اختصاص الحكم المذكور بأخت الموطوء، فلا يثبت في بناتها ؛ و هو اتّفاقيّ، لوضوح أنّ مقتضى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النكاح، خرجت أخت </w:t>
      </w:r>
      <w:r>
        <w:rPr>
          <w:rStyle w:val="FootnoteAnchor"/>
          <w:rtl w:val="true"/>
        </w:rPr>
        <w:footnoteReference w:id="150"/>
      </w:r>
      <w:r>
        <w:rPr>
          <w:rFonts w:ascii="Amiri" w:hAnsi="Amiri" w:eastAsia="Amiri" w:cs="Amiri"/>
          <w:color w:val="111111"/>
          <w:sz w:val="28"/>
          <w:sz w:val="28"/>
          <w:szCs w:val="28"/>
          <w:rtl w:val="true"/>
          <w:lang w:bidi="ar-SA"/>
        </w:rPr>
        <w:t xml:space="preserve">الموطوء بالإجماع و النصوص المذكورة، لاشتمالها على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فبقيت بنتها مندرجة تحت العمومات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لا يرتاب فيه ؛ و إنّما الكلام في بنت بنت الموطوء و إن نزلت، و كذا </w:t>
      </w:r>
    </w:p>
    <w:p>
      <w:pPr>
        <w:pStyle w:val="BookText"/>
        <w:rPr/>
      </w:pPr>
      <w:r>
        <w:rPr>
          <w:rFonts w:ascii="Amiri" w:hAnsi="Amiri" w:eastAsia="Amiri" w:cs="Amiri"/>
          <w:color w:val="111111"/>
          <w:sz w:val="28"/>
          <w:sz w:val="28"/>
          <w:szCs w:val="28"/>
          <w:rtl w:val="true"/>
          <w:lang w:bidi="ar-SA"/>
        </w:rPr>
        <w:t xml:space="preserve">في بنت ابنه كذلك، و في أمّ الأمّ وإن علت، لكنّ المقطوع به في كلمات كثير منهم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يدخل في تحريم الأمّ تحريم الجدّة و إن علت، لأنّها أمّ عندنا حقيقة، و كذلك بنت البنت، و كذلك بنت ابنه و إن سفلن، لأنّهنّ بناته حقيقة، و أمّا بنت أخته فإنّها لا تحرم، لأنّ بنت الأخت ليست أختًا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نكت النهاية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فجر بعمّته أو خالته لم تحلّ له بنتاهما </w:t>
      </w:r>
      <w:r>
        <w:rPr>
          <w:rStyle w:val="FootnoteAnchor"/>
          <w:rtl w:val="true"/>
        </w:rPr>
        <w:footnoteReference w:id="152"/>
      </w:r>
      <w:r>
        <w:rPr>
          <w:rFonts w:ascii="Amiri" w:hAnsi="Amiri" w:eastAsia="Amiri" w:cs="Amiri"/>
          <w:color w:val="111111"/>
          <w:sz w:val="28"/>
          <w:sz w:val="28"/>
          <w:szCs w:val="28"/>
          <w:rtl w:val="true"/>
          <w:lang w:bidi="ar-SA"/>
        </w:rPr>
        <w:t xml:space="preserve">أبدًا، هل تدخل بنت الابن أو بنت البنت في ذلك، أم لا ؟ نعم تدخل في ذلك، لأنّ بنت الابن و بنت البنت بنت حقيقة </w:t>
      </w:r>
      <w:r>
        <w:rPr>
          <w:rStyle w:val="FootnoteAnchor"/>
          <w:rtl w:val="true"/>
        </w:rPr>
        <w:footnoteReference w:id="153"/>
      </w:r>
      <w:r>
        <w:rPr>
          <w:rFonts w:ascii="Amiri" w:hAnsi="Amiri" w:eastAsia="Amiri" w:cs="Amiri"/>
          <w:color w:val="111111"/>
          <w:sz w:val="28"/>
          <w:sz w:val="28"/>
          <w:szCs w:val="28"/>
          <w:rtl w:val="true"/>
          <w:lang w:bidi="ar-SA"/>
        </w:rPr>
        <w:t xml:space="preserve">، فتدخل في عموم التحريم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و إن ذكره في بنت العمّة و الخالة، لكن مقتضى كلامه ثبوت الحكم فيما نحن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مع الإيقاب جدّة المفعول و إن علت، و بناته و إن سفلن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يتعدّي التحريم إلى الجدّات و بنات الأولاد دون بنت الأخت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اللمعة و شرحها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أوقب غلامًا أو رجلاً حرمت على الموقب أمّ الموطوء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نزلت، من ذكر و أنثى، من النسب اتّفاقًا، و من الرضاع على الأقوى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تحرم الأمّ و إن علت، و البنت و إن نزلت، لا بنت الأخت، لعدم تناول الأخت لها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البارع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ذكرًا، حرمت عليه أمّه أبدًا و إن علت، و كذلك بنته و إن نزلت، و حرمت عليه أخته خاصّة دون بناتها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يتعدّي الحكم إلى الأمّ وإن علت، و إلى البنت و إن سفلت، إمّا من </w:t>
      </w:r>
    </w:p>
    <w:p>
      <w:pPr>
        <w:pStyle w:val="BookText"/>
        <w:rPr/>
      </w:pPr>
      <w:r>
        <w:rPr>
          <w:rFonts w:ascii="Amiri" w:hAnsi="Amiri" w:eastAsia="Amiri" w:cs="Amiri"/>
          <w:color w:val="111111"/>
          <w:sz w:val="28"/>
          <w:sz w:val="28"/>
          <w:szCs w:val="28"/>
          <w:rtl w:val="true"/>
          <w:lang w:bidi="ar-SA"/>
        </w:rPr>
        <w:t xml:space="preserve">حيث شمولها لذلك حقيقة، أو للاتّفاق عليه كالأصل، و إلاّ فللكلام في التعدّي مجال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فكذا تشمل الأمّ من علت و البنت من سفلت، أمّا الأخت فلا يتعدّي إلى بنتها اتّفاقًا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رياض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لاط بغلام فأوقبه، حرمت عليه أمّ الغلام و الرجل و إن علت، وبنته و إن نزلت، من ذكر و أنثى، من النسب اتّفاقًا، و من الرضاع على الأقوى، و أخته دون بناتها اتّفاقًا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شرحه الصغير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سمعت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و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ظاهرين في غير الجدّة و ولد الولد، فإطلاق الأمّ لا ينصرف إلى الجدّة، و لا البنت إلى بنت البنت أو</w:t>
      </w:r>
    </w:p>
    <w:p>
      <w:pPr>
        <w:pStyle w:val="BookText"/>
        <w:rPr/>
      </w:pPr>
      <w:r>
        <w:rPr>
          <w:rFonts w:ascii="IRNazanin" w:hAnsi="IRNazanin" w:eastAsia="IRNazanin"/>
          <w:color w:val="111111"/>
          <w:sz w:val="28"/>
          <w:sz w:val="28"/>
          <w:szCs w:val="28"/>
          <w:rtl w:val="true"/>
          <w:lang w:bidi="fa-IR"/>
        </w:rPr>
        <w:t xml:space="preserve">بنت الابن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فتاويهم قرينة على أنّ المراد منهما أعمّ من غير </w:t>
      </w:r>
    </w:p>
    <w:p>
      <w:pPr>
        <w:pStyle w:val="BookText"/>
        <w:rPr/>
      </w:pPr>
      <w:r>
        <w:rPr>
          <w:rFonts w:ascii="Amiri" w:hAnsi="Amiri" w:eastAsia="Amiri" w:cs="Amiri"/>
          <w:color w:val="111111"/>
          <w:sz w:val="28"/>
          <w:sz w:val="28"/>
          <w:szCs w:val="28"/>
          <w:rtl w:val="true"/>
          <w:lang w:bidi="ar-SA"/>
        </w:rPr>
        <w:t xml:space="preserve">الواسطة و معها، فالمراد من الأمّ هو الأمّ و الجدّة و إن علت، و من البنت هو </w:t>
      </w:r>
      <w:r>
        <w:rPr>
          <w:rStyle w:val="FootnoteAnchor"/>
          <w:rtl w:val="true"/>
        </w:rPr>
        <w:footnoteReference w:id="165"/>
      </w:r>
      <w:r>
        <w:rPr>
          <w:rFonts w:ascii="Amiri" w:hAnsi="Amiri" w:eastAsia="Amiri" w:cs="Amiri"/>
          <w:color w:val="111111"/>
          <w:sz w:val="28"/>
          <w:sz w:val="28"/>
          <w:szCs w:val="28"/>
          <w:rtl w:val="true"/>
          <w:lang w:bidi="ar-SA"/>
        </w:rPr>
        <w:t xml:space="preserve">البنت و بنت البنت و بنت الابن و إن نزلت، فكأنّه لاح عليهم هذا المعنى من الخارج، فحملوا اللفظين عليه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يحرم على اللاطي أمّ الموطوء و جدّته، و كذا بنته و إن نزلت ولو كانت من ابنه، لكن لا يمكن الحكم بتحريم الجدّة من الأب عليه، لانتفاء ما يوجب العدول عن مقتضى العمومات من الكتاب والسنّة بالإضافة إليها، كما لايخفى على من أحاط خبرًا بما قرّرنا </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7092_62249"/>
      <w:bookmarkStart w:id="115" w:name="pg7092_62249"/>
      <w:bookmarkEnd w:id="115"/>
    </w:p>
    <w:p>
      <w:pPr>
        <w:pStyle w:val="Heading3"/>
        <w:numPr>
          <w:ilvl w:val="2"/>
          <w:numId w:val="1"/>
        </w:numPr>
        <w:rPr/>
      </w:pPr>
      <w:bookmarkStart w:id="116" w:name="pg7092_62249"/>
      <w:bookmarkStart w:id="117" w:name="__RefHeading___Toc3503091_372815092"/>
      <w:bookmarkStart w:id="118" w:name="_Toc40"/>
      <w:bookmarkEnd w:id="116"/>
      <w:bookmarkEnd w:id="117"/>
      <w:r>
        <w:rPr>
          <w:rtl w:val="true"/>
        </w:rPr>
        <w:t xml:space="preserve">التنبيه الرابع </w:t>
      </w:r>
      <w:r>
        <w:rPr>
          <w:rtl w:val="true"/>
        </w:rPr>
        <w:t xml:space="preserve">: </w:t>
      </w:r>
      <w:r>
        <w:rPr>
          <w:rtl w:val="true"/>
        </w:rPr>
        <w:t>في أنّ الحكم المذكور هل يختصّ بالأصناف المذكورة إذا كانت من النسب، أو يعمّها والرضاع ؟</w:t>
      </w:r>
      <w:bookmarkEnd w:id="118"/>
    </w:p>
    <w:p>
      <w:pPr>
        <w:pStyle w:val="Heading4"/>
        <w:numPr>
          <w:ilvl w:val="3"/>
          <w:numId w:val="1"/>
        </w:numPr>
        <w:rPr/>
      </w:pPr>
      <w:bookmarkStart w:id="119" w:name="__RefHeading___Toc3503093_372815092"/>
      <w:bookmarkStart w:id="120" w:name="_Toc4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الحكم المذكور هل يختصّ بالأصناف المذكورة إذا كانت من النسب، أو يعمّها والرضاع ؟</w:t>
      </w:r>
    </w:p>
    <w:p>
      <w:pPr>
        <w:pStyle w:val="BookText"/>
        <w:rPr/>
      </w:pPr>
      <w:r>
        <w:rPr>
          <w:rFonts w:ascii="Amiri" w:hAnsi="Amiri" w:eastAsia="Amiri" w:cs="Amiri"/>
          <w:color w:val="111111"/>
          <w:sz w:val="28"/>
          <w:sz w:val="28"/>
          <w:szCs w:val="28"/>
          <w:rtl w:val="true"/>
          <w:lang w:bidi="ar-SA"/>
        </w:rPr>
        <w:t xml:space="preserve">فعلى هذا كما يحرم على الموقب أمّ الموطوء و بنته و أخته في النسب، يحرم عليه الأصناف المذكورة في الرضاع أيضًا، فيحرم عليه أمّه في الرضاع، وكذا أخته و بنته الرضاعيّتان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من أنّ المتبادر من الأمّ والبنت و الأخت مَن اتّصف بهذه الصفات في النسب، و لهذا صحّ السلب فيما إذا ماتت أمّه النسبيّ أنّه لا أمّ له ؛ و كذا الحال 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البنت والأخت، فالنصوص المحرّمة تنصرف إليها، فتبقي </w:t>
      </w:r>
      <w:r>
        <w:rPr>
          <w:rStyle w:val="FootnoteAnchor"/>
          <w:rtl w:val="true"/>
        </w:rPr>
        <w:footnoteReference w:id="166"/>
      </w:r>
      <w:r>
        <w:rPr>
          <w:rFonts w:ascii="Amiri" w:hAnsi="Amiri" w:eastAsia="Amiri" w:cs="Amiri"/>
          <w:color w:val="111111"/>
          <w:sz w:val="28"/>
          <w:sz w:val="28"/>
          <w:szCs w:val="28"/>
          <w:rtl w:val="true"/>
          <w:lang w:bidi="ar-SA"/>
        </w:rPr>
        <w:t xml:space="preserve">العمومات من الكتاب </w:t>
      </w:r>
    </w:p>
    <w:p>
      <w:pPr>
        <w:pStyle w:val="BookText"/>
        <w:rPr/>
      </w:pPr>
      <w:r>
        <w:rPr>
          <w:rFonts w:ascii="Amiri" w:hAnsi="Amiri" w:eastAsia="Amiri" w:cs="Amiri"/>
          <w:color w:val="111111"/>
          <w:sz w:val="28"/>
          <w:sz w:val="28"/>
          <w:szCs w:val="28"/>
          <w:rtl w:val="true"/>
          <w:lang w:bidi="ar-SA"/>
        </w:rPr>
        <w:t xml:space="preserve">و السنّة مقتضية للتحليل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النصوص الناطقة بأنّه يحرم من الرضاع ما يحرم من النسب، كالصحيح المرويّ في الكافي عن عبداللّه بن سنان،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القرابة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فيه عن أبي الصباح الكناني،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الرضاع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فيه عن داود بن سرحان،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 المرويّ في باب النوادر في الرضاع منه، عن ابن محبوب، عن عبداللّه بن سنان، عن رجل،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أرضعت غلامًا مملوكًا لها من لبنها حتّى فطمته، هل لها أن تبيعه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هو ابنها من الرضاعة، حرم عليها بيعه و أكل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المرويّ في الفقيه عن بريد العجلي،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المرويّ في التهذيب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الرضاع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منه ما يحرم من النسب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إمّا للتعليل،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خَطِيئَاتِهِمْ أُغْرِقُوا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 قول الفرزدق في شأن عليّ بن الحسين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يُغضِي حَياءً و يُغضى مِن مهابته</w:t>
      </w:r>
    </w:p>
    <w:p>
      <w:pPr>
        <w:pStyle w:val="BookText"/>
        <w:rPr/>
      </w:pPr>
      <w:r>
        <w:rPr>
          <w:rFonts w:ascii="Amiri" w:hAnsi="Amiri" w:eastAsia="Amiri" w:cs="Amiri"/>
          <w:color w:val="111111"/>
          <w:sz w:val="28"/>
          <w:sz w:val="28"/>
          <w:szCs w:val="28"/>
          <w:rtl w:val="true"/>
          <w:lang w:bidi="ar-SA"/>
        </w:rPr>
        <w:t xml:space="preserve">فلا يكلّم إلاّ حين يبتسم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منه قوله عليه‌السلام في دعاء السحر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إنّي أسألك مِن بَهائك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للظرفيّة،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نُودِىَ لِلصَّلوةِ مِنْ يَوْمِ الْجُمُعَةِ فَاسْعَوْا إِلى ذِكْرِ اللّه‌ِ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الحال في الثاني، فهنا احتمالات مع التطابق و التخالف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للتعليل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بسبب الرضاع ما يحرمبسبب النسب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فيهما للظرفيّة ؛ 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في الرضاع ما يحرم في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في الأوّل كالأوّل، و في الثاني كالثاني ؛ 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بسبب الرضاع ما يحرم في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فيكون في الأوّل للظرفيّة و في الثاني للتعليل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في باب الرضاع ما يحرم بسبب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جميع الاحتمالات المذكورة أنّ الموصول إمّا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بل يحمل على ظاهره، فالاحتمالات ثمانية ؛ و المعنى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بسبب الرضاع أو في الرضاع الأصناف المحرّمة في النسب أو بسبب النسب، كالأمّ والبنت و الأخت و بنات الأخ والأخت و العمّة و الخالة ؛ 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بسبب الرضاع أو في الرضاع كلّما يحرم بسبب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المحرّم عليه في الأوّل هو الّذي يتحقّق في حقّه بالرضاع إحدى العلائق المذكورة، و هو المرتضع بالإضافة إلى الأمّ و الأخت و بنات الأخ و بنات الأخت والعمّة و الخالة، و صاحب اللبن بالإضافة إلى البنت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والمحرّم إليهما هو التزويج،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وَ بَنَاتُكُم وَأَخَوَاتُكُم وَعَمَّاتُكُم وَخَالاَتُكُم وَبَنَاتُ الأَخِ وَبَنَاتُ الأُخْتِ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الآية، فكما يحرم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تزويج الأمّ والبنت والأخت وبنات الأخ والأخت و العمّة و الخالة في النسب، </w:t>
      </w:r>
    </w:p>
    <w:p>
      <w:pPr>
        <w:pStyle w:val="BookText"/>
        <w:rPr/>
      </w:pPr>
      <w:r>
        <w:rPr>
          <w:rFonts w:ascii="Amiri" w:hAnsi="Amiri" w:eastAsia="Amiri" w:cs="Amiri"/>
          <w:color w:val="111111"/>
          <w:sz w:val="28"/>
          <w:sz w:val="28"/>
          <w:szCs w:val="28"/>
          <w:rtl w:val="true"/>
          <w:lang w:bidi="ar-SA"/>
        </w:rPr>
        <w:t xml:space="preserve">يحرم تزويجهنّ في الرضاع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المرتضع ذكورًا، و أمّا إذا كان إناثًا فالمحرّم عليها في النسب أبوها وابنها وأخوها وابن أخيها وابن أختها و عمّها و خالها ؛ فكذا في الرضاع، فأبوها في الرضاع صاحب اللبن، و أخوها ابنه، كما أنّ أختها بنته، وابنها فيه ما ارتضع من ثديها فيما إذا لم تولدها مع تحقّق الشرائط المقرّرة في محلّها، و كذا الحال في غير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على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بسبب الرضاع عقد الّتي يحرم عقدها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الّتي أوجبت حرمة العقد في النسب لو وجدت تلك العلاقة بسبب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موجبةً للتحريم أيضًا ؛ و أمّا المحرّم عليه في الثاني فهو أعمّ منه في الأوّل، كما أنّ المحرّم أيضًا</w:t>
      </w:r>
    </w:p>
    <w:p>
      <w:pPr>
        <w:pStyle w:val="BookText"/>
        <w:rPr/>
      </w:pPr>
      <w:r>
        <w:rPr>
          <w:rFonts w:ascii="Amiri" w:hAnsi="Amiri" w:eastAsia="Amiri" w:cs="Amiri"/>
          <w:color w:val="111111"/>
          <w:sz w:val="28"/>
          <w:sz w:val="28"/>
          <w:szCs w:val="28"/>
          <w:rtl w:val="true"/>
          <w:lang w:bidi="ar-SA"/>
        </w:rPr>
        <w:t xml:space="preserve">كذلك، و ستقف على حقيقة الحال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بالنصوص المذكورة في إثبات المرام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الأمّ الرضاعي للموطوء على الموقب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على المعنى الثاني دون الأوّل ؛ و كذا الحال في بنته و أخته الرضاعيّتين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صحّته على الثاني فظاهرة، إذ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بسبب الرضاع كلّما يحرم في النسب، و قد عرفت أنّ من جملة المحرّمات في النسب هو العقد على أمّ الموطوء و بنته و أخته على الموقب، للإجماع والنصوص السالفة، فيلزم أن يكون العقد على أمّه و أخته و بنته الرضاعيّة كذلك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صحّته على الأوّل، فلما عرفت من أنّ معنى الحديث حينئذٍ أنّه لو </w:t>
      </w:r>
    </w:p>
    <w:p>
      <w:pPr>
        <w:pStyle w:val="BookText"/>
        <w:rPr/>
      </w:pPr>
      <w:r>
        <w:rPr>
          <w:rFonts w:ascii="Amiri" w:hAnsi="Amiri" w:eastAsia="Amiri" w:cs="Amiri"/>
          <w:color w:val="111111"/>
          <w:sz w:val="28"/>
          <w:sz w:val="28"/>
          <w:szCs w:val="28"/>
          <w:rtl w:val="true"/>
          <w:lang w:bidi="ar-SA"/>
        </w:rPr>
        <w:t xml:space="preserve">حصل بين المرتضع و غيره إحدى العلائق الّتي أوجبت حرمة التزويج في النسب، يكون ذلك موجبًا لحرمته بينهما، فلا دخل له حينئذٍ فيما نحن بصدده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هو المعنى الثاني، أمّا أوّلاً فلأنّ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للظاهر، لا داعي للمصير إليه ؛ و أمّا ثانيًا فللصحيح السالف المرويّ عن عليّ بن محبوب، عن عبد اللّه بن سنان، عن رجل،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أرضعت غلامًا مملوكًا لها من لبنها حتّى فطمته، هل لها أن تبيعه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ابنها من الرضاعة، حرم عليها بيعه و أكل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أمّ الموطوء في النسب حرامٌ على الموقب، و كلّ محرّم في النسب محرّم بالرضاع، أمّا الأوّل فبالإجماع و النصوص ؛ و أمّا الثاني فلقولهم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استقامة الاستدلال على تقدير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يكون إذا حمل الكلام على النحو السابق ؛ و هو غير لازم،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بسبب الرضاع من يحرم في النسب، أو بسبب النسب ؛ و هو أعمّ من أن يكون لنفس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المحرّمات السبعة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لأمرٍ خارجٍ كالإيقاب، و إن كان ذلك لتحقّق النسب بين المحرّم و المفعول به </w:t>
      </w:r>
      <w:r>
        <w:rPr>
          <w:rFonts w:eastAsia="Amiri" w:cs="Amiri" w:ascii="Amiri" w:hAnsi="Amiri"/>
          <w:color w:val="111111"/>
          <w:sz w:val="28"/>
          <w:szCs w:val="28"/>
          <w:rtl w:val="true"/>
          <w:lang w:bidi="ar-SA"/>
        </w:rPr>
        <w:t xml:space="preserve">. </w:t>
      </w:r>
      <w:bookmarkStart w:id="121" w:name="pg7092_62260"/>
    </w:p>
    <w:p>
      <w:pPr>
        <w:pStyle w:val="Heading4"/>
        <w:numPr>
          <w:ilvl w:val="3"/>
          <w:numId w:val="1"/>
        </w:numPr>
        <w:rPr/>
      </w:pPr>
      <w:bookmarkStart w:id="122" w:name="__RefHeading___Toc3503095_372815092"/>
      <w:bookmarkStart w:id="123" w:name="_Toc42"/>
      <w:bookmarkEnd w:id="121"/>
      <w:bookmarkEnd w:id="122"/>
      <w:r>
        <w:rPr>
          <w:rtl w:val="true"/>
        </w:rPr>
        <w:t>مختار المؤلّف قدس‌سره</w:t>
      </w:r>
      <w:bookmarkEnd w:id="123"/>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أعمّ من أن يكون النسب بين المحرّم والمحرم عليه، أو لا يكون كذلك، بل يكون النسب بين المحرّم والموطوء سببًا للتحريم، فمقتضى الحديث المذكور ثبوت التحريم بسبب الرضاع كذلك، فعلى هذا مقتضاه عدم جواز التزويج للموقب بالأمّ الرضاعي للموطوء و لا بنته ولا أخته ؛ و هو المختار، وفاقًا للتحرير و جامع المقاصد والتنقيح و الروضة و رياض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له أمّ أو أخت أو بنت من الرضاع، فالأقرب تحريمهنّ أيضًا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للأمّ و الأخت من الرضاع كالنسب في التحريم ؟ فيه إشكال ينشأ من أنّ صدق الأمّ والبنت و الأخت عليهنّ إنّما هو بطريق المجاز، لأنّ الحقيقة إنّما هي مع الولادة، فلا يتناولهنّ النصّ الوارد بالتحريم، و من عموم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التحريم أقوى، لعموم الأحاديث في الرضاع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بين من ينسب منهنّ بالنسب و بالرضاع، لعموم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على الموقب أمّ الموطوء و أخته و بنته و إن نزلت، من ذكر وأنثى من النسب اتّفاقًا، و من الرضاع على الأقوى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رياض المسائل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المخالف الصريح في المسألة غير ظاهر، نعم يظهر من فخر المحقّقين في الإيضاح مع تردّد منه في الآخر،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عنون كلام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الرضاع و الفاعل الصغير 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الإشكال أنّها أمّ،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أُمَّهَاتُكُمُ الّتِي أَرْضَعْنَكُمْ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فسمّاهنّ أمّهات، و الأصل في الاستعمال 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الولادة، و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 و من حيث انّ الاستعمال أعمّ من الحقيقة </w:t>
      </w:r>
    </w:p>
    <w:p>
      <w:pPr>
        <w:pStyle w:val="BookText"/>
        <w:rPr/>
      </w:pPr>
      <w:r>
        <w:rPr>
          <w:rFonts w:ascii="Amiri" w:hAnsi="Amiri" w:eastAsia="Amiri" w:cs="Amiri"/>
          <w:color w:val="111111"/>
          <w:sz w:val="28"/>
          <w:sz w:val="28"/>
          <w:szCs w:val="28"/>
          <w:rtl w:val="true"/>
          <w:lang w:bidi="ar-SA"/>
        </w:rPr>
        <w:t xml:space="preserve">والمجاز، و لا دلالة للعامّ على الخاصّ، فالمرجع الترجيح ؛ والحقّ ترجيح المجاز لما قرّر في الأصول، و لهم أن يقولوا الفهم عند التجرّد عن القرائن بين أرباب اللسان من خواصّ الحقيقة، انتهى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يظهر من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لهم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فغير جيّد، للقطع بأنّ المتبادر من الأمّ ما كان بحسب الولادة، فلا ينصرف إلى الرضاعة، و هكذا الحال في البنت والأخت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 في هذا المقام ينكشف منه حال المصاهرة، فمَن نكح امرأة كما يحرم عليه أمّها و بنتها في النسب، يحرم عليه أمّها و بنتها الرضاعيّتان ؛</w:t>
      </w:r>
    </w:p>
    <w:p>
      <w:pPr>
        <w:pStyle w:val="BookText"/>
        <w:rPr/>
      </w:pPr>
      <w:r>
        <w:rPr>
          <w:rFonts w:ascii="Amiri" w:hAnsi="Amiri" w:eastAsia="Amiri" w:cs="Amiri"/>
          <w:color w:val="111111"/>
          <w:sz w:val="28"/>
          <w:sz w:val="28"/>
          <w:szCs w:val="28"/>
          <w:rtl w:val="true"/>
          <w:lang w:bidi="ar-SA"/>
        </w:rPr>
        <w:t xml:space="preserve">وكذا الحال في غيرهما،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بناءً على ما عرفت من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الثاني و إن كان معنًى عامًّا، لكنّه متروك الظاهر، لوضوح أنّ مقتضى الحكم بأنّه يحرم بسبب الرضاع كلّما يحرم من النسب، أن يحكم بحرمة ترك إنفاق الأمّ الرضاعي، و كذا بنت الرضاعي، و كذا يحكم بحرمة عقوق الأب و الأمّ الرضاعيّين و غير ذلك، لثبوت حرمة ما ذكر في النسب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بالإضافة إلى جميع المحرّمات النسبيّة، و ما ذكر إنّما بالإضافة إلى بعضها، فمعنى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بسبب الرضاع كلّما يحرم في المحرّمات النسبيّة كالأخت و بناتها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فالمناط المحرّم بالإضافة إلى جميع الأصناف السبعة كالأخت و بناتها ؛ ومن المعلوم أنّ الأخت ليس ممّا يحرم ترك إنفاقها و إكسائها، فلا محذور </w:t>
      </w:r>
      <w:r>
        <w:rPr>
          <w:rFonts w:eastAsia="Amiri" w:cs="Amiri" w:ascii="Amiri" w:hAnsi="Amiri"/>
          <w:color w:val="111111"/>
          <w:sz w:val="28"/>
          <w:szCs w:val="28"/>
          <w:rtl w:val="true"/>
          <w:lang w:bidi="ar-SA"/>
        </w:rPr>
        <w:t xml:space="preserve">. </w:t>
      </w:r>
      <w:bookmarkStart w:id="124" w:name="pg7092_62268"/>
    </w:p>
    <w:p>
      <w:pPr>
        <w:pStyle w:val="Heading4"/>
        <w:numPr>
          <w:ilvl w:val="3"/>
          <w:numId w:val="1"/>
        </w:numPr>
        <w:rPr/>
      </w:pPr>
      <w:bookmarkStart w:id="125" w:name="__RefHeading___Toc3503097_372815092"/>
      <w:bookmarkStart w:id="126" w:name="_Toc43"/>
      <w:bookmarkEnd w:id="124"/>
      <w:bookmarkEnd w:id="125"/>
      <w:r>
        <w:rPr>
          <w:rtl w:val="true"/>
        </w:rPr>
        <w:t xml:space="preserve">تنبيهٌ </w:t>
      </w:r>
      <w:r>
        <w:rPr>
          <w:rtl w:val="true"/>
        </w:rPr>
        <w:t xml:space="preserve">: </w:t>
      </w:r>
      <w:r>
        <w:rPr>
          <w:rtl w:val="true"/>
        </w:rPr>
        <w:t xml:space="preserve">في أنّ المحرّمات بالرضاع بأسرها هل هي مثل المحرّمات في </w:t>
      </w:r>
      <w:r>
        <w:rPr>
          <w:rtl w:val="true"/>
        </w:rPr>
        <w:t>...</w:t>
      </w:r>
      <w:bookmarkEnd w:id="126"/>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المحرّمات بالرضاع بأسرها هل هي مثل المحرّمات في النسب في المحرميّة و جواز النظر إلى ما يجوز النظر إليها، أم لا ؟</w:t>
      </w:r>
    </w:p>
    <w:p>
      <w:pPr>
        <w:pStyle w:val="BookText"/>
        <w:rPr/>
      </w:pPr>
      <w:r>
        <w:rPr>
          <w:rFonts w:ascii="Amiri" w:hAnsi="Amiri" w:eastAsia="Amiri" w:cs="Amiri"/>
          <w:color w:val="111111"/>
          <w:sz w:val="28"/>
          <w:sz w:val="28"/>
          <w:szCs w:val="28"/>
          <w:rtl w:val="true"/>
          <w:lang w:bidi="ar-SA"/>
        </w:rPr>
        <w:t>بقي في المقام شيء ينبغي التنبيه عليه، و هو أنّ المحرّمات بالرضاع بأسرها هل هي مثل المحرّمات في النسب في المحرميّة و جواز النظر إلى ما يجوز النظر إليها، أم لا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مقامان </w:t>
      </w:r>
      <w:r>
        <w:rPr>
          <w:rFonts w:eastAsia="IRNazanin" w:cs="IRNazanin"/>
          <w:color w:val="111111"/>
          <w:sz w:val="28"/>
          <w:szCs w:val="28"/>
          <w:rtl w:val="true"/>
          <w:lang w:bidi="fa-IR"/>
        </w:rPr>
        <w:t>:</w:t>
      </w:r>
    </w:p>
    <w:p>
      <w:pPr>
        <w:pStyle w:val="Heading4"/>
        <w:numPr>
          <w:ilvl w:val="3"/>
          <w:numId w:val="1"/>
        </w:numPr>
        <w:rPr/>
      </w:pPr>
      <w:bookmarkStart w:id="127" w:name="__RefHeading___Toc3503099_372815092"/>
      <w:bookmarkStart w:id="128" w:name="_Toc44"/>
      <w:bookmarkEnd w:id="127"/>
      <w:r>
        <w:rPr>
          <w:rtl w:val="true"/>
        </w:rPr>
        <w:t xml:space="preserve">المقام الأوّل </w:t>
      </w:r>
      <w:r>
        <w:rPr>
          <w:rtl w:val="true"/>
        </w:rPr>
        <w:t xml:space="preserve">: </w:t>
      </w:r>
      <w:r>
        <w:rPr>
          <w:rtl w:val="true"/>
        </w:rPr>
        <w:t>ثبوت المحرميّة بين المرتضع و بين من تحقّق</w:t>
      </w:r>
      <w:r>
        <w:rPr>
          <w:rtl w:val="true"/>
        </w:rPr>
        <w:t>...</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المحرميّة بين المرتضع و بين من تحقّق فيه إحدى العلائق الّتي أوجبت المحرميّة في النسب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المحرميّة بين المرتضع و بين من تحقّق فيه إحدى العلائق الّتي </w:t>
      </w:r>
    </w:p>
    <w:p>
      <w:pPr>
        <w:pStyle w:val="BookText"/>
        <w:rPr/>
      </w:pPr>
      <w:r>
        <w:rPr>
          <w:rFonts w:ascii="Amiri" w:hAnsi="Amiri" w:eastAsia="Amiri" w:cs="Amiri"/>
          <w:color w:val="111111"/>
          <w:sz w:val="28"/>
          <w:sz w:val="28"/>
          <w:szCs w:val="28"/>
          <w:rtl w:val="true"/>
          <w:lang w:bidi="ar-SA"/>
        </w:rPr>
        <w:t xml:space="preserve">أوجبت المحرميّة في النسب، فيسوّغ له النظر إلى أمّه الرضاعيّة و أخته و بنات الأخ و بنات الأخت و العمّة و الخالة الرضاعيّات 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الرضيعة بالإضافة إلى ابنها في الرضاع و أخيها وابن أخيها وأختها و عمّها و خالها 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المحرميّة في هذا المقام ممّا لا إشكال فيه، و قد ادّعى عليه فخر المحقّقين الإجماع،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من أحكام النسب ما لا يثبت بالرضاع بالإجماع، كالتوراث واستحقاق النفقة و الولاية و الحضانة و تحمّل العقل وسقوط القود و المنع من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إجماعًا، و هو المحرميّة و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فيه، و هو العتق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سمّى اللّه تعالى بالأمّ ثلاثة أصناف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الوالدة، وتستوعب جميع أحكام النسب ؛ والمرضعة، و هي مقصورة على التحريم و المحرميّة، و على رأي العتق ؛ و أزواج الرسول صلى‌الله‌عليه‌و‌آله، وتشاركهما في التحريم إجماعًا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المحرميّة قولان، الإماميّة على عدم المحرميّة،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تَبَرَّجْنَ تَبَرُّجَ الجَاهِلِيَّةِ الأُوْلى </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 لما ورد في خبر ابن أمّ مكتوم، و 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قوم من الجمهور بثبوت المحرميّة،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والمساوات إنّما تثبت حقيقةً مع التساوي في جميع الأحكام الممكنة، والأصل في الإطلاق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المساوات في جميع الأحوال </w:t>
      </w:r>
      <w:r>
        <w:rPr>
          <w:rStyle w:val="FootnoteAnchor"/>
          <w:rtl w:val="true"/>
        </w:rPr>
        <w:footnoteReference w:id="189"/>
      </w:r>
      <w:r>
        <w:rPr>
          <w:rFonts w:ascii="Amiri" w:hAnsi="Amiri" w:eastAsia="Amiri" w:cs="Amiri"/>
          <w:color w:val="111111"/>
          <w:sz w:val="28"/>
          <w:sz w:val="28"/>
          <w:szCs w:val="28"/>
          <w:rtl w:val="true"/>
          <w:lang w:bidi="ar-SA"/>
        </w:rPr>
        <w:t xml:space="preserve">محال، فلا يدلّ على المطلوب، لانتفاء العموم، بل المراد التعظيم والإجلال و التكرمة </w:t>
      </w:r>
      <w:r>
        <w:rPr>
          <w:rStyle w:val="FootnoteAnchor"/>
          <w:rtl w:val="true"/>
        </w:rPr>
        <w:footnoteReference w:id="190"/>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المدّعى حقّ و إن كان الكلام لا يخلو عن مناقشة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ما عثرنا عليه من النسخ الخطّية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092_62276"/>
      <w:bookmarkStart w:id="130" w:name="pg7092_62276"/>
      <w:bookmarkEnd w:id="130"/>
    </w:p>
    <w:p>
      <w:pPr>
        <w:pStyle w:val="Heading2"/>
        <w:numPr>
          <w:ilvl w:val="1"/>
          <w:numId w:val="1"/>
        </w:numPr>
        <w:rPr/>
      </w:pPr>
      <w:bookmarkStart w:id="131" w:name="pg7092_62276"/>
      <w:bookmarkStart w:id="132" w:name="__RefHeading___Toc3503101_372815092"/>
      <w:bookmarkStart w:id="133" w:name="_Toc45"/>
      <w:bookmarkEnd w:id="131"/>
      <w:bookmarkEnd w:id="132"/>
      <w:r>
        <w:rPr>
          <w:rtl w:val="true"/>
        </w:rPr>
        <w:t>فهرس مصادر التحقيق</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المهنّائيّة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الحسين الموسوي المعروف بالشريف المرتضى و علم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النشر الإسلامي التابعة لجماعة المدرّسين،</w:t>
      </w:r>
    </w:p>
    <w:p>
      <w:pPr>
        <w:pStyle w:val="BookText"/>
        <w:rPr/>
      </w:pP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محمّد بن الحسن بن </w:t>
      </w:r>
    </w:p>
    <w:p>
      <w:pPr>
        <w:pStyle w:val="BookText"/>
        <w:rPr/>
      </w:pPr>
      <w:r>
        <w:rPr>
          <w:rFonts w:ascii="Amiri" w:hAnsi="Amiri" w:eastAsia="Amiri" w:cs="Amiri"/>
          <w:color w:val="111111"/>
          <w:sz w:val="28"/>
          <w:sz w:val="28"/>
          <w:szCs w:val="28"/>
          <w:rtl w:val="true"/>
          <w:lang w:bidi="ar-SA"/>
        </w:rPr>
        <w:t xml:space="preserve">يوسف المطهّر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الكرماني والاشتهاردي والبروجردي، المطبعة العلمية،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جمال الدّين حسن بن يوسف</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و الشيخ هادي اليوسفي ، نشر الفقيه،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المرام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قم، مطبعة مكتب الإعلام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مقداد بن عبداللّه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اللطيف الحسيني الكوه كمري، نشر مكتبة آية اللّه </w:t>
      </w:r>
    </w:p>
    <w:p>
      <w:pPr>
        <w:pStyle w:val="BookText"/>
        <w:rPr/>
      </w:pPr>
      <w:r>
        <w:rPr>
          <w:rFonts w:ascii="Amiri" w:hAnsi="Amiri" w:eastAsia="Amiri" w:cs="Amiri"/>
          <w:color w:val="111111"/>
          <w:sz w:val="28"/>
          <w:sz w:val="28"/>
          <w:szCs w:val="28"/>
          <w:rtl w:val="true"/>
          <w:lang w:bidi="ar-SA"/>
        </w:rPr>
        <w:t xml:space="preserve">المرعشي رحمه‌الله، الطبعة الأولى،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المعروف</w:t>
      </w:r>
    </w:p>
    <w:p>
      <w:pPr>
        <w:pStyle w:val="BookText"/>
        <w:rPr/>
      </w:pPr>
      <w:r>
        <w:rPr>
          <w:rFonts w:ascii="Amiri" w:hAnsi="Amiri" w:eastAsia="Amiri" w:cs="Amiri"/>
          <w:color w:val="111111"/>
          <w:sz w:val="28"/>
          <w:sz w:val="28"/>
          <w:szCs w:val="28"/>
          <w:rtl w:val="true"/>
          <w:lang w:bidi="ar-SA"/>
        </w:rPr>
        <w:t xml:space="preserve">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مهدي السيّد حسن الخرسان، منشورات الشريف الرضي،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الثاني عليّ بن الحسين بن عبدالعالي</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وتحقيق مؤسّسة آل البيت عليهم‌السلام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عبّاس القوچاني، دار الكتب الإسلامية،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الحسّون، منشورات الاحتجاج، تهران،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جمال الدّين حسن بن يوسف</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مؤسسة النشر الإسلامي،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شيخ الطائفة محمّد بن الحسن المعروف</w:t>
      </w:r>
    </w:p>
    <w:p>
      <w:pPr>
        <w:pStyle w:val="BookText"/>
        <w:rPr/>
      </w:pPr>
      <w:r>
        <w:rPr>
          <w:rFonts w:ascii="Amiri" w:hAnsi="Amiri" w:eastAsia="Amiri" w:cs="Amiri"/>
          <w:color w:val="111111"/>
          <w:sz w:val="28"/>
          <w:sz w:val="28"/>
          <w:szCs w:val="28"/>
          <w:rtl w:val="true"/>
          <w:lang w:bidi="ar-SA"/>
        </w:rPr>
        <w:t xml:space="preserve">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الخراساني والسيّد جواد الشهرستاني و 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الفقه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باقر بن محمّد مؤمن السبزواري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نشر مؤسسة آل البيت عليهم‌السلام لإحياء التراث،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w:t>
      </w:r>
    </w:p>
    <w:p>
      <w:pPr>
        <w:pStyle w:val="BookText"/>
        <w:rPr/>
      </w:pPr>
      <w:r>
        <w:rPr>
          <w:rFonts w:ascii="Amiri" w:hAnsi="Amiri" w:eastAsia="Amiri" w:cs="Amiri"/>
          <w:color w:val="111111"/>
          <w:sz w:val="28"/>
          <w:sz w:val="28"/>
          <w:szCs w:val="28"/>
          <w:rtl w:val="true"/>
          <w:lang w:bidi="ar-SA"/>
        </w:rPr>
        <w:t xml:space="preserve">الزنجاني، نشر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مسجد السيّد باصفهان،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نشر مؤسسة النشر الإسلامي التابعة لجماعة المدرّسين،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منصور بن أحمد بن إدريس العجلي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السيّد صادق الشيرازي، نشر إنتشارات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مكتبة آية اللّه المرعشي،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المكارم السيّد حمزة بن عليّ بن زهرة الحسيني، المعروف بابن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مؤسسة الإمام الصادق عليه‌السلام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 xml:space="preserve">الشيخ رضا الأستادي، مكتبة أمير المؤمنين عليه‌السلام، اصفهان،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بهاء الدّين محمّد بن الحسن الاصفهاني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الحجرية، نشر مدرسة صدر المهدوي، اصفهان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علي الكوراني،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 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الأردبيلي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إشتهاردي وعراقي ويزدي، نشر جامعة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علي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مؤسسة آل البيت عليهم‌السلام لإحياء التراث،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النبويّة والأحكام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لسلاّر بن عبدالعزيزالديلمي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الحسينيالأميني، نشرالمعاونية الثقافية للمجمع العالمي،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الميرزا حسين المحدّث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 نشر مؤسسة آل البيت عليهم‌السلام لإحياء التراث ،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نجم الدّين جعفر بن حسن بن يحيى</w:t>
      </w:r>
    </w:p>
    <w:p>
      <w:pPr>
        <w:pStyle w:val="BookText"/>
        <w:rPr/>
      </w:pPr>
      <w:r>
        <w:rPr>
          <w:rFonts w:ascii="Amiri" w:hAnsi="Amiri" w:eastAsia="Amiri" w:cs="Amiri"/>
          <w:color w:val="111111"/>
          <w:sz w:val="28"/>
          <w:sz w:val="28"/>
          <w:szCs w:val="28"/>
          <w:rtl w:val="true"/>
          <w:lang w:bidi="ar-SA"/>
        </w:rPr>
        <w:t xml:space="preserve">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لجنة التحقيق بإشراف الشيخ ناصر مكارم الشيرازي، مؤسّسة سيّد الشهداء عليه‌السلام،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محسن بن الشاه مرتضى المشهور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مؤسسة مجمع الذخائر الإسلامية،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قسم الفقه في مجمع البحوث الإسلامية،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محمّد بن فهد الحلّي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مجتبى العراقي، نشر جامعة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ابن البرّاج أبي القاسم عبدالعزيز بن نحرير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جعفرالسبحاني، نشر جامعه‌المدرّسين،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شيخ الطائفة محمّد بن الحسن</w:t>
      </w:r>
    </w:p>
    <w:p>
      <w:pPr>
        <w:pStyle w:val="BookText"/>
        <w:rPr/>
      </w:pPr>
      <w:r>
        <w:rPr>
          <w:rFonts w:ascii="Amiri" w:hAnsi="Amiri" w:eastAsia="Amiri" w:cs="Amiri"/>
          <w:color w:val="111111"/>
          <w:sz w:val="28"/>
          <w:sz w:val="28"/>
          <w:szCs w:val="28"/>
          <w:rtl w:val="true"/>
          <w:lang w:bidi="ar-SA"/>
        </w:rPr>
        <w:t xml:space="preserve">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للسيّد محمّد بن علي الموسوي العاملي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الحاج آغا مجتبى العراقي، الشيخ علي پناه الاشتهاردي، آقا حسين اليزدي، نشر مؤسّسة النشر الإسلامي،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محسن بن الشاه مرتضى المشهور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ضياء الدين الحسيني الاصفهاني، اصفهان،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أبي جعفر محمّد بن علي الطوسي،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 المرعشي،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7092_62299"/>
      <w:bookmarkStart w:id="135" w:name="pg7092_62299"/>
      <w:bookmarkEnd w:id="135"/>
    </w:p>
    <w:p>
      <w:pPr>
        <w:pStyle w:val="Heading2"/>
        <w:numPr>
          <w:ilvl w:val="1"/>
          <w:numId w:val="1"/>
        </w:numPr>
        <w:rPr/>
      </w:pPr>
      <w:bookmarkStart w:id="136" w:name="pg7092_62299"/>
      <w:bookmarkStart w:id="137" w:name="__RefHeading___Toc3503103_372815092"/>
      <w:bookmarkStart w:id="138" w:name="_Toc46"/>
      <w:bookmarkEnd w:id="136"/>
      <w:bookmarkEnd w:id="137"/>
      <w:r>
        <w:rPr>
          <w:rtl w:val="true"/>
        </w:rPr>
        <w:t>فهرس المحتوى</w:t>
      </w:r>
      <w:bookmarkEnd w:id="138"/>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حياة المؤلّف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إقامته الحدود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مشايخ روايته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تآليفه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الكتب والرسائل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الكتب والرسائل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الكتب والرسائل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الكتب والرسائل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الكتب والرسائل المتفرّقة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متن الرسالة</w:t>
      </w:r>
    </w:p>
    <w:p>
      <w:pPr>
        <w:pStyle w:val="BookText"/>
        <w:rPr/>
      </w:pPr>
      <w:r>
        <w:rPr>
          <w:rFonts w:ascii="Amiri" w:hAnsi="Amiri" w:eastAsia="Amiri" w:cs="Amiri"/>
          <w:color w:val="111111"/>
          <w:sz w:val="28"/>
          <w:sz w:val="28"/>
          <w:szCs w:val="28"/>
          <w:rtl w:val="true"/>
          <w:lang w:bidi="ar-SA"/>
        </w:rPr>
        <w:t>الوطى في الصغر هل ينشر الحرمة،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المستند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المؤلّف و مستنده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الإيقاب الّذي هو المناط في التحريم هو الإدخال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التحريم فيما إذا كان الفجور مسبوقًا بالعقد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مستند القولين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الجواب عن مستند القول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يختصّ الحكم المذكور بأخت الموطوء أو يعمّ بنت بنت الموطوء وإن نزلت، و كذا بنت ابنه و كذا أمّ الأمّ وإن علت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الحكم المذكور هل يختصّ بالأصناف المذكورة إذا كانت من النسب، أو يعمّها والرضاع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المؤلّف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المحرّمات بالرضاع بأسرها هل هي مثل المحرّمات في النسب في المحرميّة و جواز النظر إلى ما يجوز النظر إليها،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المحرميّة بين المرتضع و بين من تحقّق فيه إحدى</w:t>
      </w:r>
    </w:p>
    <w:p>
      <w:pPr>
        <w:pStyle w:val="BookText"/>
        <w:rPr/>
      </w:pPr>
      <w:r>
        <w:rPr>
          <w:rFonts w:ascii="Amiri" w:hAnsi="Amiri" w:eastAsia="Amiri" w:cs="Amiri"/>
          <w:color w:val="111111"/>
          <w:sz w:val="28"/>
          <w:sz w:val="28"/>
          <w:szCs w:val="28"/>
          <w:rtl w:val="true"/>
          <w:lang w:bidi="ar-SA"/>
        </w:rPr>
        <w:t xml:space="preserve">العلائق الّتي أوجبت المحرميّة في النسب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والثاني ؛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ومشاهير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صاحب الترجمة قدس‌سره 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فزنا بالاستفادة من جنابه في أوائل التحصيل في علم الأصول، و قرأنا عليه من مصنّفاته ما هو مشهور بالفوائد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قدس‌سره 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سنة خمس ومائتين بعد الألف، وكان مولانا مولى الكلّ آقا محمّد باقر البهبهاني في الحيات، ثمّ انتقل إلى الفردوس الأعلى في سنة ستّ ومائتين بعد الألف قدّس اللّه تعالى روحه السعيد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قدس‌سره في حاشية بعض إجازاته ما 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 و مائتين بعد الألف من الهجرة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رحمه‌الله 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اتّفق لي في سنة مائتين وخمس عشر بعد الألف الارتحال من اصبهان إلى بلدة قم، و مكثت فيها أربعة أشهر أو أكثر، و كنت مشتغلاً بكتابة هذا المجلّد من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نفسه قدس‌سره في مناسكه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بذلك الميرزا حبيب اللّه نيّر رحمه‌الله ضمن مرثيته للمترجم قدس‌سره معادن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 المتخلّص بوفا 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 جمع فيها بعض من القصائد والمقطّعات الّتي أنشدها الشعراء في مدح حجّة الإسلام قدس‌سرهووصف مسجده الأعظم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محلاّت أصفهان العظيمة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للعلاّمة المحقّق السيّد أسد اللّه الشفتي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قدس‌سره له إجازة كبيرة مبسوطة، تاريخها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عيد الفطر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أوّلها بعد البسملة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أبيه ؛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علماى 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الكرام البررة 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بيان</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ملّى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الميرزا أبوالقاسم بن محمّد مهدي النراقي رحمه‌الله المتوفّى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ملخّص المقال في دفع القيل والقال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الردّ على هذه الرسالة إجابة لسؤال أخيه المولى أحمد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المخطوطة منه موجودة في المكتبة المرعشيّة برقم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مذكورة في فهرسها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مخطوط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في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العلاّمة السيّد محمّد صادق بن زين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ضياء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نينوا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مخطوط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مضافًا إلى الوجوه الّتي أبرزناها في مقام ترجيح أقرب المجازات على غيره فيما علّقناه في أصول المعالم في مباحث المجمل والمبيّن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عبدالوهّاب الشريف ابن محمّد علي القزوينيّ، من أكابر تلامذته والمجازين منه بإجازة كبيرة مبسوطة، ذكر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ألّف أوّلاً رسالة فارسيّة مختصرة، وأخرى عربيّة في مسائل التقليد، ثمّ بعد ما رأى رسالة حجّة الإسلام في التقليد وإيجابه على المقلّد العدول إلى المجتهد الحيّ بعد موت من كان يقلّده، كتب هذه الرسالة ناقلاً لعين عبارات حجّة الإسلام، ثمّ الردّ عليه 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السيّد حجّة الإسلام قدس‌سره في الرسالة الثانية بأنّه كتب في تحقيق أحواله رسالتان، حيث قال في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كتبت في سالف الزمان رسالة في تحقيق الحال في إبراهيم بن هاشم وأغفلت فيها بعض ما ينبغي التنبيه عليه، أبرزت هذه الكلمات في ذلك المرام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الذريعة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اسماعيل الواقع في صدر بعض أسانيد الكافي، للسيّد حجّة الإسلام الاصفهاني،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ثمّ بعد مدّة كتب عليه حاشية منه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كليّة الإلهيّات في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رحمه‌الله في بياضه انظر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مطابق لما كتبه العلاّمة الشيخ محمّد جعفر بن محمّد إبراهيم الكرباسي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مخطوطات 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كذلك العالم الفاضل الشاعر 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تأريخ وفاته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عليه أمّ الغلام و بنته و أخته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فحال الفعل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أمّه وابنته و أخته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الأسلام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الحالتين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والظاهر انّه سقط هنا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ابنتاهما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حقيقيّة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فيبقي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 من قصيدة قالها في عليّ بن الحسين عليهماالسلام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الأحكام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18243</Words>
  <Characters>68894</Characters>
  <CharactersWithSpaces>86234</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2026-08-27T07:43:59Z</dcterms:created>
  <dc:creator>ghaemiyeh.com</dc:creator>
  <dc:description/>
  <dc:language>en-US</dc:language>
  <cp:lastModifiedBy/>
  <dcterms:modified xsi:type="dcterms:W3CDTF">2026-08-27T11:14:03Z</dcterms:modified>
  <cp:revision>1</cp:revision>
  <dc:subject/>
  <dc:title>رسالة فی حرمة محارم الموطوء على الواطی</dc:title>
</cp:coreProperties>
</file>

<file path=docProps/custom.xml><?xml version="1.0" encoding="utf-8"?>
<Properties xmlns="http://schemas.openxmlformats.org/officeDocument/2006/custom-properties" xmlns:vt="http://schemas.openxmlformats.org/officeDocument/2006/docPropsVTypes"/>
</file>