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احادیث افتراق المسلمین علی ثلاث و سبعین فرقه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4500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94502_37281509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94504_372815092">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3394506_372815092">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394508_372815092">
            <w:r>
              <w:rPr>
                <w:webHidden/>
                <w:rStyle w:val="IndexLink"/>
                <w:rtl w:val="true"/>
              </w:rPr>
              <w:t>كلمات العلماء</w:t>
            </w:r>
            <w:r>
              <w:rPr>
                <w:rStyle w:val="IndexLink"/>
                <w:rtl w:val="true"/>
              </w:rPr>
              <w:t xml:space="preserve">: </w:t>
            </w:r>
            <w:r>
              <w:rPr>
                <w:rStyle w:val="IndexLink"/>
                <w:rtl w:val="true"/>
              </w:rPr>
              <w:t>حول هذه الأحاديث</w:t>
            </w:r>
            <w:r>
              <w:rPr>
                <w:rStyle w:val="IndexLink"/>
                <w:rtl w:val="true"/>
              </w:rPr>
              <w:tab/>
            </w:r>
            <w:r>
              <w:rPr>
                <w:rStyle w:val="IndexLink"/>
              </w:rPr>
              <w:t>14</w:t>
            </w:r>
          </w:hyperlink>
        </w:p>
        <w:p>
          <w:pPr>
            <w:pStyle w:val="Contents2"/>
            <w:tabs>
              <w:tab w:val="clear" w:pos="8743"/>
              <w:tab w:val="right" w:pos="9026" w:leader="dot"/>
            </w:tabs>
            <w:rPr/>
          </w:pPr>
          <w:hyperlink w:anchor="__RefHeading___Toc3394510_372815092">
            <w:r>
              <w:rPr>
                <w:webHidden/>
                <w:rStyle w:val="IndexLink"/>
                <w:rtl w:val="true"/>
              </w:rPr>
              <w:t>تعيين الفرقة الناجية</w:t>
            </w:r>
            <w:r>
              <w:rPr>
                <w:rStyle w:val="IndexLink"/>
                <w:rtl w:val="true"/>
              </w:rPr>
              <w:tab/>
            </w:r>
            <w:r>
              <w:rPr>
                <w:rStyle w:val="IndexLink"/>
              </w:rPr>
              <w:t>24</w:t>
            </w:r>
          </w:hyperlink>
        </w:p>
        <w:p>
          <w:pPr>
            <w:pStyle w:val="Contents2"/>
            <w:tabs>
              <w:tab w:val="clear" w:pos="8743"/>
              <w:tab w:val="right" w:pos="9026" w:leader="dot"/>
            </w:tabs>
            <w:rPr/>
          </w:pPr>
          <w:hyperlink w:anchor="__RefHeading___Toc3394512_372815092">
            <w:r>
              <w:rPr>
                <w:webHidden/>
                <w:rStyle w:val="IndexLink"/>
                <w:rtl w:val="true"/>
              </w:rPr>
              <w:t>الشيعة الإمامية هم الفرقة الناجية</w:t>
            </w:r>
            <w:r>
              <w:rPr>
                <w:rStyle w:val="IndexLink"/>
                <w:rtl w:val="true"/>
              </w:rPr>
              <w:tab/>
            </w:r>
            <w:r>
              <w:rPr>
                <w:rStyle w:val="IndexLink"/>
              </w:rPr>
              <w:t>28</w:t>
            </w:r>
          </w:hyperlink>
        </w:p>
        <w:p>
          <w:pPr>
            <w:pStyle w:val="Contents2"/>
            <w:tabs>
              <w:tab w:val="clear" w:pos="8743"/>
              <w:tab w:val="right" w:pos="9026" w:leader="dot"/>
            </w:tabs>
            <w:rPr/>
          </w:pPr>
          <w:hyperlink w:anchor="__RefHeading___Toc3394514_372815092">
            <w:r>
              <w:rPr>
                <w:webHidden/>
                <w:rStyle w:val="IndexLink"/>
                <w:rtl w:val="true"/>
              </w:rPr>
              <w:t>تنبيه</w:t>
            </w:r>
            <w:r>
              <w:rPr>
                <w:rStyle w:val="IndexLink"/>
                <w:rtl w:val="true"/>
              </w:rPr>
              <w:tab/>
            </w:r>
            <w:r>
              <w:rPr>
                <w:rStyle w:val="IndexLink"/>
              </w:rPr>
              <w:t>38</w:t>
            </w:r>
          </w:hyperlink>
        </w:p>
        <w:p>
          <w:pPr>
            <w:pStyle w:val="Contents2"/>
            <w:tabs>
              <w:tab w:val="clear" w:pos="8743"/>
              <w:tab w:val="right" w:pos="9026" w:leader="dot"/>
            </w:tabs>
            <w:rPr/>
          </w:pPr>
          <w:hyperlink w:anchor="__RefHeading___Toc3394516_372815092">
            <w:r>
              <w:rPr>
                <w:webHidden/>
                <w:rStyle w:val="IndexLink"/>
                <w:rtl w:val="true"/>
              </w:rPr>
              <w:t>الأحاديث الدالّة</w:t>
            </w:r>
            <w:r>
              <w:rPr>
                <w:rStyle w:val="IndexLink"/>
                <w:rtl w:val="true"/>
              </w:rPr>
              <w:t xml:space="preserve">: </w:t>
            </w:r>
            <w:r>
              <w:rPr>
                <w:rStyle w:val="IndexLink"/>
                <w:rtl w:val="true"/>
              </w:rPr>
              <w:t>على نجاة المُوحِّدين</w:t>
            </w:r>
            <w:r>
              <w:rPr>
                <w:rStyle w:val="IndexLink"/>
                <w:rtl w:val="true"/>
              </w:rPr>
              <w:tab/>
            </w:r>
            <w:r>
              <w:rPr>
                <w:rStyle w:val="IndexLink"/>
              </w:rPr>
              <w:t>42</w:t>
            </w:r>
          </w:hyperlink>
        </w:p>
        <w:p>
          <w:pPr>
            <w:pStyle w:val="Contents2"/>
            <w:tabs>
              <w:tab w:val="clear" w:pos="8743"/>
              <w:tab w:val="right" w:pos="9026" w:leader="dot"/>
            </w:tabs>
            <w:rPr/>
          </w:pPr>
          <w:hyperlink w:anchor="__RefHeading___Toc3394518_372815092">
            <w:r>
              <w:rPr>
                <w:webHidden/>
                <w:rStyle w:val="IndexLink"/>
                <w:rtl w:val="true"/>
              </w:rPr>
              <w:t>مصادر التحقیق</w:t>
            </w:r>
            <w:r>
              <w:rPr>
                <w:rStyle w:val="IndexLink"/>
                <w:rtl w:val="true"/>
              </w:rPr>
              <w:tab/>
            </w:r>
            <w:r>
              <w:rPr>
                <w:rStyle w:val="IndexLink"/>
              </w:rPr>
              <w:t>50</w:t>
            </w:r>
          </w:hyperlink>
        </w:p>
        <w:p>
          <w:pPr>
            <w:pStyle w:val="Contents2"/>
            <w:tabs>
              <w:tab w:val="clear" w:pos="8743"/>
              <w:tab w:val="right" w:pos="9026" w:leader="dot"/>
            </w:tabs>
            <w:rPr/>
          </w:pPr>
          <w:hyperlink w:anchor="__RefHeading___Toc3394520_372815092">
            <w:r>
              <w:rPr>
                <w:webHidden/>
                <w:rStyle w:val="IndexLink"/>
                <w:rtl w:val="true"/>
              </w:rPr>
              <w:t>الفهرس</w:t>
            </w:r>
            <w:r>
              <w:rPr>
                <w:rStyle w:val="IndexLink"/>
                <w:rtl w:val="true"/>
              </w:rPr>
              <w:tab/>
            </w:r>
            <w:r>
              <w:rPr>
                <w:rStyle w:val="IndexLink"/>
              </w:rPr>
              <w:t>58</w:t>
            </w:r>
          </w:hyperlink>
        </w:p>
        <w:p>
          <w:pPr>
            <w:pStyle w:val="Contents2"/>
            <w:tabs>
              <w:tab w:val="clear" w:pos="8743"/>
              <w:tab w:val="right" w:pos="9026" w:leader="dot"/>
            </w:tabs>
            <w:rPr/>
          </w:pPr>
          <w:hyperlink w:anchor="__RefHeading___Toc3394522_372815092">
            <w:r>
              <w:rPr>
                <w:webHidden/>
                <w:rStyle w:val="IndexLink"/>
                <w:rtl w:val="true"/>
              </w:rPr>
              <w:t>آثار سماحة آية الله العظمى الصافي الگلپايگاني مدّ ظلّه الوارف</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7_65705"/>
      <w:bookmarkStart w:id="1" w:name="pg7077_65705"/>
      <w:bookmarkEnd w:id="1"/>
    </w:p>
    <w:p>
      <w:pPr>
        <w:pStyle w:val="Heading2"/>
        <w:numPr>
          <w:ilvl w:val="1"/>
          <w:numId w:val="1"/>
        </w:numPr>
        <w:rPr/>
      </w:pPr>
      <w:bookmarkStart w:id="2" w:name="pg7077_65705"/>
      <w:bookmarkStart w:id="3" w:name="__RefHeading___Toc3394500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افتراق‌المسلمین علی ثلاث و سبعین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صافی‌گلپایگانی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Sects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4584307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450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أحاديث افتراق المسلمين على ثلاث وسبعين فرقة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الکبیر المرجع الدیني الأعلی سماحة آیة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الله العظمی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لطف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bookmarkStart w:id="7" w:name="pg7077_65713"/>
    </w:p>
    <w:p>
      <w:pPr>
        <w:pStyle w:val="Heading2"/>
        <w:numPr>
          <w:ilvl w:val="1"/>
          <w:numId w:val="1"/>
        </w:numPr>
        <w:rPr/>
      </w:pPr>
      <w:bookmarkStart w:id="8" w:name="__RefHeading___Toc3394504_372815092"/>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هنالك روايات متواترة ينقلها الشيعة والسنّة عن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تنبّأ بأنّ ما جرى على الاُمم السابقة سيجري على هذه الاُمّة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أبو سعيد الخدري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مَنْ كَانَ قَبْلَكُمْ شِبْراً بِشِبْرٍ، وَذِرَاعاً بِذِرَاعٍ، حَتَّى لَوْ أَنَّ أَحَدَهُمْ دَخَلَ جُحْرَ ضَبٍّ لَتَبِعْتُمُوهُمْ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المسائل الّتي جرت على الاُمم السابقة، ووردت عنها أحاديث عن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أمثال هذه الأحاديث يشير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افتراق اُمّتَي موسى وعيسى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اُمّته أيضاً سوف تفترق إلى ثلاث </w:t>
      </w:r>
    </w:p>
    <w:p>
      <w:pPr>
        <w:pStyle w:val="BookText"/>
        <w:rPr/>
      </w:pPr>
      <w:r>
        <w:rPr>
          <w:rFonts w:ascii="Amiri" w:hAnsi="Amiri" w:eastAsia="Amiri" w:cs="Amiri"/>
          <w:color w:val="111111"/>
          <w:sz w:val="28"/>
          <w:sz w:val="28"/>
          <w:szCs w:val="28"/>
          <w:rtl w:val="true"/>
          <w:lang w:bidi="ar-SA"/>
        </w:rPr>
        <w:t>وسبعين فرقة، منها فرقة واحدة فقط هي الناجية ومن أهل الجنّة، وسائر الفرق الباقية هالكة ومن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المقالة الّتي تمرّ تحت أنظار القارئ الكريم، دراسة إجمالية وجامعة تسعى إلى أن تتعرّف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 أوسع وأفضل، وهي تقوم على اُسس من الدلائل والشواهد العقلية والنقلية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المؤلّف المحترم، بإراءته هذه القرائن والدلائل، يثبت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أتباع الأئمّة الإثني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ومحبّي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اللّهمّ اجعلنا في زمرتهم</w:t>
      </w:r>
      <w:r>
        <w:rPr>
          <w:rFonts w:eastAsia="IRNazanin" w:cs="IRNazanin"/>
          <w:color w:val="111111"/>
          <w:sz w:val="28"/>
          <w:szCs w:val="28"/>
          <w:rtl w:val="true"/>
          <w:lang w:bidi="fa-IR"/>
        </w:rPr>
        <w:t xml:space="preserve">. </w:t>
      </w:r>
      <w:bookmarkStart w:id="10" w:name="pg7077_65717"/>
    </w:p>
    <w:p>
      <w:pPr>
        <w:pStyle w:val="Heading2"/>
        <w:numPr>
          <w:ilvl w:val="1"/>
          <w:numId w:val="1"/>
        </w:numPr>
        <w:rPr/>
      </w:pPr>
      <w:bookmarkStart w:id="11" w:name="__RefHeading___Toc3394506_372815092"/>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العالمين، وصلّى الله على سيّد المرسلين أبي القاسم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جمعٌ من أرباب المسانيد والسنن وجوامع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كأحمد، وأبي داود، وابن ماجة، وابن حبّان، والترمذي، والنسائي، والبغوي، والدارمي، أحاديث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اُمّته ستفترق على ثلاث وسبعين 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نصّ فيه على الهالكة من الفرق والناجية منها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أنّ واحدة منها في الجنّة والباقين في النار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كلّها في الجنّة إلّا الزنادقة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الشمس محمد بن أحمد بن بشّار المقدّسي في 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وَسَبْعُونَ فِي الجْنَّةِ، وَوَاحِدَةٌ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إسناداً، </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وَسَبْعوُنَ فِي النَّارِ وَوَاحِدَةٌ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تعرّض فيه لتعيين الهالكة والناجية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الناجية هي الجماعة،</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بعضها كرواية أخرجها أخطب خوارزم موفّق بن أحمد المكّي، وابن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حكي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رواه الحافظ محمد بن موسى الشيرازي في الجمع بين التفاسير العشرة،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تَفْتَرِقُ هَذِهِ الْاُمَّةُ عَلَى ثَلَاثٍ وَسَبْعينَ فِرْقَةً، ثِنْتَانِ وَسَبْعوُنَ فِي النَّارِ، وَوَاحِدَةٌ فِي الجْنَّةِ، وَهُمُ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وَبِهِ يَعْدِلُونَ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أَنَا وَشيعَتي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الإمام الحافظ حسن بن محمد الصغاني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المنيرة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اُمَّةُ أَخِي موُسَى إِحْدَى وَسَبْعينَ فِرْقَةً، وَافْتَرَقَتْ اُمَّةُ أَخي عيسَى عَلَى اثْنَتَيْنِ وَسَبْعينَ فِرْقَةً، وَسَتَفْتَرِقُ اُمَّتي عَلَى ثَلاثٍ وَسَبْعينَ فِرْقَةً، كُلُّها هَالِكَةٌ إِلَّا فِرْقَةٌ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ذلك منه ضاق المسلمون ذرعاً وضجّوا بالبكاء، وأقبلوا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لنا بعدك بطريق النجاة؟ وكيف لنا بمعرفة الفرقة الناجية حتى نعتمد عليها؟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مِنْ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وَعِتْرَتِي أَهْلَ بَيْتِي، إِنَّ اللَّطيفَ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 نَبَّأَنِي أنَّهُمَا لَنْ يَفْتَرِقَا حَتَّى يَرِدَا عَلَيَّ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أبي حاتم،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بَنُو إِسْرَائيلَ بَعْدَ مُوسَى إِحْدَى وَسَبْعينَ فِرْقَةً، كُلُّهَا فِي النَّارِ إِلَّافِرْقَةً، وَافْتَرَقَتِ النَّصَارَى بَعْدَ عِيسَى عَلَى اثْنَتَيْنِ وَسَبْعينَ فِرْقَةً، كُلُّهَا فِي النَّارِ إِلَّا فِرْقَةً، وَتَفْتَرِقُ هَذِهِ الأُمَّةُ عَلَى ثَلَاثٍ وَسَبْعِينَ فِرْقَةً، كُلُّهَا فِي النَّارِ إِلَّا فِرْقَةً، فَأَمَّا الْيَهُودُ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وَبِهِ يَعْدِلُونَ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النَّصَارَى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خَلَقْنَا أُمّةٌ يَهْدُونَ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وَبِهِ يَعْدِلُونَ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 مِنْ هَذِهِ الْاُمَّةِ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بعضها أنّ الهالكة قوم يقيسون الاُمور برأيهم، وهو ما رواه الحاكم في المستدرك</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الفتن والملاحم، وصحّحه على شرط البخاري ومسلم، عن عوف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بِضْعٍ وَسَبْعينَ فِرْقَةً، أَعْظَمُهَا فِرْقَةٌ يَقيسوُنَ الْاُموُرَ بِرَأْيِهِمْ، فَيُحَرِّموُنَ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وَيُحَلِّلوُنَ الحْرَامَ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13" w:name="pg7077_65725"/>
    </w:p>
    <w:p>
      <w:pPr>
        <w:pStyle w:val="Heading2"/>
        <w:numPr>
          <w:ilvl w:val="1"/>
          <w:numId w:val="1"/>
        </w:numPr>
        <w:rPr/>
      </w:pPr>
      <w:bookmarkStart w:id="14" w:name="__RefHeading___Toc3394508_372815092"/>
      <w:bookmarkStart w:id="15" w:name="_Toc5"/>
      <w:bookmarkEnd w:id="13"/>
      <w:bookmarkEnd w:id="14"/>
      <w:r>
        <w:rPr>
          <w:rtl w:val="true"/>
        </w:rPr>
        <w:t>كلمات العلماء</w:t>
      </w:r>
      <w:r>
        <w:rPr>
          <w:rtl w:val="true"/>
        </w:rPr>
        <w:t xml:space="preserve">: </w:t>
      </w:r>
      <w:r>
        <w:rPr>
          <w:rtl w:val="true"/>
        </w:rPr>
        <w:t>حول هذه الأحاديث</w:t>
      </w:r>
      <w:bookmarkEnd w:id="15"/>
    </w:p>
    <w:p>
      <w:pPr>
        <w:pStyle w:val="BookText"/>
        <w:rPr/>
      </w:pPr>
      <w:r>
        <w:rPr>
          <w:rFonts w:ascii="Amiri" w:hAnsi="Amiri" w:eastAsia="Amiri" w:cs="Amiri"/>
          <w:color w:val="111111"/>
          <w:sz w:val="28"/>
          <w:sz w:val="28"/>
          <w:szCs w:val="28"/>
          <w:rtl w:val="true"/>
          <w:lang w:bidi="ar-SA"/>
        </w:rPr>
        <w:t>لقد كثرت كلمات العلماء حول رجال هذه الأحاديث ومتونها، وتعارض بعضها مع بعض، وشرح ألفاظها، وتعيين الفرقة الناجية، فأنكر بعضهم صحّتها،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أخرجها السيوطي في الجامع الصغير وصحّحها ولم يذكر الناجية والهالكة،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بعضهم ما في أسانيده محمد بن عمرو الليثي، وعبّاد بن يوسف، وراشد بن سعد، ووليد بن مسلم، وبعض المجاهيل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أنّ المراد بالاُمّة هل هي اُمّة الدعوة أم اُمّة الإجابة؟ وفي اختصاص الاختلاف باُصول الفرق دون فروعها، كما اختلفوا في العدد المأثور، وأنّ العدد لمجرّد التكثير، أو أنّ العدد لا مفهوم له، فلا مانع من الزيادة على العدد المأثور وإن لم يجز النقص، أو أنّ المقصود اُصول الفرق دون فروعها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تشعّب الفرقة لا ينتهي إلى انتهاء تاريخ البشر، فلا يصحّ قصر العدد على فرق دون فرق، ولا على قرن دون قرن؛ لاستمرار ابتكار أهواء وتلفيق آراء مدّة دوام الحياة البشرية في هذا العالم، فالكلام في الفرق من غير تقيُّد بعددٍ هو الأبعد عن التحكم، وهو الّذي لا يكون مَدعاةً لهُزءِ الهازئين من غير أهل هذا الدين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تعداد الفرق وتفصيل معتقداتهم، وقد وقعوا في اشتباهات وجهالات في هذا المقام، وقالوا عن الشيعة وغيرهم مايدلّ على جهلهم بأوضح المطالب التاريخية والكلامية ممّا ليس هنا محلّ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واخترعوا مذاهب وفرقاً لم تخرج بعدُ إلى عالَم الوجود، فراجع الفصل لابن حزم، و الملل والنحل للشهرستاني، و التبصير لأبي المظفّر الإسفَرايني وغيرها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ينبغي الاستناد في نقل مذهب أيّ فرقة من فرق المسلمين على مثل هذه الكتب المليئة بالخرافات والجهالات، وما فيه شَين للإسلام والمسلمين، والجامعة بين الغثّ والسمين، والصحيح والسقيم، وأعاجيب الأكاذيب، وإن شئت أن تكتب عن طائفة أو شخص من المسلمين وغيرهم فلا تَعْزُ إلى شخص ولا فرقة من الفرق إلّا ما سجِّل </w:t>
      </w:r>
    </w:p>
    <w:p>
      <w:pPr>
        <w:pStyle w:val="BookText"/>
        <w:rPr/>
      </w:pPr>
      <w:r>
        <w:rPr>
          <w:rFonts w:ascii="Amiri" w:hAnsi="Amiri" w:eastAsia="Amiri" w:cs="Amiri"/>
          <w:color w:val="111111"/>
          <w:sz w:val="28"/>
          <w:sz w:val="28"/>
          <w:szCs w:val="28"/>
          <w:rtl w:val="true"/>
          <w:lang w:bidi="ar-SA"/>
        </w:rPr>
        <w:t>في كتبهم المعتمدة ومؤلّفاتهم المعتبرة، ولا تلزم أحداً منهم بلازم قوله إلّا إذا كان لازمه لزوماً 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واستشكلوا أيضاً في كفر هذه الفرق ما عدا واحدة منها، فعن الشاطبي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لا يكفِّرون كلَّ مبتدع، بل يقولون بإيمان أكثر الطوائف الّتي فسَّروا بها الفرق، ورجّح أنّ الحكم بكون هذه الفرق في النار ما عدا الجماعة الملتزمة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كان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وأصحابه لا يقتضي أنّها كلّها خالدة خلود الكفّار، فجوّز أن يكون منها من يُعذّب على البدعة والمعصية، ولا يخلد في العذاب خلود الكفّار المشركين، أو الجاحدين لبعض ما علم من الدين بالضرورة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لو لم نقل بدلالتها على كون جميع الفرق مسلمة ومعدودة من الاُمّة، لا تدلّ على كفر الجميع إلّا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دلّ بعضها على دخول الجميع في النار ماعدا الواحدة منها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أعظم ما وقع الاختلاف فيه في هذه الأحاديث، تعيين الفرقة الناجية، والّتي تكون على ما كان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على ما في بعض طرقه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محمد عبده، مفتي الديار المصرية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تعيينأيّ فرقة هي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تكون على ما كان النبيّ عليه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يتعيّن لي إلى الآن، فإنّ كلّ طائفة ممّن يذعن لنبيّنا بالرسالة تجعل نفسها على ما كان عليه النبيّ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يسرّني ما جاء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الهالك منهم واحدة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فهرس موارد الاختلاف في هذا الحديث من حيث السند والمتن والدلالة، ولا يخفى عليك أنّ تعيين الفرقة الّتي تكون على ما كان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والجماعة الملتزمة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كانوا عليه لا يثبت بنفس هذه الأحاديث، بل لابدّ من الرجوع إلى غيرها من الروايات والآثار والأدلّة العقلية، مضافاً إلى أنّ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مطعون فيها من حيث السند؛ لاشتماله على مثل أزهر بن عبد الله الناصبي، وعبّاد بن يوسف، وراشد بن سعد، وهشام بن عمّار، ووليد بن مسلم، و عن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حديث عوف بن مالك فيه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ببعيد أن تكون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الرجال، ففسَّر الحديث وبيّن معناه على وفق رأيه وما هو الصواب عنده، ويؤيّده أنّ الدارمي خرّج هذا الحديث ولم يذكر هذه </w:t>
      </w:r>
    </w:p>
    <w:p>
      <w:pPr>
        <w:pStyle w:val="BookText"/>
        <w:rPr/>
      </w:pP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 سنده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بحديثه الآخر، فإنّ لفظ الحديث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فِي النَّارِ، إِلَّا وَاحِدَةً، وَهِيَ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وَأَصْحَابِي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فالاغترار بهذه الزيادات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المعارضات في نفس هذه الأحاديث، وابتلائها بالمعارضات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عن الصواب،ويؤيّد زيادة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متون هذه الأحاديث، وزيادة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البعض الآخر عدمُ استقامة مفادهما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فلأنّه إنّما نجا مَن نجا وينجو من هذه الاُمّة بسبب كونه على ما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عبرة بكونه على ما عليه غيره كائناً من كان، وإن كان من أهل النجاة؛ لأنّه أيضاً إنّما نجا بكونه على ما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الكون على ما هو عليه مدّة بقائه في هذه الدنيا، وعلى ما عليه أصحابه بعد ارتحاله، فهذا أيضاً لا يستقيم؛ لأنّه لا شكّ في وجود المنافقين في الصحابة، كما دلّت عليه </w:t>
      </w:r>
    </w:p>
    <w:p>
      <w:pPr>
        <w:pStyle w:val="BookText"/>
        <w:rPr/>
      </w:pPr>
      <w:r>
        <w:rPr>
          <w:rFonts w:ascii="Amiri" w:hAnsi="Amiri" w:eastAsia="Amiri" w:cs="Amiri"/>
          <w:color w:val="111111"/>
          <w:sz w:val="28"/>
          <w:sz w:val="28"/>
          <w:szCs w:val="28"/>
          <w:rtl w:val="true"/>
          <w:lang w:bidi="ar-SA"/>
        </w:rPr>
        <w:t>آيات كثيرة، كما لا شكّ في ارتداد كثير منهم، كما دلّت عليه أحاديث الحوض المتواترة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إذا كان الميزان قبل ارتحاله الكون على ما هو عليه، وبعد ارتحاله الكون على ما عليه الصحابة فما هو الميزان بعد عصر الصحابة؟</w:t>
      </w:r>
    </w:p>
    <w:p>
      <w:pPr>
        <w:pStyle w:val="BookText"/>
        <w:rPr/>
      </w:pPr>
      <w:r>
        <w:rPr>
          <w:rFonts w:ascii="IRNazanin" w:hAnsi="IRNazanin" w:eastAsia="IRNazanin"/>
          <w:color w:val="111111"/>
          <w:sz w:val="28"/>
          <w:sz w:val="28"/>
          <w:szCs w:val="28"/>
          <w:rtl w:val="true"/>
          <w:lang w:bidi="fa-IR"/>
        </w:rPr>
        <w:t>مضافاً إلى أنّه كيف يمكن الكون على ما عليه الصحابة مع ما حدث بينهم من الاختلاف، حتى ضرب بعضهم بعضاً، ولعن بعضهم بعضاً، ووقع بينهم ما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أظنُّ بأحد من المسلمين القول بأنّ ميزان النجاة الكونُ على ما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بمعنى عدم الكون على ما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للنجاة إلّا إذا انضمّ إليه الكون على ما عليه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فما يقول هؤلاء في نجاة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هي أيضاً متوقّفة عندهم على كونه على ما كان عليه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جرأتهم على الله ورسوله، ومن زياداتهم واختلاقاتهم في الأحاديث حبّاً للبعض وبغضاً لأهل بيت العترة الطاهرة، ولأن يثبتوا باختلاقهم الأحاديث وإدخال الزيادات فيها لغير أهل البيت محناً لا يقاس بهم ما يشابه فضائلهم، ولكنّ الله عليم بذات الصدور، يُظهر أكاذيبهم ومفتعلاتهم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فالدليل على أنّها زيادة لايعتدّ بها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سيّما مع عدم ذكرها في سائر المتون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المراد منها إن كان ما عليه جميع الاُمَّة فهو خلاف المفروض في الحديث من افتراق الاُمّة، وإن كان ما عليه السّواد الأعظم والأكثرية فكيف صار الكون منها أبداً موجباً للنجاة؟ فهذه سيّدة نساء أهل الجنّة،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تعتقد بعدم شرعية ولاية أبي بكر،</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وهي واجدة عليه، وأهل السنّة يدَّعون أنّ الجماعة كانت تذهب إلى شرعية ولايته، مع أنّك تجد في الاُمّة فرقاً كثيرة أعظمها شيعة أهل البيت على عقيدة سيّدتنا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تجد فيها فرقةً ولا واحداً يشكُّ في كونها من أهل النجاة، وأنّها سيّدة نساء العالمين، بل هذا دليل على عدم صحّة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لأنّ عقيدتها تفترق عن عقيدة جمع من الصحابة من حزب أبي بكر وعمر بن الخطّاب</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وإن قيل بإرادة جميع الصحابة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النجاة مَن يقول بقول جميع الصحابة، </w:t>
      </w:r>
    </w:p>
    <w:p>
      <w:pPr>
        <w:pStyle w:val="BookText"/>
        <w:rPr/>
      </w:pPr>
      <w:r>
        <w:rPr>
          <w:rFonts w:ascii="Amiri" w:hAnsi="Amiri" w:eastAsia="Amiri" w:cs="Amiri"/>
          <w:color w:val="111111"/>
          <w:sz w:val="28"/>
          <w:sz w:val="28"/>
          <w:szCs w:val="28"/>
          <w:rtl w:val="true"/>
          <w:lang w:bidi="ar-SA"/>
        </w:rPr>
        <w:t xml:space="preserve">ويأخذ بما اتّفقوا عليه كلّهم، وهذا قريب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إلَّا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فالواحدة هي الخارجة عمّا اتّفق عليه كلّ الصحابة وينكر بعضه أو كلّه فهو ليس من الاُمّة لا أنّه منها وليس من الناجية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والعجب ممّن كتب في الفرق المختلفة،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اختلاف وقع بين الاُمّة كان في أمر الحكومة وزعامة الاُمّة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ويذكر مخالفة سيّدتنا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بني هاشم وشيعتهم، ثمّ يتمسّك بهذه الزيادة،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الفرقة الناجية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ويورد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صحّة هذه الزيادة، وأنّ المراد منهاالسواد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السواد الأعظم ثار على عثمان، وأنكر عليه أفاعيله وبدعه، واستعماله الخونة وبني اُميّة على المسلمين، وصرفه بيت مال المسلمين في أقاربه وخواصّه، وإهماله حدود الله، وطلبوا منه التوبة وإبطال بدعه وطرد الخونة عن الاستيلاء على الاُمور، إلّا أنّه لم يقبل منهم، ولم يعمل بنصح ناصح 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أصرّ على ما أغضب به رجالات الإسلام حتى قُتِل، فهل يعترف من يروي هذه الزيادة ويقول بصحّتها أنّ عثمان لم يكن من أهل النجاة، بل هو من أهل النار؟ وأمثلة ذلك كثيرة في تاريخ الإسلام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ونسأل، حتى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الحنابلة المجسِّمة بما اعتقدوا في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خلاف سائر المسلمين وجماعتهم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واليد، من أهل النجاة، أو من أهل النار؟</w:t>
      </w:r>
    </w:p>
    <w:p>
      <w:pPr>
        <w:pStyle w:val="BookText"/>
        <w:rPr/>
      </w:pPr>
      <w:r>
        <w:rPr>
          <w:rFonts w:ascii="Amiri" w:hAnsi="Amiri" w:eastAsia="Amiri" w:cs="Amiri"/>
          <w:color w:val="111111"/>
          <w:sz w:val="28"/>
          <w:sz w:val="28"/>
          <w:szCs w:val="28"/>
          <w:rtl w:val="true"/>
          <w:lang w:bidi="ar-SA"/>
        </w:rPr>
        <w:t>وابن تيميّة مع آرائه المخالفة للجماعة من أيِّ الفريقين؟ والشيخ محمد عبده، ورشيد رضا، وفريد وجدي وغيرهم من أهل الثقافة الحديثة والمتأثّرين بالمذاهب الفلسفية الغربية الّذين خالفوا جماعة العلماء وجماعة المسلمين، من أيِّهما؟</w:t>
      </w:r>
    </w:p>
    <w:p>
      <w:pPr>
        <w:pStyle w:val="BookText"/>
        <w:rPr/>
      </w:pPr>
      <w:r>
        <w:rPr>
          <w:rFonts w:ascii="IRNazanin" w:hAnsi="IRNazanin" w:eastAsia="IRNazanin"/>
          <w:color w:val="111111"/>
          <w:sz w:val="28"/>
          <w:sz w:val="28"/>
          <w:szCs w:val="28"/>
          <w:rtl w:val="true"/>
          <w:lang w:bidi="fa-IR"/>
        </w:rPr>
        <w:t xml:space="preserve">والفرقة الّتي أحدثتها أيادي الاستعمار، وأثارت الفتن المخزية الدامية، وهدمت المشاهد والمعالم التاريخية، والبنايات الأثرية الإسلامية، الّتي كانت من أقوى الدلائل والشواهد على أمجادنا التاريخية وسيرة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ومشاهدها، من أيِّ الفريقين؟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ذلك كلّه فالأقوى في النظر زيادة هاتين الكلمتين، وعدم صدورهما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فرض الصدور لا يمكن الاعتماد عليهما؛ لإجمالهما وعدم استفادة ميزانية ظاهرة مستقيمة منها لمعرفة الفرقة الناجية</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077_65745"/>
      <w:bookmarkStart w:id="17" w:name="pg7077_65745"/>
      <w:bookmarkEnd w:id="17"/>
    </w:p>
    <w:p>
      <w:pPr>
        <w:pStyle w:val="Heading2"/>
        <w:numPr>
          <w:ilvl w:val="1"/>
          <w:numId w:val="1"/>
        </w:numPr>
        <w:rPr/>
      </w:pPr>
      <w:bookmarkStart w:id="18" w:name="pg7077_65745"/>
      <w:bookmarkStart w:id="19" w:name="__RefHeading___Toc3394510_372815092"/>
      <w:bookmarkStart w:id="20" w:name="_Toc6"/>
      <w:bookmarkEnd w:id="18"/>
      <w:bookmarkEnd w:id="19"/>
      <w:r>
        <w:rPr>
          <w:rtl w:val="true"/>
        </w:rPr>
        <w:t>تعيين الفرقة الناجية</w:t>
      </w:r>
      <w:bookmarkEnd w:id="20"/>
    </w:p>
    <w:p>
      <w:pPr>
        <w:pStyle w:val="BookText"/>
        <w:rPr/>
      </w:pPr>
      <w:r>
        <w:rPr>
          <w:rFonts w:ascii="Amiri" w:hAnsi="Amiri" w:eastAsia="Amiri" w:cs="Amiri"/>
          <w:color w:val="111111"/>
          <w:sz w:val="28"/>
          <w:sz w:val="28"/>
          <w:szCs w:val="28"/>
          <w:rtl w:val="true"/>
          <w:lang w:bidi="ar-SA"/>
        </w:rPr>
        <w:t>فإذن لا نجد مرجعاً في نفس هذه الأحاديث لتعيين الفرقة الناجية غير مثل الحديث الّذي أخرجه أخطب خوارزم، وابن مردويه، والحافظ الشيرازي عن أنس،</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الحديث الّذي أخرجه الحافظ الصغاني،</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الأوّل على أنّهم شيعة عليّ، والثاني على أنّهم هم المتمسّكون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والعترة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نحبّ الخوض في هذه المسائل الكلامية الّتي طال اشتغال الفريقين بها، ويغني الباحثين ما كتبه السلف فيها، إلّا أنّ بعض من يكتب كذباً وزوراً عن الشيعة ما يوافق هواه، حيث تعرّض لكلام المحقّق الطوسي في شرح الحديث، واستشهد بزعمه به، لما يريد من إثارة الفتن بين المسلمين والافتراء على الشيعة بأنّها تخالف المسلمين في </w:t>
      </w:r>
    </w:p>
    <w:p>
      <w:pPr>
        <w:pStyle w:val="BookText"/>
        <w:rPr/>
      </w:pPr>
      <w:r>
        <w:rPr>
          <w:rFonts w:ascii="Amiri" w:hAnsi="Amiri" w:eastAsia="Amiri" w:cs="Amiri"/>
          <w:color w:val="111111"/>
          <w:sz w:val="28"/>
          <w:sz w:val="28"/>
          <w:szCs w:val="28"/>
          <w:rtl w:val="true"/>
          <w:lang w:bidi="ar-SA"/>
        </w:rPr>
        <w:t>الاُصول، أوجب علينا أن نبيِّن له ولأمثاله معنى ذلك، وأنّهم أرادوا بمباينتهم مع الجميع أنّ الجميع يتشاركون في الاُصول والعقائد الموجبة لدخول الجنّة، ولا يخالفهم أحد سوى الإمامية، فإنّهم اشترطوا فيه بالأدلّة الصحيحة ولاية الأئمّة الإثني عشر أيضاً،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شاركوا الجميع في العقائد الإسلامية الموجبة لدخول الجنّة، وباينوا الجميع؛ لاشتراطهم في دخول الجنّة ولاية الأئمّة، فهم أهل النجاة، فلابدّ لنا من نقل كلام المحقّق الطوسي عمّن هو الأصل في حكايته عنه، وهو العلّامة الحلّي في كتابه منهاج الكرامة، وإجراء الكلام على سبيل الإيجاز حول تعيين الفرقةالناجية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في الدلالة على وجوب اتّباع مذهب الإمامية ما قاله شيخنا الإمام الأعظم الخواجة نصير الحقّ والملّة والدين محمد بن الحسن الطوسي قدّس الله روحه، وقد سألته عن المذاهب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بحثنا عنها، وعن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اُمَّتِي عَلَى ثَلَاثٍ وَسَبْعينَ فِرْقَةً، فِرْقَةٌ مِنْهَا نَاجِيَةٌ، وَالْبَاقِي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عيّن الفرقة الناجية والهالكة في حديث آخر صحيح متّفق عليه،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مَثَلُ أَهْلِ بَيْتِي كَمَثَلِ سَفينَةِ نوُحٍ، مَنْ رَكِبَهَا نَجَا، وَمَنْ تَخَلَّفَ </w:t>
      </w:r>
    </w:p>
    <w:p>
      <w:pPr>
        <w:pStyle w:val="BookText"/>
        <w:rPr/>
      </w:pPr>
      <w:r>
        <w:rPr>
          <w:rFonts w:ascii="Amiri" w:hAnsi="Amiri" w:eastAsia="Amiri" w:cs="Amiri"/>
          <w:color w:val="111111"/>
          <w:sz w:val="28"/>
          <w:sz w:val="28"/>
          <w:szCs w:val="28"/>
          <w:rtl w:val="true"/>
          <w:lang w:bidi="ar-SA"/>
        </w:rPr>
        <w:t>عَنْهَا غَرِقَ</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فوجدنا الفرقة الناجية هي الإمامية؛ لأنّهم باينوا جميع المذاهب، وجميع المذاهب قد اشتركت في اُصول العقائد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وننقل أيضاً كلام السيّد الجزائري عن كتابه الأنوار النعمانية، قال بعد نقل كلام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تحقيق متين،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الفرقة الناجية غير الإمامية لكان الناجي كلّهم، لا فرقة واحدة؛ وذلك لأنّهم متشاركون في الاُصول والعقائد الموجبة لدخول الجنّة، ولا يخالفهم أحد سوى الإمامية، فإنّهم اشترطوا في دخول الجنّة ولاية الأئمّة الإثني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والقول بإمامتهم،</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077_65752"/>
      <w:bookmarkStart w:id="22" w:name="pg7077_65752"/>
      <w:bookmarkEnd w:id="22"/>
    </w:p>
    <w:p>
      <w:pPr>
        <w:pStyle w:val="Heading2"/>
        <w:numPr>
          <w:ilvl w:val="1"/>
          <w:numId w:val="1"/>
        </w:numPr>
        <w:rPr/>
      </w:pPr>
      <w:bookmarkStart w:id="23" w:name="pg7077_65752"/>
      <w:bookmarkStart w:id="24" w:name="__RefHeading___Toc3394512_372815092"/>
      <w:bookmarkStart w:id="25" w:name="_Toc7"/>
      <w:bookmarkEnd w:id="23"/>
      <w:bookmarkEnd w:id="24"/>
      <w:r>
        <w:rPr>
          <w:rtl w:val="true"/>
        </w:rPr>
        <w:t>الشيعة الإمامية هم الفرقة الناجية</w:t>
      </w:r>
      <w:bookmarkEnd w:id="25"/>
    </w:p>
    <w:p>
      <w:pPr>
        <w:pStyle w:val="BookText"/>
        <w:rPr/>
      </w:pPr>
      <w:r>
        <w:rPr>
          <w:rFonts w:ascii="IRNazanin" w:hAnsi="IRNazanin" w:eastAsia="IRNazanin"/>
          <w:color w:val="111111"/>
          <w:sz w:val="28"/>
          <w:sz w:val="28"/>
          <w:szCs w:val="28"/>
          <w:rtl w:val="true"/>
          <w:lang w:bidi="fa-IR"/>
        </w:rPr>
        <w:t>ولتوضيح ما حقّقه المحقّق الطوسي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نحتجّ به لكون الفرقة الناجية هم الشيعة الإمامية وأتباع عليّ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أخرجه أخطب خوارزم، وابن مردويه، والحافظ محمد بن موسى الشيرازي، عن أنس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أنّهم شيعة عليّ وأصحابه،</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الفرقة الناجية والهالكة صريحاً في الحديث المشهور الصحيح، الّذي أخرجه جمع كثير من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مَثَلُ سَفِينَةِ نوُحٍ، مَنْ رَكِبَهَا نَجَا، وَمَنْ تَخَلَّفَ عَنْهَا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فالفرقة الناجية هي الفرقة المتمسّكة بأهل البيت، والفرقة الهالكة هي المتخلّفة عنهم، ولا ريب في استناد الشيعة في الاُصول والفروع وجميع العلوم الدينية كالتفسير والعقائد والفقه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لغيرهم هذا الاستناد والاختصاص والتمسّك بفتاواهم، لو لم نقل بإعراضهم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كتب القوم مشحونة بالاحتجاج بأحاديث النواصب، وفتاوى أعداء العترة، أمثال معاوية، وعمرو، وكعب الأحبار، وعكرمة، ومقاتل، وعِمران بن حَطّان، وحريز بن عثمان، ومروان،وغيرهم، ولم يُخرِّجوا عن أهل البيت إلّا نزراً قليلاً لا يُعتدّ به جدّاً، كما لم يحتجّوا بفتاواهم أيضاً في الفقه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عيَّنهم في غير أحاديث السفينة أيضاً، في الأحاديث الكثيرة الّتي بعضها متواتر، مثل أحاديث الثقلين الدالّة على انحصار الأمن من الضلال في التمسّك بهم وبالكتاب، وعدم افتراقهم عنه، وعصمتهم عن الخطأ، وأنّ التخلّف عنهم سبب للهلاك، ويشهد لذلك الحديث الّذي نقلناه عن الشمس المنيرة للحافظ حسن بن محمد الصغاني،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أحاديث الأمان، وأحاديث الخلفاء والأئمّة الإثني عشر، ومثل ما خرّجوه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تَأْتِي أَنْتَ وَشِيعَتُكَ يَوْمَ الْقِيَامَةِ رَاضِينَ مَرْضِيِّينَ، وَيَأْتِي أَعْدَاؤُكَ غِضَاباً مُقْمَحِينَ</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خرّجه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يَفْتَرِقَا حَتَّى يَرِدَا عَلَيَّ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أخرجه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مَوْتِي، وَيَسْكُنَ جَنَّةَ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الَّتِي وَعَدَني رَبّي، فَإِنَّ رَبّي عَزَّ وَجَلَّ غَرَسَ قُضْبَانَهَا بِيَدِهِ، فَلْيَتَوَلِّ عَلِيَّ بْنَ أَبي طَالِبٍ، فَإِنَّهُ لَمْ يُخْرِجْكُمْ مِنْ هُدًى، وَلَمْ يُدْخِلْكُمْ فِي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في فضائل الصحابة عن زيد بن أرقم</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يَحْيَا حَيَاتِي وَيَموُتَ ميتَتِي، وَيَدْخُلَ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الَّتي وَعَدَنِي رَبِّي قُضْبَاناً مِنْ قُضْبَانِهَا غَرَسَهُ بِيَدِهِ، وَهِيَ جَنَّةُ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فَلْيَتَوَلَّ عَلِيّاً وَذُرّيَّتَهُ مِنْ بَعْدِهِ، فَإِنَّهُمْ لَنْ يُخْرِجُوكُمْ مِنْ بْابِ هُدًى، وَلَنْ يُدْخِلُوكُمْ فِي بَابِ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مطير والباوردي، وابن شاهين، وابن مندة عن زياد بن مطرف</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أخرجه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بَيْنَ النَّاسِ فُرْقَةٌ وَاخْتِلَافٌ، فَيَكُونُ هَذَا وَأَصْحَابُهُ عَلَى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يَعْني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بهذه المضامين كثيرة، وإحصاؤها صعب جدّاً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وانتهاء الإمامية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 وانقطاعهم إليهم ظاهر من كتبهم في الحديث، ومذاهبهم في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اتّفقت مذاهب أهل السنّة فيما هو السبب للنجاة والخلاص من النار، أي الشهادتين والإتيان بالأركان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والحجّ والجهاد، ووافقهم الشيعة في جميع ذلك، وزادوا على هذه الاُمور ولاية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روايات متواترة خرّجها حُفّاظ</w:t>
      </w:r>
    </w:p>
    <w:p>
      <w:pPr>
        <w:pStyle w:val="BookText"/>
        <w:rPr/>
      </w:pPr>
      <w:r>
        <w:rPr>
          <w:rFonts w:ascii="Amiri" w:hAnsi="Amiri" w:eastAsia="Amiri" w:cs="Amiri"/>
          <w:color w:val="111111"/>
          <w:sz w:val="28"/>
          <w:sz w:val="28"/>
          <w:szCs w:val="28"/>
          <w:rtl w:val="true"/>
          <w:lang w:bidi="ar-SA"/>
        </w:rPr>
        <w:t>الفريقين، فالإمامية قد أخذوا بما هو ملاك النجاة عند أهل السنّة، ولا عكس، فيجب أن تكون الهالكة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اشتركت الشيعة وأهل السنّة في اُصول العقائد منالتوحيد والنبوّة، والمعاد وغيرها، وفي الفروع مثل الصلاة والصوم، والحجّ والزكاة، والجهاد والأمر بالمعروف والنهي عن المنكر وغيرها، وامتازت عن أهل السنّة في 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عندهم منصب إلهيّ يختار الله له من يشاء من عباده وينصبه، ويأمر النبيّ بالنصّ عليه، كما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الأئمّة الإثني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في الروايات الصحيحة، وقد نصّ النبيّ على عددهم في الأحاديث المخرّجة في أصحّ كتب حديث أهل السنّة، كصحيح البخاري ومسلم، ومسند أحمد، فإنّه قد خرّجه من أربعة وثلاثين طريقاً،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أرباب الجوامع، وأخرجوه عن غير واحد من الصحابة، كجابر بن سمرة، وابن مسعود، وأنس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عقيدة تشهد على صحّتها ونجاة صاحبها صحاح الأحاديث، فالفرقة الناجية إن كانت هي الشيعة فهي، وإن كانت غيرهم من أهل السنّة يجب أن تكون الشيعة أيضاً من الناجية؛ لاشتراكها مع أهل السنّة </w:t>
      </w:r>
    </w:p>
    <w:p>
      <w:pPr>
        <w:pStyle w:val="BookText"/>
        <w:rPr/>
      </w:pPr>
      <w:r>
        <w:rPr>
          <w:rFonts w:ascii="Amiri" w:hAnsi="Amiri" w:eastAsia="Amiri" w:cs="Amiri"/>
          <w:color w:val="111111"/>
          <w:sz w:val="28"/>
          <w:sz w:val="28"/>
          <w:szCs w:val="28"/>
          <w:rtl w:val="true"/>
          <w:lang w:bidi="ar-SA"/>
        </w:rPr>
        <w:t>في اُصول العقائد الإسلاميّة وفي الفروع العملية، مع أنّ القول بكون الناجية أهل السنّة يرجع إلى القول بنجاة جميع الفرق أو أكثرها، بخلاف ما لو كانت الشيعة هي الناجية، فالقول بنجاة أهل السنّة مستلزم للقول بنجاة الشيعة؛ لاشتراكها مع سائر الفرق في ما هو سبب للنجاة، ولا عكس، وهذا الوجه قريب من الوجه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في مسائل كثيرة، ولم يحصل منهم الاتّفاق على جميع الاُمور، ولم يعلم عصمة طائفة منهم بالخصوص، ولم يتّفق الفريقان في جواز الرجوع إلى شخص معيّن منهم، إلّا إلى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فالمتمسّكون بهداهم الآخذون بحجزتهم أهل النجاة والفلاح قطعاً وإجماعاً، بخلاف المتمسّك بغيرهم كائناً مَن كان، فإنّ نجاةالمتمسّك بغيرهم غير مقطوع بها ولا متّفق عليها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الأخبار الصحيحة قد دلّت على ارتداد أكثر الصحابة إلّا القليل منهم، مثل ما رواه البخاري في كتاب الحوض،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فَإِذَا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ثُمَّ إِذَا زُمْرَةٌ حَتَّى إِذَا عَرَفْتُهُمْ خَرَجَ رَجُلٌ مِنْ بَيْنِي وَبَيْنِهِمْ،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يدلّ على ارتداد جمع كثير من الصحابة، فلا تكون متابعتهم مطلقاً وإن لم يثبت ثبات المتبوع وعدم ارتداده سبباً للاندراج في الفرقة الناجية، كما أنّ الحكم بنجاة جميعهم مخالف 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هذه الأحاديث، واتّفق الفريقان على أنّ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كأبي ذرّ والمقداد وسلمان وعمّار وغيرهم من الصحابة لم يكونوا من المرتدّين، فمن تمسّك بهم ولم يعدل عنهم إلى غيرهم في الاُمور الدينية، سواء كانت اعتقادية أم عملية يكون من الفرقة الناجية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 المصرِّحة بذلك ما أخرجه في كنز العمّال، عن يحيى بن عبد الله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الجماعة؟ ومن أهل الفرقة؟ ومَن أهل السُنّة؟ ومَن أهل البدعة؟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وَيْحکَ أَمَّا إِذَا سَأَلْتَنِي فَافْهَمْ عَنّي، وَلَا عَلَيْكَ أَنْ تَسْأَلَ عَنْهَا أَحَداً بَعْدِي، أَمَّا أَهْلُ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فَأَنَا وَمَنْ اتَّبَعَنِي وَإِنْ قَلُّوا، وَذَلِكَ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عَنْ أَمْرِ الله وَأَمْرِ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أَهْلُ الْفُرْقَةِ فَالْم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ُخَالِفُونَ لِي وَمَنِ اتَّبَعَنِي وَإِنْ کَثُرُوا، وَأَمَّا أَهْلُ السُّنَّةِ </w:t>
      </w:r>
    </w:p>
    <w:p>
      <w:pPr>
        <w:pStyle w:val="BookText"/>
        <w:rPr/>
      </w:pPr>
      <w:r>
        <w:rPr>
          <w:rFonts w:ascii="Amiri" w:hAnsi="Amiri" w:eastAsia="Amiri" w:cs="Amiri"/>
          <w:color w:val="111111"/>
          <w:sz w:val="28"/>
          <w:sz w:val="28"/>
          <w:szCs w:val="28"/>
          <w:rtl w:val="true"/>
          <w:lang w:bidi="ar-SA"/>
        </w:rPr>
        <w:t>فَالْم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ُتَمَسِّکُونَ بِمَا سَنَّهُ الله لَهُمْ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قَلُّوا، وَأَمَّا أَهْلُ الْبِدْعَةِ 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ْمُخَالِفُونَ لِأَمْرِ الله وَلِکِتَابِهِ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بِرَأْيِهِمْ وَأَهْوَائِهِمْ وَإِنْ کَثُرُوا، وَقَدْ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مِنْهُمُ الْفَوْجُ الْأَوَّلُ وَبَقِيَتْ أَفْوَاجٌ، وَعَلَى الله قَصْمُهَا وَاسْتِئصَالُهَا عَنْ جَدْبَةِ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طويل، فيه بعض أحكام البغاة، وساقه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وَتُنَادِي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أَميرَ الْمؤُمِنينَ، أَصَابَ اللهُ بِكَ الرَّشَادَ وَالسَّدَادَ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والله إن اتّبعتموه وأطعتموه لم يضلَّ بكم عن منهاج نبيّكم قبس شعرة، وكيف يكون ذلك وقد استودعه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المنايا والوصايا وفصلَ الخطاب على منهاج هارون بن عمران، إذ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عمّا خصّه الله به إكراماً منه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أعطاه ما لم يُعطِ أحداً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الحديث وأشباهه لا تنطبق إلّا على الشيعة الإمامية، المنيخين مطاياهم بفناء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والمتمسّكين بهم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ويُعجبني هنا ذكر أبيات ذكرها للشافعي أحمد بن القادر العجيلي في كتابه ذخيرة المآل، والشريف الحضرمي في رَشفَة الصادي، وهي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رَأَيْتُ النَّاسَ قَدْ ذَهَبَتْ بِهِمْ</w:t>
      </w:r>
    </w:p>
    <w:p>
      <w:pPr>
        <w:pStyle w:val="BookText"/>
        <w:rPr/>
      </w:pPr>
      <w:r>
        <w:rPr>
          <w:rFonts w:ascii="Amiri" w:hAnsi="Amiri" w:eastAsia="Amiri" w:cs="Amiri"/>
          <w:color w:val="111111"/>
          <w:sz w:val="28"/>
          <w:sz w:val="28"/>
          <w:szCs w:val="28"/>
          <w:rtl w:val="true"/>
          <w:lang w:bidi="ar-SA"/>
        </w:rPr>
        <w:t>مَذَاهِبُهُمْ فِي أَبْحُرِ الْغَيِّ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p>
    <w:p>
      <w:pPr>
        <w:pStyle w:val="BookText"/>
        <w:rPr/>
      </w:pPr>
      <w:r>
        <w:rPr>
          <w:rFonts w:ascii="Amiri" w:hAnsi="Amiri" w:eastAsia="Amiri" w:cs="Amiri"/>
          <w:color w:val="111111"/>
          <w:sz w:val="28"/>
          <w:sz w:val="28"/>
          <w:szCs w:val="28"/>
          <w:rtl w:val="true"/>
          <w:lang w:bidi="ar-SA"/>
        </w:rPr>
        <w:t>رَكِبْتُ عَلَى اسْمِ اللهِ في سُفُنِ النَّجَا</w:t>
      </w:r>
    </w:p>
    <w:p>
      <w:pPr>
        <w:pStyle w:val="BookText"/>
        <w:rPr/>
      </w:pP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وَأَمْسَكْتُ حَبْلَ اللهِ وَهُوَ وِلَاؤُهُمْ</w:t>
      </w:r>
    </w:p>
    <w:p>
      <w:pPr>
        <w:pStyle w:val="BookText"/>
        <w:rPr/>
      </w:pPr>
      <w:r>
        <w:rPr>
          <w:rFonts w:ascii="Amiri" w:hAnsi="Amiri" w:eastAsia="Amiri" w:cs="Amiri"/>
          <w:color w:val="111111"/>
          <w:sz w:val="28"/>
          <w:sz w:val="28"/>
          <w:szCs w:val="28"/>
          <w:rtl w:val="true"/>
          <w:lang w:bidi="ar-SA"/>
        </w:rPr>
        <w:t>كَمَا قَدْ اُمِرْنَا بِالتَّمَسُّكِ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p>
    <w:p>
      <w:pPr>
        <w:pStyle w:val="BookText"/>
        <w:rPr/>
      </w:pPr>
      <w:r>
        <w:rPr>
          <w:rFonts w:ascii="Amiri" w:hAnsi="Amiri" w:eastAsia="Amiri" w:cs="Amiri"/>
          <w:color w:val="111111"/>
          <w:sz w:val="28"/>
          <w:sz w:val="28"/>
          <w:szCs w:val="28"/>
          <w:rtl w:val="true"/>
          <w:lang w:bidi="ar-SA"/>
        </w:rPr>
        <w:t>إِذَا افْتَرَقَتْ فِي الدِّينِ سَبْعينَ فِرْقَةً</w:t>
      </w:r>
    </w:p>
    <w:p>
      <w:pPr>
        <w:pStyle w:val="BookText"/>
        <w:rPr/>
      </w:pPr>
      <w:r>
        <w:rPr>
          <w:rFonts w:ascii="Amiri" w:hAnsi="Amiri" w:eastAsia="Amiri" w:cs="Amiri"/>
          <w:color w:val="111111"/>
          <w:sz w:val="28"/>
          <w:sz w:val="28"/>
          <w:szCs w:val="28"/>
          <w:rtl w:val="true"/>
          <w:lang w:bidi="ar-SA"/>
        </w:rPr>
        <w:t>وَنَيْفاً عَلَى مَا جَاءَ فِي وَاضِحِ النَقْلِ</w:t>
      </w:r>
    </w:p>
    <w:p>
      <w:pPr>
        <w:pStyle w:val="BookText"/>
        <w:rPr/>
      </w:pPr>
      <w:r>
        <w:rPr>
          <w:rFonts w:ascii="Amiri" w:hAnsi="Amiri" w:eastAsia="Amiri" w:cs="Amiri"/>
          <w:color w:val="111111"/>
          <w:sz w:val="28"/>
          <w:sz w:val="28"/>
          <w:szCs w:val="28"/>
          <w:rtl w:val="true"/>
          <w:lang w:bidi="ar-SA"/>
        </w:rPr>
        <w:t>وَلَمْ يَكُ نَاجٍ مِنْهُمُ غَيرَ فِرْقَةٍ</w:t>
      </w:r>
    </w:p>
    <w:p>
      <w:pPr>
        <w:pStyle w:val="BookText"/>
        <w:rPr/>
      </w:pPr>
      <w:r>
        <w:rPr>
          <w:rFonts w:ascii="Amiri" w:hAnsi="Amiri" w:eastAsia="Amiri" w:cs="Amiri"/>
          <w:color w:val="111111"/>
          <w:sz w:val="28"/>
          <w:sz w:val="28"/>
          <w:szCs w:val="28"/>
          <w:rtl w:val="true"/>
          <w:lang w:bidi="ar-SA"/>
        </w:rPr>
        <w:t>فَقُلْ لِي بِهَا يَا ذَا الزُّجَاجَةِ وَالْعَقْلِ</w:t>
      </w:r>
    </w:p>
    <w:p>
      <w:pPr>
        <w:pStyle w:val="BookText"/>
        <w:rPr/>
      </w:pPr>
      <w:r>
        <w:rPr>
          <w:rFonts w:ascii="Amiri" w:hAnsi="Amiri" w:eastAsia="Amiri" w:cs="Amiri"/>
          <w:color w:val="111111"/>
          <w:sz w:val="28"/>
          <w:sz w:val="28"/>
          <w:szCs w:val="28"/>
          <w:rtl w:val="true"/>
          <w:lang w:bidi="ar-SA"/>
        </w:rPr>
        <w:t>أَ فِي الْفِرْقَةِ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آلُ مُحَمَّدٍ</w:t>
      </w:r>
    </w:p>
    <w:p>
      <w:pPr>
        <w:pStyle w:val="BookText"/>
        <w:rPr/>
      </w:pPr>
      <w:r>
        <w:rPr>
          <w:rFonts w:ascii="Amiri" w:hAnsi="Amiri" w:eastAsia="Amiri" w:cs="Amiri"/>
          <w:color w:val="111111"/>
          <w:sz w:val="28"/>
          <w:sz w:val="28"/>
          <w:szCs w:val="28"/>
          <w:rtl w:val="true"/>
          <w:lang w:bidi="ar-SA"/>
        </w:rPr>
        <w:t>أَمِ الْفِرْقَةِ اللَّاتِي نَجَتْ مِنْهُمُ؟ قُلْ لِي</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النَّاجيِنَ فَالْقُوْلُ وَاحِدٌ</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حِفْتَ عَنِ الْعَدْلِ</w:t>
      </w:r>
    </w:p>
    <w:p>
      <w:pPr>
        <w:pStyle w:val="BookText"/>
        <w:rPr/>
      </w:pPr>
      <w:r>
        <w:rPr>
          <w:rFonts w:ascii="Amiri" w:hAnsi="Amiri" w:eastAsia="Amiri" w:cs="Amiri"/>
          <w:color w:val="111111"/>
          <w:sz w:val="28"/>
          <w:sz w:val="28"/>
          <w:szCs w:val="28"/>
          <w:rtl w:val="true"/>
          <w:lang w:bidi="ar-SA"/>
        </w:rPr>
        <w:t>إِذَا كَانَ مَوْلَى الْقَوْمِ مِنْهُمْ فَإِنَّنِي</w:t>
      </w:r>
    </w:p>
    <w:p>
      <w:pPr>
        <w:pStyle w:val="BookText"/>
        <w:rPr/>
      </w:pPr>
      <w:r>
        <w:rPr>
          <w:rFonts w:ascii="Amiri" w:hAnsi="Amiri" w:eastAsia="Amiri" w:cs="Amiri"/>
          <w:color w:val="111111"/>
          <w:sz w:val="28"/>
          <w:sz w:val="28"/>
          <w:szCs w:val="28"/>
          <w:rtl w:val="true"/>
          <w:lang w:bidi="ar-SA"/>
        </w:rPr>
        <w:t>رَضيتُ بِهِمْ لَا زَالَ فِي ظِلِّهِمْ ظِلِّي</w:t>
      </w:r>
    </w:p>
    <w:p>
      <w:pPr>
        <w:pStyle w:val="BookText"/>
        <w:rPr/>
      </w:pPr>
      <w:r>
        <w:rPr>
          <w:rFonts w:ascii="Amiri" w:hAnsi="Amiri" w:eastAsia="Amiri" w:cs="Amiri"/>
          <w:color w:val="111111"/>
          <w:sz w:val="28"/>
          <w:sz w:val="28"/>
          <w:szCs w:val="28"/>
          <w:rtl w:val="true"/>
          <w:lang w:bidi="ar-SA"/>
        </w:rPr>
        <w:t>رَضِيتُ عَلِيّاً لِي إِمَاماً وَنَسْلَهُ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مِنَ الْبَاقِينَ فِي أَوْسَعِِ الْحِلِّ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7077_65772"/>
      <w:bookmarkStart w:id="27" w:name="pg7077_65772"/>
      <w:bookmarkEnd w:id="27"/>
    </w:p>
    <w:p>
      <w:pPr>
        <w:pStyle w:val="Heading2"/>
        <w:numPr>
          <w:ilvl w:val="1"/>
          <w:numId w:val="1"/>
        </w:numPr>
        <w:rPr/>
      </w:pPr>
      <w:bookmarkStart w:id="28" w:name="pg7077_65772"/>
      <w:bookmarkStart w:id="29" w:name="__RefHeading___Toc3394514_372815092"/>
      <w:bookmarkStart w:id="30" w:name="_Toc8"/>
      <w:bookmarkEnd w:id="28"/>
      <w:bookmarkEnd w:id="29"/>
      <w:r>
        <w:rPr>
          <w:rtl w:val="true"/>
        </w:rPr>
        <w:t>تنبيه</w:t>
      </w:r>
      <w:bookmarkEnd w:id="30"/>
    </w:p>
    <w:p>
      <w:pPr>
        <w:pStyle w:val="BookText"/>
        <w:rPr/>
      </w:pPr>
      <w:r>
        <w:rPr>
          <w:rFonts w:ascii="Amiri" w:hAnsi="Amiri" w:eastAsia="Amiri" w:cs="Amiri"/>
          <w:color w:val="111111"/>
          <w:sz w:val="28"/>
          <w:sz w:val="28"/>
          <w:szCs w:val="28"/>
          <w:rtl w:val="true"/>
          <w:lang w:bidi="ar-SA"/>
        </w:rPr>
        <w:t>أخرج الحاكم في المستدرك، في كتاب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المؤمّل بن الحسن، حدّثنا الفضل بن محمد بن المسيّب، حدّثنا نعيم بن حمّاد، حدثنا عيسى بن يونس، عن جرير بن عثمان، عن عبد الرحمان بن جبير بن نفير، عن أبيه، عن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سَتَفْتَرِقُ اُمَّتي عَلَى بِضْعٍ وَسَبْعِينَ فِرْقَةً، أَعْظَمُهَا فِرْقَةً قَوْمٌ يُقِيسُونَ الْاُمُورَ بِرَأْيِهِمْ، فَيُحَرِّمُونَ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وَيُحَلِّلُونَ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هذا الحديث على ذمّ أعظم الفرق، فرقة هي أكثرهم عدداً وجماعة، وهم أهل القياس والرأي، الّذين يحرّمون الحلال ويحلّلون الحرام، ولا يخفى أنّ معظم أهل السنّة والجماعة هم أهل الرأي والقياس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ظاهر حديثه الآخر، وهو ما أخرجه ابن ماجة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اِفْتَرَقَتِ الْيَهُودُ عَلَى إِحْدَى وَسَبْعينَ فِرْقَةً، فوَاحِدَةً </w:t>
      </w:r>
    </w:p>
    <w:p>
      <w:pPr>
        <w:pStyle w:val="BookText"/>
        <w:rPr/>
      </w:pPr>
      <w:r>
        <w:rPr>
          <w:rFonts w:ascii="Amiri" w:hAnsi="Amiri" w:eastAsia="Amiri" w:cs="Amiri"/>
          <w:color w:val="111111"/>
          <w:sz w:val="28"/>
          <w:sz w:val="28"/>
          <w:szCs w:val="28"/>
          <w:rtl w:val="true"/>
          <w:lang w:bidi="ar-SA"/>
        </w:rPr>
        <w:t>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وَسَبْعُونَ فِي النَّارِ، وَافْتَرَقَتِ النَّصَارَى عَلَى ثِنْتَيْن وَسَبْعَينَ فِرْقَةً، فَإِحْدَى وَسَبْعُونَ فِي النَّارِ وَوَاحِدَةٌ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وَالَّذِي نَفْسُ مُحَمَّدٍ بِيَدِهِ لَتَفْتَرِقَنَّ اُمَّتِي عَلَى ثَلَاثٍ وَسَبْعين فِرْقَةً، وَاحِدَةٌ فِي الجْنَّةِ وَثِنْتَانِ وَسَبْعُونَ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السؤال عن الفرق الّتي تكون في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وسواء كان ظاهر حديث ابن ماجة عنه هذا أم لم يكن فلا ريب أنّ حديث الحاكم عنه معارض لحديث فُسّر فيه الناجية بالجماعة، إلّا إذا كان المراد منها ما نصّ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أخرجه عنه في كنز العمّال،</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الأمر بين الأخذ بحديث الجماعة وحديث الحاكم وجب الأخذ بالأخير، فإنّ حديث الجماعة مطعون فيه من حيث السند والمتن والدلالة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أنّ الشيعة ليست من الفرق العاملة بالقياس والرأي الّتي دلّ هذا الحديث الصحيح على ذمّها؛ لشدّة تمسّكهم بالكتاب والسنّة، وعدم جواز العمل بالقياس والرأي عندهم، وهذا معروف من مذاهب أئمّتهم، مذكور في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بيّنّا في بعض تصانيفنا أنّ سبب أخذ القوم بالقياس في الأحكام الشرعية قلّة مصادرهم، وميلهم عن أهل البيت، وعدم رجوعهم إلى الروايات المأثورة عنهم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أنّ الأدلّة الستّة الّتي أقمناها على أنّ الناجية من الفرق هي الشيعة قائمة عليها، وإن قيل بعدم صحّة أحاديث افتراق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منها دليل مستقلّ وبرهان واضح على أنّ المذهب الصحيح بين جميع المذاهب ليس إلّا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والحمد لله الّذي هدانا لهذا وما كنّا لنهتدي لولا أن هدانا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شِئْتَ أَنْ تَرْضَى لِنَفْسِكَ مَذْهَباً</w:t>
      </w:r>
    </w:p>
    <w:p>
      <w:pPr>
        <w:pStyle w:val="BookText"/>
        <w:rPr/>
      </w:pPr>
      <w:r>
        <w:rPr>
          <w:rFonts w:ascii="Amiri" w:hAnsi="Amiri" w:eastAsia="Amiri" w:cs="Amiri"/>
          <w:color w:val="111111"/>
          <w:sz w:val="28"/>
          <w:sz w:val="28"/>
          <w:szCs w:val="28"/>
          <w:rtl w:val="true"/>
          <w:lang w:bidi="ar-SA"/>
        </w:rPr>
        <w:t>يُنَجِّيكَ يَوْمَ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عَنْ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النَّارِ</w:t>
      </w:r>
    </w:p>
    <w:p>
      <w:pPr>
        <w:pStyle w:val="BookText"/>
        <w:rPr/>
      </w:pPr>
      <w:r>
        <w:rPr>
          <w:rFonts w:ascii="Amiri" w:hAnsi="Amiri" w:eastAsia="Amiri" w:cs="Amiri"/>
          <w:color w:val="111111"/>
          <w:sz w:val="28"/>
          <w:sz w:val="28"/>
          <w:szCs w:val="28"/>
          <w:rtl w:val="true"/>
          <w:lang w:bidi="ar-SA"/>
        </w:rPr>
        <w:t>فَدَعْ عَنْكَ قَوْلَ الشَّافِعيِّ وَمَالِكٍ</w:t>
      </w:r>
    </w:p>
    <w:p>
      <w:pPr>
        <w:pStyle w:val="BookText"/>
        <w:rPr/>
      </w:pPr>
      <w:r>
        <w:rPr>
          <w:rFonts w:ascii="Amiri" w:hAnsi="Amiri" w:eastAsia="Amiri" w:cs="Amiri"/>
          <w:color w:val="111111"/>
          <w:sz w:val="28"/>
          <w:sz w:val="28"/>
          <w:szCs w:val="28"/>
          <w:rtl w:val="true"/>
          <w:lang w:bidi="ar-SA"/>
        </w:rPr>
        <w:t>وَأَحْمَدَ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 عَنْ كَعْبِ الْأَحْبَارِ</w:t>
      </w:r>
    </w:p>
    <w:p>
      <w:pPr>
        <w:pStyle w:val="BookText"/>
        <w:rPr/>
      </w:pPr>
      <w:r>
        <w:rPr>
          <w:rFonts w:ascii="Amiri" w:hAnsi="Amiri" w:eastAsia="Amiri" w:cs="Amiri"/>
          <w:color w:val="111111"/>
          <w:sz w:val="28"/>
          <w:sz w:val="28"/>
          <w:szCs w:val="28"/>
          <w:rtl w:val="true"/>
          <w:lang w:bidi="ar-SA"/>
        </w:rPr>
        <w:t>فَوَالِ اُنَاساً قَوْلُهُمْ وَحَديثُهُمْ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جَدُّنَا عَنْ جِبْرِئيلَ عَنِ الْبَارِي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077_65780"/>
      <w:bookmarkStart w:id="32" w:name="pg7077_65780"/>
      <w:bookmarkEnd w:id="32"/>
    </w:p>
    <w:p>
      <w:pPr>
        <w:pStyle w:val="Heading2"/>
        <w:numPr>
          <w:ilvl w:val="1"/>
          <w:numId w:val="1"/>
        </w:numPr>
        <w:rPr/>
      </w:pPr>
      <w:bookmarkStart w:id="33" w:name="pg7077_65780"/>
      <w:bookmarkStart w:id="34" w:name="__RefHeading___Toc3394516_372815092"/>
      <w:bookmarkStart w:id="35" w:name="_Toc9"/>
      <w:bookmarkEnd w:id="33"/>
      <w:bookmarkEnd w:id="34"/>
      <w:r>
        <w:rPr>
          <w:rtl w:val="true"/>
        </w:rPr>
        <w:t>الأحاديث الدالّة</w:t>
      </w:r>
      <w:r>
        <w:rPr>
          <w:rtl w:val="true"/>
        </w:rPr>
        <w:t xml:space="preserve">: </w:t>
      </w:r>
      <w:r>
        <w:rPr>
          <w:rtl w:val="true"/>
        </w:rPr>
        <w:t>على نجاة المُوحِّدين</w:t>
      </w:r>
      <w:bookmarkEnd w:id="35"/>
    </w:p>
    <w:p>
      <w:pPr>
        <w:pStyle w:val="BookText"/>
        <w:rPr/>
      </w:pPr>
      <w:r>
        <w:rPr>
          <w:rFonts w:ascii="Amiri" w:hAnsi="Amiri" w:eastAsia="Amiri" w:cs="Amiri"/>
          <w:color w:val="111111"/>
          <w:sz w:val="28"/>
          <w:sz w:val="28"/>
          <w:szCs w:val="28"/>
          <w:rtl w:val="true"/>
          <w:lang w:bidi="ar-SA"/>
        </w:rPr>
        <w:t>قد علمت ممّا سبق اشتراك جميع الفرق في اُصول العقائد، يعني بذلك الإيمان بالتوحيد، والنبوّة والبعث، والصلوات الخمس إلى القبلة، والحجّ، وصوم شهر رمضان، والزكاة، وغيرها من الاُمور الّتي اتّفقت الاُمّة في دخلها في الإيمان، وعدم حصول النجاة بدون الإيمان بها، وقد أعلن ذلك الصحاح الستّة وغيرها من كتب أهل السنّة، فدلّت رواياتهم على نجاة مَن آمن بالله ورسوله واليوم الآخر، وأقام الصلاة وآتى الزكاة، وحجّ البيت، وصام شهر رمضان،</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صحاحهم روايات كثيرة دلّت على نجاة مطلق الموحِّدين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البخاري، في كتاب الرقاق،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ذَاكَ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أُمَّتِكَ لَا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w:t>
      </w:r>
    </w:p>
    <w:p>
      <w:pPr>
        <w:pStyle w:val="BookText"/>
        <w:rPr/>
      </w:pPr>
      <w:r>
        <w:rPr>
          <w:rFonts w:ascii="Amiri" w:hAnsi="Amiri" w:eastAsia="Amiri" w:cs="Amiri"/>
          <w:color w:val="111111"/>
          <w:sz w:val="28"/>
          <w:sz w:val="28"/>
          <w:szCs w:val="28"/>
          <w:rtl w:val="true"/>
          <w:lang w:bidi="ar-SA"/>
        </w:rPr>
        <w:t>بِالله شَيْئًا دَخَلَ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زَنَى، وَإِنْ 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زَنَى ، وَإِنْ سَرَقَ</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عمل إذا عملته دخلت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 اللهَ لَا تُشْرِكُ بِهِ شَيْئاً، وَتُقيمُ الصَّلَاةَ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مَكْتوُبَةَ، وَتُؤَدِّي الزَّكَاةَ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ْمَفْرُوضَةَ، وَتَصُومُ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بيده لا أزيد على هذا، فلمّا ولّى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أَنْ يَنْظُرَ إِلَى رَجُلٍ مِنْ أَهْلِ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فَلْيَنْظُرْ إِلَىهَذَا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في كتاب الرقاق، عن عتبان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يُوَافِيَ عَبْدٌ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يَبْتَغي بِهِ وَجْهَ الله، إِلَّا حَرَّمَ اللهُ عَلَيْهِ النَّارَ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في اُسد الغابة، في ترجمة أبي سلمى راعي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اللهَ عَزَّ وَجَلَّ، يَشْهَدُ أَنْ لَا إِلَهَ إِلَّا اللهُ، وَأَنَّ مُحَمَّداً رَسُولُ الله، وَآمَنَ بِالْبَعْثِ وَالْحِسَابِ، دَخَلَ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فأدخل إصبعيه في اُذُنيه،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هذا منه غير مرّة، ولا مرّتين ولا ثلاث، ولا أربع</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أكثر من ذلك فراجع مصابيح السنّة للبغوي،</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الحديث</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دالّة على نجاة الشيعة، وأنّهم من أهل الجنّة؛ لأنّهم يشهدون بجميع ما فيها من التوحيد والنبوّة والبعث والحساب، ويؤمنون بها، لا يشركون بالله شيئاً، يقيمون الصلاة، ويؤدّون الزكاة، ويصومون شهر رمضان، وشاركوا أهل السنّة فيما هو عندهم من ملاك الإيمان والنجاة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أفتى بهذه النصوص وإيمان المعتقدين بالاُصول المذكورة جماعة من علماء أهل السنّة، فراجع الفصول المهمّة إن شئت تفصيلاً شافياً في ذلك كلّه؛ حتى تعلم أنّ التقريب بين المذاهب والتفاهم بين الفرق أمر ممكن، وأنّ ما عليه الشيعة من ولاية أهل البيت والقول بإمامتهم والتبرّي من أعدائهم لا يمنع ذلك، ولايخالف الاُصول الّتي بني عليها الإسلام، فإنّ غير ما تلونا عليك ممّا ذهب إليه أهل السنّة كلّهم أو </w:t>
      </w:r>
    </w:p>
    <w:p>
      <w:pPr>
        <w:pStyle w:val="BookText"/>
        <w:rPr/>
      </w:pPr>
      <w:r>
        <w:rPr>
          <w:rFonts w:ascii="Amiri" w:hAnsi="Amiri" w:eastAsia="Amiri" w:cs="Amiri"/>
          <w:color w:val="111111"/>
          <w:sz w:val="28"/>
          <w:sz w:val="28"/>
          <w:szCs w:val="28"/>
          <w:rtl w:val="true"/>
          <w:lang w:bidi="ar-SA"/>
        </w:rPr>
        <w:t>بعضهم، حتى تصويب ما صدر عن الشيخين وعدالة الصحابة ليس من اُصول الدين في شيء، ولا دخل لهذه الاُمور في الإيمان أو في كماله، لاسيّما إذا كان مَن يرى خلاف ذلك مجتهداً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يأوّل رزيّة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عنها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ثمّ جعل تسيل دموعه على خدَّيه كأنّها نظام اللؤلؤ، ويعذر عمر بن الخطّاب وحزبه فيما قالوا لمّا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اِئْتوُني بِدَوَاةٍ وَصَحيفَةٍ 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وهو أوّل من منعه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وفي بعض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أحمد بن عبد العزيز الجوهريّ في كتاب السقيفة،</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كلمة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الوجع قد غلب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لا يأوّل قدح مَن يقدح في عدالة صحابيّ اجتهاداً، ولا يقرّ خلافة الشيخين كما لم يقرّها فاطمة وعليّ وغيرهما من بني هاشم، والصحابة </w:t>
      </w:r>
    </w:p>
    <w:p>
      <w:pPr>
        <w:pStyle w:val="BookText"/>
        <w:rPr/>
      </w:pPr>
      <w:r>
        <w:rPr>
          <w:rFonts w:ascii="Amiri" w:hAnsi="Amiri" w:eastAsia="Amiri" w:cs="Amiri"/>
          <w:color w:val="111111"/>
          <w:sz w:val="28"/>
          <w:sz w:val="28"/>
          <w:szCs w:val="28"/>
          <w:rtl w:val="true"/>
          <w:lang w:bidi="ar-SA"/>
        </w:rPr>
        <w:t>الّذين امتنعوا عن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تأمّل في ألفاظ هذا الخبر يعلم أنّ عمر بن الخطّاب هو أوّل من تكلّم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قاله غيره أيضاً قاله متابعةً له، والتعبير بأنّه قد غلبه الوجع من النقل بالمعنى لا باللفظ تأدّباً وتحرّزاً عن نقل تلك الكلمة، ولو سُلِّم أنّه لم يزد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أفليس معناه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يهجر أو يغلط؟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هذا ردَّ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ومعارضةً 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في هذا الكلام دلالةً على غلبة الوجع وعدم الاعتداد بكلام المتكلّم بهلو صدر مثله عن مريض يجوز أن يقال مثل هذا فيه؟</w:t>
      </w:r>
    </w:p>
    <w:p>
      <w:pPr>
        <w:pStyle w:val="BookText"/>
        <w:rPr/>
      </w:pPr>
      <w:r>
        <w:rPr>
          <w:rFonts w:ascii="Amiri" w:hAnsi="Amiri" w:eastAsia="Amiri" w:cs="Amiri"/>
          <w:color w:val="111111"/>
          <w:sz w:val="28"/>
          <w:sz w:val="28"/>
          <w:szCs w:val="28"/>
          <w:rtl w:val="true"/>
          <w:lang w:bidi="ar-SA"/>
        </w:rPr>
        <w:t>بالله يا أخي تأمَّل في مغزى هذه الحادثة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لأحد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كائناً من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لاسيّما وهو يريد كتابة وصيّة لن تضلّ الاُمّة بعدها أبداً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معنى الاجتهاد قبال الأمر الصريح الصادر عن النبيّ الّذي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بعين الإنصاف تأوّلات القوم في هذه الرزيّة، فهذه حاشية السندي على صحيح البخاري، باب كتابة العلم، فاقرأ فيها تأوّلاتهم فيها حتى تعرف أنّهم لم يأتوا في هذا الباب بشيء تسكن عنده النفس، ويقبله المنصف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لا يعتريه الشكّ أنّ كلامه صريح في 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ومعارضته له، وأنّ الاُمّة حرمت بذلك عن الأمن من الضلال، ولم يُرِد ابن عبّاس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الرزيّة كلّ الرزيّة ما حال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لأنّ حرمان الاُمّة من الأمن من الضلال رزيّة ليس فوقها رزيّة، تَرتَّبَ عليها جميع المصائب والاختلافات، فلا إيراد على المسلم المنصف إن وقف عند هذه الواقعة العظيمة وتفكّر في مغزاها، كما لا اعتراض عليه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الّذي أراد كتابته فمنعوه عنه كان توثيق عهده لأخيه وابن عمّه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والخلافة بعده، ولكنّهم لمّا علموا من تنصيصاته المتكرّرة في غدير خمٍّ، وحديث الثقلين الّذي حصر فيه الأمن من الضلال بالتمسّك بالكتاب والعترة، وحديث المنزلة وغيرها صدّوه عن كتابته، وهذا هو الأمر الّذي أبكى ابن عبّاس </w:t>
      </w:r>
    </w:p>
    <w:p>
      <w:pPr>
        <w:pStyle w:val="BookText"/>
        <w:rPr/>
      </w:pPr>
      <w:r>
        <w:rPr>
          <w:rFonts w:ascii="Amiri" w:hAnsi="Amiri" w:eastAsia="Amiri" w:cs="Amiri"/>
          <w:color w:val="111111"/>
          <w:sz w:val="28"/>
          <w:sz w:val="28"/>
          <w:szCs w:val="28"/>
          <w:rtl w:val="true"/>
          <w:lang w:bidi="ar-SA"/>
        </w:rPr>
        <w:t>حتّى خضّب دمعه الحصباء،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الرزيّة كلّ الرزيّة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صاحب هذه الكلمة غير عمر لكان موقفهم تجاهها غير هذا، ولكنّ الّذي يهوّن الخطب عنده، ويسهّل له قبول التأوّلات المذكورة في حاشية السندي وغيرها أنّ المتكلّم بها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أنّه ليس غرضنا من هذا المقال الطعن على الخليفة، ولا على غيره من المسلمين، ولا ردّ تأوّلاتهم في ذلك، فحساب الخلق على الله، وَلَا تَزِرُ وَازِرَةٌ وِزْرَ أُخْرَى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غرضنا النظر في أمثال هذه الحوادث، من الناحية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يتأوّل رزية يوم الخميس وأمثالها، ولا يرى في ذلك بأساً، ويجتهد لأن يحملها على المحامل الصحيحة كيف لا يأوّل قول مَن قدح في عدالة أحد من الصحابة اجتهاداً ونظراً إلى مثل هذا الحديث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 في 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ومعارضته معه وهو في هذا الحال، حتّى اختصموا عنده وأكثروا اللغو والاختلاف؟ وكيف يقول بقدح ذلك في الإيمان، ولا يقول بقدح ما هو أقبح وأفظع منه؟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شئت أن تعرف مبلغ أفاعيل السياسة فقايس بين أنّهم منعوا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كتابة الوصيّة الّتي لو كتبها لن يضلّوا بعده أبداً، وقالوا ما </w:t>
      </w:r>
    </w:p>
    <w:p>
      <w:pPr>
        <w:pStyle w:val="BookText"/>
        <w:rPr/>
      </w:pPr>
      <w:r>
        <w:rPr>
          <w:rFonts w:ascii="Amiri" w:hAnsi="Amiri" w:eastAsia="Amiri" w:cs="Amiri"/>
          <w:color w:val="111111"/>
          <w:sz w:val="28"/>
          <w:sz w:val="28"/>
          <w:szCs w:val="28"/>
          <w:rtl w:val="true"/>
          <w:lang w:bidi="ar-SA"/>
        </w:rPr>
        <w:t>قالوا، ولم يردّوا على أبي بكر حين أراد الوصيّة في مرض موته،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وحسبنا كتاب الله، بل كتب أبو بكر وصيّته لعمر حين اُغمي عليه وقبل أن ينصّ على عمر، وأفاق بعد ذلك، وصوّب ما كتب، ودعا لعثمان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أنت الحَكَم العَدل، فاحكم بين أهل بيت نبيّك وبين من عاداهم، وأنكر فضائلهم، وأراد إطفاء نورهم، وأظهر كلمتهم الحقّ، وأبطل بهم باطل أعدائهم، واحشرنا مع محمد وآله الطاهرين، صلواتك عليهم أجمعين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لطف الله الصافي الگلپايگاني </w:t>
      </w:r>
      <w:bookmarkStart w:id="36" w:name="pg7077_65796"/>
    </w:p>
    <w:p>
      <w:pPr>
        <w:pStyle w:val="Heading2"/>
        <w:numPr>
          <w:ilvl w:val="1"/>
          <w:numId w:val="1"/>
        </w:numPr>
        <w:rPr/>
      </w:pPr>
      <w:bookmarkStart w:id="37" w:name="__RefHeading___Toc3394518_372815092"/>
      <w:bookmarkStart w:id="38" w:name="_Toc10"/>
      <w:bookmarkEnd w:id="36"/>
      <w:bookmarkEnd w:id="37"/>
      <w:r>
        <w:rPr>
          <w:rtl w:val="true"/>
        </w:rPr>
        <w:t>مصادر التحقیق</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أحسن التقاسيم في معرفة الأقاليم، المقدسي،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مدبولي،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ابن الأثير الجزري،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النعمانية، الجزائری، السّيد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والملوﻙ، 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مدينة دمشق، ابن عساکر، 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التبصير في الدين، الإسفرايني،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القاهرة، المکتبة الأزهرية للتراث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القرآن الحکيم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رشيد رضا،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الثاقب في المناقب، ابن حمزة الطوسي،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أنصاريان،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في أحادیث البشیر النذیر، السیوطي، جلال الدین</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التفسير بالمأثور، السيوطي، 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رشفة الصادي من بحر فضائل بني النبيّ الهادي، العلوي الحض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رمي، السيّد أبي بکر شهاب الدين، بيروت، دار الکتب العلمية،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في أحوال العلماء والسادات، الخوانساري،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الدار الاسلامية،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الشاذان</w:t>
      </w:r>
    </w:p>
    <w:p>
      <w:pPr>
        <w:pStyle w:val="BookText"/>
        <w:rPr/>
      </w:pPr>
      <w:r>
        <w:rPr>
          <w:rFonts w:ascii="IRNazanin" w:hAnsi="IRNazanin" w:eastAsia="IRNazanin"/>
          <w:color w:val="111111"/>
          <w:sz w:val="28"/>
          <w:sz w:val="28"/>
          <w:szCs w:val="28"/>
          <w:rtl w:val="true"/>
          <w:lang w:bidi="fa-IR"/>
        </w:rPr>
        <w:t xml:space="preserve">القمّي، شاذان بن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الأمين،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 وفدﻙ، الجوهري البص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 أحمد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شرکة الکتبي،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ابن ماجة القزويني، محمد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سليمان بن 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الترمذي، الترمذي، محمد بن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الدارمي، عبد الله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دمشق، مطبعة الاعتدال،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البيهقي، أحمد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في فضائل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المغربي، قاضي نعمان بن محمد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ابن أبي الحديد، عزّ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دار إحياء الکتب العربيّة،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الحاکم الحسکاني، عبيد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ابن حبّان البستي،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البخاري،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مسلم النيسابوري،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الهيتمي، أحمد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الأنوار في إثبات إمامة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اللکنهوي، مير حامد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أصفهان، مکتبة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القاري شرح صحيح البخاري، العيني، محمود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النعماني، محمد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أنوار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الشوکاني،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ابن کثير،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الشيعه،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منشورات عابدي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التاريخ، ابن الأثير الجزري،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العجلوني، إسماعيل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الثعلبي،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إحياء التراث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الأثر في النصّ علی الأئمّة الإثني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بيدار،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في سنن الأقوال والأفعال، المتّقي الهندي، علاء الدین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الهيثمي، عليّ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الکتب العلمية،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 الصافي الگلپايگاني، لطف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معاجز الأئمّة الإثني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ودلائل الحجج علی 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البحراني، السيّد هاشم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علی الصحيحين، الحاکم النيسابوري،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 داود الطیالس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السنة، البغوي، حسين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الطبراني،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الحرمين،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الصغير، الطبراني،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دار الکتب العلمية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الطبراني، سليمان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العربي،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مردويه الأصفهاني،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الخوارزمي،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في معرفة الإمامة، العلّامة الحلّي،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منشورات تاسوعا،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الأزهار في خلاصة عبقات الأنوار، الحسيني الميلاني، السيّد عليّ، مطبعة مهر،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القربی، القندوزي، سليمان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077_65812"/>
      <w:bookmarkStart w:id="40" w:name="pg7077_65812"/>
      <w:bookmarkEnd w:id="40"/>
    </w:p>
    <w:p>
      <w:pPr>
        <w:pStyle w:val="Heading2"/>
        <w:numPr>
          <w:ilvl w:val="1"/>
          <w:numId w:val="1"/>
        </w:numPr>
        <w:rPr/>
      </w:pPr>
      <w:bookmarkStart w:id="41" w:name="pg7077_65812"/>
      <w:bookmarkStart w:id="42" w:name="__RefHeading___Toc3394520_372815092"/>
      <w:bookmarkStart w:id="43" w:name="_Toc11"/>
      <w:bookmarkEnd w:id="41"/>
      <w:bookmarkEnd w:id="42"/>
      <w:r>
        <w:rPr>
          <w:rtl w:val="true"/>
        </w:rPr>
        <w:t>الفهرس</w:t>
      </w:r>
      <w:bookmarkEnd w:id="43"/>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كلمات العلماء حول هذه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تعيين 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الشيعة الإمامية هم 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الأحاديث الدالّة على نجاة المُوحِّدين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7077_65816"/>
      <w:bookmarkStart w:id="45" w:name="pg7077_65816"/>
      <w:bookmarkEnd w:id="45"/>
    </w:p>
    <w:p>
      <w:pPr>
        <w:pStyle w:val="Heading2"/>
        <w:numPr>
          <w:ilvl w:val="1"/>
          <w:numId w:val="1"/>
        </w:numPr>
        <w:rPr/>
      </w:pPr>
      <w:bookmarkStart w:id="46" w:name="pg7077_65816"/>
      <w:bookmarkStart w:id="47" w:name="__RefHeading___Toc3394522_372815092"/>
      <w:bookmarkStart w:id="48" w:name="_Toc12"/>
      <w:bookmarkEnd w:id="46"/>
      <w:bookmarkEnd w:id="47"/>
      <w:r>
        <w:rPr>
          <w:rtl w:val="true"/>
        </w:rPr>
        <w:t>آثار سماحة آية الله العظمى الصافي الگلپايگاني مدّ ظلّه الوارف</w:t>
      </w:r>
      <w:bookmarkEnd w:id="48"/>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الطیالسي، مسند،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البخاري، صحيح،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مسلم النيسابوري، 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المتّقي الهندي،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العجلوني، کشف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أحسن التقاسيم،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الکشف والبيان،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البطريق، عمدة عيون صحاح الأخبار،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المتّقي الهندي،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العيني، عمدة القاري،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الأصفهاني،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الخوارزمي، المناقب،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الحديث عن النسخة المخطوطة من هذا الکتاب، الموجودة في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النيسابوري، المستدرك،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الاطّلاع على سند هذا الحديث من طرق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ورد عنهم في تفسيره، وكلمات أكابر العلماء وتحقيقاتهم الشافية حول هذه الأحاديث، راجع موسوعة بحار الأنوار، الجزء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افتراق الاُمّة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 وسبعين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أفرده بعض علمائنا بالتأليف حول هذا الحديث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الشوکاني، فتح 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الجامع الصغير،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الإسفرايني، التبصير في الدين،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الکوثري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رضا، تفسير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رضا، تفسير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رضا، تفسير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لنا سيّدنا الاُستاذ آية الله المغفور له السيّد محمد تقي الخوانساري ما جرى بينه وبين العلّامة الشهير الشيخ حسن البنّا، مؤسّس جمعيّة الإخوان المسلمين من المباحثات حول المذهب، وذكر أنّ الشيخ بعد هذه المناظرات أعلن في المسجد الحرام، أو مسجد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الترديد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عقيدته بالشيعة، واعتذر عنهم من عقيدتهم في الخلافة، وعدم شرعية خلافة غير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بأنّ ذلك كان عقيدة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اسلام</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الأصفهاني،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الخوارزمي، المناقب،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الخوانساري،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الطبراني، المعجم الأوسط،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المغربي، شرح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الهيثمي،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منهاج الكرامة،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الجزائري، الأنوار النعمانية،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الأصفهاني،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الخوارزمي، المناقب،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الخوانساري،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كتابنا أمان الاُمّة من الضلال والاختلاف، وكتاب شيخ المُضِيرة للاُستاذ الشيخ محمود أبو ريّة، وكتاب أبو هريرة للشريف السيّد شرف الدين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الحسکاني،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الهيتمي، 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القندوزي،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فضائل الشيعة،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الحاکم الحسکاني،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الشاذان القمّي، الروضة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البحراني، مدينة معاجز الأئمّة الإثني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الإطّلاع على طائفة منها، وتحقيق إسنادها ومتونها، وبحوث لا يستغني الباحث عنها، فليراجع كتابنا أمان الاُمّة من الضلال والاختلاف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اللکنهوي، عبقات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العلوي الحضرمي، رشفة الصادي،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الحسيني الميلاني، نفحات الأزهار،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للمؤلّف،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البخاري، صحيح،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البيهقي، السنن الکبری،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صحيح،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مصابيح السنّة، كتاب الإيمان،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القزويني،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أبو داود السجستاني،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البخاري، صحيح،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مسلم النيسابوري،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البصري، السقيفة وفدك،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الطبري،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ابن عساکر، تاريخ مدينة دمشق،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ابن الأثير الجزري، الکامل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3.jpeg"/><Relationship Id="rId63" Type="http://schemas.openxmlformats.org/officeDocument/2006/relationships/image" Target="media/image3.jpeg"/><Relationship Id="rId64" Type="http://schemas.openxmlformats.org/officeDocument/2006/relationships/footer" Target="footer57.xml"/><Relationship Id="rId65" Type="http://schemas.openxmlformats.org/officeDocument/2006/relationships/image" Target="media/image4.jpeg"/><Relationship Id="rId66" Type="http://schemas.openxmlformats.org/officeDocument/2006/relationships/image" Target="media/image4.jpeg"/><Relationship Id="rId67" Type="http://schemas.openxmlformats.org/officeDocument/2006/relationships/footer" Target="footer58.xml"/><Relationship Id="rId68" Type="http://schemas.openxmlformats.org/officeDocument/2006/relationships/image" Target="media/image5.jpeg"/><Relationship Id="rId69" Type="http://schemas.openxmlformats.org/officeDocument/2006/relationships/image" Target="media/image5.jpeg"/><Relationship Id="rId70" Type="http://schemas.openxmlformats.org/officeDocument/2006/relationships/footer" Target="footer59.xml"/><Relationship Id="rId71" Type="http://schemas.openxmlformats.org/officeDocument/2006/relationships/image" Target="media/image6.jpeg"/><Relationship Id="rId72" Type="http://schemas.openxmlformats.org/officeDocument/2006/relationships/image" Target="media/image6.jpeg"/><Relationship Id="rId73" Type="http://schemas.openxmlformats.org/officeDocument/2006/relationships/footer" Target="footer60.xml"/><Relationship Id="rId74" Type="http://schemas.openxmlformats.org/officeDocument/2006/relationships/image" Target="media/image7.jpeg"/><Relationship Id="rId75" Type="http://schemas.openxmlformats.org/officeDocument/2006/relationships/image" Target="media/image7.jpeg"/><Relationship Id="rId76" Type="http://schemas.openxmlformats.org/officeDocument/2006/relationships/footer" Target="footer61.xml"/><Relationship Id="rId77" Type="http://schemas.openxmlformats.org/officeDocument/2006/relationships/image" Target="media/image8.jpeg"/><Relationship Id="rId78" Type="http://schemas.openxmlformats.org/officeDocument/2006/relationships/image" Target="media/image8.jpeg"/><Relationship Id="rId79" Type="http://schemas.openxmlformats.org/officeDocument/2006/relationships/footer" Target="footer62.xml"/><Relationship Id="rId80" Type="http://schemas.openxmlformats.org/officeDocument/2006/relationships/image" Target="media/image9.jpeg"/><Relationship Id="rId81" Type="http://schemas.openxmlformats.org/officeDocument/2006/relationships/image" Target="media/image9.jpeg"/><Relationship Id="rId82" Type="http://schemas.openxmlformats.org/officeDocument/2006/relationships/footer" Target="footer63.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64.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7270</Words>
  <Characters>33633</Characters>
  <CharactersWithSpaces>40563</CharactersWithSpaces>
  <Paragraphs>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2026-08-27T07:40:34Z</dcterms:created>
  <dc:creator>ghaemiyeh.com</dc:creator>
  <dc:description/>
  <dc:language>en-US</dc:language>
  <cp:lastModifiedBy/>
  <dcterms:modified xsi:type="dcterms:W3CDTF">2026-08-27T11:10:37Z</dcterms:modified>
  <cp:revision>1</cp:revision>
  <dc:subject/>
  <dc:title>احادیث افتراق المسلمین علی ثلاث و سبعین فرقه</dc:title>
</cp:coreProperties>
</file>

<file path=docProps/custom.xml><?xml version="1.0" encoding="utf-8"?>
<Properties xmlns="http://schemas.openxmlformats.org/officeDocument/2006/custom-properties" xmlns:vt="http://schemas.openxmlformats.org/officeDocument/2006/docPropsVTypes"/>
</file>