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8656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78658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78660_2320776876">
            <w:r>
              <w:rPr>
                <w:webHidden/>
                <w:rStyle w:val="IndexLink"/>
                <w:rtl w:val="true"/>
              </w:rPr>
              <w:t>الفهرست</w:t>
            </w:r>
            <w:r>
              <w:rPr>
                <w:rStyle w:val="IndexLink"/>
                <w:rtl w:val="true"/>
              </w:rPr>
              <w:tab/>
            </w:r>
            <w:r>
              <w:rPr>
                <w:rStyle w:val="IndexLink"/>
              </w:rPr>
              <w:t>7</w:t>
            </w:r>
          </w:hyperlink>
        </w:p>
        <w:p>
          <w:pPr>
            <w:pStyle w:val="Contents2"/>
            <w:tabs>
              <w:tab w:val="clear" w:pos="8743"/>
              <w:tab w:val="right" w:pos="9026" w:leader="dot"/>
            </w:tabs>
            <w:rPr/>
          </w:pPr>
          <w:hyperlink w:anchor="__RefHeading___Toc5378662_2320776876">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5378664_2320776876">
            <w:r>
              <w:rPr>
                <w:webHidden/>
                <w:rStyle w:val="IndexLink"/>
                <w:rtl w:val="true"/>
              </w:rPr>
              <w:t>مفاد القاعدة</w:t>
            </w:r>
            <w:r>
              <w:rPr>
                <w:rStyle w:val="IndexLink"/>
                <w:rtl w:val="true"/>
              </w:rPr>
              <w:tab/>
            </w:r>
            <w:r>
              <w:rPr>
                <w:rStyle w:val="IndexLink"/>
              </w:rPr>
              <w:t>9</w:t>
            </w:r>
          </w:hyperlink>
        </w:p>
        <w:p>
          <w:pPr>
            <w:pStyle w:val="Contents2"/>
            <w:tabs>
              <w:tab w:val="clear" w:pos="8743"/>
              <w:tab w:val="right" w:pos="9026" w:leader="dot"/>
            </w:tabs>
            <w:rPr/>
          </w:pPr>
          <w:hyperlink w:anchor="__RefHeading___Toc5378666_2320776876">
            <w:r>
              <w:rPr>
                <w:webHidden/>
                <w:rStyle w:val="IndexLink"/>
                <w:rtl w:val="true"/>
              </w:rPr>
              <w:t>لمحة عن تأريخ القاعدة</w:t>
            </w:r>
            <w:r>
              <w:rPr>
                <w:rStyle w:val="IndexLink"/>
                <w:rtl w:val="true"/>
              </w:rPr>
              <w:tab/>
            </w:r>
            <w:r>
              <w:rPr>
                <w:rStyle w:val="IndexLink"/>
              </w:rPr>
              <w:t>9</w:t>
            </w:r>
          </w:hyperlink>
        </w:p>
        <w:p>
          <w:pPr>
            <w:pStyle w:val="Contents3"/>
            <w:tabs>
              <w:tab w:val="clear" w:pos="8459"/>
              <w:tab w:val="right" w:pos="9026" w:leader="dot"/>
            </w:tabs>
            <w:rPr/>
          </w:pPr>
          <w:hyperlink w:anchor="__RefHeading___Toc5378668_232077687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378670_2320776876">
            <w:r>
              <w:rPr>
                <w:webHidden/>
                <w:rStyle w:val="IndexLink"/>
                <w:rtl w:val="true"/>
              </w:rPr>
              <w:t>المرحلة الأولى</w:t>
            </w:r>
            <w:r>
              <w:rPr>
                <w:rStyle w:val="IndexLink"/>
                <w:rtl w:val="true"/>
              </w:rPr>
              <w:t xml:space="preserve">: </w:t>
            </w:r>
            <w:r>
              <w:rPr>
                <w:rStyle w:val="IndexLink"/>
                <w:rtl w:val="true"/>
              </w:rPr>
              <w:t>من زمن الصدوق إلى زمن الشهيد الثاني</w:t>
            </w:r>
            <w:r>
              <w:rPr>
                <w:rStyle w:val="IndexLink"/>
                <w:rtl w:val="true"/>
              </w:rPr>
              <w:t>.</w:t>
              <w:tab/>
            </w:r>
            <w:r>
              <w:rPr>
                <w:rStyle w:val="IndexLink"/>
              </w:rPr>
              <w:t>9</w:t>
            </w:r>
          </w:hyperlink>
        </w:p>
        <w:p>
          <w:pPr>
            <w:pStyle w:val="Contents3"/>
            <w:tabs>
              <w:tab w:val="clear" w:pos="8459"/>
              <w:tab w:val="right" w:pos="9026" w:leader="dot"/>
            </w:tabs>
            <w:rPr/>
          </w:pPr>
          <w:hyperlink w:anchor="__RefHeading___Toc5378672_2320776876">
            <w:r>
              <w:rPr>
                <w:webHidden/>
                <w:rStyle w:val="IndexLink"/>
                <w:rtl w:val="true"/>
              </w:rPr>
              <w:t>المرحلة الثانية</w:t>
            </w:r>
            <w:r>
              <w:rPr>
                <w:rStyle w:val="IndexLink"/>
                <w:rtl w:val="true"/>
              </w:rPr>
              <w:t xml:space="preserve">: </w:t>
            </w:r>
            <w:r>
              <w:rPr>
                <w:rStyle w:val="IndexLink"/>
                <w:rtl w:val="true"/>
              </w:rPr>
              <w:t>من زمن الشهيد الثاني إلى يومنا هذا</w:t>
            </w:r>
            <w:r>
              <w:rPr>
                <w:rStyle w:val="IndexLink"/>
                <w:rtl w:val="true"/>
              </w:rPr>
              <w:t>.</w:t>
              <w:tab/>
            </w:r>
            <w:r>
              <w:rPr>
                <w:rStyle w:val="IndexLink"/>
              </w:rPr>
              <w:t>21</w:t>
            </w:r>
          </w:hyperlink>
        </w:p>
        <w:p>
          <w:pPr>
            <w:pStyle w:val="Contents2"/>
            <w:tabs>
              <w:tab w:val="clear" w:pos="8743"/>
              <w:tab w:val="right" w:pos="9026" w:leader="dot"/>
            </w:tabs>
            <w:rPr/>
          </w:pPr>
          <w:hyperlink w:anchor="__RefHeading___Toc5378674_2320776876">
            <w:r>
              <w:rPr>
                <w:webHidden/>
                <w:rStyle w:val="IndexLink"/>
                <w:rtl w:val="true"/>
              </w:rPr>
              <w:t>أدلّة القاعدة</w:t>
            </w:r>
            <w:r>
              <w:rPr>
                <w:rStyle w:val="IndexLink"/>
                <w:rtl w:val="true"/>
              </w:rPr>
              <w:tab/>
            </w:r>
            <w:r>
              <w:rPr>
                <w:rStyle w:val="IndexLink"/>
              </w:rPr>
              <w:t>23</w:t>
            </w:r>
          </w:hyperlink>
        </w:p>
        <w:p>
          <w:pPr>
            <w:pStyle w:val="Contents3"/>
            <w:tabs>
              <w:tab w:val="clear" w:pos="8459"/>
              <w:tab w:val="right" w:pos="9026" w:leader="dot"/>
            </w:tabs>
            <w:rPr/>
          </w:pPr>
          <w:hyperlink w:anchor="__RefHeading___Toc5378676_2320776876">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378678_2320776876">
            <w:r>
              <w:rPr>
                <w:webHidden/>
                <w:rStyle w:val="IndexLink"/>
                <w:rtl w:val="true"/>
              </w:rPr>
              <w:t>الطائفة الأولى</w:t>
            </w:r>
            <w:r>
              <w:rPr>
                <w:rStyle w:val="IndexLink"/>
                <w:rtl w:val="true"/>
              </w:rPr>
              <w:t>:</w:t>
              <w:tab/>
            </w:r>
            <w:r>
              <w:rPr>
                <w:rStyle w:val="IndexLink"/>
              </w:rPr>
              <w:t>23</w:t>
            </w:r>
          </w:hyperlink>
        </w:p>
        <w:p>
          <w:pPr>
            <w:pStyle w:val="Contents3"/>
            <w:tabs>
              <w:tab w:val="clear" w:pos="8459"/>
              <w:tab w:val="right" w:pos="9026" w:leader="dot"/>
            </w:tabs>
            <w:rPr/>
          </w:pPr>
          <w:hyperlink w:anchor="__RefHeading___Toc5378680_2320776876">
            <w:r>
              <w:rPr>
                <w:webHidden/>
                <w:rStyle w:val="IndexLink"/>
                <w:rtl w:val="true"/>
              </w:rPr>
              <w:t>الطائفة الثانية</w:t>
            </w:r>
            <w:r>
              <w:rPr>
                <w:rStyle w:val="IndexLink"/>
                <w:rtl w:val="true"/>
              </w:rPr>
              <w:t>:</w:t>
              <w:tab/>
            </w:r>
            <w:r>
              <w:rPr>
                <w:rStyle w:val="IndexLink"/>
              </w:rPr>
              <w:t>46</w:t>
            </w:r>
          </w:hyperlink>
        </w:p>
        <w:p>
          <w:pPr>
            <w:pStyle w:val="Contents3"/>
            <w:tabs>
              <w:tab w:val="clear" w:pos="8459"/>
              <w:tab w:val="right" w:pos="9026" w:leader="dot"/>
            </w:tabs>
            <w:rPr/>
          </w:pPr>
          <w:hyperlink w:anchor="__RefHeading___Toc5378682_2320776876">
            <w:r>
              <w:rPr>
                <w:webHidden/>
                <w:rStyle w:val="IndexLink"/>
                <w:rtl w:val="true"/>
              </w:rPr>
              <w:t>الطائفة الثالثة</w:t>
            </w:r>
            <w:r>
              <w:rPr>
                <w:rStyle w:val="IndexLink"/>
                <w:rtl w:val="true"/>
              </w:rPr>
              <w:t>:</w:t>
              <w:tab/>
            </w:r>
            <w:r>
              <w:rPr>
                <w:rStyle w:val="IndexLink"/>
              </w:rPr>
              <w:t>52</w:t>
            </w:r>
          </w:hyperlink>
        </w:p>
        <w:p>
          <w:pPr>
            <w:pStyle w:val="Contents3"/>
            <w:tabs>
              <w:tab w:val="clear" w:pos="8459"/>
              <w:tab w:val="right" w:pos="9026" w:leader="dot"/>
            </w:tabs>
            <w:rPr/>
          </w:pPr>
          <w:hyperlink w:anchor="__RefHeading___Toc5378684_2320776876">
            <w:r>
              <w:rPr>
                <w:webHidden/>
                <w:rStyle w:val="IndexLink"/>
                <w:rtl w:val="true"/>
              </w:rPr>
              <w:t>الطائفة الرابعة</w:t>
            </w:r>
            <w:r>
              <w:rPr>
                <w:rStyle w:val="IndexLink"/>
                <w:rtl w:val="true"/>
              </w:rPr>
              <w:t>:</w:t>
              <w:tab/>
            </w:r>
            <w:r>
              <w:rPr>
                <w:rStyle w:val="IndexLink"/>
              </w:rPr>
              <w:t>61</w:t>
            </w:r>
          </w:hyperlink>
        </w:p>
        <w:p>
          <w:pPr>
            <w:pStyle w:val="Contents3"/>
            <w:tabs>
              <w:tab w:val="clear" w:pos="8459"/>
              <w:tab w:val="right" w:pos="9026" w:leader="dot"/>
            </w:tabs>
            <w:rPr/>
          </w:pPr>
          <w:hyperlink w:anchor="__RefHeading___Toc5378686_2320776876">
            <w:r>
              <w:rPr>
                <w:webHidden/>
                <w:rStyle w:val="IndexLink"/>
                <w:rtl w:val="true"/>
              </w:rPr>
              <w:t>الطائفة الخامسة</w:t>
            </w:r>
            <w:r>
              <w:rPr>
                <w:rStyle w:val="IndexLink"/>
                <w:rtl w:val="true"/>
              </w:rPr>
              <w:t>:</w:t>
              <w:tab/>
            </w:r>
            <w:r>
              <w:rPr>
                <w:rStyle w:val="IndexLink"/>
              </w:rPr>
              <w:t>86</w:t>
            </w:r>
          </w:hyperlink>
        </w:p>
        <w:p>
          <w:pPr>
            <w:pStyle w:val="Contents3"/>
            <w:tabs>
              <w:tab w:val="clear" w:pos="8459"/>
              <w:tab w:val="right" w:pos="9026" w:leader="dot"/>
            </w:tabs>
            <w:rPr/>
          </w:pPr>
          <w:hyperlink w:anchor="__RefHeading___Toc5378688_2320776876">
            <w:r>
              <w:rPr>
                <w:webHidden/>
                <w:rStyle w:val="IndexLink"/>
                <w:rtl w:val="true"/>
              </w:rPr>
              <w:t>الطائفة السادسة</w:t>
            </w:r>
            <w:r>
              <w:rPr>
                <w:rStyle w:val="IndexLink"/>
                <w:rtl w:val="true"/>
              </w:rPr>
              <w:t>:</w:t>
              <w:tab/>
            </w:r>
            <w:r>
              <w:rPr>
                <w:rStyle w:val="IndexLink"/>
              </w:rPr>
              <w:t>93</w:t>
            </w:r>
          </w:hyperlink>
        </w:p>
        <w:p>
          <w:pPr>
            <w:pStyle w:val="Contents3"/>
            <w:tabs>
              <w:tab w:val="clear" w:pos="8459"/>
              <w:tab w:val="right" w:pos="9026" w:leader="dot"/>
            </w:tabs>
            <w:rPr/>
          </w:pPr>
          <w:hyperlink w:anchor="__RefHeading___Toc5378690_2320776876">
            <w:r>
              <w:rPr>
                <w:webHidden/>
                <w:rStyle w:val="IndexLink"/>
                <w:rtl w:val="true"/>
              </w:rPr>
              <w:t>الطائفة السابعة</w:t>
            </w:r>
            <w:r>
              <w:rPr>
                <w:rStyle w:val="IndexLink"/>
                <w:rtl w:val="true"/>
              </w:rPr>
              <w:t>:</w:t>
              <w:tab/>
            </w:r>
            <w:r>
              <w:rPr>
                <w:rStyle w:val="IndexLink"/>
              </w:rPr>
              <w:t>107</w:t>
            </w:r>
          </w:hyperlink>
        </w:p>
        <w:p>
          <w:pPr>
            <w:pStyle w:val="Contents2"/>
            <w:tabs>
              <w:tab w:val="clear" w:pos="8743"/>
              <w:tab w:val="right" w:pos="9026" w:leader="dot"/>
            </w:tabs>
            <w:rPr/>
          </w:pPr>
          <w:hyperlink w:anchor="__RefHeading___Toc5378692_2320776876">
            <w:r>
              <w:rPr>
                <w:webHidden/>
                <w:rStyle w:val="IndexLink"/>
                <w:rtl w:val="true"/>
              </w:rPr>
              <w:t>اقوال الفقهاء في الزوجية الواقعة بين الكفار</w:t>
            </w:r>
            <w:r>
              <w:rPr>
                <w:rStyle w:val="IndexLink"/>
                <w:rtl w:val="true"/>
              </w:rPr>
              <w:tab/>
            </w:r>
            <w:r>
              <w:rPr>
                <w:rStyle w:val="IndexLink"/>
              </w:rPr>
              <w:t>124</w:t>
            </w:r>
          </w:hyperlink>
        </w:p>
        <w:p>
          <w:pPr>
            <w:pStyle w:val="Contents2"/>
            <w:tabs>
              <w:tab w:val="clear" w:pos="8743"/>
              <w:tab w:val="right" w:pos="9026" w:leader="dot"/>
            </w:tabs>
            <w:rPr/>
          </w:pPr>
          <w:hyperlink w:anchor="__RefHeading___Toc5378694_2320776876">
            <w:r>
              <w:rPr>
                <w:webHidden/>
                <w:rStyle w:val="IndexLink"/>
                <w:rtl w:val="true"/>
              </w:rPr>
              <w:t>إنّ الفرق الإسلامية لها أدوار متعدّدة</w:t>
            </w:r>
            <w:r>
              <w:rPr>
                <w:rStyle w:val="IndexLink"/>
                <w:rtl w:val="true"/>
              </w:rPr>
              <w:t>:</w:t>
              <w:tab/>
            </w:r>
            <w:r>
              <w:rPr>
                <w:rStyle w:val="IndexLink"/>
              </w:rPr>
              <w:t>133</w:t>
            </w:r>
          </w:hyperlink>
        </w:p>
        <w:p>
          <w:pPr>
            <w:pStyle w:val="Contents2"/>
            <w:tabs>
              <w:tab w:val="clear" w:pos="8743"/>
              <w:tab w:val="right" w:pos="9026" w:leader="dot"/>
            </w:tabs>
            <w:rPr/>
          </w:pPr>
          <w:hyperlink w:anchor="__RefHeading___Toc5378696_2320776876">
            <w:r>
              <w:rPr>
                <w:webHidden/>
                <w:rStyle w:val="IndexLink"/>
                <w:rtl w:val="true"/>
              </w:rPr>
              <w:t>في التعامل بین الشیعة و السنة</w:t>
            </w:r>
            <w:r>
              <w:rPr>
                <w:rStyle w:val="IndexLink"/>
                <w:rtl w:val="true"/>
              </w:rPr>
              <w:tab/>
            </w:r>
            <w:r>
              <w:rPr>
                <w:rStyle w:val="IndexLink"/>
              </w:rPr>
              <w:t>136</w:t>
            </w:r>
          </w:hyperlink>
        </w:p>
        <w:p>
          <w:pPr>
            <w:pStyle w:val="Contents2"/>
            <w:tabs>
              <w:tab w:val="clear" w:pos="8743"/>
              <w:tab w:val="right" w:pos="9026" w:leader="dot"/>
            </w:tabs>
            <w:rPr/>
          </w:pPr>
          <w:hyperlink w:anchor="__RefHeading___Toc5378698_2320776876">
            <w:r>
              <w:rPr>
                <w:webHidden/>
                <w:rStyle w:val="IndexLink"/>
                <w:rtl w:val="true"/>
              </w:rPr>
              <w:t>حکم عبادات المخالف إذا استبصر</w:t>
            </w:r>
            <w:r>
              <w:rPr>
                <w:rStyle w:val="IndexLink"/>
                <w:rtl w:val="true"/>
              </w:rPr>
              <w:tab/>
            </w:r>
            <w:r>
              <w:rPr>
                <w:rStyle w:val="IndexLink"/>
              </w:rPr>
              <w:t>140</w:t>
            </w:r>
          </w:hyperlink>
        </w:p>
        <w:p>
          <w:pPr>
            <w:pStyle w:val="Contents2"/>
            <w:tabs>
              <w:tab w:val="clear" w:pos="8743"/>
              <w:tab w:val="right" w:pos="9026" w:leader="dot"/>
            </w:tabs>
            <w:rPr/>
          </w:pPr>
          <w:hyperlink w:anchor="__RefHeading___Toc5378700_2320776876">
            <w:r>
              <w:rPr>
                <w:webHidden/>
                <w:rStyle w:val="IndexLink"/>
                <w:rtl w:val="true"/>
              </w:rPr>
              <w:t>تنبيهات القاعدتين</w:t>
            </w:r>
            <w:r>
              <w:rPr>
                <w:rStyle w:val="IndexLink"/>
                <w:rtl w:val="true"/>
              </w:rPr>
              <w:t>:</w:t>
              <w:tab/>
            </w:r>
            <w:r>
              <w:rPr>
                <w:rStyle w:val="IndexLink"/>
              </w:rPr>
              <w:t>142</w:t>
            </w:r>
          </w:hyperlink>
        </w:p>
        <w:p>
          <w:pPr>
            <w:pStyle w:val="Contents3"/>
            <w:tabs>
              <w:tab w:val="clear" w:pos="8459"/>
              <w:tab w:val="right" w:pos="9026" w:leader="dot"/>
            </w:tabs>
            <w:rPr/>
          </w:pPr>
          <w:hyperlink w:anchor="__RefHeading___Toc5378702_232077687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378704_2320776876">
            <w:r>
              <w:rPr>
                <w:webHidden/>
                <w:rStyle w:val="IndexLink"/>
                <w:rtl w:val="true"/>
              </w:rPr>
              <w:t>فروع قاعدة المقاصة النوعية</w:t>
            </w:r>
            <w:r>
              <w:rPr>
                <w:rStyle w:val="IndexLink"/>
                <w:rtl w:val="true"/>
              </w:rPr>
              <w:tab/>
            </w:r>
            <w:r>
              <w:rPr>
                <w:rStyle w:val="IndexLink"/>
              </w:rPr>
              <w:t>143</w:t>
            </w:r>
          </w:hyperlink>
        </w:p>
        <w:p>
          <w:pPr>
            <w:pStyle w:val="Contents4"/>
            <w:tabs>
              <w:tab w:val="clear" w:pos="8176"/>
              <w:tab w:val="right" w:pos="9026" w:leader="dot"/>
            </w:tabs>
            <w:rPr/>
          </w:pPr>
          <w:hyperlink w:anchor="__RefHeading___Toc5378706_2320776876">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378708_2320776876">
            <w:r>
              <w:rPr>
                <w:webHidden/>
                <w:rStyle w:val="IndexLink"/>
                <w:rtl w:val="true"/>
              </w:rPr>
              <w:t>الفرع الأوّل</w:t>
            </w:r>
            <w:r>
              <w:rPr>
                <w:rStyle w:val="IndexLink"/>
                <w:rtl w:val="true"/>
              </w:rPr>
              <w:t>:</w:t>
              <w:tab/>
            </w:r>
            <w:r>
              <w:rPr>
                <w:rStyle w:val="IndexLink"/>
              </w:rPr>
              <w:t>144</w:t>
            </w:r>
          </w:hyperlink>
        </w:p>
        <w:p>
          <w:pPr>
            <w:pStyle w:val="Contents4"/>
            <w:tabs>
              <w:tab w:val="clear" w:pos="8176"/>
              <w:tab w:val="right" w:pos="9026" w:leader="dot"/>
            </w:tabs>
            <w:rPr/>
          </w:pPr>
          <w:hyperlink w:anchor="__RefHeading___Toc5378710_2320776876">
            <w:r>
              <w:rPr>
                <w:webHidden/>
                <w:rStyle w:val="IndexLink"/>
                <w:rtl w:val="true"/>
              </w:rPr>
              <w:t>الفرع الثاني</w:t>
            </w:r>
            <w:r>
              <w:rPr>
                <w:rStyle w:val="IndexLink"/>
                <w:rtl w:val="true"/>
              </w:rPr>
              <w:t>:</w:t>
              <w:tab/>
            </w:r>
            <w:r>
              <w:rPr>
                <w:rStyle w:val="IndexLink"/>
              </w:rPr>
              <w:t>148</w:t>
            </w:r>
          </w:hyperlink>
        </w:p>
        <w:p>
          <w:pPr>
            <w:pStyle w:val="Contents4"/>
            <w:tabs>
              <w:tab w:val="clear" w:pos="8176"/>
              <w:tab w:val="right" w:pos="9026" w:leader="dot"/>
            </w:tabs>
            <w:rPr/>
          </w:pPr>
          <w:hyperlink w:anchor="__RefHeading___Toc5378712_2320776876">
            <w:r>
              <w:rPr>
                <w:webHidden/>
                <w:rStyle w:val="IndexLink"/>
                <w:rtl w:val="true"/>
              </w:rPr>
              <w:t>الفرع الثالث</w:t>
            </w:r>
            <w:r>
              <w:rPr>
                <w:rStyle w:val="IndexLink"/>
                <w:rtl w:val="true"/>
              </w:rPr>
              <w:t>:</w:t>
              <w:tab/>
            </w:r>
            <w:r>
              <w:rPr>
                <w:rStyle w:val="IndexLink"/>
              </w:rPr>
              <w:t>150</w:t>
            </w:r>
          </w:hyperlink>
        </w:p>
        <w:p>
          <w:pPr>
            <w:pStyle w:val="Contents4"/>
            <w:tabs>
              <w:tab w:val="clear" w:pos="8176"/>
              <w:tab w:val="right" w:pos="9026" w:leader="dot"/>
            </w:tabs>
            <w:rPr/>
          </w:pPr>
          <w:hyperlink w:anchor="__RefHeading___Toc5378714_2320776876">
            <w:r>
              <w:rPr>
                <w:webHidden/>
                <w:rStyle w:val="IndexLink"/>
                <w:rtl w:val="true"/>
              </w:rPr>
              <w:t>الفرع الرابع</w:t>
            </w:r>
            <w:r>
              <w:rPr>
                <w:rStyle w:val="IndexLink"/>
                <w:rtl w:val="true"/>
              </w:rPr>
              <w:t>:</w:t>
              <w:tab/>
            </w:r>
            <w:r>
              <w:rPr>
                <w:rStyle w:val="IndexLink"/>
              </w:rPr>
              <w:t>152</w:t>
            </w:r>
          </w:hyperlink>
        </w:p>
        <w:p>
          <w:pPr>
            <w:pStyle w:val="Contents4"/>
            <w:tabs>
              <w:tab w:val="clear" w:pos="8176"/>
              <w:tab w:val="right" w:pos="9026" w:leader="dot"/>
            </w:tabs>
            <w:rPr/>
          </w:pPr>
          <w:hyperlink w:anchor="__RefHeading___Toc5378716_2320776876">
            <w:r>
              <w:rPr>
                <w:webHidden/>
                <w:rStyle w:val="IndexLink"/>
                <w:rtl w:val="true"/>
              </w:rPr>
              <w:t>الفرع الخامس</w:t>
            </w:r>
            <w:r>
              <w:rPr>
                <w:rStyle w:val="IndexLink"/>
                <w:rtl w:val="true"/>
              </w:rPr>
              <w:t>:</w:t>
              <w:tab/>
            </w:r>
            <w:r>
              <w:rPr>
                <w:rStyle w:val="IndexLink"/>
              </w:rPr>
              <w:t>157</w:t>
            </w:r>
          </w:hyperlink>
        </w:p>
        <w:p>
          <w:pPr>
            <w:pStyle w:val="Contents4"/>
            <w:tabs>
              <w:tab w:val="clear" w:pos="8176"/>
              <w:tab w:val="right" w:pos="9026" w:leader="dot"/>
            </w:tabs>
            <w:rPr/>
          </w:pPr>
          <w:hyperlink w:anchor="__RefHeading___Toc5378718_2320776876">
            <w:r>
              <w:rPr>
                <w:webHidden/>
                <w:rStyle w:val="IndexLink"/>
                <w:rtl w:val="true"/>
              </w:rPr>
              <w:t>الفرع السادس</w:t>
            </w:r>
            <w:r>
              <w:rPr>
                <w:rStyle w:val="IndexLink"/>
                <w:rtl w:val="true"/>
              </w:rPr>
              <w:t>:</w:t>
              <w:tab/>
            </w:r>
            <w:r>
              <w:rPr>
                <w:rStyle w:val="IndexLink"/>
              </w:rPr>
              <w:t>160</w:t>
            </w:r>
          </w:hyperlink>
        </w:p>
        <w:p>
          <w:pPr>
            <w:pStyle w:val="Contents5"/>
            <w:tabs>
              <w:tab w:val="clear" w:pos="7892"/>
              <w:tab w:val="right" w:pos="9026" w:leader="dot"/>
            </w:tabs>
            <w:rPr/>
          </w:pPr>
          <w:hyperlink w:anchor="__RefHeading___Toc5378720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378722_2320776876">
            <w:r>
              <w:rPr>
                <w:webHidden/>
                <w:rStyle w:val="IndexLink"/>
                <w:rtl w:val="true"/>
              </w:rPr>
              <w:t>بحث في خیار الغبن</w:t>
            </w:r>
            <w:r>
              <w:rPr>
                <w:rStyle w:val="IndexLink"/>
                <w:rtl w:val="true"/>
              </w:rPr>
              <w:tab/>
            </w:r>
            <w:r>
              <w:rPr>
                <w:rStyle w:val="IndexLink"/>
              </w:rPr>
              <w:t>161</w:t>
            </w:r>
          </w:hyperlink>
        </w:p>
        <w:p>
          <w:pPr>
            <w:pStyle w:val="Contents4"/>
            <w:tabs>
              <w:tab w:val="clear" w:pos="8176"/>
              <w:tab w:val="right" w:pos="9026" w:leader="dot"/>
            </w:tabs>
            <w:rPr/>
          </w:pPr>
          <w:hyperlink w:anchor="__RefHeading___Toc5378724_2320776876">
            <w:r>
              <w:rPr>
                <w:webHidden/>
                <w:rStyle w:val="IndexLink"/>
                <w:rtl w:val="true"/>
              </w:rPr>
              <w:t>الفرع السابع</w:t>
            </w:r>
            <w:r>
              <w:rPr>
                <w:rStyle w:val="IndexLink"/>
                <w:rtl w:val="true"/>
              </w:rPr>
              <w:t>:</w:t>
              <w:tab/>
            </w:r>
            <w:r>
              <w:rPr>
                <w:rStyle w:val="IndexLink"/>
              </w:rPr>
              <w:t>170</w:t>
            </w:r>
          </w:hyperlink>
        </w:p>
        <w:p>
          <w:pPr>
            <w:pStyle w:val="Contents2"/>
            <w:tabs>
              <w:tab w:val="clear" w:pos="8743"/>
              <w:tab w:val="right" w:pos="9026" w:leader="dot"/>
            </w:tabs>
            <w:rPr/>
          </w:pPr>
          <w:hyperlink w:anchor="__RefHeading___Toc5378726_2320776876">
            <w:r>
              <w:rPr>
                <w:webHidden/>
                <w:rStyle w:val="IndexLink"/>
                <w:rtl w:val="true"/>
              </w:rPr>
              <w:t>فروع قاعدة الإقرار</w:t>
            </w:r>
            <w:r>
              <w:rPr>
                <w:rStyle w:val="IndexLink"/>
                <w:rtl w:val="true"/>
              </w:rPr>
              <w:tab/>
            </w:r>
            <w:r>
              <w:rPr>
                <w:rStyle w:val="IndexLink"/>
              </w:rPr>
              <w:t>172</w:t>
            </w:r>
          </w:hyperlink>
        </w:p>
        <w:p>
          <w:pPr>
            <w:pStyle w:val="Contents3"/>
            <w:tabs>
              <w:tab w:val="clear" w:pos="8459"/>
              <w:tab w:val="right" w:pos="9026" w:leader="dot"/>
            </w:tabs>
            <w:rPr/>
          </w:pPr>
          <w:hyperlink w:anchor="__RefHeading___Toc5378728_2320776876">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5378730_2320776876">
            <w:r>
              <w:rPr>
                <w:webHidden/>
                <w:rStyle w:val="IndexLink"/>
                <w:rtl w:val="true"/>
              </w:rPr>
              <w:t>الفرع الأوّل</w:t>
            </w:r>
            <w:r>
              <w:rPr>
                <w:rStyle w:val="IndexLink"/>
                <w:rtl w:val="true"/>
              </w:rPr>
              <w:t>:</w:t>
              <w:tab/>
            </w:r>
            <w:r>
              <w:rPr>
                <w:rStyle w:val="IndexLink"/>
              </w:rPr>
              <w:t>172</w:t>
            </w:r>
          </w:hyperlink>
        </w:p>
        <w:p>
          <w:pPr>
            <w:pStyle w:val="Contents3"/>
            <w:tabs>
              <w:tab w:val="clear" w:pos="8459"/>
              <w:tab w:val="right" w:pos="9026" w:leader="dot"/>
            </w:tabs>
            <w:rPr/>
          </w:pPr>
          <w:hyperlink w:anchor="__RefHeading___Toc5378732_2320776876">
            <w:r>
              <w:rPr>
                <w:webHidden/>
                <w:rStyle w:val="IndexLink"/>
                <w:rtl w:val="true"/>
              </w:rPr>
              <w:t>الفرع الثاني</w:t>
            </w:r>
            <w:r>
              <w:rPr>
                <w:rStyle w:val="IndexLink"/>
                <w:rtl w:val="true"/>
              </w:rPr>
              <w:t>:</w:t>
              <w:tab/>
            </w:r>
            <w:r>
              <w:rPr>
                <w:rStyle w:val="IndexLink"/>
              </w:rPr>
              <w:t>189</w:t>
            </w:r>
          </w:hyperlink>
        </w:p>
        <w:p>
          <w:pPr>
            <w:pStyle w:val="Contents3"/>
            <w:tabs>
              <w:tab w:val="clear" w:pos="8459"/>
              <w:tab w:val="right" w:pos="9026" w:leader="dot"/>
            </w:tabs>
            <w:rPr/>
          </w:pPr>
          <w:hyperlink w:anchor="__RefHeading___Toc5378734_2320776876">
            <w:r>
              <w:rPr>
                <w:webHidden/>
                <w:rStyle w:val="IndexLink"/>
                <w:rtl w:val="true"/>
              </w:rPr>
              <w:t>الفرع الثالث</w:t>
            </w:r>
            <w:r>
              <w:rPr>
                <w:rStyle w:val="IndexLink"/>
                <w:rtl w:val="true"/>
              </w:rPr>
              <w:t>:</w:t>
              <w:tab/>
            </w:r>
            <w:r>
              <w:rPr>
                <w:rStyle w:val="IndexLink"/>
              </w:rPr>
              <w:t>193</w:t>
            </w:r>
          </w:hyperlink>
        </w:p>
        <w:p>
          <w:pPr>
            <w:pStyle w:val="Contents3"/>
            <w:tabs>
              <w:tab w:val="clear" w:pos="8459"/>
              <w:tab w:val="right" w:pos="9026" w:leader="dot"/>
            </w:tabs>
            <w:rPr/>
          </w:pPr>
          <w:hyperlink w:anchor="__RefHeading___Toc5378736_2320776876">
            <w:r>
              <w:rPr>
                <w:webHidden/>
                <w:rStyle w:val="IndexLink"/>
                <w:rtl w:val="true"/>
              </w:rPr>
              <w:t>الفرع الرابع</w:t>
            </w:r>
            <w:r>
              <w:rPr>
                <w:rStyle w:val="IndexLink"/>
                <w:rtl w:val="true"/>
              </w:rPr>
              <w:t>:</w:t>
              <w:tab/>
            </w:r>
            <w:r>
              <w:rPr>
                <w:rStyle w:val="IndexLink"/>
              </w:rPr>
              <w:t>202</w:t>
            </w:r>
          </w:hyperlink>
        </w:p>
        <w:p>
          <w:pPr>
            <w:pStyle w:val="Contents3"/>
            <w:tabs>
              <w:tab w:val="clear" w:pos="8459"/>
              <w:tab w:val="right" w:pos="9026" w:leader="dot"/>
            </w:tabs>
            <w:rPr/>
          </w:pPr>
          <w:hyperlink w:anchor="__RefHeading___Toc5378738_2320776876">
            <w:r>
              <w:rPr>
                <w:webHidden/>
                <w:rStyle w:val="IndexLink"/>
                <w:rtl w:val="true"/>
              </w:rPr>
              <w:t>الفرع الخامس</w:t>
            </w:r>
            <w:r>
              <w:rPr>
                <w:rStyle w:val="IndexLink"/>
                <w:rtl w:val="true"/>
              </w:rPr>
              <w:t>:</w:t>
              <w:tab/>
            </w:r>
            <w:r>
              <w:rPr>
                <w:rStyle w:val="IndexLink"/>
              </w:rPr>
              <w:t>203</w:t>
            </w:r>
          </w:hyperlink>
        </w:p>
        <w:p>
          <w:pPr>
            <w:pStyle w:val="Contents2"/>
            <w:tabs>
              <w:tab w:val="clear" w:pos="8743"/>
              <w:tab w:val="right" w:pos="9026" w:leader="dot"/>
            </w:tabs>
            <w:rPr/>
          </w:pPr>
          <w:hyperlink w:anchor="__RefHeading___Toc5378740_2320776876">
            <w:r>
              <w:rPr>
                <w:webHidden/>
                <w:rStyle w:val="IndexLink"/>
                <w:rtl w:val="true"/>
              </w:rPr>
              <w:t>المقدمة</w:t>
            </w:r>
            <w:r>
              <w:rPr>
                <w:rStyle w:val="IndexLink"/>
                <w:rtl w:val="true"/>
              </w:rPr>
              <w:tab/>
            </w:r>
            <w:r>
              <w:rPr>
                <w:rStyle w:val="IndexLink"/>
              </w:rPr>
              <w:t>216</w:t>
            </w:r>
          </w:hyperlink>
        </w:p>
        <w:p>
          <w:pPr>
            <w:pStyle w:val="Contents2"/>
            <w:tabs>
              <w:tab w:val="clear" w:pos="8743"/>
              <w:tab w:val="right" w:pos="9026" w:leader="dot"/>
            </w:tabs>
            <w:rPr/>
          </w:pPr>
          <w:hyperlink w:anchor="__RefHeading___Toc5378742_2320776876">
            <w:r>
              <w:rPr>
                <w:webHidden/>
                <w:rStyle w:val="IndexLink"/>
                <w:rtl w:val="true"/>
              </w:rPr>
              <w:t>(</w:t>
            </w:r>
            <w:r>
              <w:rPr>
                <w:rStyle w:val="IndexLink"/>
                <w:rtl w:val="true"/>
              </w:rPr>
              <w:t>عدم كفاية رؤية الهلال في بلدٍ للبلاد البعيدة عنه</w:t>
            </w:r>
            <w:r>
              <w:rPr>
                <w:rStyle w:val="IndexLink"/>
                <w:rtl w:val="true"/>
              </w:rPr>
              <w:t>)</w:t>
              <w:tab/>
            </w:r>
            <w:r>
              <w:rPr>
                <w:rStyle w:val="IndexLink"/>
              </w:rPr>
              <w:t>218</w:t>
            </w:r>
          </w:hyperlink>
        </w:p>
        <w:p>
          <w:pPr>
            <w:pStyle w:val="Contents2"/>
            <w:tabs>
              <w:tab w:val="clear" w:pos="8743"/>
              <w:tab w:val="right" w:pos="9026" w:leader="dot"/>
            </w:tabs>
            <w:rPr/>
          </w:pPr>
          <w:hyperlink w:anchor="__RefHeading___Toc5378744_2320776876">
            <w:r>
              <w:rPr>
                <w:webHidden/>
                <w:rStyle w:val="IndexLink"/>
                <w:rtl w:val="true"/>
              </w:rPr>
              <w:t>(</w:t>
            </w:r>
            <w:r>
              <w:rPr>
                <w:rStyle w:val="IndexLink"/>
                <w:rtl w:val="true"/>
              </w:rPr>
              <w:t>عدم كفاية رؤية الهلال بالعين المسلحة</w:t>
            </w:r>
            <w:r>
              <w:rPr>
                <w:rStyle w:val="IndexLink"/>
                <w:rtl w:val="true"/>
              </w:rPr>
              <w:t>)</w:t>
              <w:tab/>
            </w:r>
            <w:r>
              <w:rPr>
                <w:rStyle w:val="IndexLink"/>
              </w:rPr>
              <w:t>253</w:t>
            </w:r>
          </w:hyperlink>
        </w:p>
        <w:p>
          <w:pPr>
            <w:pStyle w:val="Contents2"/>
            <w:tabs>
              <w:tab w:val="clear" w:pos="8743"/>
              <w:tab w:val="right" w:pos="9026" w:leader="dot"/>
            </w:tabs>
            <w:rPr/>
          </w:pPr>
          <w:hyperlink w:anchor="__RefHeading___Toc5378746_2320776876">
            <w:r>
              <w:rPr>
                <w:webHidden/>
                <w:rStyle w:val="IndexLink"/>
                <w:rtl w:val="true"/>
              </w:rPr>
              <w:t>(</w:t>
            </w:r>
            <w:r>
              <w:rPr>
                <w:rStyle w:val="IndexLink"/>
                <w:rtl w:val="true"/>
              </w:rPr>
              <w:t>عدم ثبوت الهلال بإخبار الفلكيين</w:t>
            </w:r>
            <w:r>
              <w:rPr>
                <w:rStyle w:val="IndexLink"/>
                <w:rtl w:val="true"/>
              </w:rPr>
              <w:t>)</w:t>
              <w:tab/>
            </w:r>
            <w:r>
              <w:rPr>
                <w:rStyle w:val="IndexLink"/>
              </w:rPr>
              <w:t>257</w:t>
            </w:r>
          </w:hyperlink>
        </w:p>
        <w:p>
          <w:pPr>
            <w:pStyle w:val="Contents2"/>
            <w:tabs>
              <w:tab w:val="clear" w:pos="8743"/>
              <w:tab w:val="right" w:pos="9026" w:leader="dot"/>
            </w:tabs>
            <w:rPr/>
          </w:pPr>
          <w:hyperlink w:anchor="__RefHeading___Toc5378748_2320776876">
            <w:r>
              <w:rPr>
                <w:webHidden/>
                <w:rStyle w:val="IndexLink"/>
                <w:rtl w:val="true"/>
              </w:rPr>
              <w:t>(</w:t>
            </w:r>
            <w:r>
              <w:rPr>
                <w:rStyle w:val="IndexLink"/>
                <w:rtl w:val="true"/>
              </w:rPr>
              <w:t>حكم البيّنة على رؤية الهلال المخالفة لإخبار الفلكيين</w:t>
            </w:r>
            <w:r>
              <w:rPr>
                <w:rStyle w:val="IndexLink"/>
                <w:rtl w:val="true"/>
              </w:rPr>
              <w:t>)</w:t>
              <w:tab/>
            </w:r>
            <w:r>
              <w:rPr>
                <w:rStyle w:val="IndexLink"/>
              </w:rPr>
              <w:t>260</w:t>
            </w:r>
          </w:hyperlink>
        </w:p>
        <w:p>
          <w:pPr>
            <w:pStyle w:val="Contents2"/>
            <w:tabs>
              <w:tab w:val="clear" w:pos="8743"/>
              <w:tab w:val="right" w:pos="9026" w:leader="dot"/>
            </w:tabs>
            <w:rPr/>
          </w:pPr>
          <w:hyperlink w:anchor="__RefHeading___Toc5378750_2320776876">
            <w:r>
              <w:rPr>
                <w:webHidden/>
                <w:rStyle w:val="IndexLink"/>
                <w:rtl w:val="true"/>
              </w:rPr>
              <w:t>(</w:t>
            </w:r>
            <w:r>
              <w:rPr>
                <w:rStyle w:val="IndexLink"/>
                <w:rtl w:val="true"/>
              </w:rPr>
              <w:t>حول الشهادات المنفردة على رؤية الهلال</w:t>
            </w:r>
            <w:r>
              <w:rPr>
                <w:rStyle w:val="IndexLink"/>
                <w:rtl w:val="true"/>
              </w:rPr>
              <w:t>)</w:t>
              <w:tab/>
            </w:r>
            <w:r>
              <w:rPr>
                <w:rStyle w:val="IndexLink"/>
              </w:rPr>
              <w:t>262</w:t>
            </w:r>
          </w:hyperlink>
        </w:p>
        <w:p>
          <w:pPr>
            <w:pStyle w:val="Contents2"/>
            <w:tabs>
              <w:tab w:val="clear" w:pos="8743"/>
              <w:tab w:val="right" w:pos="9026" w:leader="dot"/>
            </w:tabs>
            <w:rPr/>
          </w:pPr>
          <w:hyperlink w:anchor="__RefHeading___Toc5378752_2320776876">
            <w:r>
              <w:rPr>
                <w:webHidden/>
                <w:rStyle w:val="IndexLink"/>
                <w:rtl w:val="true"/>
              </w:rPr>
              <w:t>(</w:t>
            </w:r>
            <w:r>
              <w:rPr>
                <w:rStyle w:val="IndexLink"/>
                <w:rtl w:val="true"/>
              </w:rPr>
              <w:t xml:space="preserve">ملابسات هلال عيد الفطر في عام </w:t>
            </w:r>
            <w:r>
              <w:rPr>
                <w:rStyle w:val="IndexLink"/>
              </w:rPr>
              <w:t>1419</w:t>
            </w:r>
            <w:r>
              <w:rPr>
                <w:rStyle w:val="IndexLink"/>
                <w:rtl w:val="true"/>
              </w:rPr>
              <w:t>ه</w:t>
            </w:r>
            <w:r>
              <w:rPr>
                <w:rStyle w:val="IndexLink"/>
                <w:rtl w:val="true"/>
              </w:rPr>
              <w:t>-)</w:t>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1_228756"/>
      <w:bookmarkStart w:id="1" w:name="pg20251_228756"/>
      <w:bookmarkEnd w:id="1"/>
    </w:p>
    <w:p>
      <w:pPr>
        <w:pStyle w:val="Heading2"/>
        <w:numPr>
          <w:ilvl w:val="1"/>
          <w:numId w:val="1"/>
        </w:numPr>
        <w:rPr/>
      </w:pPr>
      <w:bookmarkStart w:id="2" w:name="pg20251_228756"/>
      <w:bookmarkStart w:id="3" w:name="__RefHeading___Toc5378656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قاعدة الإلزام</w:t>
      </w:r>
    </w:p>
    <w:p>
      <w:pPr>
        <w:pStyle w:val="BookText"/>
        <w:rPr/>
      </w:pPr>
      <w:r>
        <w:rPr>
          <w:rFonts w:ascii="IRNazanin" w:hAnsi="IRNazanin" w:eastAsia="IRNazanin"/>
          <w:color w:val="111111"/>
          <w:sz w:val="28"/>
          <w:sz w:val="28"/>
          <w:szCs w:val="28"/>
          <w:rtl w:val="true"/>
          <w:lang w:bidi="fa-IR"/>
        </w:rPr>
        <w:t>أسئلة حول رؤیة الهلال</w:t>
      </w:r>
    </w:p>
    <w:p>
      <w:pPr>
        <w:pStyle w:val="BookText"/>
        <w:rPr/>
      </w:pPr>
      <w:r>
        <w:rPr>
          <w:rFonts w:ascii="IRNazanin" w:hAnsi="IRNazanin" w:eastAsia="IRNazanin"/>
          <w:color w:val="111111"/>
          <w:sz w:val="28"/>
          <w:sz w:val="28"/>
          <w:szCs w:val="28"/>
          <w:rtl w:val="true"/>
          <w:lang w:bidi="fa-IR"/>
        </w:rPr>
        <w:t>مع أجوبتها</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السيّد محمّد علي الربّاني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الشيراني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8658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نسخة أولية محدودة التداول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20251_228758"/>
    </w:p>
    <w:p>
      <w:pPr>
        <w:pStyle w:val="Heading2"/>
        <w:numPr>
          <w:ilvl w:val="1"/>
          <w:numId w:val="1"/>
        </w:numPr>
        <w:rPr/>
      </w:pPr>
      <w:bookmarkStart w:id="8" w:name="__RefHeading___Toc5378660_2320776876"/>
      <w:bookmarkStart w:id="9" w:name="_Toc3"/>
      <w:bookmarkEnd w:id="7"/>
      <w:bookmarkEnd w:id="8"/>
      <w:r>
        <w:rPr>
          <w:rtl w:val="true"/>
        </w:rPr>
        <w:t>الفهرست</w:t>
      </w:r>
      <w:bookmarkEnd w:id="9"/>
    </w:p>
    <w:p>
      <w:pPr>
        <w:pStyle w:val="Heading2"/>
        <w:numPr>
          <w:ilvl w:val="1"/>
          <w:numId w:val="1"/>
        </w:numPr>
        <w:rPr/>
      </w:pPr>
      <w:bookmarkStart w:id="10" w:name="__RefHeading___Toc5378662_2320776876"/>
      <w:bookmarkStart w:id="11" w:name="_Toc4"/>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وآله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قبس من أبحاثٍ أملاها علينا عَلَم التحقيق والتدقيق، ذو الفكر الثاقب، سيدنا وأستاذنا، المرجع الديني الأعلى آية الله العظمى السيد السيستاني متَّع الله المسلمين بطول بقائه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وفقني الله تعالى للحضور بين يديه والاستفادة من نمير علومه وتدوين بعضٍ من دروسه، وأملي أن أكون قد وفقت لنقل الصورة الصحيحة لما أملاه سيدنا الأستاذ مد ظله، فما فيها من محاسنٍ فهو غيضٍ من فيض المعرفة لدى سماحته، وما فيها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سوء الصياغة والغفلة وزلل القلم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شرع دام ظله في بحث قاعدة الإلزام ليلة الخميس الأول من شهر رمضان المبارك سنة ألف وأربعمائة وسبعة للهجرة النبوية الشريفة وقد فرغ منه ليلة الأربعاء الثامن والعشرين من شهر رمضان المبارك سنة ألف وأربعمائة وسبعة من الهجرة النبوية في تسع عشرة 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إذ أحمد الله سبحانه على توفيقه إياي في تخليد هذه الدروس القيّمة للأجيال القادمة أسأله أن يطيل في عمر سيدنا الأستاذ ويبقيه ذخراً وملاذاً للإسلام والمسلمين، إنّه سميع مجيب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الربّاني </w:t>
      </w:r>
      <w:bookmarkStart w:id="12" w:name="pg20251_228760"/>
    </w:p>
    <w:p>
      <w:pPr>
        <w:pStyle w:val="Heading2"/>
        <w:numPr>
          <w:ilvl w:val="1"/>
          <w:numId w:val="1"/>
        </w:numPr>
        <w:rPr/>
      </w:pPr>
      <w:bookmarkStart w:id="13" w:name="__RefHeading___Toc5378664_2320776876"/>
      <w:bookmarkStart w:id="14" w:name="_Toc5"/>
      <w:bookmarkEnd w:id="12"/>
      <w:bookmarkEnd w:id="13"/>
      <w:r>
        <w:rPr>
          <w:rtl w:val="true"/>
        </w:rPr>
        <w:t>مفاد القاعدة</w:t>
      </w:r>
      <w:bookmarkEnd w:id="14"/>
    </w:p>
    <w:p>
      <w:pPr>
        <w:pStyle w:val="BookText"/>
        <w:rPr/>
      </w:pPr>
      <w:r>
        <w:rPr>
          <w:rFonts w:ascii="Amiri" w:hAnsi="Amiri" w:eastAsia="Amiri" w:cs="Amiri"/>
          <w:color w:val="111111"/>
          <w:sz w:val="28"/>
          <w:sz w:val="28"/>
          <w:szCs w:val="28"/>
          <w:rtl w:val="true"/>
          <w:lang w:bidi="ar-SA"/>
        </w:rPr>
        <w:t>مفاد القاعدة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مفاد القاعدة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 الإمامي إلزام من هو خارج عن نحلته بالقوانين المعترف بها عندهم لتعود عليه بنفع و إن لم يكن هو معترفاً بصحّة تلك القوانين</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5378666_2320776876"/>
      <w:bookmarkStart w:id="16" w:name="_Toc6"/>
      <w:bookmarkEnd w:id="15"/>
      <w:r>
        <w:rPr>
          <w:rtl w:val="true"/>
        </w:rPr>
        <w:t>لمحة عن تأريخ القاعدة</w:t>
      </w:r>
      <w:bookmarkEnd w:id="16"/>
    </w:p>
    <w:p>
      <w:pPr>
        <w:pStyle w:val="Heading3"/>
        <w:numPr>
          <w:ilvl w:val="2"/>
          <w:numId w:val="1"/>
        </w:numPr>
        <w:rPr/>
      </w:pPr>
      <w:bookmarkStart w:id="17" w:name="__RefHeading___Toc5378668_2320776876"/>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قبل التعرّض لأدلّة القاعدة نشير إلى مرحلتين رئيستين مرّت بهما القاعدة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378670_2320776876"/>
      <w:bookmarkStart w:id="20" w:name="_Toc8"/>
      <w:bookmarkEnd w:id="19"/>
      <w:r>
        <w:rPr>
          <w:rtl w:val="true"/>
        </w:rPr>
        <w:t>المرحلة الأولى</w:t>
      </w:r>
      <w:r>
        <w:rPr>
          <w:rtl w:val="true"/>
        </w:rPr>
        <w:t xml:space="preserve">: </w:t>
      </w:r>
      <w:r>
        <w:rPr>
          <w:rtl w:val="true"/>
        </w:rPr>
        <w:t>من زمن الصدوق إلى زمن الشهيد الثاني</w:t>
      </w:r>
      <w:r>
        <w:rPr>
          <w:rtl w:val="true"/>
        </w:rPr>
        <w:t>.</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تتبعنا الفترة الزمنية ما بين الصدوق حتى الشهيد الثاني لوجدنا أن هذه القاعدة لم تكن متبلورة بالشكل الذي هي عليه الآن، فقلّما تجد من تعرّض لهذه القاعدة في تلك الفترة، و إنما تقف على أقوال للعلماء في تطبيقات للقاعدة على 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الإمامي التعصيب من الذي يقول به، فإنّه إذا كان للميّت بنت واحدة و له أخ نسبي، فعلى فقه الإمامية مع وجود البنت لا تصل النوبة إلى الأخ، و ترث البنت جميع المال، إلا أنّ العامّة يقولون بأنه يرث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الأخ إمامياً فهل له المطالبة بالميراث من جهة التعصيب أو لا؟</w:t>
      </w:r>
    </w:p>
    <w:p>
      <w:pPr>
        <w:pStyle w:val="BookText"/>
        <w:rPr/>
      </w:pPr>
      <w:r>
        <w:rPr>
          <w:rFonts w:ascii="Amiri" w:hAnsi="Amiri" w:eastAsia="Amiri" w:cs="Amiri"/>
          <w:color w:val="111111"/>
          <w:sz w:val="28"/>
          <w:sz w:val="28"/>
          <w:szCs w:val="28"/>
          <w:rtl w:val="true"/>
          <w:lang w:bidi="ar-SA"/>
        </w:rPr>
        <w:t>و أوّل من تعرّض في هذه المسألة للقاعدة هو الشيخ، إلا أنّه لم يتعرّض لها في كتبه الفقهية مثل النهاية و الخلاف والمبسوط، وإنّما تعرّض لها في كتابيَ التهذيب والاستبصار و بشكل خاصّ، قال في الاستبصار بعد نقله الأخبار الدالّة على خلاف كيفية التوريث على مذهبنا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الأخبار الثلاثة الأصل فيها زرارة، و الطريق إليها واحد، و مع ذلك فق و مع ذلك فقد أجمعت الطائفة على عدم العمل بها؛ لأنّه لا خلاف بينهم أنّ مع الأمّ لا يرث أحدٌ من الأخوة والأخوات من أيّ جهة كانوا، فالوجه في هذه الأخبار أن نحملها على ضرب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نقول فيها وجهاً من التأويل، و هو أنّه وردت الرخصة في جواز الأخذ منهم على ما يعتقدونه، كما يأخذونه منّا، وإنّما يحرم الأخذ بها لمن يعتقد بطلانها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كلامه في التهذيب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الروايات التي يستدلّ بها على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إن نقل الروايات إلا أنّه ليس في كلامه تعميم للقاعدة، و على فرض التعميم تختلف كبرى قوله مع كبرى قاعدة الإلزام؛ فإنّ الكبرى التي ذكرها الشيخ هي ما نسمّيه بقانون المقاصّة</w:t>
      </w:r>
      <w:r>
        <w:rPr>
          <w:rStyle w:val="FootnoteAnchor"/>
          <w:rtl w:val="true"/>
        </w:rPr>
        <w:footnoteReference w:id="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 المقابلة في الحساب،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 القوم إذا قاصّ كلّ واحد منهم صاحبه في الحساب، أي مماثلة دَينك على فلان لدَينه عليك، و مساواته له، و المقابلة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الجراح، و هي أن يُفعل بالجاني كما فعل بالمجني عليه من قتل أو جرح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الأثر، و منه قصصت الأثر إذا تتبعته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ومنه قصّ الثوب إذا قطعه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معاني المقاصة السابقة أنّ المراد بالمقاصّة هو المساواة و المقابلة و المماثلة، فإنه المتفق مع قاعدة المقاصة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تعريف المقاصّة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للآخرين غلبة على الإمامية، و كانت قوانينهم نافذةً عليهم، فحينئذ قد يأخذون من الإمامية بحسب قوانينهم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w:t>
      </w:r>
    </w:p>
    <w:p>
      <w:pPr>
        <w:pStyle w:val="BookText"/>
        <w:rPr/>
      </w:pPr>
      <w:r>
        <w:rPr>
          <w:rFonts w:ascii="Amiri" w:hAnsi="Amiri" w:eastAsia="Amiri" w:cs="Amiri"/>
          <w:color w:val="111111"/>
          <w:sz w:val="28"/>
          <w:sz w:val="28"/>
          <w:szCs w:val="28"/>
          <w:rtl w:val="true"/>
          <w:lang w:bidi="ar-SA"/>
        </w:rPr>
        <w:t xml:space="preserve">قانون التعصيب هو القانون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فللإماميّة الأخذ منهم بعنوان المقاصّة النوعيّة كما يأخذونه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لقانون المقاصّة النوعية، وإنّما تعرّضوا لقانون المقاصّة الشخصيّة، إلا أنّه لابدّ من تقسيم المقاصّة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 نوعيّة، فكما يأخذون من الشيعة فللشيعة أيضاً الأخذ منهم بحسب هذا القانون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أما الشخصي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شخص خاص من آخر معين ما يعادل ما أخذه منه كمّاً وكيفاً، فلابد أن يكون أحدهما ظالماً والآخر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الإمامي من غيره بحسب القانون كما يأخذون منه كذلك، فلا يكون هناك ظلم للآخذ بخصوصه وإن كان الظلم من جهة أخذهم من بعض آخر من الإمامية بحسب ما يقتضيه قانونهم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التقاص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سرق شخص مالاً من آخر ولا يستطيع استعادته منه بالطرق المعتادة، فله أن يسرق منه كما سرق منه ويأخذه 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التقاص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الحكم بيد غير الإمامية وفرضوا الإرث بالتعصيب الذي هو مخالف لقانون الإرث عند الإمامية، فبما أنهم يأخذون من الإمامي، فللإمامي أن يأخذ منهم من باب المقاصة النوعية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هذه الكبرى تختلف عن كبرى قاعدة الإلزام، و هي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الشيعي غيره على وفق معتقده إذا كان فيه نفع للشيعي سواء أعمل غير الشيعي بهذا القانون في حقّ الشيعي أم لم يعمل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عبارة الشيخ لا تدلّ إلا على ما عبّرنا عنه بقانون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تعرّض لهذه القاعدة أيضاً الشهيد في الدروس، قال العلامة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عبارة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منهم كما يأخذون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به الشيخ، و ذكره الشهيد في الدروس ولم ينكره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الأخذ بالتعصيب لم يكن مصرّحاً به في كلمات الفقهاء من زمن الشيخ إلى زمان العلامة المجلسي و إلا لكان العلامة المجلسي قد عثَرَ عليه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ذلك، وسيأتي البحث عن هذه الروايات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مسألة التعصيب و هي مما يعد من موارد قاعدة الإل رد قاعدة الإلزام لم يتعرّض فيها إلى القاعدة إلا الشيخ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البدعي، و منه طلاق الثلاث</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وأما الرواية التي فيها أن الطلاق ثلاثاً كان قبل الدخول فقد رواها مالك في الموطأ عن ابن شهاب عن محمد بن عبد الرحمن بن ثوبان عن محمد بن إياس بن البكير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رجل امرأته ثلاثاً قبل أن يدخل بها ثم بدا له أن ينكحها فجاء يستفتي، فذهبت معه أسأل له فسأل عبدالله بن عباس وأبا هريرة عن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تنكحها حتى تنكح زوجاً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طلاقي إياها واحدة،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من يدك ما كان لك من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الثلاث في حق غير المدخول بها عندهم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بلفظ واحد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ثلاثاً باتفاق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بألفاظ متتابعة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حدث الخلاف بين علمائهم فذهب الحنفية إلى أن الطلاق يقع بالأولى، وأما الثانية والثالثة فلا تصادف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الحصكفي في الدر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أو خبر أو جمل بعطف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الموطوءة حيث يقع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المختار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المالكية ففرَّقوا بين أن يكون الطلاق المفرق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ليس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فيقع ثلاثاً أو غير متتابع فلا يقع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الحطاب المالكي في 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الطلاق بلا عطف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الثلاث في المدخول بها إلا أن ينوي بذلك التأكيد، وكذا يلزمه الثلاث في غير المدخول بها بشرط أن يكون نسقه ولم ينو التأكيد على المشهور خلافاً للقاضي إسماعيل قال في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غير مدخول بها وكان كلامه متتابعاً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نسقاً فالمشهور أنه يلزمه الثلاث إلا أن ينوي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بمتتابع مما إذا لم يتابعه فإنه لا يلزمه إلا واحدة بالاتفاق لبينونتها بالأولى فلم تجد الثانية لها محلاً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الشافعية إلى أن طلاق غير المدخول بها يقع كما أوقعه المطلق ولا فرق بين أن يجمع الطلاق بلفظ واحد أو يفرق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الأم للشافعي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ابن شهاب عن محمد بن عبدالرحمن بن ثوبان عن محمد بن إياس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رجل امرأته ثلاثاً قبل أن يدخل بها ثم بدا له أن ينكحها فجاء يستفتي فذهبت معه أسأل له فسأل أبا هريرة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تنكحها حتى تنكح زوجاً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طلاقي إياها واحدة،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من يدك ما كان لك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عاب ابن عباس ولا أبو هريرة عليه أن يطلق ثلاثاً ولو كان ذلك معيباً لقالا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لزمك الطلاق وبئسما صنعت، ثم سمى حين راجعه فما زاده ابن عباس على الذي هو عليه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من يدك ما كان لك من فضل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ولا خرجت في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قال أخبرنا الشافعي قال أخبرنا مالك عن يحيى بن سعيد عن بكير عن النعمان بن أبي عياش الأنصاري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يستفتي عبد الله بن عمرو عن رجل طلق امرأته ثلاثاً قبل أن يمسها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إنما طلاق البكر واحدة،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قاص الواحدة تبينها وثلاث تحرمها 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الشربيني الشافعي في مغني المحتاج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 الحر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أوقعهن معاً أم لا معلقاً كان ذلك أم لا قبل الدخول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له 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الحنابلة إلى أنه إن أوقعها معاً بلفظ واحد أو بما يفيد المعية، كأنت طالق وطالق، وطالق، وقعت ثلاثاً وإن فرقها بانت بالأولى ولم تصادف الثانية والثالثة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الرحيباني في مطالب أولي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بها بوطء أو خلوة في عقد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ينوي بتكراره تأكيداً متصلاً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المدخول بها تبين بالأولى نوى بالثالثة الإيقاع أو لا متصلاً 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لها أنت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وطالق وطالق وطالق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ولو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بلا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ثانية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لمطابقتها لها في لفظها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منه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مطابقتها لاقترانها بالعاطف دونها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أولي النهى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فإنّ هناك اختلافاً بين الشيعة والسنة في الطلاق في الجملة، فإنّ جمهورهم يرون نفوذ الطلاق البدعي، مع اعترافهم بأنّه بدعي، كما يرون طلاق الثلاث بكلمة واحدة نافذاً أيضاً، مع اختلافهم في أنّ الطلاق إذا كان بثلاث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هل يقع واحداً أو لا؟</w:t>
      </w:r>
    </w:p>
    <w:p>
      <w:pPr>
        <w:pStyle w:val="BookText"/>
        <w:rPr/>
      </w:pPr>
      <w:r>
        <w:rPr>
          <w:rFonts w:ascii="Amiri" w:hAnsi="Amiri" w:eastAsia="Amiri" w:cs="Amiri"/>
          <w:color w:val="111111"/>
          <w:sz w:val="28"/>
          <w:sz w:val="28"/>
          <w:szCs w:val="28"/>
          <w:rtl w:val="true"/>
          <w:lang w:bidi="ar-SA"/>
        </w:rPr>
        <w:t>المشهور و المعروف وقوع طلاق واحد بذلك، و أمّا إذا كان طلاق الثلاث بكلمة واحدة فقد ذكروا بأنّه يقع واحداً، وهذا ما سيأتي البحث عنه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نختلف عنهم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لو طلّق عامي إمرأته بالطلاق 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غير نافذ 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للشيعي أن يتزوّج بها أو لا؟</w:t>
      </w:r>
    </w:p>
    <w:p>
      <w:pPr>
        <w:pStyle w:val="BookText"/>
        <w:rPr/>
      </w:pPr>
      <w:r>
        <w:rPr>
          <w:rFonts w:ascii="Amiri" w:hAnsi="Amiri" w:eastAsia="Amiri" w:cs="Amiri"/>
          <w:color w:val="111111"/>
          <w:sz w:val="28"/>
          <w:sz w:val="28"/>
          <w:szCs w:val="28"/>
          <w:rtl w:val="true"/>
          <w:lang w:bidi="ar-SA"/>
        </w:rPr>
        <w:t>الروايات و إن كانت مختلفة إلا أنّها متّفقة من جهة بطلان الطلاق 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بعضها الترخيص في التزويج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تعرّض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القاعدة في الفقيه بعد ذكر الروايات التي تدلّ على عدم جواز التزويج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طلاقكم الثلاث لا يحلّ لغيركم، وطلاقهم يحلّ لكم؛ لأنكم لا ترون الثلاث شيئاً و هم يوجبونها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ثم نقل مرسلة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يُدين بدين قوم لزمته أحكامه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طلّق امرأته و كان مخالفاً ولم يستوف شرائط الطلاق إلا أنّه يعتقد أنّه يقع به البينونة لزمه ذلك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المراد من المعلّق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علي أكبر الغفاري الذي قام بتحقيق رسالة قاعدة الإلزام للعلامة البلاغي بأمر من آية الله العظمى السيد محمد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المخالف إذا طلّق امرأته ثلاثاً و لم يستوف شرائط الطلاق كان ذلك طلاقاً واقعاً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في الاستبصار و التهذيب، و أمّا في كتبه الفقهية فلم يتعرّض لهذه القاعدة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الحليّ في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أصحابنا روايات متظاهرة بينهم متناصرة، و أجمعوا عليها قولاً و عملاً أنّه إن كان المطلّق مخالفاً و كان ممن يعتقد </w:t>
      </w:r>
    </w:p>
    <w:p>
      <w:pPr>
        <w:pStyle w:val="BookText"/>
        <w:rPr/>
      </w:pPr>
      <w:r>
        <w:rPr>
          <w:rFonts w:ascii="Amiri" w:hAnsi="Amiri" w:eastAsia="Amiri" w:cs="Amiri"/>
          <w:color w:val="111111"/>
          <w:sz w:val="28"/>
          <w:sz w:val="28"/>
          <w:szCs w:val="28"/>
          <w:rtl w:val="true"/>
          <w:lang w:bidi="ar-SA"/>
        </w:rPr>
        <w:t>وقوع الطلاق الثلاث لزمه ذلك و وقعت الفرقة به، و إنّما لا يقع الفرقة إذا كان الرجل معتقداً للحقّ</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أنّ الحكم المذكور مبتنٍ على قاعدة الإلزام أو أنّه مبتنٍ على أن المرأة لا تبقى بلا زوج كما في بعض الروايات؟ سيأتي البحث عنه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المطلّق مخالفاً يعتقد الثلاث لزمته</w:t>
      </w:r>
      <w:r>
        <w:rPr>
          <w:rStyle w:val="FootnoteAnchor"/>
          <w:rtl w:val="true"/>
        </w:rPr>
        <w:footnoteReference w:id="15"/>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دينه، مضافاً إلى الإجماع بقسميه عليه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تعرّض العلامة في كتبه للطلاق الثلاث و الطلاق البدعي، إلا أنّه لم يتعرّض فيها لجواز التزويج، كما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الروايات الدالّة على الترخيص في التزويج بالمطلّقة ثلاثاً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الفاضل المقداد</w:t>
      </w:r>
      <w:r>
        <w:rPr>
          <w:rStyle w:val="FootnoteAnchor"/>
          <w:rtl w:val="true"/>
        </w:rPr>
        <w:footnoteReference w:id="17"/>
      </w:r>
      <w:r>
        <w:rPr>
          <w:rFonts w:ascii="Amiri" w:hAnsi="Amiri" w:eastAsia="Amiri" w:cs="Amiri"/>
          <w:color w:val="111111"/>
          <w:sz w:val="28"/>
          <w:sz w:val="28"/>
          <w:szCs w:val="28"/>
          <w:rtl w:val="true"/>
          <w:lang w:bidi="ar-SA"/>
        </w:rPr>
        <w:t>له كلام على ما نقل عنه في إشكاله على الأخذ بروايات الترخيص،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الأخذ بالروايات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والمطلّقات ثلاثاً فإنّها ذات أزواج</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1" w:name="pg20251_228770"/>
    </w:p>
    <w:p>
      <w:pPr>
        <w:pStyle w:val="BookText"/>
        <w:rPr/>
      </w:pPr>
      <w:bookmarkEnd w:id="21"/>
      <w:r>
        <w:rPr>
          <w:rFonts w:ascii="Amiri" w:hAnsi="Amiri" w:eastAsia="Amiri" w:cs="Amiri"/>
          <w:color w:val="111111"/>
          <w:sz w:val="28"/>
          <w:sz w:val="28"/>
          <w:szCs w:val="28"/>
          <w:rtl w:val="true"/>
          <w:lang w:bidi="ar-SA"/>
        </w:rPr>
        <w:t>فنرى أنّ في هذه المرحلة لم تنقّح قاعدة الإلزام بنحو الكبرى الكليّة، مضافاً إلى أنّ من تعرّض لها لم يتعرّض لها بهذا العنوان، بل بعنوان ينطبق على هذه القاعدة وغيرها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378672_2320776876"/>
      <w:bookmarkStart w:id="23" w:name="_Toc9"/>
      <w:bookmarkEnd w:id="22"/>
      <w:r>
        <w:rPr>
          <w:rtl w:val="true"/>
        </w:rPr>
        <w:t>المرحلة الثانية</w:t>
      </w:r>
      <w:r>
        <w:rPr>
          <w:rtl w:val="true"/>
        </w:rPr>
        <w:t xml:space="preserve">: </w:t>
      </w:r>
      <w:r>
        <w:rPr>
          <w:rtl w:val="true"/>
        </w:rPr>
        <w:t>من زمن الشهيد الثاني إلى يومنا هذا</w:t>
      </w:r>
      <w:r>
        <w:rPr>
          <w:rtl w:val="true"/>
        </w:rPr>
        <w:t>.</w:t>
      </w:r>
      <w:bookmarkEnd w:id="23"/>
    </w:p>
    <w:p>
      <w:pPr>
        <w:pStyle w:val="BookText"/>
        <w:rPr/>
      </w:pPr>
      <w:r>
        <w:rPr>
          <w:rFonts w:ascii="Amiri" w:hAnsi="Amiri" w:eastAsia="Amiri" w:cs="Amiri"/>
          <w:color w:val="111111"/>
          <w:sz w:val="28"/>
          <w:sz w:val="28"/>
          <w:szCs w:val="28"/>
          <w:rtl w:val="true"/>
          <w:lang w:bidi="ar-SA"/>
        </w:rPr>
        <w:t>تبتدئ هذه المرحلة بالشهيد الثاني، فإنّه قد تعرّض إلى قاعدة الإلزام في المسالك وادّعى الإجماع عليها و عمّمها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للقاعدة دور وسيع في كلمات الفقهاء كالسبزواري وصاحبي الحدائق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استيعاب الكلام في هذا الأصل و فروعه محتاج إلى مقام آخر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يؤلّف إلى زمان صاحب الجواهر رسالة في هذه القاعدة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في هذه المرحلة توسعة و تعميماً في هذه القاعدة، فإنّه كلّ ما ازداد البحث عنها زادت دائرتها سعة وتفرّعت عليها فروع أكثر، فقد عمّمت القاعدة إلى العقود والإيقاعات الفاسدة من وجهة نظرنا فيما إذا كان لنا فيها نفع، و هكذا بالنسبة إلى العقود والإيقاعات الفاسدة من وجهة نظرهم الصحيحة عندنا، فيما إذا كان لنا في عدم القبول نفع، كما إذا تزوّج العامي بلا إشهاد، فإنّه باطل من وجهة نظرهم، فتعدّ المرأة خليّة و يجوز للشيعي تزويجها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عمّمت القاعدة أيضاً في الأحكام التي يلتزمون بها، ففي الإرث بالتعصيب مثلاً ذهبوا إلى جواز الأخذ منهم من باب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خيار الغبن إذا كانت المعاملة مع حنفي، حيث إنّ الحنفيين لم يقولوا بخيار الغبن فإذا كان في عدم قبوله لإعماله الخيار نفع لنا، فنُلزمه بعدم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صاحب الجواهر في باب الأمر بالمعروف و النهي عن المنكر إلى أنّ الوالي إذا نصب شيعياً لإجراء الحدود، و كان مورد إجراء الحدّ مخالفاً أو غيره فيجوز للشيعي إجراء الحدّ عليه و إن لم يكن مستحقاً للحدّ من وجهة نظرنا، و ذلك لقاعدة الإلزام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توسّعت دائرة هذه القاعدة في هذه المرحلة لتشمل أرباب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المتأخرين قد عمّمها حتى بالنسبة إلى مقلدة مجتهد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إجمالي لمرحلتي القاعدة، ولا نتعرض لكلمات الفقهاء حذراً من الإطالة</w:t>
      </w:r>
      <w:r>
        <w:rPr>
          <w:rFonts w:eastAsia="Amiri" w:cs="Amiri" w:ascii="Amiri" w:hAnsi="Amiri"/>
          <w:color w:val="111111"/>
          <w:sz w:val="28"/>
          <w:szCs w:val="28"/>
          <w:rtl w:val="true"/>
          <w:lang w:bidi="ar-SA"/>
        </w:rPr>
        <w:t xml:space="preserve">. </w:t>
      </w:r>
      <w:bookmarkStart w:id="24" w:name="pg20251_228772"/>
    </w:p>
    <w:p>
      <w:pPr>
        <w:pStyle w:val="Heading2"/>
        <w:numPr>
          <w:ilvl w:val="1"/>
          <w:numId w:val="1"/>
        </w:numPr>
        <w:rPr/>
      </w:pPr>
      <w:bookmarkStart w:id="25" w:name="__RefHeading___Toc5378674_2320776876"/>
      <w:bookmarkStart w:id="26" w:name="_Toc10"/>
      <w:bookmarkEnd w:id="24"/>
      <w:bookmarkEnd w:id="25"/>
      <w:r>
        <w:rPr>
          <w:rtl w:val="true"/>
        </w:rPr>
        <w:t>أدلّة القاعدة</w:t>
      </w:r>
      <w:bookmarkEnd w:id="26"/>
    </w:p>
    <w:p>
      <w:pPr>
        <w:pStyle w:val="Heading3"/>
        <w:numPr>
          <w:ilvl w:val="2"/>
          <w:numId w:val="1"/>
        </w:numPr>
        <w:rPr/>
      </w:pPr>
      <w:bookmarkStart w:id="27" w:name="__RefHeading___Toc5378676_2320776876"/>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إن الأدلة التي يمكن الاستدلال بها على قاعدة الإلزام طوائف</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378678_2320776876"/>
      <w:bookmarkStart w:id="30" w:name="_Toc12"/>
      <w:bookmarkEnd w:id="29"/>
      <w:r>
        <w:rPr>
          <w:rtl w:val="true"/>
        </w:rPr>
        <w:t>الطائفة الأولى</w:t>
      </w:r>
      <w:r>
        <w:rPr>
          <w:rtl w:val="true"/>
        </w:rPr>
        <w:t>:</w:t>
      </w:r>
      <w:bookmarkEnd w:id="3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سندي بن محمد البزاز عن علاء بن رزين القلاء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الطبع الجديد</w:t>
      </w:r>
      <w:r>
        <w:rPr>
          <w:rStyle w:val="FootnoteAnchor"/>
          <w:rtl w:val="true"/>
        </w:rPr>
        <w:footnoteReference w:id="23"/>
      </w:r>
      <w:r>
        <w:rPr>
          <w:rFonts w:ascii="Amiri" w:hAnsi="Amiri" w:eastAsia="Amiri" w:cs="Amiri"/>
          <w:color w:val="111111"/>
          <w:sz w:val="28"/>
          <w:sz w:val="28"/>
          <w:szCs w:val="28"/>
          <w:rtl w:val="true"/>
          <w:lang w:bidi="ar-SA"/>
        </w:rPr>
        <w:t>، و في التهذيب من الطبع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يستحلّون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بما يستحلّون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 هو الذي رجّحه العلامة البلاغي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هذه الرواية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w:t>
      </w:r>
    </w:p>
    <w:p>
      <w:pPr>
        <w:pStyle w:val="BookText"/>
        <w:rPr/>
      </w:pPr>
      <w:r>
        <w:rPr>
          <w:rFonts w:ascii="Amiri" w:hAnsi="Amiri" w:eastAsia="Amiri" w:cs="Amiri"/>
          <w:color w:val="111111"/>
          <w:sz w:val="28"/>
          <w:sz w:val="28"/>
          <w:szCs w:val="28"/>
          <w:rtl w:val="true"/>
          <w:lang w:bidi="ar-SA"/>
        </w:rPr>
        <w:t>هناك بحث سيّال و هو هل أنّ طريق الشيخ إلى علي بن الحسن بن فضال</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بالعراق وناحية خراسان أفقه ولا أفضل من علي بن الحسن بالكوفة ولم يكن كتاب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صنف إلا وقد كان عنده وكان أحفظ الناس، وفي بني فضال ورد التنصيص من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كتب بني سأله عن كتب بني فضال فقالوا كيف نعمل بكتبهم و بيوتنا ملاء منها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منها بما رووا و 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علي بن الحسن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له إسماعيل باشا و من أصحابنا الشيخ في كتابيه، و النجاشي في رجاله، و العلامة في الخلاصة، والسروي في معالم العلماء،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أو 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وذلك لأنّ في طريق الشيخ إليه علي بن محمد بن الزبير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أنّا وفاقاً لجماعة قوّينا صحّة ما يرويه عن علي بن الحسن بن فضال، و ذلك لجهات، أهمهما فيما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للشيخ سنداً إلى جميع مروياته عنه عن طريق أحمد بن محمد بن سعيد</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 قد ذكر الشيخ هذا الطريق مكرّراً في أوائل التهذيب حيث كان بناؤه أوّلاً على عدم حذف الأسانيد، و هذا السند صحيح</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ذكرته في هذا الكتاب، عن علي بن الحسن بن فضال فقد أخبرني به أحمد 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 إجازة عن علي بن محمد بن الزبير، 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ضعيف لوجود ابن الزبير فيه، ومقتضاه عدم اعتبار عشرات الروايات التي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رأينا أنّ الشيخ روى في أبواب مختلفة روايات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عن أبي العباس أحمد بن محمد بن سعيد عن علي بن الحسن بن فضال لعرفنا أنّ للشيخ طريقاً صحيحاً لابن فضال، لكن لا عن طريقه إليه في المشيخة و الفهرست، بل عن طريقه في المشيخة إلى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أحمد بن محمد بن سعيد ليس راوياً لروايات معيّنة فقط، بل راوٍ لجميع كتاب علي بن الحسن بن فضال عنه، فيعلم من ذلك أنّ الشيخ روى كتاب علي بن الحسن بن فضّال تارة بسند ضعيف، و أُخرى بسند معتبر، و بذلك يحكم بصحّة كلّ حديث بدأ الشيخ في سنده بابن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الطرق التي للشيخ في الكتابين إلى المشايخ الذين لم يذكر سنده إليهم في المشيخة ولا في الفهرست، أو ذكر لكنّه ضعيف عليل، وبهذا التتبّع يحصل له طرق صحيحة، وقد أنهاها بعضهم إلى خمسين وثمانمائة طريق تقريباً، وعدد المعتبر منها قريب من خمسمائة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بحر العلوم في الفوائد الرجالية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الفهرست عن جماعة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عبد الله محمد بن محمد بن النعمان و هو الشيخ المفيد، و الشيخ أبو عبد الله الحسين بن عبيد الله الغضائري، و أحمد بن عبدون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الحسين ابن أبي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الأربعة هم المشايخ المتكرر ذكرهم في الكتاب، قد أكثر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في الفهرست و في مشيخة التهذيب والاستبصار، و عليهم تدور روايته في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كثيراً عن أحمد بن محمد بن موسى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و هو راوية أحمد بن محمد بن سعيد بن عقدة الحافظ المشهور، و ربما روى عن غير هؤلاء الخمسة، و هو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من روى عنه الشيخ في ترجمته لبعض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جملة من مشايخ الشيخ في كتاب الرجال و الحديث نذكرهم بترتيب الحروف ليسهل استعلام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القزويني، أحمد بن عبدون، أحمد بن محمد بن موسى الأهوازي، جعفر بن الحسين بن حسكة القمي، الحسن بن القاسم الشريف المحمدي العلوي، الحسين بن إبراهيم القزويني، الحسين بن عبيد الله الغضائري، علي بن أحمد بن محمد بن أبي جيد، علي بن الحسين المرتضى علي بن شبل بن أسد، محمد بن سلمان الحمراني، محمد بن محمد بن النعمان المفيد، هلال الحفار، أبو طالب بن غرور، أبو علي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خمسة عشر نفراً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نكتفي في البحث عن هذه الجهة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الرواية</w:t>
      </w:r>
    </w:p>
    <w:p>
      <w:pPr>
        <w:pStyle w:val="BookText"/>
        <w:rPr/>
      </w:pPr>
      <w:r>
        <w:rPr>
          <w:rFonts w:ascii="Amiri" w:hAnsi="Amiri" w:eastAsia="Amiri" w:cs="Amiri"/>
          <w:color w:val="111111"/>
          <w:sz w:val="28"/>
          <w:sz w:val="28"/>
          <w:szCs w:val="28"/>
          <w:rtl w:val="true"/>
          <w:lang w:bidi="ar-SA"/>
        </w:rPr>
        <w:t>إنّ في متن الرواية اضطراباً من ناحيتين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بجميع نسخها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مشكلة؛ لأنّ كلاً منهما </w:t>
      </w:r>
    </w:p>
    <w:p>
      <w:pPr>
        <w:pStyle w:val="BookText"/>
        <w:rPr/>
      </w:pPr>
      <w:r>
        <w:rPr>
          <w:rFonts w:ascii="Amiri" w:hAnsi="Amiri" w:eastAsia="Amiri" w:cs="Amiri"/>
          <w:color w:val="111111"/>
          <w:sz w:val="28"/>
          <w:sz w:val="28"/>
          <w:szCs w:val="28"/>
          <w:rtl w:val="true"/>
          <w:lang w:bidi="ar-SA"/>
        </w:rPr>
        <w:t>يؤدي معنى الآخر، فإنّه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ذي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كلّ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كلّ ذي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يقال في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الإضافة إضافة بيانيّة</w:t>
      </w:r>
      <w:r>
        <w:rPr>
          <w:rStyle w:val="FootnoteAnchor"/>
          <w:rtl w:val="true"/>
        </w:rPr>
        <w:footnoteReference w:id="31"/>
      </w:r>
      <w:r>
        <w:rPr>
          <w:rFonts w:ascii="Amiri" w:hAnsi="Amiri" w:eastAsia="Amiri" w:cs="Amiri"/>
          <w:color w:val="111111"/>
          <w:sz w:val="28"/>
          <w:sz w:val="28"/>
          <w:szCs w:val="28"/>
          <w:rtl w:val="true"/>
          <w:lang w:bidi="ar-SA"/>
        </w:rPr>
        <w:t>، كما كان يقول به بعض الأكابر حينما سألناه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الإضافة البيانيّة يعتبر أن يكون المضاف إليه من جنس المضاف، كما في كتب الأدب</w:t>
      </w:r>
      <w:r>
        <w:rPr>
          <w:rStyle w:val="FootnoteAnchor"/>
          <w:rtl w:val="true"/>
        </w:rPr>
        <w:footnoteReference w:id="32"/>
      </w:r>
      <w:r>
        <w:rPr>
          <w:rFonts w:ascii="Amiri" w:hAnsi="Amiri" w:eastAsia="Amiri" w:cs="Amiri"/>
          <w:color w:val="111111"/>
          <w:sz w:val="28"/>
          <w:sz w:val="28"/>
          <w:szCs w:val="28"/>
          <w:rtl w:val="true"/>
          <w:lang w:bidi="ar-SA"/>
        </w:rPr>
        <w:t>و قواعد الشهيد الثاني</w:t>
      </w:r>
      <w:r>
        <w:rPr>
          <w:rStyle w:val="FootnoteAnchor"/>
          <w:rtl w:val="true"/>
        </w:rPr>
        <w:footnoteReference w:id="33"/>
      </w:r>
      <w:r>
        <w:rPr>
          <w:rFonts w:ascii="Amiri" w:hAnsi="Amiri" w:eastAsia="Amiri" w:cs="Amiri"/>
          <w:color w:val="111111"/>
          <w:sz w:val="28"/>
          <w:sz w:val="28"/>
          <w:szCs w:val="28"/>
          <w:rtl w:val="true"/>
          <w:lang w:bidi="ar-SA"/>
        </w:rPr>
        <w:t>، و في المقام هذا المعيار غير موجود، و عليه فلابدّ من تأويل الرواية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عدة وجوه لتأويلها إلا أنّ أقربها و أوجهها مما لم نجد من تعرّض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كان له أهل ذوو دين و هم يستحلّون أموراً فتنفذ عليهم تلك الأمور التي يستحلّونها، كما إذا كان شخصٌ نصرانياً و أبوه مجوسياً و قد تزوّج بابنته، فإذا مات الأب، فإرثه يقسّم بين أولاده، لأن الزوجية بنظر إبنه النصراني باطلةٌ، فترث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واحدة فقط و هي جهة كونها إبنته و لا ترث من جهة كونها زوجة له، و لكن بما أنّه يجوز على أهل كلّ ذي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على أهل هذا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الذي يستحلّونه فبطبيعة الحال </w:t>
      </w:r>
    </w:p>
    <w:p>
      <w:pPr>
        <w:pStyle w:val="BookText"/>
        <w:rPr/>
      </w:pPr>
      <w:r>
        <w:rPr>
          <w:rFonts w:ascii="Amiri" w:hAnsi="Amiri" w:eastAsia="Amiri" w:cs="Amiri"/>
          <w:color w:val="111111"/>
          <w:sz w:val="28"/>
          <w:sz w:val="28"/>
          <w:szCs w:val="28"/>
          <w:rtl w:val="true"/>
          <w:lang w:bidi="ar-SA"/>
        </w:rPr>
        <w:t>ترث البنت من جهة أخرى أيضاً و هي كونها زوجة له فيكون ذلك في ضرر باقي الورثة، وعليه فلا ترتبط الرواية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أو شبهها نقلت بطرق متعددة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كلّ دين بما يستحلّون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الفقيه</w:t>
      </w:r>
      <w:r>
        <w:rPr>
          <w:rStyle w:val="FootnoteAnchor"/>
          <w:rtl w:val="true"/>
        </w:rPr>
        <w:footnoteReference w:id="35"/>
      </w:r>
      <w:r>
        <w:rPr>
          <w:rFonts w:ascii="Amiri" w:hAnsi="Amiri" w:eastAsia="Amiri" w:cs="Amiri"/>
          <w:color w:val="111111"/>
          <w:sz w:val="28"/>
          <w:sz w:val="28"/>
          <w:szCs w:val="28"/>
          <w:rtl w:val="true"/>
          <w:lang w:bidi="ar-SA"/>
        </w:rPr>
        <w:t>، و في الوسائل نقلاً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كلّ دين بما يستحلفون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دين ما يستحلفون به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في المستدرك نقلاً عن نوادر أحمد بن محمد بن عيسى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في كلّ دين ما يستحلفون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فإنّه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كما جعل في التهذيب في كتاب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فمن الممكن أن يقال بأنّ هذه الرواية يرويها العلاء بن رزين عن محمد بن مسلم أيضاً، إلا أنّ هذه الرواية كما في التهذيب عن أحدهما بدل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السؤال نفس السؤال، و الجواب في غاية التشابه مع </w:t>
      </w:r>
    </w:p>
    <w:p>
      <w:pPr>
        <w:pStyle w:val="BookText"/>
        <w:rPr/>
      </w:pPr>
      <w:r>
        <w:rPr>
          <w:rFonts w:ascii="Amiri" w:hAnsi="Amiri" w:eastAsia="Amiri" w:cs="Amiri"/>
          <w:color w:val="111111"/>
          <w:sz w:val="28"/>
          <w:sz w:val="28"/>
          <w:szCs w:val="28"/>
          <w:rtl w:val="true"/>
          <w:lang w:bidi="ar-SA"/>
        </w:rPr>
        <w:t>الجواب في تلك الرواية، ولا سيما على نقل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في كلّ دين ما يستحلفون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في الكتابة، و يحتمل أن يكون أحدهما تصحيفاً من الآخر، و عليه فلا يحصل الاطمئنان بصحة رواية محمد بن مسلم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مدركها رواية الشيخ عن كتاب علي بن الحسن بن فضال، و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مدركها متعدّد، فإنّ الصدوق رواها بدءاً بالعلاء بن رزين، و للصدوق طرق أربعة إلى ما يروي عنه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ما كان فيه عن العلاء بن رزين فقد رويته عن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جميعاً عن أحمد بن محمّد بن عيسى، عن محمّد بن خالد، 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رويته عن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جميعاً عن محمّد بن أبي الصهبان، عن صفوان بن يحيى 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الزراري الكوفي عن محمّد بن خالد، عن العلاء بن رزين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رويته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أحمد بن محمد بن عيسى، عن الحسن بن علي بن فضّال، و الحسن بن محبوب، عن العلاء بن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حينما ينقل هذه النسخة ينقلها بسندين عن العلاء بن رزين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العلاء بن رزين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عن العلاء بن رزین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من التهذيب</w:t>
      </w:r>
      <w:r>
        <w:rPr>
          <w:rStyle w:val="FootnoteAnchor"/>
          <w:rtl w:val="true"/>
        </w:rPr>
        <w:footnoteReference w:id="42"/>
      </w:r>
      <w:r>
        <w:rPr>
          <w:rFonts w:ascii="IRNazanin" w:hAnsi="IRNazanin" w:eastAsia="IRNazanin"/>
          <w:color w:val="111111"/>
          <w:sz w:val="28"/>
          <w:sz w:val="28"/>
          <w:szCs w:val="28"/>
          <w:rtl w:val="true"/>
          <w:lang w:bidi="fa-IR"/>
        </w:rPr>
        <w:t>مضافاً إلى نقل النوادر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بأنّ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مدركان، مع تعدد الأسانيد، و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مدركها ليس إلا كتاب علي بن الحسن بن فضال، و من المستبعد جدّاً أن تكون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تكثّر الطرق أولى بالثبوت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أقلّ من عدم الوثوق بصحة هذا المتن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الاستشهاد، فلا يمكن التمسك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الرواية</w:t>
      </w:r>
    </w:p>
    <w:p>
      <w:pPr>
        <w:pStyle w:val="BookText"/>
        <w:rPr/>
      </w:pPr>
      <w:r>
        <w:rPr>
          <w:rFonts w:ascii="Amiri" w:hAnsi="Amiri" w:eastAsia="Amiri" w:cs="Amiri"/>
          <w:color w:val="111111"/>
          <w:sz w:val="28"/>
          <w:sz w:val="28"/>
          <w:szCs w:val="28"/>
          <w:rtl w:val="true"/>
          <w:lang w:bidi="ar-SA"/>
        </w:rPr>
        <w:t>يمكن تفسير الرواية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مرتبطة بقاعدة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تقریبان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ما رجّحه العلامة البلاغي أن تكون الرواية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على أهل كلّ ذي دين بما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الضمير إلى الأحكام، و بمناسبة الأحكام لابدّ من تأنيث الضمير، فيكون الربط بين السؤال و الجواب محفوظاً</w:t>
      </w:r>
      <w:r>
        <w:rPr>
          <w:rStyle w:val="FootnoteAnchor"/>
          <w:rtl w:val="true"/>
        </w:rPr>
        <w:footnoteReference w:id="43"/>
      </w:r>
      <w:r>
        <w:rPr>
          <w:rFonts w:ascii="Amiri" w:hAnsi="Amiri" w:eastAsia="Amiri" w:cs="Amiri"/>
          <w:color w:val="111111"/>
          <w:sz w:val="28"/>
          <w:sz w:val="28"/>
          <w:szCs w:val="28"/>
          <w:rtl w:val="true"/>
          <w:lang w:bidi="ar-SA"/>
        </w:rPr>
        <w:t xml:space="preserve">حيث كان السؤال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فيمكن القول بأن السؤال كان سؤالاً عن الأحكام القضائية و أنّه كيف يُحكم على أرباب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من باب تقييد الحكم، بل من جهة أنّ الحكم استعمل في الآيات المباركات غالباً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استعمل بمعنى التشريع و القانون، إلا أنّ استعماله في القضاء أكثر،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الْكِتَابَ وَالْحُكْمَ وَالنُّبُوَّةَ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 غير ذلك من الآيات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الأقضية، أي عن القضاء على أهل الأديان؟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تنفّذ الأحكام على أهل كلّ ذي دين بوسيلة تكون من وجهة نظرهم نافذة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القضاء في الإسلام هو الأيمان و البيّنات،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اختلاف مصداق البيّنة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أربعة من الرجال، وقد تكون رجلين، و قد تكون رجلاً وامرأتين، نعم تطلق غالباً على الشاهدين العادلين، و من الممكن أن تكون شهادة النساء متساوية مع الرجال في بعض الأديان، إلا أنّه في الإسلام ليس كذلك، بل إمّا لا تقبل شهادتهن، لا </w:t>
      </w:r>
    </w:p>
    <w:p>
      <w:pPr>
        <w:pStyle w:val="BookText"/>
        <w:rPr/>
      </w:pPr>
      <w:r>
        <w:rPr>
          <w:rFonts w:ascii="Amiri" w:hAnsi="Amiri" w:eastAsia="Amiri" w:cs="Amiri"/>
          <w:color w:val="111111"/>
          <w:sz w:val="28"/>
          <w:sz w:val="28"/>
          <w:szCs w:val="28"/>
          <w:rtl w:val="true"/>
          <w:lang w:bidi="ar-SA"/>
        </w:rPr>
        <w:t>منضمّات و لا منفردات، أو تقبل شهادتهن منضمّات لا منفردات، نعم في بعض الأمور التي يستقبح فيها اطلاع الرجال تقبل 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أيضاً أنّ اليمين في القضاء الإسلامي منحصر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صاحب الجواهر بعد نقل كلمات المحقق في ما به تنعقد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أن أقسام اليمين العاقدة ثلاثة مرجعها إلى الحلف بالله أو بأسمائه المختصة به أو الغالبة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أما سائر الأديان فلا يرون هذا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اختلف في أنه هل يجوز للقاضي تحليف أرباب الأديان بما يستحلفون أم لا؟</w:t>
      </w:r>
    </w:p>
    <w:p>
      <w:pPr>
        <w:pStyle w:val="BookText"/>
        <w:rPr/>
      </w:pPr>
      <w:r>
        <w:rPr>
          <w:rFonts w:ascii="Amiri" w:hAnsi="Amiri" w:eastAsia="Amiri" w:cs="Amiri"/>
          <w:color w:val="111111"/>
          <w:sz w:val="28"/>
          <w:sz w:val="28"/>
          <w:szCs w:val="28"/>
          <w:rtl w:val="true"/>
          <w:lang w:bidi="ar-SA"/>
        </w:rPr>
        <w:t>و الرواية المتقدّمة مما استدلّ بها للجواز ، و 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الجواز، و تدلّ عليه روايات متعدّدة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يكون معنى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على كلّ أهل ذي دين ما يستحلّه من الأيمان و البيّنات و الإقرار إلى غير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كلّ ذي دين بالوسائل التي يرونها نافذة و إن كانت مغايرة مع وسائل الإثبات من وجهة نظرنا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التفسير يحصل انسجام بين السؤال و الجواب، كما يكون بين النقلين على هذا التفسير ترابط؛ إذ الاستحلاف من مصاديق وسائل الإثبات، و عليه فلا تكون الرواية مربوطة بقاعدة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 عبارة الشيخ في التهذيب، فإنّه بعد نقل هذه الروايات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أيضاً أن يكون ما ورد في أنّه يجوز لنا أن نأخذ منهم على مذاهبهم على ما يعتقدونه كما يأخذون منّا، و إنّما يحرم أن نأخذ بعضنا عن بعض على خلاف الحق</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متوقّف على أن تكون الرواية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السؤال سؤالاً عن أحكام سائر ذوي الأديان و أنّه هل لتلك الأحكام أثر عملي لنا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الحرمات التي يستحلّونها استحلالاً عملياً بالنسبة إليكم يجوز لكم أن تستحلوها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عليهم نفس ما يستحلّونه عملاً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الحقيقة داخل في قانون المقاصّة النوعيّة و المجازاة بالمثل، فإنّ الاستحلال قد يستعمل في الاستحلال الاعتقادي، و قد يستعمل في الاستحلال العملي،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مجلس استحلّ فيه فرجٌ حرام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 العملي،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يستحلّونه منكم عملاً فلكم تنفيذ ما يستحلّونه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النوعيّة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وَأَخْرِجُوهُم مِّنْ حَيْثُ أَخْرَجُوكُمْ وَالْفِتْنَةُ أَشَدُّ مِنَ الْقَتْل</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قَاتَلُوكُمْ فَاقْتُلُوهُمْ كَذَلِكَ جَزَاءُ الْكَافِرِينَ</w:t>
      </w:r>
      <w:r>
        <w:rPr>
          <w:rStyle w:val="FootnoteAnchor"/>
          <w:rtl w:val="true"/>
        </w:rPr>
        <w:footnoteReference w:id="50"/>
      </w:r>
      <w:r>
        <w:rPr>
          <w:rFonts w:ascii="Amiri" w:hAnsi="Amiri" w:eastAsia="Amiri" w:cs="Amiri"/>
          <w:color w:val="111111"/>
          <w:sz w:val="28"/>
          <w:sz w:val="28"/>
          <w:szCs w:val="28"/>
          <w:rtl w:val="true"/>
          <w:lang w:bidi="ar-SA"/>
        </w:rPr>
        <w:t>، و المراد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المحرّمات التي جعلت للجميع إن استحلّوها فاستحلّوها أنتم في مقام الجزاء كَذَلِكَ جَزَاءُ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للمقاصّة النوعيّة شرح مفصّل سيأتي الكلام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لواحق قاعدة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يستفاد من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الموافق لعبارة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الاستحلال هو الاستحلال العملي الذي يكون مجوّزاً لارتكاب ما يستحلّونه من باب المجازاة، وليس المراد مجرد استحلالهم الاعتقادي حتى يجوز ارتکاب ما هو غير 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المعنى أيضاً لا ترتبط الرواية بقاعدة الإلزام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بنحو تكون مرتبطة بقاعدة الإلزام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بيانه بتقريبات متعدّدة، إلا أننا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النحو الأوّل من التفسير بتقريبيه من أجل مقايستهما بالتقريبين الآتيين حتى نرى بأنّه هل يمكن استظهار قاعدة الإلزام منها أو لا؟</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السيد الحكيم في المستمسك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يستحلّ تزويج المطلّقة ثلاثاً يجري ذلك الاستحلال عليه لغيره، فيجوز تزويج مطلّقته ثلاثاً، وإذا كان يستحلّ الأخذ بالتعصيب يجري ذلك لغيره، فيجوز لغيره الأخذ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هو الحلّية لغيره عليه، لا الحلّية 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فالجواز و الحلّ يكون لغيرهم عليهم، لا لهم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تنفيذ دين كلّ أهل دين، بل الإلزام لهم، و الإحلال لغيرهم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عندهم شيء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يستحلّونه استحلالاً اعتقادياً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رأوا تزويج المطلّقة ثلاثاً حلالاً للغير، فإنّ ذلك موجب لحلّية الزواج للغير عليهم، فمنشأ التسويغ و الجواز لارتكاب الغير هذا العمل هو نفس اعتقادهم بحلّية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للرواية علاقة تامّة بقاعدة الإلزام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يتوجّه هنا سؤالان و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ربط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السؤال عن الأحكام؟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الربط بين السؤال و الجواب، هل أنّ الكبرى مما يمكن الالتزام بها؟ فهل يمكن الالتزام بأنّ كلّ شيء من المحرّمات الإلهية إذا استحلّه أهل دين من الأديان يوجب تجويز ذلك المحرّم إذا كان فيه نفع؟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مصافحة نساء النصارى إذا كانوا يرونها حلالاً؟ أو إذا جاز عندهم تزويج المرأة بأزواج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بعض الأديان</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وقد كان تعدّد الأزواج سائداً في الماضي في الهند بشكل كبير، فالملحمة الهندوسية تقدم دليلاً واضحاً على تعدّد الأزواج، و هو أن ابنة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بنغالا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زوجة لخمسة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قبيلة </w:t>
      </w:r>
      <w:r>
        <w:rPr>
          <w:rFonts w:eastAsia="Times New Roman" w:cs="Times New Roman" w:ascii="Times New Roman" w:hAnsi="Times New Roman"/>
          <w:color w:val="111111"/>
          <w:sz w:val="28"/>
          <w:szCs w:val="28"/>
          <w:lang w:val="en-US" w:bidi="en-US"/>
        </w:rPr>
        <w:t>Toda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تقطن جنوب الهند استمرّ تعدّد الأزواج لقرون في الماضي، فعندما تزوّج المرأة لرجل ما فإنّها تكون زوجة أيضاً لأخيه بشكل تلقائي، أحد الأزواج الذي ينظّم مراسم الاحتفال يكون الأب لأوّل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ولادة الطفل الثاني يتولّى الزوج الثاني المسؤولية و يكون هو الأب لهذا الطفل،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التبّت أكثر مجتمعات تعدّد الأزواج في العالم و ينتشر بشكل كبير في المناطق الريفية بالرغم من حظره من قبل القوانين الصينية بعد أن أصبحت التبّت تحت الحكم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وراء بقاء هذا النوع من الزواج إلى الآن في تلك المناطق هو المحافظة على الأرض لمنع انقسامها بين الأخوة، و كذلك لأن طبيعة الأراضي الزراعية تحتاج لجهد بدني كبير، و لذلك تتّخذ المرأة أكثر من زوج للتغلّب على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للأطفال فهم يعاملون جميع الإخوة كأب لهم دون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تعدّد الأزواج كان و لا زال موجوداً في بعض المناطق الأخرى في العالم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الشمالي الكندي، الأجزاء الشمالية من نيبال و نيجيريا، في بوتان و بعض مقاطعات الصين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سيشوان و عند قبائل الماساي في كينيا و شمال تنزانيا و عند سكّان أمريكا الأصليين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للمسلم أن يتزوج بامرأة متزوجة؟</w:t>
      </w:r>
    </w:p>
    <w:p>
      <w:pPr>
        <w:pStyle w:val="BookText"/>
        <w:rPr/>
      </w:pPr>
      <w:r>
        <w:rPr>
          <w:rFonts w:ascii="Amiri" w:hAnsi="Amiri" w:eastAsia="Amiri" w:cs="Amiri"/>
          <w:color w:val="111111"/>
          <w:sz w:val="28"/>
          <w:sz w:val="28"/>
          <w:szCs w:val="28"/>
          <w:rtl w:val="true"/>
          <w:lang w:bidi="ar-SA"/>
        </w:rPr>
        <w:t>و 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استحلالهم لشيء هل يكون مجوّزاً لارتكاب الغير له مع أنّه محرّم باعتقاده؟</w:t>
      </w:r>
    </w:p>
    <w:p>
      <w:pPr>
        <w:pStyle w:val="BookText"/>
        <w:rPr/>
      </w:pPr>
      <w:r>
        <w:rPr>
          <w:rFonts w:ascii="Amiri" w:hAnsi="Amiri" w:eastAsia="Amiri" w:cs="Amiri"/>
          <w:color w:val="111111"/>
          <w:sz w:val="28"/>
          <w:sz w:val="28"/>
          <w:szCs w:val="28"/>
          <w:rtl w:val="true"/>
          <w:lang w:bidi="ar-SA"/>
        </w:rPr>
        <w:t>و يمكن أن يجاب عن هذا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عام، و ما من عام إلا و قد خُصّ، فكلّ مورد نعلم بعدم جوازه فهو، و أمّا في غيره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و إن كان لا بأس به إلا أنّ هذا احتمال على بعض النسخ في قبال سائر الاحتمالات، و نحن لا نعرف لهذا الاحتمال رجحاناً على سائر الاحتمالات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العلامة البلاغي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في إلزام غير الإمامي بأحكام نحلته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فإنّه كان ملتفتاً إلى أنّ مجرد استخلال قوم شيئاً لا يسوّغ ارتكاب ذلك الشيء للغير، فلذا ذهب إلى تفسيرها بنحو آخر </w:t>
      </w:r>
    </w:p>
    <w:p>
      <w:pPr>
        <w:pStyle w:val="BookText"/>
        <w:rPr/>
      </w:pPr>
      <w:r>
        <w:rPr>
          <w:rFonts w:ascii="Amiri" w:hAnsi="Amiri" w:eastAsia="Amiri" w:cs="Amiri"/>
          <w:color w:val="111111"/>
          <w:sz w:val="28"/>
          <w:sz w:val="28"/>
          <w:szCs w:val="28"/>
          <w:rtl w:val="true"/>
          <w:lang w:bidi="ar-SA"/>
        </w:rPr>
        <w:t>يستفاد منه قاعدة الإلزام في الجملة، و في الحقيقة كلامه مكمّل للتقريب الأوّل، مع أنّه لا يخلو عن إبهام في الجملة، و لابدّ من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المستبعد أن يستفاد من هذه الرواية جعل المحللات و المسوّغات في قبال المسوّغات التي في التشريع الإسلامي، إلا أنّ أرباب الأديان الباطلة إذا كانوا يعتقدون مانعية شيء أو رافعيته بالنسبة إلى حقوقهم، فلا مانع من تنفيذ هذا المانع أو الرافع في قبال الموانع و الروافع التي في الإسلام، و لا يكون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اعتقد المخالف بأنّ الطلاق البدعي مثلاً رافع لحقه، أو وجود العصبة مانع من الردّ إلى البنت مثلاً، فلا غرابة في أنّ الشارع يُمضي هذا الرافع و المانع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بأنّه لا استغراب في تنفيذ المانع أو الرافع الذي يعتقدونه من أجل أنّ من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إمضاء المانع أو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يستحلّ بسبب الأدلّة الشرعية، فمثلاً في مورد المطلّقة على خلاف السنّة أنّ من يستحلّها إنّما يستحلّها من أجل أدلّة النكاح، فيستحلّها بالعقد و لا يستحلّها باستحلالهم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من يستحلّ التعصيب فإنّما يستحلّه من 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بعد الاعتراف بأن هذا المانع مانع، لا من أجل أنّهم استحلوا ذلك فهو أيضاً يستحلّه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يترتّب على ذلك أنّه بناءً على أنّ الشارع المقدّس أمضى استحلالَهم فمَن يكون عصبة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يرث، و يجوز له أن يأخذ من باب التعصيب، و أمّا بناء على إمضاء الشارع المانعية أو الرافعيّة فما أمضاه الشارع هو مانعيّة وجود العصبة من الردّ إلى البنت، و حينئذ لابدّ من الرجوع إلى القواعد العامّة في الاستحلال،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فالمعيار هو الأقربيّة، وبين العصبة و الأقرب عموم من وجه، فلا يرث كلّ عصبة مؤمنة، بل لابدّ من كونها أقرب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الرواية ذكر للمانع 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يستحلّونه يجوز عليهم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نفس استحلالهم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مضافاً إلى الاستغراب المذكور، لا يكون ما يستحلّون في ضررهم، و الحال أنّ المستفاد من الرواية أنّه لابدّ أن يكون في ضررهم حيث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ضررهم ليس إلا المانعيّة و الرافعيّة، و أمّا استحلالهم فقد يترتّب عليه الضرر و قد لا يترتّب، و الذي هو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اعترافهم بالمانعيّة والرافعيّة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و الرافع هو الذي يقطع العلقة عن أهل هذا الدين و يترتّب عليه الاستحلال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اللحاظ تكون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حيثية الاستحلال للآخرين فهي ليست من الأمور التي تكون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فيستظهر بسبب القرينتين الداخلية</w:t>
      </w:r>
      <w:r>
        <w:rPr>
          <w:rStyle w:val="FootnoteAnchor"/>
          <w:rtl w:val="true"/>
        </w:rPr>
        <w:footnoteReference w:id="57"/>
      </w:r>
      <w:r>
        <w:rPr>
          <w:rFonts w:ascii="Amiri" w:hAnsi="Amiri" w:eastAsia="Amiri" w:cs="Amiri"/>
          <w:color w:val="111111"/>
          <w:sz w:val="28"/>
          <w:sz w:val="28"/>
          <w:szCs w:val="28"/>
          <w:rtl w:val="true"/>
          <w:lang w:bidi="ar-SA"/>
        </w:rPr>
        <w:t>و الخارجية</w:t>
      </w:r>
      <w:r>
        <w:rPr>
          <w:rStyle w:val="FootnoteAnchor"/>
          <w:rtl w:val="true"/>
        </w:rPr>
        <w:footnoteReference w:id="58"/>
      </w:r>
      <w:r>
        <w:rPr>
          <w:rFonts w:ascii="Amiri" w:hAnsi="Amiri" w:eastAsia="Amiri" w:cs="Amiri"/>
          <w:color w:val="111111"/>
          <w:sz w:val="28"/>
          <w:sz w:val="28"/>
          <w:szCs w:val="28"/>
          <w:rtl w:val="true"/>
          <w:lang w:bidi="ar-SA"/>
        </w:rPr>
        <w:t>أنّه تجوز الموانع و الروافع التي بسببها يستحلّون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الأمر بين هذا المعنى والمعنى الأوّل أو ما يشابه المعنى الأوّل فهذا المعنى هو القدر المتيقّن من الرواية؛ إذ المستفاد من الرواية على هذا التفسير إمضاء المانعية و الرافعية، و أمّا على التفسير الأوّل المستفاد من الرواية إمضاء الشارع لاستحلالهم، أي أنّ استحلالهم يكون مسوّغاً للآخرين، و المعنى الثاني بما أنّه أخصّ منه فلابدّ من الأخذ بهذا المعنى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استظهاراً من الرواية، بل في الحقيقة رفع الخدشة عن التقريب الأوّل، و هذا المعنى مما لم يمكن استظهاره من الرواية في قبال ذلك التقريب، فضلاً عن سائر التقريبات؛ وذلك لأنّ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مجرد استحلال ما يكون مورداً لحقّ الإنسان كاف في أن يكون عليه، وبسببه يجوز عليهم، فاستحلال زوجته أو ماله للآخرين يكون عليه، فالمال الذي لولا المانع كان له فاستحلاله يكون في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منشأ الاستحلال هو المانع أو الرافع،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إلا أن يكون في 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حيثيّة الضرر على الغير، لا أن يكون المسند إليه هو منشأ الضرر حتى يكون الظاهر منه هو المانع و الرافع الذي هو منشأ الاستحلال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أنّه يلزم من هذا التقريب تجوّز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الموصول تقيّد بالصلة، و الصلة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حذف العائد مع حذف حرف الجر إنّما جوّز مع شرائط خاصة على ما في كتب الأدب</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بمناسبة المقام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العائد المجرور قد يكون مجروراً بالإضافة و قد يكون مجروراً بحرف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حذف العائد المجرور بالإضافة أن يكون المضاف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زمنه الحال، أو المستقبل،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حُذف الضمير المجرور بالإضافة جوازاً ؛ وذلك لأن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يدلّ على المستقبل بدلالة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قَاضِيهِ،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أنا ضاربٌ الآن، أو غداً،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ويمتنع الحذف في المواضع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المضاف وَصفًا،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أنا غُلامُه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الوصف اسم فاعل،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أنا مَضْرُوبُهُ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الوصف ماضياً،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أنا ضاربُه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حذف العائد المجرور بحرف جر فيجوز بالشروط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الاسم الموصول، أو الموصوف بالاسم الموصول مجرورًا بحرف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حرف الجر الذي جَرَّ العائد المحذوف مُمَاثلاً لفظاً ومعنى للحرف الذي جَرَّ الاسم الموصول، أو الموصوف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الحرفين واحداً مادَّة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لِمَا تَأْكُلُونَ مِنْهُ وَيَشْرَبُ مِمَّا تَشْرَبُونَ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قد حُذف فيه العائد المجرور جوازاً؛ ذلك لأنّ العائد المحذوف مجرور بحرف مماثل للحرف الذي جَرَّ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وهذا الحرف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الحرفين مُتَّحِدٌ مادّة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و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مما تشربون منه وكما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مررت به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أنت 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في الحديقة التي سِرْتَ، حُذِف العائد المجرور جوازاً ؛ لأن الموصوف بالاسم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بحرف مماثل لفظاً ومعنى للحرف الذي جَرَّ العائد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الحرفين مُتَّحِدٌ مادة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في الحديقة التي سرت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المواضع التي يمتنع فيها حذف العائد المجرور بحرف جر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حرفا الجر لفظا ومعنى،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غضبتَ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معناهما دون لفظهما،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مررتَ به على زيد فالأول معناه الإلصاق، والثاني معناه السَّبَبية أو المُصَاحَبَة،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مررت بسببه على زيد، أو بمعنى مررت بالذي مررت معه على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لفظهما دون معناهما،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بالغرفة التي جلست فيها، فحرفا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لفظهما ولكن معناهما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متعلق الحرفين، نحو مررتُ بالذي فَرِِحتُ ،به، فالعامل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هذه الشرائط</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0251_228793"/>
      <w:bookmarkStart w:id="32" w:name="pg20251_228793"/>
      <w:bookmarkEnd w:id="32"/>
    </w:p>
    <w:p>
      <w:pPr>
        <w:pStyle w:val="BookText"/>
        <w:rPr/>
      </w:pPr>
      <w:bookmarkStart w:id="33" w:name="pg20251_228793"/>
      <w:bookmarkEnd w:id="33"/>
      <w:r>
        <w:rPr>
          <w:rFonts w:ascii="Amiri" w:hAnsi="Amiri" w:eastAsia="Amiri" w:cs="Amiri"/>
          <w:color w:val="111111"/>
          <w:sz w:val="28"/>
          <w:sz w:val="28"/>
          <w:szCs w:val="28"/>
          <w:rtl w:val="true"/>
          <w:lang w:bidi="ar-SA"/>
        </w:rPr>
        <w:t>لا تقتضي في المقام حذف العائد، و على فرض جوازه يكون الحذف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الاستحلال لابدّ و أن ينسب إلى الشيء حقيقة، في حين أنّ المانع و الرافع لا ينسب إليهما الاستحلال كذلك، لأنهما مانع و رافع بالنسبة إلى القائل بهما دون غيره، و لا يوجبان الحلّية بالنسبة إلى الغير،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استحلالهم أو السبب الذي يستحلّون، فذلك يجوز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في الحقيقة تضييق للتقريب الأوّل بداعي رفع بعض الإشكالات، و لم يكن إشكال التقريب الأوّل منحصراً بالاستغراب حتى يقال بأنّ هذا التقريب موجب لرفع الاستغراب ليصبح التقريب الأوّل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التقريب لا يستظهر من الرواية، و الإشكال المهم على التقريب الأوّل هو أنّه لا معيّن له في قبال سائر التقريبات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378680_2320776876"/>
      <w:bookmarkStart w:id="35" w:name="_Toc13"/>
      <w:bookmarkEnd w:id="34"/>
      <w:r>
        <w:rPr>
          <w:rtl w:val="true"/>
        </w:rPr>
        <w:t>الطائفة الثانية</w:t>
      </w:r>
      <w:r>
        <w:rPr>
          <w:rtl w:val="true"/>
        </w:rPr>
        <w:t>:</w:t>
      </w:r>
      <w:bookmarkEnd w:id="35"/>
    </w:p>
    <w:p>
      <w:pPr>
        <w:pStyle w:val="BookText"/>
        <w:rPr/>
      </w:pPr>
      <w:r>
        <w:rPr>
          <w:rFonts w:ascii="Amiri" w:hAnsi="Amiri" w:eastAsia="Amiri" w:cs="Amiri"/>
          <w:color w:val="111111"/>
          <w:sz w:val="28"/>
          <w:sz w:val="28"/>
          <w:szCs w:val="28"/>
          <w:rtl w:val="true"/>
          <w:lang w:bidi="ar-SA"/>
        </w:rPr>
        <w:t>هي الروايات التي دلّت على إلزامهم بما ألزموا به أنفسهم، و قاعدة الإلزام مأخوذة من هذه الروايات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التهذيب نقلاً عن كتاب الحسن بن محمد بن سماعة عن عبد الله بن جبلة عن عدّة من أصحاب علي و لا أعلم سليمان إلا أنّه أخبرني به، و علي بن عبد الله عن سليمان أيضاً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أنفسهم</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هكذا في التهذيبين،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 الوسائل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ألزموا به أنفسهم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هذه الرواية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للشيخ سند إلى روايات حسن بن محمد بن سماعة، و هو و إن كان واقفياً إلا أنّه يقال في حقّه بأنّه ثقة و حسن الفقه</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عند الواقفة هو علي بن أبي حمزة، و الأكثر ذهبوا إلى ضعفه</w:t>
      </w:r>
      <w:r>
        <w:rPr>
          <w:rStyle w:val="FootnoteAnchor"/>
          <w:rtl w:val="true"/>
        </w:rPr>
        <w:footnoteReference w:id="63"/>
      </w:r>
      <w:r>
        <w:rPr>
          <w:rFonts w:ascii="Amiri" w:hAnsi="Amiri" w:eastAsia="Amiri" w:cs="Amiri"/>
          <w:color w:val="111111"/>
          <w:sz w:val="28"/>
          <w:sz w:val="28"/>
          <w:szCs w:val="28"/>
          <w:rtl w:val="true"/>
          <w:lang w:bidi="ar-SA"/>
        </w:rPr>
        <w:t xml:space="preserve">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المعجم</w:t>
      </w:r>
      <w:r>
        <w:rPr>
          <w:rStyle w:val="FootnoteAnchor"/>
          <w:rtl w:val="true"/>
        </w:rPr>
        <w:footnoteReference w:id="64"/>
      </w:r>
      <w:r>
        <w:rPr>
          <w:rFonts w:ascii="Amiri" w:hAnsi="Amiri" w:eastAsia="Amiri" w:cs="Amiri"/>
          <w:color w:val="111111"/>
          <w:sz w:val="28"/>
          <w:sz w:val="28"/>
          <w:szCs w:val="28"/>
          <w:rtl w:val="true"/>
          <w:lang w:bidi="ar-SA"/>
        </w:rPr>
        <w:t>، وذهب بعض إلى جواز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كيفما كان، </w:t>
      </w:r>
    </w:p>
    <w:p>
      <w:pPr>
        <w:pStyle w:val="BookText"/>
        <w:rPr/>
      </w:pPr>
      <w:r>
        <w:rPr>
          <w:rFonts w:ascii="Amiri" w:hAnsi="Amiri" w:eastAsia="Amiri" w:cs="Amiri"/>
          <w:color w:val="111111"/>
          <w:sz w:val="28"/>
          <w:sz w:val="28"/>
          <w:szCs w:val="28"/>
          <w:rtl w:val="true"/>
          <w:lang w:bidi="ar-SA"/>
        </w:rPr>
        <w:t>الاعتماد عليه أمر مشكل الجهات لابدّ من التعرّض لها في علم الرجال، فالرواية محلّ تأمّل من جهة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جبلة</w:t>
      </w:r>
      <w:r>
        <w:rPr>
          <w:rStyle w:val="FootnoteAnchor"/>
          <w:rtl w:val="true"/>
        </w:rPr>
        <w:footnoteReference w:id="65"/>
      </w:r>
      <w:r>
        <w:rPr>
          <w:rFonts w:ascii="Amiri" w:hAnsi="Amiri" w:eastAsia="Amiri" w:cs="Amiri"/>
          <w:color w:val="111111"/>
          <w:sz w:val="28"/>
          <w:sz w:val="28"/>
          <w:szCs w:val="28"/>
          <w:rtl w:val="true"/>
          <w:lang w:bidi="ar-SA"/>
        </w:rPr>
        <w:t>و إن كان واقفياً إلا أنّه ثقة</w:t>
      </w:r>
      <w:r>
        <w:rPr>
          <w:rStyle w:val="FootnoteAnchor"/>
          <w:rtl w:val="true"/>
        </w:rPr>
        <w:footnoteReference w:id="66"/>
      </w:r>
      <w:r>
        <w:rPr>
          <w:rFonts w:ascii="Amiri" w:hAnsi="Amiri" w:eastAsia="Amiri" w:cs="Amiri"/>
          <w:color w:val="111111"/>
          <w:sz w:val="28"/>
          <w:sz w:val="28"/>
          <w:szCs w:val="28"/>
          <w:rtl w:val="true"/>
          <w:lang w:bidi="ar-SA"/>
        </w:rPr>
        <w:t>، و هو أوّل مَن كَتَبَ في علم الرجال</w:t>
      </w:r>
      <w:r>
        <w:rPr>
          <w:rStyle w:val="FootnoteAnchor"/>
          <w:rtl w:val="true"/>
        </w:rPr>
        <w:footnoteReference w:id="67"/>
      </w:r>
      <w:r>
        <w:rPr>
          <w:rFonts w:ascii="Amiri" w:hAnsi="Amiri" w:eastAsia="Amiri" w:cs="Amiri"/>
          <w:color w:val="111111"/>
          <w:sz w:val="28"/>
          <w:sz w:val="28"/>
          <w:szCs w:val="28"/>
          <w:rtl w:val="true"/>
          <w:lang w:bidi="ar-SA"/>
        </w:rPr>
        <w:t xml:space="preserve">، وقد توفي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 لكن لا ندري عن من يروي؛ إذ هو يروي عن عدّة من أصحاب علي، و نحن لا نعرف بأنّ أصحاب علي الذي هو يروي عنهم هل فيهم ثقات أو لا؟ فإنّه و إن روى عن علي أكابر القوم كابن أبي عمير و البزنطي و أشباههما، إلا أنّ هؤلاء لا يعرفون بأصحاب علي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سليمان الذي في السند فهو سليمان بن داود المنقري بملاحظة الراوي و المروي عنه، و ما ذكره العلامة البلاغي من احتمال كون سليمان بن جعفر </w:t>
      </w:r>
    </w:p>
    <w:p>
      <w:pPr>
        <w:pStyle w:val="BookText"/>
        <w:rPr/>
      </w:pPr>
      <w:r>
        <w:rPr>
          <w:rFonts w:ascii="Amiri" w:hAnsi="Amiri" w:eastAsia="Amiri" w:cs="Amiri"/>
          <w:color w:val="111111"/>
          <w:sz w:val="28"/>
          <w:sz w:val="28"/>
          <w:szCs w:val="28"/>
          <w:rtl w:val="true"/>
          <w:lang w:bidi="ar-SA"/>
        </w:rPr>
        <w:t>الجعفري</w:t>
      </w:r>
      <w:r>
        <w:rPr>
          <w:rStyle w:val="FootnoteAnchor"/>
          <w:rtl w:val="true"/>
        </w:rPr>
        <w:footnoteReference w:id="68"/>
      </w:r>
      <w:r>
        <w:rPr>
          <w:rFonts w:ascii="Amiri" w:hAnsi="Amiri" w:eastAsia="Amiri" w:cs="Amiri"/>
          <w:color w:val="111111"/>
          <w:sz w:val="28"/>
          <w:sz w:val="28"/>
          <w:szCs w:val="28"/>
          <w:rtl w:val="true"/>
          <w:lang w:bidi="ar-SA"/>
        </w:rPr>
        <w:t>غير صحيح؛ إذ لم يرو علي بن عبد الله إلا عن سليمان بن داود المنقري، و قد وثّقه النجاشي</w:t>
      </w:r>
      <w:r>
        <w:rPr>
          <w:rStyle w:val="FootnoteAnchor"/>
          <w:rtl w:val="true"/>
        </w:rPr>
        <w:footnoteReference w:id="69"/>
      </w:r>
      <w:r>
        <w:rPr>
          <w:rFonts w:ascii="Amiri" w:hAnsi="Amiri" w:eastAsia="Amiri" w:cs="Amiri"/>
          <w:color w:val="111111"/>
          <w:sz w:val="28"/>
          <w:sz w:val="28"/>
          <w:szCs w:val="28"/>
          <w:rtl w:val="true"/>
          <w:lang w:bidi="ar-SA"/>
        </w:rPr>
        <w:t>، وضعّفه ابن الغضائري، و ببالي أنّه ذكر بأنّه كثيراً يضع في المهمات</w:t>
      </w:r>
      <w:r>
        <w:rPr>
          <w:rStyle w:val="FootnoteAnchor"/>
          <w:rtl w:val="true"/>
        </w:rPr>
        <w:footnoteReference w:id="70"/>
      </w:r>
      <w:r>
        <w:rPr>
          <w:rFonts w:ascii="Amiri" w:hAnsi="Amiri" w:eastAsia="Amiri" w:cs="Amiri"/>
          <w:color w:val="111111"/>
          <w:sz w:val="28"/>
          <w:sz w:val="28"/>
          <w:szCs w:val="28"/>
          <w:rtl w:val="true"/>
          <w:lang w:bidi="ar-SA"/>
        </w:rPr>
        <w:t>، و عليه فهو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متنها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هذا المتن بعيد؛ و الظاهر أنها كبرى منتزعة من روايتين ذكرهما الشيخ في كتاب الطلاق،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التهذيب عن كتاب حسن بن محمد بن سماعة عن عبدالله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 علي بن أبي حمزة عن علي بن أبي حمزة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على غير السنة أيتزوجها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لمن يراجع المعجم بأنّ في الاستبصار أصحاب علي بن أبي حمزة هم الذين يروون عن الإمام بلا واسطة علي بن أبي حمزة، 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p>
    <w:p>
      <w:pPr>
        <w:pStyle w:val="BookText"/>
        <w:rPr/>
      </w:pPr>
      <w:r>
        <w:rPr>
          <w:rFonts w:ascii="Amiri" w:hAnsi="Amiri" w:eastAsia="Amiri" w:cs="Amiri"/>
          <w:color w:val="111111"/>
          <w:sz w:val="28"/>
          <w:sz w:val="28"/>
          <w:szCs w:val="28"/>
          <w:rtl w:val="true"/>
          <w:lang w:bidi="ar-SA"/>
        </w:rPr>
        <w:t xml:space="preserve">غير واحد من أصحاب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علي بن أبي حمزة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مشتمل على نوع من الاشتباه، ففي الاستبصار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من أصحاب علي بن أبي حمزة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 الضمير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علي لا إلى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فمع وحدة السند و السائل والمسؤول عنه و وحدة المتن تقريباً يعرف بأنّ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سؤال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التهذيبين، ففي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سماعة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سمعت جعفر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امرأة طلّقت على غير السنة أليَ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علي بن حنظلة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والمطلّقات ثلاثاً على غير السنة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رواية علي بن أبي حمزة أوسع على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روى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ألزموه أنفسهم و تزوّجوهن فإنّه لا بأس بذلك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بملاحظة هاتين الروايتين المرويّتين عن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حسن بن 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الرواية الأولى ليست برواية مع قطع النظر عن الروايتين، بل هي كبرى منتزعة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انتزاع الكبرى الكليّة من الروايتين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بملاحظة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ما يقولونه على وفق أصول علم يرثونها كابراً عن كابر</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الأحاديث بهذا المضمون كثيرة جداً لعلّها تجاوزت حد التواتر تراها مبثوثة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النجاشي في ترجمة محمد بن عذافر الصيرفي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مع الحكم بن عتيبة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يسأله، و 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مكرماً ، فاختلفا في شيء،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قم فأخرج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كتاباً مدروجاً عظيماً، ففتحه و جعل ينظر حتّى أخرج المسألة،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على الحكم،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اذهب أنت و سلمة بن كهيل و أبو المقدام حيث شئتم يميناً وشمالاً، فو الله لا تجدون العلم أوثق منه عند قوم كان ينزل عليهم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فالحكم بجواز التزويج ليس إلا من جهة تطبيق تلك الكبرى و هي قاعدة الإلزام</w:t>
      </w:r>
      <w:r>
        <w:rPr>
          <w:rFonts w:eastAsia="Amiri" w:cs="Amiri" w:ascii="Amiri" w:hAnsi="Amiri"/>
          <w:color w:val="111111"/>
          <w:sz w:val="28"/>
          <w:szCs w:val="28"/>
          <w:rtl w:val="true"/>
          <w:lang w:bidi="ar-SA"/>
        </w:rPr>
        <w:t>.</w:t>
      </w:r>
      <w:bookmarkStart w:id="36" w:name="pg20251_228799"/>
    </w:p>
    <w:p>
      <w:pPr>
        <w:pStyle w:val="BookText"/>
        <w:rPr/>
      </w:pPr>
      <w:bookmarkEnd w:id="36"/>
      <w:r>
        <w:rPr>
          <w:rFonts w:ascii="Amiri" w:hAnsi="Amiri" w:eastAsia="Amiri" w:cs="Amiri"/>
          <w:color w:val="111111"/>
          <w:sz w:val="28"/>
          <w:sz w:val="28"/>
          <w:szCs w:val="28"/>
          <w:rtl w:val="true"/>
          <w:lang w:bidi="ar-SA"/>
        </w:rPr>
        <w:t xml:space="preserve">و يمكن أن يجاب عن هذا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حيثيّة مقدماتيّة و تمهيديّة و حيثيّة تأريخية، وليس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راجع إلى العامة، بل الضمير راجع إلى أزواج المطلّقات؛ إذ قوله هذا مسبوق بالسؤال عن المطلقة على غير السنّة، والاستدلال متوقّف على أن يكون الضمير راجعاً إلى العامة حتى تنتزع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تأريخي، فإنّ أوّل من أنفذ طلاق الثلاث هو عمر ، وإنّما أنفذ ذلك من جهة استخفاف الناس بالطلاق، فألزمهم بما ألزموا به أنفسهم، كما في الغدير</w:t>
      </w:r>
      <w:r>
        <w:rPr>
          <w:rStyle w:val="FootnoteAnchor"/>
          <w:rtl w:val="true"/>
        </w:rPr>
        <w:footnoteReference w:id="77"/>
      </w:r>
      <w:r>
        <w:rPr>
          <w:rFonts w:ascii="Amiri" w:hAnsi="Amiri" w:eastAsia="Amiri" w:cs="Amiri"/>
          <w:color w:val="111111"/>
          <w:sz w:val="28"/>
          <w:sz w:val="28"/>
          <w:szCs w:val="28"/>
          <w:rtl w:val="true"/>
          <w:lang w:bidi="ar-SA"/>
        </w:rPr>
        <w:t>و في النص والاجتهاد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فذكر الإمام هذه الجملة مقدّمة للترخيص بما أنّ لها سبقاً تأريخياً، وليس ذكره من باب إلقاء الكبريات</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378682_2320776876"/>
      <w:bookmarkStart w:id="38" w:name="_Toc14"/>
      <w:bookmarkEnd w:id="37"/>
      <w:r>
        <w:rPr>
          <w:rtl w:val="true"/>
        </w:rPr>
        <w:t>الطائفة الثالثة</w:t>
      </w:r>
      <w:r>
        <w:rPr>
          <w:rtl w:val="true"/>
        </w:rPr>
        <w:t>:</w:t>
      </w:r>
      <w:bookmarkEnd w:id="38"/>
    </w:p>
    <w:p>
      <w:pPr>
        <w:pStyle w:val="BookText"/>
        <w:rPr/>
      </w:pPr>
      <w:r>
        <w:rPr>
          <w:rFonts w:ascii="Amiri" w:hAnsi="Amiri" w:eastAsia="Amiri" w:cs="Amiri"/>
          <w:color w:val="111111"/>
          <w:sz w:val="28"/>
          <w:sz w:val="28"/>
          <w:szCs w:val="28"/>
          <w:rtl w:val="true"/>
          <w:lang w:bidi="ar-SA"/>
        </w:rPr>
        <w:t>الطائفة الثالثة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وردت في المطلّقة على غير السنّة من أنّها تتزوّج و لا تترك بغير زوج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ما في التهذيب والاستبصار عن الحسن بن محمد بن سماعة عن جعفر بن سماعة و الحسن بن عُديس عن أبان عن عبد الرحمن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على غير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تتزوّج هذه المرأة و لا تترك بغير زوج</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مرويّة في الوسائل في باب غير هذا الباب عن نوادر أحمد بن محمد بن عيسى عن القاسم عن أبان 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 ما تقول في تزويجها؟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 لا تترك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هو السند الأوّل، وذلك لعدم ثبوت وصول كتاب أحمد بن محمد بن عيسى إلى المتأخرين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التهذيبين عن كتاب الحسن بن محمد بن سماعة عن محمد بن زياد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 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تترك المرأة بغير زوج</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زياد هو محمد بن زياد العطار</w:t>
      </w:r>
      <w:r>
        <w:rPr>
          <w:rStyle w:val="FootnoteAnchor"/>
          <w:rtl w:val="true"/>
        </w:rPr>
        <w:footnoteReference w:id="83"/>
      </w:r>
      <w:r>
        <w:rPr>
          <w:rFonts w:ascii="IRNazanin" w:hAnsi="IRNazanin" w:eastAsia="IRNazanin"/>
          <w:color w:val="111111"/>
          <w:sz w:val="28"/>
          <w:sz w:val="28"/>
          <w:szCs w:val="28"/>
          <w:rtl w:val="true"/>
          <w:lang w:bidi="fa-IR"/>
        </w:rPr>
        <w:t>أو مردّد بينه و بين غيره ممّن لم يثبت وثاقته، إلا أنّه بقرينة الراوي و المروي عنه يظهر أنّه ابن أبي عمير؛ فإنّ الحسن بن محمد بن سماعة حين يروي عن ابن أبي عمير يروي عنه بعنوان محمد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هاتان الروايتان بحسب الظاهر لا ترتبطان بقاعدة الإلزام، إلا أنّه يستظهر من كلام العلامة البلاغي دلالتهما على القاعدة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كلامه مع مزيد من البيان يكون بذكر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يذكر في الروايتين بأنّ المطلّق غير إمامي إلا أنّه يستفاد من المورد ما إذا كان الزوج غير إمامي، و ذلك لأنّ من كان عارفاً بأصول القدماء يعلم بأنّ القدماء كثيراً ما كانوا يحذفون بعض القيود المذكورة في السؤال اتكاءً على عنوان الباب، فإذا لم يكن الشخص ملتفتاً إلى عنوان الباب فقد يتوهّم أنّ الرواية مطلقة، و ما نحن فيه من هذا القبيل، فإنّ الشيخ ذكر هذه الرواية في الاستبصار في باب طلاق المخالف، و لا يبعد أن تكون الرواية هكذا في مصدره و هو كتاب الحسن بن محمد بن سماعة، أي أنّه ذكر هذه الرواية في باب طلاق المخالف و حذف القيود اتكاءً على عنوان الباب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كثرة الروايات الدالّة على بطلان الطلاق البدعي و إجازة الإمام بالتزويج في الروايتين تدلّ على أنّ الزوج كان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شواهد على أنّ القدماء كثيراً ما كانوا يعتمدون على عنوان الباب و يحذفون بعض القيود المذكورة في السؤال اعتماداً على عنوان الباب أو اعتماداً على الجواب، فإنّ السؤال أحياناً يعرف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باب عدّة المتعة، فإنّه ذكر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اُذينة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تحيض فحيضة، و إن كانت لا تحيض فشهر و نصف</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توجيه الميت إلى القبلة نقل رواية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توجيه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تستقبل بوجهه القبلة و تجعل قدميه مما يلي القبلة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فلو أغمضنا النظر عن عنوان الباب لا يعلم من الرواية بأنّه بأي حالة من الحالات تُستقبَل القبلة، فإنّ له حالات مختلفة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الوضوء من سؤر الحائض و الجنب و اليهودي و النصراني و الناصب، فإنّه ذكر تحت هذا العنوان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 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 قد توهم بأنّ سؤر اليهودي و النصراني و مطلق الكافر نجس مستظهراً من هذه الرواية، و الحال أنه لا يبعد </w:t>
      </w:r>
    </w:p>
    <w:p>
      <w:pPr>
        <w:pStyle w:val="BookText"/>
        <w:rPr/>
      </w:pPr>
      <w:r>
        <w:rPr>
          <w:rFonts w:ascii="Amiri" w:hAnsi="Amiri" w:eastAsia="Amiri" w:cs="Amiri"/>
          <w:color w:val="111111"/>
          <w:sz w:val="28"/>
          <w:sz w:val="28"/>
          <w:szCs w:val="28"/>
          <w:rtl w:val="true"/>
          <w:lang w:bidi="ar-SA"/>
        </w:rPr>
        <w:t xml:space="preserve">اتكاء الكليني على عنوان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الوضوء من سؤر اليهودي و النصراني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قرائن ذكرناها في بحث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فيها حذف اعتماداً على عنوان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المطمأن به أنّ الروايتين من هذا القبيل أو أنّ الشيخ اعتمد على حذف بعض القيود من جهة وجود القيود في سائر الروايات التي ذكر هاتين الروايتين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الحسن بن محمد بن سماعة هو الذي اعتمد في الحذف على عنوان الباب، ويؤيد ذلك أنّ الراوي عبارة عن الرجلين العظيمين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عبد الرحمن البصري، و من المستغرب عدم معرفتهما حكم الطلاق على غير السنّة حتى يكون السؤال عن المطلّقة على غير على غير السنّة وأنّه يجوز تزويجها أو لا؛ لأنّ بطلان الطلاق على غير السنّة من واضحات مذهب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مورد السؤال حصة خاصّة، وهي طلاق المخالف طلاقاً على 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الروايات الدالّة على بطلان مثل هذا الطلاق و عدم جواز تزویج تلك المطلّقة تدلّ على أن المستظهر من الرواية هو أن يكون السؤال سؤالاً عن طلاق المخالف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التزويج لابد أن يكون على وفق أصل من الأصول و قاعدة من القواعد؛ إذ المروي عنهم بأنّا نفتي على وفق أصول علم نرثها كابراً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المناسب مع الحكم بتجويز التزويج هو قانون الإلزام، فنستفيد من الروايتين على ضوء النقطتين قاعدة الإلزام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النقطتين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المناقشة في النقطتين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الأولى، و هي أنّ بعض القدماء كانوا يحذفون بعض القيود اعتماداً على عنوان الباب و أمثاله و إن كان صحيحاً في الجملة، و تدلّ عليه الشواهد، إلا أنّ الكلام في كون هذه الرواية من هذا القبيل؛ وذلك لأنّ حذف بعض القيود في الكافي مما لا ريب فيه، و لكنّه لم يعهد من الشيخ حذفه لبعض القيود اعتماداً على عنوان الباب، فمثلاً في رواية المتعة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تحيض فحيضة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نراجع التهذيب نرى أنّه نقلها مع القيود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أنّه لا نعهد من الشيخ حذف القيود فلا يمكن حمل الرواية على طلاق المخالف، و ليس حكم هذه الرواية حكم الروايات المذكورة في الكافي و أمثاله من الكتب التي تحذف القيود فيها اعتماداً على عنوان الباب أو جواب الإمام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احتمال أن يكون الحسن بن محمد بن سماعة هو الذي حذف القيود اعتماداً على عنوان الباب فهو احتمال ضعيف؛ لأنّه ليس لنا طريق إلى كلماته إلا منقولات الشيخ، و هذا المقدار المنقول من روايات الحسن بن محمد بن سماعة بواسطة الشيخ يستفاد منه أنّ هذه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الواقفية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 بجواز تزویج المطلّقة على غير السنّة للجميع، و لا يستفاد من كلماتهم اختصاص الحكم بالمخالف، و لذا حينما أشكل على شيخه جعفر بن محمد بن سماعة</w:t>
      </w:r>
      <w:r>
        <w:rPr>
          <w:rStyle w:val="FootnoteAnchor"/>
          <w:rtl w:val="true"/>
        </w:rPr>
        <w:footnoteReference w:id="8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p>
    <w:p>
      <w:pPr>
        <w:pStyle w:val="BookText"/>
        <w:rPr/>
      </w:pPr>
      <w:r>
        <w:rPr>
          <w:rFonts w:ascii="Amiri" w:hAnsi="Amiri" w:eastAsia="Amiri" w:cs="Amiri"/>
          <w:color w:val="111111"/>
          <w:sz w:val="28"/>
          <w:sz w:val="28"/>
          <w:szCs w:val="28"/>
          <w:rtl w:val="true"/>
          <w:lang w:bidi="ar-SA"/>
        </w:rPr>
        <w:t>تعلم أنّ علي بن حنظلة روى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ثلاثاً على غير السنّة فإنهن ذوات أزواج، نرى بأن شيخه يجيب بأنّ رواية علي بن أبي حمزة أوسع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أن جعفر بن سماعة يستفيد من رواية علي بن أبي حمزة أن المراد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المطلّقون، لا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جعفر بن سماعة إنّما قدّم رواية علي بن أبي حمزة من جهة أنّها أوسع على الناس، ولم يقدّمها من باب أنّ الرواية خاصّة بالمخالفين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احتمال حذف بعض خصوصيات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لعدم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على الخلاف، و هو عدم توافق ذلك مع جري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تأييد ذلك بأنّ عبد الله بن سنان و عبد الرحمن البصري من الأكابر، و من البعيد عدم معرفتهما حكم الطلاق على غير السنّة مما لا وجه له؛ إذ مسألة عدم صحة الطلاق البدعي مما نقلها كثير من الأكابر، و إنّما اعتبرت من المسائل الواضحة من خلال كلمات الأئمة ونقل الأكابر 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الجوّ الذي كانا يعيشان فيه كان القول بنفوذ الطلاق البدعي شائعاً و متسالماً عليه بين العامة، حتى ذكر بعضهم بأنّ المخالف في هذه المسألة هم الروافض، و أضاف بعضُ الخوارج، كما في ذيل نيل الأوطار عن ابن عبد البر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يمكن حمل الرواية على طلاق المخالف، بل لابدّ من حملها على التقيّة، إمّا اتقاءً عليهما أو اتقاءً ممن كان في المجلس أو اتقاء لمن يعاشرهم، فإنّه مضافاً إلى ما ورد في بطلان الطلاق البدعي قد ورد في خصوص المرأة المتزوّجة التي طلّقت على غير السنّة بأن طلاقها كأن لم يكن ولابدّ لها من استدامة الزوجية مع الزوج الأول</w:t>
      </w:r>
      <w:r>
        <w:rPr>
          <w:rStyle w:val="FootnoteAnchor"/>
          <w:rtl w:val="true"/>
        </w:rPr>
        <w:footnoteReference w:id="91"/>
      </w:r>
      <w:r>
        <w:rPr>
          <w:rFonts w:ascii="Amiri" w:hAnsi="Amiri" w:eastAsia="Amiri" w:cs="Amiri"/>
          <w:color w:val="111111"/>
          <w:sz w:val="28"/>
          <w:sz w:val="28"/>
          <w:szCs w:val="28"/>
          <w:rtl w:val="true"/>
          <w:lang w:bidi="ar-SA"/>
        </w:rPr>
        <w:t>، فلا يبعد أن تكون الرواية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النقطة الثانية فيمكن القول فيها بأنّه صحيح ما ذكر من أنّهم إنما يفتون على وفق الأصول التي ورثوها كابراً عن كابر، إلا أنّ ما ذكر من أنّه ليس في المقام أصل إلا قانون الإلزام محلّ إشكال؛ إذ لم يلاحظ فيها الإلزام، بل لوحظ حال الزوجة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تتزوج و لا تترك بلا زوج</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في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بتزويجها وصحة انفصالها عن الزوج الأوّل هو أنّ القضاء كان بيد المخالفين وكان الطلاق البدعي عندهم نافذاً، سواء أصدر من العامي أم غير العامي،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من باب الحكم الولائي، بلحاظ أنّ بقاء الزوجية في الصورة المفروضة بالنسبة إلى الزوجة ضرري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لا نقول بأنّ تضرّر الزوجة علّة لهذا الحكم الولائي، بل من الممكن أن يكون حكمة له، فإنّ العامة لا يقولون بكثير من الشروط التي نقول بها في الطلاق، فإنّهم يقولون بنفوذ الطلاق في حال الحيض و في طهر المواقعة و الطلاق بلا إشهاد و طلاق السكران إلى غير ذلك، و توسعتهم هذه في الطلاق ربما توجب جعل الشيعية في المضيقة، فإن لم يمكن إلزام الزوج بإدامة الزوجية أو لم يمكن إجباره على الطلاق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الحكم بانفساخ الزوجية، فلا دلالة للرواية على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يفيد معناه لكان هناك وجه للاستدلال بها، إلا أنّ المذكور في الرواية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بغير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لابدّ و أن ينطبق عليه قانون آخر غير قانون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التسليم للنقطة الأولى و اختصاصها بطلاق المخالف، لا نسلّم للنقطة الثانية، بمعنى أنّه لا يستفاد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من باب قاعدة الإلزام؛ إذ الحكم بالصحّة مختصّ بما إذا لم يكن إلزام الزوج باستدامة الزوجية أو الطلاق الصحيح ممكناً،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تزويجها من باب الولاية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لا تترك بغير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إلا أنّه لم يذكر شرائط زواجها في هذه الرواية، فربما يكون حكمها المراجعة إلى الإمام أو نائبه، فإن لم يمكن إلزام الزوج باستدامة الزوجية ولم يمكن إجباره على الطلاق الصحيح فيطلّقها الإمام من باب الولاية</w:t>
      </w:r>
      <w:r>
        <w:rPr>
          <w:rFonts w:eastAsia="Amiri" w:cs="Amiri" w:ascii="Amiri" w:hAnsi="Amiri"/>
          <w:color w:val="111111"/>
          <w:sz w:val="28"/>
          <w:szCs w:val="28"/>
          <w:rtl w:val="true"/>
          <w:lang w:bidi="ar-SA"/>
        </w:rPr>
        <w:t xml:space="preserve">. </w:t>
      </w:r>
      <w:bookmarkStart w:id="39" w:name="pg20251_228808"/>
    </w:p>
    <w:p>
      <w:pPr>
        <w:pStyle w:val="Heading3"/>
        <w:numPr>
          <w:ilvl w:val="2"/>
          <w:numId w:val="1"/>
        </w:numPr>
        <w:rPr/>
      </w:pPr>
      <w:bookmarkStart w:id="40" w:name="__RefHeading___Toc5378684_2320776876"/>
      <w:bookmarkStart w:id="41" w:name="_Toc15"/>
      <w:bookmarkEnd w:id="39"/>
      <w:bookmarkEnd w:id="40"/>
      <w:r>
        <w:rPr>
          <w:rtl w:val="true"/>
        </w:rPr>
        <w:t>الطائفة الرابعة</w:t>
      </w:r>
      <w:r>
        <w:rPr>
          <w:rtl w:val="true"/>
        </w:rPr>
        <w:t>:</w:t>
      </w:r>
      <w:bookmarkEnd w:id="41"/>
    </w:p>
    <w:p>
      <w:pPr>
        <w:pStyle w:val="BookText"/>
        <w:rPr/>
      </w:pPr>
      <w:r>
        <w:rPr>
          <w:rFonts w:ascii="Amiri" w:hAnsi="Amiri" w:eastAsia="Amiri" w:cs="Amiri"/>
          <w:color w:val="111111"/>
          <w:sz w:val="28"/>
          <w:sz w:val="28"/>
          <w:szCs w:val="28"/>
          <w:rtl w:val="true"/>
          <w:lang w:bidi="ar-SA"/>
        </w:rPr>
        <w:t xml:space="preserve">و هي الروايات الواردة في المطلّقة ثلاثاً بالطلاق البدعي، سواء أكان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ابن عمر من أنّه طلّق زوجته في الحيض بطلاق الثلاث</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في غير الحيض بأنّ طلّق زوجته في مجلس واحد بالطلاق الثلاث بلفظ واحد من دون رجعة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بألفاظ متعددة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بعض الروايات على تجويز الزواج بالمطلّقات ثلاثاً، و استدلّ بهذه الروايات بأن الحكم بجواز التزويج فيها من باب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معتبرة، رواها الشيخ في التهذيبين عن كتاب علي بن الحسن بن فضال عن محمد بن الوليد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المقصود بهذا التعليق هو ما ورد في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 قد غفل عن الإشارة إليه في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العباس بن عامر عن يونس بن</w:t>
      </w:r>
    </w:p>
    <w:p>
      <w:pPr>
        <w:pStyle w:val="BookText"/>
        <w:rPr/>
      </w:pPr>
      <w:r>
        <w:rPr>
          <w:rFonts w:ascii="Amiri" w:hAnsi="Amiri" w:eastAsia="Amiri" w:cs="Amiri"/>
          <w:color w:val="111111"/>
          <w:sz w:val="28"/>
          <w:sz w:val="28"/>
          <w:szCs w:val="28"/>
          <w:rtl w:val="true"/>
          <w:lang w:bidi="ar-SA"/>
        </w:rPr>
        <w:t>يعقوب عن عبد الأعلى قال سألته عن الرجل يطلّق إمرأته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ألزمه بذلك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العباس بن عامر فهو ثقة جليل</w:t>
      </w:r>
      <w:r>
        <w:rPr>
          <w:rStyle w:val="FootnoteAnchor"/>
          <w:rtl w:val="true"/>
        </w:rPr>
        <w:footnoteReference w:id="96"/>
      </w:r>
      <w:r>
        <w:rPr>
          <w:rFonts w:ascii="Amiri" w:hAnsi="Amiri" w:eastAsia="Amiri" w:cs="Amiri"/>
          <w:color w:val="111111"/>
          <w:sz w:val="28"/>
          <w:sz w:val="28"/>
          <w:szCs w:val="28"/>
          <w:rtl w:val="true"/>
          <w:lang w:bidi="ar-SA"/>
        </w:rPr>
        <w:t>و يونس بن يعقوب ثقة أيضاً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له كتاب، أخبرنا به جماعة، عن أبي المفضل، عن ابن بطة، عن أحمد بن محمد بن عيسى، عن ابن أبي عمير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البجلي الدهني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مولى نهد، له كتب،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ثقة، له كتاب،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البرقي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 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المفيد في 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 الرؤساء المأخوذ عنهم الحلال و الحرام، و الفتيا و الأحكام، الذين لا يطعن عليهم، و لا طريق إلى ذمّ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أهل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المراد من عبد الأعلى هنا هو عبد الأعلى بن أعين، و هو محكوم بالوثاقة من جهة نقل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أنّ هذا التوثيق يختصّ بمشايخهم المباشرين و عدم شموله لمن رووا عنهم مع الواسطة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بحوث في شرح مناسك الحج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عمير و بعض رواتنا الآخرين ممن عرفوا بأنّهم لا يروون و لا يرسلون إلا عن ثقة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بعدم الرواية إلا عمّن ثبتت عندهم وثاقته، فإنّ الشخص إذا لم يُلزم نفسه بعدم الرواية من غير الثقات لا يمكن عادة انحصار رواياته فيما تكون عن الثقات وبالتالي أن يعرف بين الناس بأنّه لا يروي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 هؤلاء بذلك يمكن أنّه قد عرف من جهة تصريحهم به لبعض أصحابهم وتلامذتهم و إن لم ينقل إلينا، و يمكن أنّه عرف من ثنايا بعض كلماتهم، كاعتذارهم من عدم الرواية عن جمع من الأصحاب بأنّهم لا يعرفون حالهم و أنّهم ثقات أو لا، و نحو ذلك من القرائن و الشواهد التي يظهر بها كونهم ملتزمين بعدم النقل من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الطائفة التي عرفت هؤلاء بأنّهم لا يروون و لا يرسلون إلا عن ثقة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جريهم على وفق التزامهم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جريهم في التوثيق وفق الموازين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إقرار الطائفة بهذين الأمرين لم يصحّ أن يقال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عرفوا بأنّهم لا يروون و لا يرسلون إلا عن ثقة، فإنّ من يلتزم قولاً بعدم الرواية إلا عن الثقات و لكن يلاحظ أنّه عملياً غير ملتزم بذلك لا يثبت هذا الوصف في حقّه من أنّه لا يروي إلا عن ثقة، و كذلك من يكون عنده خلل في موازين التوثيق كأن يوثّق رواة مشهورين بالضعف و الكذب لا يثبت بحقّه الوصف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يتّضح أنّه إذا عثر على روايات لابن أبي عمير عن أشخاص قد ضعّفوا من قبل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تلك الروايات محدودة و لم يكن ضعف أولئك الأشخاص واضحاً و مسلّماً بأن لم يكونوا من المشهورين بالضعف و الكذب لا يشكّل ذلك قرينة على عدم تماميّة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هؤلاء لا يروون و 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رواياته عن المضعَّفين كثيرة ومتداولة أو كان فيهم بعض من هو واضح الضعف بحيث تعدّ الرواية عنه كاشفة لا محالة عن عدم التزام الراوي بعدم الرواية إلا عن الثقات أو اختلال ميزان التوثيق عنده، فإنّه يعدّ قرينة على عدم تمامية الدعوى المذكورة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صفوان بن يحيى روى روايات كثيرة عن عدد من المضعَّفين ممن لا سبيل إلى القول بوثاقتهم بوجه، ولذلك لا يمكن الاعتماد على ما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صفوان ممن عرف بأنّه لا يروي و لا يرسل إلا عن ثقة، فهذه قرينة خارجية على عدم تماميّة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عدّه الفضل بن شاذان من الكذّابين المشهورين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روى عنه صفوان بن یحیی، استناداً إلى أنّ الشيخ روى في موضع من التهذيب بإسناده عن صفوان و محمد بن أبي عمير عن بريد و يونس بن ظبيان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غير ثابت؛ لأنّ صفوان بن يحيى الذي هو من الطبقة السادسة لا يروي عن بريد بلا واسطة، فإنّه من الطبقة الرابعة و قد توّفي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بقليل، فعطف اسم يونس بن ظبيان على بريد في السند المذكور شاهد على وقوع خلل فيه، أي أنّ هناك واسطة محذوفة بين صفوان و محمد بن أبي عمير وبين بريد ويونس بن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تلك الواسطة المحذوفة هو جميل بن دراج الذي توسط بين صفوان و یونس بن ظبيان في بعض الموارد، و هو ممن يروي عن بريد أيضاً، كما في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بن ظبيان هو ممن مات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ذلك من بعض روايات الكشي، وعلى ذلك فلا يمكن لصفوان الرواية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بعضاً ممن روى عنه صفوان كان له حال صلاح و استقامة، ويحتمل أنّ صفوان تحمّل عنه الحديث في حال صلاحه، ومن هؤلاء علي بن أبي حمزة 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بحوث في شرح مناسك الحج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نطيل الكلام في الأبحاث الرجالية بأزيد من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لابدّ من التذكير بأنّ طلاق الثلاث له شرح مفصّل،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الثلاث إمّا بلفظة واحدة و يعبّر عنه بالطلاق المرسل، و إمّا بألفاظ متعدّدة من غير رجعة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بألفاظ متعدّدة يقع طلاقاً واحداً إذا كانت سائر الشرائط ،محقّقة، وهذا هو المشهور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بلفظ واحد فقد وقع الخلاف في أنّه هل يقع واحداً أو لا يقع؟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الطلاق الثلاث المذكور في هذه الرواية و غيرها يعمّ كلا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ألزمته بالطلاق الثلاث؛ حيث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البعيد، وطبعاً طلاق الثلاث يكون موجباً للبينونة، و لا تحلّ إلا بعد تزويجها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محلّ الشاهد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المستخفّ بالطلاق هو المخالف، و هذا كناية عنه، فيصبح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المطلّق من المخالفين ألزمته بذلك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العلامة البلاغي في رسالته في قاعدة الإلزام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من قوله مستخفّاً بالطلاق هو كونه يدين بخفّة الطلاق من حيث الشروط، كما هو عند الجمهور</w:t>
      </w:r>
      <w:r>
        <w:rPr>
          <w:rStyle w:val="FootnoteAnchor"/>
          <w:rtl w:val="true"/>
        </w:rPr>
        <w:footnoteReference w:id="99"/>
      </w:r>
      <w:r>
        <w:rPr>
          <w:rFonts w:ascii="Amiri" w:hAnsi="Amiri" w:eastAsia="Amiri" w:cs="Amiri"/>
          <w:color w:val="111111"/>
          <w:sz w:val="28"/>
          <w:sz w:val="28"/>
          <w:szCs w:val="28"/>
          <w:rtl w:val="true"/>
          <w:lang w:bidi="ar-SA"/>
        </w:rPr>
        <w:t>، لا من يستخفّ به بإكثاره أو يتساهل في أمره على خلاف مذهبه، و لذا عدّها جماعة من أدلّة المقام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يمكن أن يقال في قبال ذلك بأنّ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يهتمّ عملاً بالطلاق و يطلّق زوجته مراراً وتكراراً، و أمّا حيثية الديانة بخفّة الطلاق فلا تظهر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واردة في مورد وردت روايات كثيرة جداً، و تلك الروايات مصرّحة بأنّ البينونة لا تحصل بطلاق الثلاث مطلقاً، سواء أكان مستخفّاً أم لم يكن، و ما في هذه الرواية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 على التقيّة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الوضع و الإلزام بما فعله عمر، و علّل عمله هذا بالاستخفاف، فتطابق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العلّة المذكورة في كلام عمر يوجب أن يقال بأنّ الرواية محمولة على التقيّة؛ و ذلك لأنّ مسألة طلاق الثلاث من المسائل الحسّاسة،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أعملوا في بيان حكم الطلاق الثلاث التورية والكتمان، بل ربما أمرَ الإمام برواية نفوذ طلاق الثلاث عنه، كما في الوسائل، عن الحسن بن محمد بن سماعة عن معاوية بن حكيم عن أبي مالك الحضرمي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إرو عنّي أنّ من طلّق امرأته ثلاثاً في مجلس واحد فقد بانت منه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كيفما كان هناك احتمالان في هذه الرواية الشريفة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يبتني عليه قاعدة الإلزام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عمّن يعتقد بنفوذ طلاق الثلاث، و هم العامة، و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الثلاث، يعني ألزمته بالبينونة؛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المطلّق ثلاثاً على غير السنّة بالبينونة إذا كان المطلّق مخالفاً، وإلزامه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إلزام العامي بمعتقده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تماميّة هذا الاحتمال تكون النتيجة مختصّة بالطلاق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إلزام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مورد خاص، و لكن هذا من باب تطبيق الكبرى الكليّة على المطلّق ثلاثاً، فإنّ كلامهم على وفق أصول علم يرثونها كابراً عن كابر، و أقرب الأصول في المقام قاعدة الإلزام، و عليه فتكون الرواية من أدلّة قاعدة الإلزام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يستخفّ بالطلاق عملاً و إن كان استخفافه على وفق مذهبه</w:t>
      </w:r>
      <w:r>
        <w:rPr>
          <w:rStyle w:val="FootnoteAnchor"/>
          <w:rtl w:val="true"/>
        </w:rPr>
        <w:footnoteReference w:id="104"/>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بما أنّه ولي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هذا الاحتمال لا تدلّ الرواية على قاعدة الإلزام، 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ذلك عقوبة لمن استخفّ بالطلاق، سواء أكان شيعياً أم غير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يقع الكلام في المتعين من الاحتمالين، فهل المتعين هو الاحتمال الأوّل أو الثاني؟ وإذا كان الثاني فلابدّ من حمل الرواية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نحن و ظاهر الرواية فلابدّ من حملها على الاحتمال الثاني؛ لأنّ مقتضى قاعدة التطابق بين اللفظ والواقع هو أنّ موضوع الإلزام و ما يترتّب عليه التالي عبارة عن نفس الاستخفاف، لا أن يكون كناية عمّن يتديّن بالطلاق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نسبة الإلزام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ولي الأمر يلزمه بذلك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الرواية يناسب الاحتمال الثاني، و أما الاحتمال الأوّل فيحتاج إلى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الاحتمال الثاني يوجب حمل الرواية على التقيّة، و الحال أنّ مقتضى أصالة الجهة</w:t>
      </w:r>
      <w:r>
        <w:rPr>
          <w:rStyle w:val="FootnoteAnchor"/>
          <w:rtl w:val="true"/>
        </w:rPr>
        <w:footnoteReference w:id="105"/>
      </w:r>
      <w:r>
        <w:rPr>
          <w:rFonts w:ascii="Amiri" w:hAnsi="Amiri" w:eastAsia="Amiri" w:cs="Amiri"/>
          <w:color w:val="111111"/>
          <w:sz w:val="28"/>
          <w:sz w:val="28"/>
          <w:szCs w:val="28"/>
          <w:rtl w:val="true"/>
          <w:lang w:bidi="ar-SA"/>
        </w:rPr>
        <w:t>أنّها لبيان حكم الله الواقعي، وأصالة الجهة مقدمة على أصالة الظهور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ردّ هذا الإشكال بأنّه لا تقدّم لأصالة الجهة على أصالة الظهور</w:t>
      </w:r>
      <w:r>
        <w:rPr>
          <w:rStyle w:val="FootnoteAnchor"/>
          <w:rtl w:val="true"/>
        </w:rPr>
        <w:footnoteReference w:id="107"/>
      </w:r>
      <w:r>
        <w:rPr>
          <w:rFonts w:ascii="Amiri" w:hAnsi="Amiri" w:eastAsia="Amiri" w:cs="Amiri"/>
          <w:color w:val="111111"/>
          <w:sz w:val="28"/>
          <w:sz w:val="28"/>
          <w:szCs w:val="28"/>
          <w:rtl w:val="true"/>
          <w:lang w:bidi="ar-SA"/>
        </w:rPr>
        <w:t xml:space="preserve">، مضافاً إلى أنّ كونها تقيّة موافق للزمن و الظروف التي كان يعيش فيها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أشرنا، الظروف لم تكن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الله الواقعي، و لم يكن يبيّن الحكم في تلك الظروف،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مائلاً إلى أن ينتشر عنه الحكم بنفوذ طلاق الثلاث،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يتحرّج من الجواب الواقعي لحكم طلاق الثلاث، و هذه الحيثيّة تؤيّد بأنّه لا مجال لأصالة الجهة في هذه الرواية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الجواب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بالعدول عن الجواب و التورية، و قد اُمرنا بفهم معاريض كلامهم</w:t>
      </w:r>
      <w:r>
        <w:rPr>
          <w:rStyle w:val="FootnoteAnchor"/>
          <w:rtl w:val="true"/>
        </w:rPr>
        <w:footnoteReference w:id="108"/>
      </w:r>
      <w:r>
        <w:rPr>
          <w:rFonts w:ascii="Amiri" w:hAnsi="Amiri" w:eastAsia="Amiri" w:cs="Amiri"/>
          <w:color w:val="111111"/>
          <w:sz w:val="28"/>
          <w:sz w:val="28"/>
          <w:szCs w:val="28"/>
          <w:rtl w:val="true"/>
          <w:lang w:bidi="ar-SA"/>
        </w:rPr>
        <w:t>، فإنّ هذا اللفظ من الألفاظ المشهورة عن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أمّا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متحرّجاً من بيان حكم الطلاق الثلاث فيدلّ عليه بعض الروايات، كمعتبرة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إرو عنّي أن من طلّق امرأته في مجلس واحد فقد بانت منه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ما وجدنا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برواية كهذه عنه، و من هذه الرواية يعرف بأنّ الظرف لم يكن مساعداً لبيان حكم الله الواقعي، بل كان مقتضياً لبيان الجواب على وفق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رواية محمد بن سعيد الأموي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ثلاثاً في مقعد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فأراه قد لزمه، و أمّا أبي فكان يرى ذلك واحدة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يعرف تحرّجه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من أجوبته المختلفة في معتبرة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رجل آخر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يرى أنّ من طلّق امرأته ثلاثاً حرمت عليه و أنا أرى أنّ من طلّق امرأته ثلاثاً على السنّة فقد بانت منه، و </w:t>
      </w:r>
    </w:p>
    <w:p>
      <w:pPr>
        <w:pStyle w:val="BookText"/>
        <w:rPr/>
      </w:pPr>
      <w:r>
        <w:rPr>
          <w:rFonts w:ascii="Amiri" w:hAnsi="Amiri" w:eastAsia="Amiri" w:cs="Amiri"/>
          <w:color w:val="111111"/>
          <w:sz w:val="28"/>
          <w:sz w:val="28"/>
          <w:szCs w:val="28"/>
          <w:rtl w:val="true"/>
          <w:lang w:bidi="ar-SA"/>
        </w:rPr>
        <w:t>رجل طلّق امرأته ثلاثاً و هي على طهر فإنما هي واحدة، و رجل طلّق امرأته ثلاثاً على غير طهر فليس بشيء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فنعرف من هذه الروايات بأنّ الظرف لم يكن مساعداً لبيان الحكم الواقعي، و لذا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متحرّجاً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انتقاؤه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العبارة شاهد على التقيّة، فلأنّ هذه العبارة ليست من الإمام، بل كلمة قالها عمر، فإنّه هو الذي نفّذ الطلاق الثلاث لما رأى استخفاف الناس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العامّة بأنّه نفّذ ذلك بلحاظ مصلحة عامة و من باب الولاية، فتأديباً لاستخفاف الناس بالطلاق أنفذ هذا الطلاق، ففي الغدير نقلاً عن مصادر متعدّدة عن ابن عباس 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سنتين من خلافة عمر طلاق الثلاث واحدة، فقال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استعجلوا في أمر قد كان لهم فيه أناة، فلو أمضيناه عليهم، فأمضاه عليهم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صحيح مسلم و سنن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في عهد عمر تتابع الناس في الطلاق فأمضاه عليهم فأجازه عليهم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سنن أبي داود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الناس قد تتابعوا فيها قال أجيزوهن عليهم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كان لكم في الطلاق أناة، و إنّه من تعجل أناة الله في الطلاق ألزمناه إياه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لزم نفسه من قال لامراته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 من قال لامراته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 و من طلّق ثلاثاً فهي ثلاث</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الجزء الثالث من فتاوى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من العلماء مثل أبي البركات يفتون بلزوم الثلاث في حالٍ دون حال كما نقل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لكونهم رأوه من باب التعزير الذي يجوز فعله بحسب الحاجة، كالزيادة على أربعين في الخمر و النفي فيه و حلق الرأس، وإمّا لاختلاف اجتهادهم، فرأوه تارة لازماً و تارة غير لازم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العبارة أو ما يشابهها من كلام عمر في مقام إعمال الولاية شاهد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الجواب الواقعي، فإنّ الجواب عن المطلقة ثلاثاً إمّا أنّه لا يقع إلا واحدة أو ليس بشيء أو تبين منه، و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الوثوق بأنّه لا مجال لأصالة الجهة في هذه الرواية، فتحمل الرواية على التقيّة، ولا يمكن الاستدلال بها لقاعدة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المطلّقات ثلاثاً؟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طلاقكم لا يحلّ لغيركم، وطلاقهم يحلّ لكم؛ لأنّكم لا ترون الثلاث شيئاً و هم يوجبونها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الفقيه</w:t>
      </w:r>
      <w:r>
        <w:rPr>
          <w:rStyle w:val="FootnoteAnchor"/>
          <w:rtl w:val="true"/>
        </w:rPr>
        <w:footnoteReference w:id="118"/>
      </w:r>
      <w:r>
        <w:rPr>
          <w:rFonts w:ascii="Amiri" w:hAnsi="Amiri" w:eastAsia="Amiri" w:cs="Amiri"/>
          <w:color w:val="111111"/>
          <w:sz w:val="28"/>
          <w:sz w:val="28"/>
          <w:szCs w:val="28"/>
          <w:rtl w:val="true"/>
          <w:lang w:bidi="ar-SA"/>
        </w:rPr>
        <w:t>و العيون</w:t>
      </w:r>
      <w:r>
        <w:rPr>
          <w:rStyle w:val="FootnoteAnchor"/>
          <w:rtl w:val="true"/>
        </w:rPr>
        <w:footnoteReference w:id="119"/>
      </w:r>
      <w:r>
        <w:rPr>
          <w:rFonts w:ascii="IRNazanin" w:hAnsi="IRNazanin" w:eastAsia="IRNazanin"/>
          <w:color w:val="111111"/>
          <w:sz w:val="28"/>
          <w:sz w:val="28"/>
          <w:szCs w:val="28"/>
          <w:rtl w:val="true"/>
          <w:lang w:bidi="fa-IR"/>
        </w:rPr>
        <w:t>و العلل</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طلاقكم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قد ذكرها الشيخ في موردين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عن أحمد بن محمد عن البرقي عن جعفر</w:t>
      </w:r>
    </w:p>
    <w:p>
      <w:pPr>
        <w:pStyle w:val="BookText"/>
        <w:rPr/>
      </w:pPr>
      <w:r>
        <w:rPr>
          <w:rFonts w:ascii="IRNazanin" w:hAnsi="IRNazanin" w:eastAsia="IRNazanin"/>
          <w:color w:val="111111"/>
          <w:sz w:val="28"/>
          <w:sz w:val="28"/>
          <w:szCs w:val="28"/>
          <w:rtl w:val="true"/>
          <w:lang w:bidi="fa-IR"/>
        </w:rPr>
        <w:t>بن محمد</w:t>
      </w:r>
      <w:r>
        <w:rPr>
          <w:rStyle w:val="FootnoteAnchor"/>
          <w:rtl w:val="true"/>
        </w:rPr>
        <w:footnoteReference w:id="121"/>
      </w:r>
      <w:r>
        <w:rPr>
          <w:rFonts w:ascii="Amiri" w:hAnsi="Amiri" w:eastAsia="Amiri" w:cs="Amiri"/>
          <w:color w:val="111111"/>
          <w:sz w:val="28"/>
          <w:sz w:val="28"/>
          <w:szCs w:val="28"/>
          <w:rtl w:val="true"/>
          <w:lang w:bidi="ar-SA"/>
        </w:rPr>
        <w:t>العلوي قال سألت أبا الحسن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المورد يروي جعفر بن محمد بن عبيد الله العلوي عن الإمام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الأشعري عن أحمد بن محمد عن جعفر بن محمد بن عبيد الله عن أبيه</w:t>
      </w:r>
      <w:r>
        <w:rPr>
          <w:rStyle w:val="FootnoteAnchor"/>
          <w:rtl w:val="true"/>
        </w:rPr>
        <w:footnoteReference w:id="123"/>
      </w:r>
      <w:r>
        <w:rPr>
          <w:rFonts w:ascii="Amiri" w:hAnsi="Amiri" w:eastAsia="Amiri" w:cs="Amiri"/>
          <w:color w:val="111111"/>
          <w:sz w:val="28"/>
          <w:sz w:val="28"/>
          <w:szCs w:val="28"/>
          <w:rtl w:val="true"/>
          <w:lang w:bidi="ar-SA"/>
        </w:rPr>
        <w:t xml:space="preserve">، و الظاهر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تصحيح الرواية متوقّف على توثيق جعفر بن محمد و أبيه، و توثيقهما مشكل، و لا سيّما جعفر بن محمد بن عبيد الله، إلا بملاحظة أنّ بعض مشايخ النجاشي قد عرّفه بالشريف الصالح</w:t>
      </w:r>
      <w:r>
        <w:rPr>
          <w:rStyle w:val="FootnoteAnchor"/>
          <w:rtl w:val="true"/>
        </w:rPr>
        <w:footnoteReference w:id="125"/>
      </w:r>
      <w:r>
        <w:rPr>
          <w:rFonts w:ascii="Amiri" w:hAnsi="Amiri" w:eastAsia="Amiri" w:cs="Amiri"/>
          <w:color w:val="111111"/>
          <w:sz w:val="28"/>
          <w:sz w:val="28"/>
          <w:szCs w:val="28"/>
          <w:rtl w:val="true"/>
          <w:lang w:bidi="ar-SA"/>
        </w:rPr>
        <w:t>أو من جهة وقوعه في أسانيد كامل الزيارات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تصحيح توثيق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أنّه من مشايخ البزنطي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الصدوق هذه الرواية في كتبه الثلاثة مرسلاً، ففي العلل نقلاً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ماجيلويه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يرد فيه 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عن جعفر بن محمد الأشعري عن أبيه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محلّ تأمّل سنداً، و مع غضّ النظر عن ذلك، ففي الرواية احتمالات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طلاقكم لا يحلّ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التعليل؛ لأنّه على وفق الحكم الواقعي؛ إذ الطلاق الصادر من الشيعي من دون مراعاة لشرائط الطلاق لا يكون نافذاً، فزوجته زوجته و إن طلّقها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طلاقهم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التعليل، و الجملة الأخيرة تعليل لهذا الحكم، أي بما أنّهم يوجبونها، فهذا يوجب الحلّية لكم و إن كنتم لا ترون الطلاق الثلاث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فالرواية تدلّ على قاعدة الإلزام؛ إذ قاعدة الإلزام عبارة عن أخذ الإمامي غير الإمامي بما يعتقده إذا كان ذلك بصالح الإمامي و كان على خلاف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تعميم قاعدة الإلزام من المورد إلى سائر الموارد محتاج إلى المقدمة الخارجية أو لضمّ بعض الروايات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طلاقهم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عناية إلى أنّ هذا الأمر بما أنّه في صالحكم فهو يحلّ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إضافة الغير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طلاقكم لا يحلّ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إلا من باب المشاكلة</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والمشاكلة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الشيء بلفظ غيره لوقوعه في صحبته تحقيقاً أو تقديراً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الإيضاح لتلخيص المفتاح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حيث سمّى تأديب الجاهل على جهله جهلاً من باب المشاكلة، مع أنّ التأديب والعقاب ليسا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الجهل هنا السّفَهُ والغضب المنافي للحلم وما ينتج عنه من أعمال غير حميدة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ابن الرّقعمق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اطبخوالي جُبَّةٌ وقميصاً</w:t>
      </w:r>
    </w:p>
    <w:p>
      <w:pPr>
        <w:pStyle w:val="BookText"/>
        <w:rPr/>
      </w:pPr>
      <w:r>
        <w:rPr>
          <w:rFonts w:ascii="Amiri" w:hAnsi="Amiri" w:eastAsia="Amiri" w:cs="Amiri"/>
          <w:color w:val="111111"/>
          <w:sz w:val="28"/>
          <w:sz w:val="28"/>
          <w:szCs w:val="28"/>
          <w:rtl w:val="true"/>
          <w:lang w:bidi="ar-SA"/>
        </w:rPr>
        <w:t>حيث طلب طبخ جبّة وقميصٍ على سبيل المشاكلة، لطلبهم أن يطبخوا له شيئاً يأكله، ودلّ بهذا على أنّه بحاجة إلى ما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القرآنية التي جاءت على المشاكلة،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مقابلة الاعتداء بمثله لا يُسمّى في الأصل اعتداءً، ولكن سوّغ هذا الإطلاق داعي المشاكلة، وليعطي اللفظ معنى المماثلة في تطبيق العقوبة دون زيادة، لأنّ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تجاوز حدود الحقّ، ومن العدل أن يُقابَل التجاوز بتجاوز مماثل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طلاقنا لا يحلّ لنا ولا لغيرنا، و</w:t>
      </w:r>
    </w:p>
    <w:p>
      <w:pPr>
        <w:pStyle w:val="BookText"/>
        <w:rPr/>
      </w:pPr>
      <w:r>
        <w:rPr>
          <w:rFonts w:ascii="Amiri" w:hAnsi="Amiri" w:eastAsia="Amiri" w:cs="Amiri"/>
          <w:color w:val="111111"/>
          <w:sz w:val="28"/>
          <w:sz w:val="28"/>
          <w:szCs w:val="28"/>
          <w:rtl w:val="true"/>
          <w:lang w:bidi="ar-SA"/>
        </w:rPr>
        <w:t xml:space="preserve">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إعمال العناية في الجملة الثانية و أنّ طلاق المخالف يحلّ لكم قال في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طلاقكم لا يحلّ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الثلاث شيئاً و هم يوجبونها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لكلّ من الحكمين، أي أنّ طلاقكم الثلاث لا يحلّ لغيركم؛ لأنّكم لا ترون الثلاث شيئاً، وطلاقهم يحلّ لكم؛ لأنّهم يوجبونها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الحليّة في المورد من الممكن أن تكون على أساس قانون آخر غير قانون الإلزام، و هذا القانون هو قانون الاحترام المتبادل فيما إذا كان بناء المجتمع المتشكّل من الأديان والمذاهب المختلفة على التعايش السلمي، فإنّ ذلك يستدعي احترام كلّ من الأطراف قانون الآخر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الممكن أن يكون هذا الحكم من أجل تغاير الفِرَق و امتياز بعضها عن بعض الذي وصل إلى الكمال في زمان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فقه العامة قد انفكّ بوضوح عن فقه الشيعة في ذلك الزمان، و هذا بخلاف زمان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 زمانهما لم يستقر مذهب العامة في مذاهب فقهية معيّنة، و البحث كان في الفقه الإسلامي، إلا أنّ لكلّ من الفقهاء نظریته و كان بين العلماء مذاكرات و مباحثات، و بعد استقرار الدولة العباسية اهتموا بالعلوم، و لا سيما الفقه، فشكّلوا مذهباً أو مذاهب في قبال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انجرّ الأمر إلى التغاير في المذهب و امتياز كلّ مذهب عن الآخر، و لذا يمكن القول بأنّ الرواية ناظرة إلى احترام كلّ فرد مذهب غيره و التعايش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احترام قانون الآخرين يقتضي أن تكون المطلّقة ثلاثاً بائناً إذا كان المطلّق مخالفاً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نعني باحترام قانون الآخرين أنّه إذا اعتبروا شيئاً في إيجاد علقة أو رفع علقة فلابدّ عليه من إتيانه، بل إنّ كلاً من الأطراف حسبما يراه على وفق مذهبه، فإن أتى بما يوجب رفع العلقة الزوجية عنده ولا يكون موجباً لرفعها عند الآخر، فاحترام قانونه بأن يرى هذه الزوجة مطلّقة، و كذلك إذا كانوا يرون شيئاً موجباً لإيجاد العلقة الزوجية، فيجب على الآخرين احترام تلك العلقة الزوجية إذا كان بناؤهم على التعايش السلمي، و ذلك لأنّ عدم الاحترام ينافي التعايش السلمي المشترك الذي هو أساس الذمة و الهدنة و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w:t>
      </w:r>
    </w:p>
    <w:p>
      <w:pPr>
        <w:pStyle w:val="BookText"/>
        <w:rPr/>
      </w:pPr>
      <w:r>
        <w:rPr>
          <w:rFonts w:ascii="Amiri" w:hAnsi="Amiri" w:eastAsia="Amiri" w:cs="Amiri"/>
          <w:color w:val="111111"/>
          <w:sz w:val="28"/>
          <w:sz w:val="28"/>
          <w:szCs w:val="28"/>
          <w:rtl w:val="true"/>
          <w:lang w:bidi="ar-SA"/>
        </w:rPr>
        <w:t>في الروايات بأنّ إتلاف خنزير أو خمر الذمي موجب للضمان</w:t>
      </w:r>
      <w:r>
        <w:rPr>
          <w:rStyle w:val="FootnoteAnchor"/>
          <w:rtl w:val="true"/>
        </w:rPr>
        <w:footnoteReference w:id="131"/>
      </w:r>
      <w:r>
        <w:rPr>
          <w:rFonts w:ascii="Amiri" w:hAnsi="Amiri" w:eastAsia="Amiri" w:cs="Amiri"/>
          <w:color w:val="111111"/>
          <w:sz w:val="28"/>
          <w:sz w:val="28"/>
          <w:szCs w:val="28"/>
          <w:rtl w:val="true"/>
          <w:lang w:bidi="ar-SA"/>
        </w:rPr>
        <w:t>مع أنّ اتلاف خنزير المسلم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أن تكون الرواية مشيرة إلى هذا القانون، كما ورد في رواية في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الفقيه سأل العلاء بن رزين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جمهور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اليوم أهل هدنة تردّ ضالتهم، و تؤدّى أمانتهم، و تحقن دماؤهم و تجوز مناکحتهم و موارثتهم في هذا الحال</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و الرواية صريحة في لزوم احترام أموالهم و دمائهم و أنكحتهم إلى غير ذلك في زمان الهدنة، و لعلّ لازم ذلك أنّ كل ما لا يعدّ رافعاً لهذه الأمور، كما إذا لم يروا الخنزير ملكاً لهم لا يوجب إتلافه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المحقق السبزواري في الكفاية هذه الرواية</w:t>
      </w:r>
      <w:r>
        <w:rPr>
          <w:rStyle w:val="FootnoteAnchor"/>
          <w:rtl w:val="true"/>
        </w:rPr>
        <w:footnoteReference w:id="133"/>
      </w:r>
      <w:r>
        <w:rPr>
          <w:rFonts w:ascii="Amiri" w:hAnsi="Amiri" w:eastAsia="Amiri" w:cs="Amiri"/>
          <w:color w:val="111111"/>
          <w:sz w:val="28"/>
          <w:sz w:val="28"/>
          <w:szCs w:val="28"/>
          <w:rtl w:val="true"/>
          <w:lang w:bidi="ar-SA"/>
        </w:rPr>
        <w:t>من روايات قاعدة الإلزام، و من ذلك يظهر أنّ قاعدة الإلزام عنده غير ما عند المتأخرين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فبما أنّكم لا ترون طلاق الثلاث شيئاً فهذا يوجب أن يكون طلاقكم غير حلال لهم، و هذا بخلاف طلاقهم، فإنّهم يرون الطلاق الثلاث موجباً للبينونة فيحل 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الثالث</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العلامة البلاغي،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المذكور تعليل للجملتين، و أنّ التعليل تعليل إقناعي، لا واقعي،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طلاقكم لا يحلّ لهم؛ لأنكم لا ترونه شيئاً، وطلاقهم يحلّ لكم؛ لأنّهم يوجبونها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إقناعياً فهو من جهة ما ذكرنا في مبحث الاحتياط من أنّ ترتب الأحكام الشرعية يتوقّف على مجرد قصد التسبيب في المعاملات، فمن كان له قصد جدي بالنسبة إلى المعاملة كفى ذلك في ترتّب الأثر الشرعي و إن كان جازماً أو شاكّاً بعدم ترتب الأثر، و 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بتعليل إقناعي و أنّ مجرد بنائهم على البينونة كاف في حصول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 مجرد بنائهم على ذلك لا يقتضي تغيّر الحكم الواقعي، وربما كان الاقتصار على التعليل بالصغرى تقيّة من حزازة التعبير بالإلزام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المقتضي لذلك هو الإلزام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طلاقكم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بألفاظ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غايته أنّه لا يقع إلا واحدة على المشهور، فهو طلاق رجعي و للزوج حقّ الرجوع في العدّة، و مجرد الطلاق غير كاف للقول بأنّها تحلّ للغير، بل الحلّية متوقّفة على انقضاء العدّة و عدم رجوع الزوج</w:t>
      </w:r>
      <w:r>
        <w:rPr>
          <w:rFonts w:eastAsia="Amiri" w:cs="Amiri" w:ascii="Amiri" w:hAnsi="Amiri"/>
          <w:color w:val="111111"/>
          <w:sz w:val="28"/>
          <w:szCs w:val="28"/>
          <w:rtl w:val="true"/>
          <w:lang w:bidi="ar-SA"/>
        </w:rPr>
        <w:t xml:space="preserve">. </w:t>
      </w:r>
      <w:bookmarkStart w:id="42" w:name="pg20251_228831"/>
    </w:p>
    <w:p>
      <w:pPr>
        <w:pStyle w:val="BookText"/>
        <w:rPr/>
      </w:pPr>
      <w:bookmarkEnd w:id="42"/>
      <w:r>
        <w:rPr>
          <w:rFonts w:ascii="Amiri" w:hAnsi="Amiri" w:eastAsia="Amiri" w:cs="Amiri"/>
          <w:color w:val="111111"/>
          <w:sz w:val="28"/>
          <w:sz w:val="28"/>
          <w:szCs w:val="28"/>
          <w:rtl w:val="true"/>
          <w:lang w:bidi="ar-SA"/>
        </w:rPr>
        <w:t>و أمّا العامة فبما أنهم يرون طلاق الثلاث نافذاً و موجباً للبينونة ولا يحقّ لهم الرجوع في العدّة فلذا مجرد طلاقهم يوجب الحلّية للغير، وعليه تكون الرواية غير دالّة على قاعدة الإلزام، بل دالّة على الحكم الواقعي من حيث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نحو كان، بناءً على الاحتمال الثاني و الرابع لا تدلّ الرواية على قاعدة الإلزام، و بناءً على الاحتمال الأوّل و الثالث لا يمكن استفادة العموم و الشمول لقاعدة الإلزام، مضافاً إلى ضعف سندها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378686_2320776876"/>
      <w:bookmarkStart w:id="44" w:name="_Toc16"/>
      <w:bookmarkEnd w:id="43"/>
      <w:r>
        <w:rPr>
          <w:rtl w:val="true"/>
        </w:rPr>
        <w:t>الطائفة الخامسة</w:t>
      </w:r>
      <w:r>
        <w:rPr>
          <w:rtl w:val="true"/>
        </w:rPr>
        <w:t>:</w:t>
      </w:r>
      <w:bookmarkEnd w:id="44"/>
    </w:p>
    <w:p>
      <w:pPr>
        <w:pStyle w:val="BookText"/>
        <w:rPr/>
      </w:pPr>
      <w:r>
        <w:rPr>
          <w:rFonts w:ascii="Amiri" w:hAnsi="Amiri" w:eastAsia="Amiri" w:cs="Amiri"/>
          <w:color w:val="111111"/>
          <w:sz w:val="28"/>
          <w:sz w:val="28"/>
          <w:szCs w:val="28"/>
          <w:rtl w:val="true"/>
          <w:lang w:bidi="ar-SA"/>
        </w:rPr>
        <w:t>وهي الروايات الواردة في الحلف بالطلاق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أحمد بن محمد بن عيسى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أصحابنا، فأتاني الجواب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أمر ابنتك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حنثه بطلاقها غير مرّة، فانظر فإن كان ممن يتولانا ويقول بقولنا فلا طلاق عليه؛ لأنّه لم يأت أمراً جهله، وإن كان ممن لا يتولانا و لا يقول بقولنا فاختلعها منه، فإنّه إنّما نوى الفراق بعينه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 لنا مناقشة فيها من جهة ابتداء الشيخ بأحمد بن محمد بن عيسى</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 وجههم، و فقيههم، غير مدافع، و كان أيضاً الرئيس الذي يلقى السلطان بها، و 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و لقي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فقد وقع في موارد متعددة و بأسانيد مختلفة، و وجه تصحيح طريق الشيخ إليه مفصّل وموكول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هو إبراهيم بن محمد الهمداني، الذي كان من الوكلاء، و قد وردت بعض الروايات في مدحه و وثاقته، إلا أنّ تلك الروايات ضعيفة، كما ذكر في المعجم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الخوئي و غيره لم يتعرّضوا لما ذكره الشيخ في التهذيب 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رواته كلّهم مطعون عليهم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 منهم إبراهيم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ذكرت من أمر ابنتك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حنثه بطلاقها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الحنث بالطلاق في قبال اليمين بالطلاق الذي يصحّ اليمين به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الحلف بالطلاق والعتاق و صدقة ما يملك من </w:t>
      </w:r>
    </w:p>
    <w:p>
      <w:pPr>
        <w:pStyle w:val="BookText"/>
        <w:rPr/>
      </w:pPr>
      <w:r>
        <w:rPr>
          <w:rFonts w:ascii="Amiri" w:hAnsi="Amiri" w:eastAsia="Amiri" w:cs="Amiri"/>
          <w:color w:val="111111"/>
          <w:sz w:val="28"/>
          <w:sz w:val="28"/>
          <w:szCs w:val="28"/>
          <w:rtl w:val="true"/>
          <w:lang w:bidi="ar-SA"/>
        </w:rPr>
        <w:t>الأمور المتداولة بينهم،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يلزمني لأفعلنّ كذا أو لا أفعلنّ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ببالي من بحث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بأنّ هذا الحلف مما جعله الحجاج لتشديد البيّنة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كشف اللثام عند توضيح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أيمان البيعة تلزمني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بفتح الباء إمّا البيعة الّتي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أيمان رتّبها الحجّاج مشتملة على الطلاق و العتاق و الصدقة و مؤكّدات كثيرة للإحلاف بها، فلما طال عليهم ذلك اجتزأوا عنها بهذه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العامة على صحّة الحلف بالطلاق و وقوع الطلاق في صورة الحنث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فمن الممكن أن يكون مراد السائل هو أنّ زوج ابنته كان يصدر منه الحلف بالطلاق و يتحقّق منه الحنث غير مرّة، فعلى مذهب العامة الطلاق واقع بالحنث،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من الشيعة فلا طلاق عليه؛ لأنّه لم يأت أمراً جهله،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بقرينة المقابلة مع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نوى الفراق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بما أنّه لم يكن معتقده فأتى بهذا اللفظ، فلا طلاق، و هذا بخلاف ممن لا يتولاه، فإنّه إنّما نوى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حنث الشيعي و غير الشيعي، إلا أنّ الإمام علّل ذلك بتعليل إقناعي، و ذلك لأنّ الشيعي حتى لو نوى فإنّه لا يقع الحلف و الطلاق؛ لأنّ الحلف بالطلاق غير مشروع، و مجرد نيّة المخالف لا أثر لها، بل لابدّ من إمضاء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فنعرف أنّ بين الشيعي و السنّي اختلافاً حكمياً في هذه المسألة، و هل الاختلاف من جهة قاعدة الإلزام أو من جهة قانون التعايش السلمي أو غيرهما؟ فلم يذكر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فاستفادة قاعدة الإلزام من الرواية مشكل، مضافاً إلى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بطلاقها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ثلاثاً في مجلس واحد من دون رجعة، لا الحلف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نحو كان لا يمكن استفادة قاعدة الإلزام منها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معاني الأخبار</w:t>
      </w:r>
      <w:r>
        <w:rPr>
          <w:rStyle w:val="FootnoteAnchor"/>
          <w:rtl w:val="true"/>
        </w:rPr>
        <w:footnoteReference w:id="140"/>
      </w:r>
      <w:r>
        <w:rPr>
          <w:rFonts w:ascii="Amiri" w:hAnsi="Amiri" w:eastAsia="Amiri" w:cs="Amiri"/>
          <w:color w:val="111111"/>
          <w:sz w:val="28"/>
          <w:sz w:val="28"/>
          <w:szCs w:val="28"/>
          <w:rtl w:val="true"/>
          <w:lang w:bidi="ar-SA"/>
        </w:rPr>
        <w:t>و عيون الأخبار</w:t>
      </w:r>
      <w:r>
        <w:rPr>
          <w:rStyle w:val="FootnoteAnchor"/>
          <w:rtl w:val="true"/>
        </w:rPr>
        <w:footnoteReference w:id="141"/>
      </w:r>
      <w:r>
        <w:rPr>
          <w:rFonts w:ascii="Amiri" w:hAnsi="Amiri" w:eastAsia="Amiri" w:cs="Amiri"/>
          <w:color w:val="111111"/>
          <w:sz w:val="28"/>
          <w:sz w:val="28"/>
          <w:szCs w:val="28"/>
          <w:rtl w:val="true"/>
          <w:lang w:bidi="ar-SA"/>
        </w:rPr>
        <w:t>، ونقلها الكشي من خط محمد بن الحسن بن بُندار القمي</w:t>
      </w:r>
      <w:r>
        <w:rPr>
          <w:rStyle w:val="FootnoteAnchor"/>
          <w:rtl w:val="true"/>
        </w:rPr>
        <w:footnoteReference w:id="142"/>
      </w:r>
      <w:r>
        <w:rPr>
          <w:rFonts w:ascii="Amiri" w:hAnsi="Amiri" w:eastAsia="Amiri" w:cs="Amiri"/>
          <w:color w:val="111111"/>
          <w:sz w:val="28"/>
          <w:sz w:val="28"/>
          <w:szCs w:val="28"/>
          <w:rtl w:val="true"/>
          <w:lang w:bidi="ar-SA"/>
        </w:rPr>
        <w:t>، و هي ما رواه الصدوق عن أبيه عن الحسن بن أحمد المالكي عن عبد الله 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زوَّجتُه ابنتي، و هو يشرب الشراب و يكثر ذكر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إخوانك فلا شيء عليه، و إن كان من هؤلاء فأبنها منه، فإنّه عنى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ينقلها المحدّث النوري عن الكشي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يمين الفراق</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والمطلّقات ثلاثاً في مجلس واحد فإنّهن ذوات أزواج؟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ممن كان من إخوانكم لا ممن كان من هؤلاء؛ إنّه من دان بدين قوم لزمته أحكامهم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ضعيفة سنداً، ولا يمكن تصحيحها؛ لأن حسن بن أحمد المالكي بهذا العنوان لم يوثّق، و اتحاده مع ثقة غير ثابت، و هكذا عبد الله بن طاووس، فإنّه أيضاً لم يوثّق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كنّا نحن وظاهر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يكثر ذكر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لحملناه على أنّه يهدّدها بالطلاق و 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ذكر الطلاق غير إنشاء الطلاق، إلا أنّ من الواضح أنّه لا يترتّب أثر على ذكر الطلاق بهذا المعنى، و لا يمكن أن يرتّب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على ذكر الطلاق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الحلف و اليمين بالطلاق بقرينة ما في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يمين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يمكن حمله على الطلاق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حال،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الشيعي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شيعياً فلا شيء عليه، و إن كان من هؤلاء فأبنها منه، فإنّه عنى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هذه الرواية أيضاً إقناعي، فإنّ الفارق لا يمكن أن يكون عنى الفراق أو لم يعنِ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 الكبرى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دان بدين قوم لزمته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الكبرى غير متّحدة مع قاعدة الإلزام؛ إذ معنى هذه الجملة أنّ من تدّين بدين جماعة و قوم يُلزم بأحكامهم وتكون أحكامهم نافذة في حقّه، و عليه فالطلاق الصادر منه يكون محكوماً بأحكام قومه، و لابدّ له من الإلتزام بتلك الأحكام في وجود الروابط أو سلبها، و هذا غير الإلزام المقصود الذي يكون في صالح الإمامي، فلا يستفاد منها قاعدة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إلزامهم بأحكامهم، ولم يذكر جهة الإلزام، وإنّما ذكرت النتيجة، و لكن هذا خلاف الظاهر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ذيل الرواية المشتمل على الكبرى قد ذكره الصدوق في الفقيه مرسلاً، و نقله الشيخ في التهذيب والاستبصار ، ففي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يدين بدين قوم لزمته أحكامهم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في الاستبصار في ميراث المجوسي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قوم دانوا بدين يلزمهم حكمه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في التهذيب أيضاً هكذا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أنّ هذه الرواية المشتملة على الكبرى من دون سبق سؤال هل يمكن الاعتماد عليها أو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قابلة للاعتماد، و ذلك من جهة أنّ الصدوق نقلها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العلامة البلاغي بأنّه من البعيد أن تكون هذه الرواية ذيل الرواية المنقولة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في الروايات السابقة عليها رواية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يبعد من الشيخ و الصدوق أن يريدا النقل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فالأقرب أنها رواية أرسلها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أنّ الصدوق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الجزم فيعتمد عليه، و هذا ما قال به بعض الأكابر من السابقين و اللاحقين، أي أنّهم فصلوا بين ما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45" w:name="pg20251_228838"/>
    </w:p>
    <w:p>
      <w:pPr>
        <w:pStyle w:val="BookText"/>
        <w:rPr/>
      </w:pPr>
      <w:bookmarkEnd w:id="45"/>
      <w:r>
        <w:rPr>
          <w:rFonts w:ascii="Amiri" w:hAnsi="Amiri" w:eastAsia="Amiri" w:cs="Amiri"/>
          <w:color w:val="111111"/>
          <w:sz w:val="28"/>
          <w:sz w:val="28"/>
          <w:szCs w:val="28"/>
          <w:rtl w:val="true"/>
          <w:lang w:bidi="ar-SA"/>
        </w:rPr>
        <w:t xml:space="preserve">وقد تكرّر منّا بأنّ الصدوق لم يكن ملتزماً بذلك، فإنّه قد يروي رواية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يرويها مرّة أخرى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المرسلة ليست بحجّة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378688_2320776876"/>
      <w:bookmarkStart w:id="47" w:name="_Toc17"/>
      <w:bookmarkEnd w:id="46"/>
      <w:r>
        <w:rPr>
          <w:rtl w:val="true"/>
        </w:rPr>
        <w:t>الطائفة السادسة</w:t>
      </w:r>
      <w:r>
        <w:rPr>
          <w:rtl w:val="true"/>
        </w:rPr>
        <w:t>:</w:t>
      </w:r>
      <w:bookmarkEnd w:id="47"/>
    </w:p>
    <w:p>
      <w:pPr>
        <w:pStyle w:val="BookText"/>
        <w:rPr/>
      </w:pPr>
      <w:r>
        <w:rPr>
          <w:rFonts w:ascii="Amiri" w:hAnsi="Amiri" w:eastAsia="Amiri" w:cs="Amiri"/>
          <w:color w:val="111111"/>
          <w:sz w:val="28"/>
          <w:sz w:val="28"/>
          <w:szCs w:val="28"/>
          <w:rtl w:val="true"/>
          <w:lang w:bidi="ar-SA"/>
        </w:rPr>
        <w:t>الطائفة السادسة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الروايات التي ورد فيها الأخذ بالتعصيب، و عمدتها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الوسائل عن الكافي عن عليّ بن إبراهيم عن أبيه عن ابن أبي عمير عن عمر بن أُُذينة عن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ترك ابنته و أُُخته لأبيه و أُمّه؟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كلّه للابنة، و ليس للأخت من الأب و الأُمّ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احتجنا إلى هذا، و الميّت رجلٌ من هؤلاء الناس، و أُخته مؤمنة عارفة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النصف لها، خذوا منهم كما يأخذون منكم في سُنّتهم و قضاياهم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 بحقّك في أحكامهم و سنتهم كما يأخذون منكم فيه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هذا من كلام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العلامة البلاغي من الرواية بأنّ البنت كانت من العامة؛ إذ الأخذ في الحقيقة من البنت، ولابدّ من التقييد بأنّ البنت لابدّ و أن تكون مكلّفة و متديّنة بمذهب هؤلاء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أوّلاً صحيح؛ إذ يعرف من الرواية بأنّ الأخت هي العارفة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أنّه يشترط في الأخذ أن تكون البنت كبيرة و متديّنة بدينهم فهذا غير صحيح؛ إذ البنت تابعة للأب، فكما أنّها تتبع الأب في الكفر و الإسلام</w:t>
      </w:r>
      <w:r>
        <w:rPr>
          <w:rStyle w:val="FootnoteAnchor"/>
          <w:rtl w:val="true"/>
        </w:rPr>
        <w:footnoteReference w:id="155"/>
      </w:r>
      <w:r>
        <w:rPr>
          <w:rFonts w:ascii="Amiri" w:hAnsi="Amiri" w:eastAsia="Amiri" w:cs="Amiri"/>
          <w:color w:val="111111"/>
          <w:sz w:val="28"/>
          <w:sz w:val="28"/>
          <w:szCs w:val="28"/>
          <w:rtl w:val="true"/>
          <w:lang w:bidi="ar-SA"/>
        </w:rPr>
        <w:t>، كذلك تتبعه في الموافقة و المخالفة، و هذا من الواضحات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معتبرة محمد بن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أهل كلّ ذي دين ما يستحلّون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الاحتمالات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مع </w:t>
      </w:r>
    </w:p>
    <w:p>
      <w:pPr>
        <w:pStyle w:val="BookText"/>
        <w:rPr/>
      </w:pPr>
      <w:r>
        <w:rPr>
          <w:rFonts w:ascii="Amiri" w:hAnsi="Amiri" w:eastAsia="Amiri" w:cs="Amiri"/>
          <w:color w:val="111111"/>
          <w:sz w:val="28"/>
          <w:sz w:val="28"/>
          <w:szCs w:val="28"/>
          <w:rtl w:val="true"/>
          <w:lang w:bidi="ar-SA"/>
        </w:rPr>
        <w:t xml:space="preserve">التحفظ على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كان أهل ذي دين،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كان محكوماً بذلك الدين بالتبع، لا بالأصالة، فما يستحلّونه في الدين يجري على أهله، و قد استعمل في اللغة بمعنى الأتباع المستضعفين من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يشترط في الأخذ أن تكون عاقلة بالغة ومتديّنة بدينهم؛ إذ الإلزام أو غير الإلزام يدور مدار أن تعدّ منهم، و لا يدور مدار اعتقادها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تكون ذات اعتقاد 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فإنّ عبد الله بن محرز لم يوثّق، و له روايات معدودة، و لعلها خمس، و قد عدّ هذه الرواية العلامة المجلسي في مرآة العقول مجهولة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عبد الله بن محرز غير موثق، إلا أنّ خصوص هذه الرواية التي رواها عمر بن أذينة عنه ثم عرضها على زرارة و 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بثبوتها، وذلك لأنّ مسلكنا حجية خبر الموثوق به، و عرض ابن أذينة، وتصديق زرارة، إمّا في قوّة رواية زرارة أو أنّ إقرار زرارة بصحتها هو القدر المتيقّن من حكم الأصحاب بتصحيح ما يصحّ عن أصحاب الإجماع الذين منهم زرارة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أذينة يقول في موارد متعدّدة من الكافي بأنّي قلت لزرارة بأنّي سمعت أشياء كثيرة في المواريث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فأنقلها لك، ما كان منها صحيحاً،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ما كان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 لا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من الروايات التي عرضت على زرارة، ففي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حدثوني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بأشياء في الفرائض، فأعرضها عليك، فما كان منها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 لا تروه و اسكت، فحدّثته بما حدّثني محمد بن مسلم، إلى آخر كلامه، فقال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الحقّ</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هو الباطل، و لكنّي سأخبرك و لا أروي لك شيئاً، و الذي أقول لك هو و الله الحق</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ملاحظة الخصوصيات يحكم بثبوت مثل هذه الرواية، و هذا في الحقيقة في حكم رواية زرارة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مفادها و أنّه هل مفادها إلزام الإمامي غير الإمامي على وفق مذهبه فيما إذا كان بصالح الإمامي حتى تفيد قاعدة الإلزام، أو أنّ مفادها عبارة عن المقاصّة النوعيّة؟ فإنّه لما كانت السلطة القضائية في تلك الأزمنة بيد المخالفين، فقوانينهم في المواريث و غيرها كانت تنفّذ على الجميع، فكانوا يأخذون من الإمامي بعنوان التعصيب، و على ضوء قانون المقاصّة النوعيّة 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منهم كما يأخذون منكم في سنّتهم و قضاياهم و </w:t>
      </w:r>
    </w:p>
    <w:p>
      <w:pPr>
        <w:pStyle w:val="BookText"/>
        <w:rPr/>
      </w:pPr>
      <w:r>
        <w:rPr>
          <w:rFonts w:ascii="Amiri" w:hAnsi="Amiri" w:eastAsia="Amiri" w:cs="Amiri"/>
          <w:color w:val="111111"/>
          <w:sz w:val="28"/>
          <w:sz w:val="28"/>
          <w:szCs w:val="28"/>
          <w:rtl w:val="true"/>
          <w:lang w:bidi="ar-SA"/>
        </w:rPr>
        <w:t xml:space="preserve">أحكامهم، فعلّة الأخذ منهم أخذهم منكم، و الشاهد على ذلك هو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يأخذون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للتعليل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مفاد الرواية هو ما ذكرنا من المقاصة النوعية، لا أن يكون مفادها إلزام الإمامي غير الإمامي فيما إذا كان الأمر في صالح الإمامي، و أنّه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في صالح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بالتعصيب، و أمّا إذا لم يكن في صالح الإمامي ولم يكن الإمامي دخيلاً فيه فهو حرام لنا أخذه بهذا العنوان، فإنّ هذه العلّة أمر مستغرب و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من المقاصّة النوعيّة لا يستفاد جواز الأخذ إذا لم يكونوا يأخذون منّا، بل الجواز منحصر بما إذا أخذوا منّا، فيجوز لنا أن نأخذ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استفادة قاعدة الإلزام من الرواية غير ممكن، و ما يستفاد منها هو قاعدة المقاصّة النوعيّة و الفقهاء لم يتعرّضوا لهذا القانون، بل اكتفوا بذكر قانون المقاصّة الشخصيّة، وسيأتي البحث عنها في التنبيهات إن شاء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من عنوان الباب الذي عنونه صاحب الوسائل من أنّ جواز الأخذ بالتعصيب من باب المداراة و التقيّة، أي أنّ الحاكم المخالف إذا حكم بالتعصيب، يجوز الأخذ به من باب المداراة و التقيّة، سواء أكان المأخوذ </w:t>
      </w:r>
    </w:p>
    <w:p>
      <w:pPr>
        <w:pStyle w:val="BookText"/>
        <w:rPr/>
      </w:pPr>
      <w:r>
        <w:rPr>
          <w:rFonts w:ascii="Amiri" w:hAnsi="Amiri" w:eastAsia="Amiri" w:cs="Amiri"/>
          <w:color w:val="111111"/>
          <w:sz w:val="28"/>
          <w:sz w:val="28"/>
          <w:szCs w:val="28"/>
          <w:rtl w:val="true"/>
          <w:lang w:bidi="ar-SA"/>
        </w:rPr>
        <w:t xml:space="preserve">منه إمامياً أم غير إمامي، و بما أنّ الأخذ من باب المداراة 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من الإمامي أم غير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الملكية، فيجب على الآخذ ردّ ذلك المال بوسيلة من الوسائل بحيث لا يكون منافياً للمداراة و التقيّة إلى أهله، و لو بجعله في صرّة وإلقاءه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الوسائل في باب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أنّه يجوز للمؤمن أن يأخذ بالعول و التعصيب و نحوها للتقيّة إذا حكم به العامة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 لعلّ مستنده في ذلك الروايتان الآتيتان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نقلاً عن التهذيب بإسناد الشيخ عن علي بن الحسن بن فضّال عن أيوب بن نوح قال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نأخذ في أحكام المخالفين ما يأخذون منّا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على 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لكم ذلك إذا كان مذهبكم فيه التقيّة و المداراة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الرواية السابقة بسند آخر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علي بن مهزيار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أحكام المخالفين ما يأخذون منّا في أحكامهم؟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لكم ذلك، إن شاء الله إذا كان مذهبكم فيه التقيّة منهم و المداراة لهم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الرواية مما رواها أيوب بن نوح و علي بن مهزیار، و كلاهما من الوكلاء، فالرواية بالسندين صحيحة و تؤيد التقية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الصدوق في الفقيه عن عطاء بن السائب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الجور فامضوا في أحكامهم و لا تشهروا أنفسكم فتقتلوا، وإن تعاملتم بأحكامنا كان خيراً لكم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للصدوق سند إلى عطاء بن السائب</w:t>
      </w:r>
      <w:r>
        <w:rPr>
          <w:rStyle w:val="FootnoteAnchor"/>
          <w:rtl w:val="true"/>
        </w:rPr>
        <w:footnoteReference w:id="164"/>
      </w:r>
      <w:r>
        <w:rPr>
          <w:rFonts w:ascii="Amiri" w:hAnsi="Amiri" w:eastAsia="Amiri" w:cs="Amiri"/>
          <w:color w:val="111111"/>
          <w:sz w:val="28"/>
          <w:sz w:val="28"/>
          <w:szCs w:val="28"/>
          <w:rtl w:val="true"/>
          <w:lang w:bidi="ar-SA"/>
        </w:rPr>
        <w:t>، و إن ناقش بعض فيه من جهة اشتماله على الحسين بن أحمد بن إدريس</w:t>
      </w:r>
      <w:r>
        <w:rPr>
          <w:rStyle w:val="FootnoteAnchor"/>
          <w:rtl w:val="true"/>
        </w:rPr>
        <w:footnoteReference w:id="165"/>
      </w:r>
      <w:r>
        <w:rPr>
          <w:rFonts w:ascii="Amiri" w:hAnsi="Amiri" w:eastAsia="Amiri" w:cs="Amiri"/>
          <w:color w:val="111111"/>
          <w:sz w:val="28"/>
          <w:sz w:val="28"/>
          <w:szCs w:val="28"/>
          <w:rtl w:val="true"/>
          <w:lang w:bidi="ar-SA"/>
        </w:rPr>
        <w:t>و الشيخ و إن رواها في التهذيب بسند آخر، إلا أنّه مخدوش من بعض الجهات</w:t>
      </w:r>
      <w:r>
        <w:rPr>
          <w:rStyle w:val="FootnoteAnchor"/>
          <w:rtl w:val="true"/>
        </w:rPr>
        <w:footnoteReference w:id="16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عطاء بن السائب محلّ تأمّل</w:t>
      </w:r>
      <w:r>
        <w:rPr>
          <w:rStyle w:val="FootnoteAnchor"/>
          <w:rtl w:val="true"/>
        </w:rPr>
        <w:footnoteReference w:id="167"/>
      </w:r>
      <w:r>
        <w:rPr>
          <w:rFonts w:ascii="Amiri" w:hAnsi="Amiri" w:eastAsia="Amiri" w:cs="Amiri"/>
          <w:color w:val="111111"/>
          <w:sz w:val="28"/>
          <w:sz w:val="28"/>
          <w:szCs w:val="28"/>
          <w:rtl w:val="true"/>
          <w:lang w:bidi="ar-SA"/>
        </w:rPr>
        <w:t>، و هو مذكور في رجال العامة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قال في مقدمة فتح الباري في سياق من طعن فيه من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السائب بن مالك الثقفي الكوفي وقيل اسم جده يزيد من مشاهير الرواة الثقات إلا أنه اختلط فضعفوه بسبب ذلك وتحصل لي من مجموع كلام الأئمة أن رواية شعبة وسفيان الثوري وزهير بن معاوية وزائدة وأيوب وحماد بن زيد عنه قبل الاختلاط وأن جميع من روى عنه غير هؤلاء فحديثه ضعيف؛ لأنه بعد اختلاطه إلا حماد بن سلمة فاختلف قولهم فيه له في البخاري حديث عن سعيد بن جبير عن ابن عباس في ذكر الحوض مقرون بأبي بشر جعفر بن أبي وحشية أحد الأثبات وهو في تفسير سورة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من عطاء بن السائب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قدمة، فسمعته يحدث ببعض ما كنت سمعته، فخلط فيه، فاتقيته و اعتزلته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السيد الخوئي بعد نقل الرواية المذكورة أعلاه في المعجم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بن السائب كان شيعياً، ويظهر مما ذكره غير واحد من علماء العامة من أنه ثقة في حديثه القديم و لكنه اختلط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العامة سابقاً ثم استبصر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روى عنه أصحاب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کلام صاحب الوسائل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رواية عبد الله بن محرز قد ورد فيها جواز الأخذ في سنتهم وقضاياهم و أحكامهم، ولم يصرّح فيها بأنّ المأخوذ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البنت في تلك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إلا أنّ في هذه الرواية اشترط جواز الأخذ بما إذا كان مذهبكم فيه التقيّة و المداراة، ففي نسخة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مذهبكم فيه التقيّة و المداراة</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و في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مذهبكم فيه التقيّة و المداراة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فجواز الأخذ إنّما هو بعنوان التقيّة والمداراة، فلو كانت رواية عبد الله بن محرز مطلقة، فهذه الرواية ناظرة إليها وحاكمة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الرواية ليست بصدد بيان جواز الأخذ بعنوان التقيّة و المداراة، بل بصدد بيان أنّه في الزمان الذي أنتم تحت سيطرتهم و بناؤكم على التقيّة والمداراة فلكم حق المقاصّة النوعيّة، و هذا بخلاف ما إذا كنتم مسيطرين عليهم، فلا يجوز الأخذ، فليس الأمر كما فهمه صاحب الوسائل من أنّ الأخذ لابدّ و أن يكون بعنوان التقيّة والمداراة، بل إنّ الحكم بالمقاصّة النوعيّة يختصّ بما إذا كانت حالتكم معهم تقتضي التقيّة والمداراة،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كان مذهبكم فيه التقيّة منهم و المداراة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كنتم تحت سيطرتهم فيجوز، وإلا فلا يجوز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صاحب الوسائل بلا ،وجه كما أنّ التمسك بهذه الرواية الشريفة لقاعدة الإلزام بلا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منها إنّما هو المقاصّة النوعيّة في الأموال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170"/>
      </w:r>
      <w:r>
        <w:rPr>
          <w:rFonts w:ascii="Amiri" w:hAnsi="Amiri" w:eastAsia="Amiri" w:cs="Amiri"/>
          <w:color w:val="111111"/>
          <w:sz w:val="28"/>
          <w:sz w:val="28"/>
          <w:szCs w:val="28"/>
          <w:rtl w:val="true"/>
          <w:lang w:bidi="ar-SA"/>
        </w:rPr>
        <w:t>ذكر المحقّق الفيض في الوافي بعد نقل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أن نأخذ حقوقنا منهم بحكم قضاتهم، كما أنّهم يأخذون حقوقهم منّا بحكم قضاتهم،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 كما إذا قدّمه الخصم إليهم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تكون الرواية مرتبطة بالرجوع إلى حكام الجور و أنّه هل يجوز أخذ حقوقنا بسبب المراجعة إليهم عند الاضطرار؟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 في حال التقيّة و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الاحتمال فالرواية أيضاً غير مرتبطة بالمقاصّة النوعيّة و لا بقاعدة الإلزام، إلا أنّ هذا خلاف ظاهر الرواية؛ إذ ظاهرها الأخذ بأحكام المخالفين، حيث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نأخذ في أحكام المخالفين ما يأخذون منّا في أحكامهم؟ أي أنّ ما يأخذون منّا بلحاظ أحكامهم هل يجوز لنا أخذه بلحاظ أحكامهم؟ و إلا يلزم لغوية الجملة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يأخذون منّا في أحكامهم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أيوب بن نوح و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المقاصّة النوعيّة، ومعهما لا نحتاج إلى رواية عبد الله بن محرز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و حدس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الوسائل نقلاً عن التهذيب بإسناده عن أحمد بن محمد عن محمد بن اسماعيل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ميّت ترك أُمه و إخوة و أخوات فتقسّمَ هؤلاء ميراثه، فأعطوا الأُُم السدس و أعطوا الإخوة والأخوات ما بقي، فمات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بعض الأخوات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فأصابني من ميراثه فأحببت أن اسألك هل يجوز لي آخذ ما أصابني من ميراثها على هذه القسمة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الميّت فيما بلغني قد دخلت في هذا الأمر أعني الدين فسكت قليلاً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الواضح أنّه على مذهب الشيعة لا ترث الإخوة والأخوات مع وجود الأم، أي أنّ ما تركه الميّت ينتقل إلى الأم،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المخالفين، فقسّموا المال على وفق مذهبهم، ثم بعد ذلك ماتت إحدى الأخوات، و كان وارثها محمد بن اسماعيل بن بزيع، 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الأخذ من الإرث الذي ورثته من أخيها،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قبيل الافتاء، ولم يذكر في الرواية أنّ هذه الفتوى من باب تطبيق أي كبرى، فلذا يحتمل في الكبرى وجوه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الإلزام،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المتوفية بما أنّها من المخالفين و ترى صحّة هذا القسيم و أنّه للإخوة والأخوات حق في </w:t>
      </w:r>
    </w:p>
    <w:p>
      <w:pPr>
        <w:pStyle w:val="BookText"/>
        <w:rPr/>
      </w:pPr>
      <w:r>
        <w:rPr>
          <w:rFonts w:ascii="Amiri" w:hAnsi="Amiri" w:eastAsia="Amiri" w:cs="Amiri"/>
          <w:color w:val="111111"/>
          <w:sz w:val="28"/>
          <w:sz w:val="28"/>
          <w:szCs w:val="28"/>
          <w:rtl w:val="true"/>
          <w:lang w:bidi="ar-SA"/>
        </w:rPr>
        <w:t>ذلك المال، لذا فإنّ محمد بن اسماعيل يُلزمها بما التزمت به، فيأخذ ما تركته بعض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الاحتمال لا شاهد له إن لم يكن مستبعداً، مضافاً إلى أنّ استفادة الكبرى الكليّة منها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النوعيّة ، كما يستفاد من رواية عبد الله بن محرز و صحيحتي أيوب بن نوح و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المأخوذ من الأم في مرحلة انتقال هذا المال إلى الوريث الآخر وهو محمد بن اسماعيل لا مانع من أخذه، فإنّ العامة كما يجرون مراحل النقل و الانتقال بالنسبة إلى الأموال المأخوذة منكم من باب التعصيب، فلكم إجراء تلك المراحل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الإقرار لا المقاصّة النوعيّة، ولا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قانون الإقرار هو عبارة عن احترام الروابط التي تحصل بين الأفراد و الأموال و بين الفرد و الفرد لذوي الأديان والمذاهب،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المال ملكاً لهم و الزوجة زوجة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بعد التقسيم الأوّل صارت الأخت مالكة لمقدار من المال بحسب الضوابط التي يملكون على وفقها أهل السنة، إلا أنّا لا نقول بصحة تلك الضوابط، و لكن احترام العلقة الموجودة بين الشخص و المال يقتضي اعتباره مالكاً لهذا المال، و لا يصحّ تطبيق الضوابط التي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المورّث كافراً و الوارث مسلماً، فإذا كانت أموال الكافر حاصلة من ثمن الخمر و الخنزير و مما لا يوجب التملّك للمسلمين و ثمنها سحت، فهنا لا يقال بعدم إرث المسلم من الكافر لأنّ أمواله حاصلة من ثمن الخمر و الخنزير، فما دام ثمن الخمر و الخنزير بحسب الضوابط يمكن أن يكون ملكاً لهم فيمكن أن يرثها المسلم فتنتقل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فاحترام رابطة الأخت مع المال هو باعتبار أنّ المال مال لها و يصحّ انتقاله منها إلى غيرها بالإرث و شبهه من أسباب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إلى هنا أنّ المحتملات في صدر الرواية ثلاثة، ولا ينحصر الأمر بقاعدة الإلزام حتى يمكن الاستدلال بهذه الرواية على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الميت فيما بلغني قد دخلت في هذا الأمر،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فسكت قليلاً،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كما ذكر العلامة البلاغي أنّ دخول الأم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موت إبنها و بعد التقسيم للمال</w:t>
      </w:r>
      <w:r>
        <w:rPr>
          <w:rStyle w:val="FootnoteAnchor"/>
          <w:rtl w:val="true"/>
        </w:rPr>
        <w:footnoteReference w:id="173"/>
      </w:r>
      <w:r>
        <w:rPr>
          <w:rFonts w:ascii="Amiri" w:hAnsi="Amiri" w:eastAsia="Amiri" w:cs="Amiri"/>
          <w:color w:val="111111"/>
          <w:sz w:val="28"/>
          <w:sz w:val="28"/>
          <w:szCs w:val="28"/>
          <w:rtl w:val="true"/>
          <w:lang w:bidi="ar-SA"/>
        </w:rPr>
        <w:t xml:space="preserve">، و لعلّ الرواية ظاهرة من أنّ تشيّعها قبل موت الأخت التي ورثها محمد بن اسماعيل بن بزيع، فيسأل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دخولها في مذهب التشيّع هل يكون مانعاً من إرثي عن بعض الأخوات، فإنّ المال حسب اعتقادنا للأم و لا ترث الأخت مع وجودها، و المفروض أنّ الأم قد تشيّعت بعد تقسيم المال،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سكوته قليلاً بجواز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الذي حكم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مبنيّاً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قد دخلت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البلوغ أعمّ من الثبوت الشرعي و غيره،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رجاء ذلك الثواب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 خبر دخولها في هذا الأمر إذا لم يكن بحجة فاستصحاب عدم دخولها يوجب كون الخبر كأن لم يكن، و لعلّ وجه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هذا الباب، أي عدم ثبوت تشيّعها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بما أنّه قد وقعت و تحقّقت، و كانت الأم في ذلك الوقت مخالفة، فالقسمة في تلك الحالة تكون نافذة حتى لو استبصرت فيما بعد، كما لو أسلم الذمي، فإنّ ما كان من معاملاته بالخمر و الخنزير محكوم بالصحّة بعد إسلامه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العلامة البلاغي من أنّ محمد بن اسماعيل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مسبوقاً بقاعدة الإلزام، وذلك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الميت فيما بلغني قد دخلت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وذلك لأنّ الرواية لا ترتبط بقاعدة الإلزام على الاحتمالين الأخيرين، مضافاً إلى أنّه من الممكن أن يكون محمد بن اسماعيل بن بزيع قد استفاد ذلك من الجواب الأوّل، فإنّه بعد ما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التقسيم و أنّه يرث بعض الأخوات، فبعد </w:t>
      </w:r>
      <w:bookmarkStart w:id="48" w:name="pg20251_228852"/>
    </w:p>
    <w:p>
      <w:pPr>
        <w:pStyle w:val="BookText"/>
        <w:rPr/>
      </w:pPr>
      <w:bookmarkEnd w:id="48"/>
      <w:r>
        <w:rPr>
          <w:rFonts w:ascii="IRNazanin" w:hAnsi="IRNazanin" w:eastAsia="IRNazanin"/>
          <w:color w:val="111111"/>
          <w:sz w:val="28"/>
          <w:sz w:val="28"/>
          <w:szCs w:val="28"/>
          <w:rtl w:val="true"/>
          <w:lang w:bidi="fa-IR"/>
        </w:rPr>
        <w:t xml:space="preserve">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فهم أنّ في البين قانوناً يمكن به الأخذ من الطرف المقابل في قبال الضوابط الأوّلية التي تمنع الأخذ في مثل هذه الصورة، و لكن ما هو هذا القانون؟ فإن الرواية لم تشر إليه، و المفروض أننا لا نعلم بأن قبل السؤال الأوّل كان عالماً بقاعدة الإلزام أو غيرها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السؤال الأوّل و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بوجود قانون في قبال القوانين الأوّلية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النتيجة إلى هنا لم نتمكن من استفادة قاعدة الإلزام على نحو الجزم بحيث تكون حجّة على نحو الكبرى الكليّة أو تكون مورداً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يستفاد من الطائفة السادسة قانون آخر، و هو قانون المقاصّة النوعيّة في الأموال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378690_2320776876"/>
      <w:bookmarkStart w:id="50" w:name="_Toc18"/>
      <w:bookmarkEnd w:id="49"/>
      <w:r>
        <w:rPr>
          <w:rtl w:val="true"/>
        </w:rPr>
        <w:t>الطائفة السابعة</w:t>
      </w:r>
      <w:r>
        <w:rPr>
          <w:rtl w:val="true"/>
        </w:rPr>
        <w:t>:</w:t>
      </w:r>
      <w:bookmarkEnd w:id="50"/>
    </w:p>
    <w:p>
      <w:pPr>
        <w:pStyle w:val="BookText"/>
        <w:rPr/>
      </w:pPr>
      <w:r>
        <w:rPr>
          <w:rFonts w:ascii="Amiri" w:hAnsi="Amiri" w:eastAsia="Amiri" w:cs="Amiri"/>
          <w:color w:val="111111"/>
          <w:sz w:val="28"/>
          <w:sz w:val="28"/>
          <w:szCs w:val="28"/>
          <w:rtl w:val="true"/>
          <w:lang w:bidi="ar-SA"/>
        </w:rPr>
        <w:t>وهي الروايات التي تطرّقت لشؤون غير المسلمين من باقي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لم يذكرها القوم هنا لكنا نذكرها لنرى أنّه هل يمكن استفادة قاعدة الإلزام منها و هل قاعدة الإلزام أو غيرها من القواعد التي أردنا تطبيقها تختص بتعاملنا مع العامة أو أنّها تعمّ سائر الأديان؟</w:t>
      </w:r>
    </w:p>
    <w:p>
      <w:pPr>
        <w:pStyle w:val="BookText"/>
        <w:rPr/>
      </w:pPr>
      <w:r>
        <w:rPr>
          <w:rFonts w:ascii="Amiri" w:hAnsi="Amiri" w:eastAsia="Amiri" w:cs="Amiri"/>
          <w:color w:val="111111"/>
          <w:sz w:val="28"/>
          <w:sz w:val="28"/>
          <w:szCs w:val="28"/>
          <w:rtl w:val="true"/>
          <w:lang w:bidi="ar-SA"/>
        </w:rPr>
        <w:t>ذهب صاحب الجواهر و جماعة إلى تعميم قانون الإلزام حتى بالنسبة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الكافر هو الكافر الذمي الذي تكون أمواله محترمة، لا مطلق الكافر الذي لا احترام لأمواله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اعترض صاحب الجواهر على ما ذكره المحقق الحلي في بحث المهور من كتاب النكاح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عقد الذميان على خمر أو خنزير صحّ؛ لأنّه </w:t>
      </w:r>
    </w:p>
    <w:p>
      <w:pPr>
        <w:pStyle w:val="BookText"/>
        <w:rPr/>
      </w:pPr>
      <w:r>
        <w:rPr>
          <w:rFonts w:ascii="Amiri" w:hAnsi="Amiri" w:eastAsia="Amiri" w:cs="Amiri"/>
          <w:color w:val="111111"/>
          <w:sz w:val="28"/>
          <w:sz w:val="28"/>
          <w:szCs w:val="28"/>
          <w:rtl w:val="true"/>
          <w:lang w:bidi="ar-SA"/>
        </w:rPr>
        <w:t>يملكانه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العقد و المهر حكماً إذا كان كذلك في دينهم، بمعنى إقرارهم على ما في أيديهم و عدم التعرّض له، وإلزامهم بما ألزموا به أنفسهم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ينبغي أن يعلم هنا أنّ ما يظهر من المصنّف و غيره من ملكيّة الكافر للخمر و الخنزير و نحوهما منافٍ لقاعدة تكليف الكافر بالفروع، و لما دلّ على عدم قابليتهما للملك شرعاً</w:t>
      </w:r>
      <w:r>
        <w:rPr>
          <w:rStyle w:val="FootnoteAnchor"/>
          <w:rtl w:val="true"/>
        </w:rPr>
        <w:footnoteReference w:id="177"/>
      </w:r>
      <w:r>
        <w:rPr>
          <w:rFonts w:ascii="Amiri" w:hAnsi="Amiri" w:eastAsia="Amiri" w:cs="Amiri"/>
          <w:color w:val="111111"/>
          <w:sz w:val="28"/>
          <w:sz w:val="28"/>
          <w:szCs w:val="28"/>
          <w:rtl w:val="true"/>
          <w:lang w:bidi="ar-SA"/>
        </w:rPr>
        <w:t>من غير فرق بين المسلم و الكافر، و عدم التعرّض لما في أيديهم من أديانهم لا يقتضي ملكيتهم ذلك في ديننا، بمعنى أنّ المسلم فيه لا يملك، بخلاف الكافر، فإنّه يملك ذلك، ضرورة منافاته لما عرفت، و لنسخ دينهم، فهو حرام عليهم، و الثمن الذي يأخذونه في مقابله حرام عليهم، و تصرّفهم فيه حرام أيضاً و إن جاز لنا تناوله منهم، و معاملته معاملة المملوك، و إجراء حكم الصحيح عليه إلزاماً لهم بما ألزموا به أنفسهم، فتأمّل جيداً، فإنّه دقيق نافع</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أنّ صاحب الجواهر يدخل المسألة في قاعدة الإلزام،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الإلزام تعمّ الكفار أيضاً، وعليه لابدّ من ملاحظة الروايات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صحة الأسباب التي يتوسّلون بها إلى حصول الملكيّة وما يلحق بها من الروابط بين الشخص و المال، ولكن هذه الأسباب غير مشروعة للمسلمين، فهل يحكم بالصحة الواقعيّة كما يظهر من عبارة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عقد الذميان على خمر أو خنزير صحّ؛ لأنّه يملكانه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أو يحكم بالصحة من حيث إنّه يصح للمسلم أن يتعامل مع الروابط الحاصلة بالأسباب المشروعة حسب الأديان الأخرى معاملة الصحة، و لابدّ من احترام هذه الروابط و تنزيلها منزلة الروابط الواقعية، لا أنّ السبب صحيح واقعاً؟ ثمّ إنّه لو استبصر الذمي يعامل مع ما صدر منه من المعاملات معاملة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الروابط الزوجية، و ما يعبّر عنها بالسبب في كتب الإرث في قبال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نتمكن استفادة قاعدة الإلزام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استفدنا قاعدة أخرى، فهل يمكن تعميهما بالنسبة إلى المخالفين أيضاً أو لا؟</w:t>
      </w:r>
    </w:p>
    <w:p>
      <w:pPr>
        <w:pStyle w:val="BookText"/>
        <w:rPr/>
      </w:pPr>
      <w:r>
        <w:rPr>
          <w:rFonts w:ascii="Amiri" w:hAnsi="Amiri" w:eastAsia="Amiri" w:cs="Amiri"/>
          <w:color w:val="111111"/>
          <w:sz w:val="28"/>
          <w:sz w:val="28"/>
          <w:szCs w:val="28"/>
          <w:rtl w:val="true"/>
          <w:lang w:bidi="ar-SA"/>
        </w:rPr>
        <w:t>و في القسم الأوّل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الواقعيّة للمعاملات الصادرة من الكفار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هذه المعاملات فاسدة بالعنوان الأوّلي، وصحيحة بالعنوان الثانوي، أي أنّها تصحّ ممّن يعتقد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فهو مشتمل على طوائف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جواز أخذ المسلم ثمن الخمر أو الخنزير الذي باعه الذمي من باب استيفاء الدين و من باب الجزية و أمثال ذلك، والقدر المتيقّن أنّ المستفاد من هذه الروايات هو معاملة الغير مع المعاملات الفاسدة الصادرة من الذمي معاملة الصحة و احترام الروابط الحاصلة لهم بعدّها ملكاً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استظهار أنّ ما يدفعه ملك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الواقع عقد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استظهاره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موهماً لصحة المعاملة إلا معتبرة محمد بن مسلم الآتية، فإنّ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الجزية في أموالهم تؤخذ من ثمن لحم الخنزير أو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الروايات فلا تدل إلا على جواز أخذ المال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أهل الذمة و ما يؤخذ من جزيتهم من ثمن خمورهم و خنازيرهم و ميتتهم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الجزية في أموالهم تؤخذ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بأنّه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الجزية في أموالهم تؤخذ من ثمن لحم الخنزير أو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الخنزير و الخمر و أشباههما يعتبر مملوكاً </w:t>
      </w:r>
    </w:p>
    <w:p>
      <w:pPr>
        <w:pStyle w:val="BookText"/>
        <w:rPr/>
      </w:pPr>
      <w:r>
        <w:rPr>
          <w:rFonts w:ascii="Amiri" w:hAnsi="Amiri" w:eastAsia="Amiri" w:cs="Amiri"/>
          <w:color w:val="111111"/>
          <w:sz w:val="28"/>
          <w:sz w:val="28"/>
          <w:szCs w:val="28"/>
          <w:rtl w:val="true"/>
          <w:lang w:bidi="ar-SA"/>
        </w:rPr>
        <w:t xml:space="preserve">لهم؛ إذ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يدلّ على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استفادة ذلك مشكل؛ لأنّ الذي يجب عليهم هو إعطاء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الجزية مجعولة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أخذ الجزية يجوز الأخذ منهم و إن كان من ثمن الخمر والخنزير، نظير ما يأخذه الشخص من باب استيفاء دينه، لا أنّ ثمن الخمر و الخنزير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المال المضاف إليهم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ذكرنا في بحث المكاسب بأنّ المال في اللغة غير المصطلح الفقهي؛ فإنّ المال في الاصطلاح الفقهي يطلق على ما كان له قيمة سوقية، و في اللغة المال بمعنى المملوك</w:t>
      </w:r>
      <w:r>
        <w:rPr>
          <w:rStyle w:val="FootnoteAnchor"/>
          <w:rtl w:val="true"/>
        </w:rPr>
        <w:footnoteReference w:id="182"/>
      </w:r>
      <w:r>
        <w:rPr>
          <w:rFonts w:ascii="Amiri" w:hAnsi="Amiri" w:eastAsia="Amiri" w:cs="Amiri"/>
          <w:color w:val="111111"/>
          <w:sz w:val="28"/>
          <w:sz w:val="28"/>
          <w:szCs w:val="28"/>
          <w:rtl w:val="true"/>
          <w:lang w:bidi="ar-SA"/>
        </w:rPr>
        <w:t>، إلا أنّ الإضافة من باب اعتقادهم بأنّه ملك لهم أو بلحاظ معاملتنا معه معاملة الملك، لا الملكية الواقعية، فاستظهار الملكية من هذه الصحيحة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يستفاد أيضاً من الرواية هو أنّ تصرفاتهم الخارجية في هذه الأعيان وزر لهم، و ذلك و ذلك من جهة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فوزر ذلك عليهم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أيضاً منها بأنّ الوزر ليس من جهة التصرّف في ملك الغير، كما في المأخوذ في العقد الفاسد، بل من جهة أنّ ثمن الخمر و الخنزير سحت، و إنّما هو حلال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مجموع هذه الأحكام المبيّنة في هذه الرواية نستكشف إمضاء نحو ملكيّة لهم، و الملكيّة كسائر الأحكام الوضعيّة مندمجة فيها الأحكام التكليفيّة على نحو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تصوير أنواع من الملكيّة كأنواع من الزوجيّة بلحاظ الأحكام المندمجة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الذمة مالكون،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انتقل إليهم، ومع ذلك تكون تصرفاتهم فيه و أخذ المال كلها سحتاً و حراماً، و لهم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إخراج هذا المال في مقام دفع الجزية فلو لم يكن هذا المال لهم و لم يكونوا مالكين له لم يكن لهم حق في دفعه للجزية، و يجوز للمسلمين أخذه من باب الجزية أو من باب استيفاء الدين و أمثال ذلك، وهذا لا ينافي حرمة تصرفهم في الثمن بما أنّه سحت، لا سيما أنّه ملك للغير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منصور،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رجل ذمي دراهم فيبيع الخمر و الخنزير و أنا حاضر فيحلّ لي أخذها؟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عليه دراهم فقضاك در اهمك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تستفاد من هذه الرواية حرمة تصرّفهم في بيع الخمر و الخنزير بما أنّه سحت</w:t>
      </w:r>
      <w:r>
        <w:rPr>
          <w:rStyle w:val="FootnoteAnchor"/>
          <w:rtl w:val="true"/>
        </w:rPr>
        <w:footnoteReference w:id="185"/>
      </w:r>
      <w:r>
        <w:rPr>
          <w:rFonts w:ascii="Amiri" w:hAnsi="Amiri" w:eastAsia="Amiri" w:cs="Amiri"/>
          <w:color w:val="111111"/>
          <w:sz w:val="28"/>
          <w:sz w:val="28"/>
          <w:szCs w:val="28"/>
          <w:rtl w:val="true"/>
          <w:lang w:bidi="ar-SA"/>
        </w:rPr>
        <w:t>، و أمّا التصرفات الأخرى فلا يستفاد حرمتها من هذه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على رجل دراهم فباع خمراً و خنازیر و هو ينظر فقضاه،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أمّا للمقتضي فحلال، و أمّا للبائع فحرام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معتبرة البزنطي عن داود بن سرحان</w:t>
      </w:r>
      <w:r>
        <w:rPr>
          <w:rStyle w:val="FootnoteAnchor"/>
          <w:rtl w:val="true"/>
        </w:rPr>
        <w:footnoteReference w:id="187"/>
      </w:r>
      <w:r>
        <w:rPr>
          <w:rFonts w:ascii="IRNazanin" w:hAnsi="IRNazanin" w:eastAsia="IRNazanin"/>
          <w:color w:val="111111"/>
          <w:sz w:val="28"/>
          <w:sz w:val="28"/>
          <w:szCs w:val="28"/>
          <w:rtl w:val="true"/>
          <w:lang w:bidi="fa-IR"/>
        </w:rPr>
        <w:t xml:space="preserve">و 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لي عليه الدراهم فيبيع بها خمراً و خنزيراً ثم يقضي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تدلّ على ما دلّت عليه صحيحته الأولى، و لكن لم يُذكر في هذه الرواية أنّ الرجل الذي باع الخمر و الخنزير كان ذمّياً أو غير ذمّي، إلا أنّه لابدّ من تقييد هذا الاطلاق بما قام عليه إجماع المسلمين من حرمة بيع الخمر و الخنزير و أنّه لا يملك المسلم الخمر و الخنزير، فتقييدها بالذمي إمّا بالقرينة الحالية أو القول بأنّ الشك في إطلاقها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تقييدها بسبب القيد المذكور في معتبرة منصور فهو غير ممكن؛ لأنّ كليهما مثبتان</w:t>
      </w:r>
      <w:r>
        <w:rPr>
          <w:rStyle w:val="FootnoteAnchor"/>
          <w:rtl w:val="true"/>
        </w:rPr>
        <w:footnoteReference w:id="189"/>
      </w:r>
      <w:r>
        <w:rPr>
          <w:rFonts w:ascii="Amiri" w:hAnsi="Amiri" w:eastAsia="Amiri" w:cs="Amiri"/>
          <w:color w:val="111111"/>
          <w:sz w:val="28"/>
          <w:sz w:val="28"/>
          <w:szCs w:val="28"/>
          <w:rtl w:val="true"/>
          <w:lang w:bidi="ar-SA"/>
        </w:rPr>
        <w:t>، مضافاً إلى أنّ القيد كان في سؤال السائل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مجموع هذه الروايات يستظهر تملك الذمي للخمر و الخنزير كما ذكر المحقق، إلا أنّ ملكيته اعتباريّة على نحو خاص، بمعنى أنّ تصرفه في الثمن حرام له و حلال للمسلمين، و له الولاية في التصرّف الاعتباري بإعطائه قضاءً لدينه أو من باب الجزية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هذه الروايات ترتيب آثار الملكية الواقعيّة سواء أكان له أم عليه، بمعنى عدم جواز إتلاف خمره أو خنزيره وإن لم يكن فيه نفع لنا أو تضييق عليه، فإنّ عدم إلزامنا الذمي بإعطاء المال المطلوب منه من غير ثمن الخمر أو الخنزير توسعة عليه كما أنّه توسعة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فيتعيّن الاحتمال الثاني، و هو احترام الروابط الحاصلة للذمي و بين الأموال و معاملتنا معها معاملة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الذمي إذا باع خمراً أو خنزيراً فأسلم جاز له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في حديث 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نصرانيين باع أحدهما من صاحبه خمراً أو خنازير، ثم أسلما قبل أن يقبض الدراهم، هل تحلّ له الدراهم؟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مرجعها إلى جواز معاملة المسلم مع المعاملة الفاسدة الواقعة منه في حال الكفر معاملة الصحة و أنّه يحكم بملكيّته الواقعيّة بعد إسلامه، و هذا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المعاملة وضعاً في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نصرانيين باع أحدهما خنزيراً أو خمراً إلى أجل فأسلما قبل أن يقبضا الثمن، هل يحلّ لهما ثمنه بعد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أيضاً تدلّ على أنه بعد الإسلام يعامل مع المعاملة الواقعة معاملة الصحّة وحاله بعد الإسلام حال سائر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الرواية منقولة من كتاب علي بن جعفر و من كتاب قرب الإسناد للحميري عن عبد الله بن الحسن، و المعروف أنّه لم يوثّق</w:t>
      </w:r>
      <w:r>
        <w:rPr>
          <w:rStyle w:val="FootnoteAnchor"/>
          <w:rtl w:val="true"/>
        </w:rPr>
        <w:footnoteReference w:id="193"/>
      </w:r>
      <w:r>
        <w:rPr>
          <w:rFonts w:ascii="Amiri" w:hAnsi="Amiri" w:eastAsia="Amiri" w:cs="Amiri"/>
          <w:color w:val="111111"/>
          <w:sz w:val="28"/>
          <w:sz w:val="28"/>
          <w:szCs w:val="28"/>
          <w:rtl w:val="true"/>
          <w:lang w:bidi="ar-SA"/>
        </w:rPr>
        <w:t>، فما يرويه قرب الإسناد عن كتاب علي بن جعفر يناقش فيه من حيث السند، و 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منقولة من كتاب علي بن جعفر، و هو و إن وصل إلى المتأخرين عن طريق الإجازات، و لكن إجازة المتأخرين تنتهي إلى الفهرست، و للشيخ سند صحيح إلى كتاب علي بن جعفر، و عليه فلا يناقش في سندها، إلا أنّ تصحيح الرواية بهذا النحو بضمّ الإجازات إلى الأسانيد الموجودة في الفهرست محل تأمّل عندنا و إن صحّحه المعروف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علي بن جعفر منقول في البحار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ضمان المسلم إذا أتلف خنزير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غياث عن جعفر عن أبيه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ضمّن رجلاً أصاب خنزيراً لنصراني</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من هذه الرواية بأنّ النصراني مالك واقعاً للخنزير، إلا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يدلّ بأنّ هذا التضمين من جهة ارتكاب المسلم خلاف </w:t>
      </w:r>
    </w:p>
    <w:p>
      <w:pPr>
        <w:pStyle w:val="BookText"/>
        <w:rPr/>
      </w:pPr>
      <w:r>
        <w:rPr>
          <w:rFonts w:ascii="Amiri" w:hAnsi="Amiri" w:eastAsia="Amiri" w:cs="Amiri"/>
          <w:color w:val="111111"/>
          <w:sz w:val="28"/>
          <w:sz w:val="28"/>
          <w:szCs w:val="28"/>
          <w:rtl w:val="true"/>
          <w:lang w:bidi="ar-SA"/>
        </w:rPr>
        <w:t>قوانين الذمة، فبما أنّ النصراني كان في ذمّة المسلمين لا يجوز إتلاف ما يراه ملكاً له، و أمّا كونه مالكاً واقعاً وتصرفاته فيه حلال فلا يستفاد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حكم ما لو جعل الذمي أو أهل الحرب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أو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النصراني يتزوّج النصرانية على ثلاثين دنّاً خمراً وثلاثين خنزيراً، ثمّ أسلما بعد ذلك، و لم یکن 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كم قيمة الخنازير، و كم قيمة الخمر، و يرسل به إليها، ثمّ يدخل عليها و هما على نكاحها الأوّل</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معتبرة عندنا؛ لأنّه ليس في سندها من يكون محلّ تأمل إلا قاسم بن محمد الجوهري، و بما أنّ ابن أبي عمير يروي عنه، و روايته و رواية صفوان و البزنطي من أمارات الوثاقة عندنا، فعليه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هذه الرواية رواية طلحة حيث إنّ مفادها أنّ المهر يتبدّل إلى مهر المثل</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لسنا فعلاً بصدد بيان حكم هذا الفرع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الروايات التي يمكن الاستدلال بها للصحة الواقعية للارتباطات بين الكفار و الأموال، وظهر بأنّه لا يستفاد من هذه الروايات الملكيّة الواقعية، بل المستفاد منها أنّ المسلمين و كذلك الكفار بعد إسلامهم يعاملون مع المعاملات الصادرة منهم معاملة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فتبيّن أنّ الحق مع صاحب الجواهر حيث ذهب إلى الملكية التنزيلية في قبال المحقّق حيث إنّ ظاهر كلامه في الشرائع هو الملكية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مبني على أنّ الكفّار مكلّفون بالفروع، و أمّا إذا قلنا بأنّهم ليسوا مكلّفين بالفروع كما ذهب إليه صاحب الحدائق</w:t>
      </w:r>
      <w:r>
        <w:rPr>
          <w:rStyle w:val="FootnoteAnchor"/>
          <w:rtl w:val="true"/>
        </w:rPr>
        <w:footnoteReference w:id="198"/>
      </w:r>
      <w:r>
        <w:rPr>
          <w:rFonts w:ascii="Amiri" w:hAnsi="Amiri" w:eastAsia="Amiri" w:cs="Amiri"/>
          <w:color w:val="111111"/>
          <w:sz w:val="28"/>
          <w:sz w:val="28"/>
          <w:szCs w:val="28"/>
          <w:rtl w:val="true"/>
          <w:lang w:bidi="ar-SA"/>
        </w:rPr>
        <w:t>و بعض المتأخرين</w:t>
      </w:r>
      <w:r>
        <w:rPr>
          <w:rStyle w:val="FootnoteAnchor"/>
          <w:rtl w:val="true"/>
        </w:rPr>
        <w:footnoteReference w:id="199"/>
      </w:r>
      <w:r>
        <w:rPr>
          <w:rFonts w:ascii="Amiri" w:hAnsi="Amiri" w:eastAsia="Amiri" w:cs="Amiri"/>
          <w:color w:val="111111"/>
          <w:sz w:val="28"/>
          <w:sz w:val="28"/>
          <w:szCs w:val="28"/>
          <w:rtl w:val="true"/>
          <w:lang w:bidi="ar-SA"/>
        </w:rPr>
        <w:t>فلا وجه لحمل هذه الروايات على ما تقدّم، بل تحمل على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محلّ 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وفاقاً للمشهور هو أنّ الكفار مكلّفون بالفروع، أي أنّ أحكام الإسلام ثابتة لجميع الأفراد، و لا تختصّ ببعض دون بعض، و مستند صاحب الحدائق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أجمعين رسولاً و حجة الله على جميع خلقه في أرضه، فمن آمن بالله و بمحمد رسول الله و اتبعه وصدّقه فإنّ معرفة الإمام منّا واجبة عليه، و من لم يؤمن بالله وبرسوله ولم يتبعه ولم يصدّقه و يعرف حقّهما، فكيف يجب عليه معرفة الإمام و هو لا يؤمن بالله و رسوله و يعرف حقّهما؟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لزوم معرفة الإمام فرع الإسلام، فالفروع بطريق أولى تكون فرعاً، و لا يجب عليهم الفروع و ليس الكافر مكلّفاً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لا تدلّ على عدم كون الكفار مكلفين بالفروع؛ إذ الأحكام الفرعيّة ذات أنواع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يقتضيه الإيمان بالله و رسوله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به من الأحكام صادق، و نحن نلتزم به و مرجع لزوم معرفة الله ومعرفة الرسول و الإيمان بهما إلى تصديق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و أمّا معرفة الإمام و الأحكام الصادرة من الإمام من باب الولاية، فهي في الرتبة المتأخرة من الإيمان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تأخر اشتراط معرفة الإمام عن الإسلام لا يقتضي أن لا يكون الكافر مكلّفاً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 أن تكون الأحكام أيضاً في الرتبة المتأخرة عن الإسلام و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الناس، بل يقتضي أن يكون الجميع مكلّفاً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أنواع متعددة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يدركها الجميع بلحاظ الضمير و الوجدان الفطري، و هذه الأحكام هي التي عبّرنا عنها في بحث الأصول بالأحكام الفطرية،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الكفار مكلّفون بهذه الأحكام الفطريّة بمقتضى الضمير و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المشتركة بين الإسلام وسائر الأديان السماوية، و قد أوضحنا في بعض المباحث الأصولية بأنّ الدين عند الله من أوّل الأمر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الأديان مشتركة في الأصول و أصول الفروع كما تدلّ عليه الروايات، مثل ما ورد من أنّ الخمر كان محرّماً في جميع الأديان، و هكذا بالنسبة إلى فرض الصيام،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يتصوّر النسخ في مثل هذه الأحكام، فهم مكلّفون بهذه الفروع بحسب دينهم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 الأَحْبَارُ عَنْ قَوْهِمُ الإِثْمَ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محرّماً عليهم قول الإثم وأكل السحت لما ذمّهم الله، و هذه الأحكام من الأحكام التي تشترك فيها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المختّصة بالإسلام و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لزوم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تصديقه فيما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المتفرّعة على الإسلام، و هي لزوم معرفة الإمام و ما يترتّب عليها من الأحكام الولائية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الحقّ مع المشهور حيث ذهبوا إلى أنّهم مكلّفون بالفروع، أي أنّه يحرم عليهم الخمر و لحم الخنزير إلى غير ذلك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بعدم كونهم مكلّفين بالفروع، ولكن مع ذلك لا يمكن الحكم بصحة المعاملات الصادرة منهم بالأسباب الفاسدة، وإلا لزم انحلال الشرع بشرعين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لمن آمن بالله و رسوله، و شرع لمن لم يؤمن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معناه أنّ الإسلام قد أمضى شرائعهم المنسوخة ما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فاسد و لا يمكن الالتزام به، و لذا لا يمكن الالتزام بصحة معاملاتهم صحة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التحفّظ بأنّهم مكلّفون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معاملة المسلمين مع معاملاتهم معاملة الصحة، و لو لم يكونوا مكلّفين بالفروع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فوزر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الروايات، تدلّ على ما ذكرنا سيرة المسلمين و نفس كونهم في ذمة المسلمين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صدر الإسلام و من زمان سيطرة المسلمين على البلاد كان فيها جماعة كثيرة من النصارى و اليهود والمجوس، و كثير من الكفار كانوا مشتركين في كثير من الشؤون الاقتصادية و الزراعية و أمثالها، والمسلمون كانوا يتعايشون معهم بحسب عقد الذمة تعايشاً سلمياً، بل ربما كان المسلمون يتعاونون معهم تعاوناً اقتصادياً، فمثلاً جميع الأراضي الخراجية التي للمسلمين </w:t>
      </w:r>
    </w:p>
    <w:p>
      <w:pPr>
        <w:pStyle w:val="BookText"/>
        <w:rPr/>
      </w:pPr>
      <w:r>
        <w:rPr>
          <w:rFonts w:ascii="Amiri" w:hAnsi="Amiri" w:eastAsia="Amiri" w:cs="Amiri"/>
          <w:color w:val="111111"/>
          <w:sz w:val="28"/>
          <w:sz w:val="28"/>
          <w:szCs w:val="28"/>
          <w:rtl w:val="true"/>
          <w:lang w:bidi="ar-SA"/>
        </w:rPr>
        <w:t>كانت في أوّل الأمر بيد أربابها من صغار الدهاقين من الكفار، و المسلمون كانوا يأخذون منهم بعنوان الخراج و المقاسمة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التعايش السلمي لا يمكن إلا مع احترام كلّ قوم الروابط المالية المحترمة عند قوم آخرين، و 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الإلزام، بل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الإقرار أو قانون الذمام، فلو لم تكن تلك الروايات التي استدلّ بها لقاعدة الإلزام، أو قلنا بأنّها ضعيفة و لا يمكن الاستدلال بها، كفتنا هذه الروايات الخاصة و السيرة القطعيّة لجواز الأخذ منهم و 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من الروايات فهو ما يكون متكفّلاً لبيان حكم الزوجية للكفّار قبل إسلامهم و بعد إسلامهم و في مقام ربط شخص بشخص آخر الذي نعبّر عنه بالزوجيّة، والاحتمالان السابقان اللذين أشرنا إليهما في القسم الأول موجودان في هذا القسم أيضاً، أي أنّه يحتمل أن يكون زواج الكفّار زوجية صحيحة، و يحتمل أن تكون صحة زواجهم من قبيل صحة معاملاتهم، أي أنّه يعامل مع المتزوّجة منهم معاملة المرأة المتزوّجة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ذكر روايات هذا القسم حتى نرى أي الاحتمالين هو المتعيّن، فنقول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روايات تدلّ على أنّ لكلّ قوم نكاح، فربما يستدلّ بها على صحة نكاحهم و ترتيب جميع الآثار، فلو نكح مجوسي بنته فهذا نكاح صحيح، إلا أنّه </w:t>
      </w:r>
    </w:p>
    <w:p>
      <w:pPr>
        <w:pStyle w:val="BookText"/>
        <w:rPr/>
      </w:pPr>
      <w:r>
        <w:rPr>
          <w:rFonts w:ascii="Amiri" w:hAnsi="Amiri" w:eastAsia="Amiri" w:cs="Amiri"/>
          <w:color w:val="111111"/>
          <w:sz w:val="28"/>
          <w:sz w:val="28"/>
          <w:szCs w:val="28"/>
          <w:rtl w:val="true"/>
          <w:lang w:bidi="ar-SA"/>
        </w:rPr>
        <w:t>لا يمكن الاستدلال بهذه الروايات لإثبات صحّة أنكحتهم، بل مفادها ترتيب آثار 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رجل مجوسياً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ينكح أمه و أخته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عندهم نكاح في دینه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تدلّ على عدم جواز قذفهم و أنّ هذا نكاح في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أنّ في كلّ دين من الأديان فصلاً بين السفاح و النكاح، إلا أنّ نكاح كلّ قوم يختلف في الشؤون والشروط عن نكاح قومٍ آخرين، 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أنّ هذا النكاح نکاح معترف به عندنا، بل نكاح في دينه و على وفق مذهبه، فبما أنّ هذا نكاح في دينه فيرتّب عليه بعض الآثار كانتساب الولد إليه وترتيب آثار الإرث، فلا تقتضي الرواية صحة الزواج و الاستمتاع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روايات أُُخر تشبه هذه الرواية كرواية ابن أبي عمير عن أبي الحسن الحذاء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تستفاد من هذه الروايات الصحة الواقعية 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رواية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فربما يتوهم من </w:t>
      </w:r>
      <w:bookmarkStart w:id="51" w:name="pg20251_228869"/>
    </w:p>
    <w:p>
      <w:pPr>
        <w:pStyle w:val="BookText"/>
        <w:rPr/>
      </w:pPr>
      <w:bookmarkEnd w:id="51"/>
      <w:r>
        <w:rPr>
          <w:rFonts w:ascii="IRNazanin" w:hAnsi="IRNazanin" w:eastAsia="IRNazanin"/>
          <w:color w:val="111111"/>
          <w:sz w:val="28"/>
          <w:sz w:val="28"/>
          <w:szCs w:val="28"/>
          <w:rtl w:val="true"/>
          <w:lang w:bidi="fa-IR"/>
        </w:rPr>
        <w:t xml:space="preserve">هذه الرواية بأن كل من ميّز السفاح من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أغلب الناس، و لعلّه لم يوجد أو قَلَّ ما يوجد قوم لم يكن لهم سفاح 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فنكاحهم ممضى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الرواية ضعيفة سنداً من جهة علي بن أبي حمزة، مضافاً إلى أنّها لا تدلّ على الصحة من جميع الجهات، بل تدلّ على ترتّب آثار الصحة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5378692_2320776876"/>
      <w:bookmarkStart w:id="53" w:name="_Toc19"/>
      <w:bookmarkEnd w:id="52"/>
      <w:r>
        <w:rPr>
          <w:rtl w:val="true"/>
        </w:rPr>
        <w:t>اقوال الفقهاء في الزوجية الواقعة بين الكفار</w:t>
      </w:r>
      <w:bookmarkEnd w:id="53"/>
    </w:p>
    <w:p>
      <w:pPr>
        <w:pStyle w:val="BookText"/>
        <w:rPr/>
      </w:pPr>
      <w:r>
        <w:rPr>
          <w:rFonts w:ascii="Amiri" w:hAnsi="Amiri" w:eastAsia="Amiri" w:cs="Amiri"/>
          <w:color w:val="111111"/>
          <w:sz w:val="28"/>
          <w:sz w:val="28"/>
          <w:szCs w:val="28"/>
          <w:rtl w:val="true"/>
          <w:lang w:bidi="ar-SA"/>
        </w:rPr>
        <w:t>و للأصحاب في روابط الكفار الزوجية نظريات تظهر من كلماتهم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الزوجية بسبب فاسد أو الزوجية في غير المورد توجب الزوجية الواقعية لهم؛ تمسكاً بالإطلاقات، و أنّ الأدلّة التي ترتّب الآثار على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الزوج بالنسبة إلى الزوجة و وظائف الزوجة بالنسبة إلى الزوج و إرث كلّ منهما من الآخر و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الزوجية التي في سائر الأديان، فتكون هذه الزوجية زوجية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ليست بزوجية ،واقعيّة، إلا أنّه يترتّب عليها بعض أحكام الزوجية في الشريعة المقدّسة، أي أنّ الزوجيّة زوجيّة تنزيلية بلحاظ بعض الآثار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الزوجيّة تعتبر ملغاة ولا يترتّب عليها شيء من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النظرية الأولى و القول بأنّ هذه الزوجيّة زوجيّة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يظهر من كلام الشيخ في كتاب الخلاف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كتاب الخلاف في باب ميراث المجوس بأنّ الزوجية الفاسدة موجبة للإرث، واستدلّ على ذلك في الخلاف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وَوَرِثَهُ أَبَوَاهُ فَلأُمِّهِ الثَّلْتُ</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فجعل للأم الثلث، و للأخت النصف 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أَزْوَاجُكُمْ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 كلّ ذلك عام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هذه الأنساب و الأسباب و إن كانا غير جائزين في شريعة الإسلام فهما جائزان عندهم و يعتقدون أنّه مما يستحلّ به الفروج و لا تستباح بغيره، فجرى مجرى العقد في شريعة الإسلام، ألا ترى إلى ما روي أنّ رجلاً سبّ مجوسيّاً بحضرة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و نهاه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تزوّج بأمّه،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النظرية مما لا يمكن الالتزام بها و ضعيفة و ذلك لأنّ الزوجية من الأحكام الوضعيّة و أسباب حصول الزوجيّة مما تختلف باختلاف الأديان و الملل، و ما يكون سبباً للزوجيّة بحسب الدين الآخر لا يكون له قيمة عند الشرع </w:t>
      </w:r>
    </w:p>
    <w:p>
      <w:pPr>
        <w:pStyle w:val="BookText"/>
        <w:rPr/>
      </w:pPr>
      <w:r>
        <w:rPr>
          <w:rFonts w:ascii="Amiri" w:hAnsi="Amiri" w:eastAsia="Amiri" w:cs="Amiri"/>
          <w:color w:val="111111"/>
          <w:sz w:val="28"/>
          <w:sz w:val="28"/>
          <w:szCs w:val="28"/>
          <w:rtl w:val="true"/>
          <w:lang w:bidi="ar-SA"/>
        </w:rPr>
        <w:t>الإسلامي، و الأحكام المترتّبة على الزوجيّة تترتّب بعنوان الزوجية التي هي ممضاة عند الشارع لا على كلّ زوجيّة و إن كانت الزوجيّة مما لم يمضها الشارع بأن كانت مقرونة بالمانع، فإنّ اعتبار الشارع المقدّس بعض الأمور مانعاً في الزوجية يعني عدم اعتبار الشارع المقدّس لتلك العلقة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ترتّب بعض الأحكام على زيجاتهم لابدّ و أن يكون بسبب دليل آخر يكون حاكماً على تلك الأدلّة المشار إليها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أنّه لا يمكن التمسك بإطلاق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الزوجية الواقعيّة للكفّار؛ وذلك لأنّ موضوع الحكم إن كان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الملكية و الزوجيّة و الطهارة و النجاسة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منصرفاً إلى ما تعترف به هذه الشريعة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النظرية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زوجيّة تنزيلية، بمعنى أنّه يترتّب على هذه الزوجيّة بعض أحكام الزوجيّة، وهذا ما ذهب إليه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الجواهر في باب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المجوسي قد ينكح المحرمات عند المسلمين بشبهة اعتقاده في دينه و قد ينكح المحلّلات له في دين الإسلام فيحصل له بذلك النسب الصحيح و الفاسد و السبب الصحيح و الفاسد، و نعني بالفاسد ما يكون عن نكاح محرّم عندنا لا عندهم، كما إذا نكح أمه و أولدها، فنسب الولد فاسد عندنا و سبب زوجيّتها فاسد عندنا و إن كان هو صحيحاً صحة معاملة، بمعنى ترتب بعض الآثار عليه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النظرية لها عقد سلبي و عقد إيجابي، أمّا العقد السلبي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هذه الزوجيّة و النسب، بمعنى أنّ الشارع لم يحكم بالزوجيّة،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بلحاظ عقدها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ترتّب بعض الآثار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يحتاج إلى إقامة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النظرية الثالثة فهي تستفاد من كلام صاحب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إثبات ترتّب بعض آثار الزوجية الصحيحة على هذه الزوجية و لو بنحو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كان ردّاً للنظرية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الاستدلال به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استدلّ بها الشيخ، من قبيل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أشرنا أنّ هذه الروايات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القدر المتيقّن فيه هو أنّه ليس للغير قذفهم بلحاظ وقوع الزوجيّة الفاسدة، إلا أنّه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الكلام في مفاد هذه الجملة، فهل مفاد هذه الروايات و هذا التعليل هو عدم جواز القذف و أشباهه أو أن مفادها يعمّ سائر الآثار؟</w:t>
      </w:r>
    </w:p>
    <w:p>
      <w:pPr>
        <w:pStyle w:val="BookText"/>
        <w:rPr/>
      </w:pPr>
      <w:r>
        <w:rPr>
          <w:rFonts w:ascii="Amiri" w:hAnsi="Amiri" w:eastAsia="Amiri" w:cs="Amiri"/>
          <w:color w:val="111111"/>
          <w:sz w:val="28"/>
          <w:sz w:val="28"/>
          <w:szCs w:val="28"/>
          <w:rtl w:val="true"/>
          <w:lang w:bidi="ar-SA"/>
        </w:rPr>
        <w:t>لا ريب أنّ هذه الروايات ترتّب أثر عدم جواز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عدم جواز القذف روايات كثيرة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الله بن 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كذا و كذا؛ فإنّ لكل قوم نكاحاً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استفادة الإطلاق من هاتين الروايتين بلحاظ التعليل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روايتان ربما يتوهم منهما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 هذه الرواية 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ليس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فنكاحهم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اعتبر زوجيّتهم زوجيّة قانونية بلحاظ ترتّب جميع الآثار حتى بلحاظ عدم الحرمة عليهم؛ وذلك لأنّهم مكلفون بالفروع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فنكاحهم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لهم ترتّب الأحكام التي لم يثبت عدم جواز ترتّبها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هذه الرواية في سندها علي بن أبي حمزة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الناصب وكلّ شيء يملكه حلال لك إلا امرأته، فإنّ نكاح أهل الشرك جائز، و </w:t>
      </w:r>
    </w:p>
    <w:p>
      <w:pPr>
        <w:pStyle w:val="BookText"/>
        <w:rPr/>
      </w:pPr>
      <w:r>
        <w:rPr>
          <w:rFonts w:ascii="Amiri" w:hAnsi="Amiri" w:eastAsia="Amiri" w:cs="Amiri"/>
          <w:color w:val="111111"/>
          <w:sz w:val="28"/>
          <w:sz w:val="28"/>
          <w:szCs w:val="28"/>
          <w:rtl w:val="true"/>
          <w:lang w:bidi="ar-SA"/>
        </w:rPr>
        <w:t xml:space="preserve">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فإنّ لكلّ قوم نكاحاً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مرسلة و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ميراث المجوس، فقد روى الشيخ بإسناده عن محمد بن أحمد بن يحيى عن بنان بن محمد عن أبيه عن ابن المغيرة عن السكوني عن جعفر</w:t>
      </w:r>
      <w:r>
        <w:rPr>
          <w:rStyle w:val="FootnoteAnchor"/>
          <w:rtl w:val="true"/>
        </w:rPr>
        <w:footnoteReference w:id="218"/>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يورّث المجوسي إذا تزوج بأمّه و بابنته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أنّها أمه، و وجه أنّها زوجته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مما رواها الصدوق بسنده عن السكوني، إلا أنّه على المشهور يناقش في سندها من جهة أنّ في سند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محمد، و هو أخو أحمد بن محمد بن عيسى،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يزيد النوفلي، و هو أيضاً لم يرد فيه توثيق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معتبرة من جهة أنّها من جملة روايات السكوني، والإجماع الذي ذكره الشيخ في العدّة من العمل برواية السكوني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إنّ غالب رواياته بطريق النوفلي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للوثوق بهذه الرواية، و من البعيد أن يكون الإجماع خاصاً بقسم معيّن من رواياته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جهة أنّ بنان بن محمد من الذين روى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من المستثنيات</w:t>
      </w:r>
      <w:r>
        <w:rPr>
          <w:rStyle w:val="FootnoteAnchor"/>
          <w:rtl w:val="true"/>
        </w:rPr>
        <w:footnoteReference w:id="222"/>
      </w:r>
      <w:r>
        <w:rPr>
          <w:rFonts w:ascii="Amiri" w:hAnsi="Amiri" w:eastAsia="Amiri" w:cs="Amiri"/>
          <w:color w:val="111111"/>
          <w:sz w:val="28"/>
          <w:sz w:val="28"/>
          <w:szCs w:val="28"/>
          <w:rtl w:val="true"/>
          <w:lang w:bidi="ar-SA"/>
        </w:rPr>
        <w:t>، و لا نقول بأنّ مجرد عدم الاستثناء يدلّ على اعتبار الراوي، بل نقول بأنّ نفس عدم الاستثناء مع تفحّص ابن الوليد و الصدوق و غيرهما يدلّ على اعتبار الرواية، فتحصل درجة من الاعتبار و الوثوق بالرواية، مضافاً إلى أنّها مؤيّدة بما نقل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يورّث المجوسي إذا تزوّج بأمه أو أخته أو ابنته من وجهين بوجه القرابة و بوجه الزوجية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إذ تعبيره بالمشهور موجب لمزيد من الاطمئنان برواية السكوني، و من الواضح أنّ مسلكنا هو حجيّة خبر </w:t>
      </w:r>
    </w:p>
    <w:p>
      <w:pPr>
        <w:pStyle w:val="BookText"/>
        <w:rPr/>
      </w:pPr>
      <w:r>
        <w:rPr>
          <w:rFonts w:ascii="Amiri" w:hAnsi="Amiri" w:eastAsia="Amiri" w:cs="Amiri"/>
          <w:color w:val="111111"/>
          <w:sz w:val="28"/>
          <w:sz w:val="28"/>
          <w:szCs w:val="28"/>
          <w:rtl w:val="true"/>
          <w:lang w:bidi="ar-SA"/>
        </w:rPr>
        <w:t>الموثوق به، لا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ذلك في مفتاح الكرامة عن العامة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كيفما كان، من يقول باعتبار هذه الرواية سنداً يمكنه الافتاء على طبقها، و من يناقش فيه يمكنه الافتاء أيضاً على وفقها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الرواية معتبرة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الكلام في دلالتها، و غير بعيد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بمعنی أنّه يستحلّ عليهم فيما بينهم ما يستحلّونه على أهلهم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ظهر مما ذكر بأنّ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أو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الزوجيّة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بعض الأدّلة الدالّة على إقرارهم على روابطهم الزوجية في حال كفرهم و قبل إسلامهم، ولا شكّ في ترتب بعض الآثار، كعدم جواز تزويج زوجة النصراني مثلاً، و هذا مما يقتضيه التعايش السلمي مع أهل الذمّة، فكما لا يجوز التعرّض لأموالهم و ما يرونه ملكاً لأنفسهم كذلك لا يجوز التعرّض لزوجاتهم على نحو الموجبة الجزئية حيث يمكن القول بترتّب بعض الآثار على زوجاتهم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أسلم الكافر، سواء أكان ذمياً أم غير ذمي، وسواء أكان مشركاً أم لم يكن، فلا إشكال بحسب سيرة المسلمين و الشواهد الكثيرة من الروايات أنّه يقرّ على زواجه السابق ما لم يكن مقروناً بالمانع بقاءً، أي فيما إذا لم يكن مانع من </w:t>
      </w:r>
    </w:p>
    <w:p>
      <w:pPr>
        <w:pStyle w:val="BookText"/>
        <w:rPr/>
      </w:pPr>
      <w:r>
        <w:rPr>
          <w:rFonts w:ascii="Amiri" w:hAnsi="Amiri" w:eastAsia="Amiri" w:cs="Amiri"/>
          <w:color w:val="111111"/>
          <w:sz w:val="28"/>
          <w:sz w:val="28"/>
          <w:szCs w:val="28"/>
          <w:rtl w:val="true"/>
          <w:lang w:bidi="ar-SA"/>
        </w:rPr>
        <w:t>تزويجها لو أراد التزويج بها فعلاً، و أمّا إذا كان مقروناً بالمانع كما إذا كانت من يريد تزويجها من المحرّمات بالنسب أو الرضاع أو المصاهرة فلا يحكم ببقاء الزوجية، نظير عدم تملك المسلم للخمر و الخنزير، فإنه لو أسلم الكافر و كان في أمواله الخمر و الخنزير يسقطان عن المالية، كذلك إذا أسلم تسقط زوجيّة من كانت زوجيته مقرونة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تكن مقرونة بالمانع بقاءً فسواء أكان في مرحلة الحدوث مقرونة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عنده أحد الأختين ثم تزوّج بالأخرى أو تزوّج بهما معاً، و قبل أن يسلم ماتت إحداهما أو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تكن مقرونة بذلك فلا مانع من إقراره على زوجيّته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بأنّ السيرة كانت على ذلك، فإنّ من كان يسلم لم يكن يسأل عنه بأنّ هذه الزوجيّة هل كانت على وفق هذه الشريعة أو لا؟ بل كان يقرّ على الزوجية من دون سؤال و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مقرونة بالمانع ولم يكن قابلاً للارتفاع يحكم بسقوط الزوجية، و أمّا إذا كان قابلاً للارتفاع كما إذا أسلم على سبع، فكما ورد في الروايات يحكم باختيار أربعة منهن ويفارق البقيّة، ولا يحتاج إلى الطلاق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أيضاً تشهد بأنّ أنكحتهم السابقة إذا لم تكن مقرونة بالمانع ممضاة بعد إسلامهم</w:t>
      </w:r>
      <w:r>
        <w:rPr>
          <w:rFonts w:eastAsia="Amiri" w:cs="Amiri" w:ascii="Amiri" w:hAnsi="Amiri"/>
          <w:color w:val="111111"/>
          <w:sz w:val="28"/>
          <w:szCs w:val="28"/>
          <w:rtl w:val="true"/>
          <w:lang w:bidi="ar-SA"/>
        </w:rPr>
        <w:t xml:space="preserve">. </w:t>
      </w:r>
      <w:bookmarkStart w:id="54" w:name="pg20251_228878"/>
    </w:p>
    <w:p>
      <w:pPr>
        <w:pStyle w:val="BookText"/>
        <w:rPr/>
      </w:pPr>
      <w:bookmarkEnd w:id="54"/>
      <w:r>
        <w:rPr>
          <w:rFonts w:ascii="Amiri" w:hAnsi="Amiri" w:eastAsia="Amiri" w:cs="Amiri"/>
          <w:color w:val="111111"/>
          <w:sz w:val="28"/>
          <w:sz w:val="28"/>
          <w:szCs w:val="28"/>
          <w:rtl w:val="true"/>
          <w:lang w:bidi="ar-SA"/>
        </w:rPr>
        <w:t>و من مجموع ما ذكرنا ظهر أنّ هذه الروابط لها نحو احترام في الإسلام و يترتب عليها نوع آثار، و لا نعني بقاعدة الإقرار إلا هذا، و قاعدة الإقرار هذه ربما تختلف عن قاعدة الإلزام كما سيظهر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 غير الشيعة من سائر فرق المسلمين يقرّون على أعمالهم و روابطهم أو لا؟ فإنّ الأدلّة كانت واردة في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بعدم شمول الأدلّة لسائر فرق المسلمين؛ وذلك بلحاظ أنّهم مشتركون مع الشيعة في الإسلام ويعدّ الجميع أرباب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جوّز تزويج المطلّقات الثلاث في الروايات و علّل بأنّ هذا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نرى أن سائر الفرق يعدّون من أهل دين واحد أو أديان متعدّدة نقول من باب المقدمة</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5378694_2320776876"/>
      <w:bookmarkStart w:id="56" w:name="_Toc20"/>
      <w:bookmarkEnd w:id="55"/>
      <w:r>
        <w:rPr>
          <w:rtl w:val="true"/>
        </w:rPr>
        <w:t>إنّ الفرق الإسلامية لها أدوار متعدّدة</w:t>
      </w:r>
      <w:r>
        <w:rPr>
          <w:rtl w:val="true"/>
        </w:rPr>
        <w:t>:</w:t>
      </w:r>
      <w:bookmarkEnd w:id="56"/>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 الذي لم يشكّل فيه مذهب في قبال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المسلمون كانوا يراجعون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أنّهم أحد المفتين، كما كانوا يراجعون فقهاء العامّة، فإنّ كثيراً ما كانوا يرجعون إلى الإمام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الدور دور البحث و المذاكرة، وكان هذا متداولاً بين المسلمين،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يدخلون في هذه المباحث و يبيّنون فتاواهم لأجل تعريف الناس بفقه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الدور شبيه باختلاف الشيعة في الرجوع إلى مختلف الفقهاء و المجتهدين، و قد تتلمذ بعض فقهائهم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استفاد ابن أبي ليلى و ابن شبرمة و أبو حنيفة و أمثالهم من الإمامين الهمامين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يأخذون حكماً من الإمام و يبيّنونه للناس بأنّه لهم، و قد وردت روايات بأنّه ما من علم حقّ في أيدي الآخرين إلا وقد خرج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يصدق على العامة في هذا الدور أنّهم أرباب أديان مختلفة، و مراجعتهم إلى فقهاء العامة لم يكن من باب أنّه دين في قبال دين و فقه في قبال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 الذي تشكّل فيه مذهب فقهي في قبال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انجرّت المبارزات الاجتماعية و السياسية إلى المبارزات الثقافية و تشكيل فقه في قبال فقه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 يصل إلى تقسيم فقههم إلى المذاهب الأربعة، و قد كتبت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 الأعلام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أجمعت الشيعة و قد أجمعت العامة على خلافها، و هذا دليل على أنّه هناك نوعان من الفقه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دور التفريق بين المذاهب و تقسيم فقه العامة إلى مذاهب متعددة، كلّ مذهب في قبال سائر المذاهب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الدور مشترك مع الدور الثاني في تشكيل دين في قبال دين و مذهب في قبال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مذهبهم في قبال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الزمان زمان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قلنا بالنسبة للكفار من الإقرار جار في حقّهم، أي أنّه تعدّ زوجيتهم زوجية، و طلاقهم طلاقاً و أمثال ذلك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الروايات الواردة عن الإمام موسى بن جعفر و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المطلّقات ترتبط بهذا الدور، و ما ورد من عدم جواز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ثلاثاً فإنّهن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بالدور الأوّل، و عليه فإن قالوا بانفتاح باب العلم، و عدّ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في المسألة و كان البناء على البحث و التفتيش عن الحقيقة أو قالوا بجواز الرجوع إلى فقه الشيعة كأحد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زمان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بتأثير طلاقهم البدعي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على معاملاتهم وسائر شؤونهم يدور مدار تعدّد الدين و وحدته</w:t>
      </w:r>
      <w:r>
        <w:rPr>
          <w:rFonts w:eastAsia="Amiri" w:cs="Amiri" w:ascii="Amiri" w:hAnsi="Amiri"/>
          <w:color w:val="111111"/>
          <w:sz w:val="28"/>
          <w:szCs w:val="28"/>
          <w:rtl w:val="true"/>
          <w:lang w:bidi="ar-SA"/>
        </w:rPr>
        <w:t xml:space="preserve">. </w:t>
      </w:r>
      <w:bookmarkStart w:id="57" w:name="pg20251_228881"/>
    </w:p>
    <w:p>
      <w:pPr>
        <w:pStyle w:val="Heading2"/>
        <w:numPr>
          <w:ilvl w:val="1"/>
          <w:numId w:val="1"/>
        </w:numPr>
        <w:rPr/>
      </w:pPr>
      <w:bookmarkStart w:id="58" w:name="__RefHeading___Toc5378696_2320776876"/>
      <w:bookmarkStart w:id="59" w:name="_Toc21"/>
      <w:bookmarkEnd w:id="57"/>
      <w:bookmarkEnd w:id="58"/>
      <w:r>
        <w:rPr>
          <w:rtl w:val="true"/>
        </w:rPr>
        <w:t>في التعامل بین الشیعة و السنة</w:t>
      </w:r>
      <w:bookmarkEnd w:id="59"/>
    </w:p>
    <w:p>
      <w:pPr>
        <w:pStyle w:val="BookText"/>
        <w:rPr/>
      </w:pPr>
      <w:r>
        <w:rPr>
          <w:rFonts w:ascii="Amiri" w:hAnsi="Amiri" w:eastAsia="Amiri" w:cs="Amiri"/>
          <w:color w:val="111111"/>
          <w:sz w:val="28"/>
          <w:sz w:val="28"/>
          <w:szCs w:val="28"/>
          <w:rtl w:val="true"/>
          <w:lang w:bidi="ar-SA"/>
        </w:rPr>
        <w:t>و الظاهر أنّ ما ذكرنا في الكفّار يجري في المخالفين</w:t>
      </w:r>
      <w:r>
        <w:rPr>
          <w:rStyle w:val="FootnoteAnchor"/>
          <w:rtl w:val="true"/>
        </w:rPr>
        <w:footnoteReference w:id="228"/>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التعامل المالي مع المخالفين كالبيع والشراء والإيجار وسائر العقود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التعامل مع المخالفين من حيث العلاقات الزوجية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الواضح أنّ الشيعي لو يلاحظ القوانين المجعولة في الشريعة المقدّسة على ضوء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في المحذور عند التعامل مع المخالف، فإنّه قد يكون بعض الأسباب الموجبة للتملك عندهم غير موجبة عنده، أو يكون الشيء مما فيه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بلزوم مراعاة الشيعي للقوانين الأوّلية يلزم منه التضييق الاقتصادي على الشيعي، فإنّه منذ تلك الأزمنة و إلى يومنا هذا هناك تعامل مالي بين الشيعة و السنّة في مختلف المجالات، بل ربما كانت الأسرة الواحدة متكوّنة من مختلف الأفراد من حيث المذهب في تلك الأزمنة، فلو قلنا بلزوم مراعاة القوانين الأوّلية لزم منه تحديد معاملاتهم تحديداً ضيّقاً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إذا قلنا بلزوم مراعاة القوانين الأوّلية في باب النكاح، فإنّ شراء الإماء كان متداولاً في تلك الأزمنة، و من الواضح أنّ من الإماء فيها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يؤدّون حقّه، و الزواج من المخالفة أيضاً كان أمراً متعارفاً، مع أنّ كثيراً من المخالفات قد تكون مطلّقات بالطلاق البدعي الذي لا يعترف به في فقه الشيعة، و أشباه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الظاهر أنّه لو لم يكن تجويز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معهم و إقرارهم على روابطهم المالية و الزوجية لوقع الشيعة في غاية الضيق و العزلة، مع أنّ المجتمع الشيعي في تلك الأزمنة لم يكن يتحمّل هذه العزلة، كما أنّ في زماننا هذا في كثير من الأماكن لا يتحمّل الشيعة هذه العزلة، فلهذا ما ذكرنا في الكفّار من الإقرار يأتي في المخالفين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المقطوع به أن بناء الشيعة كان على احترام الروابط، بمعنى أنّ الشيعة كانت تتعامل مع تلك الروابط معاملة الروابط الواقعية، و ذلك بتجويز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ما ذكرنا بعض الروايات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الوشاء عن أحمد بن عائذ عن أبي سلمة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لشيعتنا حلال، الشاهد منهم و الغائب، و الميت منهم و الحي، و ما يولد منهم إلى يوم القيامة فهو لهم حلال، أما و الله لا يحل إلا لمن أحللنا له، و لا والله ما أعطينا أحداً ذمة و ما عندنا لأحد عهد و لا لأحد عندنا ميثاق</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Style w:val="FootnoteAnchor"/>
          <w:rtl w:val="true"/>
        </w:rPr>
        <w:footnoteReference w:id="23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عمارة 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علمت أنّ لك فيها حقّاً،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إذن لشيعتنا إلا لتطيب ولادتهم، و كلّ من والى آبائي فهو في حلٍّ مما في أيديهم في حقّنا، فليبلّغ الشاهد الغائب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بعض الروايات أنّ حقوق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الخمس، فإنّ كثيراً من أموالهم كانت من الأراضي الخراجية، و من المعلوم أنّ الأراضي الخراجية للمسلمين، إلا أنّ المتصدّي لها هو خليفة المسلمين و من له حق الولاية، و من الواضح أنّ عامة الناس لم يكونوا يستأذنون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بن رزين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جمهور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اليوم أهل هدنة تردّ ضالتهم، و تؤدى أمانتهم و تحقن دماؤهم و تجوز مناکحتهم و موارثتهم في هذه الحال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بناء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مخالطة الشيعة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بناؤهم على انعزال </w:t>
      </w:r>
    </w:p>
    <w:p>
      <w:pPr>
        <w:pStyle w:val="BookText"/>
        <w:rPr/>
      </w:pPr>
      <w:r>
        <w:rPr>
          <w:rFonts w:ascii="Amiri" w:hAnsi="Amiri" w:eastAsia="Amiri" w:cs="Amiri"/>
          <w:color w:val="111111"/>
          <w:sz w:val="28"/>
          <w:sz w:val="28"/>
          <w:szCs w:val="28"/>
          <w:rtl w:val="true"/>
          <w:lang w:bidi="ar-SA"/>
        </w:rPr>
        <w:t>الشيعة في الشؤون الاجتماعية و السياسية، فالمخرج في ذلك هو بما ذكرنا من قاعدة الإقرار و تنزيل ملكية المخالف و أنكحتهم منزلة الملكية و الأنكحة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المخالف بالسبب الفاسد بين المسلمين فقد فهم بعض الأكابر من عبارة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إذا كان فاسداً بين المسلمين فمثل هذه الزوجية لا توجب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 يرث بالسبب الفاسد إجماعاً فلو تزوج محرمة لم يتوارثا بهذا التزويج و إن فرض اشتباههما 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اشتباهها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ترتيب أثر الإرث في التزويج المخالف إذا كان السبب فاسداً عند الشيعي، و لعلّ ظاهر عبارة القواعد</w:t>
      </w:r>
      <w:r>
        <w:rPr>
          <w:rStyle w:val="FootnoteAnchor"/>
          <w:rtl w:val="true"/>
        </w:rPr>
        <w:footnoteReference w:id="235"/>
      </w:r>
      <w:r>
        <w:rPr>
          <w:rFonts w:ascii="Amiri" w:hAnsi="Amiri" w:eastAsia="Amiri" w:cs="Amiri"/>
          <w:color w:val="111111"/>
          <w:sz w:val="28"/>
          <w:sz w:val="28"/>
          <w:szCs w:val="28"/>
          <w:rtl w:val="true"/>
          <w:lang w:bidi="ar-SA"/>
        </w:rPr>
        <w:t>و الشرائع هو ذلك، كما إذا كانت المتزوّجة أمّ المزني بها أو المختلقة من ماء الزاني، فإنّ العامة يقولون بجواز تزويج المختلقة من ماء الزاني و أمّ المزني بها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صاحب الجواهر حمل عبارة المحقق على موارد الاختلاف عند الشيعة، لا على موارد السبب الفاسد من المخالف،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ليس له الحكم بمذهب المصحّح و إن جاز له نحو ذلك في المجوس و نحوهم مما لا أمر فيه بالإلزام، فلو ترافع مقلّدة مجتهد مثلاً يرى الصحّة عند مجتهد يرى البطلان حكم </w:t>
      </w:r>
      <w:bookmarkStart w:id="60" w:name="pg20251_228885"/>
    </w:p>
    <w:p>
      <w:pPr>
        <w:pStyle w:val="BookText"/>
        <w:rPr/>
      </w:pPr>
      <w:bookmarkEnd w:id="60"/>
      <w:r>
        <w:rPr>
          <w:rFonts w:ascii="Amiri" w:hAnsi="Amiri" w:eastAsia="Amiri" w:cs="Amiri"/>
          <w:color w:val="111111"/>
          <w:sz w:val="28"/>
          <w:sz w:val="28"/>
          <w:szCs w:val="28"/>
          <w:rtl w:val="true"/>
          <w:lang w:bidi="ar-SA"/>
        </w:rPr>
        <w:t>عليهم بمقتضى مذهبه، و ليس له إلزامهم بما وقع منهم من التقليد قبل المرافعة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الذي ذكره صاحب الجواهر خلاف ظاهر عدّة من الفقهاء، إلا أنّ ما ذهب إليه هو الصحيح و أنّه يعامل الزوجيّة الواقعة من المخالف معاملة الزوجية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معاملة الشيعة مع سائر فرق المسلمين</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5378698_2320776876"/>
      <w:bookmarkStart w:id="62" w:name="_Toc22"/>
      <w:bookmarkEnd w:id="61"/>
      <w:r>
        <w:rPr>
          <w:rtl w:val="true"/>
        </w:rPr>
        <w:t>حکم عبادات المخالف إذا استبصر</w:t>
      </w:r>
      <w:bookmarkEnd w:id="62"/>
    </w:p>
    <w:p>
      <w:pPr>
        <w:pStyle w:val="BookText"/>
        <w:rPr/>
      </w:pPr>
      <w:r>
        <w:rPr>
          <w:rFonts w:ascii="Amiri" w:hAnsi="Amiri" w:eastAsia="Amiri" w:cs="Amiri"/>
          <w:color w:val="111111"/>
          <w:sz w:val="28"/>
          <w:sz w:val="28"/>
          <w:szCs w:val="28"/>
          <w:rtl w:val="true"/>
          <w:lang w:bidi="ar-SA"/>
        </w:rPr>
        <w:t>و أمّا إذا استبصر المخالف فهل يجب عليه إعادة العبادات السابقة، وكذا ما ملكه بسبب العقود و الأسباب الفاسدة في الشريعة المقدّسة، أو أنّه لا تجب ويقرّ على ما كان إذا لم يكن بقاءً مقروناً بالمانع؟</w:t>
      </w:r>
    </w:p>
    <w:p>
      <w:pPr>
        <w:pStyle w:val="BookText"/>
        <w:rPr/>
      </w:pPr>
      <w:r>
        <w:rPr>
          <w:rFonts w:ascii="Amiri" w:hAnsi="Amiri" w:eastAsia="Amiri" w:cs="Amiri"/>
          <w:color w:val="111111"/>
          <w:sz w:val="28"/>
          <w:sz w:val="28"/>
          <w:szCs w:val="28"/>
          <w:rtl w:val="true"/>
          <w:lang w:bidi="ar-SA"/>
        </w:rPr>
        <w:t>لا إشكال في عدم وجوب العمل على وفق مذهب الشيعة في الروابط السابقة على الاستبصار، فمن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المخالف زوجاته حسب الطلاق النافذ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عندنا و الذي يعبَّر عنه بالبدعي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بزوجات أخرى، ثم استبصر، فهل يمكن القول بأنّ الطلاق بما أنّه كان بدعياً فهو غير واقع ولابدّ من ترك هذه الزوجات بما أنّها أزيد من المقدار المحدّد؟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الأعمال السابقة على الاستبصار محكومة بالبطلان لذكرت في الروايات، و الحال أنّه لم يذكر في الروايات ما يشير إلى بطلان الأعمال السابقة مع كثرة الاستبصار في تلك الأزمنة، فكثير من رواة أحاديثهم كانوا من العامة ثم استبصروا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يشترط في إقرار المخالف بعد استبصاره أن لا يكون ما أتى به مقروناً بالمانع بقاءً،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المخالف بالمخلوقة منه من الزنا ثم يستبصر، فلا يوجد طريق لتصحيح هذه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من الواضحات، و تؤيد ما ذكرنا موثقة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عمل عمله الناصب في حال ضلاله أو حال نصبه ثم منَّ الله عليه و عرّفه هذا الأمر فإنّه يؤجر عليه و يكتب له إلا الزكاة، فإنّه يعيدها؛ لأنّه وضعها في غير موضعها، وإنما موضعها أهل الولاية، فأمّا الصلاة والصوم فليس عليه قضاؤهما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في الكفّار يجري في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هذه الطوائف السبع من الروايات، و ظهر أنّه لا يمكن استفادة قاعدة الإلزام منها، بل المستظهر منها قاعدتان أخرتان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المقاصّة النوعيّة، و تدلّ عليه روايات عبد الله بن محرز و أيوب بن نوح و علي بن مهزيار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الإقرار و احترام القوانين</w:t>
      </w:r>
      <w:r>
        <w:rPr>
          <w:rFonts w:eastAsia="Amiri" w:cs="Amiri" w:ascii="Amiri" w:hAnsi="Amiri"/>
          <w:color w:val="111111"/>
          <w:sz w:val="28"/>
          <w:szCs w:val="28"/>
          <w:rtl w:val="true"/>
          <w:lang w:bidi="ar-SA"/>
        </w:rPr>
        <w:t xml:space="preserve">. </w:t>
      </w:r>
      <w:bookmarkStart w:id="63" w:name="pg20251_228887"/>
    </w:p>
    <w:p>
      <w:pPr>
        <w:pStyle w:val="Heading2"/>
        <w:numPr>
          <w:ilvl w:val="1"/>
          <w:numId w:val="1"/>
        </w:numPr>
        <w:rPr/>
      </w:pPr>
      <w:bookmarkStart w:id="64" w:name="__RefHeading___Toc5378700_2320776876"/>
      <w:bookmarkStart w:id="65" w:name="_Toc23"/>
      <w:bookmarkEnd w:id="63"/>
      <w:bookmarkEnd w:id="64"/>
      <w:r>
        <w:rPr>
          <w:rtl w:val="true"/>
        </w:rPr>
        <w:t>تنبيهات القاعدتين</w:t>
      </w:r>
      <w:r>
        <w:rPr>
          <w:rtl w:val="true"/>
        </w:rPr>
        <w:t>:</w:t>
      </w:r>
      <w:bookmarkEnd w:id="65"/>
    </w:p>
    <w:p>
      <w:pPr>
        <w:pStyle w:val="Heading3"/>
        <w:numPr>
          <w:ilvl w:val="2"/>
          <w:numId w:val="1"/>
        </w:numPr>
        <w:rPr/>
      </w:pPr>
      <w:bookmarkStart w:id="66" w:name="__RefHeading___Toc5378702_2320776876"/>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يقع البحث في حدود و تنبيهات القاعدتين، و نحن نذكر أوّلاً الأمور المرتبطة بالمقاصّة النوعيّة، وقد تقدم في ضمن رواية عبد الله بن محرز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أنّه من المحتمل قويّاً أن تكون الرواية مرتبطة بالمقاصّة النوعيّة، و قول زرارة هذا من باب الأخذ بشواهد الكتاب و السنّة،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و أن نرى هل أنّ الشواهد تدلّ على المقاصّة النوعيّة أو 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بيان الشواهد لا بأس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لم يتعرّضوا للمقاصّة النوعيّة، وإنّما تعرّضوا للمقاصّة الشخصيّة في كتاب القضاء، و من جملة ما استدلّوا 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أَعْتَدَى عَلَيْكُمْ و الآية مسبوقة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فَإِنِ انتهوا فَإِنَّ اللَّهَ غَفُورٌ رَّحِيمٌ ثم ذكر بعد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Times New Roman" w:cs="Times New Roman" w:ascii="Times New Roman" w:hAnsi="Times New Roman"/>
          <w:color w:val="111111"/>
          <w:sz w:val="28"/>
          <w:szCs w:val="28"/>
          <w:rtl w:val="true"/>
          <w:lang w:val="en-US" w:bidi="en-US"/>
        </w:rPr>
        <w:t xml:space="preserve">. </w:t>
      </w:r>
      <w:bookmarkStart w:id="68" w:name="pg20251_228888"/>
    </w:p>
    <w:p>
      <w:pPr>
        <w:pStyle w:val="BookText"/>
        <w:rPr/>
      </w:pPr>
      <w:bookmarkEnd w:id="68"/>
      <w:r>
        <w:rPr>
          <w:rFonts w:ascii="Amiri" w:hAnsi="Amiri" w:eastAsia="Amiri" w:cs="Amiri"/>
          <w:color w:val="111111"/>
          <w:sz w:val="28"/>
          <w:sz w:val="28"/>
          <w:szCs w:val="28"/>
          <w:rtl w:val="true"/>
          <w:lang w:bidi="ar-SA"/>
        </w:rPr>
        <w:t>و في الآية الشريفة جهات تقتضي المقاصّة بين قوم و قوم، لا بين شخص و شخص،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وَأَخْرِجُوهُمْ مِنْ حَيْثُ أَخْرَجُوكُمْ و من الظاهر أنّ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بين الإخراج و فتح مكة المكرّمة مدّة طويلة، ولم يكن الأفراد نفس الأفراد، نعم المجتمع هو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تُقَاتِلُوهُمْ عِنْدَ الْمَسْجِدِ الْحَرَامِ حَتَّى يُقَاتِلُوكُمْ فيهِ فمن الواضح أنّ الأفراد الذين يبتدؤون بالمقاتلة عند المسجد الحرام ربما قُتل كثير منهم في أوّل الأمر و حينما يريد المسلمون قتالهم عند المسجد الحرام بإذن من الله ربما لا يكونوا نفس الأفراد،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جميع هذه الموارد المعارضة و المقاصّة بين المسلمين و المشركين، لا بين فرد و فرد،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 الآية الشريفة واردة في المثلة عندما كان المشركون يمثلون بالمسلمين، و من الواضح أنّ من يريد المسلم تمثيله غير الذي مثّل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378704_2320776876"/>
      <w:bookmarkStart w:id="70" w:name="_Toc25"/>
      <w:bookmarkEnd w:id="69"/>
      <w:r>
        <w:rPr>
          <w:rtl w:val="true"/>
        </w:rPr>
        <w:t>فروع قاعدة المقاصة النوعية</w:t>
      </w:r>
      <w:bookmarkEnd w:id="70"/>
    </w:p>
    <w:p>
      <w:pPr>
        <w:pStyle w:val="Heading4"/>
        <w:numPr>
          <w:ilvl w:val="3"/>
          <w:numId w:val="1"/>
        </w:numPr>
        <w:rPr/>
      </w:pPr>
      <w:bookmarkStart w:id="71" w:name="__RefHeading___Toc5378706_2320776876"/>
      <w:bookmarkStart w:id="72" w:name="_Toc26"/>
      <w:bookmarkEnd w:id="71"/>
      <w:r>
        <w:rPr>
          <w:rtl w:val="true"/>
        </w:rPr>
        <w:t>اشارة</w:t>
      </w:r>
      <w:bookmarkEnd w:id="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ذكر هذه الشواهد على قاعدة المقاصة النوعية يقع البحث في الفروع المترتّبة عليها و موارد الاختلاف بين نظريّتنا و نظريّة من قال بقاعدة الإلزام أو قرّر قاعدة الإلزام بنحو من الأنحاء</w:t>
      </w:r>
      <w:r>
        <w:rPr>
          <w:rFonts w:eastAsia="Amiri" w:cs="Amiri" w:ascii="Amiri" w:hAnsi="Amiri"/>
          <w:color w:val="111111"/>
          <w:sz w:val="28"/>
          <w:szCs w:val="28"/>
          <w:rtl w:val="true"/>
          <w:lang w:bidi="ar-SA"/>
        </w:rPr>
        <w:t xml:space="preserve">. </w:t>
      </w:r>
      <w:bookmarkStart w:id="73" w:name="pg20251_228889"/>
    </w:p>
    <w:p>
      <w:pPr>
        <w:pStyle w:val="Heading4"/>
        <w:numPr>
          <w:ilvl w:val="3"/>
          <w:numId w:val="1"/>
        </w:numPr>
        <w:rPr/>
      </w:pPr>
      <w:bookmarkStart w:id="74" w:name="__RefHeading___Toc5378708_2320776876"/>
      <w:bookmarkStart w:id="75" w:name="_Toc27"/>
      <w:bookmarkEnd w:id="73"/>
      <w:bookmarkEnd w:id="74"/>
      <w:r>
        <w:rPr>
          <w:rtl w:val="true"/>
        </w:rPr>
        <w:t>الفرع الأوّل</w:t>
      </w:r>
      <w:r>
        <w:rPr>
          <w:rtl w:val="true"/>
        </w:rPr>
        <w:t>:</w:t>
      </w:r>
      <w:bookmarkEnd w:id="75"/>
    </w:p>
    <w:p>
      <w:pPr>
        <w:pStyle w:val="BookText"/>
        <w:rPr/>
      </w:pPr>
      <w:r>
        <w:rPr>
          <w:rFonts w:ascii="IRNazanin" w:hAnsi="IRNazanin" w:eastAsia="IRNazanin"/>
          <w:color w:val="111111"/>
          <w:sz w:val="28"/>
          <w:sz w:val="28"/>
          <w:szCs w:val="28"/>
          <w:rtl w:val="true"/>
          <w:lang w:bidi="fa-IR"/>
        </w:rPr>
        <w:t>الفرع الأوّل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إشكال في أنّ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إذا غصب شخص عيناً من شخص آخر يكون ضامناً للعين، و أمّا المنافع سواء أكانت غير مستوفاة أم كانت مستوفاة، وسواء أكانت من قبيل الأعراض كسكني الدار أم المنافع التي تحوّلت إلى الأعيان كثمرة النخل، وسواء أستوفى الغاصب المنافع أم استوفاها الغير بإجارة من الغاصب، فلا يضمن الغاصب هذه المنافع لصاحب العين، و هذا هو الذي قد يعبّر عنه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أبي ولّاد واردة فيه، و استغرب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 شبهه تحبس السماء ماءها، و تمنع الأرض بركتها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المجلة العدلية</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امتد إصدار المجلة قرابة ستة 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تقلب وضعها خلال هذه العقود من دور كبير جداً شبيه بما تؤديه المحكمة العليا حالياً ثم تراجع وضعها مع تعنت فقهاء الحنفية في عدم الخروج عن المذهب مما دفع السلطنة لتوطين قوانين اقتصادية بالدرجة الأساسية أوربية وبعد تراجع أهميتها جرى تأصيل لأحكامها بما يسمى القواعد الفقهية تشبه ما يسمى حالياً الفقه القضائي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ويكيبيديا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كانت للعثمانيين وكانت بحكم قوانينهم في الدول الإسلامية توجد هذه المادة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المقارنة بين الفقه الغربي و الفقه الإسلامي ذهب عبد الرزاق السنهوري في كتاب مصادر الحق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فكرة الضرر في الفقه الإسلامي فكرة محدودة</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و أساس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w:t>
      </w:r>
      <w:r>
        <w:rPr>
          <w:rStyle w:val="FootnoteAnchor"/>
          <w:rtl w:val="true"/>
        </w:rPr>
        <w:footnoteReference w:id="244"/>
      </w:r>
      <w:r>
        <w:rPr>
          <w:rFonts w:ascii="Amiri" w:hAnsi="Amiri" w:eastAsia="Amiri" w:cs="Amiri"/>
          <w:color w:val="111111"/>
          <w:sz w:val="28"/>
          <w:sz w:val="28"/>
          <w:szCs w:val="28"/>
          <w:rtl w:val="true"/>
          <w:lang w:bidi="ar-SA"/>
        </w:rPr>
        <w:t>، و الأجر و الضمان لا يجتمعان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 بهذه المقالة من جهة عدم توجّهه إلى ما يقوله 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ردّ عليه الشيخ محمد حسين كاشف الغطاء في تحرير المجلّة في الجزء الأوّل</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حيث تظافرت أخبار الإمامية عن أئمتهم أنّ الغاصب يضمن العين و المنفعة، وصحيحة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مشهورة معروفة، وقد تضمنت رد تلك الفتوى بأبلغ بيان، لهذا التزم فقهاؤهم بتأويل هذه الجملة المتقدمة، فحملها بعض أعلام المتأخرين على ما حاصله بعد توضيح و تنقيح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بالضمان في النبوي هو الضمان الجعلي الاختياري؛ ضرورة أنّ كلّ عاقل إذا ضمن ملك الغير و جعل غرامة تلفه عليه فإنما يصنع ذلك بغرض استيفاء منافعه، فالخراج يكون له بسبب ضمانه الاختياري، لا الضمان القهري المجعول شرعاً، كضمان الغاصب، و لا الضمان التبعي، كضمان البائع درك المبيع و المشتري درك الثمن؛ ضرورة أنّ البائع هنا مع أنّه ضامن للمبيع و لكن منافعه ليست له، بل للمشتري، و هكذا في المشتري بالنسبة إلى الثمن، فإنّ الخراج هنا ليس بالضمان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خراج الثمن للبائع بالضمان، أي بضمانه؛ لأنّ تلف الثمن عليه و من ماله، كما أنّ خراج المبيع للمشتري؛ لأنّه ضامن له و تلفه يكون عليه و من ماله، فليس المراد الضمان القهري، و لا التبعي، و لا الضمان التقديري،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الضمان عليه و منافع العبد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كون المراد هو الضمان الجعلي الاختياري، كما في ضمان المعاملات و المعاطاة، فلا تصلح القاعدة دليلاً على عدم ضمان الغاصب للمنافع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منها أنّ خراج العين بسبب ضمانها، أي من كان تلف العين عليه و من ماله فخراجها و منافعها له، فيكون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خراج العين لمالك العين الذي لو تلفت العين كان تلفها عليه و من ماله، فيكون مفادها مفاد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بالغرم، أي غرامة العين وتلفها على من تكون له منافعها و غنيمتها، و قد يعبر عنها بعبارة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ذكرناه يتضح لك وجه القدح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الضمان لا يجتمعان، و الحق أنهما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اجتماعهما عقلاً و شرعاً، فالمقبوض بالسوم أو بالعقد الفاسد يضمن العين قابضها و يعطى أجرة ما استوفاه من منافعها، و هكذا الغاصب و نظائره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w:t>
      </w:r>
      <w:r>
        <w:rPr>
          <w:rStyle w:val="FootnoteAnchor"/>
          <w:rtl w:val="true"/>
        </w:rPr>
        <w:footnoteReference w:id="247"/>
      </w:r>
      <w:r>
        <w:rPr>
          <w:rFonts w:ascii="Amiri" w:hAnsi="Amiri" w:eastAsia="Amiri" w:cs="Amiri"/>
          <w:color w:val="111111"/>
          <w:sz w:val="28"/>
          <w:sz w:val="28"/>
          <w:szCs w:val="28"/>
          <w:rtl w:val="true"/>
          <w:lang w:bidi="ar-SA"/>
        </w:rPr>
        <w:t>أنّه لو غصب شيعي عيناً من الحنفي فله أن يلزمه بما ألزم به نفسه ولا يدفع إليه ما يكون ضامناً له بحسب الفقه الشيعي، و ذلك من جهة قاعدة الإلزام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أيضاً نقول بذلك، إلا أنّه من باب المقاصّة النوعيّة</w:t>
      </w:r>
      <w:r>
        <w:rPr>
          <w:rFonts w:eastAsia="Amiri" w:cs="Amiri" w:ascii="Amiri" w:hAnsi="Amiri"/>
          <w:color w:val="111111"/>
          <w:sz w:val="28"/>
          <w:szCs w:val="28"/>
          <w:rtl w:val="true"/>
          <w:lang w:bidi="ar-SA"/>
        </w:rPr>
        <w:t xml:space="preserve">. </w:t>
      </w:r>
      <w:bookmarkStart w:id="76" w:name="pg20251_228893"/>
    </w:p>
    <w:p>
      <w:pPr>
        <w:pStyle w:val="BookText"/>
        <w:rPr/>
      </w:pPr>
      <w:bookmarkEnd w:id="76"/>
      <w:r>
        <w:rPr>
          <w:rFonts w:ascii="Amiri" w:hAnsi="Amiri" w:eastAsia="Amiri" w:cs="Amiri"/>
          <w:color w:val="111111"/>
          <w:sz w:val="28"/>
          <w:sz w:val="28"/>
          <w:szCs w:val="28"/>
          <w:rtl w:val="true"/>
          <w:lang w:bidi="ar-SA"/>
        </w:rPr>
        <w:t xml:space="preserve">و يشترط في المقاصّة النوعيّة أن يكون الحكم بعدم الضمان للمنافع جارياً على الشيعي و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للشيعي الأخذ منهم كما يأخذون من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الحكم نافذاً على الشيعة بأن كان الحكم بيد الشيعة أو كان الحكم بيد غير الشيعة إلا أنّ الحكم كان غير هذا فلا يجوز؛ و ذلك لعدم صدق و انطباق رواية عبد الله بن محرز و صحيحتي علي بن مهزيار و 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من جواز عدم إعطاء الأجر فيما إذا كان الغاصب شيعياً و المغصوب منه حنفياً غير صحيح على إطلاقه، و الصحيح ما ذكرناه من نفوذ هذا الحكم في حقّ الشيعي فيما إذا كان القانون المطبق في زمانه يقر بذلك الحكم على الشيعي و غيره، و حينئذ يجوز ذلك من باب المقاصّة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نافذاً فلابدّ من الالتزام بالضمان و الأجر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378710_2320776876"/>
      <w:bookmarkStart w:id="78" w:name="_Toc28"/>
      <w:bookmarkEnd w:id="77"/>
      <w:r>
        <w:rPr>
          <w:rtl w:val="true"/>
        </w:rPr>
        <w:t>الفرع الثاني</w:t>
      </w:r>
      <w:r>
        <w:rPr>
          <w:rtl w:val="true"/>
        </w:rPr>
        <w:t>:</w:t>
      </w:r>
      <w:bookmarkEnd w:id="78"/>
    </w:p>
    <w:p>
      <w:pPr>
        <w:pStyle w:val="BookText"/>
        <w:rPr/>
      </w:pPr>
      <w:r>
        <w:rPr>
          <w:rFonts w:ascii="Amiri" w:hAnsi="Amiri" w:eastAsia="Amiri" w:cs="Amiri"/>
          <w:color w:val="111111"/>
          <w:sz w:val="28"/>
          <w:sz w:val="28"/>
          <w:szCs w:val="28"/>
          <w:rtl w:val="true"/>
          <w:lang w:bidi="ar-SA"/>
        </w:rPr>
        <w:t>إذا مات كافر و كان له أولاد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كافر و الآخر سني و الثالث شيعي، فقيل بأنّ الإرث ينتقل إلى الشيعي بتمامه؛ وذلك لأنّه لا يرث الكافر مع وجود الوارث المسلم، فجميع ما ترك يكون لأولاده المسلمين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أهل السنة يقولون بأنّ المسلم لا يرث من الكافر، و معنى ذلك أنّ جميع إرثه يكون لولده الشيعي من باب قاعدة الإلزام و من باب قاعدة حجب المسلم، و هذا ما ذكره العلامة البلاغي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بناءً على المقاصّة النوعيّة اعتماداً على رواية ابن محرز و صحيحتي علي بن مهزیار و أيوب بن نوح فما يستفاد من الروايات هو أنّه لو كان هناك قانون يطبق على الجميع كقانون التعصيب، ففي مثل ذلك بلحاظ أنّهم يأخذون منّا يجوز لنا الأخذ منهم مقاصّة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لا يرث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من القوانين التي هي بنفع الكافر دائماً؛ إذ لا يفرق فيه بين كون الوارث شيعياً أو سنّياً، أي أنّه على هذا القانون كما لا يجوز للسني أخذ بعض المال من باب الإرث، كذلك لا يجوز للشيعي بحسب حكمهم، و مثل هذا القانون طبعاً يكون خارجاً عن موضوع المقاصّة النوعيّة، فإنّهم لا يأخذون منّا حتى يقال بجواز الأخذ منهم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أننا قلنا باشتراط السيطرة في التنفيذ في المقاصة النوعية، فلو كانت السيطرة لأهل السنّة فلا يعطى من المال شيء، لا إلى الشيعي و لا إلى السني، بل يعطى المال كلّه للكافر تنفيذاً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لا يرث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لأهل السنّة سيطرة بأن كانت السيطرة بيد الشيعة، فلابدّ من تقسيم ما ترك إلى قسمين، نصف المال يكون للأخ السني، و لا وجه لإلزام الأخ السني، و عدم إعطائه من الإرث من باب المقاصّة النوعيّة؛ لأنها تقتضي المنع أو الأخذ منهم فيما إذا كانوا يأخذون منّا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باب قاعدة الإلزام، فإنّه يمكن أن يقال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التقريبات ما هو ملزم به هو عدم إرثه من الكافر، أي بلحاظ عقده السلبي نلزمه، و أما بلحاظ عقده </w:t>
      </w:r>
      <w:bookmarkStart w:id="79" w:name="pg20251_228895"/>
    </w:p>
    <w:p>
      <w:pPr>
        <w:pStyle w:val="BookText"/>
        <w:rPr/>
      </w:pPr>
      <w:bookmarkEnd w:id="79"/>
      <w:r>
        <w:rPr>
          <w:rFonts w:ascii="Amiri" w:hAnsi="Amiri" w:eastAsia="Amiri" w:cs="Amiri"/>
          <w:color w:val="111111"/>
          <w:sz w:val="28"/>
          <w:sz w:val="28"/>
          <w:szCs w:val="28"/>
          <w:rtl w:val="true"/>
          <w:lang w:bidi="ar-SA"/>
        </w:rPr>
        <w:t>الإيجابي و أنّه من يرث، فلا تدلّ هذه الرواية على تملك الشيعي للإرث من باب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الاستدلال برواية الاستحلال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التفسيرين المرتبطين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نلزم الأخ السني بما يستحلّ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يستحلّ الإرث، لا لنفسه و 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بالتفسير الذي قال به العلامة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يجوز عليهم المانعيّة أو الرافعية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يرى السني من مانعية الإسلام للإرث من الكافر تجوز عليه، و إرث الأخ الشيعي جميع المال على وفق القوانين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خلاف الظاهر،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على المقاصّة النوعيّة، وكذا على بعض التفاسير لرواية الاستحلال لا يجوز للطرف الشيعي إلا نصف المال، نعم على بعض تفاسير رواية الاستحلال و قاعدة الإلزام يجوز للشيعي أخذ تمام المال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378712_2320776876"/>
      <w:bookmarkStart w:id="81" w:name="_Toc29"/>
      <w:bookmarkEnd w:id="80"/>
      <w:r>
        <w:rPr>
          <w:rtl w:val="true"/>
        </w:rPr>
        <w:t>الفرع الثالث</w:t>
      </w:r>
      <w:r>
        <w:rPr>
          <w:rtl w:val="true"/>
        </w:rPr>
        <w:t>:</w:t>
      </w:r>
      <w:bookmarkEnd w:id="81"/>
    </w:p>
    <w:p>
      <w:pPr>
        <w:pStyle w:val="BookText"/>
        <w:rPr/>
      </w:pPr>
      <w:r>
        <w:rPr>
          <w:rFonts w:ascii="Amiri" w:hAnsi="Amiri" w:eastAsia="Amiri" w:cs="Amiri"/>
          <w:color w:val="111111"/>
          <w:sz w:val="28"/>
          <w:sz w:val="28"/>
          <w:szCs w:val="28"/>
          <w:rtl w:val="true"/>
          <w:lang w:bidi="ar-SA"/>
        </w:rPr>
        <w:t>مسألة التعصيب، و من الواضح أنّ أهل السنة يقولون بالتعصيب خلافاً للشيعة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على المقاصّة النوعيّة فالظاهر من الروايات الثلاث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محرز و علي بن مهزیار و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نفس القانون الذي ينفّذ علينا و به يؤخذ منّا ينفّذ على أهل السنة و يؤخذ منهم، فإن كان قانون التعصيب نافذاً </w:t>
      </w:r>
    </w:p>
    <w:p>
      <w:pPr>
        <w:pStyle w:val="BookText"/>
        <w:rPr/>
      </w:pPr>
      <w:r>
        <w:rPr>
          <w:rFonts w:ascii="Amiri" w:hAnsi="Amiri" w:eastAsia="Amiri" w:cs="Amiri"/>
          <w:color w:val="111111"/>
          <w:sz w:val="28"/>
          <w:sz w:val="28"/>
          <w:szCs w:val="28"/>
          <w:rtl w:val="true"/>
          <w:lang w:bidi="ar-SA"/>
        </w:rPr>
        <w:t>يجوز للشيعي الأخذ من باب التعصيب من باب المقاصّة النوعيّة و إن كان أقرب منه رحماً موجوداً، كما كان الشيعي ابن عمّ الميت و له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قانون الإلزام و رواية الاستحلال على تقريبها بغير الوجه الذي ذكره العلامة البلاغي تكون النتيجة جواز الأخذ من باب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ذكره العلامة البلاغي فلا يرثه الشيعي فيما إذا كان للميت من هو أقرب رحماً، كما لو كان له خال، فإنه يرثه و إن كان سنياً، ولا يرثه الشيعي من باب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قاعدة الإلزام و رواية الاستحلال هو العقد السلبي، أي أنّ المانعية التي يراها السني و يقول بها قد أمضاها الشارع، فهو ملزم بما يقول بأنّه ليس لي، و لا يمكن استفادة أكثر من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نرجع إلى القواعد العامة، و القانون العام في الإرث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الأقربية إذا كانت في البين مانعية و إن كانت المانعية مجعولة بالعنوان الثانوي، كما في المقام، فإنّه لما كان يعتقد بأنّه لا يرث أكثر من النصف فيرثه الأقرب، سواء أكان شيعياً أم سنياً، فقد ذكر العلامة البلاغي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ترك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و ابنَ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فالزائد للخال على ما ذكرناه في المقام الأول ومنعناه في المقام الثاني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الخال منهم، أُلزمَ بأنّه لا يستحقّ شيئاً، ويكون الزائد لابن ابن العمّ و إن كان منهم</w:t>
      </w:r>
      <w:r>
        <w:rPr>
          <w:rFonts w:eastAsia="Amiri" w:cs="Amiri" w:ascii="Amiri" w:hAnsi="Amiri"/>
          <w:color w:val="111111"/>
          <w:sz w:val="28"/>
          <w:szCs w:val="28"/>
          <w:rtl w:val="true"/>
          <w:lang w:bidi="ar-SA"/>
        </w:rPr>
        <w:t xml:space="preserve">. </w:t>
      </w:r>
      <w:bookmarkStart w:id="82" w:name="pg20251_228897"/>
    </w:p>
    <w:p>
      <w:pPr>
        <w:pStyle w:val="BookText"/>
        <w:rPr/>
      </w:pPr>
      <w:bookmarkEnd w:id="82"/>
      <w:r>
        <w:rPr>
          <w:rFonts w:ascii="Amiri" w:hAnsi="Amiri" w:eastAsia="Amiri" w:cs="Amiri"/>
          <w:color w:val="111111"/>
          <w:sz w:val="28"/>
          <w:sz w:val="28"/>
          <w:szCs w:val="28"/>
          <w:rtl w:val="true"/>
          <w:lang w:bidi="ar-SA"/>
        </w:rPr>
        <w:t>نعم، لو كان الأخوال الذكور أو الإناث أو الملفّق منها بعضهم منّا و بعضهم منهم، أُعطي الزائد المذكور لمن هو منّا، وسقط الذي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ما ذكرناه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غاية ما يستفاد من أحاديث الباب هو أنّ التديّن بعدم الاستحقاق للزائد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له عن استحقاقه له كسائر موانع الإرث، فيكون لمن يرث بسبب منعه بحسب الحكم الأوّلي، سواءً أكان منّا أم منهم ما لم يكن متديّناً بعدم استحقاقه، كما ذكرناه في الخال الذي هو منهم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5378714_2320776876"/>
      <w:bookmarkStart w:id="84" w:name="_Toc30"/>
      <w:bookmarkEnd w:id="83"/>
      <w:r>
        <w:rPr>
          <w:rtl w:val="true"/>
        </w:rPr>
        <w:t>الفرع الرابع</w:t>
      </w:r>
      <w:r>
        <w:rPr>
          <w:rtl w:val="true"/>
        </w:rPr>
        <w:t>:</w:t>
      </w:r>
      <w:bookmarkEnd w:id="84"/>
    </w:p>
    <w:p>
      <w:pPr>
        <w:pStyle w:val="BookText"/>
        <w:rPr/>
      </w:pPr>
      <w:r>
        <w:rPr>
          <w:rFonts w:ascii="IRNazanin" w:hAnsi="IRNazanin" w:eastAsia="IRNazanin"/>
          <w:color w:val="111111"/>
          <w:sz w:val="28"/>
          <w:sz w:val="28"/>
          <w:szCs w:val="28"/>
          <w:rtl w:val="true"/>
          <w:lang w:bidi="fa-IR"/>
        </w:rPr>
        <w:t>الفرع الرابع</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بناء على المشهور من حرمة أخذ الربا من الذمي، هل يمكن بعد وقوع المعاملة أخذ الربا منه، و تصحيحه إمّا بقانون المقاصّة النوعيّة أو بقانون الإلزام أو الاستحلال أم لا؟</w:t>
      </w:r>
    </w:p>
    <w:p>
      <w:pPr>
        <w:pStyle w:val="BookText"/>
        <w:rPr/>
      </w:pPr>
      <w:r>
        <w:rPr>
          <w:rFonts w:ascii="Amiri" w:hAnsi="Amiri" w:eastAsia="Amiri" w:cs="Amiri"/>
          <w:color w:val="111111"/>
          <w:sz w:val="28"/>
          <w:sz w:val="28"/>
          <w:szCs w:val="28"/>
          <w:rtl w:val="true"/>
          <w:lang w:bidi="ar-SA"/>
        </w:rPr>
        <w:t xml:space="preserve">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جواز الربا بين المسلم و الذمي، و لكنّه بعد وقوع المعاملة يجوز أخذ الربا منه من جهة قاعدة الإلزام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كتاب الخمس من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بعد الارتكاب و أخذ المال يجوز التصرّف فيه ولا يجب الردّ، عملاً بقاعدة الإلزام، حيث إنّهم يسوّغون هذه المعاملة فيؤخذون بما التزموا به على أنفسهم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هل يمكن الحكم بجواز أخذ الربا بعد وقوع المعاملة عملاً بقانون المقاصّة النوعيّة بدعوى أن نأخذ منهم الربا كما يأخذون منّا أو لا يمكن الحكم بجواز الأخذ؟</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المناقشة في شمول قانون المقاصّة النوعيّة للمقام، و ذلك لأنّ المقاصّة النوعيّة موردها ما إذا كان ما يأخذون منّا أمراً قانونياً و ينطبق موضوعه قهراً علينا و عليهم، فيقع الكلام في جواز الأخذ و عدم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المشهور بجواز الأخذ من باب قاعدة الإلزام، و نحن أيضا نقول بجواز الأخذ إلا أنّه من باب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بل كان الأخذ منّا بسبب الالتزام المعاملي، فبما أنّ الشيعي الذي وقع طرف المعاملة الربوية التزم على نفسه بإعطاء الربا، فلذا يأخذ الذمي منه، فهذا الأخذ من باب إلزامنا على الوفاء بالعقد، و ليس من باب وجود قانون و أنّهم ابتداءً يأخذون منّا، كما في التعصيب و أشباهه كأخذ الشفعة بالجوار، فلا تشمله أدلة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كانت المعاملة الربوية بين الشيعي و السني، فإنّ أهل السنة يقولون بجواز ربا الفضل وفاقاً لابن عباس</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 أبي الجوزاء قال سمعته يأمر بالصرف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ذلك عنه ثم بلغني أنه رجع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بمكة فقلت إنه بلغني أنك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كان ذلك رأياً مني وهذا أبو سعيد يحدث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نهى عن 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 الفضل هو الربا بين الجنس</w:t>
      </w:r>
    </w:p>
    <w:p>
      <w:pPr>
        <w:pStyle w:val="BookText"/>
        <w:rPr/>
      </w:pPr>
      <w:r>
        <w:rPr>
          <w:rFonts w:ascii="IRNazanin" w:hAnsi="IRNazanin" w:eastAsia="IRNazanin"/>
          <w:color w:val="111111"/>
          <w:sz w:val="28"/>
          <w:sz w:val="28"/>
          <w:szCs w:val="28"/>
          <w:rtl w:val="true"/>
          <w:lang w:bidi="fa-IR"/>
        </w:rPr>
        <w:t>الواحد</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منّا الفضل ليس من باب تطبيق قانونهم قهراً علينا، بل يؤخذ من الشيعي من باب التزامه بإعطاء الفضل،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منهم 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المقام،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قانونهم ينطبق علينا قهراً، وأمّا إذا كان إعطاء الزيادة و أخذهم لها مرتبطاً بالتزام المتعاقدين و تعهّد كلّ من المتعاملين في قبال الآخر، فحينئذ إنّما يأخذون الزيادة من باب التزام الطرف المقابل بدفع الزيادة، فهذا ليس بأخذ قهري، و لا يكون مجوّزاً للأخذ منهم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المقاصّة النوعيّة يقتضي جواز الأخذ منهم فيما إذا كنّا معتدى علينا من جهة تطبيق قانونهم علينا قهراً، و في هذا الفرع ليس من ناحيتهم اعتداء و لا تطبيق قهري لقانونهم علينا، فدليل المقاصّة النوعيّة لا </w:t>
      </w:r>
    </w:p>
    <w:p>
      <w:pPr>
        <w:pStyle w:val="BookText"/>
        <w:rPr/>
      </w:pPr>
      <w:r>
        <w:rPr>
          <w:rFonts w:ascii="Amiri" w:hAnsi="Amiri" w:eastAsia="Amiri" w:cs="Amiri"/>
          <w:color w:val="111111"/>
          <w:sz w:val="28"/>
          <w:sz w:val="28"/>
          <w:szCs w:val="28"/>
          <w:rtl w:val="true"/>
          <w:lang w:bidi="ar-SA"/>
        </w:rPr>
        <w:t xml:space="preserve">يشمل مثل هذا الفرع، سواء أكان الطرف المقابل من أهل الذمة أم من أهل السنّة، فلا يمكن تصحيح الأخذ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المقاصّة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ضوء قاعدة الإلزام فهل يمكن تصحيح الأخذ بعد وقوع المعاملة أو لا؟</w:t>
      </w:r>
    </w:p>
    <w:p>
      <w:pPr>
        <w:pStyle w:val="BookText"/>
        <w:rPr/>
      </w:pPr>
      <w:r>
        <w:rPr>
          <w:rFonts w:ascii="Amiri" w:hAnsi="Amiri" w:eastAsia="Amiri" w:cs="Amiri"/>
          <w:color w:val="111111"/>
          <w:sz w:val="28"/>
          <w:sz w:val="28"/>
          <w:szCs w:val="28"/>
          <w:rtl w:val="true"/>
          <w:lang w:bidi="ar-SA"/>
        </w:rPr>
        <w:t xml:space="preserve">و الظاهر أنّه لا يتمكن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تصحيح الأخذ بعد وقوع المعاملة من باب قاعدة الإلزام،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الإلزام ضعيف سنداً، فإنّ الرواي هو علي بن أبي حمزة، و هو ضعيف من وجهة نظر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كما هو مخدوش من وجهة نظرنا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متن الرواية بهذه الصورة، و الذي ثابت هو في خصوص الطلاق، والضمير راجع إلى المطلّقين ثلاثاً، لا إلى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قاعدة الإلزام إلى الذمي ليس له وجه صحيح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متوقّف على جواز الربا في مذهبهم حتى يكون داخلاً في الإلزام الديني، و من الواضح أنّ الإلزام الشخصي ليس بمعيار، و إنّما المعيار هو إلزامهم على وفق مسلكهم و مرامهم، و نحن لا نعلم جواز الربا أخذاً وعطاءً عند اليهود والنصارى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هذه المسألة من المسائل المشتركة في جميع الأديان السماوية،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 وَأَخْذِهِمُ الرِّبَا وَقَدْ نُهُوا عَنْهُ وَأَكْلِهِمْ أَمْوَالَ النَّاسِ بِالْبَاطِل وَأَعْتَدْنَا لِلْكَافِرِينَ مِنْهُمْ عَذَابًا أَلِيمًا</w:t>
      </w:r>
      <w:r>
        <w:rPr>
          <w:rStyle w:val="FootnoteAnchor"/>
          <w:rtl w:val="true"/>
        </w:rPr>
        <w:footnoteReference w:id="258"/>
      </w:r>
      <w:r>
        <w:rPr>
          <w:rFonts w:ascii="Amiri" w:hAnsi="Amiri" w:eastAsia="Amiri" w:cs="Amiri"/>
          <w:color w:val="111111"/>
          <w:sz w:val="28"/>
          <w:sz w:val="28"/>
          <w:szCs w:val="28"/>
          <w:rtl w:val="true"/>
          <w:lang w:bidi="ar-SA"/>
        </w:rPr>
        <w:t xml:space="preserve">يدلّ على أنّهم كانوا منهيين عن أكل الربا، 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ملتفتاً إلى هذا الإشكال حيث قيّد في رسالته المسائل المنتخبة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مذهبهم جواز أخذ الربا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يمكن التمسك بقاعدة الاستحلال لتصحيح أخذ الربا بعد وقوع المعاملة أو لا؟ فإنّ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يُشكل عليه بأنّ قاعدة الإلزام لا أساس لها و لا وجه للتمسّك بها كان يتمسّك بقاعدة الاستحلال، و قاعدة الاستحلال هي موثقة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يرون أخذ الربا حلالاً فيجوز لنا أخذ الربا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خارج البحث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الرواية لإثبات الاستحلال، أي أنّ المحرّم لا يصير حلالاً بمجرد استحلال قوم في دينهم الفاسد، وكون أحكامهم حاكمة على أحكامنا مستغرب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اختلاف النسخ و اختلاف التفاسير فهذه الرواية لا تتلائم مع هذه الفتوى؛ إذ في الفتوى تفكيك بين الحرمة التكليفية و الوضعية، فإنه التزم بعدم </w:t>
      </w:r>
      <w:bookmarkStart w:id="85" w:name="pg20251_228902"/>
    </w:p>
    <w:p>
      <w:pPr>
        <w:pStyle w:val="BookText"/>
        <w:rPr/>
      </w:pPr>
      <w:bookmarkEnd w:id="85"/>
      <w:r>
        <w:rPr>
          <w:rFonts w:ascii="Amiri" w:hAnsi="Amiri" w:eastAsia="Amiri" w:cs="Amiri"/>
          <w:color w:val="111111"/>
          <w:sz w:val="28"/>
          <w:sz w:val="28"/>
          <w:szCs w:val="28"/>
          <w:rtl w:val="true"/>
          <w:lang w:bidi="ar-SA"/>
        </w:rPr>
        <w:t>جواز المعاملة الربوية مع أهل الذمة و أنها محرمة بالحرمة التكليفية، و لكن بعد وقوعها ذهب إلى جواز أخذ الربا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لا يجري في قاعدة الإلزام ، و لكن يجري في ما إذا كان المستند هو قاعدة الاستحلال، فكان ينبغي له أن يقول بالجواز في الموردين كليهما، أي في الحكم التكليفي و الوضعي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378716_2320776876"/>
      <w:bookmarkStart w:id="87" w:name="_Toc31"/>
      <w:bookmarkEnd w:id="86"/>
      <w:r>
        <w:rPr>
          <w:rtl w:val="true"/>
        </w:rPr>
        <w:t>الفرع الخامس</w:t>
      </w:r>
      <w:r>
        <w:rPr>
          <w:rtl w:val="true"/>
        </w:rPr>
        <w:t>:</w:t>
      </w:r>
      <w:bookmarkEnd w:id="87"/>
    </w:p>
    <w:p>
      <w:pPr>
        <w:pStyle w:val="BookText"/>
        <w:rPr/>
      </w:pPr>
      <w:r>
        <w:rPr>
          <w:rFonts w:ascii="Amiri" w:hAnsi="Amiri" w:eastAsia="Amiri" w:cs="Amiri"/>
          <w:color w:val="111111"/>
          <w:sz w:val="28"/>
          <w:sz w:val="28"/>
          <w:szCs w:val="28"/>
          <w:rtl w:val="true"/>
          <w:lang w:bidi="ar-SA"/>
        </w:rPr>
        <w:t>في أنّه إذا كان قانون المخالفين هو الحاكم على البلد بأن كان قانون التعصيب مثلاً من قوانين الدولة و كان نافذاً على الشيعي و السني، فهل يجب في هذه الصورة على الشيعي إعطاء التعصيب إلى أهل السنة كما يأخذ منهم أو لا؟</w:t>
      </w:r>
    </w:p>
    <w:p>
      <w:pPr>
        <w:pStyle w:val="BookText"/>
        <w:rPr/>
      </w:pPr>
      <w:r>
        <w:rPr>
          <w:rFonts w:ascii="Amiri" w:hAnsi="Amiri" w:eastAsia="Amiri" w:cs="Amiri"/>
          <w:color w:val="111111"/>
          <w:sz w:val="28"/>
          <w:sz w:val="28"/>
          <w:szCs w:val="28"/>
          <w:rtl w:val="true"/>
          <w:lang w:bidi="ar-SA"/>
        </w:rPr>
        <w:t>و على فرض أخذ السني مالاً من باب التعصيب هل يجوز للشيعي الشراء منهم؟ أو على فرض أخذ المال من الشيعي قهراً من باب التعصيب هل يجوز شراء هذا المال منهم أو لا؟</w:t>
      </w:r>
    </w:p>
    <w:p>
      <w:pPr>
        <w:pStyle w:val="BookText"/>
        <w:rPr/>
      </w:pPr>
      <w:r>
        <w:rPr>
          <w:rFonts w:ascii="Amiri" w:hAnsi="Amiri" w:eastAsia="Amiri" w:cs="Amiri"/>
          <w:color w:val="111111"/>
          <w:sz w:val="28"/>
          <w:sz w:val="28"/>
          <w:szCs w:val="28"/>
          <w:rtl w:val="true"/>
          <w:lang w:bidi="ar-SA"/>
        </w:rPr>
        <w:t>و هذه المسألة تتوجّه سواء أقلنا بقاعدة الإلزام أم بالمقاصّة النوعيّة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صاحب أنوار الفقاهة</w:t>
      </w:r>
      <w:r>
        <w:rPr>
          <w:rStyle w:val="FootnoteAnchor"/>
          <w:rtl w:val="true"/>
        </w:rPr>
        <w:footnoteReference w:id="26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المأخوذ منه مؤمناً فهل يجب عليه الدفع؟ الظاهر أنّه لا يجب الدفع إليهم مهما أمكن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ما عبّر به من الظاهر من جهة أنّ المقاصّة النوعيّة دورانية، فكما يأخذ لابدّ و أن يعطي، فبما أنّه كان في ذهنه المقدّس ذلك لم يجزم بالحكم، و إلا على القاعدة لابدّ من الحكم بعدم الوجوب جزماً؛ وذلك لأنّ أخذهم منّا ينطبق عليه عنوان الاعتداء، و أخذنا منهم ينطبق عليه عنوان المقاصّة، فبما أنّه مقاصّة جائز، فلا يجب علينا دفع المال إلى المعتدي، و لا وجه لاشتراك الشيعة و إسهامهم في القانون الذي على غير الموازين بدفع المال من باب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دفعه إليهم قهراً ففي جواز تناوله من المدفوع إليه و شرائه وجهان، لا يبعد الجواز</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العلامة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يأخذونه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هو منّا لا يجوز التصرّف به بشراء أو نحو ذلك مطلقا، فإنّ غاية مفاد الأحاديث هو إلزام المتديّن و الجواز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الأخذ منّا على خلاف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ما تقدّم نقله من أنّه لا يبعد الجواز</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يمكن أن يكون وجه كلام صاحب أنوار الفقاهة أمرين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المقاصّة النوعيّة شبيهة بالمقاصّة الشخصيّة، فإنه قد ذكرها في المقاصّة الشخصيّة، كما ذكر في ملحقات العروة من أنّه بعد المقاصّة هل يكون المال حلالاً للغاصب؟ و يكون هذا معاوضة قهرية أو أنّه يبقى المال حراماً عليه؟ </w:t>
      </w:r>
    </w:p>
    <w:p>
      <w:pPr>
        <w:pStyle w:val="BookText"/>
        <w:rPr/>
      </w:pPr>
      <w:r>
        <w:rPr>
          <w:rFonts w:ascii="Amiri" w:hAnsi="Amiri" w:eastAsia="Amiri" w:cs="Amiri"/>
          <w:color w:val="111111"/>
          <w:sz w:val="28"/>
          <w:sz w:val="28"/>
          <w:szCs w:val="28"/>
          <w:rtl w:val="true"/>
          <w:lang w:bidi="ar-SA"/>
        </w:rPr>
        <w:t>اختار السيد الطباطبائي</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الظاهر حصول التعاوض بين ما أخذه مقاصّة وبين حقّه الّذي عند المقتصّ منه أو في ذمّته فتبرأ ذمّته إذا كان المال ديناً عليه ويملكه إذا كان عيناً، لأنّ المفروض أنّ المقاصّ يملك ما يأخذه عوض ماله، فلا يبقى المعوّض في ملكه، وإلّا لزم الجمع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يظهر من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مستند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العين على ملك المقاصّ ومنع كون ما يأخذه عوضاً عن ماله بل هو أمر جوّزه الشارع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عدم جواز الجمع بين العوض والمعوّض ؛ إذ المفروض أنّه يأخذه بعنوان العوضيّة من ماله لا بعنوان العقوبة، مع أنّ لازم ما ذكره جواز عتقه للمقاصّ إذا كان عبداً أو جارية وجواز نقله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بذلك، وأيضاً لازم ما ذكره عدم براءة ذمّة المقتصّ منه من الدين أيضاً، مع أنّه صرّح بسقوط حقّه بعد التقاصّ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يحلّ له المال بعد المقاصّة، و لا يمكن الجمع بين العوض و المعوّض، و نقل عن صاحب المستند بأنّه لا يحلّ له المال بعد المقاصّة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لعلّ وجه كلامه أنّ هذا اعتداء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الأظهر في المقاصّة الفردية هو الحليّة بعد المقاصّة، وقلنا بأنّ حكم المقاصّة النوعيّة هو حكم المقاصّة الشخصيّة، فيجوز الشراء منه، فإنّ أخذ الشيعة منهم في قبال أخذهم من الشيعة، و الأفراد منحلّة في المجتمع و ينظر إلى الأفراد بالنظر الاجتماعي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الحكم على فرض صحّته في المقاصّة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صحيحاً في المقاصّة النوعيّة؛ وذلك لأنّ أخذنا منهم لا يخرجه عن </w:t>
      </w:r>
      <w:bookmarkStart w:id="88" w:name="pg20251_228905"/>
    </w:p>
    <w:p>
      <w:pPr>
        <w:pStyle w:val="BookText"/>
        <w:rPr/>
      </w:pPr>
      <w:bookmarkEnd w:id="88"/>
      <w:r>
        <w:rPr>
          <w:rFonts w:ascii="Amiri" w:hAnsi="Amiri" w:eastAsia="Amiri" w:cs="Amiri"/>
          <w:color w:val="111111"/>
          <w:sz w:val="28"/>
          <w:sz w:val="28"/>
          <w:szCs w:val="28"/>
          <w:rtl w:val="true"/>
          <w:lang w:bidi="ar-SA"/>
        </w:rPr>
        <w:t>الاعتداء، وأخذهم و أخذنا لا يشكّل معاوضة، فهل أنّ ما أخذه الشيعي قبلاً أو ما يأخذه فيما بعد يكون عوضاً؟</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بالإقرار، فإنّ السني حينما يأخذ شيئاً من باب التعصيب لا يأخذه بعنوان الاعتداء و الغصب، بل أخذ بالسبب الموجب للتملّك عندهم، فحكم هذا المال حكم سائر الأموال، فكما يجوز شراء ما أخذ من باب التعصيب إذا كان المأخوذ منه عامياً، كذلك يجوز شراء ما أخذ من الشيعي، و هذا نظير ثمن الخمر و الخنزير الذي حصل عليه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لابدّ من إثبات استقرار السيرة على ذلك، فإنّ السيرة قائمة على الإقرار فيما إذا لم يعلم من أين حصل له ذلك أو علم بحصوله من الطرق المشروعة عندهم، و أمّا إذا علم بحصول المال من الطريق غير المشروع من وجهة نظرنا، فهل في مثل ذلك السيرة قائمة أيضاً؟ لا يبعد ذلك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378718_2320776876"/>
      <w:bookmarkStart w:id="90" w:name="_Toc32"/>
      <w:bookmarkEnd w:id="89"/>
      <w:r>
        <w:rPr>
          <w:rtl w:val="true"/>
        </w:rPr>
        <w:t>الفرع السادس</w:t>
      </w:r>
      <w:r>
        <w:rPr>
          <w:rtl w:val="true"/>
        </w:rPr>
        <w:t>:</w:t>
      </w:r>
      <w:bookmarkEnd w:id="90"/>
    </w:p>
    <w:p>
      <w:pPr>
        <w:pStyle w:val="Heading5"/>
        <w:numPr>
          <w:ilvl w:val="4"/>
          <w:numId w:val="1"/>
        </w:numPr>
        <w:rPr/>
      </w:pPr>
      <w:bookmarkStart w:id="91" w:name="__RefHeading___Toc5378720_2320776876"/>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الفرع السادس</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أنّه بما أنّ الحنفية والشافعية لا يقولون بخيار الغبن، فيمكن للإمامي إذا كان غابناً أن يلزم الحنفي أو الشافعي المغبون بعدم الخيار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 بأنّه لابدّ أوّلاً من ملاحظة المختار في خيار الغبن حتى نرى أنّ عدم خيار الغبن للحنفي أو الشافعي من باب قصور المقتضي أو من جهة وجود المانع</w:t>
      </w:r>
      <w:r>
        <w:rPr>
          <w:rFonts w:eastAsia="Amiri" w:cs="Amiri" w:ascii="Amiri" w:hAnsi="Amiri"/>
          <w:color w:val="111111"/>
          <w:sz w:val="28"/>
          <w:szCs w:val="28"/>
          <w:rtl w:val="true"/>
          <w:lang w:bidi="ar-SA"/>
        </w:rPr>
        <w:t xml:space="preserve">. </w:t>
      </w:r>
      <w:bookmarkStart w:id="93" w:name="pg20251_228906"/>
    </w:p>
    <w:p>
      <w:pPr>
        <w:pStyle w:val="Heading5"/>
        <w:numPr>
          <w:ilvl w:val="4"/>
          <w:numId w:val="1"/>
        </w:numPr>
        <w:rPr/>
      </w:pPr>
      <w:bookmarkStart w:id="94" w:name="__RefHeading___Toc5378722_2320776876"/>
      <w:bookmarkStart w:id="95" w:name="_Toc34"/>
      <w:bookmarkEnd w:id="93"/>
      <w:bookmarkEnd w:id="94"/>
      <w:r>
        <w:rPr>
          <w:rtl w:val="true"/>
        </w:rPr>
        <w:t>بحث في خیار الغبن</w:t>
      </w:r>
      <w:bookmarkEnd w:id="95"/>
    </w:p>
    <w:p>
      <w:pPr>
        <w:pStyle w:val="BookText"/>
        <w:rPr/>
      </w:pPr>
      <w:r>
        <w:rPr>
          <w:rFonts w:ascii="Amiri" w:hAnsi="Amiri" w:eastAsia="Amiri" w:cs="Amiri"/>
          <w:color w:val="111111"/>
          <w:sz w:val="28"/>
          <w:sz w:val="28"/>
          <w:szCs w:val="28"/>
          <w:rtl w:val="true"/>
          <w:lang w:bidi="ar-SA"/>
        </w:rPr>
        <w:t>و البحث عن خيار الغبن مفصّل جدّاً، وقد تعرّضنا له في المكاسب، إلا أنّه لابدّ من الإشارة إلى منهجية تفكّر علماء العامة و العلماء الغربيين بالنسبة إلى خيار الغبن، ثمّ بعد ذلك نتعرّض لما اخترناه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من التذكير بأنّ خيار الغبن ليس من مسلّمات فقه الإمامية، فقد أنكر ابن الجنيد ذلك، ولم يعدّ كثير من القدماء خيار الغبن من الخيارات</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هو ثابت في قول الشيخ و أتباعه لكلّ من المشتري و البائع، إذا غبن بما لا يتفاوت به الثمن غالباً وقت العقد، مع جهله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يتقدر بالغبن بغير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الغابن التفاوت، أو بذل للمغبون من الزبون، أو تصرّف فيه بما لا يخرجه عن الملك، أو بما يخرجه إذا كان المغبون البائع لم يزل الخيار، وحينئذٍ يلزمه قيمة الغبن لو فسخ، و ليس للبائع فسخ البيع الثاني، مع احتماله كالشفيع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قال المحقّق في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خيار الغبن، و يظهر من كلام ابن الجنيد، لأنّ البيع مبنيّ على المكايسة و المغالبة، و لم نقف فيه على رواية سوى خبر الضرار و تلقّي الركبان، و في الخلاف لم يستند إلى الإجماع و لا إلى أخبار الأصحاب، و أكثر القدماء لم يذكروه، والأصحّ ثبوته و فوریّته متی علم به و بحکمه، و يعذر مع الجهل بأحدهما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الدروس الشرعية في فقه الإمامية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المتأخرين صاحب الحدائق و المحقّق السبزواري قد تردّدوا فيه، و نحن نقول بخيار الغبن على نحو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الحنفية والشافعية لا يقولون به، و التعرّض لأقوالهم وكلماتهم موجب للتفصيل و التطويل، و نحن نكتفي بنقل عبارة من</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للسنهوري الذي ألّفه من جهة المقارنة بين الفقه الإسلامي و الفقه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مصادر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الاسلامي لا يعرّض للغلط في القيمة إلا عن طريق الغبن، ثمّ هو في أكثر مذاهبه لا يعتدّ بالغبن و لو كان فاحشاً، الا إذا صحبه تغرير أو تدليس، و هو في ذلك يضحّي باحترام الإرادة في سبيل استقرار التعامل، و هذا هو شأن أكثر الشرائع الغربية، فقلّ أن تجد شريعة تعتدّ بالغبن إلا في حالات نادرة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 بأنّه يمكن تقسيم و تصوير الغبن بصور أربع، يثبت في بعضها الخيار وفي بعضها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بلحاظ أنّ ما انتقل إليه أقلّ مالية عمّا انتقل عنه مطلقاً بالاطلاق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باللحاظ المتقدّم ذا تقييد لحاظي، أي أنّه يقيّد بأن لا يكون ما انتقل إليه أقلّ مالية عمّا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مقيّداً بالتقييد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مطلقاً بالاطلاق الذاتي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 و هي الاطلاق اللحاظي،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يريد اشتراء هذا الشيء مُقدِماً على المعاملة مطلقاً مع انكشاف أنّ ما انتقل إليه أقلّ </w:t>
      </w:r>
    </w:p>
    <w:p>
      <w:pPr>
        <w:pStyle w:val="BookText"/>
        <w:rPr/>
      </w:pPr>
      <w:r>
        <w:rPr>
          <w:rFonts w:ascii="IRNazanin" w:hAnsi="IRNazanin" w:eastAsia="IRNazanin"/>
          <w:color w:val="111111"/>
          <w:sz w:val="28"/>
          <w:sz w:val="28"/>
          <w:szCs w:val="28"/>
          <w:rtl w:val="true"/>
          <w:lang w:bidi="fa-IR"/>
        </w:rPr>
        <w:t>ماليّة عما انتقل عنه، و ينشئ الملكيّة للطرف المقابل سواء أكان أكثر مالية أم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 على الشراء بأي قيمة كان سواء أعلم بقيمته السوقية أم لم يعلم أم كان ظاناً بقيمته أم شاكاً، وهذا ما نعبّر عنه بالاطلاق اللحاظي، أي بما أنّه ملتفت و متوجّه إلى أنّ ما يريد شراءه ربما يكون أقلّ مالية و مع ذلك يُقدم على المعاملة و ينشئها على نحو الاطلاق، و هذا مما يكون في كثير المعاملات، كالمزاد العلني، فإنّه يقدم على الشراء بلحاظ كون هذا الكتاب في يده لا في يد فلان أو يقدم بلحاظ وجود مُشاكله عنده أو ما يكون متمّماً له، كما إذا كانت دورة كتاب عنده ناقصة، فقد يكون الجزء الناقص الذي يريد شراءه قيمته بخساً إلا أنّه يُقدم على شرائه بقيمة كبيرة لتكميل الدورة، فإذا كان مقدماً على المعاملة و إن كان ما انتقل إليه أقلّ قيمة عمّا انتقل عنه و منشئ للمعاملة على نحو الإطلاق، أي أنّه يُملّك الثمن إلى البائع مطلقاً و لو بعد انكشاف أنّ ما انتقل إليه أقلّ قيمة أو ولو بعد حصول الندامة، فنحن نلتزم بعدم ثبوت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يعبّروا بهذا التعبير، إلا أنّهم قالوا بأنّ الخيار ثابت فيما إذا لم يكن المغبون عالماً بالقيمة، فإنّه لو كان عالماً بالقيمة فقد أقدم على الضرر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أوضحنا في محلّه بأن العلّة تعمّم و تخصّص، و المعيار هو الإقدام، لا العلم، فمن أقدم على معاملة بأي نحو كان و أي قيمة، سواء أكان شاكّاً أم </w:t>
      </w:r>
    </w:p>
    <w:p>
      <w:pPr>
        <w:pStyle w:val="BookText"/>
        <w:rPr/>
      </w:pPr>
      <w:r>
        <w:rPr>
          <w:rFonts w:ascii="Amiri" w:hAnsi="Amiri" w:eastAsia="Amiri" w:cs="Amiri"/>
          <w:color w:val="111111"/>
          <w:sz w:val="28"/>
          <w:sz w:val="28"/>
          <w:szCs w:val="28"/>
          <w:rtl w:val="true"/>
          <w:lang w:bidi="ar-SA"/>
        </w:rPr>
        <w:t>ظاناً أم عالماً بالقيمة ليس له الخيار، لا أن يكون المعيار هو العلم بالقيمة، فإنّه قد تكون المعاملة ضررية، إلا أنّه بالدواعي التي يأتي بها ربما يكون موضوع الضرر منتفياً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الصورة الثانية و هي ما إذا كان المنشأ مقيّداً لحاظاً، كما إذا لم يكن المشتري عالماً بالقيمة، إلا أنّ البائع يخبر بأنّ هذا الجنس قليل الوجود في السوق و قیمته كذا، فيشتريه المشتري معتمداً على قول البائع بالقيمة، و شراؤه ذلك معتمداً على قول البائع في قوة التقييد اللحاظي، و مرجعه إلى أنّي أشتري هذا أو ألتزم بالمعاملة إذا كانت قيمته مثل ما قلت، و أمّا إذا ظهر بأنه متوفّر في السوق بأقلّ من هذه القيمة فلا ألتزم بالمعاملة، ففي هذه الصورة يثبت له الخيار، إلا أنّه خيار الشرط، لا خيار الغبن، فإنّ التزامه بالمعاملة إن كانت قيمته كذا في قوة الشرط الصريح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الصورة الثالثة و هي ما إذا كان التقييد ذاتياً، كما إذا لم يكن المشتري عالماً بالقيمة ولم يقل البائع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شيئاً بقيمة عيّنها البائع من دون تغرير، و في هذه الصورة بما أنّ المرتكز في أذهان العقلاء هو أنّ البيع حقيقته المعاوضة بين الشيئين، فما لم تكن قرينة على المحاباة لابدّ من التحفّظ على الماليّة، إلا مما يتسامح فيه عرفاً، و مرجع ذلك إلى التقييد الذاتي، أي أنّ الشرط الارتكازي هو أنّي ألتزم بالمعاملة إن لم يكن ما انتقل إليّ أنقص مالية عمّا انتقل عنّي بما لا يتسامح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الشرط الارتكازي موجب لعدم إطلاق للبيع و انعقاد البيع مقيداً، و هذا التقييد ليس بالنسبة لأصل البيع، بل راجع إلى الالتزام، و مرجعه إلى أنّي ألتزم بالمعاملة إذا لم يكن ما انتقل إلي أقلّ مالية ممّا انتقل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التقييد في مرحلة الارتكاز يمنع من تحقق الإطلاق اللحاظي، 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فيما إذا لم يكن مسبوقاً بمثل هذه المبادئ الارتكازية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الصورة ذهب أكثر المحققين من المتأخرين كالمحقق النائيني</w:t>
      </w:r>
      <w:r>
        <w:rPr>
          <w:rStyle w:val="FootnoteAnchor"/>
          <w:rtl w:val="true"/>
        </w:rPr>
        <w:footnoteReference w:id="268"/>
      </w:r>
      <w:r>
        <w:rPr>
          <w:rFonts w:ascii="Amiri" w:hAnsi="Amiri" w:eastAsia="Amiri" w:cs="Amiri"/>
          <w:color w:val="111111"/>
          <w:sz w:val="28"/>
          <w:sz w:val="28"/>
          <w:szCs w:val="28"/>
          <w:rtl w:val="true"/>
          <w:lang w:bidi="ar-SA"/>
        </w:rPr>
        <w:t>و المحقق الإصفهاني</w:t>
      </w:r>
      <w:r>
        <w:rPr>
          <w:rStyle w:val="FootnoteAnchor"/>
          <w:rtl w:val="true"/>
        </w:rPr>
        <w:footnoteReference w:id="269"/>
      </w:r>
      <w:r>
        <w:rPr>
          <w:rFonts w:ascii="Amiri" w:hAnsi="Amiri" w:eastAsia="Amiri" w:cs="Amiri"/>
          <w:color w:val="111111"/>
          <w:sz w:val="28"/>
          <w:sz w:val="28"/>
          <w:szCs w:val="28"/>
          <w:rtl w:val="true"/>
          <w:lang w:bidi="ar-SA"/>
        </w:rPr>
        <w:t>و المحقق الإيرواني</w:t>
      </w:r>
      <w:r>
        <w:rPr>
          <w:rStyle w:val="FootnoteAnchor"/>
          <w:rtl w:val="true"/>
        </w:rPr>
        <w:footnoteReference w:id="270"/>
      </w:r>
      <w:r>
        <w:rPr>
          <w:rFonts w:ascii="Amiri" w:hAnsi="Amiri" w:eastAsia="Amiri" w:cs="Amiri"/>
          <w:color w:val="111111"/>
          <w:sz w:val="28"/>
          <w:sz w:val="28"/>
          <w:szCs w:val="28"/>
          <w:rtl w:val="true"/>
          <w:lang w:bidi="ar-SA"/>
        </w:rPr>
        <w:t>و السيد الخوئي</w:t>
      </w:r>
      <w:r>
        <w:rPr>
          <w:rStyle w:val="FootnoteAnchor"/>
          <w:rtl w:val="true"/>
        </w:rPr>
        <w:footnoteReference w:id="271"/>
      </w:r>
      <w:r>
        <w:rPr>
          <w:rFonts w:ascii="Amiri" w:hAnsi="Amiri" w:eastAsia="Amiri" w:cs="Amiri"/>
          <w:color w:val="111111"/>
          <w:sz w:val="28"/>
          <w:sz w:val="28"/>
          <w:szCs w:val="28"/>
          <w:rtl w:val="true"/>
          <w:lang w:bidi="ar-SA"/>
        </w:rPr>
        <w:t>إلى أنّ أساس خيار الغبن هو الشرط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صحيحاً من وجهة نظرنا، إلا أنّ لنا فيما ذهبوا إليه ملاحظة و تعليق، و هو أنّ مرتكز الأفراد إذا تغيّر بسبب القوانين المجعولة أو بسبب الأُنس مع الأحكام الدينية التي على خلاف هذا المرتكز، فلا يؤثّر هذا الشرط الارتكازي أثره، أي لا يكون له الخيار، كما إذا كان الشخص يعيش في أوروبا، و قد تقدّم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قلّما توجد شريعة تعتدّ بالغبن في الغرب، ونتيجة للعيش في تلك البلاد لم يكن هذا الشرط </w:t>
      </w:r>
    </w:p>
    <w:p>
      <w:pPr>
        <w:pStyle w:val="BookText"/>
        <w:rPr/>
      </w:pPr>
      <w:r>
        <w:rPr>
          <w:rFonts w:ascii="Amiri" w:hAnsi="Amiri" w:eastAsia="Amiri" w:cs="Amiri"/>
          <w:color w:val="111111"/>
          <w:sz w:val="28"/>
          <w:sz w:val="28"/>
          <w:szCs w:val="28"/>
          <w:rtl w:val="true"/>
          <w:lang w:bidi="ar-SA"/>
        </w:rPr>
        <w:t>مرتكزاً في ذهنه، فحينئذ لم يكن له خيار الغبن؛ وذلك من أجل أنّ المبايعة في تلك البلاد في الحقيقة ليست هي معاوضة بين المالين مع التحفظ على المالية، بل عبارة عن فعاليته في تحصيل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ارتكز في ذهنه بحسب القوانين المجعولة نتيجة للعيش في تلك المناطق، أو لأجل أمور أخر بأنّه لو كان ما انتقل إليه أقلّ ماليّة ممّا انتقل عنه فله حق استرداد المقدار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له أخذ المقدار الزائد، و ليس له حق الفسخ من باب خيار الغبن، إلا مع عدم إمكان استرداد الزائد، و هذا كما إذا كان تحصيل شيء متوقفاً على الوقوف ساعة أو ساعتين أو أكثر، فإذا اشتراه بعد هذا التوقّف و الانتظار، وتبيّن له بأنّه بيع له بقيمة أكثر، ففي مثل ذلك ربما لا يكون الارتكاز على الفسخ، فإنّ الفسخ في مثل ذلك ينفع الغابن، بل المرتكز هو استرداد الزائد إذا أمكن، و إلا إمّا الرد و إما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الحكم على نحو الإطلاق بأنّ خيار الغبن ناشئ من الشرط الارتكازي، بل لابدّ من بيان حدود الشرط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في هذه الصورة يلتزم بالمعاملة، وإلا له الفسخ و يحكم بالخيار من جهة الشرط الارتكازي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 و هي ما إذا لم يكن هناك تقييد ذاتي؛ نتيجة للعوامل المتقدّمة، إلا أنّ عدم التقييد الذاتي لم يكن بحيث يوجب الإطلاق اللحاظي أو التقييد بشيء آخر، بل أوجب الإهمال، أي أنّه غير متوجّه حين المعاملة و ليس له الارتكاز المتقدّم، ففي هذه الصورة لابدّ و أنّ القانون يعيّن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الإطلاق الذاتي مما يتحقّق كثيراً في الوصايا و أمثاله، فإنّه ربما يوصي بمال للفقهاء، و هو غير متوجّه إلى أنّ الفقهاء ينقسمون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 و أصولي، و أمثال ذلك، و هذا الإطلاق إطلاق ذاتي، لا أنّه لاحظ القسمين و أنشأ الصيغة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الحكم باللزوم في هذه الصورة ضرري فيمكن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الشيخ الطوسي و أمثاله ممّن تمسّك بلا ضرر فقط، لا بالشرط الارتكازي من جهة أنّ المجتمع في تلك الأزمنة لم يكن مرتكزاً في أذهانهم التقييد الذاتي الموجب لخيار الغبن؛ وذلك من جهة اختلاطهم مع الروميين و غيرهم ممّن لم يكونوا يعتقدون بخيار الغبن، فلم يكن التقييد الذاتي مرتكزاً بوضوح في أذهانهم، و لذا لم يعلّل الشيخ و أمثاله خيار الغبن بالتقييد الذاتي، فتمسّكوا لإثبات الخيار بلا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حكم الصور الأربعة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إذا كان حنفياً و كان مُقدِماً على المعاملة بأي قيمة كانت، ففي هذه الصورة لا خيار له على القاعدة؛ لما ذكرنا في الصورة الأولى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المغبون مغروراً من البائع، فالحكم بالخيار من جهة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المنكرين الخيار الغبن يقولون بثبوت الخيار إذا كان تغريراً كما في مصادر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إذا صحبه تغرير أو تدليس</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فهُم يقولون بالخيار من باب التغرير و نحن نقول به من جهة تخلّف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الحنفي المغبون قد أقدم على المعاملة على نحو التقييد الذاتي و بحسب ارتكازه، كما إذا كان الحنفي من القرى النائية ولم يكن عارفاً بأحكام دينه و اختلاف مذهبه عن سائر المذاهب، فاشترى شيئاً بحسب ارتكازه، ثمّ بان أنّه مغبون، فإن كانت شرائط المقاصّة النوعيّة موجودة نلزمه بمذهبه مقاصّة، و إلا فلا وجه لتحمّله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مورد الإطلاق الذاتي و ما إذا كان القانون هو عدم ثبوت خيار الغبن، فلنا من باب المقاصّة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شرائطها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بعدم ثبوت الخيار، وكما يأخذون منّا نأخذ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صورتي التقييد الذاتي والإطلاق الذاتي مرتبطتان بالمقام، و أمّا التقييد اللحاظي و الإطلاق اللحاظي فخارجان عن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الصورتين أن تكون شرائط المقاصّة النوعيّة موجودة و التي منها أن يكون القانون قانوناً سارياً على الجميع، أي على الشيعي و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أنّ أكثر الأديان و الشرائع لا يقولون بخيار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كلام بعض الأكابر و غيره كشيخ الشريعة</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يمكن الاستدلال لما نحن فيه بوجه آخر غير تلك الوجوه المذكورة و هو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ثبوت الخيار للمغبون انما كان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المفروض قد وقع مقيداً بأنّ المبيع مساو للثمن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عقد مبني على قيد، يوجب تخلفه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فظاهر؛ لأنه لو علم عدم كونه مساوياً له لما يرضى بالعقد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فرق بين القيد اللفظي و القيد المفهومي الذي يستفاد من قرينة الحال أو المقال، لكونه قيداً 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فكذلك أيضاً إذا القيد فيهما نحن فيه كغيره قيد للزوم العقد، لا نفس المعاملة، و إلا يوجب تخلفه بطلانها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نخبة الأزهار في أحكام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منها منصوصة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مسطورة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تستند إلى فوات الشرط الضمني الذي يقضي به العرف في المعاملات، فإنّ بناء المتعاملين على البيع و الاشتراء بالقيمة المعتدلة و ما يقرب منها، و على التمليك و التملّك للمجموع لا للبعض منفرداً عن الآخر، و على سلامة المبيع من العيب، و على وجود الوصف المشاهد ذاتاً لا بالعرض و التدليس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ثبوت خيار الغبن لا ربط له بالشرط الارتكازي، بل هو من</w:t>
      </w:r>
      <w:bookmarkStart w:id="96" w:name="pg20251_228914"/>
    </w:p>
    <w:p>
      <w:pPr>
        <w:pStyle w:val="BookText"/>
        <w:rPr/>
      </w:pPr>
      <w:bookmarkEnd w:id="96"/>
      <w:r>
        <w:rPr>
          <w:rFonts w:ascii="Amiri" w:hAnsi="Amiri" w:eastAsia="Amiri" w:cs="Amiri"/>
          <w:color w:val="111111"/>
          <w:sz w:val="28"/>
          <w:sz w:val="28"/>
          <w:szCs w:val="28"/>
          <w:rtl w:val="true"/>
          <w:lang w:bidi="ar-SA"/>
        </w:rPr>
        <w:t>الأحكام العقلائية، فإنّه كيف يمكن القول بأنّه من الأحكام العقلائية و الحال أنّ كثيراً من العقلاء لا يحكمون به؟</w:t>
      </w:r>
    </w:p>
    <w:p>
      <w:pPr>
        <w:pStyle w:val="Heading4"/>
        <w:numPr>
          <w:ilvl w:val="3"/>
          <w:numId w:val="1"/>
        </w:numPr>
        <w:rPr/>
      </w:pPr>
      <w:bookmarkStart w:id="97" w:name="__RefHeading___Toc5378724_2320776876"/>
      <w:bookmarkStart w:id="98" w:name="_Toc35"/>
      <w:bookmarkEnd w:id="97"/>
      <w:r>
        <w:rPr>
          <w:rtl w:val="true"/>
        </w:rPr>
        <w:t>الفرع السابع</w:t>
      </w:r>
      <w:r>
        <w:rPr>
          <w:rtl w:val="true"/>
        </w:rPr>
        <w:t>:</w:t>
      </w:r>
      <w:bookmarkEnd w:id="98"/>
    </w:p>
    <w:p>
      <w:pPr>
        <w:pStyle w:val="BookText"/>
        <w:rPr/>
      </w:pPr>
      <w:r>
        <w:rPr>
          <w:rFonts w:ascii="IRNazanin" w:hAnsi="IRNazanin" w:eastAsia="IRNazanin"/>
          <w:color w:val="111111"/>
          <w:sz w:val="28"/>
          <w:sz w:val="28"/>
          <w:szCs w:val="28"/>
          <w:rtl w:val="true"/>
          <w:lang w:bidi="fa-IR"/>
        </w:rPr>
        <w:t>الفرع السابع</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المقاصة النوعيّة هل تختصّ بأهل السنة أو لا تختصّ بهم، بل كلّ جماعة أنفذوا أحكاماً على الشيعة يجوز للشيعة المقاصّة منهم بنفس ذلك القانون؟ </w:t>
      </w:r>
    </w:p>
    <w:p>
      <w:pPr>
        <w:pStyle w:val="BookText"/>
        <w:rPr/>
      </w:pPr>
      <w:r>
        <w:rPr>
          <w:rFonts w:ascii="Amiri" w:hAnsi="Amiri" w:eastAsia="Amiri" w:cs="Amiri"/>
          <w:color w:val="111111"/>
          <w:sz w:val="28"/>
          <w:sz w:val="28"/>
          <w:szCs w:val="28"/>
          <w:rtl w:val="true"/>
          <w:lang w:bidi="ar-SA"/>
        </w:rPr>
        <w:t>إنّ استفادة التعميم من ظاهر ألفاظ الروايات المتقدّمة مشكل، إلا بإلغاء خصوصية المورد و القول بأنّ الضابط 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منهم كما يأخذون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مطلق الموارد و إن بيّن هذا الحكم في الموارد الخاصة؛ وذلك لأنّ الابتلاء غالباً في تلك الأزمان كان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التعميم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فإنّ هذه الآية واردة في ذيل الآيات المرتبطة بالمقاصة النوعيّة، و من الواضح أنّ طرف المسلمين هم المشركون، لا سائر الفرق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وَالْحُرُمَاتُ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مؤيّد لمضمون الروايات التي يمكن تقويتها من باب الأخذ بشواهد الكتاب و السنّة، كما أنّ بناءنا على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فاختصاص المقاصّة النوعيّة بأهل السنّة بعيد، مضافاً إلى أنّ بعض الروايات التي تفيد هذا المعنى، مثل ما في الوسائل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المشركين أيبتديهم المسلمون بالقتال في الشهر 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المشركون يبتدئونهم باستحلاله ثمّ رأى المسلمون أنّهم يظهرون عليهم فيه و 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 الروم في هذا بمنزلة المشركين لأنهم لم يعرفوا للشهر الحرام حرمة و لا حقّاً، فهم </w:t>
      </w:r>
      <w:bookmarkStart w:id="99" w:name="pg20251_228916"/>
    </w:p>
    <w:p>
      <w:pPr>
        <w:pStyle w:val="BookText"/>
        <w:rPr/>
      </w:pPr>
      <w:bookmarkEnd w:id="99"/>
      <w:r>
        <w:rPr>
          <w:rFonts w:ascii="Amiri" w:hAnsi="Amiri" w:eastAsia="Amiri" w:cs="Amiri"/>
          <w:color w:val="111111"/>
          <w:sz w:val="28"/>
          <w:sz w:val="28"/>
          <w:szCs w:val="28"/>
          <w:rtl w:val="true"/>
          <w:lang w:bidi="ar-SA"/>
        </w:rPr>
        <w:t>يبدأون بالقتال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يرون له حقّاً و حرمة فاستحلّوه فاستُحلّ منهم، و أهل البغي يبتدأون بالقتال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هذه الرواية المعيار ليس هو استحلالهم اعتقاداً، بل استحلالهم الخارجي لأمر محرّم، سواء أكانوا يعتقدون حرمته كالمشركين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يرون للشهر الحرام حقّاً 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يكونوا يرون ذلك كالروم، والعلّة المذكورة في الرواية تعمّم الحكم، وعليه فلا اختصاص للمقاصّة النوعيّة بأهل السنة، بل كلّ مخالف إذا كان مسيطراً علينا و كان قانونه نافذاً بالنسبة لنا فلنا أن نأخذ بهذا القانون فيما إذا كان في صالحنا، و ذلك من باب المقاصّة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الأبحاث المرتبطة بالمقاصّة النوعيّة</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5378726_2320776876"/>
      <w:bookmarkStart w:id="101" w:name="_Toc36"/>
      <w:bookmarkEnd w:id="100"/>
      <w:r>
        <w:rPr>
          <w:rtl w:val="true"/>
        </w:rPr>
        <w:t>فروع قاعدة الإقرار</w:t>
      </w:r>
      <w:bookmarkEnd w:id="101"/>
    </w:p>
    <w:p>
      <w:pPr>
        <w:pStyle w:val="Heading3"/>
        <w:numPr>
          <w:ilvl w:val="2"/>
          <w:numId w:val="1"/>
        </w:numPr>
        <w:rPr/>
      </w:pPr>
      <w:bookmarkStart w:id="102" w:name="__RefHeading___Toc5378728_2320776876"/>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و أمّا قانون الإقرار أو الإلزام على ما ذهب إليه المشهور فنذكر له فروعاً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378730_2320776876"/>
      <w:bookmarkStart w:id="105" w:name="_Toc38"/>
      <w:bookmarkEnd w:id="104"/>
      <w:r>
        <w:rPr>
          <w:rtl w:val="true"/>
        </w:rPr>
        <w:t>الفرع الأوّل</w:t>
      </w:r>
      <w:r>
        <w:rPr>
          <w:rtl w:val="true"/>
        </w:rPr>
        <w:t>:</w:t>
      </w:r>
      <w:bookmarkEnd w:id="10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طلّق المخالف زوجته بالطلاق البدعي الذي هو نافذ بحسب اعتقاده و إن كان محرّماً بالحرمة التكليفية و فاسداً بحسب 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السنة أيضاً من يقول بالفساد كابن تيمية</w:t>
      </w:r>
      <w:r>
        <w:rPr>
          <w:rStyle w:val="FootnoteAnchor"/>
          <w:rtl w:val="true"/>
        </w:rPr>
        <w:footnoteReference w:id="278"/>
      </w:r>
      <w:r>
        <w:rPr>
          <w:rFonts w:ascii="Amiri" w:hAnsi="Amiri" w:eastAsia="Amiri" w:cs="Amiri"/>
          <w:color w:val="111111"/>
          <w:sz w:val="28"/>
          <w:sz w:val="28"/>
          <w:szCs w:val="28"/>
          <w:rtl w:val="true"/>
          <w:lang w:bidi="ar-SA"/>
        </w:rPr>
        <w:t>و ابن القيّم</w:t>
      </w:r>
      <w:r>
        <w:rPr>
          <w:rStyle w:val="FootnoteAnchor"/>
          <w:rtl w:val="true"/>
        </w:rPr>
        <w:footnoteReference w:id="279"/>
      </w:r>
      <w:r>
        <w:rPr>
          <w:rFonts w:ascii="Amiri" w:hAnsi="Amiri" w:eastAsia="Amiri" w:cs="Amiri"/>
          <w:color w:val="111111"/>
          <w:sz w:val="28"/>
          <w:sz w:val="28"/>
          <w:szCs w:val="28"/>
          <w:rtl w:val="true"/>
          <w:lang w:bidi="ar-SA"/>
        </w:rPr>
        <w:t xml:space="preserve">، كما إذا طلّق زوجته في حال الحيض أو في طهر المواقعة أو بلا إشهاد إلى غير ذلك، كالطلاق هزلاً و في حال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بالفساد أو لا يحكم به؟ </w:t>
      </w:r>
    </w:p>
    <w:p>
      <w:pPr>
        <w:pStyle w:val="BookText"/>
        <w:rPr/>
      </w:pPr>
      <w:r>
        <w:rPr>
          <w:rFonts w:ascii="Amiri" w:hAnsi="Amiri" w:eastAsia="Amiri" w:cs="Amiri"/>
          <w:color w:val="111111"/>
          <w:sz w:val="28"/>
          <w:sz w:val="28"/>
          <w:szCs w:val="28"/>
          <w:rtl w:val="true"/>
          <w:lang w:bidi="ar-SA"/>
        </w:rPr>
        <w:t>لا إشكال في أنّ الطلاق البدعي فاسد بمقتضى الأدلّة الأوّلية، وذلك لدلالة روايات كثيرة على الفساد، مضافاً إلى دلالة الآية المباركة في الجملة على ذلك، إلا أنّ جماعة من فقهائنا استناداً إلى بعض الأدلّة قالوا بأنّه يمكن الحكم بالصحّة فيما إذا كان الطلاق البدعي صادراً ممن يعتقد نفوذه، فَحَكَمَ بعضهم بالصحّة الواقعيّة، أو الصحة من حيث جواز التزويج من المطلّقة بالطلاق البدعي من جهة قاعدة الإلزام أو من جهة قاعدة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أوّل البحث عن قاعدة الإلزام بأنّ هذه المسألة مما لم يتعرّض لها الجميع، وإنّما تعرّض لها بعض، فمثلاً لم يذكر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التزويج، و هكذا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تعرّض لها الشيخ في التهذيب</w:t>
      </w:r>
      <w:r>
        <w:rPr>
          <w:rStyle w:val="FootnoteAnchor"/>
          <w:rtl w:val="true"/>
        </w:rPr>
        <w:footnoteReference w:id="280"/>
      </w:r>
      <w:r>
        <w:rPr>
          <w:rFonts w:ascii="Amiri" w:hAnsi="Amiri" w:eastAsia="Amiri" w:cs="Amiri"/>
          <w:color w:val="111111"/>
          <w:sz w:val="28"/>
          <w:sz w:val="28"/>
          <w:szCs w:val="28"/>
          <w:rtl w:val="true"/>
          <w:lang w:bidi="ar-SA"/>
        </w:rPr>
        <w:t>مع أنّه لم يتعرّض لها في كتبه المعدّة للفتوى كالخلاف، وتعرّض لها المحقق في كتاب الطلاق</w:t>
      </w:r>
      <w:r>
        <w:rPr>
          <w:rStyle w:val="FootnoteAnchor"/>
          <w:rtl w:val="true"/>
        </w:rPr>
        <w:footnoteReference w:id="281"/>
      </w:r>
      <w:r>
        <w:rPr>
          <w:rFonts w:ascii="Amiri" w:hAnsi="Amiri" w:eastAsia="Amiri" w:cs="Amiri"/>
          <w:color w:val="111111"/>
          <w:sz w:val="28"/>
          <w:sz w:val="28"/>
          <w:szCs w:val="28"/>
          <w:rtl w:val="true"/>
          <w:lang w:bidi="ar-SA"/>
        </w:rPr>
        <w:t>و ليس البحث فعلاً في الطلاق الثلاث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المتأخرين ادعى صاحب المسالك الإجماع على المسألة</w:t>
      </w:r>
      <w:r>
        <w:rPr>
          <w:rStyle w:val="FootnoteAnchor"/>
          <w:rtl w:val="true"/>
        </w:rPr>
        <w:footnoteReference w:id="282"/>
      </w:r>
      <w:r>
        <w:rPr>
          <w:rFonts w:ascii="Amiri" w:hAnsi="Amiri" w:eastAsia="Amiri" w:cs="Amiri"/>
          <w:color w:val="111111"/>
          <w:sz w:val="28"/>
          <w:sz w:val="28"/>
          <w:szCs w:val="28"/>
          <w:rtl w:val="true"/>
          <w:lang w:bidi="ar-SA"/>
        </w:rPr>
        <w:t>، ولم نجد من المتأخرين مخالفاً في المسألة و إن نقل عن المتقدّمين الخلاف، كالفاضل المقداد في التنقيح</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مستندهم في ذلك الروايات المتقدّمة التي لم تكن خالية من الخدشة دلالة أو سنداً، و الإجماع المحصّل ليس بمقطوع، بل و لا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تعرّض للمسألة حكم بالصحّة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تقسيم كلمات القائلين بالصحة أو في الجملة إلى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بالصحّة الواقعيّة للطلاق البدعي الصادر من المخالف، سواء أكانت الزوجة مؤمنة أم غير مؤمنة، و القول بأنّ المستفاد من الروايات هو صحّة الطلاق بالعنوان الثانوي، أي أنّ اعتقاده بنفوذ الطلاق موجب لتأثير الطلاق، و هذا الحكم ذو مصلحة تكون مقدّمة على مصلحة الجعل الأوّلي، و عليه فطلاق المخالف صحیح و نافذ، سواء أراد التزويج بها مخالف أم مؤمن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يظهر من العلامة البلاغي</w:t>
      </w:r>
      <w:r>
        <w:rPr>
          <w:rStyle w:val="FootnoteAnchor"/>
          <w:rtl w:val="true"/>
        </w:rPr>
        <w:footnoteReference w:id="284"/>
      </w:r>
      <w:r>
        <w:rPr>
          <w:rFonts w:ascii="Amiri" w:hAnsi="Amiri" w:eastAsia="Amiri" w:cs="Amiri"/>
          <w:color w:val="111111"/>
          <w:sz w:val="28"/>
          <w:sz w:val="28"/>
          <w:szCs w:val="28"/>
          <w:rtl w:val="true"/>
          <w:lang w:bidi="ar-SA"/>
        </w:rPr>
        <w:t>و المحقق الشيخ حسين الحلي</w:t>
      </w:r>
      <w:r>
        <w:rPr>
          <w:rStyle w:val="FootnoteAnchor"/>
          <w:rtl w:val="true"/>
        </w:rPr>
        <w:footnoteReference w:id="285"/>
      </w:r>
      <w:r>
        <w:rPr>
          <w:rFonts w:ascii="Amiri" w:hAnsi="Amiri" w:eastAsia="Amiri" w:cs="Amiri"/>
          <w:color w:val="111111"/>
          <w:sz w:val="28"/>
          <w:sz w:val="28"/>
          <w:szCs w:val="28"/>
          <w:rtl w:val="true"/>
          <w:lang w:bidi="ar-SA"/>
        </w:rPr>
        <w:t>و هو ظاهر كلمات جمع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الاحتمال مرجعه إلى نوع من التصويب و أنّ اعتقاد الصحّة موجب لتبدّل الواقع، ولابدّ للقائلين بهذا الاحتمال من إقامة دليل متين حتى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بفساد هذا الطلاق، وبقاء الزوجية بجميع آثارها، أي أنّ جميع حقوق الزوجية كالنفقة و الكسوة و أمثالها باقية، و لكن مع ذلك يجوز للشيعي أن يتزوج منها من باب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يتوجّه سؤال و هو أنه كيف يجوز تزويج زوجة الغير؟</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السيد الحكيم</w:t>
      </w:r>
      <w:r>
        <w:rPr>
          <w:rStyle w:val="FootnoteAnchor"/>
          <w:rtl w:val="true"/>
        </w:rPr>
        <w:footnoteReference w:id="286"/>
      </w:r>
      <w:r>
        <w:rPr>
          <w:rFonts w:ascii="Amiri" w:hAnsi="Amiri" w:eastAsia="Amiri" w:cs="Amiri"/>
          <w:color w:val="111111"/>
          <w:sz w:val="28"/>
          <w:sz w:val="28"/>
          <w:szCs w:val="28"/>
          <w:rtl w:val="true"/>
          <w:lang w:bidi="ar-SA"/>
        </w:rPr>
        <w:t xml:space="preserve">و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قبيل استرقاق زوجة الكافر، فكما أن زوجيته تنعدم بالاسترقاق، كذلك تنعدم الزوجية بإجراء صيغة النكاح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الطلاق البدعي الصادر من المخالف المعتقد بنفوذ الطلاق يقرّ على طلاقه بما له من الآثار، أي أنّه للشيعي أن يتعامل مع هذا الطلاق معاملة الصحة، و يمكن التعبير عنه بالصحّة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كانت الزوجة مؤمنة فلابدّ لها من إقرار زوجها على الطلاق و ترى نفسها مطلّقة، بمعنى أن تمتنع من الزوج وليس لها حقّ المطالبة بالنفقة و الكسوة بعد خروجها من العدّة فيما إذا كان الطلاق رجعياً، و في أثناء العدّة إذا كان الطلاق بائناً، و يمكن جعل نفسها في معرض خطبة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مرجع هذا الاحتمال إلى احترام قانون المخالفين، وليس معنى ذلك أنّه مطابق للواقع، بل بمعنى جواز ترتيب الآثار للشيعة سواء أكانت لهم أم عليهم، فلو كانت المطلّقة مؤمنة، فلها تزويج نفسها للغير أو جعل نفسها في معرض خطبة الآخرين، و ليس لها المطالبة بالنفقة و الكسوة إلى بقية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كانت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ذكرنا وضوح الفرق بين الاحتمال الثالث و الأوّل؛ إذ الاحتمال الأوّل هو الالتزام بوقوع الطلاق بالعنوان الثانوي، و على الاحتمال الثالث هو الالتزام بصحّة الطلاق و لو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فرق الاحتمال الثالث عن الاحتمال الثاني هو أنّه يعتبر في الاحتمال الثاني أن تكون الآثار التي يريد الشيعي ترتيبها من الآثار التي تكون في ضرر المخالف و لصالح الشيعي، و أمّا الآثار التي تكون لصالح المخالف كعدم حقّ النفقة و أمثاله فهي مما لا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المسالك أو الاحتمالات الثلاثة لابدّ من حلّ مشكلة كلّ منها مع الروايات التي تدلّ على فساد الطلاق البدعي، فإنّه لم يفصّل في تلك الروايات بين الشيعي و السني، و بعد حلّ هذه المشكلة لابد من إقامة الدليل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و هو الالتزام بالصحة الواقعيّة فيمكن أن يقال بأنّ هذا الاحتمال غير خال من الضعف من كلتا الناحيتين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الناحية الأولى فإنّ حمل الروايات الدالّة على الفساد على ما إذا لم يكن المطلق معتقداً صحّة الطلاق، مستبعد ثبوتاً و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ثبوتاً فمن أجل أنّ اعتقاد صحّة ما هو فاسد لا يوجب تبدّل الواقع بحيث يكون ذا مصلحة متقدّمة على مصلحة شروط صحة الطلاق بنحو تحدّد شرطية الشرائط بغير مورد الاعتقاد بالخلاف، فإنّه أمر مستبعد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الحاجة و كذا كلمات فقهاء الشيعة، و لا سيما المتكلّمين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ألّفوا في هذه المسألة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لتخطئة الاعتقاد الموجود، و أنّ هذا الطلاق مع الاعتقاد بالصحّة غير صحيح، فلو كان الطلاق صحيحاً بسبب اعتقاد الصحة فلا وجه للمنازعة و 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إثباتاً فواضح؛ إذ لا موجب لحمل الروايات الدالّة على الفساد مطلقاً على صورة ما إذا لم يكن المطلّق معتقداً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الناحية الثانية فإنّ القائلين بهذا القول استدلّوا بالروايات المتقدّمة التي استدلّ بها لقاعدة الإلزام، فمن الاستدلالات هو ما استدلّ به العلامة البلاغي، و هو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بما يستحلّون هو الروافع و الموانع، و نحن قلنا عند التعرّض للرواية بأنّ هذا مما لا يمكن استظهاره من الرواية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الاستدلال برواية عبد الله بن طاووس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زوَّجتُه ابنتي، و هو يشرب الشراب و يكثر ذكر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من إخوانك فلا شيء عليه، و إن كان من هؤلاء فأبنها </w:t>
      </w:r>
    </w:p>
    <w:p>
      <w:pPr>
        <w:pStyle w:val="BookText"/>
        <w:rPr/>
      </w:pPr>
      <w:r>
        <w:rPr>
          <w:rFonts w:ascii="Amiri" w:hAnsi="Amiri" w:eastAsia="Amiri" w:cs="Amiri"/>
          <w:color w:val="111111"/>
          <w:sz w:val="28"/>
          <w:sz w:val="28"/>
          <w:szCs w:val="28"/>
          <w:rtl w:val="true"/>
          <w:lang w:bidi="ar-SA"/>
        </w:rPr>
        <w:t>منه، فإنّه عنى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فأبنها منه فإنّه عنى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انعدام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الاستدلال كما ترى، فإنّ المؤثّر على الفرض إنّما هو اعتقاد الصحّة لا قصد الفراق، مضافاً إلى أنّه 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 الإبانة للطلاق الذي يعتقد المطلّق صحته،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بما يعتقده، و الإبانة أثر من آثار الطلاق، و ليس معنى ذلك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بذيل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ضعيف؛ إذ ليس لازم ذلك صحّة الطلاق، بل يمكن أن يكون معناه ترتيب آثار الطلاق للغير، بمعنى إقرارهم، فليس في الرواية صراحة، بل و لا ظهور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على غير السنة أيتزوجها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ألزموا أنفسهم و تزوّجوهن، فلا بأس بذلك</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عنها بأنّ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تمهيدية، و التزويج جائز لنا بما أنّهم يعترفون بهذه الشريعة و بصحّة الطلاق، و لا يستفاد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الطلاق و جواز </w:t>
      </w:r>
    </w:p>
    <w:p>
      <w:pPr>
        <w:pStyle w:val="BookText"/>
        <w:rPr/>
      </w:pPr>
      <w:r>
        <w:rPr>
          <w:rFonts w:ascii="Amiri" w:hAnsi="Amiri" w:eastAsia="Amiri" w:cs="Amiri"/>
          <w:color w:val="111111"/>
          <w:sz w:val="28"/>
          <w:sz w:val="28"/>
          <w:szCs w:val="28"/>
          <w:rtl w:val="true"/>
          <w:lang w:bidi="ar-SA"/>
        </w:rPr>
        <w:t>تزويجهن حتى للمخالف، فالتمسّك بهذه الروايات كما تمسّك الشيخ الحلي</w:t>
      </w:r>
      <w:r>
        <w:rPr>
          <w:rStyle w:val="FootnoteAnchor"/>
          <w:rtl w:val="true"/>
        </w:rPr>
        <w:footnoteReference w:id="288"/>
      </w:r>
      <w:r>
        <w:rPr>
          <w:rFonts w:ascii="Amiri" w:hAnsi="Amiri" w:eastAsia="Amiri" w:cs="Amiri"/>
          <w:color w:val="111111"/>
          <w:sz w:val="28"/>
          <w:sz w:val="28"/>
          <w:szCs w:val="28"/>
          <w:rtl w:val="true"/>
          <w:lang w:bidi="ar-SA"/>
        </w:rPr>
        <w:t>و العلامة البلاغي</w:t>
      </w:r>
      <w:r>
        <w:rPr>
          <w:rStyle w:val="FootnoteAnchor"/>
          <w:rtl w:val="true"/>
        </w:rPr>
        <w:footnoteReference w:id="289"/>
      </w:r>
      <w:r>
        <w:rPr>
          <w:rFonts w:ascii="Amiri" w:hAnsi="Amiri" w:eastAsia="Amiri" w:cs="Amiri"/>
          <w:color w:val="111111"/>
          <w:sz w:val="28"/>
          <w:sz w:val="28"/>
          <w:szCs w:val="28"/>
          <w:rtl w:val="true"/>
          <w:lang w:bidi="ar-SA"/>
        </w:rPr>
        <w:t>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هيثم بن أبي مسروق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العلويين ممن كان ينتقصه،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مقيم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و هي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 ذلك دينه فحرمت عليه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الجواب عنها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صحّة الطلاق؛ إذ من الممكن أن تكون الحرمة من أجل التجريّ، فبما أنّها حرام عليه باعتقاده فهو مقيم على الحرام من حيث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دلالتها فالرواية مرسلة و لا اعتماد عليها؛ ولذا لم نتعرّض لها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محمد بن عبيد الله العلوي، إلا أنّ هذه الرواية مرتبطة بطلاق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فإن كان ممن يتولانا و يقول بقولنا فلا طلاق عليه؛ لأنّه لم يأت أمراً جهله، وإن كان ممن لا يتولانا و لا يقول بقولنا فاختلعها منه، فانّه إنما نوى الفراق بعينه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شبيهة برواية عبد الله بن طاووس المتقدّمة من حيث التعليل، و من الواضح أنّ نيّة الطلاق غير معتبرة عند أهل السنة، و ما ذكر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الفراق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لإقناع الشيعة، و القائلون بهذا القول يقولون بأنّ الاعتقاد بصحّة الطلاق موجب لصحّته بالعنوان الثانوي، و أمّا نيّة الفراق فلا توجب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بالاختلاع كما يمكن أن يكون من جهة صحّة الطلاق، كذلك يمكن أن يكون من باب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عبد الرحمن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تتزوّج هذه المرأة و لا تترك بغير زوج</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 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تترك المرأة بغير زوج</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تقدّم بأنّهما غير مرتبطتين بالمقام؛ إذ لابدّ من حملها على التقيّة؛ لأنّه لم يذكر بأنّ الطلاق صدر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كافة الروايات التي استدلّ أو يمكن الاستدلال بها للقول الأوّل، و هو صحّة الطلاق البدعي الصادر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ببطلان الطلاق البدعي و بقاء الزوجة على زوجيّة المطلّق، إلا أنّه يجوز للإمامي التزويج بها من باب قاعدة الإلزام، و هذا ما ذكره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استند</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قاعدة الإلزام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 لها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البصري، ورواية عبد الله بن سنان، و قد تقدّم منّا بأنّه لم يذكر في الروايتين بأنّ المطلّق من المخالفين أو بما أنّه من المخالفين يجوز التزويج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فاختلعها منه، فانّه إنما نوى الفراق بعينه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فأبنها منه فإنّه عنى الفراق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السيد الحكيم في ضمن هذه الطائفة الرواية الواردة في التعصيب، و عدّ كلام زرارة الذي قاله بالنسبة إلى رواية عبد الله 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و الحال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 بحقّك في أحكامهم و سنتهم كما يأخذون منكم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نحو كان، رواية التعصيب لا ربط لها بالمقام؛ ولذا لا نبحث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ما استند إليها روايات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و رواية إبراهيم بن محمد الهمداني، و رواية عبد الله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الرحمن البصري و رواية عبد الله بن سنان فمحمولتان على التقيّة حيث لم يذكر فيها بأنّ المطلّق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مدّعى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للإمامي ترتيب آثار صحّة الطلاق إذا كان في صالحه، و له طريقان في استفادة ذلك من هذه الروايات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نفس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بملاحظة الجمع بين هذه الروايات و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الشيعي يمكنه الزواج من مطلقة المخالف إذا كان طلاقها طلاقاً بدعياً، فإذا تزوّج منها خرجت من زوجية الغير، و أمّا قبل التزويج فهي زوجة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التعرّض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بتماميّة قاعدة الإقرار، و على ضوئها لاحظنا هذه الروايات فتكون قاعدة الإقرار من قبيل القرينة المتصلة و شارحة لمفاد الروايات، و تكون مانعة من استظهار الصحة الواقعية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نقل بها، أو لم تكن ملتفتة إليها، فهل يستفاد من هذه الروايات قاعدة بعنوان قاعدة الإلزام أو لا؟ و من المعلوم أنّ قاعدة الإلزام على فرض استفادتها قاعدة تعبديّة و ليست بقاعدة عقلائية، كما في قاعدة الإقرار، فإنها قاعدة عقلائية ومشهورة بين المسلمين، و هذا بخلاف قاعدة الإلزام، فإنّها ليست بمشهورة بين المسلمين ولم يتعرّض لها أكثر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في أوّل البحث عن قاعدة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سنذكره من المناقشة لا يكون منافياً لما ذكرناه في البحث المتقدّم؛ إذ المناقشات على المسلك الأوّل كانت مبنية على تمامية قاعدة الإقرار و مع الإلتفات إلى تلك القاعدة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الطريق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الأمر بالتزويج، و الاختلاع، و الإبانة، و الأخذ، لا يدلّ </w:t>
      </w:r>
    </w:p>
    <w:p>
      <w:pPr>
        <w:pStyle w:val="BookText"/>
        <w:rPr/>
      </w:pPr>
      <w:r>
        <w:rPr>
          <w:rFonts w:ascii="Amiri" w:hAnsi="Amiri" w:eastAsia="Amiri" w:cs="Amiri"/>
          <w:color w:val="111111"/>
          <w:sz w:val="28"/>
          <w:sz w:val="28"/>
          <w:szCs w:val="28"/>
          <w:rtl w:val="true"/>
          <w:lang w:bidi="ar-SA"/>
        </w:rPr>
        <w:t>على الصحّة، بل من الجائز تشريع تزويج زوجة المخالف، فتخرج عن الزوجية بذلك، نظير استرقاق الكافر الذي هو حرّ قبل الاسترقاق، وحيازة المباح الموجبة لملكية المباح قبل الحيازة واسترقاق زوجة الكافر، فتكون أم ولد للمسترق</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لعلّه غلط من الناسخ؛ إذ الاسترقاق لا يوجب كونها أم ولد، بل يوجب صيرورتها أمَة بعد ما كانت حرّة و زوجة للغير، و الصحيح فتكون أمة للمسترق،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 على الصحة، بل من الجائز تشريع تزويج زوجة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صحيحاً، أي أنّه لا يضرّ إبداء الاحتمال في باب الاستظهار، إلا أنّه لا معيّن لهذا الاحتمال في قبال الاحتمال السابق، مع أنّ تشريع تزويج زوجة الغير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الروايات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القرينة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مصرّحة بعدم الزوجية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المرأة لا تترك بغير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المرأة بغير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روايتي عبد الرحمن و عبد الله بن سنان، و مرجعه إلى نفوذ الطلاق إمّا تقيّة على ما اخترناه و إمّا من باب قاعدة الإلزام على ما ذهب إليه المشهور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علي بن أبي حمزة فهي أيضاً كذلك،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تثبيتهم و اعتبار إنشائهم اعتبار الطلاق المحقق، و مرجعه إلى أنّ الشارع </w:t>
      </w:r>
    </w:p>
    <w:p>
      <w:pPr>
        <w:pStyle w:val="BookText"/>
        <w:rPr/>
      </w:pPr>
      <w:r>
        <w:rPr>
          <w:rFonts w:ascii="Amiri" w:hAnsi="Amiri" w:eastAsia="Amiri" w:cs="Amiri"/>
          <w:color w:val="111111"/>
          <w:sz w:val="28"/>
          <w:sz w:val="28"/>
          <w:szCs w:val="28"/>
          <w:rtl w:val="true"/>
          <w:lang w:bidi="ar-SA"/>
        </w:rPr>
        <w:t>اعتبرها مطلّقة، هذا إذا كانت للجملة موضوعية، و أمّا إذا كانت تمهيدية لجواز التزويج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مكاتبة إبراهيم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فاختلعها منه ، فانّه إنما نوى الفراق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ذكرنا في بحث الأصول بأنّ للظهور درجتان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الظهور من حاقّ اللفظ، كما يقال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زيد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الجواب مطابق للسؤال بلا لفّ و دوران، و هذا ما يمكن تسميته بالظهور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الظهور ظهوراً مقامياً، أي نحن نستظهر من باب أصالة التطابق بين الجواب و السؤال، كما إذا سأل في وقت حسّاس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المنزل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نعتبر هذا الجواب نحو بيان لعدم وجوده في البيت مع قطع النظر عن أنّ الوقت وقت 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بلحاظ 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إلا على أنّ له حق الاختلاع، و مع افتراض كونها زوجة للغير و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استظهار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قرينة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قلنا بوجود قرينة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الإقرار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أنّ زوجة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الزوجية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اختلاعها،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الطلاق، ولا سيما مع وجود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عنى </w:t>
      </w:r>
    </w:p>
    <w:p>
      <w:pPr>
        <w:pStyle w:val="BookText"/>
        <w:rPr/>
      </w:pP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فمجرد عدم كون الدلالة من حاقّ اللفظ لا يكفي لاستظهار هذا المعنى، فإنّا لا نحتاج إلى الظهور من حاقّ اللفظ إلا في موارد يكون الظهور مختصاً بالحاقّ، كما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رواية عبد الله بن طاووس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فأبنها فإنّه عنى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مع قطع النظر عن القرينة الخارجية التي أشرنا إليها تصرّح بأن الطلاق واقع بملاحظة عدم جواز إبانة زوجة الغير، وقياس زوجة المسلم بزوجة الكافر في غير محلّه، مع أنّ التزويج إنّما هو من قبل المرأة، فإنّ المرأة هي التي تنشئ صيغة العقد، و مجرد إبداء هذا الاحتمال لا يصحح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 من عدم دلالة الروايات على الصحّة الواقعيّة فإنّما هو من جهة وجود القرينة الخارجية، و هي قاعدة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استظهار عدم وقوع الطلاق من نفس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استظهار عدم وقوع الطلاق بلحاظ الجمع بين الروايات فذكر السيد الحكيم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 ارتكاب ذلك في مقام الجمع بين الأدلّة أهون من البناء على صحّة الطلاق الفاقد للشرائط، بل هو مقتضى الجمع العرفي بين الأدلّة الأولية و بين هذه النصوص، و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الأحكام،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بين الأدلّة بهذا النحو لعلّه ليس أهون من البناء على الصحّة؛ و ذلك لأنّه كيف يمكن الجمع بين ما تدلّ على أنّ المطلّقة بالطلاق البدعي زوجة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ثلاثاً فإنّهن ذوات أزواج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الواضح أنّ الطلاق الثلاث من غير رجعة من أنواع الطلاق البدعي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بجواز تزويجهن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الحكمان في وعائين زمانيين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ذلك قاعدة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لم ينجر المخالفون إلى التعصب الديني و كان باب البحث و المذاكرة مفتوحاً، ففي هذا الوعاء يقال بأنّ الطلاق البدعي فاسد و جميع آثار الزوجية باقية، و هنا موقف آخر، و هو موقف التجميد و التصلّب، و في هذا الموقف تكون أعمال المخالفين مصداقاً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 الثاني، فلابدّ من الجمع بينها بهذا النحو، لا بالنحو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من الروايات التي استدلّ بها السيد الحكيم وعبّر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تضمنت اللزوم دون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روايتان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يطلّق امرأته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ذكر هذه الرواية في هذه الطائفة بلا وجه؛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داخلة في الإلزام، و نحن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طاووس، فإنّ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دان 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 الرواية على الإلزام؛ و إلا يلزم منها التناقض فيما إذا كان الزوجان مختلفين من حيث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دلالتها على صحّة الطلاق أيضاً غير ظاهرة؛ فإن اللزوم أعم، و لا سيما بملاحظة لزوم التعارض بين تطبيقي الحديث فيما لو كان أحد الزوجين مخالفاً، والآخر مستبصراً، فإنّ المستبصر يدين بفساد الطلاق، و المخالف يدين بصحته، و لا يمكن الجمع بين الحكمين، لأنّ الطلاق لا يقبل الوصف بالصحة و الفساد من جهتين، فلابدّ أن يكون المراد مجرد الحكم على من دان منهما بما دان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الحكم على من دان منهما بما دان لا يحلّ المشكلة، بل يوجدها؛ فإنّه لو كان الزوج مستبصراً و الزوجة مخالفة يلزم على الزوجة الامتناع من الاستمتاعات و يجوز للزوج الاستمتاع، 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الأديان الفاسدة، لا دین الله، و عليه </w:t>
      </w:r>
      <w:bookmarkStart w:id="106" w:name="pg20251_228933"/>
    </w:p>
    <w:p>
      <w:pPr>
        <w:pStyle w:val="BookText"/>
        <w:rPr/>
      </w:pPr>
      <w:bookmarkEnd w:id="106"/>
      <w:r>
        <w:rPr>
          <w:rFonts w:ascii="Amiri" w:hAnsi="Amiri" w:eastAsia="Amiri" w:cs="Amiri"/>
          <w:color w:val="111111"/>
          <w:sz w:val="28"/>
          <w:sz w:val="28"/>
          <w:szCs w:val="28"/>
          <w:rtl w:val="true"/>
          <w:lang w:bidi="ar-SA"/>
        </w:rPr>
        <w:t xml:space="preserve">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يقرّون على أعمالهم، سواء أكان لهم أم عليهم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378732_2320776876"/>
      <w:bookmarkStart w:id="108" w:name="_Toc39"/>
      <w:bookmarkEnd w:id="107"/>
      <w:r>
        <w:rPr>
          <w:rtl w:val="true"/>
        </w:rPr>
        <w:t>الفرع الثاني</w:t>
      </w:r>
      <w:r>
        <w:rPr>
          <w:rtl w:val="true"/>
        </w:rPr>
        <w:t>:</w:t>
      </w:r>
      <w:bookmarkEnd w:id="108"/>
    </w:p>
    <w:p>
      <w:pPr>
        <w:pStyle w:val="BookText"/>
        <w:rPr/>
      </w:pPr>
      <w:r>
        <w:rPr>
          <w:rFonts w:ascii="IRNazanin" w:hAnsi="IRNazanin" w:eastAsia="IRNazanin"/>
          <w:color w:val="111111"/>
          <w:sz w:val="28"/>
          <w:sz w:val="28"/>
          <w:szCs w:val="28"/>
          <w:rtl w:val="true"/>
          <w:lang w:bidi="fa-IR"/>
        </w:rPr>
        <w:t>الفرع الثالث</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أنّه لو طلّق المخالف زوجته بالطلاق البدعي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يقرّ على طلاقه، أو يلزم بما ألزم به نفسه، و بعد انتهاء الزوجة من العدّة استبصر المطلّق، فهل ينتفي الطلاق أو لا؟</w:t>
      </w:r>
    </w:p>
    <w:p>
      <w:pPr>
        <w:pStyle w:val="BookText"/>
        <w:rPr/>
      </w:pPr>
      <w:r>
        <w:rPr>
          <w:rFonts w:ascii="Amiri" w:hAnsi="Amiri" w:eastAsia="Amiri" w:cs="Amiri"/>
          <w:color w:val="111111"/>
          <w:sz w:val="28"/>
          <w:sz w:val="28"/>
          <w:szCs w:val="28"/>
          <w:rtl w:val="true"/>
          <w:lang w:bidi="ar-SA"/>
        </w:rPr>
        <w:t>و لابدّ من التذكير بأنّ المتعرّضين لهذه المسألة عددهم قليل، و كلماتهم مختلفة، فاختار بعض أنّه لا أثر للاستبصار بعد العدّة، إلا أنّ الأغلب على أنّ الاستبصار يؤثر حتى إذا كان بعد العدّة وتكون المرأة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تتزوّج المرأة بعد، هكذا في منهاج الصالحين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الحكم في هذه المسألة مبتن على المسالك الثلاثة المتقدّمة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بالمسلك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به جمع من أنّ الطلاق البدعي من المخالف صحيح واقعاً، فعلى هذا المسلك لا يكون لاستبصاره بعد العدّة أيّ أثر؛ لأنّ العلقة الزوجية قد انتهت بانقضاء العدّة، وعودة الزوجية متوقّفة على سبب من الأسباب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بالمسلك الثاني من أنّ الطلاق البدعي باطل و إن كان صادراً من المخالف، إلا أنّه رخّص للإمامي تزويج المطلّقة بالطلاق البدعي، فإن تزوّجت </w:t>
      </w:r>
    </w:p>
    <w:p>
      <w:pPr>
        <w:pStyle w:val="BookText"/>
        <w:rPr/>
      </w:pPr>
      <w:r>
        <w:rPr>
          <w:rFonts w:ascii="Amiri" w:hAnsi="Amiri" w:eastAsia="Amiri" w:cs="Amiri"/>
          <w:color w:val="111111"/>
          <w:sz w:val="28"/>
          <w:sz w:val="28"/>
          <w:szCs w:val="28"/>
          <w:rtl w:val="true"/>
          <w:lang w:bidi="ar-SA"/>
        </w:rPr>
        <w:t>المرأة بعد انقضاء عدّتها فتحقّقت البينونة بسبب زواجها، و إن لم تتزوّج فهي زوجة للمطلّق، والأدلّة الدالّة على ترخيص الإمامي بالزواج منها قاصرة و لا تشمل ما إذا استبصر المخالف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بطائفتين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قاعدة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قاعدة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الإلزام هو نفس المطلّق، وإلزام المطلّق ليس بلحاظ المعنى المصدري حتى يقال بأنّ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أي أنّ الطلاق موضوع للإلزام بحدوثه، بل بلحاظ الاسم المصدري الذي يعتقد به المخالف بحسب تديّنه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الاسم المصدري هو النتيجة الحاصلة من الطلاق التي لها امتداد، وليس كالطلاق بالمعنى المصدري الذي ليس له امتداد، بل مجرد إنشاء و ينعدم بعد الإنشاء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ألزم به نفسه هو طلاق المرأة، فما نريد إلزامه هو إلزامه بمعتقده الذي له امتداد، و من الواضح أن الإلزام بمعتقده يصحّ فيما إذا كان المطلّق معتقداً به بقاءً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 بما ألزم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استبصر المخالف و تبدّل اعتقاده فهو لا يلتزم فعلاً بتحقّق الطلاق بمعنى الاسم المصدري، بل يعتقد بقاء </w:t>
      </w:r>
    </w:p>
    <w:p>
      <w:pPr>
        <w:pStyle w:val="BookText"/>
        <w:rPr/>
      </w:pPr>
      <w:r>
        <w:rPr>
          <w:rFonts w:ascii="Amiri" w:hAnsi="Amiri" w:eastAsia="Amiri" w:cs="Amiri"/>
          <w:color w:val="111111"/>
          <w:sz w:val="28"/>
          <w:sz w:val="28"/>
          <w:szCs w:val="28"/>
          <w:rtl w:val="true"/>
          <w:lang w:bidi="ar-SA"/>
        </w:rPr>
        <w:t>الزوجية، و عليه فلا يمكن التمسك بقاعدة الإقرار لإثبات حقّ الزواج من هذه المرأة للإمامي أو حقّ تزويجها للغير إذا كانت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قانون الإلزام من القوانين المجعولة منّة على الشيعة و تشديداً على المطلّقين بالطلاق البدعي، أي أنّ لسان الروايات الدالّة على القاعدة لسان الامتنان، و هذا اللسان يقتضي محدودية هذا الحكم بما لم يتغيّر رأيه ولم يستبصر و مادام كونه مخالفاً حتى يكون التشديد مناسباً له، و أمّا بعد استبصاره فالمناسب له هو التوسعة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الروايات التي دلّت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دان بدين قوم لزمته أحكامهم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فإيضاً كذلك، فإنّ موضوعها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فمادام هو متديناً بدين قوم لزمته أحكامهم، و من أحكامهم الترخيص في تزويج مطلّقتهم بالطلاق البدعي، و هذا الموضوع ينتفي فيما إذا دان بدين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يمكن أن يقال بالنسبة إلى هذه الرواية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بالترخيص الذي يحكم به القائل بالمسلك الثاني ليس من باب الأخذ بأحكام ذلك الدين، فإنّ حكم ذلك الدين هو صحّة الطلاق و أنّ المرأة مالكة لأمر نفسها، و ليس من أحكام ذلك الدين أنّ الزوجة باقية على زوجية المطلّق و يجوز للإمامي التزويج بها و بالزواج معها تنعدم زوجيتها عن الزوج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من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 و الحكم الذي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الترخيص بتزويج الغير و أنّ حكم هذا الزواج حكم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أحكامهم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فتقريب هذه الطائفة من الروايات بهذا النحو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نحو كان الملتَزم، فهذا المسلك يرى أنّ المطلقة بالطلاق البدعي زوجة للمطلّق، إلا أنّه للإمامي حقّ التزويج بها، فهو يرى بأنّ الدليل الدال عليه لا إطلاق له لما بعد الاستبصار، بل ظاهر في اختصاص الحكم بحالة الخلاف، فالحكم يكون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أنّا شككنا في الإطلاق و عدمه تصبح الرواية مجملة، و مقتضى الروايات الكثيرة الدالّة على عدم جواز التزويج بذات البعل هو عدم الجواز، و لا يمكن التمسّك لجواز التزويج فيما بعد الاستبصار بالدليل المخصص الأزماني؛ وذلك لإجمال الدليل، فيدخل في المسألة المعنونة و المعروفة في الأصول من أنّه إذا خصص عام بمخصص أزماني مجمل هل يرجع فيما بعد إلى استصحاب الحكم المخصص أو أنّه يؤخذ بالعموم؟</w:t>
      </w:r>
    </w:p>
    <w:p>
      <w:pPr>
        <w:pStyle w:val="BookText"/>
        <w:rPr/>
      </w:pPr>
      <w:r>
        <w:rPr>
          <w:rFonts w:ascii="Amiri" w:hAnsi="Amiri" w:eastAsia="Amiri" w:cs="Amiri"/>
          <w:color w:val="111111"/>
          <w:sz w:val="28"/>
          <w:sz w:val="28"/>
          <w:szCs w:val="28"/>
          <w:rtl w:val="true"/>
          <w:lang w:bidi="ar-SA"/>
        </w:rPr>
        <w:t>و المختار تبعاً لجماعة من المحقّقين هو الرجوع إلى العام، و هو حرمة التزويج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بمطلّقة المطلّق المخالف بعد استبصاره، و الزوجة زوجته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قلنا بالمسلك الثالث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البدعي باطل و فاسد، و الحكم بجواز التزويج بها من باب قانون الإقرار، و ليس قانون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التوسعة على الإمامي و التضييق على الآخرين، بل من باب أنّ التعايش السلمي هو الذي يقتضي احترام قانون الآخرين، سواء أكان القانون </w:t>
      </w:r>
      <w:bookmarkStart w:id="109" w:name="pg20251_228937"/>
    </w:p>
    <w:p>
      <w:pPr>
        <w:pStyle w:val="BookText"/>
        <w:rPr/>
      </w:pPr>
      <w:bookmarkEnd w:id="109"/>
      <w:r>
        <w:rPr>
          <w:rFonts w:ascii="Amiri" w:hAnsi="Amiri" w:eastAsia="Amiri" w:cs="Amiri"/>
          <w:color w:val="111111"/>
          <w:sz w:val="28"/>
          <w:sz w:val="28"/>
          <w:szCs w:val="28"/>
          <w:rtl w:val="true"/>
          <w:lang w:bidi="ar-SA"/>
        </w:rPr>
        <w:t>موجداً لارتباط الزوجية و أشباهها أم رافعاً لارتباط الزوجية، و يقرّون على قوانينهم إذا استبصروا فيما إذا لم يكن قانونهم مخالفاً بقاءً مع الأحكام الشرعية، فإنّ بعضهم يرى جواز التزويج بالمخلوقة من مائه، كما إذا زنى بامرأة و تولّدت منها بنت، فإنّ تزوّج شخص بالمخلوقة من مائه ثم استبصر لا يقرّ على هذا الزواج، فلا أثر للاستبصار بعد انقضاء العدّة على هذا المسلك، بل يقرّ على ما فعله إذا لم يكن بقاءً مخالفاً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الحكم ربما يكون له و ربما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ما ذكرنا رواية علي بن سويد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5378734_2320776876"/>
      <w:bookmarkStart w:id="111" w:name="_Toc40"/>
      <w:bookmarkEnd w:id="110"/>
      <w:r>
        <w:rPr>
          <w:rtl w:val="true"/>
        </w:rPr>
        <w:t>الفرع الثالث</w:t>
      </w:r>
      <w:r>
        <w:rPr>
          <w:rtl w:val="true"/>
        </w:rPr>
        <w:t>:</w:t>
      </w:r>
      <w:bookmarkEnd w:id="111"/>
    </w:p>
    <w:p>
      <w:pPr>
        <w:pStyle w:val="BookText"/>
        <w:rPr/>
      </w:pPr>
      <w:r>
        <w:rPr>
          <w:rFonts w:ascii="IRNazanin" w:hAnsi="IRNazanin" w:eastAsia="IRNazanin"/>
          <w:color w:val="111111"/>
          <w:sz w:val="28"/>
          <w:sz w:val="28"/>
          <w:szCs w:val="28"/>
          <w:rtl w:val="true"/>
          <w:lang w:bidi="fa-IR"/>
        </w:rPr>
        <w:t>الفرع الثالث</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أنّه لو طلّق المخالف زوجته بالطلاق الثلاث الذي لا يترتّب عليه الأثر عند الإمامية، فهل يكون مثل هذا الطلاق مورداً لقاعدة الإقرار أو الإلزام أو لا؟</w:t>
      </w:r>
    </w:p>
    <w:p>
      <w:pPr>
        <w:pStyle w:val="BookText"/>
        <w:rPr/>
      </w:pPr>
      <w:r>
        <w:rPr>
          <w:rFonts w:ascii="Amiri" w:hAnsi="Amiri" w:eastAsia="Amiri" w:cs="Amiri"/>
          <w:color w:val="111111"/>
          <w:sz w:val="28"/>
          <w:sz w:val="28"/>
          <w:szCs w:val="28"/>
          <w:rtl w:val="true"/>
          <w:lang w:bidi="ar-SA"/>
        </w:rPr>
        <w:t xml:space="preserve">و من الواضح أنّ طلاق الثلاث إنّما يترتّب عليه الأثر و يوجب البينونة و لا يجوز للزوج التزوّج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فيما إذا أوقع طلاق الثلاث متخللاً برجوعين أو عقدين بعد العدّة أو رجوع وعقد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أكثر العامة ذهبوا إلى أنّ الأثر المذكور يترتّب على طلاق الثلاث و إن لم يكن بينها رجوع أو عقد، بأن ينشئ طلاق الثلاث إمّا بصيغة واحدة كأن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بصيغ متعددة بلا فصل رجوع أو عقد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حكم هذا الطلاق الثلاث الصادر من المخالف، فقد وردت روايات متعددة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المطلّقات ثلاثاً ذوات أزواج و أنّ هذا الطلاق لا يوجب انتفاء الزوجية، فضلاً عن البينونة و عدم جواز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توضيحاً لتحرير محلّ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تارة يكون فاقداً لشرائطه المعتبرة عندنا و غير معتبرة عند العامة، كوقوع الطلاق في طهر المواقعة و شهادة عدلين و عدم التعليق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يكون فاقداً للشروط العامة المشار إلى بعضها، إلا أنّه وقع و صدر ثلاثاً أو بصيغة واحدة أو بصيغ متعددة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الطلاق فاقداً للشرائط العامة المشار إليها فهذا داخل في البحث السابق و أنّ الطلاق البدعي هل هو صحيح واقعاً أو ليس بصحيح؟</w:t>
      </w:r>
    </w:p>
    <w:p>
      <w:pPr>
        <w:pStyle w:val="BookText"/>
        <w:rPr/>
      </w:pPr>
      <w:r>
        <w:rPr>
          <w:rFonts w:ascii="Amiri" w:hAnsi="Amiri" w:eastAsia="Amiri" w:cs="Amiri"/>
          <w:color w:val="111111"/>
          <w:sz w:val="28"/>
          <w:sz w:val="28"/>
          <w:szCs w:val="28"/>
          <w:rtl w:val="true"/>
          <w:lang w:bidi="ar-SA"/>
        </w:rPr>
        <w:t>و إن لم يكن فاقداً للشرائط العامة، إلا أنّه فاقد لشرط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وقوع طلاق الثلاث بعد طلاقين بينهما رجوع أو عقد، فهذا يتصوّر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بطلاق الثلاث بصيغة واحدة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يدلّ على أن المطلّقات ثلاثاً ذوات أزواج إنّما هو بلحاظ أنّ هذا الطلاق لا يقع إلا واحداً كما عليه أكثر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نسب هذا القول إلى أشهر الروايتين</w:t>
      </w:r>
      <w:r>
        <w:rPr>
          <w:rStyle w:val="FootnoteAnchor"/>
          <w:rtl w:val="true"/>
        </w:rPr>
        <w:footnoteReference w:id="308"/>
      </w:r>
      <w:r>
        <w:rPr>
          <w:rFonts w:ascii="Amiri" w:hAnsi="Amiri" w:eastAsia="Amiri" w:cs="Amiri"/>
          <w:color w:val="111111"/>
          <w:sz w:val="28"/>
          <w:sz w:val="28"/>
          <w:szCs w:val="28"/>
          <w:rtl w:val="true"/>
          <w:lang w:bidi="ar-SA"/>
        </w:rPr>
        <w:t>، فإنّ المسألة خلافية، فقد ذهب الأكثر إلى أنّه يقع واحداً</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طلقة في الحال، بقوله أنت طالق إذا نوى الفرقة، و ما عدا ذلك لغو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ذهب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المقتضى للواحدة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لا يصلح للمانعية فيثبت الحكم، 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لفظ الطلاق و قوله أنت طالق، للإجماع على سببيّته مع وجود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حصول ذلك و أمّا عدم صلاحية المعارض للمانعية فلأنّه ليس إلّا قوله ثلاثاً و هو غير معارض لأنّه مؤكد لكثرة الطلاق و إيقاعه، وتكثير سبب البينونة، والواحدة موجودة في الثلاثة لتركبها عنها و عن وحدتين أُخريين و لا منافاة بين الكل و جزئه فيكون المقتضي و هو الجزء خالياً عن المعارض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قبال ذلك ذهب جمع إلى أنّه لا يقع، و لا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الطلاق الثلاث بلفظ واحد لا يقع، وباقى الفقهاء يخالفون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يتلفظ بالطلاق موحداً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حمزة في تفسير الطلاق البدعي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الطلاق المعلق بشرط، و ايقاع الطلاق ثلاثاً بلفظة واحدة و لا يقع كلاهما وقال بعض أصحابنا تقع واحدة من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بن سعيد في شرائط صحة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يتلفظ به موحداً فإن خالف لم يقع، و قيل يقع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بثلاث صيغ متوالية، و لا إشكال في أنّه يقع طلاقاً واحداً إذا كان جامعاً للشرائط الأخر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أنّها لا تكون ذات زوج إذا كان طلاق الثلاث بصيغ متعددة، فإنّه يقع طلاقاً واحداً بلا إشكال، و لها أن تتزوج بعد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بصيغة واحدة، فإنّه كما أشرنا ذهب جمع إلى أنّه لا يقع إلا واحداً، و ذهب جمع آخر إلى أنّه لا أثر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القاعدة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مقتضى الروايات فلا نبحث عنه فعلاً و المختار أنّه ليس مقتضاها إلا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إنشاء طلاق الثلاث بصيغة واحدة يتصوّر بأنحاء ثلاثة قد تعرّض لها فقهاء العامة و الخاصّة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عبارة عن أمر واحد و هو طلاق الثلاث، أي أنّه ينشئ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طلقات ثلاث و أعدام ثلاثة للنكاح، و هذا ظاهر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المنشئ منفصلاً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هذا الطلاق طلاقاً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جمع من العامة، كما في مغني ابن قدامة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وقال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قال أنت طالق ثلاثاً وقع عليها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الفقهاءإلا رواية عطاء فإنّه قال يقع عليها 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من الفعل، يصحّ للواحدة ولما زاد عليها،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له، فكان وقوع الثلاث عليها دفعة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وذكره جمع من الخاصة كصاحب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الاستعارة، و مراده إنشاء البينونة الحاصلة شرعاً بسبب طلاق الثلاث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إنشاء حكم الطلاق لا إنشاء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تعرّض له ابن رشد</w:t>
      </w:r>
      <w:r>
        <w:rPr>
          <w:rStyle w:val="FootnoteAnchor"/>
          <w:rtl w:val="true"/>
        </w:rPr>
        <w:footnoteReference w:id="31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هذا النحو من التصوير لعلّه يحمل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 فقد طلّقتك ثلاثاً لا رجعة بعدها أبداً</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وليس معنی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الدنيا أولاً ثم رجع ثم طلّق ثم رجع ثم طلّق، بل معناه أنّ البينونة الحاصلة بسبب طلاق الثلاث قد تحقّقت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أعدام ثلاثة للنكاح الواحد أمر غير معقول و غير عقلائي، فإنّ من الأمور الواضحة أنّه ليس نقيض الواحد إلا الواحد، و ليس الوجود الواحد قابلاً للنقائض المتعددة، فإنشاء أعدام ثلاثة للنكاح الواحد </w:t>
      </w:r>
    </w:p>
    <w:p>
      <w:pPr>
        <w:pStyle w:val="BookText"/>
        <w:rPr/>
      </w:pPr>
      <w:r>
        <w:rPr>
          <w:rFonts w:ascii="Amiri" w:hAnsi="Amiri" w:eastAsia="Amiri" w:cs="Amiri"/>
          <w:color w:val="111111"/>
          <w:sz w:val="28"/>
          <w:sz w:val="28"/>
          <w:szCs w:val="28"/>
          <w:rtl w:val="true"/>
          <w:lang w:bidi="ar-SA"/>
        </w:rPr>
        <w:t>غير قابل للإنشاء القانوني، و لا فرق فيما ذكرنا بين التكوينيات و الاعتباريات، فكما أنّ التكوينيات الموجودة بالوجود الواحد غير قابلة إلا لانعدام واحد، كذلك الاعتباريات قابلة لإعدام واحد لا إعدامات متعددة، فعلى القاعدة مثل هذا الطلاق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فمقتضى القاعدة يكون اعتبار الطلاق ثلاثاً اعتباراً لغواً، فيقع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وهي إنشاء الحكم بتخيّل أنّ الطلاق من قبيل النذر، فكما يمكن جعل شيء على نفسه بالنذر كذلك يمكن جعل الطلاق على نفسه، فعلى القاعدة مثل هذا الطلاق لا يترتّب عليه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و إن ذهبوا إلى أنّ طلاق الثلاث بصيغة واحدة يقع واحداً، إلا أنّه لا وجه لما ذهبوا إليه، فإنّ الظاهر من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الصورة الأولى، وهكذا لو استظهر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الثالثة فلا يستظهر من هذه العبارة،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ناظر إلى الموارد التي يكون الطلاق فاقداً لشرائط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أغلب طلاق أهل السنة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ناظر إلى ما إذا كان الطلاق بصيغة واحدة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الأثر المرغوب من البينونة و عدم جواز التزويج إلا مع المحلل مما لا يترتّب عليه، و كما أشرنا لا يستفاد من روايات الباب إلا ما ذكرنا على وفق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الصور الثلاث المتقدّمة يقع طلاق الثلاث الصادر من المخالف واحداً، و هذا مما لابدّ من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غاية الأمر إمّا شرط الصيغة مفقود أو منضم إلى سائر الشروط المفقودة، و المفروض أنّ مثل هذا لا ينافي قاعدة الإلزام أو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ترتيب آثار طلاق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في أوّل البحث أنّ المتعرّضين لهذه المسألة من القدماء عدد قليل و من المتأخرين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كلمات بعض القدماء و المتأخرين هو ترتيب آثار الطلاق الثلاث في البينونة و عدم جواز التزويج حتى تنكح زوجاً غيره، وإن كانت كلمات بعضهم فيها نحو إجمال كما في الاستبصار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ترتیب آثار طلاق الثلاث هو عدم جواز الرجوع أو التزويج للمخالف، و يدلّ عليه رواية عبد الله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جعفر بن محمد العلوي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طلاقكم الثلاث لا يحلّ لغيركم، وطلاقهم يحلّ لكم؛ لأنّكم لا ترون الثلاث شيئاً و هم يوجبونها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عبد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مستخفّاً بالطلاق ألزمته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و إن قلنا بأنّ هذه الرواية محمولة على التقيّة؛ لأنّه لم يذكر فيها كون المطلّق مخالفاً أو موافقاً، إلا أنّه بناء على أن تكون الرواية مرتبطة بطلاق الثلاث الصادر من المخالف فيمكن الاستدلال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يمكن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رجع أو تزوّجها يكون رجوعه أو زواجه فاسداً من وجهة نظره، و هل يمكن لنا ترتيب آثار الفساد على هذا الرجوع أو الزواج أو لا؟</w:t>
      </w:r>
    </w:p>
    <w:p>
      <w:pPr>
        <w:pStyle w:val="BookText"/>
        <w:rPr/>
      </w:pPr>
      <w:r>
        <w:rPr>
          <w:rFonts w:ascii="Amiri" w:hAnsi="Amiri" w:eastAsia="Amiri" w:cs="Amiri"/>
          <w:color w:val="111111"/>
          <w:sz w:val="28"/>
          <w:sz w:val="28"/>
          <w:szCs w:val="28"/>
          <w:rtl w:val="true"/>
          <w:lang w:bidi="ar-SA"/>
        </w:rPr>
        <w:t>قال صاحب الجواهر في كتاب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تزوّجوا بالسبب الفاسد عندهم الصحيح عندنا أمكن جريان أحكام الصحيح عليه، لإطلاق ما دلّ على صحته التي لا يقدح فيها زعمهم الفساد، ويحتمل إلزامهم بأحكام الفاسد معاملة لهم بما يقتضيه دينهم وإلزامهم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فالعامي المطلّق ثلاثاً بصيغة واحدة لا يترتّب على رجوعه بها في العدّة حكمه، بل لنا أن نتزوّجها و إن كان قد رجع بها؛ إلزاماً لهم بما ألزموا به أنفسهم، و لعلّ هذا هو الأقوى</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يناقش في قاعدة الإلزام بما ذكره العلامة البلاغي في ضمن كلام له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يمكن إلزامهم بما هو من أحكامهم، و أمّا الفساد فليس بحكم؛ لأنّ أحاديث الإلزام ناظرة إلى الأحكام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الآثار الشرعية دون ما هو مثل الفساد الوضعي إن فرض له وجود غير منتزع من عدم ترتب الأحكام، فإنّه ليس الفساد الوضعي إلا عدم الحكم، أي أنّه لغو</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12" w:name="pg20251_228946"/>
    </w:p>
    <w:p>
      <w:pPr>
        <w:pStyle w:val="BookText"/>
        <w:rPr/>
      </w:pPr>
      <w:bookmarkEnd w:id="112"/>
      <w:r>
        <w:rPr>
          <w:rFonts w:ascii="Amiri" w:hAnsi="Amiri" w:eastAsia="Amiri" w:cs="Amiri"/>
          <w:color w:val="111111"/>
          <w:sz w:val="28"/>
          <w:sz w:val="28"/>
          <w:szCs w:val="28"/>
          <w:rtl w:val="true"/>
          <w:lang w:bidi="ar-SA"/>
        </w:rPr>
        <w:t>و لكن الحكم شامل للحكم بالصحّة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و إن كان أمراً عدمياً، إلا أنّه من قبيل العدم والملكة، فلا يمكن المناقشة في قاعدة الإلزام بمثل 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أنّ هذا الحكم مستند إلى هذه الروايات، و كما عرفت سابقاً أنّ هذه الروايات إمّا ضعيفة سنداً أو دلالة، فلابدّ و أن نرى ما يقتضي الإقرار، و مقتضى الإقرار في المقام هو الحكم بالفساد؛ لأنّ الإقرار يكون في نطاق إقرارهم على رؤيتهم الدينية، و من الواضح أنّ هذا الرجوع فاسد على مرامهم، و لذا ذكر الفقهاء بأنّه لو صلّى وصام على خلاف مسلكه ثمّ استبصر لا يحكم بالصحّة، بل لابدّ من إعادة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البحث عن صحة رجوعه أو زواجه منها في الفرع الخامس و أنّه ما هو حكم ما إذا أتى بالعقد الفاسد من وجهة نظرهم و الصحيح من وجهة نظرنا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378736_2320776876"/>
      <w:bookmarkStart w:id="114" w:name="_Toc41"/>
      <w:bookmarkEnd w:id="113"/>
      <w:r>
        <w:rPr>
          <w:rtl w:val="true"/>
        </w:rPr>
        <w:t>الفرع الرابع</w:t>
      </w:r>
      <w:r>
        <w:rPr>
          <w:rtl w:val="true"/>
        </w:rPr>
        <w:t>:</w:t>
      </w:r>
      <w:bookmarkEnd w:id="114"/>
    </w:p>
    <w:p>
      <w:pPr>
        <w:pStyle w:val="BookText"/>
        <w:rPr/>
      </w:pPr>
      <w:r>
        <w:rPr>
          <w:rFonts w:ascii="IRNazanin" w:hAnsi="IRNazanin" w:eastAsia="IRNazanin"/>
          <w:color w:val="111111"/>
          <w:sz w:val="28"/>
          <w:sz w:val="28"/>
          <w:szCs w:val="28"/>
          <w:rtl w:val="true"/>
          <w:lang w:bidi="fa-IR"/>
        </w:rPr>
        <w:t>الفرع الرابع</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إذا طلّق المخالف زوجته بطلاق الثلاث، ثم استبصر، فهل يكون استبصاره مفيداً أو 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وقوع الطلاق فقد تقدّم بأنّ الاستبصار غير مفيد هنا، من جهة أنّ هذا المستبصر لابدّ و أن يقرّ على عمله السابق و ترتيب أحكامه،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في العدّة وعدم الزواج منها بعد العدّة من دون تخلّل محلّل ، إلا أنّ الإشكال في أنّ هذه الأحكام إنّما تتوجّه إليه في حال تشيّعه و </w:t>
      </w:r>
      <w:bookmarkStart w:id="115" w:name="pg20251_228947"/>
    </w:p>
    <w:p>
      <w:pPr>
        <w:pStyle w:val="BookText"/>
        <w:rPr/>
      </w:pPr>
      <w:bookmarkEnd w:id="115"/>
      <w:r>
        <w:rPr>
          <w:rFonts w:ascii="Amiri" w:hAnsi="Amiri" w:eastAsia="Amiri" w:cs="Amiri"/>
          <w:color w:val="111111"/>
          <w:sz w:val="28"/>
          <w:sz w:val="28"/>
          <w:szCs w:val="28"/>
          <w:rtl w:val="true"/>
          <w:lang w:bidi="ar-SA"/>
        </w:rPr>
        <w:t>استبصاره، و من الواضح أنّ هذه الأحكام مترتّبة على طلاق الثلاث الواقع على وفق المذهب، و هذه الأحكام من المفروض أنّها متوجّهة إليه بعد الاستبصار، و ترتّب و توجّه الأحكام بالنسبة إليه مما لا دليل عليه، و ما دلّ عليه الدليل هو إقرار العمل السابق بما له من الآثار، وما يقرّ عليه هو نفس الطلاق، وأمّا الأحكام المترتّبة على طلاق الثلاث تترتّب مادام هو معتقداً صحّة الطلاق، و أمّا بعد الاستبصار فقاعدة الإقرار لا تدلّ على ترتّب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استبصر و زوجته بعد في العدّة يمكنه الرجوع إليها، وإذا انقضت عدّتها له أن يتزوّجها؛ لأنّ ما وقع هو طلاق واحد، لا طلاق الثلاث</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378738_2320776876"/>
      <w:bookmarkStart w:id="117" w:name="_Toc42"/>
      <w:bookmarkEnd w:id="116"/>
      <w:r>
        <w:rPr>
          <w:rtl w:val="true"/>
        </w:rPr>
        <w:t>الفرع الخامس</w:t>
      </w:r>
      <w:r>
        <w:rPr>
          <w:rtl w:val="true"/>
        </w:rPr>
        <w:t>:</w:t>
      </w:r>
      <w:bookmarkEnd w:id="117"/>
    </w:p>
    <w:p>
      <w:pPr>
        <w:pStyle w:val="BookText"/>
        <w:rPr/>
      </w:pPr>
      <w:r>
        <w:rPr>
          <w:rFonts w:ascii="Amiri" w:hAnsi="Amiri" w:eastAsia="Amiri" w:cs="Amiri"/>
          <w:color w:val="111111"/>
          <w:sz w:val="28"/>
          <w:sz w:val="28"/>
          <w:szCs w:val="28"/>
          <w:rtl w:val="true"/>
          <w:lang w:bidi="ar-SA"/>
        </w:rPr>
        <w:t xml:space="preserve">ما تعرّض له جمع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مستحدثات المسائل،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الإشهاد في صحّة النكاح عند العامة، ولا يعتبر عند الإمامية، وعليه فلو عقد رجل من العامة على امرأة بدون إشهاد بطل عقده، و عندئذ يجوز للشيعي أن يتزوجها بقاعدة الإلزام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الفرع أبحاث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العامة اختلفوا في اعتبار الإشهاد و عدمه، كما اختلفوا في كيفية الشاهدين، و هكذا اختلفوا في اعتبار الإشهاد حين العقد أو حين الدخول، و بعض منهم ذهب إلى عدم اعتبار الإشهاد،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هو السريّة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غير مالك من أئمتهم الأربعة ذهبوا إلى اعتبار الإشهاد، و أمّا مالك فغير واضح مسلكه، ففي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شرطه ترك التواصي بالكتمان، فإن تواصوا بالكتمان بطل و إن حضره الشهود، و إن لم يتواصوا بالكتمان صحّ و إن لم يكن شهود</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يصحّ القول باعتبار الإشهاد عند أئمتهم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يحكمون بفساده قد يكون متفقاً عليه بينهم و قد لا يكون كذلك، فإن لم يكن متفقاً عليه، فقد ذهب المالكية و الحنابلة إلى أنّ مثل هذا العقد الذي هو مختلف فيه لا يوجب بينونة المرأة عن الزوج مطلقاً، بل لابدّ من تطليق الزوج لها، و إن لم يفعل طلّقها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القاضي هو الذي أجرى صيغة النكاح أو غير صيغة النكاح من العقود المختلف فيها، و أمّا إذا كان القاضي هو المجري أو كان بمحضر منه فتحكم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ليس معنى الفساد عند المالكية والحنابلة أنّ هذا العقد كأن لم يكن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مغني ابن قدامة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تزوّجت المرأة تزويجاً فاسداً لم يجز تزويجها لغير من تزوجها حتى يطلّقها أو يفسخ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امتنع من طلاقها فسخ الحاكم نكاحه، نصّ عليه أحمد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المسألة معنونة في موافقات الشاطبي أيضاً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مرادهم بالفساد نظير الاحتياطات الواجبة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رشد في البداية أنّ التزويج الفاسد محتاج إلى الطلاق</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ويشبه أن تكون هذه عنده هي الأنكحة المكروهة، وإلا فلا وجه للفرق بين الدخول وعدم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والاضطراب في المذهب في هذا الباب كثير، وكأن هذا راجع عنده إلى قوّة دليل الفسخ وضعفه، فمتى كان الدليل عنده قوياً فسخ قبله وبعده، ومتى كان ضعيفاً فسخ قبل ولم يفسخ بعد، وسواء كان الدليل القوي متفقاً عليه أو مختلفاً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نعم الشافعية و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ذهبوا إلى أنّه لا أثر للنكاح الفاسد، كما نقل عن الشافعي في مغني ابن قدامة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بدائع الصنائع للكاشاني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النكاح الفاسد فلا حكم له قبل الدخول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ذكر أقوالهم هو أنّه لا يمكن الحكم بجواز التزويج بمجرد اعتبارهم الإشهاد في النكاح، و أنّ النكاح بلا إشهاد فاسد من باب الإلزام، بل لابدّ و أن يرى ما هو مذهب المتزوّج بالنكاح الفاسد، فإن كان من الشافعية أو الحنفية فيجوز، و إلا فلا يجوز، فإنّ الحنابلة و المالكية لا يرون جواز التزويج للغير إلا بعد 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على مسلك الشافعية والحنفية لابدّ من التفصيل بين قبل الدخول و بعده، فإن كان قبل الدخول فلا حكم له، و أمّا إن كان بعد الدخول فهذا من قبيل الوطء بالشبهة</w:t>
      </w:r>
      <w:r>
        <w:rPr>
          <w:rStyle w:val="FootnoteAnchor"/>
          <w:rtl w:val="true"/>
        </w:rPr>
        <w:footnoteReference w:id="323"/>
      </w:r>
      <w:r>
        <w:rPr>
          <w:rFonts w:ascii="Amiri" w:hAnsi="Amiri" w:eastAsia="Amiri" w:cs="Amiri"/>
          <w:color w:val="111111"/>
          <w:sz w:val="28"/>
          <w:sz w:val="28"/>
          <w:szCs w:val="28"/>
          <w:rtl w:val="true"/>
          <w:lang w:bidi="ar-SA"/>
        </w:rPr>
        <w:t>، و من المعلوم أنّ الوطء بالشبهة له عدّة، فلا يجوز للغير تزويج المرأة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ملاحظات ثلاث لابدّ من مراعاتها إذا أردنا الحكم بجواز تزويج من زوّجت من المخالفين بلا 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الكبرى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المعتقد لاعتبار الإشهاد في النكاح و أنّ النكاح بلا إشهاد فاسد واقعاً، لو تزوّج بلا إشهاد سواء أتزوّج بالشيعية أم تزوّج بالمخالفة هل يكون نكاحه فاسداً أو 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للحكم بفساد مثل هذا النكاح طريقان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قاعدة الإلزام و 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قاعدة الإلزام و 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للطريق الأوّل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الحكم بصحّة القبول ممن يعتقد اعتبار الإشهاد و أنّ النكاح بدونه فاسد؛ وذلك لأنّ من شرائط الإيجاب و القبول القصد، و القصد إنّما يحرز بالأصل العقلائي الذي ذكرناه في الأصول كراراً، و هذا الأصل العقلائي يجري ما لم يكن هناك شاهد على الخلاف، و في المقام يوجد شاهد على الخلاف و هو كونه معتقداً لفساد العقد بلا إشهاد، و هو مانع من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هذا المسلك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 إذ القائل بمذهب من المذاهب ربما لا يكون عالماً بالمسائل أو عاملاً بأحكام ذلك المذهب، و مجرد كونه ذا مذهب لا يقتضي أن لا يكون قاصداً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الإشهاد لو كان دليلاً فإنّما يكون دليلاً على عدم قصد السبب إلى النكاح القانوني، لا عدم القصد بالنسبة إلى مفاد المنشأ، و بينهما فرق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مطلق العقود أو في خصوص عقد النكاح قصد التسبيب إلى الأثر القانوني، و قد تعرّض الشيخ لهذه المسألة في المكاسب</w:t>
      </w:r>
      <w:r>
        <w:rPr>
          <w:rStyle w:val="FootnoteAnchor"/>
          <w:rtl w:val="true"/>
        </w:rPr>
        <w:footnoteReference w:id="324"/>
      </w:r>
      <w:r>
        <w:rPr>
          <w:rFonts w:ascii="IRNazanin" w:hAnsi="IRNazanin" w:eastAsia="IRNazanin"/>
          <w:color w:val="111111"/>
          <w:sz w:val="28"/>
          <w:sz w:val="28"/>
          <w:szCs w:val="28"/>
          <w:rtl w:val="true"/>
          <w:lang w:bidi="fa-IR"/>
        </w:rPr>
        <w:t xml:space="preserve">، و نقل </w:t>
      </w:r>
    </w:p>
    <w:p>
      <w:pPr>
        <w:pStyle w:val="BookText"/>
        <w:rPr/>
      </w:pP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مفادها اعتبار قصد التسبيب إلى الأثر القانوني</w:t>
      </w:r>
      <w:r>
        <w:rPr>
          <w:rStyle w:val="FootnoteAnchor"/>
          <w:rtl w:val="true"/>
        </w:rPr>
        <w:footnoteReference w:id="326"/>
      </w:r>
      <w:r>
        <w:rPr>
          <w:rFonts w:ascii="Amiri" w:hAnsi="Amiri" w:eastAsia="Amiri" w:cs="Amiri"/>
          <w:color w:val="111111"/>
          <w:sz w:val="28"/>
          <w:sz w:val="28"/>
          <w:szCs w:val="28"/>
          <w:rtl w:val="true"/>
          <w:lang w:bidi="ar-SA"/>
        </w:rPr>
        <w:t>، و في خصوص النكاح يمكن إقامة شواهد على ذلك، وقد تعرّض إليها صاحب المقابس في أوّل النكاح</w:t>
      </w:r>
      <w:r>
        <w:rPr>
          <w:rStyle w:val="FootnoteAnchor"/>
          <w:rtl w:val="true"/>
        </w:rPr>
        <w:footnoteReference w:id="327"/>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روي في الفقيه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لا تحلّ إلا لمن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حرام على من جهلها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من مراسيل الصدوق التي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على بعض المسالك تكون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حرّم على شيعتنا المسكر من كلّ شراب و عوّضهم من ذلک المتعة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من ذكر خصوصيات صيغة المتعة تدلّ على أنّ من يريد المتعة لابدّ له من قصد التسبيب إلى حكم الله الواقعي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أتزوّجك متعة كذا و كذا يوماً بكذا و كذا درهماً نكاحاً غير سفاح على كتاب </w:t>
      </w:r>
    </w:p>
    <w:p>
      <w:pPr>
        <w:pStyle w:val="BookText"/>
        <w:rPr/>
      </w:pPr>
      <w:r>
        <w:rPr>
          <w:rFonts w:ascii="Amiri" w:hAnsi="Amiri" w:eastAsia="Amiri" w:cs="Amiri"/>
          <w:color w:val="111111"/>
          <w:sz w:val="28"/>
          <w:sz w:val="28"/>
          <w:szCs w:val="28"/>
          <w:rtl w:val="true"/>
          <w:lang w:bidi="ar-SA"/>
        </w:rPr>
        <w:t xml:space="preserve">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لا ترثيني و لا أرثك و على أن تعتّدي خمسةً و أربعين يوماً، وقال بعضهم حيضة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فلابدّ من قصد التسبيب في خصوص النكاح إن لم نقل بلزومها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المسلك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الشواهد لا تكفي لإثبات اعتبار قصد التسبيب، فإنّ الرواية الأولى على فرض اعتبارها،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لا يعتقد جوازها يكون عمله زناً بالتالي، وذلك لأنّ الفارق بين المتعة و الزنا دقيق جداً، و لذا قد أكّد بالنسبة إلى صيغة النكاح على كتاب الله وسنة نبيه حتى لا يتوهّم بأنّ هذا من الاستئجار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عبد الله بن سنان فهي مرتبطة بالعمل الخارجي و أنّ الشيعة تستفيد خارجاً من المتعة و لا تستفيد من كلّ مسكر كما تستفيد منه العامة، و ليس معناها أنّ حليّة المتعة خاصة بالشيعة، و الشواهد على ذلك هو أنّ حرمة كلّ مسكر لا تختص بالشيعة، بل يحرم على العامة أيضاً، فظهر أنّ التمسك بالطريق الأوّل بكلا مسلكيه لإثبات الفساد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الفساد بقاعدة الإلزام و ما يلحق بها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قاعدة الإلزام فلا يمكن التمسّك بها لإثبات الفساد من جهة عدم ثبوت هذه القاعدة، و على فرض ثبوتها، فالتوسعة محلّ إشكال و تأمل، فإنّ الإلزام </w:t>
      </w:r>
    </w:p>
    <w:p>
      <w:pPr>
        <w:pStyle w:val="BookText"/>
        <w:rPr/>
      </w:pPr>
      <w:r>
        <w:rPr>
          <w:rFonts w:ascii="Amiri" w:hAnsi="Amiri" w:eastAsia="Amiri" w:cs="Amiri"/>
          <w:color w:val="111111"/>
          <w:sz w:val="28"/>
          <w:sz w:val="28"/>
          <w:szCs w:val="28"/>
          <w:rtl w:val="true"/>
          <w:lang w:bidi="ar-SA"/>
        </w:rPr>
        <w:t>مرتبط بالمطلّقات على غير السنة و جواز تزويج المطلّقة على غير السنة، و لا يتعرض إلى ما إذا تزوّج بنكاح صحيح على وفق مذهب الحق و فاسد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قاعدة الإلزام إلزامهم بصحّة ما هو فاسد عندنا، لا إلزامهم بفساد ما هو 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الاستحلال، بتقريب أنّ العامة يرون لنا تزويج مثل هذه المرأة حلالاً،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لا يمكن التمسّك بها؛ وذلك لأنّ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أهل ذلك الدين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ما يستحلّون لما يصدر من غير أهل ذلك الدين حيث إنّهم يستحلّون لنا و لا يصدر من أنفسهم، بعيد جدّاً، مضافاً إلى ما تقدّم من المناقشات و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الفساد مبتن على تمامية الرواية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عمّا ذكره العلامة البلاغي من أنّ الفساد ليس من الأحكام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قاعدة الإقرار، فبما أنّ إقرارهم يؤول إلى فساد مثل هذا التزويج تكون إقراراً لقانونهم، فللتمسّك بهذه القاعدة لإثبات الفساد وجه و إن كان الجزم به محلّ تأمّل، فلابدّ من الاحتياط في هذا المورد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الكلام في قاعدة الإلزام، و الحمد لله أوّلاً وآخراً، وصلّى الله على سیدنا محمد و آله الطاهرين</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مفاد القاعدة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لمحة عن تأريخ القاعدة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الصدوق إلى زمن الشهيد الثاني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الشهيد الثاني إلى يومنا هذا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الروايات التي يمكن الاستدلال بها القاعدة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اقوال الفقهاء في الزوجية الواقعة بين الكفار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كون سائر الفرق يعدّون من أهل دين واحد أو أديان متعدّدة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التعامل بين الشيعة والسنة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عبادات المخالف إذا استبصر </w:t>
      </w:r>
      <w:r>
        <w:rPr>
          <w:rFonts w:eastAsia="Amiri" w:cs="Amiri" w:ascii="Amiri" w:hAnsi="Amiri"/>
          <w:color w:val="111111"/>
          <w:sz w:val="28"/>
          <w:szCs w:val="28"/>
          <w:lang w:bidi="ar-SA"/>
        </w:rPr>
        <w:t>130</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القاعدتين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قاعدة المقاصة النوعية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بحث في خيار الغبن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فروع قاعدة الإقرار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lang w:bidi="fa-IR"/>
        </w:rPr>
        <w:t>191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أسئلة حول رؤية الهلال</w:t>
      </w:r>
    </w:p>
    <w:p>
      <w:pPr>
        <w:pStyle w:val="BookText"/>
        <w:rPr/>
      </w:pPr>
      <w:r>
        <w:rPr>
          <w:rFonts w:ascii="IRNazanin" w:hAnsi="IRNazanin" w:eastAsia="IRNazanin"/>
          <w:color w:val="111111"/>
          <w:sz w:val="28"/>
          <w:sz w:val="28"/>
          <w:szCs w:val="28"/>
          <w:rtl w:val="true"/>
          <w:lang w:bidi="fa-IR"/>
        </w:rPr>
        <w:t>مع أجوبتها</w:t>
      </w:r>
    </w:p>
    <w:p>
      <w:pPr>
        <w:pStyle w:val="BookText"/>
        <w:rPr/>
      </w:pPr>
      <w:r>
        <w:rPr>
          <w:rFonts w:ascii="IRNazanin" w:hAnsi="IRNazanin" w:eastAsia="IRNazanin"/>
          <w:color w:val="111111"/>
          <w:sz w:val="28"/>
          <w:sz w:val="28"/>
          <w:szCs w:val="28"/>
          <w:rtl w:val="true"/>
          <w:lang w:bidi="fa-IR"/>
        </w:rPr>
        <w:t>وفق ما أفاده</w:t>
      </w:r>
    </w:p>
    <w:p>
      <w:pPr>
        <w:pStyle w:val="BookText"/>
        <w:rPr/>
      </w:pPr>
      <w:r>
        <w:rPr>
          <w:rFonts w:ascii="Amiri" w:hAnsi="Amiri" w:eastAsia="Amiri" w:cs="Amiri"/>
          <w:color w:val="111111"/>
          <w:sz w:val="28"/>
          <w:sz w:val="28"/>
          <w:szCs w:val="28"/>
          <w:rtl w:val="true"/>
          <w:lang w:bidi="ar-SA"/>
        </w:rPr>
        <w:t>سماحة السيد السيستاني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18" w:name="pg20251_228960"/>
    </w:p>
    <w:p>
      <w:pPr>
        <w:pStyle w:val="Heading2"/>
        <w:numPr>
          <w:ilvl w:val="1"/>
          <w:numId w:val="1"/>
        </w:numPr>
        <w:rPr/>
      </w:pPr>
      <w:bookmarkStart w:id="119" w:name="__RefHeading___Toc5378740_2320776876"/>
      <w:bookmarkStart w:id="120" w:name="_Toc43"/>
      <w:bookmarkEnd w:id="118"/>
      <w:bookmarkEnd w:id="119"/>
      <w:r>
        <w:rPr>
          <w:rtl w:val="true"/>
        </w:rPr>
        <w:t>المقدمة</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أسئلة حول رؤية الهلال مع أجوبتها وفق ما أفاده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ننشرها تعميماً للفائدة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سماحة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0251_228962"/>
      <w:bookmarkStart w:id="122" w:name="pg20251_228962"/>
      <w:bookmarkEnd w:id="122"/>
    </w:p>
    <w:p>
      <w:pPr>
        <w:pStyle w:val="Heading2"/>
        <w:numPr>
          <w:ilvl w:val="1"/>
          <w:numId w:val="1"/>
        </w:numPr>
        <w:rPr/>
      </w:pPr>
      <w:bookmarkStart w:id="123" w:name="pg20251_228962"/>
      <w:bookmarkStart w:id="124" w:name="__RefHeading___Toc5378742_2320776876"/>
      <w:bookmarkStart w:id="125" w:name="_Toc44"/>
      <w:bookmarkEnd w:id="123"/>
      <w:bookmarkEnd w:id="124"/>
      <w:r>
        <w:rPr>
          <w:rtl w:val="true"/>
        </w:rPr>
        <w:t>(</w:t>
      </w:r>
      <w:r>
        <w:rPr>
          <w:rtl w:val="true"/>
        </w:rPr>
        <w:t>عدم كفاية رؤية الهلال في بلدٍ للبلاد البعيدة عنه</w:t>
      </w:r>
      <w:r>
        <w:rPr>
          <w:rtl w:val="true"/>
        </w:rPr>
        <w:t>)</w:t>
      </w:r>
      <w:bookmarkEnd w:id="125"/>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سماحة السيد الخوئي قدس سره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استند إليه في الفتوى بكفاية رؤية الهلال في بلدٍ ما في الثبوت لغيره من البلاد المشتركة معه في جزءٍ من الليل وإن كان أول الليل في الأول آخره في غيره، وقد استدلّ على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وشرعي، مع بعض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طبّق رسالة المنهاج على فتاواه وخالف أستاذه الراحل في هذا الموضع حذف البحث الاستدلالي المذكور بتمامه، ولعلّه بالنظر إلى عدم مناسبته للرسالة الفتوائية، إلا أنه قد حُرم بذلك أهل العلم والفضل من الإطلاع على وجهة نظره الشريف في هذه المسألة التي لا يزال يحتدم الجدل حولها، فحبّذا لو يتم بيان مختصر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عمّا أفاده السيد الخوئي قدس سره ولكم الشكر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مختاره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ويدلّنا على ذلك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الشهور القمرية إنما تبدأ على أساس وضع سير القمر واتخاذه موضعاً خاصّاً من الشمس في دورته الطبيعية، وفي نهاية الدورة يدخل تحت شعاع الشمس، 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رؤيته في أيّة بقعة </w:t>
      </w:r>
    </w:p>
    <w:p>
      <w:pPr>
        <w:pStyle w:val="BookText"/>
        <w:rPr/>
      </w:pPr>
      <w:r>
        <w:rPr>
          <w:rFonts w:ascii="Amiri" w:hAnsi="Amiri" w:eastAsia="Amiri" w:cs="Amiri"/>
          <w:color w:val="111111"/>
          <w:sz w:val="28"/>
          <w:sz w:val="28"/>
          <w:szCs w:val="28"/>
          <w:rtl w:val="true"/>
          <w:lang w:bidi="ar-SA"/>
        </w:rPr>
        <w:t>من بقاع الأرض، وبعد خروجه عن حالة المحاق والتمكن من رؤيته ينتهي شهر قمري، ويبدأ شهر قمري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خروج القمر من هذا الوضع هو بداية شهر قمري جديد لجميع بقاع الأرض على اختلاف مشارقها ومغاربها لا لبقعة دون أخرى، وإن كان القمر مرئيّاً في بعضها دون الآخر، وذلك لمانع خارجي كشعاع الشمس أو حيلولة بقاع الأرض أو ما شاكل ذلك، فإنه لا يرتبط بعدم خروجه من المحاق، ضرورة أنه ليس لخروجه منه أفراد عديدة بل هو فرد واحد متحقق في الكون لا يعقل تعدده بتعدد البقاع، وهذا بخلاف طلوع الشمس فإنه يتعدد بتعدد البقاع المختلفة فيكون لكل بقعة طلوع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البيان فقد اتضح أن قياس هذه الظاهرة الكونية بمسألة طلوع الشمس وغروبها قياس مع الفارق، وذلك لأن الأرض بمقتضى كرويتها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بقعة منها مشرق خاص ومغرب كذلك، فلا يمكن أن يكون للأرض كلها مشرق واحد ولا مغرب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هذه الظاهرة 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خروج القمر عن منطقة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لعدم ارتباطه ببقاع الأرض وعدم صلته بها لا يمكن أن يتعدد بتعددها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رؤية الهلال في بلد ما أمارة قطعية على خروج القمر عن الوضع المذكور الذي يتخذه من الشمس في نهاية </w:t>
      </w:r>
    </w:p>
    <w:p>
      <w:pPr>
        <w:pStyle w:val="BookText"/>
        <w:rPr/>
      </w:pPr>
      <w:r>
        <w:rPr>
          <w:rFonts w:ascii="Amiri" w:hAnsi="Amiri" w:eastAsia="Amiri" w:cs="Amiri"/>
          <w:color w:val="111111"/>
          <w:sz w:val="28"/>
          <w:sz w:val="28"/>
          <w:szCs w:val="28"/>
          <w:rtl w:val="true"/>
          <w:lang w:bidi="ar-SA"/>
        </w:rPr>
        <w:t>دورته وأنه بداية لشهر قمري جديد لأهل الأرض جميعاً لا لخصوص البلد الذي يرى فيه وما يتفق معه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ذهاب المشهور إلى اعتبار اتحاد البلدان في الأفق مبني على تخيّل أن ارتباط خروج القمر عن تحت الشعاع ببقاع الأرض كارتباط طلوع الشمس وغروبها بها إلّا أنه لا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القمر عنه ببقعة معينة دون أخرى فإن حاله مع وجود الكرة الأرضية وعدمها سواء</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ما أفاده قدس سره بأنه وإن كان هناك فرق بين ظاهرة الليل والنهار وبين ظاهرة المحاق والهلال والبدر وغيرها من حالات القمر من حيث إن الليل والنهار يطرآن على بقاع الأرض حسب اختلافها في المواجهة مع الشمس وعدمها، وأمّا كون القمر في حالة المحاق ثم ظهور مقدار منه يسمى بالهلال وازدياده حتى يصير بدراً ثم نقصانه بعد ذلك إلى أن يدخل في حالة المحاق مرة أخرى فإنما هو بالنسبة إلى الرائي الذي يكون على الكرة الأرضية، وإلّا فإن القمر يكون على حال واحدة، ونصفه غير المواجه للشمس مظلم دائماً ونصفه الآخر المواجه لها مستنير كذلك إلا في حال الخسوف، فلو نظر إليه من فضاء متوسط بينه </w:t>
      </w:r>
    </w:p>
    <w:p>
      <w:pPr>
        <w:pStyle w:val="BookText"/>
        <w:rPr/>
      </w:pPr>
      <w:r>
        <w:rPr>
          <w:rFonts w:ascii="Amiri" w:hAnsi="Amiri" w:eastAsia="Amiri" w:cs="Amiri"/>
          <w:color w:val="111111"/>
          <w:sz w:val="28"/>
          <w:sz w:val="28"/>
          <w:szCs w:val="28"/>
          <w:rtl w:val="true"/>
          <w:lang w:bidi="ar-SA"/>
        </w:rPr>
        <w:t>وبين الشمس لا من كرة الأرض لرُئي في حالة البدر دائماً ما ينخسف من جهة توسط الأرض بينه وبين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ذكر من الفرق بين حالات القمر وبين الليل والنهار وإن كان ثابتاً في أصله، ولكنه لا يقتضي بوجهٍ البناء على أنه بخروج القمر عن تحت الشعاع يبتدئ الشهر القمري الجديد لأهل الأرض جميعاً في تمام الأصقاع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قدس سره في 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 أن العرف الممضى من قبل الشرع المقدس قد اتخذ بداية الشهر القمري ما ذكر، ولكن هذا غير صحيح قطعاً، وإلّا لزم أن تكون بداية الشهر القمري لنصف الكرة الأرضية في أثناء النهار، وهو ما لا يساعد عليه العرف، فإن الشهر يبتدئ عندهم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المستفاد من النصوص الشرعية أيضاً، ففي معتبرة حماد بن عثمان</w:t>
      </w:r>
      <w:r>
        <w:rPr>
          <w:rStyle w:val="FootnoteAnchor"/>
          <w:rtl w:val="true"/>
        </w:rPr>
        <w:footnoteReference w:id="33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لليلته الماضية وإذا رأوه بعد الزوال فهو لليلته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عمر بن يزيد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بالاستهلال، فإذا أبصروا الهلال عرفوا دخول الشهر ، فأول الشهر عندهم الليل لأن الاستهلال يكون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لا بد له من حيث الخلقة من أن يقدّر أفعاله وأعماله التي جميعها من سنخ الحركة بالزمان، ولازم ذلك أن يتقطع الزمان الممتد الذي ينطبق عليه أمورهم قطعاً صغاراً وكباراً مثل الليل والنهار واليوم والشهر والفصول والسنين بالعناية الإلهية التي تدبّر أمور خلقه وتهديهم إلى صلاح حياتهم، والتقطيع الظاهر الذي يستفيد منه العالم والجاهل والبدوي والحضري ويسهل حفظه على الجميع إما هو تقطيع الأيام بالشهور القمرية التي يدركه كل صحيح الإدراك مستقيم الحواس من الناس دون الشهور الشمسية التي ما تنبه لشأنها ولم ينل دقيق حسابها الإنسان إلا بعد قرون وأحقاب من بدء حياته في الأرض وهو مع ذلك ليس في وسع جميع الناس دائماً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السلام إن المغيرية يزعمون أن هذا اليوم لهذه الليلة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يناسب مناطقهم التي تكون السماء فيها في غالب أيام السنة صحواً مما يتيح معرفة أيام الشهر بالنظر إلى حال القمر في الليل بكل سهولة</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العرب تسمي الثلاث الأولى من ليالي الشهر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غرر والثلاث التي تليها ثلاث سمر والثلاث التي تليها ثلاث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ذهب إليه العرب في تسمية القمر فإنها تسميه في ليلة طلوعه هلالاً، وما لم يستدر فهو هلال ثم تسميه قمراً إذا ما استدار، وإذا ما حجر وأضاء فهو قمير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والمنسجم مع اعتمادهم على الأشهر القمرية دون الشمسية هو أن تكون العبرة عندهم في ابتداء الشهر في كل مكان بقابلية الهلال للرؤية في ذلك المكان، فإنه أمر يعدّ في متناول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والبدوي، القريب من أول موضع يرى فيه الهلال والبعيد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المعيار هو ظهور الهلال وقابليته للرؤية في مكان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بلاد الروم أو الفرس أو في بعض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مشتركاً مع مناطقهم في جزء من الليل فهو مما لا ينسجم بوجهٍ مع ما ذكر في وجه اعتمادهم على الأشهر القمرية، فإنه مقياس لا يصل إليه الجميع لوضوح أنه لا سبيل إلى التأكد من رؤية الهلال في الأماكن البعيدة إلّا من جهة الحساب العلمي الدقيق أو مع توفر طرق الاتصالات السريعة، وأنّى كان لهم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بناؤهم على أن المعيار في بداية الشهر القمري هو برؤية الهلال ولو في الأمكنة البعيدة جداً عن أماكنهم لاقتضى ذلك أن لا يبنوا على عدم دخول الشهر الجديد في أماكنهم لمجرد عدم ظهور الهلال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صفاء الجو وفقدان أي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 هذا اليوم لليلة الماضية، وأن أهل بطن نخلة</w:t>
      </w:r>
      <w:r>
        <w:rPr>
          <w:rStyle w:val="FootnoteAnchor"/>
          <w:rtl w:val="true"/>
        </w:rPr>
        <w:footnoteReference w:id="336"/>
      </w:r>
      <w:r>
        <w:rPr>
          <w:rFonts w:ascii="IRNazanin" w:hAnsi="IRNazanin" w:eastAsia="IRNazanin"/>
          <w:color w:val="111111"/>
          <w:sz w:val="28"/>
          <w:sz w:val="28"/>
          <w:szCs w:val="28"/>
          <w:rtl w:val="true"/>
          <w:lang w:bidi="fa-IR"/>
        </w:rPr>
        <w:t>حیث رأوا الهلال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الشهر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قدس سره لهذا المحذور لاحقاً</w:t>
      </w:r>
      <w:r>
        <w:rPr>
          <w:rStyle w:val="FootnoteAnchor"/>
          <w:rtl w:val="true"/>
        </w:rPr>
        <w:footnoteReference w:id="337"/>
      </w:r>
      <w:r>
        <w:rPr>
          <w:rFonts w:ascii="Amiri" w:hAnsi="Amiri" w:eastAsia="Amiri" w:cs="Amiri"/>
          <w:color w:val="111111"/>
          <w:sz w:val="28"/>
          <w:sz w:val="28"/>
          <w:szCs w:val="28"/>
          <w:rtl w:val="true"/>
          <w:lang w:bidi="ar-SA"/>
        </w:rPr>
        <w:t>، فبنى على أنه إذا رئي الهلال في مكان فإنما يحكم بدخول الشهر في الأمكنة المشاركة له في الليل ولو بأن يكون أول الليل فيه آخر الليل فيها، وأمّا الأمكنة التي ينقضي الليل ويحلّ النهار فيها قبل حلول الليل في مكان الرؤية فيكون أول الشهر فيها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رئي الهلال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موريتانيا في ليلة السبت ولكن كان ذلك بعد انقضاء الليل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استراليا يكون أول الشهر في مكان الرؤية وما يشاركه في جزء من الليل يوم السبت وأمّا في استراليا ونحوها فيكون في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التزامه قدس سره بهذا إقرار منه بأن بداية الشهر القمري أمر نسبي يختلف باختلاف بقاع الأرض وليس أمراً واحداً في جميعها، وهو ما ادعاه أولاً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نحو من النسبية، وهناك نحو آخر هو مقتضى القول بأن العبرة في دخول الشهر القمري في كل مكان بإمكانية </w:t>
      </w:r>
    </w:p>
    <w:p>
      <w:pPr>
        <w:pStyle w:val="BookText"/>
        <w:rPr/>
      </w:pPr>
      <w:r>
        <w:rPr>
          <w:rFonts w:ascii="Amiri" w:hAnsi="Amiri" w:eastAsia="Amiri" w:cs="Amiri"/>
          <w:color w:val="111111"/>
          <w:sz w:val="28"/>
          <w:sz w:val="28"/>
          <w:szCs w:val="28"/>
          <w:rtl w:val="true"/>
          <w:lang w:bidi="ar-SA"/>
        </w:rPr>
        <w:t>رؤية الهلال في أفق ذلك المكان، فلابد من ملاحظة أن الشواهد العرفية والشرعية تؤيّد أيّاً من النحوين ليبنى عليه؟</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تؤيد النحو الثاني، وهي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 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زمني تداوله العرب قبل الإسلام، والشهر في لغتهم اسم للقمر سُمّي به لشهرته وظهوره، ثم أطلق على ما بين الهلالين لأنه يشتهر بالقمر وفيه علامة ابتدائه وانتهائه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اتخذ العرب الأشهر القمرية المقياس الأساس</w:t>
      </w:r>
      <w:r>
        <w:rPr>
          <w:rStyle w:val="FootnoteAnchor"/>
          <w:rtl w:val="true"/>
        </w:rPr>
        <w:footnoteReference w:id="339"/>
      </w:r>
      <w:r>
        <w:rPr>
          <w:rFonts w:ascii="Amiri" w:hAnsi="Amiri" w:eastAsia="Amiri" w:cs="Amiri"/>
          <w:color w:val="111111"/>
          <w:sz w:val="28"/>
          <w:sz w:val="28"/>
          <w:szCs w:val="28"/>
          <w:rtl w:val="true"/>
          <w:lang w:bidi="ar-SA"/>
        </w:rPr>
        <w:t xml:space="preserve">عندهم لحساب الأيّام ولم يعتمدوا في ذلك على الأشهر الشمسية التي كانت متداولة عند الفرس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كثيراً من شؤون الحياة من الزراعة وغيرها مما يختلف باختلاف الفصول التي هي أقسام للسنّة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الشهر القمري كان مقياساً يناسب حالهم</w:t>
      </w:r>
      <w:r>
        <w:rPr>
          <w:rStyle w:val="FootnoteAnchor"/>
          <w:rtl w:val="true"/>
        </w:rPr>
        <w:footnoteReference w:id="340"/>
      </w:r>
      <w:r>
        <w:rPr>
          <w:rFonts w:ascii="Amiri" w:hAnsi="Amiri" w:eastAsia="Amiri" w:cs="Amiri"/>
          <w:color w:val="111111"/>
          <w:sz w:val="28"/>
          <w:sz w:val="28"/>
          <w:szCs w:val="28"/>
          <w:rtl w:val="true"/>
          <w:lang w:bidi="ar-SA"/>
        </w:rPr>
        <w:t xml:space="preserve">من حيث إن معرفته لا تحتاج إلى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الأشهر </w:t>
      </w:r>
    </w:p>
    <w:p>
      <w:pPr>
        <w:pStyle w:val="BookText"/>
        <w:rPr/>
      </w:pPr>
      <w:r>
        <w:rPr>
          <w:rFonts w:ascii="Amiri" w:hAnsi="Amiri" w:eastAsia="Amiri" w:cs="Amiri"/>
          <w:color w:val="111111"/>
          <w:sz w:val="28"/>
          <w:sz w:val="28"/>
          <w:szCs w:val="28"/>
          <w:rtl w:val="true"/>
          <w:lang w:bidi="ar-SA"/>
        </w:rPr>
        <w:t xml:space="preserve">مانع محتمل عن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كموقف مؤقت إلى أن تأتي الأخبار من الأماكن الأخرى بما كان عليه الحال فيها من حيث رؤية الهلال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غمّت السماء عندهم ولم يتيّسر لهم الاستهلال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الأمر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أن ما كان معياراً لدى العرب قبل الإسلام في بداية الأشهر القمرية لم يكن سوى ما ذكر آنفاً دون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الدين الإسلامي الحنيف أقرّ العرب على اعتمادهم على الأشهر القمرية، قال تعالى</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أزمان وأوقات مضروبة للناس في أمور معاشهم ومعادهم، وقد بنى الشارع المقدّس مختلف أحكامه وتشريعاته على حساب الشهور القمرية، ولم يرد منه ما يفي بالردع عما جرت عليه سيرة الناس في ما هو المعيار في بداية الشهر القمري، ولو ورد لاشتهر وذاع لمسيس الحاجة إليه كما هو ظاهر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الالتزام بدخول الشهر في البلاد الواقعة في شرق بلد الرؤية من جهة اشتراكها معه في جزء من الليل هو إمّا تبعض الليلة الواحدة فيها بين شهرين بأن يكون أولها إلى اللحظة التي رئُي الهلال فيها في ذلك البلد الغربي من </w:t>
      </w:r>
    </w:p>
    <w:p>
      <w:pPr>
        <w:pStyle w:val="BookText"/>
        <w:rPr/>
      </w:pPr>
      <w:r>
        <w:rPr>
          <w:rFonts w:ascii="Amiri" w:hAnsi="Amiri" w:eastAsia="Amiri" w:cs="Amiri"/>
          <w:color w:val="111111"/>
          <w:sz w:val="28"/>
          <w:sz w:val="28"/>
          <w:szCs w:val="28"/>
          <w:rtl w:val="true"/>
          <w:lang w:bidi="ar-SA"/>
        </w:rPr>
        <w:t>الشهر السابق وما بقي من الشهر اللاحق، وإمّا ابتداء الشهر فيها قبل قابلية الهلال للرؤية في أي مكان في الأرض، وكلا الأمرين بعيد عن المرتكزات العرفية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كون العبرة في دخول الشهر الجديد في بلد المكلف برؤية الهلال و لو في بلد آخر بعيد عنه جداً هو أن صيام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فطرهم و حجهم و سائر أعمالهم التي لها أيام محددة في الأشهر القمرية لم تكن تقع في كثير من الحالات في أيامها الحقيقية لوضوح أنهم عليهم السلام كانوا يعتمدون في تعيين بدايات الأشهر الهلالية على الرؤية في بلدانهم أو البلدان القريبة منها مع أن في كثير من تلك الشهور كانت الرؤية متيسرة في الليلة السابقة في بعض الأماكن البعيدة جداً كما يُعرف ذلك بمراجعة البرامج الكمبيوترية الحديثة التي تبين أوضاع القمر لآلاف السنين الماضية و الآتية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أنه في حالات غير قليلة كان هلال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للرؤية في استراليا أو جنوب أفريقيا أو أمريكا الجنوبية في ليلة السبت مثلاً و لكنه لما لم يكن قابلاً للرؤية في المدينة المنورة أو العراق في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يحدث مثله في زماننا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ذلك اليوم مع أنه في واقع الحال كان </w:t>
      </w:r>
    </w:p>
    <w:p>
      <w:pPr>
        <w:pStyle w:val="BookText"/>
        <w:rPr/>
      </w:pPr>
      <w:r>
        <w:rPr>
          <w:rFonts w:ascii="Amiri" w:hAnsi="Amiri" w:eastAsia="Amiri" w:cs="Amiri"/>
          <w:color w:val="111111"/>
          <w:sz w:val="28"/>
          <w:sz w:val="28"/>
          <w:szCs w:val="28"/>
          <w:rtl w:val="true"/>
          <w:lang w:bidi="ar-SA"/>
        </w:rPr>
        <w:t>يوم عيد الفطر الذي لا يشرع فيه الصوم في حقه، و حد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يزيده بُعداً أنهم عليهم السلام لم يكن ينقصهم العلم بما يعرف به وضع الهلال في الأماكن الأخرى، لأنه لا يتوقف إلّا على إجراء محاسبة علمية دقيقة للتوصل إلى درجة ارتفاع الهلال على الأفق ومقدار بُعده الزاوي عن الشمس ونسبة القسم المنار إلى أكبر قطر يبلغه القرص، و هذه المحاسبة لم تكن بعيدة عن معرفة أهل الحساب من العرب وغيرهم حتى في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فمتى عُلم أن الهلال سيكون في استراليا مثلاً بارتفاع اثنتي عشرة درجة وبعيداً عن الشمس بمقدار ثماني درجات وتبلغ نسبة القسم المنار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يقطع عندئذ بكونه قابلاً للرؤية بالعين المجرّدة في تلك البلدان لولا الموانع من غيم أو نحوه وإن لم يكن قابلاً للرؤية في الجزيرة العربية أو العراق، ولا حاجة في معرفة ذلك إلى علم الغيب لكي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عليهم السلام لم يكونوا يستخدمونه في هذه المجالات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تكن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يتوقف على إجراء المحاسبة الدقيقة وإنما يكفي فيها الوقوف من خلال الاختبار والتجربة على اختلاف حال الأمكنة والبلدان من حيث إمكانية رؤية الهلال فيها وهو ما كان معلوماً للكثيرين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ومهما يكن فلا ريب في أن صيام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فطرهم إنما كان وفق ما تقتضيه رؤية الهلال في بلدانهم أو ما يقرب منها و إن كان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للرؤية من قبل ذلك في بعض الأماكن البعيدة جداً كبلاد الشام و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الروايات التي تؤكد ذلك معتبرة أبي علي بن راشد</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العسكري عليه السلام كتاباً وأرّخه يوم الثلاثاء لليلة بقيت من شعبان وذلك في سنة اثنتين وثلاثين ومائتين، وكان يوم الأربعاء يوم شك وصام أهل بغداد يوم الخميس، وأخبروني أنهم رأوا الهلال ليلة الخميس، ولم يغب إلّا بعد الشفق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وأنّ الشهر كان عندنا ببغداد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أكتب إليك إنما صمت الخميس ولا تصم إلّا للرؤية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الاستشهاد بهذه الرواية هو تصريح الإمام الهادي عليه السلام فيها بأن يوم الخميس كان أول أيام رمضان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للهجرة سواء في بلد سكناه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آنذاك وهو المدينة المنورة</w:t>
      </w:r>
      <w:r>
        <w:rPr>
          <w:rStyle w:val="FootnoteAnchor"/>
          <w:rtl w:val="true"/>
        </w:rPr>
        <w:footnoteReference w:id="343"/>
      </w:r>
      <w:r>
        <w:rPr>
          <w:rFonts w:ascii="Amiri" w:hAnsi="Amiri" w:eastAsia="Amiri" w:cs="Amiri"/>
          <w:color w:val="111111"/>
          <w:sz w:val="28"/>
          <w:sz w:val="28"/>
          <w:szCs w:val="28"/>
          <w:rtl w:val="true"/>
          <w:lang w:bidi="ar-SA"/>
        </w:rPr>
        <w:t xml:space="preserve">أو في بلد بلد السائل وهو بغداد، مع أنّ مقتضى الحسابات الفلكية الدقيقة أن هلال رمضان كان قابلاً للرؤية بكل وضوح في ليلة الأربعاء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عام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القارّة الأفريقية والأمريكيتين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معمر بن خلاد</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والملاحظ أن الشيخ قدس سره قد ابتدأ هذه الرواية باسم معمر بن خلاد الذي له طريق صحيح إلى كتابه في الفهرست، ولكن من المستبعد جدّاً أن يكون هو مصدره في نقلها فإنه لم يبتدئ باسمه إلّا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يكون السند إليها هو ما ذكر في الحديث الثالث والثلاثين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 كونه من مشايخ ابن قولويه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نسخ التهذيب من كونه معطوفاً على محمد بن علي بن الفضل الثقة فهو خطأ ظاهر، فإن مقتضاه رواية ابن الفضل عن علي بن الحسن بن فضال ولا يمكن ذلك بحسب الطبقات فإن الأول من الطبقة العاشرة والثاني من الطبقة السابعة، هذا مضافاً إلى تكرر رواية ابن الفضل عن ابن يعقوب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عنده آخر يوم من شعبان فلم أره صائماً فأتوه بمائدة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بعد العصر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p>
    <w:p>
      <w:pPr>
        <w:pStyle w:val="BookText"/>
        <w:rPr/>
      </w:pPr>
      <w:r>
        <w:rPr>
          <w:rFonts w:ascii="IRNazanin" w:hAnsi="IRNazanin" w:eastAsia="IRNazanin"/>
          <w:color w:val="111111"/>
          <w:sz w:val="28"/>
          <w:sz w:val="28"/>
          <w:szCs w:val="28"/>
          <w:rtl w:val="true"/>
          <w:lang w:bidi="fa-IR"/>
        </w:rPr>
        <w:t>صمت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يشك فيه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وفّق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تدرون إنما ذلك إذا كان لا يعلم أهو من شعبان أم من شهر رمضان فصامه الرجل فكان من شهر رمضان كان يوماً وفق له، فأمّا وليس علة ولا شبهة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الاستشهاد بهذه الرواية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المناط في مطلوبية الاحتياط بصيام اليوم الذي يعقب التاسع والعشرين من شهر شعبان هو عدم العلم بكونه من شعبان أو من رمضان، مع أنّ أقصى ما يقتضيه خلو السماء من الغيم ونحوه وعدم الشبهة في وجود ما يمنع من رؤية الهلال في بلد المكلف هو العلم بعدم ظهوره فيه بنحو قابل للرؤية بالعين المجرّدة، فلو كان يكتفى في دخول الشهر في بلد بقابلية الهلال للرؤية ولو في أفق بلد آخر لصدق على ذلك اليوم أنه مما لا يعلم كونه من شعبان أو رمضان فلا يتجه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صيامه احتياطاً، وهذا ظاهر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عيسى</w:t>
      </w:r>
      <w:r>
        <w:rPr>
          <w:rStyle w:val="FootnoteAnchor"/>
          <w:rtl w:val="true"/>
        </w:rPr>
        <w:footnoteReference w:id="345"/>
      </w:r>
      <w:r>
        <w:rPr>
          <w:rFonts w:ascii="Amiri" w:hAnsi="Amiri" w:eastAsia="Amiri" w:cs="Amiri"/>
          <w:color w:val="111111"/>
          <w:sz w:val="28"/>
          <w:sz w:val="28"/>
          <w:szCs w:val="28"/>
          <w:rtl w:val="true"/>
          <w:lang w:bidi="ar-SA"/>
        </w:rPr>
        <w:t>قال كتب إليه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أنه ربما أشكل علينا هلال رمضان فلا نراه ونرى السماء ليست فيها علّة فيفطر الناس ونفطر معهم، ويقول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في تلك الليلة بعينها بمصر وافريقية </w:t>
      </w:r>
    </w:p>
    <w:p>
      <w:pPr>
        <w:pStyle w:val="BookText"/>
        <w:rPr/>
      </w:pPr>
      <w:r>
        <w:rPr>
          <w:rFonts w:ascii="IRNazanin" w:hAnsi="IRNazanin" w:eastAsia="IRNazanin"/>
          <w:color w:val="111111"/>
          <w:sz w:val="28"/>
          <w:sz w:val="28"/>
          <w:szCs w:val="28"/>
          <w:rtl w:val="true"/>
          <w:lang w:bidi="fa-IR"/>
        </w:rPr>
        <w:t>والأندلس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يجوز يا مولاي ما قال الحسّاب في هذا الباب حتى يختلف الفرض على أهل الأمصار فيكون صومهم خلاف صومنا وفطرهم خلاف فطرنا؟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من الشك، أفطر لرؤيته وصم لرؤيته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الاستشهاد بهذه الرواية هو دلالة كلام السائل على ارتكاز فكرة اختلاف الأفاق في ذهنه بحيث لم يكن يشك في أنه على تقدير صحّة قول الحسّاب من رؤية الهلال في تلك الليلة بمصر وافريقية والأندلس سيختلف الفرض على أهل الأمصار أي يكون صیام رمضان واجباً على خصوص من كان الهلال قابلاً للرؤية في بلدانهم، ولم يخطر بباله احتمال أن يجب الصيام على أهل بلده بالرغم من عدم قابلية الهلال فيه للرؤية وإن رئُي في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يدل على ردع السائل عن المرتكز المذكور إن لم يدل على إقراره عليه كما سيأتي توضيحه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أهم ما يمكن الاستشهاد به على كون العبرة في دخول الشهر القمري في كل مكان بقابلية الهلال للرؤية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ذلك، ونذكر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w:t>
      </w:r>
      <w:r>
        <w:rPr>
          <w:rStyle w:val="FootnoteAnchor"/>
          <w:rtl w:val="true"/>
        </w:rPr>
        <w:footnoteReference w:id="346"/>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من صام تسعة وعشرين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له بينة عادلة على أهل مصر أنهم صاموا ثلاثين على رؤية قضى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الصحيحة بإطلاقها تدلنا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الشهر إذا كان ثلاثين يوماً في مصر كان كذلك في بقية الأمصار بدون فرق بين كون هذه الأمصار متفقة في آفاقها أو مختلفة، إذ لو كان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المصر المعهود المتفق مع بلد السائل في الأفق لكان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ذلك، فعدم بيانه مع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كاشف عن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w:t>
      </w:r>
      <w:r>
        <w:rPr>
          <w:rStyle w:val="FootnoteAnchor"/>
          <w:rtl w:val="true"/>
        </w:rPr>
        <w:footnoteReference w:id="347"/>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اليوم الذي يقضى من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تقضه إلا أن يثبت شاهدان عدلان من جميع أهل الصلاة متى كان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ذلك اليوم الذي يقضى إلّا أن يقضي أهل الأمصار فإن فعلوا فصمه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في هذه الصحيحة جملتان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تقضه إلا أن يثبت شاهدان عدلان من جميع أهل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رأس </w:t>
      </w:r>
    </w:p>
    <w:p>
      <w:pPr>
        <w:pStyle w:val="BookText"/>
        <w:rPr/>
      </w:pPr>
      <w:r>
        <w:rPr>
          <w:rFonts w:ascii="Amiri" w:hAnsi="Amiri" w:eastAsia="Amiri" w:cs="Amiri"/>
          <w:color w:val="111111"/>
          <w:sz w:val="28"/>
          <w:sz w:val="28"/>
          <w:szCs w:val="28"/>
          <w:rtl w:val="true"/>
          <w:lang w:bidi="ar-SA"/>
        </w:rPr>
        <w:t>الشهر القمري واحد بالإضافة إلى جميع أهل الصلاة على اختلاف بلدانهم باختلاف آفاقها ولا يتعدد بتعددها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ذلك اليوم إلّا أن يقضي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كسابقه واضح الدلالة على أن الشهر القمري لا يختلف باختلاف الأمصار في آفاقها فيكون واحداً بالإضافة إلى جميع أهل البقاع والأمصار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تدل على أن رؤية الهلال في مصر كافية لثبوته في بقية الأمصار من دون فرق في ذلك بين اتفاقها معه في الآفاق أو اختلافها فيها، فيكون مرده إلى أن الحكم المترتب على ثبوت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القمر عن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تمام أهل الأرض لا لبقعة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إسحاق بن عمار</w:t>
      </w:r>
      <w:r>
        <w:rPr>
          <w:rStyle w:val="FootnoteAnchor"/>
          <w:rtl w:val="true"/>
        </w:rPr>
        <w:footnoteReference w:id="348"/>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يغم علينا في تسع وعشرين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تصمه إلّا أن تراه، فإن شهد أهل بلد آخر أنهم رأوه فاقضه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الصحيحة ظاهرة الدلالة بإطلاقها على أن رؤية الهلال في بلد تكفي لثبوته في سائر البلدان بدون فرق بين كونها متحدّة معه في الأفق أو مختلفة وإلّا فلا بد من التقييد بمقتضى ورودها في مقام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w:t>
      </w:r>
      <w:r>
        <w:rPr>
          <w:rStyle w:val="FootnoteAnchor"/>
          <w:rtl w:val="true"/>
        </w:rPr>
        <w:footnoteReference w:id="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يغمّ علينا في تسع وعشرين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الصحيحة كسابقته في الدلالة على 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على ما أفاده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صحيحة عبد الرحمن بن أبي عبد الله ومعتبرة إسحاق بن عمار هو صورة الشك في دخول شهر رمضان من جهة الشك في وجود الهلال في سماء البلد مستوراً بالسحاب وعدمه، فلا إطلاق لها لصورة الشك فيه مع إحراز عدم وجود الهلال في سماء البلد من جهة الشك في وجوده في بلدٍ آخر يشترك مع البلد في جزء من الليل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 في كلتا الروايتين هو ما إذا غمّ هلال رمضان،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ستر، ولكن من الواضح أنه ليس المقصود هنا هو ستر الغمام للهلال، إذ لو أحرز ذلك لكفى في ثبوت الشهر فإنه لا يعتبر فيه الرؤية الفعلية كما هو ظاهر،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إسناد الستر إلى الهلال إسناداً مجازياً يراد به الإسناد إلى محلّه أي ستر الغمام لمطلع الهلال، فمرجعه إلى الشك في وجود الهلال في مطلعه في أفق البلد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وحاصل السؤال هو أنه إذا ستر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السحاب الأبيض أو الرقيق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الهلال وشك في وجوده تحته فما هي وظيفة المكلف عندئذٍ؟ 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يجب عليه صيام ذلك اليوم مع عدم رؤية الهلال، ولكن إذا شهد أهل بلد آخر على رؤيته في تلك الليلة فلا بد من القضاء، ومرجع هذا بمقتضى مناسبات الحكم والموضوع إلى أنه إذا زال الشك في وجود الهلال في أفق البلد في تلك الليلة بملاحظة رؤية أهل بلد آخر قريب من البلد الأول بأن استكشف منها وجوده في أفق البلد وكونه مستوراً بسبب الغمام عن أعين الناظرين يلزم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فلا إطلاق للفظ البلد في الروايتين للبلد البعيد الذي لا تكون رؤية الهلال فيه شاهداً على وجوده في بلد المكلف، كما لو أحرز عدم ظهور الهلال فيه أو ظل الأمر مشكوكاً فيه بالرغم من إحراز رؤيته في بلد آخر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معتبرة سماعة</w:t>
      </w:r>
      <w:r>
        <w:rPr>
          <w:rStyle w:val="FootnoteAnchor"/>
          <w:rtl w:val="true"/>
        </w:rPr>
        <w:footnoteReference w:id="350"/>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اليوم من شهر رمضان يختلف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أهل المصر على صيامه للرؤية فاقضه إذا كان أهل المصر خمسمائة 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إطلاق لهما لمحل البحث نظراً إلى أنهما في صدد بيان أمر آخر وهو لزوم عدم وجود </w:t>
      </w:r>
    </w:p>
    <w:p>
      <w:pPr>
        <w:pStyle w:val="BookText"/>
        <w:rPr/>
      </w:pPr>
      <w:r>
        <w:rPr>
          <w:rFonts w:ascii="Amiri" w:hAnsi="Amiri" w:eastAsia="Amiri" w:cs="Amiri"/>
          <w:color w:val="111111"/>
          <w:sz w:val="28"/>
          <w:sz w:val="28"/>
          <w:szCs w:val="28"/>
          <w:rtl w:val="true"/>
          <w:lang w:bidi="ar-SA"/>
        </w:rPr>
        <w:t>معارض حكمي للشهادة على رؤية الهلال في البلد الآخر، وذلك بأن تكون الرؤية قد ثبتت فيها بالشياع القطعي أو بالبيّنة غير المعارضة ببينّة النفي، وهذا ظاهر في صحيحة هشام حيث اعتبر فيها قيام البينّة على صوم أهل مصر، فالتعبير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بعناية اعتبار اجتماعهم على ثبوت الرؤية الذي لا يكون عادة إلا عن شياع قطعي أو بيئة غير معارضة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أشير إليه في بعض الروايات الأخرى</w:t>
      </w:r>
      <w:r>
        <w:rPr>
          <w:rStyle w:val="FootnoteAnchor"/>
          <w:rtl w:val="true"/>
        </w:rPr>
        <w:footnoteReference w:id="351"/>
      </w:r>
      <w:r>
        <w:rPr>
          <w:rFonts w:ascii="Amiri" w:hAnsi="Amiri" w:eastAsia="Amiri" w:cs="Amiri"/>
          <w:color w:val="111111"/>
          <w:sz w:val="28"/>
          <w:sz w:val="28"/>
          <w:szCs w:val="28"/>
          <w:rtl w:val="true"/>
          <w:lang w:bidi="ar-SA"/>
        </w:rPr>
        <w:t>بأن الرؤية هي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أو إذ رآه واحد رآه عشرة وإذا رآه عشرة رآه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التركيز على قيام الحجة والتأكد من ثبوتها عند أهل ذلك المصر فلا يكفي وجود شاهدين منهم على الرؤية مطلقاً كما لو انفردا بإدعاء الرؤية مع كثرة المستهلين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صحيحة هشام فيما ذُكر معتبرة سماعة حيث تضمنت الأمر بالقضاء إذا اجتمع أهل المصر على صيامه للرؤية وكانوا خمسمائة إنسان أي على أقل تقدير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الروايتين بصدد بيان ما ذُكر فلا ينعقد لكلامه إطلاق ليشمل المصر الذي لا يحرز كونه متفق الأفق مع بلد المكلف، فإنه قد قرّر في محلّه من علم الأصول أنه متى أُحرز </w:t>
      </w:r>
    </w:p>
    <w:p>
      <w:pPr>
        <w:pStyle w:val="BookText"/>
        <w:rPr/>
      </w:pPr>
      <w:r>
        <w:rPr>
          <w:rFonts w:ascii="Amiri" w:hAnsi="Amiri" w:eastAsia="Amiri" w:cs="Amiri"/>
          <w:color w:val="111111"/>
          <w:sz w:val="28"/>
          <w:sz w:val="28"/>
          <w:szCs w:val="28"/>
          <w:rtl w:val="true"/>
          <w:lang w:bidi="ar-SA"/>
        </w:rPr>
        <w:t>كون المتكلم في مقام البيان من جهة وشكّ في كونه في مقام البيان من جهة أخرى فإنه لا يوجد أصل عقلائي يقتضي كونه في مقام البيان من الجهة الثانية ليمكن التمسك بالإطلاق من هذه الجهة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في روايتي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الجملتين من روايته كما عبّر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يقضى من شهر رمضان، ويعلم من هذا التعبير أن بعض الناس كانوا لا يصومون الشك أداءً ثم يقضونه بعد انتهاء شهر رمضان،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القضاء إلّا أن يثبت سبق رؤية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إنه لم يتأكد أن المراد باليوم الذي يقضى من شهر رمضان مطلق يوم الشك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يجوز أن يكون المراد خصوص اليوم الذي كان الشك فيه لوجود علّة في السماء يحتمل كونها حاجباً عن رؤية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ينعقد لجواب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يقتضى وجوب القضاء وإن ثبتت رؤية الهلال في بلد بعيد لا ملازمة بين رؤية الهلال فيه ورؤيته في بلد المكلف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عدم تمامية الاستدلال بأي من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الجملتين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الأولى فلأن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المحدث الكاشاني قدس سره</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في الشاهد على رؤية الهلال بكونه مسلماً وعدم وعدم اعتبار الإيمان فيه، ولا دلالة فيها على كفاية انبعاث الشهادة من أي من بلاد المسلمين إلا بضرب من التأويل، بأن يكون المراد بأهل الصلاة بلاد أهل الصلاة على سبيل حذف المضاف ويكون المراد بلفظ الجميع الظاهر في الاستغراق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البدلية، ولا وجه لتأويل الرواية ثم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 ظاهرها وجوب صيام ذلك اليوم بقضاء أهل جميع الأمصار المغيمة من بلاد المسلمين وهذا مما لا يمكن الالتزام به، ولذلك حمل قدس سره 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العموم الاستغراقي على العموم البدلي ليصير المعنى لا تصم ذلك اليوم إلّا أن يقضى أهل أي من الأمصار، ولكن هذا لا معيّن له بل يدور الأمر بينه وبين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الأمصار القريبة من بلد المكلف التي يتيسر له الإطلاع على عمل أهلها عادة، بل هذا أقرب إلى ظاهر الرواية مما أفاده قدس سره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أن أيّاً من الروايات التي استدل قدس سره بإطلاقها على مرامه مما لا يفي بإثباته، مع أنه لو سُلّم إطلاقها في </w:t>
      </w:r>
    </w:p>
    <w:p>
      <w:pPr>
        <w:pStyle w:val="BookText"/>
        <w:rPr/>
      </w:pPr>
      <w:r>
        <w:rPr>
          <w:rFonts w:ascii="Amiri" w:hAnsi="Amiri" w:eastAsia="Amiri" w:cs="Amiri"/>
          <w:color w:val="111111"/>
          <w:sz w:val="28"/>
          <w:sz w:val="28"/>
          <w:szCs w:val="28"/>
          <w:rtl w:val="true"/>
          <w:lang w:bidi="ar-SA"/>
        </w:rPr>
        <w:t>حدّ ذاتها فإن الشواهد الخمسة المتقدمة تصلح لتقييدها ورفع اليد عن الإطلاق المزعوم لها،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هناك روايتين أخريين قد يستدل بهما أيضاً لمرامه قدس سره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عيسى المتقدمة في الشاهد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ومبنى الاستدلال بها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عدل عن جواب أبي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المكاتبة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يجوز ما قاله الحسّاب من اختلاف الآفاق في رؤية الهلال، وقال بدلاً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من الشك أفطر لرؤيته وصُم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أنه اعتبر أبا عمرو بمنزلة الشاك في حلول رمضان في بلده بالرغم من صفاء الجو وعدم ظهور الهلال في الأفق، ولا يكون ذلك إلّا من جهة احتمال صحبة ما قاله الحسّاب من إمكانيّة رؤية الهلال في البلاد البعيدة، وكون الرؤية فيها كافية في دخول الشهر في جميع البلدان، وعلى ذلك فالرواية تدل على القول بوحدة الآفاق خلافاً لما توهمه أبو عمرو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الكلام ضعيف، فإن مقتضاه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بجوابه أن يبيّن لأبي عمرو احتمال صحّة ما قاله الحساب من جهة، ویبین خطأه فيما بنى عليه من اختلاف فرض الصيام على أهل الأمصار على تقدير صحّة ما قالوه من جهة أخرى، إلّا أن لفظ الجواب بعيد جدّاً عن إفادة المعنى المذكور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والأقرب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الجواب عما سأل عنه أبو عمرو ولعلّه حذراً من أن يستفاد منه اعتبار أقوال الحسّاب في رؤية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طالما أكّد الأئمة عليهم السلام على 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ذكر أبو عمرو في أول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أشكل علينا هلال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ظاهره استقرار الشك عنده في وجود الهلال في أفق بلده بالرغم من عدم العلّة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جهة احتمال كون الهلال ضعيفاً جدّاً قريباً من الأفق عند الغروب وعدم التمكن من رؤيته من جهة وجود بعض الأبخرة غير المنظورة للرائي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على ترك الصيام في يوم الشك وكون كل من الصيام والإفطار من جهة الرؤية، فليس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القول باتحاد الآفاق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قرينة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 الشك المفروض فيه هو من جهة احتمال رؤية الهلال في البلاد البعيدة ليقال إنه يقتضى البناء على اتحاد البلاد في أول الشهر، بل الأقرب أن يكون من جهة أن عدم رؤية الهلال ولو مع عدم العلّة في السماء لم يكن رافعاً للشك في وجود الهلال في الأفق كما يناسبه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السؤال، وعلى ذلك فالرواية أجنبية عن الدلالة على ما زعم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أبو عمرو البناء عليه من اختلاف فرض الناس في الصيام إذا صحّ ما قاله الحسّاب ربما يعدّ إقراراً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بصوابه،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ابن أبي حمزة</w:t>
      </w:r>
      <w:r>
        <w:rPr>
          <w:rStyle w:val="FootnoteAnchor"/>
          <w:rtl w:val="true"/>
        </w:rPr>
        <w:footnoteReference w:id="353"/>
      </w:r>
      <w:r>
        <w:rPr>
          <w:rFonts w:ascii="IRNazanin" w:hAnsi="IRNazanin" w:eastAsia="IRNazanin"/>
          <w:color w:val="111111"/>
          <w:sz w:val="28"/>
          <w:sz w:val="28"/>
          <w:szCs w:val="28"/>
          <w:rtl w:val="true"/>
          <w:lang w:bidi="fa-IR"/>
        </w:rPr>
        <w:t xml:space="preserve">قال 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الليلة التي يرجى فيها ما يرجى؟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إحدى وعشرين أو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على كلتيهما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أيسر ليلتين فيما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رأينا الهلال عندنا وجاءنا من يخبرنا بخلاف ذلك من أرض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أيسر أربع ليال تطلبها فيها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الاستدلال به هو أن المقصود بقول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وجاءنا من يخبرنا بخلاف ذلك من أرض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جاء من يخبر برؤية الهلال في أرض أخرى في ليلة سابقة على الليلة التي رئي فيها في بلد السائل، والملاحظ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بالاحتياط عندئذٍ لأربع ليال رعاية لاحتمال الرؤية في الأرض الأخرى ولم يفصّل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تكون قريبة من بلد السائل أو بعيدة عنه مما يدل على عدم الفرق بينهما وأن الهلال إذا رئُي في مكان كفى في دخول الشهر في سائر الأمكنة، وهذا 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هذا الاستدلال ضعيف، 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عن تعيين ليلة القدر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أيسر ليلتين فيما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ابن أبي حمزة أن ينتزع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تعيينها بافتراض تردد أول الشهر بين يومين مما يقتضي عدم كفاية الاحتياط لإدراك ليلة القدر بين ليلتين، ولعله إنما فرض انبعاث دعوى رؤية الهلال في الليلة السابقة من أرض أخرى بالنظر إلى اعتقاده أنه لو كان المدّعي للرؤية من أهل بلد السائل نفسه يكون الاعتداد باحتمال صحة دعواه منافياً لما ورد في النصوص من أنه إذا رأته عين رأته ألف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فربما رأينا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افتراض حالة يتردد فيها أول الشهر بين يومين في بلده ولم يكن يقصد أنّ ذلك يحصل أيّاً كان المكان الذي تدعى فيه رؤية الهلال في خارج البلد، 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بيان أن تردد أول الشهر بين يومين كما فرضه السائل يقتضي الاحتياط لأربع ليال لمن يريد إدراك ليلة القدر ولم يكن بصدد بيان أن دعوى الرؤية في خارج البلد توجب التردد في أول الشهر فيه مطلقاً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الأخير من الرواية مسوق لبيان أنه مع تردد أول الشهر في البلد بين يومين فلا بدّ لإدراك ليلة القدر من الاحتياط لأربع ليالٍ، وليس مسوقاً لبيان أنه مع احتمال رؤية </w:t>
      </w:r>
    </w:p>
    <w:p>
      <w:pPr>
        <w:pStyle w:val="BookText"/>
        <w:rPr/>
      </w:pPr>
      <w:r>
        <w:rPr>
          <w:rFonts w:ascii="Amiri" w:hAnsi="Amiri" w:eastAsia="Amiri" w:cs="Amiri"/>
          <w:color w:val="111111"/>
          <w:sz w:val="28"/>
          <w:sz w:val="28"/>
          <w:szCs w:val="28"/>
          <w:rtl w:val="true"/>
          <w:lang w:bidi="ar-SA"/>
        </w:rPr>
        <w:t>الهلال في مكان آخر يتردد أول الشهر في بلد المكلف بين يومين لينعقد له الإطلاق من حيث كون المكان الآخر متحد الأفق مع بلد المكلّف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صحّة الخبر سنداً، فإن ابن أبي حمزة الراوي عن الإمام هو البطائني لا الثمالي كما ورد في بعض النسخ، والبطائني غير موثق على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ويشهد على ذلك ما ورد في عدّة روايات في كيفية صلاة عيدي الأضحى والفطر وما يقال فيها من التكبير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تلك التكبيرات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في هذا اليوم الذي جعلته للمسلمين 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الظاهر أن المشار إليه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 هو يوم معيّن خاص جعله الله تعالى عيداً للمسلمين لا أنه كل يوم ينطبق عليه أنه يوم فطر أو أضحى على اختلاف الأمصار في رؤية الهلال باختلاف آفاقها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ناحية، ومن ناحية أخرى أنه تعالى جعل هذا اليوم عيداً للمسلمين كلهم لا لخصوص أهل بلد تقام فيه صلاة العيد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على ضوئهما أن يوم العيد يوم واحد لجميع أهل البقاع والأمصار على اختلافها في الآفاق والمطالع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أيضاً على ما ذكرناه الآية الكريمة الظاهرة في أن ليلة القدر ليلة واحدة شخصية لجميع أهل الأرض على اختلاف بلدانهم في آفاقهم، ضرورة أن القرآن نزل في ليلة واحدة وهذه الليلة الواحدة هي ليلة القدر وهي خير من ألف شهر وفيها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تفريق كل أمر حكيم فيها لا يخص بقعة معينة من بقاع الأرض بل يعم أهل البقاع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أخرى قد ورد في عدّة من الروايات أن في ليلة القدر يكتب المنايا والبلايا والأرزاق وفيها يفرق كل أمر حكيم، ومن الواضح أن كتابة الأرزاق والبلايا والمنايا في هذه الليلة إنما تكون لجميع أهل العالم لا لأهل بقعة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على ضوئهما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القدر ليلة واحدة لأهل الأرض جميعاً لا أن لكل بقعة ليلة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سكوت الروايات بأجمعها عن اعتبار اتحاد الأفق في هذه المسألة، ولم يرد ذلك حتى في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ذهاب المشهور إلى ذلك ليس من جهة الروايات بل من جهة ما ذكرناه من قياس هذه المسألة بمسألة طلوع الشمس وغروبها وقد عرفت أنه قياس مع الفارق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ما أفاده قدس سره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الشخصية ليوم العيد ولليلة القدر لا تتحقق حتى على مسلکه قدس سره لما مرّ من أنه اختار لاحقاً أن خصوص البلاد التي تشترك مع بلد الرؤية في جزء من الليل تشترك في أول الشهر وأما البلاد الأخرى فيكون أول الشهر فيها في اليوم التالي، فكيف يقول قدس سره بأن يوم العيد يوم معين خاص لجميع المسلمين وكذلك القدر ليلة واحدة شخصية لجميع أهل الأرض على اختلاف بلدانهم في الآفاق؟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من الالتزام بأن وحدة يوم العيد وليلة القدر إنما هي وحدة نوعيّة وليست 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سكوت الروايات بأجمعها عن اعتبار اتحاد الأفق في رؤية الهلال 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أنه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دلّ على شيء فإنّما يدل على تمامية القول الآخر، وهو أن العبرة في دخول الشهر في كل مكان برؤية الهلال في ذلك المكان، فإنه الذي لا يحتاج إلى البيان حيث يجري الناس عليه وفق ارتكازاتهم، وأمّا القول الآخر بكون العبرة برؤية الهلال في مكان ما على الكرة الأرضية تشارك بلد المكلف في جزء من الليل فهو الذي يحتاج إلى البيان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ذهاب المشهور إلى اعتبار اتحاد الأفق في ثبوت الشهر ليس من جهة قياس طلوع الهلال بطلوع الشمس بل من جهة أخرى تقدم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جميع ما تقدّم أن القول المشهور بين علمائنا</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وقال ابن رشد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أهل بلد ما إذا لم يروا الهلال أن يأخذوا في ذلك برؤية بلد آخر أم لكل بلد رؤية؟ فيه خلاف فأما مالك فإن ابن القاسم والمصريين رووا عنه أنه إذا ثبت عند أهل بلد أن أهل بلد آخر رأوا الهلال أن عليهم قضاء ذلك اليوم الذي أفطروه وصامه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المدنيون عن مالك أن الرؤية لا تلزم بالخبر عند غير أهل البلد الذي وقعت فيه الرؤية إلا أن يكون الإمام يحمل الناس على ذلك و به قال ابن الماجشون والمغيرة من أصحاب مالك، وأجمعوا انه لا يراعى ذلك في البلدان النائية كالأندلس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في شرح المهذب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رأوا الهلال في رمضان في بلد ولم يروه في غيره فإن تقارب البلدان فحكمهما حكم بلد واحد ويلزم أهل البلد الآخر الصوم بلا خلاف وإن تباعدا فوجهان مشهوران في الطريقتين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الصوم على أهل البلد الآخر وبهذا قطع المصنف والشيخ أبو حامد والبندنيجي و آخرون وصححّه العبدري والرافعي والاكثرون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فقهاء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 به قال الصيمري وصححّه القاضي أبو الطيب والدارمي و أبو علي السنجي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قدّامه الحنبلي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الهلال أهل بلد لزم جميع البلاد الصوم وهذا قول الليث وبعض أصحاب الشافعي وقال بعضهم إن كان بين البلدين مسافة قريبة لا تختلف المطالع لأجلها كبغداد والبصرة لزم أهلها الصوم برؤية الهلال في إحداهما، وإن كان بينهما بُعدٌ كالعراق والحجاز والشام فلكل أهل بلد رؤيتهم، وروي عن عكرمة أنه قال لكل أهل بلد رؤيتهم وهو مذهب القاسم وسالم وإسحاق لما روى كريب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الشام واستهلّ عليّ هلال رمضان وأنا بالشام فرأينا الهلال ليلة الجمعة، ثم قدمت المدينة في آخر الشهر فسألني ابن عباس ثم ذكر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رأيتم الهلال ؟ قلت رأيناه ليلة الجمعة فقال أنت رأيته ليلة الجمعة؟ قلت نعم ورآه الناس وصاموا وصام معاوية، فقال لكن رأيناه ليلة السبت فلا نزال نصوم حتى نكمل ثلاثين أو نراه، فقلت ألا تكتفي برؤية معاوية وصيامه؟ فقال لا، هكذا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المرداوي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رأى الهلال أهل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لزوم الصوم على من رآه، وأما من لم يره فإن كانت المطالع متفقة لزمهم الصوم أيضاً وإن اختلفت المطالع فالصحيح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الصوم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ببلد تلزم المكلفين كافة وقيل تلزم من قارب مطلعهم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يعني به الشيخ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المطالع باتفاق أهل المعرفة فإن اتفقت لزم الصوم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الكلمات المتقدمة أن الحنفية والمالكية إنما قالوا بكفاية رؤية الهلال في بلد للبلدان غير البعيدة أو غير البعيدة جداً لا لجميع البلدان، وأيضاً إن أكثر الشافعية لا يقولون بكفاية الرؤية في بلد للبلدان غير القريبة من ذلك البلد، كما أنه يوجد في الحنابلة من لا يقول بذلك كابن تيمية، مضافاً إلى العديد من الفقهاء الآخرين ممن وردت أسماؤهم في أعلاه فليلاحظ</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لم يعرف له مخالف معروف منهم إلى زمن المحدّث</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الكاشاني طاب ثراه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إلى الصواب والأحرى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هنا شيء، وهو أنه كان يعتقد فيما مضى أنه إذا رئُي الهلال في مكان كشف ذلك عن إمكانية رؤيته في الأماكن الواقعة في غرب المكان الأول، وعلّل ذلك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القمر لا يرجع ولا يتوقف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ظهر لاحقاً أن هذا الكلام لا يتم على إطلاقه، وإنما في خصوص ما إذا كان المكانان متقاربين في خطوط العرض بأن لم يكن الاختلاف بينهما إلا بدرجة أو درجتين أو نحو ذلك حسب اختلاف الحالات، وذلك لأن الهلال إنما يزداد حجماً بازدياد كلما اتجه غرباً، فإذا رُئي في سدني في استراليا و كان عمره </w:t>
      </w:r>
    </w:p>
    <w:p>
      <w:pPr>
        <w:pStyle w:val="BookText"/>
        <w:rPr/>
      </w:pPr>
      <w:r>
        <w:rPr>
          <w:rFonts w:ascii="Amiri" w:hAnsi="Amiri" w:eastAsia="Amiri" w:cs="Amiri"/>
          <w:color w:val="111111"/>
          <w:sz w:val="28"/>
          <w:sz w:val="28"/>
          <w:szCs w:val="28"/>
          <w:rtl w:val="true"/>
          <w:lang w:bidi="ar-SA"/>
        </w:rPr>
        <w:t xml:space="preserve">عند غروب الشمس فيه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يكون عمره في طهران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النجف الأشرف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لندن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وهكذا ، ولكن هذا لا يقتضي كونه قابلا للرؤية في جميع البلدان الواقعة في غرب سدني، إذ لدرجة ارتفاع الهلال عن الأفق دخل تام في إمكانية الرؤية وعدمها، فقد يكون الهلال بعمر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ارتفاع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قابلاً للرؤية ولا يكون قابلاً لها و هو بعمر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لكونه في ارتفاع درجتين فقط، اختلاف الأمكنة في خطوط العرض بمقدار معتدّ به تختلف في درجة ارتفاع الهلال عند غروب الشمس فيها، فلا يمكن استكشاف كون الهلال قابلاً للرؤية في لندن إذا تمت رؤيته في النجف الأشرف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كان يعتقد فيما مضى أنه إذا كان مكانان على خط طول واحد أي يتفقان في وقت طلوع الشمس وغروبها تكون رؤية الهلال في احدهما ملازمة لإمكانية رؤيته في الآخر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كان المكان الذي رُئي فيه الهلال في غرب مكان المكلف ومكث الهلال فيه بعد الغروب بأزيد مما يختلف به المكانان في طلوع الشمس وغروبها كشف ذلك عن إمكانية رؤية الهلال في مكان المكلف أيضاً فإن لم ير فيه كان لمانع من ضباب أو سحاب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ظهر لاحقاً عدم تمامية ما ذكر إلا مع عدم اختلاف المكانين في خطوط العرض بمقدار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كدرجة أو درجتين أو نحو ذلك حسب اختلاف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مع الاختلاف في خطوط العرض بمقدار معتد به تختلف درجة ارتفاع الهلال، فقد يكون قابلاً للرؤية في مكان وغير قابل لها في مكان آخر مع كونهما على خط طول 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يتبين أن الطريقة الصحيحة لاستعلام كون الهلال قابلاً للرؤية في بلد المكلف مع ثبوت رؤيته في بلد آخر هي الاستعانة بالمعلومات الفلكية الدقيقة التي تحدد حجم الهلال وارتفاعه عن الأفق حين الغروب وبعده الزاوي عن الشمس في كل من البلدين، فإن كان في بلد المكلف بمواصفات أفضل أو مماثلة لما كان عليه في بلد الرؤية أمكن الاطمئنان بكونه قابلاً للرؤية في بلد المكلف أيضاً وإلا فلا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 له الوقت من القول في هذه المسألة وتفصيله محرر في تقريرات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الصوم من العروة الوثقى والحمد لله رب العالمين</w:t>
      </w:r>
      <w:r>
        <w:rPr>
          <w:rFonts w:eastAsia="Amiri" w:cs="Amiri" w:ascii="Amiri" w:hAnsi="Amiri"/>
          <w:color w:val="111111"/>
          <w:sz w:val="28"/>
          <w:szCs w:val="28"/>
          <w:rtl w:val="true"/>
          <w:lang w:bidi="ar-SA"/>
        </w:rPr>
        <w:t xml:space="preserve">. </w:t>
      </w:r>
      <w:bookmarkStart w:id="126" w:name="pg20251_228996"/>
    </w:p>
    <w:p>
      <w:pPr>
        <w:pStyle w:val="Heading2"/>
        <w:numPr>
          <w:ilvl w:val="1"/>
          <w:numId w:val="1"/>
        </w:numPr>
        <w:rPr/>
      </w:pPr>
      <w:bookmarkStart w:id="127" w:name="__RefHeading___Toc5378744_2320776876"/>
      <w:bookmarkStart w:id="128" w:name="_Toc45"/>
      <w:bookmarkEnd w:id="126"/>
      <w:bookmarkEnd w:id="127"/>
      <w:r>
        <w:rPr>
          <w:rtl w:val="true"/>
        </w:rPr>
        <w:t>(</w:t>
      </w:r>
      <w:r>
        <w:rPr>
          <w:rtl w:val="true"/>
        </w:rPr>
        <w:t>عدم كفاية رؤية الهلال بالعين المسلحة</w:t>
      </w:r>
      <w:r>
        <w:rPr>
          <w:rtl w:val="true"/>
        </w:rPr>
        <w:t>)</w:t>
      </w:r>
      <w:bookmarkEnd w:id="128"/>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إن سئل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رئي الهلال بالتلسكوب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اليقين للرائي بكونه هلالاً، ولكن لم يمكن رؤيته بالعين المجرّدة، فهل يعتد الرائي بهذه الرؤية وهل يعتد بها غيره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برؤية الهلال بالعين المسلحة سواء بالنسبة إلى الرائي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بعض أهل العلم عن الوجه في هذه الفتوى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النصوص تعمّ بإطلاقها الرؤية بالعين المجردة والعين المسلحة، و مجرد كون الرؤية بالعين المسلحة غير متعارفة لا يمنع من شمول الإطلاق لها كما في نظائر المورد، ولاسيما أن الرؤية طريق إلى ظهور الهلال على الأفق ولا موضوعية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إلى صحيحة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يرى الهلال في شهر رمضان وحده لا يبصره غيره له أن يصوم؟ قال إذا لم يشك فيه فليصم وإلا فليصم مع الناس</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لو لم تختص بذي البصر الحاد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شمولها له بإطلاقها، </w:t>
      </w:r>
    </w:p>
    <w:p>
      <w:pPr>
        <w:pStyle w:val="BookText"/>
        <w:rPr/>
      </w:pPr>
      <w:r>
        <w:rPr>
          <w:rFonts w:ascii="Amiri" w:hAnsi="Amiri" w:eastAsia="Amiri" w:cs="Amiri"/>
          <w:color w:val="111111"/>
          <w:sz w:val="28"/>
          <w:sz w:val="28"/>
          <w:szCs w:val="28"/>
          <w:rtl w:val="true"/>
          <w:lang w:bidi="ar-SA"/>
        </w:rPr>
        <w:t>وعلى ذلك فهي دليل على كفاية رؤية الهلال بالعين الحادة جدّا فتلحق بها الرؤية بالمنظار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التمسك بإطلاق نصوص الرؤية فهو مخدوش من جهة أن الهلال كان عند العرب ميقاتاً يبتدئون به الشهر القمري الذي اعتمدوا عليه في مختلف شؤون حياتهم، ولما جاء الدين الإسلامي الحنيف أقرّهم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ما يصلح أن يكون ميقاتاً للناس بصورة عامة هو الهلال الذي يظهر على الأفق المحلّي بنحو قابل للرؤية بالعين المتعارفة المجرّدة، وأما ما لا يرى إلا بالأدوات المقرّبة أو ما لا يراه إلا نادر من الناس يمتاز برؤية بصرية حادّة جدّاً فهو لا يصلح أن يكون ميقاتاً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القرينة لابدّ من البناء على أن الرؤية المذكورة في النصوص إنّما أخذت طريقاً إلى ظهور الهلال على الأفق بحجم وبارتفاع مناسبين لأن يُرى بالعين المتعارفة غير المسلّحة لولا الموانع الخارجية من سحاب ونحوه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صحيحة علي بن جعفر، فالظاهر أن المراد بقول الراوي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عدم تحقق الرؤية من الغير لا عدم إمكانية تحققها من جهة تفرّد الرائي بحدّة البصر بحيث لا </w:t>
      </w:r>
    </w:p>
    <w:p>
      <w:pPr>
        <w:pStyle w:val="BookText"/>
        <w:rPr/>
      </w:pPr>
      <w:r>
        <w:rPr>
          <w:rFonts w:ascii="Amiri" w:hAnsi="Amiri" w:eastAsia="Amiri" w:cs="Amiri"/>
          <w:color w:val="111111"/>
          <w:sz w:val="28"/>
          <w:sz w:val="28"/>
          <w:szCs w:val="28"/>
          <w:rtl w:val="true"/>
          <w:lang w:bidi="ar-SA"/>
        </w:rPr>
        <w:t>يوجد نظير له فإنه فرض لا واقع له في أي عصر كما لا يخفى، وعلى ذلك فليس مورد الصحيحة هو خصوص ذي البصر الحادّ جدّاً الذي يرى من الهلال ما لا يراه غيره، وأما إطلاقها لهذا المورد فهو مخدوش لما سبق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أن يقال أن هذه الصحيحة ناظرة سؤالاً وجواباً إلى أمر آخر وهو أن رؤية الهلال حجّة للمتفرد بها أم لا؟ وذلك أنه لما ورد في العديد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روايات محمد بن مسلم وأبي أيوب الخزاز وعبد الله بن بكير وأبي العباس</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أنه لا عبرة بالرؤية إذا ادعاها شخص ولم يصدقه سائر المستهلين أراد الراوي أن يستفسر عن اختصاص هذا الحكم بالآخرين أو شموله للرائي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قد ذهب عدد من فقهاء الجمهور</w:t>
      </w:r>
      <w:r>
        <w:rPr>
          <w:rStyle w:val="FootnoteAnchor"/>
          <w:rtl w:val="true"/>
        </w:rPr>
        <w:footnoteReference w:id="357"/>
      </w:r>
      <w:r>
        <w:rPr>
          <w:rFonts w:ascii="IRNazanin" w:hAnsi="IRNazanin" w:eastAsia="IRNazanin"/>
          <w:color w:val="111111"/>
          <w:sz w:val="28"/>
          <w:sz w:val="28"/>
          <w:szCs w:val="28"/>
          <w:rtl w:val="true"/>
          <w:lang w:bidi="fa-IR"/>
        </w:rPr>
        <w:t xml:space="preserve">إلى شموله للرائي و أنه لا يصوم إلا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الرائي إذا كان متيقناً من رؤيته للهلال فليعمل بموجبها وإلا فليتابع الناس، أي أن رؤيته معتبرة لنفسه وإن لم تكن معتبرة للآخرين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ذلك فالصحيحة مسوقة لبيان أن رؤية المتفرد بها حجّة لنفسه دون غيره ولا ينعقد لها الإطلاق من جهة كون الهلال غير قابل للرؤية بالعين المتعارفة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مضافاً إلى أنه لو بني على كون المناط في دخول الشهر بظهور الهلال في الأفق بنحو قابل للرؤية ولو بأقوى التلسكوبات والأدوات المقرّبة لاقتضى ذلك أن صيام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وفطرهم وحجهم وسائر أعمالهم التي لها أيام خاصة من الشهور لم تكن تقع في كثير من الحالات في أيامها الحقيقية، لوضوح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يعتمدون على الرؤية المتعارفة في تعيين بدايات الأشهر الهلالية مع أنه قلّما يرى الهلال بالعين المجرّدة واضحاً ومرتفعاً في ليلة ولا يكون في الليلة السابقة عليها قابلاً للرؤية ببعض الأدوات المقرّبة القوية، وهل هذا ما يمكن الالتزام به؟</w:t>
      </w:r>
      <w:r>
        <w:rPr>
          <w:rFonts w:eastAsia="IRNazanin" w:cs="IRNazanin"/>
          <w:color w:val="111111"/>
          <w:sz w:val="28"/>
          <w:szCs w:val="28"/>
          <w:rtl w:val="true"/>
          <w:lang w:bidi="fa-IR"/>
        </w:rPr>
        <w:t xml:space="preserve">! </w:t>
      </w:r>
      <w:bookmarkStart w:id="129" w:name="pg20251_229000"/>
    </w:p>
    <w:p>
      <w:pPr>
        <w:pStyle w:val="Heading2"/>
        <w:numPr>
          <w:ilvl w:val="1"/>
          <w:numId w:val="1"/>
        </w:numPr>
        <w:rPr/>
      </w:pPr>
      <w:bookmarkStart w:id="130" w:name="__RefHeading___Toc5378746_2320776876"/>
      <w:bookmarkStart w:id="131" w:name="_Toc46"/>
      <w:bookmarkEnd w:id="129"/>
      <w:bookmarkEnd w:id="130"/>
      <w:r>
        <w:rPr>
          <w:rtl w:val="true"/>
        </w:rPr>
        <w:t>(</w:t>
      </w:r>
      <w:r>
        <w:rPr>
          <w:rtl w:val="true"/>
        </w:rPr>
        <w:t>عدم ثبوت الهلال بإخبار الفلكيين</w:t>
      </w:r>
      <w:r>
        <w:rPr>
          <w:rtl w:val="true"/>
        </w:rPr>
        <w:t>)</w:t>
      </w:r>
      <w:bookmarkEnd w:id="131"/>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الهلال لا يثبت بإخبار الفلكيين، مع أن علم الفلك يقوم على أسس علمية متينة وحسابات رياضية دقيقة، ونسبة احتمال الخطأ فيها لا تكاد تذكر، ولا يزال الفلكيون يعدّون جداول شروق الشمس والقمر وسائر الكواكب السيّارة المعروفة في المجموعة الشمسية، ويلاحظ أنها في نهاية الدقّة بحيث لم تتخلف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خلال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أرصاد علماء الفلك بخصوص وقت دخول القمر في المحاق وخروجه والوقت المحدّد لرؤيته ومقدار بعده الزاوي مقاساً بالدرجات القوسية عن الشمس ومقدار ارتفاعه فوق الأفق مقاساً بالدرجات القوسية و رصد بعده الأقصى عن الأرض و بعده الأدنى عنها كلها معلومات دقيقة يقينية معروفة لعلماء وطلاب علم الفلك وليست من قبيل الظنيات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فلماذا لا يتم الاعتماد على إخبار الفلكيين الثقات عن ولادة الهلال للحكم بدخول الشهر الجديد؟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الأدلّة الشرعية كون العبرة في بداية الشهر القمري بظهور الهلال على الأفق بنحو قابل للرؤية بالعين المجرّدة </w:t>
      </w:r>
    </w:p>
    <w:p>
      <w:pPr>
        <w:pStyle w:val="BookText"/>
        <w:rPr/>
      </w:pPr>
      <w:r>
        <w:rPr>
          <w:rFonts w:ascii="Amiri" w:hAnsi="Amiri" w:eastAsia="Amiri" w:cs="Amiri"/>
          <w:color w:val="111111"/>
          <w:sz w:val="28"/>
          <w:sz w:val="28"/>
          <w:szCs w:val="28"/>
          <w:rtl w:val="true"/>
          <w:lang w:bidi="ar-SA"/>
        </w:rPr>
        <w:t>لولا الغيم ونحوه من الموانع الخارجية، فلا تكفى ولادة الهلال وكونه موجوداً على الأفق ولكن بنحو غير قابل للرؤية مطلقاً أو بنحو غير قابل للرؤية إلا بالأدوات المقرّبة والرصد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إخبار الفلكيين عن ولادة الهلال وخروجه عن المحاق مما لا ينفع في الحكم بدخول الشهر القمري الجديد وإن كان معتمداً على الحسابات الرياضية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إخبارهم عن إمكانية رؤية الهلال بالعين المجرّدة في مناطق معينة إما مطلقاً أو في الأجواء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يعتمد على 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المحاسبات الفلكية الخاصّة بوضع الهلال في تلك المناطق، أي من حيث عمره ودرجة ارتفاعه عن الأفق ومقدار بُعده الزاوي عن الشمس ونحو ذلك من العوامل المؤثرة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التجارب الفلكية المعتمدة على رصد الهلال ميدانيّاً للتحقق من أدنى الشروط المطلوبة لرؤيته بالعين المجرّدة، أي من حيث العمر والارتفاع والبعد عن الشمس وغير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اختلفت بشأنه آراء الفلكيين، مثلا بنى بعضهم على إمكانية رؤية الهلال وهو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حين اشترط آخرون أن يكون في الحد الأدنى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وقال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ادّعى بعضهم إمكانية رؤية الهلال </w:t>
      </w:r>
    </w:p>
    <w:p>
      <w:pPr>
        <w:pStyle w:val="BookText"/>
        <w:rPr/>
      </w:pPr>
      <w:r>
        <w:rPr>
          <w:rFonts w:ascii="Amiri" w:hAnsi="Amiri" w:eastAsia="Amiri" w:cs="Amiri"/>
          <w:color w:val="111111"/>
          <w:sz w:val="28"/>
          <w:sz w:val="28"/>
          <w:szCs w:val="28"/>
          <w:rtl w:val="true"/>
          <w:lang w:bidi="ar-SA"/>
        </w:rPr>
        <w:t xml:space="preserve">وهو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على الأفق حين غروب الشمس، وقال آخرون أن الحد الأدنى من الارتفاع المطلوب لرؤيته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وقال جمع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وقيل غير ذلك، وهكذا الحال في سائر العوامل المؤثّرة في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فلا سبيل للمكلف إلى الأخذ بإخبار الفلكيين من إمكانية رؤية الهلال في منطقة كذا وكذا مما لا يتأكد من ظهور الهلال فيها بنحو قابل للرؤية بالعين المجرّدة، للنصوص الدالة على النهي عن الاعتماد على الرأي و التظني في أمر الهلال كقول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وإذا رأيتموه فافطروا وليس هو بالرأي ولا بالتظني ولكن بالرؤية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حصل للمكلّف العلم أو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خلال التجربة والممارسة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الهلال الموجود على الأفق المحلّي بحجم كذا وبارتفاع كذا وبسائر الخصوصيات المؤثرة في الرؤية قابل لأن يُرى بالعين المجردة وإنما لم يُرَ بسبب السحاب أو الضباب أو الغبار أو نحوها يلزمه العمل بموجب ما حصل له من العلم أو الاطمئنان</w:t>
      </w:r>
      <w:r>
        <w:rPr>
          <w:rFonts w:eastAsia="Amiri" w:cs="Amiri" w:ascii="Amiri" w:hAnsi="Amiri"/>
          <w:color w:val="111111"/>
          <w:sz w:val="28"/>
          <w:szCs w:val="28"/>
          <w:rtl w:val="true"/>
          <w:lang w:bidi="ar-SA"/>
        </w:rPr>
        <w:t xml:space="preserve">. </w:t>
      </w:r>
      <w:bookmarkStart w:id="132" w:name="pg20251_229003"/>
    </w:p>
    <w:p>
      <w:pPr>
        <w:pStyle w:val="Heading2"/>
        <w:numPr>
          <w:ilvl w:val="1"/>
          <w:numId w:val="1"/>
        </w:numPr>
        <w:rPr/>
      </w:pPr>
      <w:bookmarkStart w:id="133" w:name="__RefHeading___Toc5378748_2320776876"/>
      <w:bookmarkStart w:id="134" w:name="_Toc47"/>
      <w:bookmarkEnd w:id="132"/>
      <w:bookmarkEnd w:id="133"/>
      <w:r>
        <w:rPr>
          <w:rtl w:val="true"/>
        </w:rPr>
        <w:t>(</w:t>
      </w:r>
      <w:r>
        <w:rPr>
          <w:rtl w:val="true"/>
        </w:rPr>
        <w:t>حكم البيّنة على رؤية الهلال المخالفة لإخبار الفلكيين</w:t>
      </w:r>
      <w:r>
        <w:rPr>
          <w:rtl w:val="true"/>
        </w:rPr>
        <w:t>)</w:t>
      </w:r>
      <w:bookmarkEnd w:id="134"/>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يأخذ أحياناً بشهادات الشهود على رؤية الهلال إذا خالفت إخبار الفلكيين بعدم قابليته للرؤية مع أن الشهادات حسيّة والإخبار حدسي فما الوجه في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إخبار الفلكيين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 الحسابات الرياضية ولا يتخلله الاجتهاد والحدس الشخصي كإخبارهم عن زمان ولادة الهلال ووقت خروجه من المحاق ومقدار ارتفاعه فوق الأفق ونسبة القسم المنار إلى اكبر قطر يبلغه القرص ونحو ذلك، ولا يحدث عادةً اختلاف بين الفلكيين في هذا القسم، نعم ربما يخطأ بعضهم في المحاسبة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يخضع للحدس والاجتهاد ويعتمد التجربة والممارسة، كقول بعضهم أن الهلال لا يكون قابلاً للرؤية إلا إذا كان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فوق الأفق أو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أو ببُعد كذا عن الشمس وأشباه ذلك، وفي هذا القسم يكثر الاختلاف في وجهات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شهادات الشهود على رؤية الهلال مخالفة لإخبار الفلكيين من القسم الأول يحصل عادة العلم أو الاطمئنان بخطأ الشهادة إذا اخبروا وفق حسابات دقيقة أن الهلال بعدُ في المحاق أو أنه قد غرب قبل غروب الشمس ومع ذلك شهد اثنان أو أزيد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الشهادات مخالفة لإخبار الفلكيين من القسم الثاني فربما يحصل الاطمئنان بخطأ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بتجميع القرائن والشواهد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يحصل الاطمئنان بذلك، وإن لم يحصل وكان من ضمن الشهود عدلان تتوفر في شهادتهما شروط الحجيّة لزم العمل بمقتضاها ولا أثر للظن بخلافها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شروط حجيّة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رؤية الهلال هو عدم العلم أو الاطمئنان باشتباهها، فإن حصل العلم أو الاطمئنان بذلك ولو من إخبار الفلكي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الهلال بعدُ في المحاق أو بكونه بعدُ رفيعاً جدّاً بحيث لم ير مثله بالعين المجرّدة من قبل فلا عبرة بالبيّنة، و إلا يؤخذ بها ولا أثر لإخبار الفلكي</w:t>
      </w:r>
      <w:r>
        <w:rPr>
          <w:rFonts w:eastAsia="Amiri" w:cs="Amiri" w:ascii="Amiri" w:hAnsi="Amiri"/>
          <w:color w:val="111111"/>
          <w:sz w:val="28"/>
          <w:szCs w:val="28"/>
          <w:rtl w:val="true"/>
          <w:lang w:bidi="ar-SA"/>
        </w:rPr>
        <w:t xml:space="preserve">. </w:t>
      </w:r>
      <w:bookmarkStart w:id="135" w:name="pg20251_229005"/>
    </w:p>
    <w:p>
      <w:pPr>
        <w:pStyle w:val="Heading2"/>
        <w:numPr>
          <w:ilvl w:val="1"/>
          <w:numId w:val="1"/>
        </w:numPr>
        <w:rPr/>
      </w:pPr>
      <w:bookmarkStart w:id="136" w:name="__RefHeading___Toc5378750_2320776876"/>
      <w:bookmarkStart w:id="137" w:name="_Toc48"/>
      <w:bookmarkEnd w:id="135"/>
      <w:bookmarkEnd w:id="136"/>
      <w:r>
        <w:rPr>
          <w:rtl w:val="true"/>
        </w:rPr>
        <w:t>(</w:t>
      </w:r>
      <w:r>
        <w:rPr>
          <w:rtl w:val="true"/>
        </w:rPr>
        <w:t>حول الشهادات المنفردة على رؤية الهلال</w:t>
      </w:r>
      <w:r>
        <w:rPr>
          <w:rtl w:val="true"/>
        </w:rPr>
        <w:t>)</w:t>
      </w:r>
      <w:bookmarkEnd w:id="13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تنبعث شهادات منفردة برؤية الهلال من أشخاص موثقين من بلاد متقاربة في الأفق، و هي بمجموعها تشكّل رقماً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كثلاثين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يلاحظ أن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بها و لا يعتمدها في ثبوت أول الشهر فما هو الوجه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عدم الأخذ بها هو ما إذا استهل في كل بلد جمع من الناس و لم يدّع الرؤية إلا نفر قليل منهم و في الباقين من يماثلونهم في معرفة مكان الهلال وحدة البصر مع فرض صفاء الجوّ و عدم وجود ما يحتمل أن يكون مانعاً عن رؤية الآخرين، فان في مثل هذه الحالة لا يعتد بدعاوى الرؤية، كما يستفاد ذلك من عدد من النصوص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أيوب إبراهيم بن عثمان الخزاز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شهر رمضان فريضة من فرائض الله فلا تؤدوا بالتظني، و ليس </w:t>
      </w:r>
    </w:p>
    <w:p>
      <w:pPr>
        <w:pStyle w:val="BookText"/>
        <w:rPr/>
      </w:pPr>
      <w:r>
        <w:rPr>
          <w:rFonts w:ascii="Amiri" w:hAnsi="Amiri" w:eastAsia="Amiri" w:cs="Amiri"/>
          <w:color w:val="111111"/>
          <w:sz w:val="28"/>
          <w:sz w:val="28"/>
          <w:szCs w:val="28"/>
          <w:rtl w:val="true"/>
          <w:lang w:bidi="ar-SA"/>
        </w:rPr>
        <w:t xml:space="preserve">رؤية الهلال أن يقوم عدة فيقول واحد قد رأيته و يقول الآخرون لم نره، إذا رآه واحد رآه مائة و إذا رآه مائة رآه ألف </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الهلال فصوموا و إذا رأيتموه فافطروا، و ليس بالرأي و لا بالتظني و لكن بالرؤية، و الرؤية ليس أن يقوم عشرة فينظروا فيقول واحد هو ذا و ينظر تسعة فلا يرونه، إذا رآه واحد راه عشرة و ألف </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عبد الله بن بكير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للرؤية وافطر للرؤية، وليس رؤية الهلال أن يجيء الرجل و الرجلان فيقولان رأينا، إنما الرؤية أن يقول القائل رأيت فيقول القوم صدقت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فيلاحظ تأكيد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النصوص على عدم الاعتداد بدعوى رؤية الهلال من واحد أو أثنين في ضمن جمع من المستهلين، و محمله هو ما تقدم من توفر فرص مماثلة للآخرين لرؤية الهلال لو كان موجوداً في الأفق، و في هذه الحالة يغلب ابتناء دعاوى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على الخطأ في الحس و توهم ما ليس بهلالٍ هلالاً ، كما ثبت ذلك في وقائع كثيرة</w:t>
      </w:r>
      <w:r>
        <w:rPr>
          <w:rFonts w:eastAsia="Amiri" w:cs="Amiri" w:ascii="Amiri" w:hAnsi="Amiri"/>
          <w:color w:val="111111"/>
          <w:sz w:val="28"/>
          <w:szCs w:val="28"/>
          <w:rtl w:val="true"/>
          <w:lang w:bidi="ar-SA"/>
        </w:rPr>
        <w:t xml:space="preserve">. </w:t>
      </w:r>
      <w:bookmarkStart w:id="138" w:name="pg20251_229008"/>
    </w:p>
    <w:p>
      <w:pPr>
        <w:pStyle w:val="Heading2"/>
        <w:numPr>
          <w:ilvl w:val="1"/>
          <w:numId w:val="1"/>
        </w:numPr>
        <w:rPr/>
      </w:pPr>
      <w:bookmarkStart w:id="139" w:name="__RefHeading___Toc5378752_2320776876"/>
      <w:bookmarkStart w:id="140" w:name="_Toc49"/>
      <w:bookmarkEnd w:id="138"/>
      <w:bookmarkEnd w:id="139"/>
      <w:r>
        <w:rPr>
          <w:rtl w:val="true"/>
        </w:rPr>
        <w:t>(</w:t>
      </w:r>
      <w:r>
        <w:rPr>
          <w:rtl w:val="true"/>
        </w:rPr>
        <w:t xml:space="preserve">ملابسات هلال عيد الفطر في عام </w:t>
      </w:r>
      <w:r>
        <w:rPr/>
        <w:t>1419</w:t>
      </w:r>
      <w:r>
        <w:rPr>
          <w:rtl w:val="true"/>
        </w:rPr>
        <w:t>ه</w:t>
      </w:r>
      <w:r>
        <w:rPr>
          <w:rtl w:val="true"/>
        </w:rPr>
        <w:t>-)</w:t>
      </w:r>
      <w:bookmarkEnd w:id="140"/>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يثبت هلال العيد عند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الاثنين من عامنا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شهادات على رؤية الهلال في تلك الليلة من قبل جمع من المؤمنين الثقات بل العدول وعدم تحقق شهادات معاكسة لشهادتهم لوجود بعض العوائق الطبيعية مثل الغيم والضباب في مختلف المناطق مما يحتمل أن تكون هي المانع من رؤية الآخرين؟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ثبوت رؤية الهلال عند بعض العلماء في إيران استناداً إلى شهادة جمع من المؤمنين في مناطق مختلفة فيها وإفطار معظم الشعب الإيراني على هذا الأساس، و إيران تقع في شرق العراق ورؤية الهلال فيها ملازمة لرؤية الهلال في العراق لولا المانع من غيم ونحوه، وهكذا الأمر بالنسبة إلى سائر الدول الإسلامية التي هي الأخرى أعلنت الاثنين أول أيام عيد الفطر؟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سماحة السيد دام ظله كان متأكداً من أن هلال شوال لا يمكن أن يكون قابلاً للرؤية في ليلة الاثنين، وأن كل </w:t>
      </w:r>
    </w:p>
    <w:p>
      <w:pPr>
        <w:pStyle w:val="BookText"/>
        <w:rPr/>
      </w:pPr>
      <w:r>
        <w:rPr>
          <w:rFonts w:ascii="Amiri" w:hAnsi="Amiri" w:eastAsia="Amiri" w:cs="Amiri"/>
          <w:color w:val="111111"/>
          <w:sz w:val="28"/>
          <w:sz w:val="28"/>
          <w:szCs w:val="28"/>
          <w:rtl w:val="true"/>
          <w:lang w:bidi="ar-SA"/>
        </w:rPr>
        <w:t>الذين شهدوا برؤيته في تلك الليلة قد وقعوا – على أحسن تقدير – فريسة الخطأ في الحسّ فتوهموا ما ليس بهلالٍ هلالاً كما يقع كثيراً، والوجه في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الحسابات الفلكية الدقيقة قد أكدت أن هلال شهر شوال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بالخروج من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غروب يوم الأحد، مما يستحيل معه رؤيته عند غروب الشمس في آسيا و أفريقيا وحتى في أوربا وأمريكا، فقد اجمع أصحاب التقاويم والمراصد الفلكية في مختلف أنحاء العالم كإيران والعراق وبريطانيا ولبنان ومصر وسوريا وماليزيا وغيرها على أن هلال شوال لعام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خارجاً من المحاق عند غروب الشمس من يوم الأحد في باكستان وهند و إيران ودول الخليج والعراق وسوريا ولبنان و الأردن ومصر وبلاد المغرب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يدعي رؤيته في هذه البلاد فهو لاشك إما كاذب أو واهم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لكل من له إلمام بطريقة عمل الفلكيين أن إخبارهم عن موعد ولادة الهلال لا يبتني على الحدس والتخمين ولا يخضع للاجتهادات الشخصية ليقال انه لا عبرة بالخبر الحدسي في مقابل </w:t>
      </w:r>
    </w:p>
    <w:p>
      <w:pPr>
        <w:pStyle w:val="BookText"/>
        <w:rPr/>
      </w:pPr>
      <w:r>
        <w:rPr>
          <w:rFonts w:ascii="Amiri" w:hAnsi="Amiri" w:eastAsia="Amiri" w:cs="Amiri"/>
          <w:color w:val="111111"/>
          <w:sz w:val="28"/>
          <w:sz w:val="28"/>
          <w:szCs w:val="28"/>
          <w:rtl w:val="true"/>
          <w:lang w:bidi="ar-SA"/>
        </w:rPr>
        <w:t xml:space="preserve">الشهادات الحسية بالرؤية، بل انه يعتمد على محاسبات رياضية بحتة ولا يحتمل تعرضها للخطأ إلّا بنسبة </w:t>
      </w:r>
      <w:r>
        <w:rPr>
          <w:rFonts w:eastAsia="Amiri" w:cs="Amiri" w:ascii="Amiri" w:hAnsi="Amiri"/>
          <w:color w:val="111111"/>
          <w:sz w:val="28"/>
          <w:szCs w:val="28"/>
          <w:lang w:bidi="ar-SA"/>
        </w:rPr>
        <w:t>001</w:t>
      </w:r>
      <w:r>
        <w:rPr>
          <w:rFonts w:ascii="Amiri" w:hAnsi="Amiri" w:eastAsia="Amiri" w:cs="Amiri"/>
          <w:color w:val="111111"/>
          <w:sz w:val="28"/>
          <w:sz w:val="28"/>
          <w:szCs w:val="28"/>
          <w:rtl w:val="true"/>
          <w:lang w:bidi="ar-SA"/>
        </w:rPr>
        <w:t>٪ ومقدار الخطأ المحتمل لا يتجاوز الدقيقة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يمكن رؤية الهلال في ليلة الاثنين بالأدوات المقرّبة والرصد المركّز كما أعلنت ذلك مراصد معروفة كالمرصد الفلكي البريطاني والمرصد الفلكي المصري وهكذا عشرات الذين راقبوا الهلال من خلال مراصدهم الخاصة، فكيف يحتمل انه قد تيسّر لجمع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أو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يروا بعيونهم المجردة ما عجز الرصد العلمي عن رؤيته؟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فلهذين الأمرين البيّنين كان سماحة السيد دام ظله متيقناً من عدم احتمال رؤية الهلال في ليلة الاثنين، وقد تأكد ذلك بما لا يقبل الجدل في ليلة الثلاثاء حيث كان الجوّ صافياً في مناطق كثيرة في العراق ومنها النجف وكربلاء وبغداد والحلة واستهل عشرات الآلاف من الناس ولم يتمكن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من المستهلين أن يروا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رآه استعان في ذلك بالمنظار و أما بدونه فلم يكن قادراً على 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فواعجباه كيف يكون الهلال لليلتين ولا يراه إلّا نفر معدود ولا يُرى إلّا كخيط ضعيف مثل الشعرة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يكون الشهر السابق تاماً ولا يرى هلال هذا الشهر إلّا ضعيفاً في غاية الدقة ولا يتسنى لمعظم الناس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الذي منع سماحة السيد دام ظله من الاعتماد على شهادة المدّعين للرؤية في ليلة الاثنين هو ما تقدم، و أما من ثبت لديهم رؤية الهلال في تلك الليلة هنا وهناك فعذرهم في ذلك توفر عدد من الشهادات على رؤيته مع عدم التفاتهم إلى مخالفتها للثوابت الفلكية أو توهم أنها محاسبات اجتهادية تعتمد الظن والحدس فلا يعتنى بها في مقابل الشهادات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الإشارة إلى أمرين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أنه منذ سنوات طوال و في الليلة الثلاثين من كل رمضان يتوفر عدد لا بأس به من الشهود من أماكن متعددة يدعون رؤية الهلال، ويتم إبلاغ المراجع بذلك فيعلنون عن ثبوت هلال العيد في تلك الليلة استناداً إلى شهادات أولئك الأشخاص، وقد نتج عن ذلك أن شهر رمضان لا يتم عند هؤلاء منذ عقود من </w:t>
      </w:r>
    </w:p>
    <w:p>
      <w:pPr>
        <w:pStyle w:val="BookText"/>
        <w:rPr/>
      </w:pPr>
      <w:r>
        <w:rPr>
          <w:rFonts w:ascii="Amiri" w:hAnsi="Amiri" w:eastAsia="Amiri" w:cs="Amiri"/>
          <w:color w:val="111111"/>
          <w:sz w:val="28"/>
          <w:sz w:val="28"/>
          <w:szCs w:val="28"/>
          <w:rtl w:val="true"/>
          <w:lang w:bidi="ar-SA"/>
        </w:rPr>
        <w:t>الزمن وهذا أمر مقطوع البطلان، وليس له سبب سوى الاعتماد على دعاوى الرؤية في ليلة لا يمكن فيها رؤية الهلال فلكياً، فلابدّ من وضع حدّ لهذه الحالة المتكررة سنوياً بعدم قبول الشهادات التي تخالف الضوابط العلمية القطعية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معظم المسلمين في هذا العام افطروا في يوم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ما ورد في بعض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الذي أعلنوا حلول عيد الفطر في هذا اليوم هم المسلمون في دول شرق آسیا کاندنوسيا وماليزيا و فلیبین و تایلند والمسلمون في شبه القارة 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بنغلادش وهند وباكستان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وسلطنة عمان ودول آسيا المركزية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 و ازبکستان و قزیقستان و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آذربیجان وتركيا وبعض دول المغرب العربي كتونس والجزائر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عدم كفاية رؤية الهلال في بلد للبلاد البعيدة عنه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عدم كفاية رؤية الهلال بالعين المسلحة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عدم ثبوت الهلال بإخبار الفلكيين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حكم البينة على رؤية الهلال المخالفة لإخبار الفلكيين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الشهادات المنفردة على رؤية الهلال </w:t>
      </w:r>
      <w:r>
        <w:rPr>
          <w:rFonts w:eastAsia="Amiri" w:cs="Amiri" w:ascii="Amiri" w:hAnsi="Amiri"/>
          <w:color w:val="111111"/>
          <w:sz w:val="28"/>
          <w:szCs w:val="28"/>
          <w:lang w:bidi="ar-SA"/>
        </w:rPr>
        <w:t>48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ملابسات هلال عيد الفطر في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مخالفة للحق غير معمول عليها عند الطائفة بأجمعها؛ لأنه من المعلوم عنده أنّ مع الأم لا يرث أحد من الأخوة والأخوات، وقد بيّنا ذلك فيما تقدّم، والوجه في هذه الأخبار أن نحملها على ضرب من التقية لموافقتها مذاهب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أيضاً أن يكون ما ورد في أنه يجوز لنا أن نأخذ منهم على مذاهبهم على ما يعتقدونه كما يأخذونه منّا، وإنما يحرم أن يأخذ بعضنا عن بعض على خلاف الحق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المُقاصّة بضم الميم و فتح القاف، وشدّ الصاد، مصدر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الألفاظ المشتركة في اللغة؛ إذ يدل على المعاني الآتية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التقاص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 ونوعي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صاحب الوسائل إلى جواز أخذ التعصيب منهم من باب التقيّة والمداراة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مسألة طلاق الثلاث من المسائل التي كثر فيها الخلاف بين علمائهم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اعتبر الثلاث بلفظ واحد ثلاثاً وهم الجمهور من علمائهم، بل حكاه الجصاص المولود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رجب الحنبلي والسبكي والباجي وغيرهم إجماعاً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معلّق رسالة البلاغي في قاعدة الإلزام توهّم بأن هذه العبارة من المقنعة، إلا أنّا راجعنا المقنعة و ظهر أنّ العبارة عبارة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في آخر هذا الدور تقريباً، و هو قبل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 أيضاً إنّ من كان عليه الحدّ مخالفاً وكان حدّه القتل في مذهبهم يجوز قتله و إن لم يصل إلى حدّ الإكراه؛ لقاعدة إلزامهم بما ألزموا به أنفسهم وغيرها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ترافع مقلدة مجتهد مثلا يرى الصحة عند مجتهد يرى البطلان حكم عليهم بمقتضى مذهبه، و ليس له إلزامهم بما وقع منهم من التقليد قبل المرافعة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الظاهر المراد بقرينة المقابلة هو الطبع الجديد من كتاب التهذيب، ولكن ما وجدناه في النسخ المتداولة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يستحلون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نسخة مشتملة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يستحلون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الميراث، أبواب ميراث المجوس،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فضال بن عمر بن أيمن أبو الحسن الكوفي من أصحاب الإمامين أبي الحسن الهادي و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كثير العلم، واسع الأخبار، جيّد التصانيف، فقيه الإمامية بالكوفة و وجههم وثقتهم و عارفهم بالحديث و المسموع قوله فيه، سمع كثيراً، ولم يعثر له على زلّة فيه ولا ما يشينه، و قلّ ما روى عن ضعيف، و كان فطحيّاً،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يرو عن أبيه شيئاً،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أقابله و سني ثمان عشرة سنة بكتبه و لا أفهم إذ ذاك الروايات و لا أستحلّ أن أرويها عنه، و روى عن أخويه عن أبيهما، و يضعّف هذا كثرة روايته عن أبيه في العيون و الخصال و الأمالي و العلل وغيرها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أبو العباس الهمداني الكوفي المعروف بابن عقدة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في الثقة والجلالة وعظم الحفظ أشهر من أن يذكر، وكان زيدياً جارودياً وعلى ذلك مات، وإنما ذكرناه في جملة أصحابنا لكثرة رواياته عنهم وخلطته بهم وتصنيفه لهم، وله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رجل جليل في أصحاب الحديث مشهور بالحفظ، والحكايات تختلف عنه في الحفظ، وكان كوفياً زيدياً جارودياً، على ذلك حتى مات، وذكره أصحابنا لاختلاطه بهم ومداخلته إياهم وعظم محله وثقته 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سمعت جماعة يحكون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أحفظ مائة وعشرين ألف حديث بأسانيدها، وأذاكر بثلاثمائة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أسماء الرجال الذين رووا عن الصادق عليه السلام وهم أربعة آلاف رجل خرج فيه لكل رجل الحديث الذين رواه، مات بالكوفة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عقدة هو لقب محمد والد أبي العباس أحمد بن محمد بن سعيد، و إنما لقّب بذلك لأجل تعقيده في التصريف، فقد كان عالماً بالتصريف والنحو، و كان ورّاقاً بالكوفة، جيّد الخط، و يعلم القرآن و الأدب، قال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عقدة زيدياً و كان ورعاً ناسكاً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التهذيب روايات عن عليّ بن الحسن بن فضّال بدأ بذكر اسمه في أسانيده، كالحديث المذكور في المتن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البيانية هي ما كانت على تقدير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ضابطها أن يكون المضاف إليه جنساً للمضاف،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حديد،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حديد، فالمضاف بعض من المضاف إليه، و المضاف إليه من جنس المضاف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الثاني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الجديد للمستدرك لم يشر إلى النسخة بدل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التهذيب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باسم من أسماء الله تعالى أو بصفة من صفات ذاته، 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أو باللهِ أو تاللهِ، أو وعزّة الله أو جلال الله أو 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و أحكام الدعوى،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526:14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الأزواج عند الإنسان هو نوع من أنواع الزواج تتّخذ فيه الأنثى أكثر من زوج في نفس الوقت، و في الغالب يكونون إخوة، و في هذه الحالة يسمى </w:t>
      </w:r>
      <w:r>
        <w:rPr>
          <w:rFonts w:eastAsia="IRNazanin" w:cs="IRNazanin"/>
          <w:b w:val="false"/>
          <w:bCs w:val="false"/>
          <w:i w:val="false"/>
          <w:iCs w:val="false"/>
          <w:color w:val="333333"/>
          <w:sz w:val="20"/>
          <w:szCs w:val="20"/>
        </w:rPr>
        <w:t>Fraternal .polyandry</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الله جل شأنه جعل أحكام المعاملات والإيقاعات والمواريث نظراً للمصالح العامّة وحفظاً للحقوق، وجعل لتلك الحقوق روافع وموانع محدودةً بحدود تقتضيها المصلحة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اسناد الجواز الى ما يستحلون أمر مستغرب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الموصول لابد له من صلة يتم بها معناه، وهذه الصلة لا تكون اسماً مفرداً، بل جملة أو شبه جملة، ويلزم أن تشتمل على ضمير يعود إلى الموصول، و هذا العائد قد يكون مرفوعاً أو منصوباً أو مجروراً، و كلّ منها قد يحذف في بعض المواضع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ألزموهم ما ألزموا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الكندي الصيرفي من شيوخ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الحديث فقيه ثقة و كان يعاند في الوقف و يتعصب، توفي ليلة الخميس الخمس خلون من جمادى الأولى سنة ثلاث وستين و مائتين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عمد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313/478</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عدّ البرقي والشيخ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جبلة من أصحاب 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روايته عن أبي عبد الله عليه السلام لا يخلو من بُعدٍ؛ فقد قال النجاشي في ترجمة جعفر بن عبد الله رأس المذري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جعفر جلّة أصحابنا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ومحمّد بن أبي عمير والحسن بن عليّ بن فضّال وعبيس بن هشام وصفوان وابن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مشايخ هؤلاء المذكورين، أصحاب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البرقي،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وسليمان لم أتحقّق من هو، لكنّي لم أجد في طبقته باسمه من طُعن فيه أو وصف بالضعف، وذُكر في بعض حواشي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جعفر الجعفري،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رجال الرضا، وهو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جابر ، لو كنّا نفتي الناس برأينا و هوانا لكنّا من الهالكين، ولكنّا نفتيهم بآثار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أصول علم عندنا نتوارثها كابراً عن كابر، نكنزها كما يكنز هؤلاء ذهبهم و فضّتهم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عن جعفر بن سماعة و الحسن بن سماعة و الحسن بن عديس عن أبان عن عبد عبد الرحمن البصري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زياد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سماعة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وقوع الطلاق البدعي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الباقر و الصادق و ابن حزم و حكاه الخطابي عن الخوارج و الروافض إلى أنه 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ابن القربى و غيره عن ابن 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إبراهيم ابن إسماعيل بن 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فقهاء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يخالف في ذلك إلا أهل البدع والضلال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المطلقات ثلاثاً في مجلس واحد فإنّهنّ ذوات 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والمطلقات ثلاثاً فإنّهنّ ذوات أزواج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لم يرد في هذه المصادر أنّه طلّقها ثلاثاً، بل تشير إلى أنّها كانت حائضاً فقط، وأحسب أنّ ذكر الطلاق الثلاث في المتن من سهو القلم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اشتباه في استخراج الحديث، و قد تعرّض له المعلّق، فإنّ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عود الضمير إلى كتاب الحسن بن محمد بن سماعة، و الحال أنّ الرواية من كتاب علي بن الحسن بن فضال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 بن رباح أبو الفضل الثقفي القصباني، الشيخ الصدوق الثقة كثير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بن قيس أبو علي الجلاب البجلي 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منية بنت عمار بن أبي معاوية الدهني، أخت معاوية بن عمار، اختص بأبي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يتوكل لأبي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مات بالمدينة في أيام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فتولى أمره، و كان حظياً عندهم موثقاً، و كان قد قال بعبد الله، و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البلاغي في رسالته بعنوان عقد في إلزام غير الإمامي بأحكام نحلته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مستخفّا بالطلاق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كونه يدين بخفّة الطلاق على خلاف ما هو معتبر فيه من الشروط في ذاته، وفي وقوع الثلاث كما هو عند الجمهور، لا من يستخفّ به في إكثاره له جامعاً للشروط، أو يتساهل في أمره على خلاف مذهبه، ولذا عدّ الحديث جماعة من أدلّة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الطلاق البدعي على المشهور بين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حرمته تكليفية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الطالبيين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لأجل الروايات التي يروونها، إلا أنّهم يقولون بنفوذ الطلاق البدعي وإن كان محرّماً بالحرمة التكليفية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الجهة و هي الأصل الذي يلغى بموجبه احتمال صدور الرواية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التقية أو غيرها بما يمنع إرادته الجدّية لظاهر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الجاري في الجهة في رتبة سابقة على أصالة الظهور لكونها منقحة موضوعها،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بلحاظ أنّ موضوع الجهة في الظهور هو الكلام الصادر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داعي الجد لبيان حكم الله الواقعي، لا للتقية و نحوها، وأنّه لولا إحراز أصل صدور الكلام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وإحراز جهة صدوره و كونه لبيان الحكم الواقعي لا تنتهى النوبة إلى مقام التعبد بظهوره و دلالته، فبذلك تكون أصالة التعبد بالصدور والجهة في رتبة سابقة على أصالة التعبد بالظهور و الدلالة؛ لكونهما منقحتي موضوعها باعتبار كون الأوّل مثبتاً لأصل الموضوع وهو كون الكلام صادراً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 لكيفية صدوره و كونه لبيان الحكم الواقعي لا للتقية و نحوها، و عليه فعند الدوران بين التصرف الدلالي و التصرف الجهتي يقدم الأصل الجهتي على الأصل الدلالي، من جهة تقدمه عليه رتبة في المشمولية لدليل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الوجه في ذلك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 اعتبار كل من الجهة و الصدور و الدلالة، هو العمل بمقتضى ما يتلقاه المخاطب من المتكلم، ومعلوم أنّ هذه الجهات نسبتها الى العمل على السوية، كنسبة الأجزاء التركيبية إلى المركب المؤتلف منها، ليس لبعضها تقدّم على البعض الآخر، فلا وجه لرعاية الجهة و الصدور قبل الدلالة و مقدّماً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بدّ من سدّ ثغور الدليل من الجهات الثلاث، حتى ينتهي الحال إلى العمل و مقام الامتثال، ألا ترى أنّ المركب لو انفقد منه بعض أجزائه، لا يكاد يجدي الباقي من أجزائه في الأثر المترتب على المركب بتمام أجزائه، و هاهنا لو لم تتم الدلالة، لم يكد يجدي اعتبار الجهة و لا الصدور في الغاية المطلوبة من ذلك الخبر؛ إذ العمل بمقتضاه على ما ينبغي و كما هو صادر لبيانه و على حسب ظاهره موقوف على تمامية الجهات الثلاث، فإذا اختل واحد منها لم يكد يترتب عليه ذلك العمل المطلوب منه و المرغوب فيه، فالقول بلزوم رعاية بعض الجهات على بعض آخر منها استناداً إلى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وجيه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 و الصحيح ما أثبتناه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القاضي أبو الحسين محمد بن عثمان بن الحسن النصيبي أحد مشايخ النجاشي بالشريف الصالح، روى عن عبيد الله بن احمد بن نهيك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وثاقة جميع مشايخ جعفر بن محمد بن قولويه الذين وقعوا في إسناد كامل الزيارات، فإن جعفر بن قولويه قال في أول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علمنا بأنّا لا نحيط بجميع ماروي عنهم في هذا المعنى ولا في غيره، لكن ما وقع لنا من جهة الثقات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أخرجت فيه حديثاً روي عن الشذاذ من الرجال يؤثر ذلك عنهم عن المذكورين غير المعروفين بالرواية المشهورين بالحديث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يستفاد من هذه العبارة أنّه لا يروي في كتابه رواية عن المعصوم إلا وقد وصلت إليه من جهة الثقات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جعفر بن قولويه يريد بما ذكره إثبات صحة ما أورد فيه، و أن رواياته ثابتة و صادرة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أنها انتهت إليه بوساطة المشايخ و الثقات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موجب لتخصيص التوثيق بمشايخه الذين يروي عنهم مباشرة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البزنطي عنه في التهذيب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علل الشرائع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علل الشرائع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المَشاكَلة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والمماثلة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إليه رجل قتل خنزيراً فضمّنه قيمته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بن عبد الله بن سعد بن مالك بن الأحوص بن السائب بن مالك بن عامر الأشعري، من بني ذخران بن عوف بن الجماهر بن الأشعر يكنى أبا جعفر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 في مجموع الفتاوى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علق النذر على وجه اليمين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سافرت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زوجت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أضرب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أسافر من 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فمالي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عند الصحابة وجمهور العلماء هو حالف بالنذر ليس بناذر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يف بما التزمه أجزأه كفارة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أفتى الصحابة فيمن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فعلت كذا فكل مملوك لي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يمين يجزيه فيها كفارة اليمين وكذلك قال كثير من التابعين في هذا كله لما أحدث الحجاج بن يوسف تحليف الناس بأيمان البيعة، وهو التحليف بالطلاق، والعتاق، والتحليف باسم الله، وصدقة المال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عبد الله بن طاوس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قوم دانوا بشيء يلزمهم حكمه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كلام العلامة البلاغي في رسالته المعمولة في هذه القاعدة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البحث والكلام في مراسيل الصدوق فذهب جمع من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كالفاضل التفريشي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بعض دوراته الأصولية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التفصيل في مراسيله بين ما كان بصيغة جازمة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فبنوا على اعتبارها وما كان بصيغة غير جازمة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فبنوا فيها على عدم الاعتبار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نقل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تكلم على الخلاء لم تقض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نقلها في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الطفل ذكر أو أنثى تابع لأبويه في الإسلام و الكفر و ما يتبعهما من الأحكام كالطهارة و النجاسة و غيرهما بلا خلاف أجده فيه، بل الإجماع بقسميه عليه، مضافا إلى إمكان القطع به من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ونفاه الأكثرون، و قيّد بعضهم جوازه بأن تكون الكاف مكفوفة بما، كحكاية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لا يعلم فتجاوز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أظهر من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وَاذْكُرُوهُ كَمَا هَدَاكُمْ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بيان طريقه إلى عطاء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فيه عن عطاء بن السّائب فقد رويته عن الحسين بن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أبي الصهبان، عن أبي أحمد محمّد بن زياد الأزديّ عن أبان الأحمر، عن عطاء بن السائب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ضعيف بالحسين بن أحمد، على أن عطاء بنفسه لم يوثق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الصدوق ترضّى عليه في موارد كثيرة، إلا أن السيد الخوئي صرّح في مواطن عديدة من معجمه بضعف طريق الصدوق إلى فلان من جهة الحسين بن أحمد بن إدريس وذلك لعدم ورود توثيق بشأنه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التهذيب عن سعد بن عبد الله عن محمد بن الحسين عن محمد بن اسماعيل بن بزيع عن صالح بن عقبة عن عمرو بن أبي المقدام عن عطاء بن السائب، وصالح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أريد به صالح بن عقبة بن قيس بن سمعان كما هو الظاهر بقرينة رواية ابن بزيع عنه، أم ارید به صالح بن عقبة بن خالد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 وضعّف ابن الغضائري الأوّل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كذّاب، لا يلتفت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كان لا يلتفت إلى تضعيفه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يرد توثيق بشأنه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السائب أبو محمد ويقال أبو السائب الثقفي الكوفي صدوق اختلط من الخامسة مات سنة ست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مفاد نصوص التسامح، 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ما يكتسب 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التاسع الأحد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في الأَصل ما يُملك من الذهب و الفضة ثم أُُطلِق على كل ما يُقْتَنَى و يملَك من الأعيان، و أكثر ما يُطلق المال عند العرب على الإِبل؛ لأنها كانت أكثر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المستفاد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الذمي يملك الخمر والخنزير وإن كان تصرفه فيهما حراماً ولذلك جاز للمسلمين الأخذ منهم بعنوان الجزية، وإلا لو لم يملكها الذمي لما جاز له أن يدفعهما بعنوان الجزية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باعتبار أنّ حرمة التصرف في بيع الخمر والجنزير وكونه سحت مفروغ منها عند السائل ولذا سأل عن حلّية أخذ ماله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سرحان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كانت له على رجل دراهم فباع خنازير أو خمراً و هو ينظر فقضاه،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أمّا للمقتضي فحلال، و أمّا للبائع فحرام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الوجه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المطلق الشمولي، 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ينحل فيه الحكم بعدد أفراد الموضوع، فيكون كل فرد من أفراد العالم في المثال له وجوب إكرام يخصه، إذا ورد بإزائه أمر بإكرام حصة معينة مذكورة على سبيل القيد والمقيد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الوصف المعتمد على الموصوف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يحمل المطلق على المقيد، لأن الانحلال مستلزم لتعدد الحكم بعدد أفراد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من بيان حكم بعض الأفراد تارة وبيان حكم جميع الأفراد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المثال المتقدم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الوجوب لإكرام كل فرد من أفراد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أن يذكر هذا المعنى بهذه الصيغة تارة ويذكر أخرى خصوص وجوب إكرام بعض أفراد العالم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موجب لحمل المطلق على المقيد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القيد إذا كان في سؤال السائل فظهوره في الاحترازية يحتاج الى دعوى ظهور 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إمضاء ارتكاز السائل بالنسبة إلى القيد المذكور في سؤاله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شريفاً بحسب النسب إلا أنّا لم نعثر له على توثيق في الرجال، فلا يمكننا الاعتماد على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لأجله لم نعتمد على كتاب الأشعثيات لوقوعه في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المقاسمة حصة من حاصل الأرض تؤخذ عوضاً عن زراعتها، و الخراج مقدار من المال يضرب على الأرض أو الشجر حسبما يراه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320:39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تسالم عليه علماء الفن من القاعدة الرجالية التي تلقّوها بالقبول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مستثنيات ابن الوليد من 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محمد بن الحسن بن الوليد قد استثنى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بن أحمد بن يحيى الأشعري، وهو كتاب كبير يشتمل على اثنين وعشرين كتاباً، وكان مؤلفه ثقة في الحديث، إلا أنّ أصحابنا قالوا إنّه كان يروي عن الضعفاء، ويعتمد المراسيل، ولا يبالي عمن أخذ، وما عليه في نفسه مطعن في شيء، فاستثنى ابن الوليد من هذا الكتاب مجموعة من الروايات إما لكونها مراسيل أو بعض رواتها مجهول أو مطعون فيه، فتركت لأجل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مفتاح الكرامة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 كلّ علم حق هو في أيدي الناس فمن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يظهر من كثير من الروايات أن المخالفين في حكم المشركين و الكفار في جميع الأحكام لكن أجرى الله في زمان الهدنة حكم المسلمين عليهم في الدنيا رحمة للشيعة لعلمه باستيلاء المخالفين و احتياج الشيعة إلى معاشرتهم و مناكحتهم و مؤاكلتهم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الحسن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المحقق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لا يرث بالسبب الفاسد فلو تزوج محرمة لم يتوارثا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أنشأت مجلة الأحكام العدلية بعد توقف حرب القرم الأولى بين المسلمين العثمانيين والروس والتي أدت إلى بقاء جالية إسلامية ضخمة تحت سلطة الروس فطلبت السلطنة العثمانية من الكنيسة الأرثوذكسية في موسكو تقنيناً واضحاً لكيفية معاملة الرعايا المسلمين مما دفع الروس للرد بالمثل فأنشأ السلطان عبد المجيد لجنة من الفقهاء الحنفية مع مساهمين من المذاهب الثلاثة الأخرى مراقبين لتقنين القضاء والأحكام الفقهية الإسلامية فصدرت مجلة الأحكام العدلية والتي هي مجموعة من التشريعات مكونة من ستة عشر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وآخرها كتاب القضاء، صدر آخر أعدادها في فترة الخلافة العثمانية في شعبان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جانب التقنين الفقهي الإسلامي جرى تقنين لما يخص قضاء الأحوال المدنية في شؤون جميع الأديان والمذاهب في الدولة العثمانية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الحق في الفقه الإسلامي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بالضمان، يعني أن من يضمن شيئاً لو تلف ينتفع به في مقابلة الضمان، مثلاً لورد المشتري حيواناً بخيار العيب وكان قد استعمله مدة لا تلزمه أجرته لأنه لو كان قد تلف بيده قبل الرد لكان من ماله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الأحكام 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والضمان لا يجتمعان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كاشف الغطاء ذيل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الخراج بالضمان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تحرير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كلمة نبوية كقاعدة اليد و أمثالها من جوامع كلمه القصار القليلة اللفظ الكثيرة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بالخراج ما يخرج من العين من غلة و 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الباء سببية،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منافع العين تملك بسبب ضمانها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هذا أنّ كلّ من عليه ضمان العين فمنافعها له غير مضمونة عليه، و بهذا تمسك الحنفية لما ذهب إليه إمامهم من أنّ الغاصب لا يضمن ما استوفاه من منافع العين المغصوبة؛ لأنّه ضامن، وضمان العين لا يجتمع مع ضمان منافعها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والعمل 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حرمة ربا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العلم من أصحاب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 غيرهم، إلا ما روي عن ابن عباس أنّه كان لا يرى بأساً أن يباع الذهب بالذهب متفاضلاً، والفضة بالفضة متفاضلاً، إذا كان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الربا في 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روي عن بعض أصحابه شيء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 ابن عباس أنّه رجع عن قوله حين حدّثه أبو سعيد الخدري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الفضل هو التفاضل في الجنس الواحد من أموال الربا إذا بيع بعضه ببعض كبيع درهم بدرهمین نقداً أو بيع صاع قمح بصاعين من القمح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تسميته بذلك هو فضل أحد العوضين على الآخر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و هو من أكابر الفقهاء وكان معاصراً لصاحب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الميراث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اليزدي في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في المقاصّة، المسألة </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الأوّل و 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الغبن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الإصفهاني على كتاب المكاسب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الإيرواني على 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الشريعة الإصفهاني عند استدلاله على ثبوت خيار الغبن في نخبة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الخيار على وفق القاعدة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الحكم على المخالف بوقوع ما يعتقده من الطلاق بين الثلاث وغيرها مما لا يجتمع شرائطه عندنا ويقع عندهم، كتعليقه على الشرط، ووقوعه بغير إشهاد، ومع الحيض، وباليمين، وبالكناية مع النية، وغير ذلك من الأحكام التي يلتزمونها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الأصحاب الاتفاق على الحكم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الحادي عشر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الحادي عشر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526:14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524:14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526:14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المسألة في المنهاج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المحقق وصاحب الجواهر إلى أنّ أشهر الروايتين هو وقوعه طلقة واحدة، 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يشترط في الصيغة تجريدها عن الشرط و الصفة في قول مشهور لم أقف فيه على مخالف منّا، و لو فسّر الطلقة باثنتين أو ثلاث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 الطلاق،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واحدة بقوله طالق، و يلغى التفسير، و هو أشهر الروايتين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أشهر الروايتين عملاً كما عرفت،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وابن البراج والعلامة إلى انّه يقع طلقة واحدة، قال الشيخ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شرائط الطلاق العامة أن يُطلَّقها تطليقة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طلّقها أكثر من ذلك ثنتين أو ثلاثاً أو ما زاد عليه، لم يقع أكثر من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قال أنت طالق أكثر الطلاق عدداً أو أكثر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عندنا مثل الاولى سواء، و عندهم تطلق بالثلاث لأنّ أقلّه واحدة و أكثره ثلاث فإن قال أكمل الطلاق وقعت واحدة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طلقها ثلاثاً بلفظ واحد كان مبدعاً و وقعت واحدة عند تكامل الشروط عند أكثر أصحابنا وفيهم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شيء أصلاً و به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الظاهر، و حكى الطحاوي عن محمد بن إسحاق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واحدة كما قلناه، و روى انّ ابن عباس و طاووساً كان يذهب إلى ما يقوله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الطلاق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طلق ثلاثا بكلمة واحدة وقع الثلاث، وحرمت عليه حتى تنكح زوجاً غيره، ولا فرق بين قبل الدخول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أكثر أهل العلم من التابعين والأئمة بعدهم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فقهاء الأمصار على أنّ الطلاق الثلاث حكمه حكم الطلقة الثالثة، و قال أهل الظاهر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حكم الواحدة و لا تأثير للفظ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طلّق امرأته ثلاث تطليقات مع تكامل الشرائط في مجلس واحد وقعت واحدة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والسرخسي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والسمرقندي في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حكم الأنكحة الفاسدة إذا وقعت فمنها ما اتفقوا على فسخه قبل الدخول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منها فاسداً بإسقاط شرط متفق على وجوب صحة النكاح بوجوده، مثل أن ينكح محرمة العين، ومنها ما اختلفوا فيه بحسب اختلافهم في ضعف علّة الفساد وقوّتها، ولماذا يرجع من الاخلال بشروط الصحة، ومالك في هذا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يفسخه قبل الدخول ويثبته بعده، والأصل فيه عنده أن لا فسخ، ولكنه يحتاط بمنزلة ما يرى في كثير من البيع الفاسد أنه يفوت بحوالة الأسواق وغير ذلك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للكاشاني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الظاهر أنّ الصحيح هو الشهيد الثاني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 نفائس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وبألفاظ متقاربة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أبو القاسم الموسوي الخوئي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من مظاهر اعتماد العرب على أوضاع القمر في معرفة أيام الشهر هو اهتمامهم بتسميتها بأسماء خاصة، قال المسعودي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العرب تخبر عن القمر في كل ليلة من الشهور على حسب ما هو به من الضياء وغيره عن طريق المسألة والجواب، فتقول قيل للقمر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ابن ليلة؟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رضاع سخيلة حل أهلها برميلة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لليلتين؟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أمتين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والطائف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مقاييس اللغة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وتهذيب اللغة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والمحكم والمحيط الأعظم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بعض الباحثين استخدام العرب للتقويم الشمسي جزئياً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المفصل في تاريخ العرب قبل الإسلام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الرضي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الليل في تاريخ العرب مقدّم على اليوم لأن السنين عندهم مبنية على الشهور القمرية، وذلك لكون أكثرهم أهل البراري الذين يتعسر عليهم معرفة دخول الشهر إلا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ثلاث وثلاثين و مأتين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هذه السنة قدم يحيى بن هرثمة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بن محمد بن علي الرضا بن موسى بن جعفر من المدينة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علماء الجمهور فربما يدعى اتفاقهم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بعض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بكفاية الرؤية في بلدٍ لجميع البلدان، ولكن الذي يظهر من كلمات غير واحد منهم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الكاشاني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صام أهل بلد ثلاثين يوماً وصام أهل بلد آخر تسعة وعشرين يوماً فإن كان صوم أهل ذلك البلد برؤية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أهل البلد الآخر قضاء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المسافة بين البلدين قريبة لا تختلف فيها المطالع، فأما إذا كانت بعيدة فلا يلزم احد البلدين حكم الآخر لأن مطالع البلاد عند المسافة الفاحشة تختلف فيعتبر في أهل كل بلد مطالع بلدهم دون البلد الآخر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51782</Words>
  <Characters>218847</Characters>
  <CharactersWithSpaces>269189</CharactersWithSpaces>
  <Paragraphs>2030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2026-08-26T10:36:12Z</dcterms:created>
  <dc:creator>ghaemiyeh.com</dc:creator>
  <dc:description/>
  <dc:language>en-US</dc:language>
  <cp:lastModifiedBy/>
  <dcterms:modified xsi:type="dcterms:W3CDTF">2026-08-26T14:06:19Z</dcterms:modified>
  <cp:revision>1</cp:revision>
  <dc:subject/>
  <dc:title>تقریرات الامام السیستانی المجلد 8</dc:title>
</cp:coreProperties>
</file>

<file path=docProps/custom.xml><?xml version="1.0" encoding="utf-8"?>
<Properties xmlns="http://schemas.openxmlformats.org/officeDocument/2006/custom-properties" xmlns:vt="http://schemas.openxmlformats.org/officeDocument/2006/docPropsVTypes"/>
</file>