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document.xml" ContentType="application/vnd.openxmlformats-officedocument.wordprocessingml.document.main+xml"/>
  <Override PartName="/word/footer10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229.xml" ContentType="application/vnd.openxmlformats-officedocument.wordprocessingml.footer+xml"/>
  <Override PartName="/word/styles.xml" ContentType="application/vnd.openxmlformats-officedocument.wordprocessingml.styles+xml"/>
  <Override PartName="/word/footer389.xml" ContentType="application/vnd.openxmlformats-officedocument.wordprocessingml.footer+xml"/>
  <Override PartName="/word/footer427.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249.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426.xml" ContentType="application/vnd.openxmlformats-officedocument.wordprocessingml.footer+xml"/>
  <Override PartName="/word/footer260.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5.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336.xml" ContentType="application/vnd.openxmlformats-officedocument.wordprocessingml.footer+xml"/>
  <Override PartName="/word/footer6.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429.xml" ContentType="application/vnd.openxmlformats-officedocument.wordprocessingml.footer+xml"/>
  <Override PartName="/word/footer82.xml" ContentType="application/vnd.openxmlformats-officedocument.wordprocessingml.footer+xml"/>
  <Override PartName="/word/footer346.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130.xml" ContentType="application/vnd.openxmlformats-officedocument.wordprocessingml.footer+xml"/>
  <Override PartName="/word/footer33.xml" ContentType="application/vnd.openxmlformats-officedocument.wordprocessingml.footer+xml"/>
  <Override PartName="/word/footer214.xml" ContentType="application/vnd.openxmlformats-officedocument.wordprocessingml.footer+xml"/>
  <Override PartName="/word/footer131.xml" ContentType="application/vnd.openxmlformats-officedocument.wordprocessingml.footer+xml"/>
  <Override PartName="/word/footer3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47.xml" ContentType="application/vnd.openxmlformats-officedocument.wordprocessingml.footer+xml"/>
  <Override PartName="/word/footer306.xml" ContentType="application/vnd.openxmlformats-officedocument.wordprocessingml.footer+xml"/>
  <Override PartName="/word/footer333.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12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20.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40.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68.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159.xml" ContentType="application/vnd.openxmlformats-officedocument.wordprocessingml.footer+xml"/>
  <Override PartName="/word/footer16.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329.xml" ContentType="application/vnd.openxmlformats-officedocument.wordprocessingml.footer+xml"/>
  <Override PartName="/word/footer66.xml" ContentType="application/vnd.openxmlformats-officedocument.wordprocessingml.footer+xml"/>
  <Override PartName="/word/footer163.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41.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42.xml" ContentType="application/vnd.openxmlformats-officedocument.wordprocessingml.footer+xml"/>
  <Override PartName="/word/footer252.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357.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49.xml" ContentType="application/vnd.openxmlformats-officedocument.wordprocessingml.footer+xml"/>
  <Override PartName="/word/footer146.xml" ContentType="application/vnd.openxmlformats-officedocument.wordprocessingml.footer+xml"/>
  <Override PartName="/word/footer339.xml" ContentType="application/vnd.openxmlformats-officedocument.wordprocessingml.footer+xml"/>
  <Override PartName="/word/footer9.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379.xml" ContentType="application/vnd.openxmlformats-officedocument.wordprocessingml.footer+xml"/>
  <Override PartName="/word/footer251.xml" ContentType="application/vnd.openxmlformats-officedocument.wordprocessingml.footer+xml"/>
  <Override PartName="/word/footer114.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541.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540.xml" ContentType="application/vnd.openxmlformats-officedocument.wordprocessingml.footer+xml"/>
  <Override PartName="/word/footer542.xml" ContentType="application/vnd.openxmlformats-officedocument.wordprocessingml.footer+xml"/>
  <Override PartName="/word/footer13.xml" ContentType="application/vnd.openxmlformats-officedocument.wordprocessingml.footer+xml"/>
  <Override PartName="/word/footer378.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416.xml" ContentType="application/vnd.openxmlformats-officedocument.wordprocessingml.footer+xml"/>
  <Override PartName="/word/footer5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48.xml" ContentType="application/vnd.openxmlformats-officedocument.wordprocessingml.footer+xml"/>
  <Override PartName="/word/footer145.xml" ContentType="application/vnd.openxmlformats-officedocument.wordprocessingml.footer+xml"/>
  <Override PartName="/word/footer338.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56.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12.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274.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5.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237.xml" ContentType="application/vnd.openxmlformats-officedocument.wordprocessingml.footer+xml"/>
  <Override PartName="/word/footer199.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275.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0.xml" ContentType="application/vnd.openxmlformats-officedocument.wordprocessingml.footer+xml"/>
  <Override PartName="/word/footer381.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0.xml" ContentType="application/vnd.openxmlformats-officedocument.wordprocessingml.footer+xml"/>
  <Override PartName="/word/footer39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0.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3.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478.xml" ContentType="application/vnd.openxmlformats-officedocument.wordprocessingml.footer+xml"/>
  <Override PartName="/word/footer479.xml" ContentType="application/vnd.openxmlformats-officedocument.wordprocessingml.footer+xml"/>
  <Override PartName="/word/footer480.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485.xml" ContentType="application/vnd.openxmlformats-officedocument.wordprocessingml.footer+xml"/>
  <Override PartName="/word/footer486.xml" ContentType="application/vnd.openxmlformats-officedocument.wordprocessingml.footer+xml"/>
  <Override PartName="/word/footer487.xml" ContentType="application/vnd.openxmlformats-officedocument.wordprocessingml.footer+xml"/>
  <Override PartName="/word/footer488.xml" ContentType="application/vnd.openxmlformats-officedocument.wordprocessingml.footer+xml"/>
  <Override PartName="/word/footer489.xml" ContentType="application/vnd.openxmlformats-officedocument.wordprocessingml.footer+xml"/>
  <Override PartName="/word/footer490.xml" ContentType="application/vnd.openxmlformats-officedocument.wordprocessingml.footer+xml"/>
  <Override PartName="/word/footer491.xml" ContentType="application/vnd.openxmlformats-officedocument.wordprocessingml.footer+xml"/>
  <Override PartName="/word/footer492.xml" ContentType="application/vnd.openxmlformats-officedocument.wordprocessingml.footer+xml"/>
  <Override PartName="/word/footer493.xml" ContentType="application/vnd.openxmlformats-officedocument.wordprocessingml.footer+xml"/>
  <Override PartName="/word/footer494.xml" ContentType="application/vnd.openxmlformats-officedocument.wordprocessingml.footer+xml"/>
  <Override PartName="/word/footer495.xml" ContentType="application/vnd.openxmlformats-officedocument.wordprocessingml.footer+xml"/>
  <Override PartName="/word/footer496.xml" ContentType="application/vnd.openxmlformats-officedocument.wordprocessingml.footer+xml"/>
  <Override PartName="/word/footer497.xml" ContentType="application/vnd.openxmlformats-officedocument.wordprocessingml.footer+xml"/>
  <Override PartName="/word/footer498.xml" ContentType="application/vnd.openxmlformats-officedocument.wordprocessingml.footer+xml"/>
  <Override PartName="/word/footer499.xml" ContentType="application/vnd.openxmlformats-officedocument.wordprocessingml.footer+xml"/>
  <Override PartName="/word/footer500.xml" ContentType="application/vnd.openxmlformats-officedocument.wordprocessingml.footer+xml"/>
  <Override PartName="/word/footer501.xml" ContentType="application/vnd.openxmlformats-officedocument.wordprocessingml.footer+xml"/>
  <Override PartName="/word/footer502.xml" ContentType="application/vnd.openxmlformats-officedocument.wordprocessingml.footer+xml"/>
  <Override PartName="/word/footer503.xml" ContentType="application/vnd.openxmlformats-officedocument.wordprocessingml.footer+xml"/>
  <Override PartName="/word/footer504.xml" ContentType="application/vnd.openxmlformats-officedocument.wordprocessingml.footer+xml"/>
  <Override PartName="/word/footer505.xml" ContentType="application/vnd.openxmlformats-officedocument.wordprocessingml.footer+xml"/>
  <Override PartName="/word/footer510.xml" ContentType="application/vnd.openxmlformats-officedocument.wordprocessingml.footer+xml"/>
  <Override PartName="/word/footer511.xml" ContentType="application/vnd.openxmlformats-officedocument.wordprocessingml.footer+xml"/>
  <Override PartName="/word/footer512.xml" ContentType="application/vnd.openxmlformats-officedocument.wordprocessingml.footer+xml"/>
  <Override PartName="/word/footer513.xml" ContentType="application/vnd.openxmlformats-officedocument.wordprocessingml.footer+xml"/>
  <Override PartName="/word/footer514.xml" ContentType="application/vnd.openxmlformats-officedocument.wordprocessingml.footer+xml"/>
  <Override PartName="/word/footer515.xml" ContentType="application/vnd.openxmlformats-officedocument.wordprocessingml.footer+xml"/>
  <Override PartName="/word/footer52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الروضه البهیه فی شرح اللمعه الدمشقیه الطبعه الحدیثه جلد </w:t>
      </w:r>
      <w:r>
        <w:rPr/>
        <w:t>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227677_2314609296">
            <w:r>
              <w:rPr>
                <w:webHidden/>
                <w:rStyle w:val="IndexLink"/>
                <w:rtl w:val="true"/>
              </w:rPr>
              <w:t>اشارة</w:t>
            </w:r>
            <w:r>
              <w:rPr>
                <w:rStyle w:val="IndexLink"/>
                <w:rtl w:val="true"/>
              </w:rPr>
              <w:tab/>
            </w:r>
            <w:r>
              <w:rPr>
                <w:rStyle w:val="IndexLink"/>
              </w:rPr>
              <w:t>10</w:t>
            </w:r>
          </w:hyperlink>
        </w:p>
        <w:p>
          <w:pPr>
            <w:pStyle w:val="Contents2"/>
            <w:tabs>
              <w:tab w:val="clear" w:pos="8743"/>
              <w:tab w:val="right" w:pos="9026" w:leader="dot"/>
            </w:tabs>
            <w:rPr/>
          </w:pPr>
          <w:hyperlink w:anchor="__RefHeading___Toc2227679_2314609296">
            <w:r>
              <w:rPr>
                <w:webHidden/>
                <w:rStyle w:val="IndexLink"/>
                <w:rtl w:val="true"/>
              </w:rPr>
              <w:t>اشارة</w:t>
            </w:r>
            <w:r>
              <w:rPr>
                <w:rStyle w:val="IndexLink"/>
                <w:rtl w:val="true"/>
              </w:rPr>
              <w:tab/>
            </w:r>
            <w:r>
              <w:rPr>
                <w:rStyle w:val="IndexLink"/>
              </w:rPr>
              <w:t>10</w:t>
            </w:r>
          </w:hyperlink>
        </w:p>
        <w:p>
          <w:pPr>
            <w:pStyle w:val="Contents2"/>
            <w:tabs>
              <w:tab w:val="clear" w:pos="8743"/>
              <w:tab w:val="right" w:pos="9026" w:leader="dot"/>
            </w:tabs>
            <w:rPr/>
          </w:pPr>
          <w:hyperlink w:anchor="__RefHeading___Toc2227681_2314609296">
            <w:r>
              <w:rPr>
                <w:webHidden/>
                <w:rStyle w:val="IndexLink"/>
                <w:rtl w:val="true"/>
              </w:rPr>
              <w:t>کتاب اللقطة</w:t>
            </w:r>
            <w:r>
              <w:rPr>
                <w:rStyle w:val="IndexLink"/>
                <w:rtl w:val="true"/>
              </w:rPr>
              <w:tab/>
            </w:r>
            <w:r>
              <w:rPr>
                <w:rStyle w:val="IndexLink"/>
              </w:rPr>
              <w:t>11</w:t>
            </w:r>
          </w:hyperlink>
        </w:p>
        <w:p>
          <w:pPr>
            <w:pStyle w:val="Contents3"/>
            <w:tabs>
              <w:tab w:val="clear" w:pos="8459"/>
              <w:tab w:val="right" w:pos="9026" w:leader="dot"/>
            </w:tabs>
            <w:rPr/>
          </w:pPr>
          <w:hyperlink w:anchor="__RefHeading___Toc2227683_2314609296">
            <w:r>
              <w:rPr>
                <w:webHidden/>
                <w:rStyle w:val="IndexLink"/>
                <w:rtl w:val="true"/>
              </w:rPr>
              <w:t>اشارة</w:t>
            </w:r>
            <w:r>
              <w:rPr>
                <w:rStyle w:val="IndexLink"/>
                <w:rtl w:val="true"/>
              </w:rPr>
              <w:tab/>
            </w:r>
            <w:r>
              <w:rPr>
                <w:rStyle w:val="IndexLink"/>
              </w:rPr>
              <w:t>11</w:t>
            </w:r>
          </w:hyperlink>
        </w:p>
        <w:p>
          <w:pPr>
            <w:pStyle w:val="Contents3"/>
            <w:tabs>
              <w:tab w:val="clear" w:pos="8459"/>
              <w:tab w:val="right" w:pos="9026" w:leader="dot"/>
            </w:tabs>
            <w:rPr/>
          </w:pPr>
          <w:hyperlink w:anchor="__RefHeading___Toc2227685_2314609296">
            <w:r>
              <w:rPr>
                <w:webHidden/>
                <w:rStyle w:val="IndexLink"/>
                <w:rtl w:val="true"/>
              </w:rPr>
              <w:t xml:space="preserve">الفصل </w:t>
            </w:r>
            <w:r>
              <w:rPr>
                <w:rStyle w:val="IndexLink"/>
                <w:rtl w:val="true"/>
              </w:rPr>
              <w:t>«</w:t>
            </w:r>
            <w:r>
              <w:rPr>
                <w:rStyle w:val="IndexLink"/>
                <w:rtl w:val="true"/>
              </w:rPr>
              <w:t>الأوّل</w:t>
            </w:r>
            <w:r>
              <w:rPr>
                <w:rStyle w:val="IndexLink"/>
                <w:rtl w:val="true"/>
              </w:rPr>
              <w:t>» «</w:t>
            </w:r>
            <w:r>
              <w:rPr>
                <w:rStyle w:val="IndexLink"/>
                <w:rtl w:val="true"/>
              </w:rPr>
              <w:t>فی اللقیط</w:t>
            </w:r>
            <w:r>
              <w:rPr>
                <w:rStyle w:val="IndexLink"/>
                <w:rtl w:val="true"/>
              </w:rPr>
              <w:t>»</w:t>
              <w:tab/>
            </w:r>
            <w:r>
              <w:rPr>
                <w:rStyle w:val="IndexLink"/>
              </w:rPr>
              <w:t>11</w:t>
            </w:r>
          </w:hyperlink>
        </w:p>
        <w:p>
          <w:pPr>
            <w:pStyle w:val="Contents4"/>
            <w:tabs>
              <w:tab w:val="clear" w:pos="8176"/>
              <w:tab w:val="right" w:pos="9026" w:leader="dot"/>
            </w:tabs>
            <w:rPr/>
          </w:pPr>
          <w:hyperlink w:anchor="__RefHeading___Toc2227687_2314609296">
            <w:r>
              <w:rPr>
                <w:webHidden/>
                <w:rStyle w:val="IndexLink"/>
                <w:rtl w:val="true"/>
              </w:rPr>
              <w:t>اشارة</w:t>
            </w:r>
            <w:r>
              <w:rPr>
                <w:rStyle w:val="IndexLink"/>
                <w:rtl w:val="true"/>
              </w:rPr>
              <w:tab/>
            </w:r>
            <w:r>
              <w:rPr>
                <w:rStyle w:val="IndexLink"/>
              </w:rPr>
              <w:t>11</w:t>
            </w:r>
          </w:hyperlink>
        </w:p>
        <w:p>
          <w:pPr>
            <w:pStyle w:val="Contents4"/>
            <w:tabs>
              <w:tab w:val="clear" w:pos="8176"/>
              <w:tab w:val="right" w:pos="9026" w:leader="dot"/>
            </w:tabs>
            <w:rPr/>
          </w:pPr>
          <w:hyperlink w:anchor="__RefHeading___Toc2227689_2314609296">
            <w:r>
              <w:rPr>
                <w:webHidden/>
                <w:rStyle w:val="IndexLink"/>
                <w:rtl w:val="true"/>
              </w:rPr>
              <w:t>[</w:t>
            </w:r>
            <w:r>
              <w:rPr>
                <w:rStyle w:val="IndexLink"/>
                <w:rtl w:val="true"/>
              </w:rPr>
              <w:t>التقاط الطفل و المملوک</w:t>
            </w:r>
            <w:r>
              <w:rPr>
                <w:rStyle w:val="IndexLink"/>
                <w:rtl w:val="true"/>
              </w:rPr>
              <w:t>]</w:t>
              <w:tab/>
            </w:r>
            <w:r>
              <w:rPr>
                <w:rStyle w:val="IndexLink"/>
              </w:rPr>
              <w:t>11</w:t>
            </w:r>
          </w:hyperlink>
        </w:p>
        <w:p>
          <w:pPr>
            <w:pStyle w:val="Contents4"/>
            <w:tabs>
              <w:tab w:val="clear" w:pos="8176"/>
              <w:tab w:val="right" w:pos="9026" w:leader="dot"/>
            </w:tabs>
            <w:rPr/>
          </w:pPr>
          <w:hyperlink w:anchor="__RefHeading___Toc2227691_2314609296">
            <w:r>
              <w:rPr>
                <w:webHidden/>
                <w:rStyle w:val="IndexLink"/>
                <w:rtl w:val="true"/>
              </w:rPr>
              <w:t>[</w:t>
            </w:r>
            <w:r>
              <w:rPr>
                <w:rStyle w:val="IndexLink"/>
                <w:rtl w:val="true"/>
              </w:rPr>
              <w:t>شروط الملتقط</w:t>
            </w:r>
            <w:r>
              <w:rPr>
                <w:rStyle w:val="IndexLink"/>
                <w:rtl w:val="true"/>
              </w:rPr>
              <w:t>]</w:t>
              <w:tab/>
            </w:r>
            <w:r>
              <w:rPr>
                <w:rStyle w:val="IndexLink"/>
              </w:rPr>
              <w:t>13</w:t>
            </w:r>
          </w:hyperlink>
        </w:p>
        <w:p>
          <w:pPr>
            <w:pStyle w:val="Contents4"/>
            <w:tabs>
              <w:tab w:val="clear" w:pos="8176"/>
              <w:tab w:val="right" w:pos="9026" w:leader="dot"/>
            </w:tabs>
            <w:rPr/>
          </w:pPr>
          <w:hyperlink w:anchor="__RefHeading___Toc2227693_2314609296">
            <w:r>
              <w:rPr>
                <w:webHidden/>
                <w:rStyle w:val="IndexLink"/>
                <w:rtl w:val="true"/>
              </w:rPr>
              <w:t>[</w:t>
            </w:r>
            <w:r>
              <w:rPr>
                <w:rStyle w:val="IndexLink"/>
                <w:rtl w:val="true"/>
              </w:rPr>
              <w:t>احکام الالتقاط و اللقیط</w:t>
            </w:r>
            <w:r>
              <w:rPr>
                <w:rStyle w:val="IndexLink"/>
                <w:rtl w:val="true"/>
              </w:rPr>
              <w:t>]</w:t>
              <w:tab/>
            </w:r>
            <w:r>
              <w:rPr>
                <w:rStyle w:val="IndexLink"/>
              </w:rPr>
              <w:t>16</w:t>
            </w:r>
          </w:hyperlink>
        </w:p>
        <w:p>
          <w:pPr>
            <w:pStyle w:val="Contents4"/>
            <w:tabs>
              <w:tab w:val="clear" w:pos="8176"/>
              <w:tab w:val="right" w:pos="9026" w:leader="dot"/>
            </w:tabs>
            <w:rPr/>
          </w:pPr>
          <w:hyperlink w:anchor="__RefHeading___Toc2227695_2314609296">
            <w:r>
              <w:rPr>
                <w:webHidden/>
                <w:rStyle w:val="IndexLink"/>
                <w:rtl w:val="true"/>
              </w:rPr>
              <w:t>[</w:t>
            </w:r>
            <w:r>
              <w:rPr>
                <w:rStyle w:val="IndexLink"/>
                <w:rtl w:val="true"/>
              </w:rPr>
              <w:t>فی التنازع</w:t>
            </w:r>
            <w:r>
              <w:rPr>
                <w:rStyle w:val="IndexLink"/>
                <w:rtl w:val="true"/>
              </w:rPr>
              <w:t>]</w:t>
              <w:tab/>
            </w:r>
            <w:r>
              <w:rPr>
                <w:rStyle w:val="IndexLink"/>
              </w:rPr>
              <w:t>19</w:t>
            </w:r>
          </w:hyperlink>
        </w:p>
        <w:p>
          <w:pPr>
            <w:pStyle w:val="Contents3"/>
            <w:tabs>
              <w:tab w:val="clear" w:pos="8459"/>
              <w:tab w:val="right" w:pos="9026" w:leader="dot"/>
            </w:tabs>
            <w:rPr/>
          </w:pPr>
          <w:hyperlink w:anchor="__RefHeading___Toc2227697_2314609296">
            <w:r>
              <w:rPr>
                <w:webHidden/>
                <w:rStyle w:val="IndexLink"/>
                <w:rtl w:val="true"/>
              </w:rPr>
              <w:t xml:space="preserve">الفصل </w:t>
            </w:r>
            <w:r>
              <w:rPr>
                <w:rStyle w:val="IndexLink"/>
                <w:rtl w:val="true"/>
              </w:rPr>
              <w:t>«</w:t>
            </w:r>
            <w:r>
              <w:rPr>
                <w:rStyle w:val="IndexLink"/>
                <w:rtl w:val="true"/>
              </w:rPr>
              <w:t>الثانی</w:t>
            </w:r>
            <w:r>
              <w:rPr>
                <w:rStyle w:val="IndexLink"/>
                <w:rtl w:val="true"/>
              </w:rPr>
              <w:t>» «</w:t>
            </w:r>
            <w:r>
              <w:rPr>
                <w:rStyle w:val="IndexLink"/>
                <w:rtl w:val="true"/>
              </w:rPr>
              <w:t>فی</w:t>
            </w:r>
            <w:r>
              <w:rPr>
                <w:rStyle w:val="IndexLink"/>
                <w:rtl w:val="true"/>
              </w:rPr>
              <w:t xml:space="preserve">» </w:t>
            </w:r>
            <w:r>
              <w:rPr>
                <w:rStyle w:val="IndexLink"/>
                <w:rtl w:val="true"/>
              </w:rPr>
              <w:t xml:space="preserve">لقطة </w:t>
            </w:r>
            <w:r>
              <w:rPr>
                <w:rStyle w:val="IndexLink"/>
                <w:rtl w:val="true"/>
              </w:rPr>
              <w:t>«</w:t>
            </w:r>
            <w:r>
              <w:rPr>
                <w:rStyle w:val="IndexLink"/>
                <w:rtl w:val="true"/>
              </w:rPr>
              <w:t>الحیوان</w:t>
            </w:r>
            <w:r>
              <w:rPr>
                <w:rStyle w:val="IndexLink"/>
                <w:rtl w:val="true"/>
              </w:rPr>
              <w:t>»</w:t>
              <w:tab/>
            </w:r>
            <w:r>
              <w:rPr>
                <w:rStyle w:val="IndexLink"/>
              </w:rPr>
              <w:t>21</w:t>
            </w:r>
          </w:hyperlink>
        </w:p>
        <w:p>
          <w:pPr>
            <w:pStyle w:val="Contents4"/>
            <w:tabs>
              <w:tab w:val="clear" w:pos="8176"/>
              <w:tab w:val="right" w:pos="9026" w:leader="dot"/>
            </w:tabs>
            <w:rPr/>
          </w:pPr>
          <w:hyperlink w:anchor="__RefHeading___Toc2227699_2314609296">
            <w:r>
              <w:rPr>
                <w:webHidden/>
                <w:rStyle w:val="IndexLink"/>
                <w:rtl w:val="true"/>
              </w:rPr>
              <w:t>[</w:t>
            </w:r>
            <w:r>
              <w:rPr>
                <w:rStyle w:val="IndexLink"/>
                <w:rtl w:val="true"/>
              </w:rPr>
              <w:t>فی الماخوذ</w:t>
            </w:r>
            <w:r>
              <w:rPr>
                <w:rStyle w:val="IndexLink"/>
                <w:rtl w:val="true"/>
              </w:rPr>
              <w:t>]</w:t>
              <w:tab/>
            </w:r>
            <w:r>
              <w:rPr>
                <w:rStyle w:val="IndexLink"/>
              </w:rPr>
              <w:t>21</w:t>
            </w:r>
          </w:hyperlink>
        </w:p>
        <w:p>
          <w:pPr>
            <w:pStyle w:val="Contents4"/>
            <w:tabs>
              <w:tab w:val="clear" w:pos="8176"/>
              <w:tab w:val="right" w:pos="9026" w:leader="dot"/>
            </w:tabs>
            <w:rPr/>
          </w:pPr>
          <w:hyperlink w:anchor="__RefHeading___Toc2227701_2314609296">
            <w:r>
              <w:rPr>
                <w:webHidden/>
                <w:rStyle w:val="IndexLink"/>
                <w:rtl w:val="true"/>
              </w:rPr>
              <w:t>[</w:t>
            </w:r>
            <w:r>
              <w:rPr>
                <w:rStyle w:val="IndexLink"/>
                <w:rtl w:val="true"/>
              </w:rPr>
              <w:t>فی الاخذ و شروطه</w:t>
            </w:r>
            <w:r>
              <w:rPr>
                <w:rStyle w:val="IndexLink"/>
                <w:rtl w:val="true"/>
              </w:rPr>
              <w:t>]</w:t>
              <w:tab/>
            </w:r>
            <w:r>
              <w:rPr>
                <w:rStyle w:val="IndexLink"/>
              </w:rPr>
              <w:t>25</w:t>
            </w:r>
          </w:hyperlink>
        </w:p>
        <w:p>
          <w:pPr>
            <w:pStyle w:val="Contents3"/>
            <w:tabs>
              <w:tab w:val="clear" w:pos="8459"/>
              <w:tab w:val="right" w:pos="9026" w:leader="dot"/>
            </w:tabs>
            <w:rPr/>
          </w:pPr>
          <w:hyperlink w:anchor="__RefHeading___Toc2227703_2314609296">
            <w:r>
              <w:rPr>
                <w:webHidden/>
                <w:rStyle w:val="IndexLink"/>
                <w:rtl w:val="true"/>
              </w:rPr>
              <w:t xml:space="preserve">الفصل </w:t>
            </w:r>
            <w:r>
              <w:rPr>
                <w:rStyle w:val="IndexLink"/>
                <w:rtl w:val="true"/>
              </w:rPr>
              <w:t>«</w:t>
            </w:r>
            <w:r>
              <w:rPr>
                <w:rStyle w:val="IndexLink"/>
                <w:rtl w:val="true"/>
              </w:rPr>
              <w:t>الثالث</w:t>
            </w:r>
            <w:r>
              <w:rPr>
                <w:rStyle w:val="IndexLink"/>
                <w:rtl w:val="true"/>
              </w:rPr>
              <w:t>» «</w:t>
            </w:r>
            <w:r>
              <w:rPr>
                <w:rStyle w:val="IndexLink"/>
                <w:rtl w:val="true"/>
              </w:rPr>
              <w:t>فی</w:t>
            </w:r>
            <w:r>
              <w:rPr>
                <w:rStyle w:val="IndexLink"/>
                <w:rtl w:val="true"/>
              </w:rPr>
              <w:t xml:space="preserve">» </w:t>
            </w:r>
            <w:r>
              <w:rPr>
                <w:rStyle w:val="IndexLink"/>
                <w:rtl w:val="true"/>
              </w:rPr>
              <w:t xml:space="preserve">لقطة </w:t>
            </w:r>
            <w:r>
              <w:rPr>
                <w:rStyle w:val="IndexLink"/>
                <w:rtl w:val="true"/>
              </w:rPr>
              <w:t>«</w:t>
            </w:r>
            <w:r>
              <w:rPr>
                <w:rStyle w:val="IndexLink"/>
                <w:rtl w:val="true"/>
              </w:rPr>
              <w:t>المال</w:t>
            </w:r>
            <w:r>
              <w:rPr>
                <w:rStyle w:val="IndexLink"/>
                <w:rtl w:val="true"/>
              </w:rPr>
              <w:t>»</w:t>
              <w:tab/>
            </w:r>
            <w:r>
              <w:rPr>
                <w:rStyle w:val="IndexLink"/>
              </w:rPr>
              <w:t>27</w:t>
            </w:r>
          </w:hyperlink>
        </w:p>
        <w:p>
          <w:pPr>
            <w:pStyle w:val="Contents4"/>
            <w:tabs>
              <w:tab w:val="clear" w:pos="8176"/>
              <w:tab w:val="right" w:pos="9026" w:leader="dot"/>
            </w:tabs>
            <w:rPr/>
          </w:pPr>
          <w:hyperlink w:anchor="__RefHeading___Toc2227705_2314609296">
            <w:r>
              <w:rPr>
                <w:webHidden/>
                <w:rStyle w:val="IndexLink"/>
                <w:rtl w:val="true"/>
              </w:rPr>
              <w:t>[</w:t>
            </w:r>
            <w:r>
              <w:rPr>
                <w:rStyle w:val="IndexLink"/>
                <w:rtl w:val="true"/>
              </w:rPr>
              <w:t>لقطة الحرم و احکامها</w:t>
            </w:r>
            <w:r>
              <w:rPr>
                <w:rStyle w:val="IndexLink"/>
                <w:rtl w:val="true"/>
              </w:rPr>
              <w:t>]</w:t>
              <w:tab/>
            </w:r>
            <w:r>
              <w:rPr>
                <w:rStyle w:val="IndexLink"/>
              </w:rPr>
              <w:t>27</w:t>
            </w:r>
          </w:hyperlink>
        </w:p>
        <w:p>
          <w:pPr>
            <w:pStyle w:val="Contents4"/>
            <w:tabs>
              <w:tab w:val="clear" w:pos="8176"/>
              <w:tab w:val="right" w:pos="9026" w:leader="dot"/>
            </w:tabs>
            <w:rPr/>
          </w:pPr>
          <w:hyperlink w:anchor="__RefHeading___Toc2227707_2314609296">
            <w:r>
              <w:rPr>
                <w:webHidden/>
                <w:rStyle w:val="IndexLink"/>
                <w:rtl w:val="true"/>
              </w:rPr>
              <w:t>[</w:t>
            </w:r>
            <w:r>
              <w:rPr>
                <w:rStyle w:val="IndexLink"/>
                <w:rtl w:val="true"/>
              </w:rPr>
              <w:t>لقطة غیر الحرم و احکامها</w:t>
            </w:r>
            <w:r>
              <w:rPr>
                <w:rStyle w:val="IndexLink"/>
                <w:rtl w:val="true"/>
              </w:rPr>
              <w:t>]</w:t>
              <w:tab/>
            </w:r>
            <w:r>
              <w:rPr>
                <w:rStyle w:val="IndexLink"/>
              </w:rPr>
              <w:t>29</w:t>
            </w:r>
          </w:hyperlink>
        </w:p>
        <w:p>
          <w:pPr>
            <w:pStyle w:val="Contents4"/>
            <w:tabs>
              <w:tab w:val="clear" w:pos="8176"/>
              <w:tab w:val="right" w:pos="9026" w:leader="dot"/>
            </w:tabs>
            <w:rPr/>
          </w:pPr>
          <w:hyperlink w:anchor="__RefHeading___Toc2227709_2314609296">
            <w:r>
              <w:rPr>
                <w:webHidden/>
                <w:rStyle w:val="IndexLink"/>
                <w:rtl w:val="true"/>
              </w:rPr>
              <w:t>[</w:t>
            </w:r>
            <w:r>
              <w:rPr>
                <w:rStyle w:val="IndexLink"/>
                <w:rtl w:val="true"/>
              </w:rPr>
              <w:t>ما یکره التقاطه</w:t>
            </w:r>
            <w:r>
              <w:rPr>
                <w:rStyle w:val="IndexLink"/>
                <w:rtl w:val="true"/>
              </w:rPr>
              <w:t>]</w:t>
              <w:tab/>
            </w:r>
            <w:r>
              <w:rPr>
                <w:rStyle w:val="IndexLink"/>
              </w:rPr>
              <w:t>32</w:t>
            </w:r>
          </w:hyperlink>
        </w:p>
        <w:p>
          <w:pPr>
            <w:pStyle w:val="Contents2"/>
            <w:tabs>
              <w:tab w:val="clear" w:pos="8743"/>
              <w:tab w:val="right" w:pos="9026" w:leader="dot"/>
            </w:tabs>
            <w:rPr/>
          </w:pPr>
          <w:hyperlink w:anchor="__RefHeading___Toc2227711_2314609296">
            <w:r>
              <w:rPr>
                <w:webHidden/>
                <w:rStyle w:val="IndexLink"/>
                <w:rtl w:val="true"/>
              </w:rPr>
              <w:t>کتاب إحیاء الموات</w:t>
            </w:r>
            <w:r>
              <w:rPr>
                <w:rStyle w:val="IndexLink"/>
                <w:rtl w:val="true"/>
              </w:rPr>
              <w:tab/>
            </w:r>
            <w:r>
              <w:rPr>
                <w:rStyle w:val="IndexLink"/>
              </w:rPr>
              <w:t>43</w:t>
            </w:r>
          </w:hyperlink>
        </w:p>
        <w:p>
          <w:pPr>
            <w:pStyle w:val="Contents3"/>
            <w:tabs>
              <w:tab w:val="clear" w:pos="8459"/>
              <w:tab w:val="right" w:pos="9026" w:leader="dot"/>
            </w:tabs>
            <w:rPr/>
          </w:pPr>
          <w:hyperlink w:anchor="__RefHeading___Toc2227713_2314609296">
            <w:r>
              <w:rPr>
                <w:webHidden/>
                <w:rStyle w:val="IndexLink"/>
                <w:rtl w:val="true"/>
              </w:rPr>
              <w:t>اشارة</w:t>
            </w:r>
            <w:r>
              <w:rPr>
                <w:rStyle w:val="IndexLink"/>
                <w:rtl w:val="true"/>
              </w:rPr>
              <w:tab/>
            </w:r>
            <w:r>
              <w:rPr>
                <w:rStyle w:val="IndexLink"/>
              </w:rPr>
              <w:t>43</w:t>
            </w:r>
          </w:hyperlink>
        </w:p>
        <w:p>
          <w:pPr>
            <w:pStyle w:val="Contents3"/>
            <w:tabs>
              <w:tab w:val="clear" w:pos="8459"/>
              <w:tab w:val="right" w:pos="9026" w:leader="dot"/>
            </w:tabs>
            <w:rPr/>
          </w:pPr>
          <w:hyperlink w:anchor="__RefHeading___Toc2227715_2314609296">
            <w:r>
              <w:rPr>
                <w:webHidden/>
                <w:rStyle w:val="IndexLink"/>
                <w:rtl w:val="true"/>
              </w:rPr>
              <w:t>[</w:t>
            </w:r>
            <w:r>
              <w:rPr>
                <w:rStyle w:val="IndexLink"/>
                <w:rtl w:val="true"/>
              </w:rPr>
              <w:t>المراد من ارض الموات</w:t>
            </w:r>
            <w:r>
              <w:rPr>
                <w:rStyle w:val="IndexLink"/>
                <w:rtl w:val="true"/>
              </w:rPr>
              <w:t>]</w:t>
              <w:tab/>
            </w:r>
            <w:r>
              <w:rPr>
                <w:rStyle w:val="IndexLink"/>
              </w:rPr>
              <w:t>44</w:t>
            </w:r>
          </w:hyperlink>
        </w:p>
        <w:p>
          <w:pPr>
            <w:pStyle w:val="Contents3"/>
            <w:tabs>
              <w:tab w:val="clear" w:pos="8459"/>
              <w:tab w:val="right" w:pos="9026" w:leader="dot"/>
            </w:tabs>
            <w:rPr/>
          </w:pPr>
          <w:hyperlink w:anchor="__RefHeading___Toc2227717_2314609296">
            <w:r>
              <w:rPr>
                <w:webHidden/>
                <w:rStyle w:val="IndexLink"/>
                <w:rtl w:val="true"/>
              </w:rPr>
              <w:t>[</w:t>
            </w:r>
            <w:r>
              <w:rPr>
                <w:rStyle w:val="IndexLink"/>
                <w:rtl w:val="true"/>
              </w:rPr>
              <w:t>حکم الموات</w:t>
            </w:r>
            <w:r>
              <w:rPr>
                <w:rStyle w:val="IndexLink"/>
                <w:rtl w:val="true"/>
              </w:rPr>
              <w:t>]</w:t>
              <w:tab/>
            </w:r>
            <w:r>
              <w:rPr>
                <w:rStyle w:val="IndexLink"/>
              </w:rPr>
              <w:t>45</w:t>
            </w:r>
          </w:hyperlink>
        </w:p>
        <w:p>
          <w:pPr>
            <w:pStyle w:val="Contents3"/>
            <w:tabs>
              <w:tab w:val="clear" w:pos="8459"/>
              <w:tab w:val="right" w:pos="9026" w:leader="dot"/>
            </w:tabs>
            <w:rPr/>
          </w:pPr>
          <w:hyperlink w:anchor="__RefHeading___Toc2227719_2314609296">
            <w:r>
              <w:rPr>
                <w:webHidden/>
                <w:rStyle w:val="IndexLink"/>
                <w:rtl w:val="true"/>
              </w:rPr>
              <w:t>[</w:t>
            </w:r>
            <w:r>
              <w:rPr>
                <w:rStyle w:val="IndexLink"/>
                <w:rtl w:val="true"/>
              </w:rPr>
              <w:t>ما لا یجوز احیاوه</w:t>
            </w:r>
            <w:r>
              <w:rPr>
                <w:rStyle w:val="IndexLink"/>
                <w:rtl w:val="true"/>
              </w:rPr>
              <w:t>]</w:t>
              <w:tab/>
            </w:r>
            <w:r>
              <w:rPr>
                <w:rStyle w:val="IndexLink"/>
              </w:rPr>
              <w:t>45</w:t>
            </w:r>
          </w:hyperlink>
        </w:p>
        <w:p>
          <w:pPr>
            <w:pStyle w:val="Contents3"/>
            <w:tabs>
              <w:tab w:val="clear" w:pos="8459"/>
              <w:tab w:val="right" w:pos="9026" w:leader="dot"/>
            </w:tabs>
            <w:rPr/>
          </w:pPr>
          <w:hyperlink w:anchor="__RefHeading___Toc2227721_2314609296">
            <w:r>
              <w:rPr>
                <w:webHidden/>
                <w:rStyle w:val="IndexLink"/>
                <w:rtl w:val="true"/>
              </w:rPr>
              <w:t>[</w:t>
            </w:r>
            <w:r>
              <w:rPr>
                <w:rStyle w:val="IndexLink"/>
                <w:rtl w:val="true"/>
              </w:rPr>
              <w:t>حکم الارض المفتوحه عنوة</w:t>
            </w:r>
            <w:r>
              <w:rPr>
                <w:rStyle w:val="IndexLink"/>
                <w:rtl w:val="true"/>
              </w:rPr>
              <w:t>]</w:t>
              <w:tab/>
            </w:r>
            <w:r>
              <w:rPr>
                <w:rStyle w:val="IndexLink"/>
              </w:rPr>
              <w:t>49</w:t>
            </w:r>
          </w:hyperlink>
        </w:p>
        <w:p>
          <w:pPr>
            <w:pStyle w:val="Contents3"/>
            <w:tabs>
              <w:tab w:val="clear" w:pos="8459"/>
              <w:tab w:val="right" w:pos="9026" w:leader="dot"/>
            </w:tabs>
            <w:rPr/>
          </w:pPr>
          <w:hyperlink w:anchor="__RefHeading___Toc2227723_2314609296">
            <w:r>
              <w:rPr>
                <w:webHidden/>
                <w:rStyle w:val="IndexLink"/>
                <w:rtl w:val="true"/>
              </w:rPr>
              <w:t>[</w:t>
            </w:r>
            <w:r>
              <w:rPr>
                <w:rStyle w:val="IndexLink"/>
                <w:rtl w:val="true"/>
              </w:rPr>
              <w:t>شروط احیاء المملّک</w:t>
            </w:r>
            <w:r>
              <w:rPr>
                <w:rStyle w:val="IndexLink"/>
                <w:rtl w:val="true"/>
              </w:rPr>
              <w:t>]</w:t>
              <w:tab/>
            </w:r>
            <w:r>
              <w:rPr>
                <w:rStyle w:val="IndexLink"/>
              </w:rPr>
              <w:t>50</w:t>
            </w:r>
          </w:hyperlink>
        </w:p>
        <w:p>
          <w:pPr>
            <w:pStyle w:val="Contents3"/>
            <w:tabs>
              <w:tab w:val="clear" w:pos="8459"/>
              <w:tab w:val="right" w:pos="9026" w:leader="dot"/>
            </w:tabs>
            <w:rPr/>
          </w:pPr>
          <w:hyperlink w:anchor="__RefHeading___Toc2227725_2314609296">
            <w:r>
              <w:rPr>
                <w:webHidden/>
                <w:rStyle w:val="IndexLink"/>
                <w:rtl w:val="true"/>
              </w:rPr>
              <w:t>[</w:t>
            </w:r>
            <w:r>
              <w:rPr>
                <w:rStyle w:val="IndexLink"/>
                <w:rtl w:val="true"/>
              </w:rPr>
              <w:t>حریم بعض الاملاک</w:t>
            </w:r>
            <w:r>
              <w:rPr>
                <w:rStyle w:val="IndexLink"/>
                <w:rtl w:val="true"/>
              </w:rPr>
              <w:t>]</w:t>
              <w:tab/>
            </w:r>
            <w:r>
              <w:rPr>
                <w:rStyle w:val="IndexLink"/>
              </w:rPr>
              <w:t>53</w:t>
            </w:r>
          </w:hyperlink>
        </w:p>
        <w:p>
          <w:pPr>
            <w:pStyle w:val="Contents3"/>
            <w:tabs>
              <w:tab w:val="clear" w:pos="8459"/>
              <w:tab w:val="right" w:pos="9026" w:leader="dot"/>
            </w:tabs>
            <w:rPr/>
          </w:pPr>
          <w:hyperlink w:anchor="__RefHeading___Toc2227727_2314609296">
            <w:r>
              <w:rPr>
                <w:webHidden/>
                <w:rStyle w:val="IndexLink"/>
                <w:rtl w:val="true"/>
              </w:rPr>
              <w:t>[</w:t>
            </w:r>
            <w:r>
              <w:rPr>
                <w:rStyle w:val="IndexLink"/>
                <w:rtl w:val="true"/>
              </w:rPr>
              <w:t>مرجع الاحیاء</w:t>
            </w:r>
            <w:r>
              <w:rPr>
                <w:rStyle w:val="IndexLink"/>
                <w:rtl w:val="true"/>
              </w:rPr>
              <w:t>]</w:t>
              <w:tab/>
            </w:r>
            <w:r>
              <w:rPr>
                <w:rStyle w:val="IndexLink"/>
              </w:rPr>
              <w:t>55</w:t>
            </w:r>
          </w:hyperlink>
        </w:p>
        <w:p>
          <w:pPr>
            <w:pStyle w:val="Contents4"/>
            <w:tabs>
              <w:tab w:val="clear" w:pos="8176"/>
              <w:tab w:val="right" w:pos="9026" w:leader="dot"/>
            </w:tabs>
            <w:rPr/>
          </w:pPr>
          <w:hyperlink w:anchor="__RefHeading___Toc2227729_2314609296">
            <w:r>
              <w:rPr>
                <w:webHidden/>
                <w:rStyle w:val="IndexLink"/>
                <w:rtl w:val="true"/>
              </w:rPr>
              <w:t>اشارة</w:t>
            </w:r>
            <w:r>
              <w:rPr>
                <w:rStyle w:val="IndexLink"/>
                <w:rtl w:val="true"/>
              </w:rPr>
              <w:tab/>
            </w:r>
            <w:r>
              <w:rPr>
                <w:rStyle w:val="IndexLink"/>
              </w:rPr>
              <w:t>55</w:t>
            </w:r>
          </w:hyperlink>
        </w:p>
        <w:p>
          <w:pPr>
            <w:pStyle w:val="Contents4"/>
            <w:tabs>
              <w:tab w:val="clear" w:pos="8176"/>
              <w:tab w:val="right" w:pos="9026" w:leader="dot"/>
            </w:tabs>
            <w:rPr/>
          </w:pPr>
          <w:hyperlink w:anchor="__RefHeading___Toc2227731_2314609296">
            <w:r>
              <w:rPr>
                <w:webHidden/>
                <w:rStyle w:val="IndexLink"/>
                <w:rtl w:val="true"/>
              </w:rPr>
              <w:t>«</w:t>
            </w:r>
            <w:r>
              <w:rPr>
                <w:rStyle w:val="IndexLink"/>
                <w:rtl w:val="true"/>
              </w:rPr>
              <w:t>القول فی المشترکات</w:t>
            </w:r>
            <w:r>
              <w:rPr>
                <w:rStyle w:val="IndexLink"/>
                <w:rtl w:val="true"/>
              </w:rPr>
              <w:t>»</w:t>
              <w:tab/>
            </w:r>
            <w:r>
              <w:rPr>
                <w:rStyle w:val="IndexLink"/>
              </w:rPr>
              <w:t>58</w:t>
            </w:r>
          </w:hyperlink>
        </w:p>
        <w:p>
          <w:pPr>
            <w:pStyle w:val="Contents5"/>
            <w:tabs>
              <w:tab w:val="clear" w:pos="7892"/>
              <w:tab w:val="right" w:pos="9026" w:leader="dot"/>
            </w:tabs>
            <w:rPr/>
          </w:pPr>
          <w:hyperlink w:anchor="__RefHeading___Toc2227733_2314609296">
            <w:r>
              <w:rPr>
                <w:webHidden/>
                <w:rStyle w:val="IndexLink"/>
                <w:rtl w:val="true"/>
              </w:rPr>
              <w:t>اشارة</w:t>
            </w:r>
            <w:r>
              <w:rPr>
                <w:rStyle w:val="IndexLink"/>
                <w:rtl w:val="true"/>
              </w:rPr>
              <w:tab/>
            </w:r>
            <w:r>
              <w:rPr>
                <w:rStyle w:val="IndexLink"/>
              </w:rPr>
              <w:t>58</w:t>
            </w:r>
          </w:hyperlink>
        </w:p>
        <w:p>
          <w:pPr>
            <w:pStyle w:val="Contents5"/>
            <w:tabs>
              <w:tab w:val="clear" w:pos="7892"/>
              <w:tab w:val="right" w:pos="9026" w:leader="dot"/>
            </w:tabs>
            <w:rPr/>
          </w:pPr>
          <w:hyperlink w:anchor="__RefHeading___Toc2227735_2314609296">
            <w:r>
              <w:rPr>
                <w:webHidden/>
                <w:rStyle w:val="IndexLink"/>
                <w:rtl w:val="true"/>
              </w:rPr>
              <w:t>[«</w:t>
            </w:r>
            <w:r>
              <w:rPr>
                <w:rStyle w:val="IndexLink"/>
                <w:rtl w:val="true"/>
              </w:rPr>
              <w:t>فمنها</w:t>
            </w:r>
            <w:r>
              <w:rPr>
                <w:rStyle w:val="IndexLink"/>
                <w:rtl w:val="true"/>
              </w:rPr>
              <w:t xml:space="preserve">: </w:t>
            </w:r>
            <w:r>
              <w:rPr>
                <w:rStyle w:val="IndexLink"/>
                <w:rtl w:val="true"/>
              </w:rPr>
              <w:t>المسجد</w:t>
            </w:r>
            <w:r>
              <w:rPr>
                <w:rStyle w:val="IndexLink"/>
                <w:rtl w:val="true"/>
              </w:rPr>
              <w:t>»]</w:t>
              <w:tab/>
            </w:r>
            <w:r>
              <w:rPr>
                <w:rStyle w:val="IndexLink"/>
              </w:rPr>
              <w:t>58</w:t>
            </w:r>
          </w:hyperlink>
        </w:p>
        <w:p>
          <w:pPr>
            <w:pStyle w:val="Contents5"/>
            <w:tabs>
              <w:tab w:val="clear" w:pos="7892"/>
              <w:tab w:val="right" w:pos="9026" w:leader="dot"/>
            </w:tabs>
            <w:rPr/>
          </w:pPr>
          <w:hyperlink w:anchor="__RefHeading___Toc2227737_2314609296">
            <w:r>
              <w:rPr>
                <w:webHidden/>
                <w:rStyle w:val="IndexLink"/>
                <w:rtl w:val="true"/>
              </w:rPr>
              <w:t>[«</w:t>
            </w:r>
            <w:r>
              <w:rPr>
                <w:rStyle w:val="IndexLink"/>
                <w:rtl w:val="true"/>
              </w:rPr>
              <w:t>ومنها</w:t>
            </w:r>
            <w:r>
              <w:rPr>
                <w:rStyle w:val="IndexLink"/>
                <w:rtl w:val="true"/>
              </w:rPr>
              <w:t xml:space="preserve">: </w:t>
            </w:r>
            <w:r>
              <w:rPr>
                <w:rStyle w:val="IndexLink"/>
                <w:rtl w:val="true"/>
              </w:rPr>
              <w:t>المدرسة والرباط</w:t>
            </w:r>
            <w:r>
              <w:rPr>
                <w:rStyle w:val="IndexLink"/>
                <w:rtl w:val="true"/>
              </w:rPr>
              <w:t>»]</w:t>
              <w:tab/>
            </w:r>
            <w:r>
              <w:rPr>
                <w:rStyle w:val="IndexLink"/>
              </w:rPr>
              <w:t>60</w:t>
            </w:r>
          </w:hyperlink>
        </w:p>
        <w:p>
          <w:pPr>
            <w:pStyle w:val="Contents5"/>
            <w:tabs>
              <w:tab w:val="clear" w:pos="7892"/>
              <w:tab w:val="right" w:pos="9026" w:leader="dot"/>
            </w:tabs>
            <w:rPr/>
          </w:pPr>
          <w:hyperlink w:anchor="__RefHeading___Toc2227739_2314609296">
            <w:r>
              <w:rPr>
                <w:webHidden/>
                <w:rStyle w:val="IndexLink"/>
                <w:rtl w:val="true"/>
              </w:rPr>
              <w:t>[«</w:t>
            </w:r>
            <w:r>
              <w:rPr>
                <w:rStyle w:val="IndexLink"/>
                <w:rtl w:val="true"/>
              </w:rPr>
              <w:t>ومنها</w:t>
            </w:r>
            <w:r>
              <w:rPr>
                <w:rStyle w:val="IndexLink"/>
                <w:rtl w:val="true"/>
              </w:rPr>
              <w:t xml:space="preserve">: </w:t>
            </w:r>
            <w:r>
              <w:rPr>
                <w:rStyle w:val="IndexLink"/>
                <w:rtl w:val="true"/>
              </w:rPr>
              <w:t>الطرق</w:t>
            </w:r>
            <w:r>
              <w:rPr>
                <w:rStyle w:val="IndexLink"/>
                <w:rtl w:val="true"/>
              </w:rPr>
              <w:t>»]</w:t>
              <w:tab/>
            </w:r>
            <w:r>
              <w:rPr>
                <w:rStyle w:val="IndexLink"/>
              </w:rPr>
              <w:t>62</w:t>
            </w:r>
          </w:hyperlink>
        </w:p>
        <w:p>
          <w:pPr>
            <w:pStyle w:val="Contents5"/>
            <w:tabs>
              <w:tab w:val="clear" w:pos="7892"/>
              <w:tab w:val="right" w:pos="9026" w:leader="dot"/>
            </w:tabs>
            <w:rPr/>
          </w:pPr>
          <w:hyperlink w:anchor="__RefHeading___Toc2227741_2314609296">
            <w:r>
              <w:rPr>
                <w:webHidden/>
                <w:rStyle w:val="IndexLink"/>
                <w:rtl w:val="true"/>
              </w:rPr>
              <w:t>[«</w:t>
            </w:r>
            <w:r>
              <w:rPr>
                <w:rStyle w:val="IndexLink"/>
                <w:rtl w:val="true"/>
              </w:rPr>
              <w:t>ومنها</w:t>
            </w:r>
            <w:r>
              <w:rPr>
                <w:rStyle w:val="IndexLink"/>
                <w:rtl w:val="true"/>
              </w:rPr>
              <w:t xml:space="preserve">: </w:t>
            </w:r>
            <w:r>
              <w:rPr>
                <w:rStyle w:val="IndexLink"/>
                <w:rtl w:val="true"/>
              </w:rPr>
              <w:t>المیاه المباحة</w:t>
            </w:r>
            <w:r>
              <w:rPr>
                <w:rStyle w:val="IndexLink"/>
                <w:rtl w:val="true"/>
              </w:rPr>
              <w:t>»]</w:t>
              <w:tab/>
            </w:r>
            <w:r>
              <w:rPr>
                <w:rStyle w:val="IndexLink"/>
              </w:rPr>
              <w:t>64</w:t>
            </w:r>
          </w:hyperlink>
        </w:p>
        <w:p>
          <w:pPr>
            <w:pStyle w:val="Contents5"/>
            <w:tabs>
              <w:tab w:val="clear" w:pos="7892"/>
              <w:tab w:val="right" w:pos="9026" w:leader="dot"/>
            </w:tabs>
            <w:rPr/>
          </w:pPr>
          <w:hyperlink w:anchor="__RefHeading___Toc2227743_2314609296">
            <w:r>
              <w:rPr>
                <w:webHidden/>
                <w:rStyle w:val="IndexLink"/>
                <w:rtl w:val="true"/>
              </w:rPr>
              <w:t>[«</w:t>
            </w:r>
            <w:r>
              <w:rPr>
                <w:rStyle w:val="IndexLink"/>
                <w:rtl w:val="true"/>
              </w:rPr>
              <w:t>ومنها</w:t>
            </w:r>
            <w:r>
              <w:rPr>
                <w:rStyle w:val="IndexLink"/>
                <w:rtl w:val="true"/>
              </w:rPr>
              <w:t xml:space="preserve">: </w:t>
            </w:r>
            <w:r>
              <w:rPr>
                <w:rStyle w:val="IndexLink"/>
                <w:rtl w:val="true"/>
              </w:rPr>
              <w:t>المعادن</w:t>
            </w:r>
            <w:r>
              <w:rPr>
                <w:rStyle w:val="IndexLink"/>
                <w:rtl w:val="true"/>
              </w:rPr>
              <w:t>»]</w:t>
              <w:tab/>
            </w:r>
            <w:r>
              <w:rPr>
                <w:rStyle w:val="IndexLink"/>
              </w:rPr>
              <w:t>66</w:t>
            </w:r>
          </w:hyperlink>
        </w:p>
        <w:p>
          <w:pPr>
            <w:pStyle w:val="Contents2"/>
            <w:tabs>
              <w:tab w:val="clear" w:pos="8743"/>
              <w:tab w:val="right" w:pos="9026" w:leader="dot"/>
            </w:tabs>
            <w:rPr/>
          </w:pPr>
          <w:hyperlink w:anchor="__RefHeading___Toc2227745_2314609296">
            <w:r>
              <w:rPr>
                <w:webHidden/>
                <w:rStyle w:val="IndexLink"/>
                <w:rtl w:val="true"/>
              </w:rPr>
              <w:t>کتاب الصید والذباحة</w:t>
            </w:r>
            <w:r>
              <w:rPr>
                <w:rStyle w:val="IndexLink"/>
                <w:rtl w:val="true"/>
              </w:rPr>
              <w:tab/>
            </w:r>
            <w:r>
              <w:rPr>
                <w:rStyle w:val="IndexLink"/>
              </w:rPr>
              <w:t>68</w:t>
            </w:r>
          </w:hyperlink>
        </w:p>
        <w:p>
          <w:pPr>
            <w:pStyle w:val="Contents3"/>
            <w:tabs>
              <w:tab w:val="clear" w:pos="8459"/>
              <w:tab w:val="right" w:pos="9026" w:leader="dot"/>
            </w:tabs>
            <w:rPr/>
          </w:pPr>
          <w:hyperlink w:anchor="__RefHeading___Toc2227747_2314609296">
            <w:r>
              <w:rPr>
                <w:webHidden/>
                <w:rStyle w:val="IndexLink"/>
                <w:rtl w:val="true"/>
              </w:rPr>
              <w:t>اشارة</w:t>
            </w:r>
            <w:r>
              <w:rPr>
                <w:rStyle w:val="IndexLink"/>
                <w:rtl w:val="true"/>
              </w:rPr>
              <w:tab/>
            </w:r>
            <w:r>
              <w:rPr>
                <w:rStyle w:val="IndexLink"/>
              </w:rPr>
              <w:t>68</w:t>
            </w:r>
          </w:hyperlink>
        </w:p>
        <w:p>
          <w:pPr>
            <w:pStyle w:val="Contents3"/>
            <w:tabs>
              <w:tab w:val="clear" w:pos="8459"/>
              <w:tab w:val="right" w:pos="9026" w:leader="dot"/>
            </w:tabs>
            <w:rPr/>
          </w:pPr>
          <w:hyperlink w:anchor="__RefHeading___Toc2227749_2314609296">
            <w:r>
              <w:rPr>
                <w:webHidden/>
                <w:rStyle w:val="IndexLink"/>
                <w:rtl w:val="true"/>
              </w:rPr>
              <w:t xml:space="preserve">الفصل </w:t>
            </w:r>
            <w:r>
              <w:rPr>
                <w:rStyle w:val="IndexLink"/>
                <w:rtl w:val="true"/>
              </w:rPr>
              <w:t>«</w:t>
            </w:r>
            <w:r>
              <w:rPr>
                <w:rStyle w:val="IndexLink"/>
                <w:rtl w:val="true"/>
              </w:rPr>
              <w:t>الأوّل</w:t>
            </w:r>
            <w:r>
              <w:rPr>
                <w:rStyle w:val="IndexLink"/>
                <w:rtl w:val="true"/>
              </w:rPr>
              <w:t xml:space="preserve">» </w:t>
            </w:r>
            <w:r>
              <w:rPr>
                <w:rStyle w:val="IndexLink"/>
                <w:rtl w:val="true"/>
              </w:rPr>
              <w:t>فی آلة الصید</w:t>
            </w:r>
            <w:r>
              <w:rPr>
                <w:rStyle w:val="IndexLink"/>
                <w:rtl w:val="true"/>
              </w:rPr>
              <w:tab/>
            </w:r>
            <w:r>
              <w:rPr>
                <w:rStyle w:val="IndexLink"/>
              </w:rPr>
              <w:t>69</w:t>
            </w:r>
          </w:hyperlink>
        </w:p>
        <w:p>
          <w:pPr>
            <w:pStyle w:val="Contents4"/>
            <w:tabs>
              <w:tab w:val="clear" w:pos="8176"/>
              <w:tab w:val="right" w:pos="9026" w:leader="dot"/>
            </w:tabs>
            <w:rPr/>
          </w:pPr>
          <w:hyperlink w:anchor="__RefHeading___Toc2227751_2314609296">
            <w:r>
              <w:rPr>
                <w:webHidden/>
                <w:rStyle w:val="IndexLink"/>
                <w:rtl w:val="true"/>
              </w:rPr>
              <w:t>اشارة</w:t>
            </w:r>
            <w:r>
              <w:rPr>
                <w:rStyle w:val="IndexLink"/>
                <w:rtl w:val="true"/>
              </w:rPr>
              <w:tab/>
            </w:r>
            <w:r>
              <w:rPr>
                <w:rStyle w:val="IndexLink"/>
              </w:rPr>
              <w:t>69</w:t>
            </w:r>
          </w:hyperlink>
        </w:p>
        <w:p>
          <w:pPr>
            <w:pStyle w:val="Contents4"/>
            <w:tabs>
              <w:tab w:val="clear" w:pos="8176"/>
              <w:tab w:val="right" w:pos="9026" w:leader="dot"/>
            </w:tabs>
            <w:rPr/>
          </w:pPr>
          <w:hyperlink w:anchor="__RefHeading___Toc2227753_2314609296">
            <w:r>
              <w:rPr>
                <w:webHidden/>
                <w:rStyle w:val="IndexLink"/>
                <w:rtl w:val="true"/>
              </w:rPr>
              <w:t>[</w:t>
            </w:r>
            <w:r>
              <w:rPr>
                <w:rStyle w:val="IndexLink"/>
                <w:rtl w:val="true"/>
              </w:rPr>
              <w:t>الاصطیاد بالکلب المعلم</w:t>
            </w:r>
            <w:r>
              <w:rPr>
                <w:rStyle w:val="IndexLink"/>
                <w:rtl w:val="true"/>
              </w:rPr>
              <w:t>]</w:t>
              <w:tab/>
            </w:r>
            <w:r>
              <w:rPr>
                <w:rStyle w:val="IndexLink"/>
              </w:rPr>
              <w:t>70</w:t>
            </w:r>
          </w:hyperlink>
        </w:p>
        <w:p>
          <w:pPr>
            <w:pStyle w:val="Contents4"/>
            <w:tabs>
              <w:tab w:val="clear" w:pos="8176"/>
              <w:tab w:val="right" w:pos="9026" w:leader="dot"/>
            </w:tabs>
            <w:rPr/>
          </w:pPr>
          <w:hyperlink w:anchor="__RefHeading___Toc2227755_2314609296">
            <w:r>
              <w:rPr>
                <w:webHidden/>
                <w:rStyle w:val="IndexLink"/>
                <w:rtl w:val="true"/>
              </w:rPr>
              <w:t>[</w:t>
            </w:r>
            <w:r>
              <w:rPr>
                <w:rStyle w:val="IndexLink"/>
                <w:rtl w:val="true"/>
              </w:rPr>
              <w:t>شروط المرسل</w:t>
            </w:r>
            <w:r>
              <w:rPr>
                <w:rStyle w:val="IndexLink"/>
                <w:rtl w:val="true"/>
              </w:rPr>
              <w:t>]</w:t>
              <w:tab/>
            </w:r>
            <w:r>
              <w:rPr>
                <w:rStyle w:val="IndexLink"/>
              </w:rPr>
              <w:t>71</w:t>
            </w:r>
          </w:hyperlink>
        </w:p>
        <w:p>
          <w:pPr>
            <w:pStyle w:val="Contents4"/>
            <w:tabs>
              <w:tab w:val="clear" w:pos="8176"/>
              <w:tab w:val="right" w:pos="9026" w:leader="dot"/>
            </w:tabs>
            <w:rPr/>
          </w:pPr>
          <w:hyperlink w:anchor="__RefHeading___Toc2227757_2314609296">
            <w:r>
              <w:rPr>
                <w:webHidden/>
                <w:rStyle w:val="IndexLink"/>
                <w:rtl w:val="true"/>
              </w:rPr>
              <w:t>[</w:t>
            </w:r>
            <w:r>
              <w:rPr>
                <w:rStyle w:val="IndexLink"/>
                <w:rtl w:val="true"/>
              </w:rPr>
              <w:t xml:space="preserve">الاصطیاد بالسیف و کل ما فیه نصل </w:t>
            </w:r>
            <w:r>
              <w:rPr>
                <w:rStyle w:val="IndexLink"/>
                <w:rtl w:val="true"/>
              </w:rPr>
              <w:t>]</w:t>
              <w:tab/>
            </w:r>
            <w:r>
              <w:rPr>
                <w:rStyle w:val="IndexLink"/>
              </w:rPr>
              <w:t>74</w:t>
            </w:r>
          </w:hyperlink>
        </w:p>
        <w:p>
          <w:pPr>
            <w:pStyle w:val="Contents4"/>
            <w:tabs>
              <w:tab w:val="clear" w:pos="8176"/>
              <w:tab w:val="right" w:pos="9026" w:leader="dot"/>
            </w:tabs>
            <w:rPr/>
          </w:pPr>
          <w:hyperlink w:anchor="__RefHeading___Toc2227759_2314609296">
            <w:r>
              <w:rPr>
                <w:webHidden/>
                <w:rStyle w:val="IndexLink"/>
                <w:rtl w:val="true"/>
              </w:rPr>
              <w:t>[</w:t>
            </w:r>
            <w:r>
              <w:rPr>
                <w:rStyle w:val="IndexLink"/>
                <w:rtl w:val="true"/>
              </w:rPr>
              <w:t>احکام الاصطیاد</w:t>
            </w:r>
            <w:r>
              <w:rPr>
                <w:rStyle w:val="IndexLink"/>
                <w:rtl w:val="true"/>
              </w:rPr>
              <w:t>]</w:t>
              <w:tab/>
            </w:r>
            <w:r>
              <w:rPr>
                <w:rStyle w:val="IndexLink"/>
              </w:rPr>
              <w:t>74</w:t>
            </w:r>
          </w:hyperlink>
        </w:p>
        <w:p>
          <w:pPr>
            <w:pStyle w:val="Contents3"/>
            <w:tabs>
              <w:tab w:val="clear" w:pos="8459"/>
              <w:tab w:val="right" w:pos="9026" w:leader="dot"/>
            </w:tabs>
            <w:rPr/>
          </w:pPr>
          <w:hyperlink w:anchor="__RefHeading___Toc2227761_2314609296">
            <w:r>
              <w:rPr>
                <w:webHidden/>
                <w:rStyle w:val="IndexLink"/>
                <w:rtl w:val="true"/>
              </w:rPr>
              <w:t>«</w:t>
            </w:r>
            <w:r>
              <w:rPr>
                <w:rStyle w:val="IndexLink"/>
                <w:rtl w:val="true"/>
              </w:rPr>
              <w:t>الفصل الثانی</w:t>
            </w:r>
            <w:r>
              <w:rPr>
                <w:rStyle w:val="IndexLink"/>
                <w:rtl w:val="true"/>
              </w:rPr>
              <w:t>» «</w:t>
            </w:r>
            <w:r>
              <w:rPr>
                <w:rStyle w:val="IndexLink"/>
                <w:rtl w:val="true"/>
              </w:rPr>
              <w:t>فی الذباحة</w:t>
            </w:r>
            <w:r>
              <w:rPr>
                <w:rStyle w:val="IndexLink"/>
                <w:rtl w:val="true"/>
              </w:rPr>
              <w:t>»</w:t>
              <w:tab/>
            </w:r>
            <w:r>
              <w:rPr>
                <w:rStyle w:val="IndexLink"/>
              </w:rPr>
              <w:t>77</w:t>
            </w:r>
          </w:hyperlink>
        </w:p>
        <w:p>
          <w:pPr>
            <w:pStyle w:val="Contents4"/>
            <w:tabs>
              <w:tab w:val="clear" w:pos="8176"/>
              <w:tab w:val="right" w:pos="9026" w:leader="dot"/>
            </w:tabs>
            <w:rPr/>
          </w:pPr>
          <w:hyperlink w:anchor="__RefHeading___Toc2227763_2314609296">
            <w:r>
              <w:rPr>
                <w:webHidden/>
                <w:rStyle w:val="IndexLink"/>
                <w:rtl w:val="true"/>
              </w:rPr>
              <w:t>اشارة</w:t>
            </w:r>
            <w:r>
              <w:rPr>
                <w:rStyle w:val="IndexLink"/>
                <w:rtl w:val="true"/>
              </w:rPr>
              <w:tab/>
            </w:r>
            <w:r>
              <w:rPr>
                <w:rStyle w:val="IndexLink"/>
              </w:rPr>
              <w:t>77</w:t>
            </w:r>
          </w:hyperlink>
        </w:p>
        <w:p>
          <w:pPr>
            <w:pStyle w:val="Contents4"/>
            <w:tabs>
              <w:tab w:val="clear" w:pos="8176"/>
              <w:tab w:val="right" w:pos="9026" w:leader="dot"/>
            </w:tabs>
            <w:rPr/>
          </w:pPr>
          <w:hyperlink w:anchor="__RefHeading___Toc2227765_2314609296">
            <w:r>
              <w:rPr>
                <w:webHidden/>
                <w:rStyle w:val="IndexLink"/>
                <w:rtl w:val="true"/>
              </w:rPr>
              <w:t>[</w:t>
            </w:r>
            <w:r>
              <w:rPr>
                <w:rStyle w:val="IndexLink"/>
                <w:rtl w:val="true"/>
              </w:rPr>
              <w:t>شروط الذابح</w:t>
            </w:r>
            <w:r>
              <w:rPr>
                <w:rStyle w:val="IndexLink"/>
                <w:rtl w:val="true"/>
              </w:rPr>
              <w:t>]</w:t>
              <w:tab/>
            </w:r>
            <w:r>
              <w:rPr>
                <w:rStyle w:val="IndexLink"/>
              </w:rPr>
              <w:t>77</w:t>
            </w:r>
          </w:hyperlink>
        </w:p>
        <w:p>
          <w:pPr>
            <w:pStyle w:val="Contents4"/>
            <w:tabs>
              <w:tab w:val="clear" w:pos="8176"/>
              <w:tab w:val="right" w:pos="9026" w:leader="dot"/>
            </w:tabs>
            <w:rPr/>
          </w:pPr>
          <w:hyperlink w:anchor="__RefHeading___Toc2227767_2314609296">
            <w:r>
              <w:rPr>
                <w:webHidden/>
                <w:rStyle w:val="IndexLink"/>
                <w:rtl w:val="true"/>
              </w:rPr>
              <w:t>[«</w:t>
            </w:r>
            <w:r>
              <w:rPr>
                <w:rStyle w:val="IndexLink"/>
                <w:rtl w:val="true"/>
              </w:rPr>
              <w:t>والواجب فی الذبیحة اُمور سبعة</w:t>
            </w:r>
            <w:r>
              <w:rPr>
                <w:rStyle w:val="IndexLink"/>
                <w:rtl w:val="true"/>
              </w:rPr>
              <w:t>»]</w:t>
              <w:tab/>
            </w:r>
            <w:r>
              <w:rPr>
                <w:rStyle w:val="IndexLink"/>
              </w:rPr>
              <w:t>79</w:t>
            </w:r>
          </w:hyperlink>
        </w:p>
        <w:p>
          <w:pPr>
            <w:pStyle w:val="Contents5"/>
            <w:tabs>
              <w:tab w:val="clear" w:pos="7892"/>
              <w:tab w:val="right" w:pos="9026" w:leader="dot"/>
            </w:tabs>
            <w:rPr/>
          </w:pPr>
          <w:hyperlink w:anchor="__RefHeading___Toc2227769_2314609296">
            <w:r>
              <w:rPr>
                <w:webHidden/>
                <w:rStyle w:val="IndexLink"/>
                <w:rtl w:val="true"/>
              </w:rPr>
              <w:t>[</w:t>
            </w:r>
            <w:r>
              <w:rPr>
                <w:rStyle w:val="IndexLink"/>
                <w:rtl w:val="true"/>
              </w:rPr>
              <w:t>الاول</w:t>
            </w:r>
            <w:r>
              <w:rPr>
                <w:rStyle w:val="IndexLink"/>
                <w:rtl w:val="true"/>
              </w:rPr>
              <w:t xml:space="preserve">: </w:t>
            </w:r>
            <w:r>
              <w:rPr>
                <w:rStyle w:val="IndexLink"/>
                <w:rtl w:val="true"/>
              </w:rPr>
              <w:t>الفری بالحدید</w:t>
            </w:r>
            <w:r>
              <w:rPr>
                <w:rStyle w:val="IndexLink"/>
                <w:rtl w:val="true"/>
              </w:rPr>
              <w:t>]</w:t>
              <w:tab/>
            </w:r>
            <w:r>
              <w:rPr>
                <w:rStyle w:val="IndexLink"/>
              </w:rPr>
              <w:t>79</w:t>
            </w:r>
          </w:hyperlink>
        </w:p>
        <w:p>
          <w:pPr>
            <w:pStyle w:val="Contents5"/>
            <w:tabs>
              <w:tab w:val="clear" w:pos="7892"/>
              <w:tab w:val="right" w:pos="9026" w:leader="dot"/>
            </w:tabs>
            <w:rPr/>
          </w:pPr>
          <w:hyperlink w:anchor="__RefHeading___Toc2227771_2314609296">
            <w:r>
              <w:rPr>
                <w:webHidden/>
                <w:rStyle w:val="IndexLink"/>
                <w:rtl w:val="true"/>
              </w:rPr>
              <w:t>[«</w:t>
            </w:r>
            <w:r>
              <w:rPr>
                <w:rStyle w:val="IndexLink"/>
                <w:rtl w:val="true"/>
              </w:rPr>
              <w:t>الثانی</w:t>
            </w:r>
            <w:r>
              <w:rPr>
                <w:rStyle w:val="IndexLink"/>
                <w:rtl w:val="true"/>
              </w:rPr>
              <w:t xml:space="preserve">: </w:t>
            </w:r>
            <w:r>
              <w:rPr>
                <w:rStyle w:val="IndexLink"/>
                <w:rtl w:val="true"/>
              </w:rPr>
              <w:t>استقبال القبلة</w:t>
            </w:r>
            <w:r>
              <w:rPr>
                <w:rStyle w:val="IndexLink"/>
                <w:rtl w:val="true"/>
              </w:rPr>
              <w:t>»]</w:t>
              <w:tab/>
            </w:r>
            <w:r>
              <w:rPr>
                <w:rStyle w:val="IndexLink"/>
              </w:rPr>
              <w:t>81</w:t>
            </w:r>
          </w:hyperlink>
        </w:p>
        <w:p>
          <w:pPr>
            <w:pStyle w:val="Contents5"/>
            <w:tabs>
              <w:tab w:val="clear" w:pos="7892"/>
              <w:tab w:val="right" w:pos="9026" w:leader="dot"/>
            </w:tabs>
            <w:rPr/>
          </w:pPr>
          <w:hyperlink w:anchor="__RefHeading___Toc2227773_2314609296">
            <w:r>
              <w:rPr>
                <w:webHidden/>
                <w:rStyle w:val="IndexLink"/>
                <w:rtl w:val="true"/>
              </w:rPr>
              <w:t>[«</w:t>
            </w:r>
            <w:r>
              <w:rPr>
                <w:rStyle w:val="IndexLink"/>
                <w:rtl w:val="true"/>
              </w:rPr>
              <w:t>الثالث</w:t>
            </w:r>
            <w:r>
              <w:rPr>
                <w:rStyle w:val="IndexLink"/>
                <w:rtl w:val="true"/>
              </w:rPr>
              <w:t xml:space="preserve">: </w:t>
            </w:r>
            <w:r>
              <w:rPr>
                <w:rStyle w:val="IndexLink"/>
                <w:rtl w:val="true"/>
              </w:rPr>
              <w:t>التسمیة</w:t>
            </w:r>
            <w:r>
              <w:rPr>
                <w:rStyle w:val="IndexLink"/>
                <w:rtl w:val="true"/>
              </w:rPr>
              <w:t>»]</w:t>
              <w:tab/>
            </w:r>
            <w:r>
              <w:rPr>
                <w:rStyle w:val="IndexLink"/>
              </w:rPr>
              <w:t>82</w:t>
            </w:r>
          </w:hyperlink>
        </w:p>
        <w:p>
          <w:pPr>
            <w:pStyle w:val="Contents5"/>
            <w:tabs>
              <w:tab w:val="clear" w:pos="7892"/>
              <w:tab w:val="right" w:pos="9026" w:leader="dot"/>
            </w:tabs>
            <w:rPr/>
          </w:pPr>
          <w:hyperlink w:anchor="__RefHeading___Toc2227775_2314609296">
            <w:r>
              <w:rPr>
                <w:webHidden/>
                <w:rStyle w:val="IndexLink"/>
                <w:rtl w:val="true"/>
              </w:rPr>
              <w:t>[«</w:t>
            </w:r>
            <w:r>
              <w:rPr>
                <w:rStyle w:val="IndexLink"/>
                <w:rtl w:val="true"/>
              </w:rPr>
              <w:t>الرابع</w:t>
            </w:r>
            <w:r>
              <w:rPr>
                <w:rStyle w:val="IndexLink"/>
                <w:rtl w:val="true"/>
              </w:rPr>
              <w:t xml:space="preserve">: </w:t>
            </w:r>
            <w:r>
              <w:rPr>
                <w:rStyle w:val="IndexLink"/>
                <w:rtl w:val="true"/>
              </w:rPr>
              <w:t>اختصاص الإبل بالنحر</w:t>
            </w:r>
            <w:r>
              <w:rPr>
                <w:rStyle w:val="IndexLink"/>
                <w:rtl w:val="true"/>
              </w:rPr>
              <w:t>»]</w:t>
              <w:tab/>
            </w:r>
            <w:r>
              <w:rPr>
                <w:rStyle w:val="IndexLink"/>
              </w:rPr>
              <w:t>83</w:t>
            </w:r>
          </w:hyperlink>
        </w:p>
        <w:p>
          <w:pPr>
            <w:pStyle w:val="Contents5"/>
            <w:tabs>
              <w:tab w:val="clear" w:pos="7892"/>
              <w:tab w:val="right" w:pos="9026" w:leader="dot"/>
            </w:tabs>
            <w:rPr/>
          </w:pPr>
          <w:hyperlink w:anchor="__RefHeading___Toc2227777_2314609296">
            <w:r>
              <w:rPr>
                <w:webHidden/>
                <w:rStyle w:val="IndexLink"/>
                <w:rtl w:val="true"/>
              </w:rPr>
              <w:t>[«</w:t>
            </w:r>
            <w:r>
              <w:rPr>
                <w:rStyle w:val="IndexLink"/>
                <w:rtl w:val="true"/>
              </w:rPr>
              <w:t>الخامس</w:t>
            </w:r>
            <w:r>
              <w:rPr>
                <w:rStyle w:val="IndexLink"/>
                <w:rtl w:val="true"/>
              </w:rPr>
              <w:t xml:space="preserve">: </w:t>
            </w:r>
            <w:r>
              <w:rPr>
                <w:rStyle w:val="IndexLink"/>
                <w:rtl w:val="true"/>
              </w:rPr>
              <w:t>قطع الأعضاء الأربعة</w:t>
            </w:r>
            <w:r>
              <w:rPr>
                <w:rStyle w:val="IndexLink"/>
                <w:rtl w:val="true"/>
              </w:rPr>
              <w:t>»]</w:t>
              <w:tab/>
            </w:r>
            <w:r>
              <w:rPr>
                <w:rStyle w:val="IndexLink"/>
              </w:rPr>
              <w:t>83</w:t>
            </w:r>
          </w:hyperlink>
        </w:p>
        <w:p>
          <w:pPr>
            <w:pStyle w:val="Contents5"/>
            <w:tabs>
              <w:tab w:val="clear" w:pos="7892"/>
              <w:tab w:val="right" w:pos="9026" w:leader="dot"/>
            </w:tabs>
            <w:rPr/>
          </w:pPr>
          <w:hyperlink w:anchor="__RefHeading___Toc2227779_2314609296">
            <w:r>
              <w:rPr>
                <w:webHidden/>
                <w:rStyle w:val="IndexLink"/>
                <w:rtl w:val="true"/>
              </w:rPr>
              <w:t>[«</w:t>
            </w:r>
            <w:r>
              <w:rPr>
                <w:rStyle w:val="IndexLink"/>
                <w:rtl w:val="true"/>
              </w:rPr>
              <w:t>السادس</w:t>
            </w:r>
            <w:r>
              <w:rPr>
                <w:rStyle w:val="IndexLink"/>
                <w:rtl w:val="true"/>
              </w:rPr>
              <w:t xml:space="preserve">: </w:t>
            </w:r>
            <w:r>
              <w:rPr>
                <w:rStyle w:val="IndexLink"/>
                <w:rtl w:val="true"/>
              </w:rPr>
              <w:t>الحرکة بعد الذبح</w:t>
            </w:r>
            <w:r>
              <w:rPr>
                <w:rStyle w:val="IndexLink"/>
                <w:rtl w:val="true"/>
              </w:rPr>
              <w:t>»]</w:t>
              <w:tab/>
            </w:r>
            <w:r>
              <w:rPr>
                <w:rStyle w:val="IndexLink"/>
              </w:rPr>
              <w:t>84</w:t>
            </w:r>
          </w:hyperlink>
        </w:p>
        <w:p>
          <w:pPr>
            <w:pStyle w:val="Contents5"/>
            <w:tabs>
              <w:tab w:val="clear" w:pos="7892"/>
              <w:tab w:val="right" w:pos="9026" w:leader="dot"/>
            </w:tabs>
            <w:rPr/>
          </w:pPr>
          <w:hyperlink w:anchor="__RefHeading___Toc2227781_2314609296">
            <w:r>
              <w:rPr>
                <w:webHidden/>
                <w:rStyle w:val="IndexLink"/>
                <w:rtl w:val="true"/>
              </w:rPr>
              <w:t>[«</w:t>
            </w:r>
            <w:r>
              <w:rPr>
                <w:rStyle w:val="IndexLink"/>
                <w:rtl w:val="true"/>
              </w:rPr>
              <w:t>السابع</w:t>
            </w:r>
            <w:r>
              <w:rPr>
                <w:rStyle w:val="IndexLink"/>
                <w:rtl w:val="true"/>
              </w:rPr>
              <w:t xml:space="preserve">: </w:t>
            </w:r>
            <w:r>
              <w:rPr>
                <w:rStyle w:val="IndexLink"/>
                <w:rtl w:val="true"/>
              </w:rPr>
              <w:t>متابعة الذبح حتّی یستوفی</w:t>
            </w:r>
            <w:r>
              <w:rPr>
                <w:rStyle w:val="IndexLink"/>
                <w:rtl w:val="true"/>
              </w:rPr>
              <w:t>»]</w:t>
              <w:tab/>
            </w:r>
            <w:r>
              <w:rPr>
                <w:rStyle w:val="IndexLink"/>
              </w:rPr>
              <w:t>86</w:t>
            </w:r>
          </w:hyperlink>
        </w:p>
        <w:p>
          <w:pPr>
            <w:pStyle w:val="Contents4"/>
            <w:tabs>
              <w:tab w:val="clear" w:pos="8176"/>
              <w:tab w:val="right" w:pos="9026" w:leader="dot"/>
            </w:tabs>
            <w:rPr/>
          </w:pPr>
          <w:hyperlink w:anchor="__RefHeading___Toc2227783_2314609296">
            <w:r>
              <w:rPr>
                <w:webHidden/>
                <w:rStyle w:val="IndexLink"/>
                <w:rtl w:val="true"/>
              </w:rPr>
              <w:t>[</w:t>
            </w:r>
            <w:r>
              <w:rPr>
                <w:rStyle w:val="IndexLink"/>
                <w:rtl w:val="true"/>
              </w:rPr>
              <w:t>مستحبات الذبح و مکروهه</w:t>
            </w:r>
            <w:r>
              <w:rPr>
                <w:rStyle w:val="IndexLink"/>
                <w:rtl w:val="true"/>
              </w:rPr>
              <w:t>]</w:t>
              <w:tab/>
            </w:r>
            <w:r>
              <w:rPr>
                <w:rStyle w:val="IndexLink"/>
              </w:rPr>
              <w:t>87</w:t>
            </w:r>
          </w:hyperlink>
        </w:p>
        <w:p>
          <w:pPr>
            <w:pStyle w:val="Contents4"/>
            <w:tabs>
              <w:tab w:val="clear" w:pos="8176"/>
              <w:tab w:val="right" w:pos="9026" w:leader="dot"/>
            </w:tabs>
            <w:rPr/>
          </w:pPr>
          <w:hyperlink w:anchor="__RefHeading___Toc2227785_2314609296">
            <w:r>
              <w:rPr>
                <w:webHidden/>
                <w:rStyle w:val="IndexLink"/>
                <w:rtl w:val="true"/>
              </w:rPr>
              <w:t>[</w:t>
            </w:r>
            <w:r>
              <w:rPr>
                <w:rStyle w:val="IndexLink"/>
                <w:rtl w:val="true"/>
              </w:rPr>
              <w:t>ما یقبل الذکاة</w:t>
            </w:r>
            <w:r>
              <w:rPr>
                <w:rStyle w:val="IndexLink"/>
                <w:rtl w:val="true"/>
              </w:rPr>
              <w:t>]</w:t>
              <w:tab/>
            </w:r>
            <w:r>
              <w:rPr>
                <w:rStyle w:val="IndexLink"/>
              </w:rPr>
              <w:t>90</w:t>
            </w:r>
          </w:hyperlink>
        </w:p>
        <w:p>
          <w:pPr>
            <w:pStyle w:val="Contents3"/>
            <w:tabs>
              <w:tab w:val="clear" w:pos="8459"/>
              <w:tab w:val="right" w:pos="9026" w:leader="dot"/>
            </w:tabs>
            <w:rPr/>
          </w:pPr>
          <w:hyperlink w:anchor="__RefHeading___Toc2227787_2314609296">
            <w:r>
              <w:rPr>
                <w:webHidden/>
                <w:rStyle w:val="IndexLink"/>
                <w:rtl w:val="true"/>
              </w:rPr>
              <w:t xml:space="preserve">الفصل </w:t>
            </w:r>
            <w:r>
              <w:rPr>
                <w:rStyle w:val="IndexLink"/>
                <w:rtl w:val="true"/>
              </w:rPr>
              <w:t>«</w:t>
            </w:r>
            <w:r>
              <w:rPr>
                <w:rStyle w:val="IndexLink"/>
                <w:rtl w:val="true"/>
              </w:rPr>
              <w:t>الثالث</w:t>
            </w:r>
            <w:r>
              <w:rPr>
                <w:rStyle w:val="IndexLink"/>
                <w:rtl w:val="true"/>
              </w:rPr>
              <w:t>» «</w:t>
            </w:r>
            <w:r>
              <w:rPr>
                <w:rStyle w:val="IndexLink"/>
                <w:rtl w:val="true"/>
              </w:rPr>
              <w:t>فی اللواحق</w:t>
            </w:r>
            <w:r>
              <w:rPr>
                <w:rStyle w:val="IndexLink"/>
                <w:rtl w:val="true"/>
              </w:rPr>
              <w:t>»</w:t>
              <w:tab/>
            </w:r>
            <w:r>
              <w:rPr>
                <w:rStyle w:val="IndexLink"/>
              </w:rPr>
              <w:t>93</w:t>
            </w:r>
          </w:hyperlink>
        </w:p>
        <w:p>
          <w:pPr>
            <w:pStyle w:val="Contents4"/>
            <w:tabs>
              <w:tab w:val="clear" w:pos="8176"/>
              <w:tab w:val="right" w:pos="9026" w:leader="dot"/>
            </w:tabs>
            <w:rPr/>
          </w:pPr>
          <w:hyperlink w:anchor="__RefHeading___Toc2227789_2314609296">
            <w:r>
              <w:rPr>
                <w:webHidden/>
                <w:rStyle w:val="IndexLink"/>
                <w:rtl w:val="true"/>
              </w:rPr>
              <w:t>[«</w:t>
            </w:r>
            <w:r>
              <w:rPr>
                <w:rStyle w:val="IndexLink"/>
                <w:rtl w:val="true"/>
              </w:rPr>
              <w:t>وفیه مسائل</w:t>
            </w:r>
            <w:r>
              <w:rPr>
                <w:rStyle w:val="IndexLink"/>
                <w:rtl w:val="true"/>
              </w:rPr>
              <w:t>»]</w:t>
              <w:tab/>
            </w:r>
            <w:r>
              <w:rPr>
                <w:rStyle w:val="IndexLink"/>
              </w:rPr>
              <w:t>93</w:t>
            </w:r>
          </w:hyperlink>
        </w:p>
        <w:p>
          <w:pPr>
            <w:pStyle w:val="Contents5"/>
            <w:tabs>
              <w:tab w:val="clear" w:pos="7892"/>
              <w:tab w:val="right" w:pos="9026" w:leader="dot"/>
            </w:tabs>
            <w:rPr/>
          </w:pPr>
          <w:hyperlink w:anchor="__RefHeading___Toc2227791_2314609296">
            <w:r>
              <w:rPr>
                <w:webHidden/>
                <w:rStyle w:val="IndexLink"/>
                <w:rtl w:val="true"/>
              </w:rPr>
              <w:t>[</w:t>
            </w:r>
            <w:r>
              <w:rPr>
                <w:rStyle w:val="IndexLink"/>
                <w:rtl w:val="true"/>
              </w:rPr>
              <w:t>الاُولی</w:t>
            </w:r>
            <w:r>
              <w:rPr>
                <w:rStyle w:val="IndexLink"/>
                <w:rtl w:val="true"/>
              </w:rPr>
              <w:t>: «</w:t>
            </w:r>
            <w:r>
              <w:rPr>
                <w:rStyle w:val="IndexLink"/>
                <w:rtl w:val="true"/>
              </w:rPr>
              <w:t>ذکاة السمک</w:t>
            </w:r>
            <w:r>
              <w:rPr>
                <w:rStyle w:val="IndexLink"/>
                <w:rtl w:val="true"/>
              </w:rPr>
              <w:t>»]</w:t>
              <w:tab/>
            </w:r>
            <w:r>
              <w:rPr>
                <w:rStyle w:val="IndexLink"/>
              </w:rPr>
              <w:t>93</w:t>
            </w:r>
          </w:hyperlink>
        </w:p>
        <w:p>
          <w:pPr>
            <w:pStyle w:val="Contents5"/>
            <w:tabs>
              <w:tab w:val="clear" w:pos="7892"/>
              <w:tab w:val="right" w:pos="9026" w:leader="dot"/>
            </w:tabs>
            <w:rPr/>
          </w:pPr>
          <w:hyperlink w:anchor="__RefHeading___Toc2227793_2314609296">
            <w:r>
              <w:rPr>
                <w:webHidden/>
                <w:rStyle w:val="IndexLink"/>
                <w:rtl w:val="true"/>
              </w:rPr>
              <w:t>[«</w:t>
            </w:r>
            <w:r>
              <w:rPr>
                <w:rStyle w:val="IndexLink"/>
                <w:rtl w:val="true"/>
              </w:rPr>
              <w:t>الثانیة</w:t>
            </w:r>
            <w:r>
              <w:rPr>
                <w:rStyle w:val="IndexLink"/>
                <w:rtl w:val="true"/>
              </w:rPr>
              <w:t>» : «</w:t>
            </w:r>
            <w:r>
              <w:rPr>
                <w:rStyle w:val="IndexLink"/>
                <w:rtl w:val="true"/>
              </w:rPr>
              <w:t>ذکاة الجراد أخذه</w:t>
            </w:r>
            <w:r>
              <w:rPr>
                <w:rStyle w:val="IndexLink"/>
                <w:rtl w:val="true"/>
              </w:rPr>
              <w:t>»]</w:t>
              <w:tab/>
            </w:r>
            <w:r>
              <w:rPr>
                <w:rStyle w:val="IndexLink"/>
              </w:rPr>
              <w:t>97</w:t>
            </w:r>
          </w:hyperlink>
        </w:p>
        <w:p>
          <w:pPr>
            <w:pStyle w:val="Contents5"/>
            <w:tabs>
              <w:tab w:val="clear" w:pos="7892"/>
              <w:tab w:val="right" w:pos="9026" w:leader="dot"/>
            </w:tabs>
            <w:rPr/>
          </w:pPr>
          <w:hyperlink w:anchor="__RefHeading___Toc2227795_2314609296">
            <w:r>
              <w:rPr>
                <w:webHidden/>
                <w:rStyle w:val="IndexLink"/>
                <w:rtl w:val="true"/>
              </w:rPr>
              <w:t>[«</w:t>
            </w:r>
            <w:r>
              <w:rPr>
                <w:rStyle w:val="IndexLink"/>
                <w:rtl w:val="true"/>
              </w:rPr>
              <w:t>الثالثة</w:t>
            </w:r>
            <w:r>
              <w:rPr>
                <w:rStyle w:val="IndexLink"/>
                <w:rtl w:val="true"/>
              </w:rPr>
              <w:t>» : «</w:t>
            </w:r>
            <w:r>
              <w:rPr>
                <w:rStyle w:val="IndexLink"/>
                <w:rtl w:val="true"/>
              </w:rPr>
              <w:t>ذکاةُ الجنین ذکاةُ اُمّه</w:t>
            </w:r>
            <w:r>
              <w:rPr>
                <w:rStyle w:val="IndexLink"/>
                <w:rtl w:val="true"/>
              </w:rPr>
              <w:t>»]</w:t>
              <w:tab/>
            </w:r>
            <w:r>
              <w:rPr>
                <w:rStyle w:val="IndexLink"/>
              </w:rPr>
              <w:t>97</w:t>
            </w:r>
          </w:hyperlink>
        </w:p>
        <w:p>
          <w:pPr>
            <w:pStyle w:val="Contents5"/>
            <w:tabs>
              <w:tab w:val="clear" w:pos="7892"/>
              <w:tab w:val="right" w:pos="9026" w:leader="dot"/>
            </w:tabs>
            <w:rPr/>
          </w:pPr>
          <w:hyperlink w:anchor="__RefHeading___Toc2227797_2314609296">
            <w:r>
              <w:rPr>
                <w:webHidden/>
                <w:rStyle w:val="IndexLink"/>
                <w:rtl w:val="true"/>
              </w:rPr>
              <w:t>[«</w:t>
            </w:r>
            <w:r>
              <w:rPr>
                <w:rStyle w:val="IndexLink"/>
                <w:rtl w:val="true"/>
              </w:rPr>
              <w:t>الرابعة</w:t>
            </w:r>
            <w:r>
              <w:rPr>
                <w:rStyle w:val="IndexLink"/>
                <w:rtl w:val="true"/>
              </w:rPr>
              <w:t>» : «</w:t>
            </w:r>
            <w:r>
              <w:rPr>
                <w:rStyle w:val="IndexLink"/>
                <w:rtl w:val="true"/>
              </w:rPr>
              <w:t>ما یثبت فی آلة الصیّاد</w:t>
            </w:r>
            <w:r>
              <w:rPr>
                <w:rStyle w:val="IndexLink"/>
                <w:rtl w:val="true"/>
              </w:rPr>
              <w:t>»]</w:t>
              <w:tab/>
            </w:r>
            <w:r>
              <w:rPr>
                <w:rStyle w:val="IndexLink"/>
              </w:rPr>
              <w:t>100</w:t>
            </w:r>
          </w:hyperlink>
        </w:p>
        <w:p>
          <w:pPr>
            <w:pStyle w:val="Contents5"/>
            <w:tabs>
              <w:tab w:val="clear" w:pos="7892"/>
              <w:tab w:val="right" w:pos="9026" w:leader="dot"/>
            </w:tabs>
            <w:rPr/>
          </w:pPr>
          <w:hyperlink w:anchor="__RefHeading___Toc2227799_2314609296">
            <w:r>
              <w:rPr>
                <w:webHidden/>
                <w:rStyle w:val="IndexLink"/>
                <w:rtl w:val="true"/>
              </w:rPr>
              <w:t>[«</w:t>
            </w:r>
            <w:r>
              <w:rPr>
                <w:rStyle w:val="IndexLink"/>
                <w:rtl w:val="true"/>
              </w:rPr>
              <w:t>الخامسة</w:t>
            </w:r>
            <w:r>
              <w:rPr>
                <w:rStyle w:val="IndexLink"/>
                <w:rtl w:val="true"/>
              </w:rPr>
              <w:t>» : «</w:t>
            </w:r>
            <w:r>
              <w:rPr>
                <w:rStyle w:val="IndexLink"/>
                <w:rtl w:val="true"/>
              </w:rPr>
              <w:t>لا یُملک الصید المقصوص أو ما علیه أثر الملک</w:t>
            </w:r>
            <w:r>
              <w:rPr>
                <w:rStyle w:val="IndexLink"/>
                <w:rtl w:val="true"/>
              </w:rPr>
              <w:t>» ]</w:t>
              <w:tab/>
            </w:r>
            <w:r>
              <w:rPr>
                <w:rStyle w:val="IndexLink"/>
              </w:rPr>
              <w:t>101</w:t>
            </w:r>
          </w:hyperlink>
        </w:p>
        <w:p>
          <w:pPr>
            <w:pStyle w:val="Contents2"/>
            <w:tabs>
              <w:tab w:val="clear" w:pos="8743"/>
              <w:tab w:val="right" w:pos="9026" w:leader="dot"/>
            </w:tabs>
            <w:rPr/>
          </w:pPr>
          <w:hyperlink w:anchor="__RefHeading___Toc2227801_2314609296">
            <w:r>
              <w:rPr>
                <w:webHidden/>
                <w:rStyle w:val="IndexLink"/>
                <w:rtl w:val="true"/>
              </w:rPr>
              <w:t>کتاب الأطعمة والأشربة</w:t>
            </w:r>
            <w:r>
              <w:rPr>
                <w:rStyle w:val="IndexLink"/>
                <w:rtl w:val="true"/>
              </w:rPr>
              <w:tab/>
            </w:r>
            <w:r>
              <w:rPr>
                <w:rStyle w:val="IndexLink"/>
              </w:rPr>
              <w:t>103</w:t>
            </w:r>
          </w:hyperlink>
        </w:p>
        <w:p>
          <w:pPr>
            <w:pStyle w:val="Contents3"/>
            <w:tabs>
              <w:tab w:val="clear" w:pos="8459"/>
              <w:tab w:val="right" w:pos="9026" w:leader="dot"/>
            </w:tabs>
            <w:rPr/>
          </w:pPr>
          <w:hyperlink w:anchor="__RefHeading___Toc2227803_2314609296">
            <w:r>
              <w:rPr>
                <w:webHidden/>
                <w:rStyle w:val="IndexLink"/>
                <w:rtl w:val="true"/>
              </w:rPr>
              <w:t>اشارة</w:t>
            </w:r>
            <w:r>
              <w:rPr>
                <w:rStyle w:val="IndexLink"/>
                <w:rtl w:val="true"/>
              </w:rPr>
              <w:tab/>
            </w:r>
            <w:r>
              <w:rPr>
                <w:rStyle w:val="IndexLink"/>
              </w:rPr>
              <w:t>103</w:t>
            </w:r>
          </w:hyperlink>
        </w:p>
        <w:p>
          <w:pPr>
            <w:pStyle w:val="Contents3"/>
            <w:tabs>
              <w:tab w:val="clear" w:pos="8459"/>
              <w:tab w:val="right" w:pos="9026" w:leader="dot"/>
            </w:tabs>
            <w:rPr/>
          </w:pPr>
          <w:hyperlink w:anchor="__RefHeading___Toc2227805_2314609296">
            <w:r>
              <w:rPr>
                <w:webHidden/>
                <w:rStyle w:val="IndexLink"/>
                <w:rtl w:val="true"/>
              </w:rPr>
              <w:t>[</w:t>
            </w:r>
            <w:r>
              <w:rPr>
                <w:rStyle w:val="IndexLink"/>
                <w:rtl w:val="true"/>
              </w:rPr>
              <w:t xml:space="preserve">فی الحیوان البحر </w:t>
            </w:r>
            <w:r>
              <w:rPr>
                <w:rStyle w:val="IndexLink"/>
                <w:rtl w:val="true"/>
              </w:rPr>
              <w:t>]</w:t>
              <w:tab/>
            </w:r>
            <w:r>
              <w:rPr>
                <w:rStyle w:val="IndexLink"/>
              </w:rPr>
              <w:t>104</w:t>
            </w:r>
          </w:hyperlink>
        </w:p>
        <w:p>
          <w:pPr>
            <w:pStyle w:val="Contents3"/>
            <w:tabs>
              <w:tab w:val="clear" w:pos="8459"/>
              <w:tab w:val="right" w:pos="9026" w:leader="dot"/>
            </w:tabs>
            <w:rPr/>
          </w:pPr>
          <w:hyperlink w:anchor="__RefHeading___Toc2227807_2314609296">
            <w:r>
              <w:rPr>
                <w:webHidden/>
                <w:rStyle w:val="IndexLink"/>
                <w:rtl w:val="true"/>
              </w:rPr>
              <w:t>[</w:t>
            </w:r>
            <w:r>
              <w:rPr>
                <w:rStyle w:val="IndexLink"/>
                <w:rtl w:val="true"/>
              </w:rPr>
              <w:t xml:space="preserve">فی الحیوان البر </w:t>
            </w:r>
            <w:r>
              <w:rPr>
                <w:rStyle w:val="IndexLink"/>
                <w:rtl w:val="true"/>
              </w:rPr>
              <w:t>]</w:t>
              <w:tab/>
            </w:r>
            <w:r>
              <w:rPr>
                <w:rStyle w:val="IndexLink"/>
              </w:rPr>
              <w:t>106</w:t>
            </w:r>
          </w:hyperlink>
        </w:p>
        <w:p>
          <w:pPr>
            <w:pStyle w:val="Contents3"/>
            <w:tabs>
              <w:tab w:val="clear" w:pos="8459"/>
              <w:tab w:val="right" w:pos="9026" w:leader="dot"/>
            </w:tabs>
            <w:rPr/>
          </w:pPr>
          <w:hyperlink w:anchor="__RefHeading___Toc2227809_2314609296">
            <w:r>
              <w:rPr>
                <w:webHidden/>
                <w:rStyle w:val="IndexLink"/>
                <w:rtl w:val="true"/>
              </w:rPr>
              <w:t>[</w:t>
            </w:r>
            <w:r>
              <w:rPr>
                <w:rStyle w:val="IndexLink"/>
                <w:rtl w:val="true"/>
              </w:rPr>
              <w:t xml:space="preserve">فی الطیر </w:t>
            </w:r>
            <w:r>
              <w:rPr>
                <w:rStyle w:val="IndexLink"/>
                <w:rtl w:val="true"/>
              </w:rPr>
              <w:t>]</w:t>
              <w:tab/>
            </w:r>
            <w:r>
              <w:rPr>
                <w:rStyle w:val="IndexLink"/>
              </w:rPr>
              <w:t>109</w:t>
            </w:r>
          </w:hyperlink>
        </w:p>
        <w:p>
          <w:pPr>
            <w:pStyle w:val="Contents3"/>
            <w:tabs>
              <w:tab w:val="clear" w:pos="8459"/>
              <w:tab w:val="right" w:pos="9026" w:leader="dot"/>
            </w:tabs>
            <w:rPr/>
          </w:pPr>
          <w:hyperlink w:anchor="__RefHeading___Toc2227811_2314609296">
            <w:r>
              <w:rPr>
                <w:webHidden/>
                <w:rStyle w:val="IndexLink"/>
                <w:rtl w:val="true"/>
              </w:rPr>
              <w:t>[</w:t>
            </w:r>
            <w:r>
              <w:rPr>
                <w:rStyle w:val="IndexLink"/>
                <w:rtl w:val="true"/>
              </w:rPr>
              <w:t>فی الجلال و استبراؤه</w:t>
            </w:r>
            <w:r>
              <w:rPr>
                <w:rStyle w:val="IndexLink"/>
                <w:rtl w:val="true"/>
              </w:rPr>
              <w:t>]</w:t>
              <w:tab/>
            </w:r>
            <w:r>
              <w:rPr>
                <w:rStyle w:val="IndexLink"/>
              </w:rPr>
              <w:t>117</w:t>
            </w:r>
          </w:hyperlink>
        </w:p>
        <w:p>
          <w:pPr>
            <w:pStyle w:val="Contents3"/>
            <w:tabs>
              <w:tab w:val="clear" w:pos="8459"/>
              <w:tab w:val="right" w:pos="9026" w:leader="dot"/>
            </w:tabs>
            <w:rPr/>
          </w:pPr>
          <w:hyperlink w:anchor="__RefHeading___Toc2227813_2314609296">
            <w:r>
              <w:rPr>
                <w:webHidden/>
                <w:rStyle w:val="IndexLink"/>
                <w:rtl w:val="true"/>
              </w:rPr>
              <w:t>[</w:t>
            </w:r>
            <w:r>
              <w:rPr>
                <w:rStyle w:val="IndexLink"/>
                <w:rtl w:val="true"/>
              </w:rPr>
              <w:t>فی الموطوءة</w:t>
            </w:r>
            <w:r>
              <w:rPr>
                <w:rStyle w:val="IndexLink"/>
                <w:rtl w:val="true"/>
              </w:rPr>
              <w:t>]</w:t>
              <w:tab/>
            </w:r>
            <w:r>
              <w:rPr>
                <w:rStyle w:val="IndexLink"/>
              </w:rPr>
              <w:t>119</w:t>
            </w:r>
          </w:hyperlink>
        </w:p>
        <w:p>
          <w:pPr>
            <w:pStyle w:val="Contents3"/>
            <w:tabs>
              <w:tab w:val="clear" w:pos="8459"/>
              <w:tab w:val="right" w:pos="9026" w:leader="dot"/>
            </w:tabs>
            <w:rPr/>
          </w:pPr>
          <w:hyperlink w:anchor="__RefHeading___Toc2227815_2314609296">
            <w:r>
              <w:rPr>
                <w:webHidden/>
                <w:rStyle w:val="IndexLink"/>
                <w:rtl w:val="true"/>
              </w:rPr>
              <w:t>[</w:t>
            </w:r>
            <w:r>
              <w:rPr>
                <w:rStyle w:val="IndexLink"/>
                <w:rtl w:val="true"/>
              </w:rPr>
              <w:t xml:space="preserve">فی الحیوان الذی شرب الخمر او البول </w:t>
            </w:r>
            <w:r>
              <w:rPr>
                <w:rStyle w:val="IndexLink"/>
                <w:rtl w:val="true"/>
              </w:rPr>
              <w:t>]</w:t>
              <w:tab/>
            </w:r>
            <w:r>
              <w:rPr>
                <w:rStyle w:val="IndexLink"/>
              </w:rPr>
              <w:t>120</w:t>
            </w:r>
          </w:hyperlink>
        </w:p>
        <w:p>
          <w:pPr>
            <w:pStyle w:val="Contents3"/>
            <w:tabs>
              <w:tab w:val="clear" w:pos="8459"/>
              <w:tab w:val="right" w:pos="9026" w:leader="dot"/>
            </w:tabs>
            <w:rPr/>
          </w:pPr>
          <w:hyperlink w:anchor="__RefHeading___Toc2227817_2314609296">
            <w:r>
              <w:rPr>
                <w:webHidden/>
                <w:rStyle w:val="IndexLink"/>
                <w:rtl w:val="true"/>
              </w:rPr>
              <w:t>[«</w:t>
            </w:r>
            <w:r>
              <w:rPr>
                <w:rStyle w:val="IndexLink"/>
                <w:rtl w:val="true"/>
              </w:rPr>
              <w:t>وهنا مسائل</w:t>
            </w:r>
            <w:r>
              <w:rPr>
                <w:rStyle w:val="IndexLink"/>
                <w:rtl w:val="true"/>
              </w:rPr>
              <w:t>»]</w:t>
              <w:tab/>
            </w:r>
            <w:r>
              <w:rPr>
                <w:rStyle w:val="IndexLink"/>
              </w:rPr>
              <w:t>121</w:t>
            </w:r>
          </w:hyperlink>
        </w:p>
        <w:p>
          <w:pPr>
            <w:pStyle w:val="Contents4"/>
            <w:tabs>
              <w:tab w:val="clear" w:pos="8176"/>
              <w:tab w:val="right" w:pos="9026" w:leader="dot"/>
            </w:tabs>
            <w:rPr/>
          </w:pPr>
          <w:hyperlink w:anchor="__RefHeading___Toc2227819_2314609296">
            <w:r>
              <w:rPr>
                <w:webHidden/>
                <w:rStyle w:val="IndexLink"/>
                <w:rtl w:val="true"/>
              </w:rPr>
              <w:t xml:space="preserve">الاُولی </w:t>
            </w:r>
            <w:r>
              <w:rPr>
                <w:rStyle w:val="IndexLink"/>
                <w:rtl w:val="true"/>
              </w:rPr>
              <w:t>[</w:t>
            </w:r>
            <w:r>
              <w:rPr>
                <w:rStyle w:val="IndexLink"/>
                <w:rtl w:val="true"/>
              </w:rPr>
              <w:t>تحل من المیتة عشرة اشیاء</w:t>
            </w:r>
            <w:r>
              <w:rPr>
                <w:rStyle w:val="IndexLink"/>
                <w:rtl w:val="true"/>
              </w:rPr>
              <w:t>]</w:t>
              <w:tab/>
            </w:r>
            <w:r>
              <w:rPr>
                <w:rStyle w:val="IndexLink"/>
              </w:rPr>
              <w:t>121</w:t>
            </w:r>
          </w:hyperlink>
        </w:p>
        <w:p>
          <w:pPr>
            <w:pStyle w:val="Contents5"/>
            <w:tabs>
              <w:tab w:val="clear" w:pos="7892"/>
              <w:tab w:val="right" w:pos="9026" w:leader="dot"/>
            </w:tabs>
            <w:rPr/>
          </w:pPr>
          <w:hyperlink w:anchor="__RefHeading___Toc2227821_2314609296">
            <w:r>
              <w:rPr>
                <w:webHidden/>
                <w:rStyle w:val="IndexLink"/>
                <w:rtl w:val="true"/>
              </w:rPr>
              <w:t>اشارة</w:t>
            </w:r>
            <w:r>
              <w:rPr>
                <w:rStyle w:val="IndexLink"/>
                <w:rtl w:val="true"/>
              </w:rPr>
              <w:tab/>
            </w:r>
            <w:r>
              <w:rPr>
                <w:rStyle w:val="IndexLink"/>
              </w:rPr>
              <w:t>121</w:t>
            </w:r>
          </w:hyperlink>
        </w:p>
        <w:p>
          <w:pPr>
            <w:pStyle w:val="Contents5"/>
            <w:tabs>
              <w:tab w:val="clear" w:pos="7892"/>
              <w:tab w:val="right" w:pos="9026" w:leader="dot"/>
            </w:tabs>
            <w:rPr/>
          </w:pPr>
          <w:hyperlink w:anchor="__RefHeading___Toc2227823_2314609296">
            <w:r>
              <w:rPr>
                <w:webHidden/>
                <w:rStyle w:val="IndexLink"/>
                <w:rtl w:val="true"/>
              </w:rPr>
              <w:t>[</w:t>
            </w:r>
            <w:r>
              <w:rPr>
                <w:rStyle w:val="IndexLink"/>
                <w:rtl w:val="true"/>
              </w:rPr>
              <w:t>اختلاط الذکی بالمیت</w:t>
            </w:r>
            <w:r>
              <w:rPr>
                <w:rStyle w:val="IndexLink"/>
                <w:rtl w:val="true"/>
              </w:rPr>
              <w:t>]</w:t>
              <w:tab/>
            </w:r>
            <w:r>
              <w:rPr>
                <w:rStyle w:val="IndexLink"/>
              </w:rPr>
              <w:t>124</w:t>
            </w:r>
          </w:hyperlink>
        </w:p>
        <w:p>
          <w:pPr>
            <w:pStyle w:val="Contents5"/>
            <w:tabs>
              <w:tab w:val="clear" w:pos="7892"/>
              <w:tab w:val="right" w:pos="9026" w:leader="dot"/>
            </w:tabs>
            <w:rPr/>
          </w:pPr>
          <w:hyperlink w:anchor="__RefHeading___Toc2227825_2314609296">
            <w:r>
              <w:rPr>
                <w:webHidden/>
                <w:rStyle w:val="IndexLink"/>
                <w:rtl w:val="true"/>
              </w:rPr>
              <w:t>[</w:t>
            </w:r>
            <w:r>
              <w:rPr>
                <w:rStyle w:val="IndexLink"/>
                <w:rtl w:val="true"/>
              </w:rPr>
              <w:t xml:space="preserve">حکم ما ابین من حی </w:t>
            </w:r>
            <w:r>
              <w:rPr>
                <w:rStyle w:val="IndexLink"/>
                <w:rtl w:val="true"/>
              </w:rPr>
              <w:t>]</w:t>
              <w:tab/>
            </w:r>
            <w:r>
              <w:rPr>
                <w:rStyle w:val="IndexLink"/>
              </w:rPr>
              <w:t>125</w:t>
            </w:r>
          </w:hyperlink>
        </w:p>
        <w:p>
          <w:pPr>
            <w:pStyle w:val="Contents4"/>
            <w:tabs>
              <w:tab w:val="clear" w:pos="8176"/>
              <w:tab w:val="right" w:pos="9026" w:leader="dot"/>
            </w:tabs>
            <w:rPr/>
          </w:pPr>
          <w:hyperlink w:anchor="__RefHeading___Toc2227827_2314609296">
            <w:r>
              <w:rPr>
                <w:webHidden/>
                <w:rStyle w:val="IndexLink"/>
                <w:rtl w:val="true"/>
              </w:rPr>
              <w:t>«</w:t>
            </w:r>
            <w:r>
              <w:rPr>
                <w:rStyle w:val="IndexLink"/>
                <w:rtl w:val="true"/>
              </w:rPr>
              <w:t>الثانیة</w:t>
            </w:r>
            <w:r>
              <w:rPr>
                <w:rStyle w:val="IndexLink"/>
                <w:rtl w:val="true"/>
              </w:rPr>
              <w:t>» : «</w:t>
            </w:r>
            <w:r>
              <w:rPr>
                <w:rStyle w:val="IndexLink"/>
                <w:rtl w:val="true"/>
              </w:rPr>
              <w:t>تحرم من الذبیحة خمسةَ عشر</w:t>
            </w:r>
            <w:r>
              <w:rPr>
                <w:rStyle w:val="IndexLink"/>
                <w:rtl w:val="true"/>
              </w:rPr>
              <w:t xml:space="preserve">» </w:t>
            </w:r>
            <w:r>
              <w:rPr>
                <w:rStyle w:val="IndexLink"/>
                <w:rtl w:val="true"/>
              </w:rPr>
              <w:t>شیئاً</w:t>
            </w:r>
            <w:r>
              <w:rPr>
                <w:rStyle w:val="IndexLink"/>
                <w:rtl w:val="true"/>
              </w:rPr>
              <w:t>:</w:t>
              <w:tab/>
            </w:r>
            <w:r>
              <w:rPr>
                <w:rStyle w:val="IndexLink"/>
              </w:rPr>
              <w:t>125</w:t>
            </w:r>
          </w:hyperlink>
        </w:p>
        <w:p>
          <w:pPr>
            <w:pStyle w:val="Contents5"/>
            <w:tabs>
              <w:tab w:val="clear" w:pos="7892"/>
              <w:tab w:val="right" w:pos="9026" w:leader="dot"/>
            </w:tabs>
            <w:rPr/>
          </w:pPr>
          <w:hyperlink w:anchor="__RefHeading___Toc2227829_2314609296">
            <w:r>
              <w:rPr>
                <w:webHidden/>
                <w:rStyle w:val="IndexLink"/>
                <w:rtl w:val="true"/>
              </w:rPr>
              <w:t>اشارة</w:t>
            </w:r>
            <w:r>
              <w:rPr>
                <w:rStyle w:val="IndexLink"/>
                <w:rtl w:val="true"/>
              </w:rPr>
              <w:tab/>
            </w:r>
            <w:r>
              <w:rPr>
                <w:rStyle w:val="IndexLink"/>
              </w:rPr>
              <w:t>125</w:t>
            </w:r>
          </w:hyperlink>
        </w:p>
        <w:p>
          <w:pPr>
            <w:pStyle w:val="Contents5"/>
            <w:tabs>
              <w:tab w:val="clear" w:pos="7892"/>
              <w:tab w:val="right" w:pos="9026" w:leader="dot"/>
            </w:tabs>
            <w:rPr/>
          </w:pPr>
          <w:hyperlink w:anchor="__RefHeading___Toc2227831_2314609296">
            <w:r>
              <w:rPr>
                <w:webHidden/>
                <w:rStyle w:val="IndexLink"/>
                <w:rtl w:val="true"/>
              </w:rPr>
              <w:t>[</w:t>
            </w:r>
            <w:r>
              <w:rPr>
                <w:rStyle w:val="IndexLink"/>
                <w:rtl w:val="true"/>
              </w:rPr>
              <w:t>ما تکره من الذبیحة</w:t>
            </w:r>
            <w:r>
              <w:rPr>
                <w:rStyle w:val="IndexLink"/>
                <w:rtl w:val="true"/>
              </w:rPr>
              <w:t>]</w:t>
              <w:tab/>
            </w:r>
            <w:r>
              <w:rPr>
                <w:rStyle w:val="IndexLink"/>
              </w:rPr>
              <w:t>127</w:t>
            </w:r>
          </w:hyperlink>
        </w:p>
        <w:p>
          <w:pPr>
            <w:pStyle w:val="Contents4"/>
            <w:tabs>
              <w:tab w:val="clear" w:pos="8176"/>
              <w:tab w:val="right" w:pos="9026" w:leader="dot"/>
            </w:tabs>
            <w:rPr/>
          </w:pPr>
          <w:hyperlink w:anchor="__RefHeading___Toc2227833_2314609296">
            <w:r>
              <w:rPr>
                <w:webHidden/>
                <w:rStyle w:val="IndexLink"/>
                <w:rtl w:val="true"/>
              </w:rPr>
              <w:t>«</w:t>
            </w:r>
            <w:r>
              <w:rPr>
                <w:rStyle w:val="IndexLink"/>
                <w:rtl w:val="true"/>
              </w:rPr>
              <w:t>الثالثة</w:t>
            </w:r>
            <w:r>
              <w:rPr>
                <w:rStyle w:val="IndexLink"/>
                <w:rtl w:val="true"/>
              </w:rPr>
              <w:t>» : «</w:t>
            </w:r>
            <w:r>
              <w:rPr>
                <w:rStyle w:val="IndexLink"/>
                <w:rtl w:val="true"/>
              </w:rPr>
              <w:t>یحرم تناول الأعیان النجسة</w:t>
            </w:r>
            <w:r>
              <w:rPr>
                <w:rStyle w:val="IndexLink"/>
                <w:rtl w:val="true"/>
              </w:rPr>
              <w:t>»</w:t>
              <w:tab/>
            </w:r>
            <w:r>
              <w:rPr>
                <w:rStyle w:val="IndexLink"/>
              </w:rPr>
              <w:t>128</w:t>
            </w:r>
          </w:hyperlink>
        </w:p>
        <w:p>
          <w:pPr>
            <w:pStyle w:val="Contents4"/>
            <w:tabs>
              <w:tab w:val="clear" w:pos="8176"/>
              <w:tab w:val="right" w:pos="9026" w:leader="dot"/>
            </w:tabs>
            <w:rPr/>
          </w:pPr>
          <w:hyperlink w:anchor="__RefHeading___Toc2227835_2314609296">
            <w:r>
              <w:rPr>
                <w:webHidden/>
                <w:rStyle w:val="IndexLink"/>
                <w:rtl w:val="true"/>
              </w:rPr>
              <w:t>«</w:t>
            </w:r>
            <w:r>
              <w:rPr>
                <w:rStyle w:val="IndexLink"/>
                <w:rtl w:val="true"/>
              </w:rPr>
              <w:t>الرابعة</w:t>
            </w:r>
            <w:r>
              <w:rPr>
                <w:rStyle w:val="IndexLink"/>
                <w:rtl w:val="true"/>
              </w:rPr>
              <w:t>» : «</w:t>
            </w:r>
            <w:r>
              <w:rPr>
                <w:rStyle w:val="IndexLink"/>
                <w:rtl w:val="true"/>
              </w:rPr>
              <w:t>یحرم الطین</w:t>
            </w:r>
            <w:r>
              <w:rPr>
                <w:rStyle w:val="IndexLink"/>
                <w:rtl w:val="true"/>
              </w:rPr>
              <w:t xml:space="preserve">» </w:t>
            </w:r>
            <w:r>
              <w:rPr>
                <w:rStyle w:val="IndexLink"/>
                <w:rtl w:val="true"/>
              </w:rPr>
              <w:t>بجمیع أصنافه، فعن النبیّ صلی الله علیه و آله</w:t>
            </w:r>
            <w:r>
              <w:rPr>
                <w:rStyle w:val="IndexLink"/>
                <w:rtl w:val="true"/>
              </w:rPr>
              <w:t>: «</w:t>
            </w:r>
            <w:r>
              <w:rPr>
                <w:rStyle w:val="IndexLink"/>
                <w:rtl w:val="true"/>
              </w:rPr>
              <w:t>من أکل الطین فمات‌فقد أعان علی نفسه</w:t>
            </w:r>
            <w:r>
              <w:rPr>
                <w:rStyle w:val="IndexLink"/>
                <w:rtl w:val="true"/>
              </w:rPr>
              <w:t>»</w:t>
              <w:tab/>
            </w:r>
            <w:r>
              <w:rPr>
                <w:rStyle w:val="IndexLink"/>
              </w:rPr>
              <w:t>130</w:t>
            </w:r>
          </w:hyperlink>
        </w:p>
        <w:p>
          <w:pPr>
            <w:pStyle w:val="Contents4"/>
            <w:tabs>
              <w:tab w:val="clear" w:pos="8176"/>
              <w:tab w:val="right" w:pos="9026" w:leader="dot"/>
            </w:tabs>
            <w:rPr/>
          </w:pPr>
          <w:hyperlink w:anchor="__RefHeading___Toc2227837_2314609296">
            <w:r>
              <w:rPr>
                <w:webHidden/>
                <w:rStyle w:val="IndexLink"/>
                <w:rtl w:val="true"/>
              </w:rPr>
              <w:t>«</w:t>
            </w:r>
            <w:r>
              <w:rPr>
                <w:rStyle w:val="IndexLink"/>
                <w:rtl w:val="true"/>
              </w:rPr>
              <w:t>الخامسة</w:t>
            </w:r>
            <w:r>
              <w:rPr>
                <w:rStyle w:val="IndexLink"/>
                <w:rtl w:val="true"/>
              </w:rPr>
              <w:t>» : «</w:t>
            </w:r>
            <w:r>
              <w:rPr>
                <w:rStyle w:val="IndexLink"/>
                <w:rtl w:val="true"/>
              </w:rPr>
              <w:t>یحرم السُمّ</w:t>
            </w:r>
            <w:r>
              <w:rPr>
                <w:rStyle w:val="IndexLink"/>
                <w:rtl w:val="true"/>
              </w:rPr>
              <w:t>»</w:t>
              <w:tab/>
            </w:r>
            <w:r>
              <w:rPr>
                <w:rStyle w:val="IndexLink"/>
              </w:rPr>
              <w:t>132</w:t>
            </w:r>
          </w:hyperlink>
        </w:p>
        <w:p>
          <w:pPr>
            <w:pStyle w:val="Contents4"/>
            <w:tabs>
              <w:tab w:val="clear" w:pos="8176"/>
              <w:tab w:val="right" w:pos="9026" w:leader="dot"/>
            </w:tabs>
            <w:rPr/>
          </w:pPr>
          <w:hyperlink w:anchor="__RefHeading___Toc2227839_2314609296">
            <w:r>
              <w:rPr>
                <w:webHidden/>
                <w:rStyle w:val="IndexLink"/>
                <w:rtl w:val="true"/>
              </w:rPr>
              <w:t>«</w:t>
            </w:r>
            <w:r>
              <w:rPr>
                <w:rStyle w:val="IndexLink"/>
                <w:rtl w:val="true"/>
              </w:rPr>
              <w:t>السادسة</w:t>
            </w:r>
            <w:r>
              <w:rPr>
                <w:rStyle w:val="IndexLink"/>
                <w:rtl w:val="true"/>
              </w:rPr>
              <w:t>» : «</w:t>
            </w:r>
            <w:r>
              <w:rPr>
                <w:rStyle w:val="IndexLink"/>
                <w:rtl w:val="true"/>
              </w:rPr>
              <w:t>یحرم الدم المسفوح</w:t>
            </w:r>
            <w:r>
              <w:rPr>
                <w:rStyle w:val="IndexLink"/>
                <w:rtl w:val="true"/>
              </w:rPr>
              <w:t>»</w:t>
              <w:tab/>
            </w:r>
            <w:r>
              <w:rPr>
                <w:rStyle w:val="IndexLink"/>
              </w:rPr>
              <w:t>132</w:t>
            </w:r>
          </w:hyperlink>
        </w:p>
        <w:p>
          <w:pPr>
            <w:pStyle w:val="Contents4"/>
            <w:tabs>
              <w:tab w:val="clear" w:pos="8176"/>
              <w:tab w:val="right" w:pos="9026" w:leader="dot"/>
            </w:tabs>
            <w:rPr/>
          </w:pPr>
          <w:hyperlink w:anchor="__RefHeading___Toc2227841_2314609296">
            <w:r>
              <w:rPr>
                <w:webHidden/>
                <w:rStyle w:val="IndexLink"/>
                <w:rtl w:val="true"/>
              </w:rPr>
              <w:t>«</w:t>
            </w:r>
            <w:r>
              <w:rPr>
                <w:rStyle w:val="IndexLink"/>
                <w:rtl w:val="true"/>
              </w:rPr>
              <w:t>السابعة</w:t>
            </w:r>
            <w:r>
              <w:rPr>
                <w:rStyle w:val="IndexLink"/>
                <w:rtl w:val="true"/>
              </w:rPr>
              <w:t>» : «</w:t>
            </w:r>
            <w:r>
              <w:rPr>
                <w:rStyle w:val="IndexLink"/>
                <w:rtl w:val="true"/>
              </w:rPr>
              <w:t>الظاهر أنّ المائعات النجسة غیر الماء</w:t>
            </w:r>
            <w:r>
              <w:rPr>
                <w:rStyle w:val="IndexLink"/>
                <w:rtl w:val="true"/>
              </w:rPr>
              <w:t>»</w:t>
              <w:tab/>
            </w:r>
            <w:r>
              <w:rPr>
                <w:rStyle w:val="IndexLink"/>
              </w:rPr>
              <w:t>133</w:t>
            </w:r>
          </w:hyperlink>
        </w:p>
        <w:p>
          <w:pPr>
            <w:pStyle w:val="Contents4"/>
            <w:tabs>
              <w:tab w:val="clear" w:pos="8176"/>
              <w:tab w:val="right" w:pos="9026" w:leader="dot"/>
            </w:tabs>
            <w:rPr/>
          </w:pPr>
          <w:hyperlink w:anchor="__RefHeading___Toc2227843_2314609296">
            <w:r>
              <w:rPr>
                <w:webHidden/>
                <w:rStyle w:val="IndexLink"/>
                <w:rtl w:val="true"/>
              </w:rPr>
              <w:t>«</w:t>
            </w:r>
            <w:r>
              <w:rPr>
                <w:rStyle w:val="IndexLink"/>
                <w:rtl w:val="true"/>
              </w:rPr>
              <w:t>الثامنة</w:t>
            </w:r>
            <w:r>
              <w:rPr>
                <w:rStyle w:val="IndexLink"/>
                <w:rtl w:val="true"/>
              </w:rPr>
              <w:t>» : «</w:t>
            </w:r>
            <w:r>
              <w:rPr>
                <w:rStyle w:val="IndexLink"/>
                <w:rtl w:val="true"/>
              </w:rPr>
              <w:t>تحرم ألبان الحیوان المحرَّم لحمه</w:t>
            </w:r>
            <w:r>
              <w:rPr>
                <w:rStyle w:val="IndexLink"/>
                <w:rtl w:val="true"/>
              </w:rPr>
              <w:t>»</w:t>
              <w:tab/>
            </w:r>
            <w:r>
              <w:rPr>
                <w:rStyle w:val="IndexLink"/>
              </w:rPr>
              <w:t>134</w:t>
            </w:r>
          </w:hyperlink>
        </w:p>
        <w:p>
          <w:pPr>
            <w:pStyle w:val="Contents4"/>
            <w:tabs>
              <w:tab w:val="clear" w:pos="8176"/>
              <w:tab w:val="right" w:pos="9026" w:leader="dot"/>
            </w:tabs>
            <w:rPr/>
          </w:pPr>
          <w:hyperlink w:anchor="__RefHeading___Toc2227845_2314609296">
            <w:r>
              <w:rPr>
                <w:webHidden/>
                <w:rStyle w:val="IndexLink"/>
                <w:rtl w:val="true"/>
              </w:rPr>
              <w:t>«</w:t>
            </w:r>
            <w:r>
              <w:rPr>
                <w:rStyle w:val="IndexLink"/>
                <w:rtl w:val="true"/>
              </w:rPr>
              <w:t>التاسعة</w:t>
            </w:r>
            <w:r>
              <w:rPr>
                <w:rStyle w:val="IndexLink"/>
                <w:rtl w:val="true"/>
              </w:rPr>
              <w:t>» : «</w:t>
            </w:r>
            <w:r>
              <w:rPr>
                <w:rStyle w:val="IndexLink"/>
                <w:rtl w:val="true"/>
              </w:rPr>
              <w:t>استبراء اللحم المجهول ذکاته</w:t>
            </w:r>
            <w:r>
              <w:rPr>
                <w:rStyle w:val="IndexLink"/>
                <w:rtl w:val="true"/>
              </w:rPr>
              <w:t>» «</w:t>
            </w:r>
            <w:r>
              <w:rPr>
                <w:rStyle w:val="IndexLink"/>
                <w:rtl w:val="true"/>
              </w:rPr>
              <w:t>المشهور</w:t>
            </w:r>
            <w:r>
              <w:rPr>
                <w:rStyle w:val="IndexLink"/>
                <w:rtl w:val="true"/>
              </w:rPr>
              <w:t>»</w:t>
              <w:tab/>
            </w:r>
            <w:r>
              <w:rPr>
                <w:rStyle w:val="IndexLink"/>
              </w:rPr>
              <w:t>134</w:t>
            </w:r>
          </w:hyperlink>
        </w:p>
        <w:p>
          <w:pPr>
            <w:pStyle w:val="Contents4"/>
            <w:tabs>
              <w:tab w:val="clear" w:pos="8176"/>
              <w:tab w:val="right" w:pos="9026" w:leader="dot"/>
            </w:tabs>
            <w:rPr/>
          </w:pPr>
          <w:hyperlink w:anchor="__RefHeading___Toc2227847_2314609296">
            <w:r>
              <w:rPr>
                <w:webHidden/>
                <w:rStyle w:val="IndexLink"/>
                <w:rtl w:val="true"/>
              </w:rPr>
              <w:t>«</w:t>
            </w:r>
            <w:r>
              <w:rPr>
                <w:rStyle w:val="IndexLink"/>
                <w:rtl w:val="true"/>
              </w:rPr>
              <w:t>العاشرة</w:t>
            </w:r>
            <w:r>
              <w:rPr>
                <w:rStyle w:val="IndexLink"/>
                <w:rtl w:val="true"/>
              </w:rPr>
              <w:t>» : «</w:t>
            </w:r>
            <w:r>
              <w:rPr>
                <w:rStyle w:val="IndexLink"/>
                <w:rtl w:val="true"/>
              </w:rPr>
              <w:t>لا یجوز استعمال شعر الخنزیر</w:t>
            </w:r>
            <w:r>
              <w:rPr>
                <w:rStyle w:val="IndexLink"/>
                <w:rtl w:val="true"/>
              </w:rPr>
              <w:t>»</w:t>
              <w:tab/>
            </w:r>
            <w:r>
              <w:rPr>
                <w:rStyle w:val="IndexLink"/>
              </w:rPr>
              <w:t>136</w:t>
            </w:r>
          </w:hyperlink>
        </w:p>
        <w:p>
          <w:pPr>
            <w:pStyle w:val="Contents4"/>
            <w:tabs>
              <w:tab w:val="clear" w:pos="8176"/>
              <w:tab w:val="right" w:pos="9026" w:leader="dot"/>
            </w:tabs>
            <w:rPr/>
          </w:pPr>
          <w:hyperlink w:anchor="__RefHeading___Toc2227849_2314609296">
            <w:r>
              <w:rPr>
                <w:webHidden/>
                <w:rStyle w:val="IndexLink"/>
                <w:rtl w:val="true"/>
              </w:rPr>
              <w:t>«</w:t>
            </w:r>
            <w:r>
              <w:rPr>
                <w:rStyle w:val="IndexLink"/>
                <w:rtl w:val="true"/>
              </w:rPr>
              <w:t>الحادیة عشرة</w:t>
            </w:r>
            <w:r>
              <w:rPr>
                <w:rStyle w:val="IndexLink"/>
                <w:rtl w:val="true"/>
              </w:rPr>
              <w:t>» : «</w:t>
            </w:r>
            <w:r>
              <w:rPr>
                <w:rStyle w:val="IndexLink"/>
                <w:rtl w:val="true"/>
              </w:rPr>
              <w:t>لا یجوز</w:t>
            </w:r>
            <w:r>
              <w:rPr>
                <w:rStyle w:val="IndexLink"/>
                <w:rtl w:val="true"/>
              </w:rPr>
              <w:t xml:space="preserve">» </w:t>
            </w:r>
            <w:r>
              <w:rPr>
                <w:rStyle w:val="IndexLink"/>
                <w:rtl w:val="true"/>
              </w:rPr>
              <w:t xml:space="preserve">لأحد </w:t>
            </w:r>
            <w:r>
              <w:rPr>
                <w:rStyle w:val="IndexLink"/>
                <w:rtl w:val="true"/>
              </w:rPr>
              <w:t>«</w:t>
            </w:r>
            <w:r>
              <w:rPr>
                <w:rStyle w:val="IndexLink"/>
                <w:rtl w:val="true"/>
              </w:rPr>
              <w:t>الأکل من مال غیره</w:t>
            </w:r>
            <w:r>
              <w:rPr>
                <w:rStyle w:val="IndexLink"/>
                <w:rtl w:val="true"/>
              </w:rPr>
              <w:t>»</w:t>
              <w:tab/>
            </w:r>
            <w:r>
              <w:rPr>
                <w:rStyle w:val="IndexLink"/>
              </w:rPr>
              <w:t>136</w:t>
            </w:r>
          </w:hyperlink>
        </w:p>
        <w:p>
          <w:pPr>
            <w:pStyle w:val="Contents4"/>
            <w:tabs>
              <w:tab w:val="clear" w:pos="8176"/>
              <w:tab w:val="right" w:pos="9026" w:leader="dot"/>
            </w:tabs>
            <w:rPr/>
          </w:pPr>
          <w:hyperlink w:anchor="__RefHeading___Toc2227851_2314609296">
            <w:r>
              <w:rPr>
                <w:webHidden/>
                <w:rStyle w:val="IndexLink"/>
                <w:rtl w:val="true"/>
              </w:rPr>
              <w:t>«</w:t>
            </w:r>
            <w:r>
              <w:rPr>
                <w:rStyle w:val="IndexLink"/>
                <w:rtl w:val="true"/>
              </w:rPr>
              <w:t>الثانیة عشرة</w:t>
            </w:r>
            <w:r>
              <w:rPr>
                <w:rStyle w:val="IndexLink"/>
                <w:rtl w:val="true"/>
              </w:rPr>
              <w:t>» : «</w:t>
            </w:r>
            <w:r>
              <w:rPr>
                <w:rStyle w:val="IndexLink"/>
                <w:rtl w:val="true"/>
              </w:rPr>
              <w:t>إذا انقلب الخمر خَلّاً حَلّ</w:t>
            </w:r>
            <w:r>
              <w:rPr>
                <w:rStyle w:val="IndexLink"/>
                <w:rtl w:val="true"/>
              </w:rPr>
              <w:t>»</w:t>
              <w:tab/>
            </w:r>
            <w:r>
              <w:rPr>
                <w:rStyle w:val="IndexLink"/>
              </w:rPr>
              <w:t>140</w:t>
            </w:r>
          </w:hyperlink>
        </w:p>
        <w:p>
          <w:pPr>
            <w:pStyle w:val="Contents4"/>
            <w:tabs>
              <w:tab w:val="clear" w:pos="8176"/>
              <w:tab w:val="right" w:pos="9026" w:leader="dot"/>
            </w:tabs>
            <w:rPr/>
          </w:pPr>
          <w:hyperlink w:anchor="__RefHeading___Toc2227853_2314609296">
            <w:r>
              <w:rPr>
                <w:webHidden/>
                <w:rStyle w:val="IndexLink"/>
                <w:rtl w:val="true"/>
              </w:rPr>
              <w:t>«</w:t>
            </w:r>
            <w:r>
              <w:rPr>
                <w:rStyle w:val="IndexLink"/>
                <w:rtl w:val="true"/>
              </w:rPr>
              <w:t>الثالثة عشرة</w:t>
            </w:r>
            <w:r>
              <w:rPr>
                <w:rStyle w:val="IndexLink"/>
                <w:rtl w:val="true"/>
              </w:rPr>
              <w:t>» : «</w:t>
            </w:r>
            <w:r>
              <w:rPr>
                <w:rStyle w:val="IndexLink"/>
                <w:rtl w:val="true"/>
              </w:rPr>
              <w:t>لا یحرم شرب الربوبات وإن شُمّ منها ریح المسکر کربّ التُفّاح</w:t>
            </w:r>
            <w:r>
              <w:rPr>
                <w:rStyle w:val="IndexLink"/>
                <w:rtl w:val="true"/>
              </w:rPr>
              <w:t>»</w:t>
              <w:tab/>
            </w:r>
            <w:r>
              <w:rPr>
                <w:rStyle w:val="IndexLink"/>
              </w:rPr>
              <w:t>141</w:t>
            </w:r>
          </w:hyperlink>
        </w:p>
        <w:p>
          <w:pPr>
            <w:pStyle w:val="Contents4"/>
            <w:tabs>
              <w:tab w:val="clear" w:pos="8176"/>
              <w:tab w:val="right" w:pos="9026" w:leader="dot"/>
            </w:tabs>
            <w:rPr/>
          </w:pPr>
          <w:hyperlink w:anchor="__RefHeading___Toc2227855_2314609296">
            <w:r>
              <w:rPr>
                <w:webHidden/>
                <w:rStyle w:val="IndexLink"/>
                <w:rtl w:val="true"/>
              </w:rPr>
              <w:t>«</w:t>
            </w:r>
            <w:r>
              <w:rPr>
                <w:rStyle w:val="IndexLink"/>
                <w:rtl w:val="true"/>
              </w:rPr>
              <w:t>الرابعة عشرة</w:t>
            </w:r>
            <w:r>
              <w:rPr>
                <w:rStyle w:val="IndexLink"/>
                <w:rtl w:val="true"/>
              </w:rPr>
              <w:t>» : «</w:t>
            </w:r>
            <w:r>
              <w:rPr>
                <w:rStyle w:val="IndexLink"/>
                <w:rtl w:val="true"/>
              </w:rPr>
              <w:t>یجوز عند الاضطرار تناول المحرَّم</w:t>
            </w:r>
            <w:r>
              <w:rPr>
                <w:rStyle w:val="IndexLink"/>
                <w:rtl w:val="true"/>
              </w:rPr>
              <w:t>»</w:t>
              <w:tab/>
            </w:r>
            <w:r>
              <w:rPr>
                <w:rStyle w:val="IndexLink"/>
              </w:rPr>
              <w:t>141</w:t>
            </w:r>
          </w:hyperlink>
        </w:p>
        <w:p>
          <w:pPr>
            <w:pStyle w:val="Contents4"/>
            <w:tabs>
              <w:tab w:val="clear" w:pos="8176"/>
              <w:tab w:val="right" w:pos="9026" w:leader="dot"/>
            </w:tabs>
            <w:rPr/>
          </w:pPr>
          <w:hyperlink w:anchor="__RefHeading___Toc2227857_2314609296">
            <w:r>
              <w:rPr>
                <w:webHidden/>
                <w:rStyle w:val="IndexLink"/>
                <w:rtl w:val="true"/>
              </w:rPr>
              <w:t>«</w:t>
            </w:r>
            <w:r>
              <w:rPr>
                <w:rStyle w:val="IndexLink"/>
                <w:rtl w:val="true"/>
              </w:rPr>
              <w:t>الخامسة عشرة</w:t>
            </w:r>
            <w:r>
              <w:rPr>
                <w:rStyle w:val="IndexLink"/>
                <w:rtl w:val="true"/>
              </w:rPr>
              <w:t>» : «</w:t>
            </w:r>
            <w:r>
              <w:rPr>
                <w:rStyle w:val="IndexLink"/>
                <w:rtl w:val="true"/>
              </w:rPr>
              <w:t>یستحبّ غسل الیدین</w:t>
            </w:r>
            <w:r>
              <w:rPr>
                <w:rStyle w:val="IndexLink"/>
                <w:rtl w:val="true"/>
              </w:rPr>
              <w:tab/>
            </w:r>
            <w:r>
              <w:rPr>
                <w:rStyle w:val="IndexLink"/>
              </w:rPr>
              <w:t>145</w:t>
            </w:r>
          </w:hyperlink>
        </w:p>
        <w:p>
          <w:pPr>
            <w:pStyle w:val="Contents3"/>
            <w:tabs>
              <w:tab w:val="clear" w:pos="8459"/>
              <w:tab w:val="right" w:pos="9026" w:leader="dot"/>
            </w:tabs>
            <w:rPr/>
          </w:pPr>
          <w:hyperlink w:anchor="__RefHeading___Toc2227859_2314609296">
            <w:r>
              <w:rPr>
                <w:webHidden/>
                <w:rStyle w:val="IndexLink"/>
                <w:rtl w:val="true"/>
              </w:rPr>
              <w:t>کتاب المیراث</w:t>
            </w:r>
            <w:r>
              <w:rPr>
                <w:rStyle w:val="IndexLink"/>
                <w:rtl w:val="true"/>
              </w:rPr>
              <w:tab/>
            </w:r>
            <w:r>
              <w:rPr>
                <w:rStyle w:val="IndexLink"/>
              </w:rPr>
              <w:t>152</w:t>
            </w:r>
          </w:hyperlink>
        </w:p>
        <w:p>
          <w:pPr>
            <w:pStyle w:val="Contents4"/>
            <w:tabs>
              <w:tab w:val="clear" w:pos="8176"/>
              <w:tab w:val="right" w:pos="9026" w:leader="dot"/>
            </w:tabs>
            <w:rPr/>
          </w:pPr>
          <w:hyperlink w:anchor="__RefHeading___Toc2227861_2314609296">
            <w:r>
              <w:rPr>
                <w:webHidden/>
                <w:rStyle w:val="IndexLink"/>
                <w:rtl w:val="true"/>
              </w:rPr>
              <w:t>اشارة</w:t>
            </w:r>
            <w:r>
              <w:rPr>
                <w:rStyle w:val="IndexLink"/>
                <w:rtl w:val="true"/>
              </w:rPr>
              <w:tab/>
            </w:r>
            <w:r>
              <w:rPr>
                <w:rStyle w:val="IndexLink"/>
              </w:rPr>
              <w:t>152</w:t>
            </w:r>
          </w:hyperlink>
        </w:p>
        <w:p>
          <w:pPr>
            <w:pStyle w:val="Contents4"/>
            <w:tabs>
              <w:tab w:val="clear" w:pos="8176"/>
              <w:tab w:val="right" w:pos="9026" w:leader="dot"/>
            </w:tabs>
            <w:rPr/>
          </w:pPr>
          <w:hyperlink w:anchor="__RefHeading___Toc2227863_2314609296">
            <w:r>
              <w:rPr>
                <w:webHidden/>
                <w:rStyle w:val="IndexLink"/>
                <w:rtl w:val="true"/>
              </w:rPr>
              <w:t xml:space="preserve">الفصل </w:t>
            </w:r>
            <w:r>
              <w:rPr>
                <w:rStyle w:val="IndexLink"/>
                <w:rtl w:val="true"/>
              </w:rPr>
              <w:t>«</w:t>
            </w:r>
            <w:r>
              <w:rPr>
                <w:rStyle w:val="IndexLink"/>
                <w:rtl w:val="true"/>
              </w:rPr>
              <w:t>الأوّل</w:t>
            </w:r>
            <w:r>
              <w:rPr>
                <w:rStyle w:val="IndexLink"/>
                <w:rtl w:val="true"/>
              </w:rPr>
              <w:t xml:space="preserve">» </w:t>
            </w:r>
            <w:r>
              <w:rPr>
                <w:rStyle w:val="IndexLink"/>
                <w:rtl w:val="true"/>
              </w:rPr>
              <w:t xml:space="preserve">البحث فی </w:t>
            </w:r>
            <w:r>
              <w:rPr>
                <w:rStyle w:val="IndexLink"/>
                <w:rtl w:val="true"/>
              </w:rPr>
              <w:t>«</w:t>
            </w:r>
            <w:r>
              <w:rPr>
                <w:rStyle w:val="IndexLink"/>
                <w:rtl w:val="true"/>
              </w:rPr>
              <w:t>الموجبات</w:t>
            </w:r>
            <w:r>
              <w:rPr>
                <w:rStyle w:val="IndexLink"/>
                <w:rtl w:val="true"/>
              </w:rPr>
              <w:t xml:space="preserve">» </w:t>
            </w:r>
            <w:r>
              <w:rPr>
                <w:rStyle w:val="IndexLink"/>
                <w:rtl w:val="true"/>
              </w:rPr>
              <w:t xml:space="preserve">للإرث </w:t>
            </w:r>
            <w:r>
              <w:rPr>
                <w:rStyle w:val="IndexLink"/>
                <w:rtl w:val="true"/>
              </w:rPr>
              <w:t>«</w:t>
            </w:r>
            <w:r>
              <w:rPr>
                <w:rStyle w:val="IndexLink"/>
                <w:rtl w:val="true"/>
              </w:rPr>
              <w:t>والموانع</w:t>
            </w:r>
            <w:r>
              <w:rPr>
                <w:rStyle w:val="IndexLink"/>
                <w:rtl w:val="true"/>
              </w:rPr>
              <w:t>»</w:t>
              <w:tab/>
            </w:r>
            <w:r>
              <w:rPr>
                <w:rStyle w:val="IndexLink"/>
              </w:rPr>
              <w:t>154</w:t>
            </w:r>
          </w:hyperlink>
        </w:p>
        <w:p>
          <w:pPr>
            <w:pStyle w:val="Contents5"/>
            <w:tabs>
              <w:tab w:val="clear" w:pos="7892"/>
              <w:tab w:val="right" w:pos="9026" w:leader="dot"/>
            </w:tabs>
            <w:rPr/>
          </w:pPr>
          <w:hyperlink w:anchor="__RefHeading___Toc2227865_2314609296">
            <w:r>
              <w:rPr>
                <w:webHidden/>
                <w:rStyle w:val="IndexLink"/>
                <w:rtl w:val="true"/>
              </w:rPr>
              <w:t>اشارة</w:t>
            </w:r>
            <w:r>
              <w:rPr>
                <w:rStyle w:val="IndexLink"/>
                <w:rtl w:val="true"/>
              </w:rPr>
              <w:tab/>
            </w:r>
            <w:r>
              <w:rPr>
                <w:rStyle w:val="IndexLink"/>
              </w:rPr>
              <w:t>154</w:t>
            </w:r>
          </w:hyperlink>
        </w:p>
        <w:p>
          <w:pPr>
            <w:pStyle w:val="Contents5"/>
            <w:tabs>
              <w:tab w:val="clear" w:pos="7892"/>
              <w:tab w:val="right" w:pos="9026" w:leader="dot"/>
            </w:tabs>
            <w:rPr/>
          </w:pPr>
          <w:hyperlink w:anchor="__RefHeading___Toc2227867_2314609296">
            <w:r>
              <w:rPr>
                <w:webHidden/>
                <w:rStyle w:val="IndexLink"/>
                <w:rtl w:val="true"/>
              </w:rPr>
              <w:t>[</w:t>
            </w:r>
            <w:r>
              <w:rPr>
                <w:rStyle w:val="IndexLink"/>
                <w:rtl w:val="true"/>
              </w:rPr>
              <w:t>الموجبات</w:t>
            </w:r>
            <w:r>
              <w:rPr>
                <w:rStyle w:val="IndexLink"/>
                <w:rtl w:val="true"/>
              </w:rPr>
              <w:t>]</w:t>
              <w:tab/>
            </w:r>
            <w:r>
              <w:rPr>
                <w:rStyle w:val="IndexLink"/>
              </w:rPr>
              <w:t>154</w:t>
            </w:r>
          </w:hyperlink>
        </w:p>
        <w:p>
          <w:pPr>
            <w:pStyle w:val="Contents6"/>
            <w:tabs>
              <w:tab w:val="clear" w:pos="7609"/>
              <w:tab w:val="right" w:pos="9026" w:leader="dot"/>
            </w:tabs>
            <w:rPr/>
          </w:pPr>
          <w:hyperlink w:anchor="__RefHeading___Toc2227869_2314609296">
            <w:r>
              <w:rPr>
                <w:webHidden/>
                <w:rStyle w:val="IndexLink"/>
                <w:rtl w:val="true"/>
              </w:rPr>
              <w:t>اشارة</w:t>
            </w:r>
            <w:r>
              <w:rPr>
                <w:rStyle w:val="IndexLink"/>
                <w:rtl w:val="true"/>
              </w:rPr>
              <w:tab/>
            </w:r>
            <w:r>
              <w:rPr>
                <w:rStyle w:val="IndexLink"/>
              </w:rPr>
              <w:t>154</w:t>
            </w:r>
          </w:hyperlink>
        </w:p>
        <w:p>
          <w:pPr>
            <w:pStyle w:val="Contents6"/>
            <w:tabs>
              <w:tab w:val="clear" w:pos="7609"/>
              <w:tab w:val="right" w:pos="9026" w:leader="dot"/>
            </w:tabs>
            <w:rPr/>
          </w:pPr>
          <w:hyperlink w:anchor="__RefHeading___Toc2227871_2314609296">
            <w:r>
              <w:rPr>
                <w:webHidden/>
                <w:rStyle w:val="IndexLink"/>
                <w:rtl w:val="true"/>
              </w:rPr>
              <w:t>[</w:t>
            </w:r>
            <w:r>
              <w:rPr>
                <w:rStyle w:val="IndexLink"/>
                <w:rtl w:val="true"/>
              </w:rPr>
              <w:t>النسب</w:t>
            </w:r>
            <w:r>
              <w:rPr>
                <w:rStyle w:val="IndexLink"/>
                <w:rtl w:val="true"/>
              </w:rPr>
              <w:t>]</w:t>
              <w:tab/>
            </w:r>
            <w:r>
              <w:rPr>
                <w:rStyle w:val="IndexLink"/>
              </w:rPr>
              <w:t>154</w:t>
            </w:r>
          </w:hyperlink>
        </w:p>
        <w:p>
          <w:pPr>
            <w:pStyle w:val="Contents6"/>
            <w:tabs>
              <w:tab w:val="clear" w:pos="7609"/>
              <w:tab w:val="right" w:pos="9026" w:leader="dot"/>
            </w:tabs>
            <w:rPr/>
          </w:pPr>
          <w:hyperlink w:anchor="__RefHeading___Toc2227873_2314609296">
            <w:r>
              <w:rPr>
                <w:webHidden/>
                <w:rStyle w:val="IndexLink"/>
                <w:rtl w:val="true"/>
              </w:rPr>
              <w:t>[«</w:t>
            </w:r>
            <w:r>
              <w:rPr>
                <w:rStyle w:val="IndexLink"/>
                <w:rtl w:val="true"/>
              </w:rPr>
              <w:t>والسبب</w:t>
            </w:r>
            <w:r>
              <w:rPr>
                <w:rStyle w:val="IndexLink"/>
                <w:rtl w:val="true"/>
              </w:rPr>
              <w:t>»]</w:t>
              <w:tab/>
            </w:r>
            <w:r>
              <w:rPr>
                <w:rStyle w:val="IndexLink"/>
              </w:rPr>
              <w:t>155</w:t>
            </w:r>
          </w:hyperlink>
        </w:p>
        <w:p>
          <w:pPr>
            <w:pStyle w:val="Contents5"/>
            <w:tabs>
              <w:tab w:val="clear" w:pos="7892"/>
              <w:tab w:val="right" w:pos="9026" w:leader="dot"/>
            </w:tabs>
            <w:rPr/>
          </w:pPr>
          <w:hyperlink w:anchor="__RefHeading___Toc2227875_2314609296">
            <w:r>
              <w:rPr>
                <w:webHidden/>
                <w:rStyle w:val="IndexLink"/>
                <w:rtl w:val="true"/>
              </w:rPr>
              <w:t>[</w:t>
            </w:r>
            <w:r>
              <w:rPr>
                <w:rStyle w:val="IndexLink"/>
                <w:rtl w:val="true"/>
              </w:rPr>
              <w:t>وأمّا الموانع</w:t>
            </w:r>
            <w:r>
              <w:rPr>
                <w:rStyle w:val="IndexLink"/>
                <w:rtl w:val="true"/>
              </w:rPr>
              <w:t>:]</w:t>
              <w:tab/>
            </w:r>
            <w:r>
              <w:rPr>
                <w:rStyle w:val="IndexLink"/>
              </w:rPr>
              <w:t>155</w:t>
            </w:r>
          </w:hyperlink>
        </w:p>
        <w:p>
          <w:pPr>
            <w:pStyle w:val="Contents6"/>
            <w:tabs>
              <w:tab w:val="clear" w:pos="7609"/>
              <w:tab w:val="right" w:pos="9026" w:leader="dot"/>
            </w:tabs>
            <w:rPr/>
          </w:pPr>
          <w:hyperlink w:anchor="__RefHeading___Toc2227877_2314609296">
            <w:r>
              <w:rPr>
                <w:webHidden/>
                <w:rStyle w:val="IndexLink"/>
                <w:rtl w:val="true"/>
              </w:rPr>
              <w:t>اشارة</w:t>
            </w:r>
            <w:r>
              <w:rPr>
                <w:rStyle w:val="IndexLink"/>
                <w:rtl w:val="true"/>
              </w:rPr>
              <w:tab/>
            </w:r>
            <w:r>
              <w:rPr>
                <w:rStyle w:val="IndexLink"/>
              </w:rPr>
              <w:t>155</w:t>
            </w:r>
          </w:hyperlink>
        </w:p>
        <w:p>
          <w:pPr>
            <w:pStyle w:val="Contents6"/>
            <w:tabs>
              <w:tab w:val="clear" w:pos="7609"/>
              <w:tab w:val="right" w:pos="9026" w:leader="dot"/>
            </w:tabs>
            <w:rPr/>
          </w:pPr>
          <w:hyperlink w:anchor="__RefHeading___Toc2227879_2314609296">
            <w:r>
              <w:rPr>
                <w:webHidden/>
                <w:rStyle w:val="IndexLink"/>
                <w:rtl w:val="true"/>
              </w:rPr>
              <w:t>[</w:t>
            </w:r>
            <w:r>
              <w:rPr>
                <w:rStyle w:val="IndexLink"/>
              </w:rPr>
              <w:t>1</w:t>
            </w:r>
            <w:r>
              <w:rPr>
                <w:rStyle w:val="IndexLink"/>
                <w:rtl w:val="true"/>
              </w:rPr>
              <w:t>-</w:t>
            </w:r>
            <w:r>
              <w:rPr>
                <w:rStyle w:val="IndexLink"/>
                <w:rtl w:val="true"/>
              </w:rPr>
              <w:t xml:space="preserve">الکفر </w:t>
            </w:r>
            <w:r>
              <w:rPr>
                <w:rStyle w:val="IndexLink"/>
                <w:rtl w:val="true"/>
              </w:rPr>
              <w:t>]</w:t>
              <w:tab/>
            </w:r>
            <w:r>
              <w:rPr>
                <w:rStyle w:val="IndexLink"/>
              </w:rPr>
              <w:t>156</w:t>
            </w:r>
          </w:hyperlink>
        </w:p>
        <w:p>
          <w:pPr>
            <w:pStyle w:val="Contents6"/>
            <w:tabs>
              <w:tab w:val="clear" w:pos="7609"/>
              <w:tab w:val="right" w:pos="9026" w:leader="dot"/>
            </w:tabs>
            <w:rPr/>
          </w:pPr>
          <w:hyperlink w:anchor="__RefHeading___Toc2227881_2314609296">
            <w:r>
              <w:rPr>
                <w:webHidden/>
                <w:rStyle w:val="IndexLink"/>
                <w:rtl w:val="true"/>
              </w:rPr>
              <w:t>[</w:t>
            </w:r>
            <w:r>
              <w:rPr>
                <w:rStyle w:val="IndexLink"/>
              </w:rPr>
              <w:t>2</w:t>
            </w:r>
            <w:r>
              <w:rPr>
                <w:rStyle w:val="IndexLink"/>
                <w:rtl w:val="true"/>
              </w:rPr>
              <w:t>-</w:t>
            </w:r>
            <w:r>
              <w:rPr>
                <w:rStyle w:val="IndexLink"/>
                <w:rtl w:val="true"/>
              </w:rPr>
              <w:t xml:space="preserve">القتل </w:t>
            </w:r>
            <w:r>
              <w:rPr>
                <w:rStyle w:val="IndexLink"/>
                <w:rtl w:val="true"/>
              </w:rPr>
              <w:t>]</w:t>
              <w:tab/>
            </w:r>
            <w:r>
              <w:rPr>
                <w:rStyle w:val="IndexLink"/>
              </w:rPr>
              <w:t>158</w:t>
            </w:r>
          </w:hyperlink>
        </w:p>
        <w:p>
          <w:pPr>
            <w:pStyle w:val="Contents6"/>
            <w:tabs>
              <w:tab w:val="clear" w:pos="7609"/>
              <w:tab w:val="right" w:pos="9026" w:leader="dot"/>
            </w:tabs>
            <w:rPr/>
          </w:pPr>
          <w:hyperlink w:anchor="__RefHeading___Toc2227883_2314609296">
            <w:r>
              <w:rPr>
                <w:webHidden/>
                <w:rStyle w:val="IndexLink"/>
                <w:rtl w:val="true"/>
              </w:rPr>
              <w:t>[</w:t>
            </w:r>
            <w:r>
              <w:rPr>
                <w:rStyle w:val="IndexLink"/>
              </w:rPr>
              <w:t>3</w:t>
            </w:r>
            <w:r>
              <w:rPr>
                <w:rStyle w:val="IndexLink"/>
                <w:rtl w:val="true"/>
              </w:rPr>
              <w:t>-</w:t>
            </w:r>
            <w:r>
              <w:rPr>
                <w:rStyle w:val="IndexLink"/>
                <w:rtl w:val="true"/>
              </w:rPr>
              <w:t xml:space="preserve">الرقّ </w:t>
            </w:r>
            <w:r>
              <w:rPr>
                <w:rStyle w:val="IndexLink"/>
                <w:rtl w:val="true"/>
              </w:rPr>
              <w:t>]</w:t>
              <w:tab/>
            </w:r>
            <w:r>
              <w:rPr>
                <w:rStyle w:val="IndexLink"/>
              </w:rPr>
              <w:t>161</w:t>
            </w:r>
          </w:hyperlink>
        </w:p>
        <w:p>
          <w:pPr>
            <w:pStyle w:val="Contents6"/>
            <w:tabs>
              <w:tab w:val="clear" w:pos="7609"/>
              <w:tab w:val="right" w:pos="9026" w:leader="dot"/>
            </w:tabs>
            <w:rPr/>
          </w:pPr>
          <w:hyperlink w:anchor="__RefHeading___Toc2227885_2314609296">
            <w:r>
              <w:rPr>
                <w:webHidden/>
                <w:rStyle w:val="IndexLink"/>
                <w:rtl w:val="true"/>
              </w:rPr>
              <w:t>[</w:t>
            </w:r>
            <w:r>
              <w:rPr>
                <w:rStyle w:val="IndexLink"/>
              </w:rPr>
              <w:t>4</w:t>
            </w:r>
            <w:r>
              <w:rPr>
                <w:rStyle w:val="IndexLink"/>
                <w:rtl w:val="true"/>
              </w:rPr>
              <w:t>-</w:t>
            </w:r>
            <w:r>
              <w:rPr>
                <w:rStyle w:val="IndexLink"/>
                <w:rtl w:val="true"/>
              </w:rPr>
              <w:t>اللعان</w:t>
            </w:r>
            <w:r>
              <w:rPr>
                <w:rStyle w:val="IndexLink"/>
                <w:rtl w:val="true"/>
              </w:rPr>
              <w:t>]</w:t>
              <w:tab/>
            </w:r>
            <w:r>
              <w:rPr>
                <w:rStyle w:val="IndexLink"/>
              </w:rPr>
              <w:t>164</w:t>
            </w:r>
          </w:hyperlink>
        </w:p>
        <w:p>
          <w:pPr>
            <w:pStyle w:val="Contents6"/>
            <w:tabs>
              <w:tab w:val="clear" w:pos="7609"/>
              <w:tab w:val="right" w:pos="9026" w:leader="dot"/>
            </w:tabs>
            <w:rPr/>
          </w:pPr>
          <w:hyperlink w:anchor="__RefHeading___Toc2227887_2314609296">
            <w:r>
              <w:rPr>
                <w:webHidden/>
                <w:rStyle w:val="IndexLink"/>
                <w:rtl w:val="true"/>
              </w:rPr>
              <w:t>[</w:t>
            </w:r>
            <w:r>
              <w:rPr>
                <w:rStyle w:val="IndexLink"/>
              </w:rPr>
              <w:t>5</w:t>
            </w:r>
            <w:r>
              <w:rPr>
                <w:rStyle w:val="IndexLink"/>
                <w:rtl w:val="true"/>
              </w:rPr>
              <w:t>-</w:t>
            </w:r>
            <w:r>
              <w:rPr>
                <w:rStyle w:val="IndexLink"/>
                <w:rtl w:val="true"/>
              </w:rPr>
              <w:t xml:space="preserve">الحمل </w:t>
            </w:r>
            <w:r>
              <w:rPr>
                <w:rStyle w:val="IndexLink"/>
                <w:rtl w:val="true"/>
              </w:rPr>
              <w:t>]</w:t>
              <w:tab/>
            </w:r>
            <w:r>
              <w:rPr>
                <w:rStyle w:val="IndexLink"/>
              </w:rPr>
              <w:t>164</w:t>
            </w:r>
          </w:hyperlink>
        </w:p>
        <w:p>
          <w:pPr>
            <w:pStyle w:val="Contents6"/>
            <w:tabs>
              <w:tab w:val="clear" w:pos="7609"/>
              <w:tab w:val="right" w:pos="9026" w:leader="dot"/>
            </w:tabs>
            <w:rPr/>
          </w:pPr>
          <w:hyperlink w:anchor="__RefHeading___Toc2227889_2314609296">
            <w:r>
              <w:rPr>
                <w:webHidden/>
                <w:rStyle w:val="IndexLink"/>
                <w:rtl w:val="true"/>
              </w:rPr>
              <w:t>[</w:t>
            </w:r>
            <w:r>
              <w:rPr>
                <w:rStyle w:val="IndexLink"/>
              </w:rPr>
              <w:t>6</w:t>
            </w:r>
            <w:r>
              <w:rPr>
                <w:rStyle w:val="IndexLink"/>
                <w:rtl w:val="true"/>
              </w:rPr>
              <w:t xml:space="preserve">- </w:t>
            </w:r>
            <w:r>
              <w:rPr>
                <w:rStyle w:val="IndexLink"/>
                <w:rtl w:val="true"/>
              </w:rPr>
              <w:t>الغیبة المنقطعة</w:t>
            </w:r>
            <w:r>
              <w:rPr>
                <w:rStyle w:val="IndexLink"/>
                <w:rtl w:val="true"/>
              </w:rPr>
              <w:t>]</w:t>
              <w:tab/>
            </w:r>
            <w:r>
              <w:rPr>
                <w:rStyle w:val="IndexLink"/>
              </w:rPr>
              <w:t>165</w:t>
            </w:r>
          </w:hyperlink>
        </w:p>
        <w:p>
          <w:pPr>
            <w:pStyle w:val="Contents6"/>
            <w:tabs>
              <w:tab w:val="clear" w:pos="7609"/>
              <w:tab w:val="right" w:pos="9026" w:leader="dot"/>
            </w:tabs>
            <w:rPr/>
          </w:pPr>
          <w:hyperlink w:anchor="__RefHeading___Toc2227891_2314609296">
            <w:r>
              <w:rPr>
                <w:webHidden/>
                <w:rStyle w:val="IndexLink"/>
                <w:rtl w:val="true"/>
              </w:rPr>
              <w:t>[</w:t>
            </w:r>
            <w:r>
              <w:rPr>
                <w:rStyle w:val="IndexLink"/>
                <w:rtl w:val="true"/>
              </w:rPr>
              <w:t>الحجب</w:t>
            </w:r>
            <w:r>
              <w:rPr>
                <w:rStyle w:val="IndexLink"/>
                <w:rtl w:val="true"/>
              </w:rPr>
              <w:t>]</w:t>
              <w:tab/>
            </w:r>
            <w:r>
              <w:rPr>
                <w:rStyle w:val="IndexLink"/>
              </w:rPr>
              <w:t>166</w:t>
            </w:r>
          </w:hyperlink>
        </w:p>
        <w:p>
          <w:pPr>
            <w:pStyle w:val="Contents6"/>
            <w:tabs>
              <w:tab w:val="clear" w:pos="7609"/>
              <w:tab w:val="right" w:pos="9026" w:leader="dot"/>
            </w:tabs>
            <w:rPr/>
          </w:pPr>
          <w:hyperlink w:anchor="__RefHeading___Toc2227893_2314609296">
            <w:r>
              <w:rPr>
                <w:webHidden/>
                <w:rStyle w:val="IndexLink"/>
                <w:rtl w:val="true"/>
              </w:rPr>
              <w:t>اشارة</w:t>
            </w:r>
            <w:r>
              <w:rPr>
                <w:rStyle w:val="IndexLink"/>
                <w:rtl w:val="true"/>
              </w:rPr>
              <w:tab/>
            </w:r>
            <w:r>
              <w:rPr>
                <w:rStyle w:val="IndexLink"/>
              </w:rPr>
              <w:t>166</w:t>
            </w:r>
          </w:hyperlink>
        </w:p>
        <w:p>
          <w:pPr>
            <w:pStyle w:val="Contents6"/>
            <w:tabs>
              <w:tab w:val="clear" w:pos="7609"/>
              <w:tab w:val="right" w:pos="9026" w:leader="dot"/>
            </w:tabs>
            <w:rPr/>
          </w:pPr>
          <w:hyperlink w:anchor="__RefHeading___Toc2227895_2314609296">
            <w:r>
              <w:rPr>
                <w:webHidden/>
                <w:rStyle w:val="IndexLink"/>
                <w:rtl w:val="true"/>
              </w:rPr>
              <w:t>[«</w:t>
            </w:r>
            <w:r>
              <w:rPr>
                <w:rStyle w:val="IndexLink"/>
                <w:rtl w:val="true"/>
              </w:rPr>
              <w:t>وأمّا الحجب عن اصل الإرث</w:t>
            </w:r>
            <w:r>
              <w:rPr>
                <w:rStyle w:val="IndexLink"/>
                <w:rtl w:val="true"/>
              </w:rPr>
              <w:t>»]</w:t>
              <w:tab/>
            </w:r>
            <w:r>
              <w:rPr>
                <w:rStyle w:val="IndexLink"/>
              </w:rPr>
              <w:t>166</w:t>
            </w:r>
          </w:hyperlink>
        </w:p>
        <w:p>
          <w:pPr>
            <w:pStyle w:val="Contents6"/>
            <w:tabs>
              <w:tab w:val="clear" w:pos="7609"/>
              <w:tab w:val="right" w:pos="9026" w:leader="dot"/>
            </w:tabs>
            <w:rPr/>
          </w:pPr>
          <w:hyperlink w:anchor="__RefHeading___Toc2227897_2314609296">
            <w:r>
              <w:rPr>
                <w:webHidden/>
                <w:rStyle w:val="IndexLink"/>
                <w:rtl w:val="true"/>
              </w:rPr>
              <w:t>[«</w:t>
            </w:r>
            <w:r>
              <w:rPr>
                <w:rStyle w:val="IndexLink"/>
                <w:rtl w:val="true"/>
              </w:rPr>
              <w:t>وأمّا الحجب عن بعض الإرث</w:t>
            </w:r>
            <w:r>
              <w:rPr>
                <w:rStyle w:val="IndexLink"/>
                <w:rtl w:val="true"/>
              </w:rPr>
              <w:t>»]</w:t>
              <w:tab/>
            </w:r>
            <w:r>
              <w:rPr>
                <w:rStyle w:val="IndexLink"/>
              </w:rPr>
              <w:t>169</w:t>
            </w:r>
          </w:hyperlink>
        </w:p>
        <w:p>
          <w:pPr>
            <w:pStyle w:val="Contents4"/>
            <w:tabs>
              <w:tab w:val="clear" w:pos="8176"/>
              <w:tab w:val="right" w:pos="9026" w:leader="dot"/>
            </w:tabs>
            <w:rPr/>
          </w:pPr>
          <w:hyperlink w:anchor="__RefHeading___Toc2227899_2314609296">
            <w:r>
              <w:rPr>
                <w:webHidden/>
                <w:rStyle w:val="IndexLink"/>
                <w:rtl w:val="true"/>
              </w:rPr>
              <w:t>«</w:t>
            </w:r>
            <w:r>
              <w:rPr>
                <w:rStyle w:val="IndexLink"/>
                <w:rtl w:val="true"/>
              </w:rPr>
              <w:t>الفصل الثانی</w:t>
            </w:r>
            <w:r>
              <w:rPr>
                <w:rStyle w:val="IndexLink"/>
                <w:rtl w:val="true"/>
              </w:rPr>
              <w:t>» «</w:t>
            </w:r>
            <w:r>
              <w:rPr>
                <w:rStyle w:val="IndexLink"/>
                <w:rtl w:val="true"/>
              </w:rPr>
              <w:t>فی</w:t>
            </w:r>
            <w:r>
              <w:rPr>
                <w:rStyle w:val="IndexLink"/>
                <w:rtl w:val="true"/>
              </w:rPr>
              <w:t xml:space="preserve">» </w:t>
            </w:r>
            <w:r>
              <w:rPr>
                <w:rStyle w:val="IndexLink"/>
                <w:rtl w:val="true"/>
              </w:rPr>
              <w:t xml:space="preserve">بیان </w:t>
            </w:r>
            <w:r>
              <w:rPr>
                <w:rStyle w:val="IndexLink"/>
                <w:rtl w:val="true"/>
              </w:rPr>
              <w:t>«</w:t>
            </w:r>
            <w:r>
              <w:rPr>
                <w:rStyle w:val="IndexLink"/>
                <w:rtl w:val="true"/>
              </w:rPr>
              <w:t>السهام</w:t>
            </w:r>
            <w:r>
              <w:rPr>
                <w:rStyle w:val="IndexLink"/>
                <w:rtl w:val="true"/>
              </w:rPr>
              <w:t xml:space="preserve">» </w:t>
            </w:r>
            <w:r>
              <w:rPr>
                <w:rStyle w:val="IndexLink"/>
                <w:rtl w:val="true"/>
              </w:rPr>
              <w:t xml:space="preserve">المقدّرة </w:t>
            </w:r>
            <w:r>
              <w:rPr>
                <w:rStyle w:val="IndexLink"/>
                <w:rtl w:val="true"/>
              </w:rPr>
              <w:t>«</w:t>
            </w:r>
            <w:r>
              <w:rPr>
                <w:rStyle w:val="IndexLink"/>
                <w:rtl w:val="true"/>
              </w:rPr>
              <w:t>و</w:t>
            </w:r>
            <w:r>
              <w:rPr>
                <w:rStyle w:val="IndexLink"/>
                <w:rtl w:val="true"/>
              </w:rPr>
              <w:t xml:space="preserve">» </w:t>
            </w:r>
            <w:r>
              <w:rPr>
                <w:rStyle w:val="IndexLink"/>
                <w:rtl w:val="true"/>
              </w:rPr>
              <w:t xml:space="preserve">بیان </w:t>
            </w:r>
            <w:r>
              <w:rPr>
                <w:rStyle w:val="IndexLink"/>
                <w:rtl w:val="true"/>
              </w:rPr>
              <w:t>«</w:t>
            </w:r>
            <w:r>
              <w:rPr>
                <w:rStyle w:val="IndexLink"/>
                <w:rtl w:val="true"/>
              </w:rPr>
              <w:t>أهلها</w:t>
            </w:r>
            <w:r>
              <w:rPr>
                <w:rStyle w:val="IndexLink"/>
                <w:rtl w:val="true"/>
              </w:rPr>
              <w:t>»</w:t>
              <w:tab/>
            </w:r>
            <w:r>
              <w:rPr>
                <w:rStyle w:val="IndexLink"/>
              </w:rPr>
              <w:t>172</w:t>
            </w:r>
          </w:hyperlink>
        </w:p>
        <w:p>
          <w:pPr>
            <w:pStyle w:val="Contents5"/>
            <w:tabs>
              <w:tab w:val="clear" w:pos="7892"/>
              <w:tab w:val="right" w:pos="9026" w:leader="dot"/>
            </w:tabs>
            <w:rPr/>
          </w:pPr>
          <w:hyperlink w:anchor="__RefHeading___Toc2227901_2314609296">
            <w:r>
              <w:rPr>
                <w:webHidden/>
                <w:rStyle w:val="IndexLink"/>
                <w:rtl w:val="true"/>
              </w:rPr>
              <w:t>اشارة</w:t>
            </w:r>
            <w:r>
              <w:rPr>
                <w:rStyle w:val="IndexLink"/>
                <w:rtl w:val="true"/>
              </w:rPr>
              <w:tab/>
            </w:r>
            <w:r>
              <w:rPr>
                <w:rStyle w:val="IndexLink"/>
              </w:rPr>
              <w:t>172</w:t>
            </w:r>
          </w:hyperlink>
        </w:p>
        <w:p>
          <w:pPr>
            <w:pStyle w:val="Contents5"/>
            <w:tabs>
              <w:tab w:val="clear" w:pos="7892"/>
              <w:tab w:val="right" w:pos="9026" w:leader="dot"/>
            </w:tabs>
            <w:rPr/>
          </w:pPr>
          <w:hyperlink w:anchor="__RefHeading___Toc2227903_2314609296">
            <w:r>
              <w:rPr>
                <w:webHidden/>
                <w:rStyle w:val="IndexLink"/>
                <w:rtl w:val="true"/>
              </w:rPr>
              <w:t>[</w:t>
            </w:r>
            <w:r>
              <w:rPr>
                <w:rStyle w:val="IndexLink"/>
                <w:rtl w:val="true"/>
              </w:rPr>
              <w:t>السهام</w:t>
            </w:r>
            <w:r>
              <w:rPr>
                <w:rStyle w:val="IndexLink"/>
                <w:rtl w:val="true"/>
              </w:rPr>
              <w:t>]</w:t>
              <w:tab/>
            </w:r>
            <w:r>
              <w:rPr>
                <w:rStyle w:val="IndexLink"/>
              </w:rPr>
              <w:t>172</w:t>
            </w:r>
          </w:hyperlink>
        </w:p>
        <w:p>
          <w:pPr>
            <w:pStyle w:val="Contents5"/>
            <w:tabs>
              <w:tab w:val="clear" w:pos="7892"/>
              <w:tab w:val="right" w:pos="9026" w:leader="dot"/>
            </w:tabs>
            <w:rPr/>
          </w:pPr>
          <w:hyperlink w:anchor="__RefHeading___Toc2227905_2314609296">
            <w:r>
              <w:rPr>
                <w:webHidden/>
                <w:rStyle w:val="IndexLink"/>
                <w:rtl w:val="true"/>
              </w:rPr>
              <w:t>[</w:t>
            </w:r>
            <w:r>
              <w:rPr>
                <w:rStyle w:val="IndexLink"/>
                <w:rtl w:val="true"/>
              </w:rPr>
              <w:t>اهل السهام</w:t>
            </w:r>
            <w:r>
              <w:rPr>
                <w:rStyle w:val="IndexLink"/>
                <w:rtl w:val="true"/>
              </w:rPr>
              <w:t>]</w:t>
              <w:tab/>
            </w:r>
            <w:r>
              <w:rPr>
                <w:rStyle w:val="IndexLink"/>
              </w:rPr>
              <w:t>173</w:t>
            </w:r>
          </w:hyperlink>
        </w:p>
        <w:p>
          <w:pPr>
            <w:pStyle w:val="Contents5"/>
            <w:tabs>
              <w:tab w:val="clear" w:pos="7892"/>
              <w:tab w:val="right" w:pos="9026" w:leader="dot"/>
            </w:tabs>
            <w:rPr/>
          </w:pPr>
          <w:hyperlink w:anchor="__RefHeading___Toc2227907_2314609296">
            <w:r>
              <w:rPr>
                <w:webHidden/>
                <w:rStyle w:val="IndexLink"/>
                <w:rtl w:val="true"/>
              </w:rPr>
              <w:t>[</w:t>
            </w:r>
            <w:r>
              <w:rPr>
                <w:rStyle w:val="IndexLink"/>
                <w:rtl w:val="true"/>
              </w:rPr>
              <w:t>لا میراث للعصبة الا مع عدم القریب</w:t>
            </w:r>
            <w:r>
              <w:rPr>
                <w:rStyle w:val="IndexLink"/>
                <w:rtl w:val="true"/>
              </w:rPr>
              <w:t>]</w:t>
              <w:tab/>
            </w:r>
            <w:r>
              <w:rPr>
                <w:rStyle w:val="IndexLink"/>
              </w:rPr>
              <w:t>176</w:t>
            </w:r>
          </w:hyperlink>
        </w:p>
        <w:p>
          <w:pPr>
            <w:pStyle w:val="Contents5"/>
            <w:tabs>
              <w:tab w:val="clear" w:pos="7892"/>
              <w:tab w:val="right" w:pos="9026" w:leader="dot"/>
            </w:tabs>
            <w:rPr/>
          </w:pPr>
          <w:hyperlink w:anchor="__RefHeading___Toc2227909_2314609296">
            <w:r>
              <w:rPr>
                <w:webHidden/>
                <w:rStyle w:val="IndexLink"/>
                <w:rtl w:val="true"/>
              </w:rPr>
              <w:t>[</w:t>
            </w:r>
            <w:r>
              <w:rPr>
                <w:rStyle w:val="IndexLink"/>
                <w:rtl w:val="true"/>
              </w:rPr>
              <w:t>لا عول فی الفرایض</w:t>
            </w:r>
            <w:r>
              <w:rPr>
                <w:rStyle w:val="IndexLink"/>
                <w:rtl w:val="true"/>
              </w:rPr>
              <w:t>]</w:t>
              <w:tab/>
            </w:r>
            <w:r>
              <w:rPr>
                <w:rStyle w:val="IndexLink"/>
              </w:rPr>
              <w:t>180</w:t>
            </w:r>
          </w:hyperlink>
        </w:p>
        <w:p>
          <w:pPr>
            <w:pStyle w:val="Contents5"/>
            <w:tabs>
              <w:tab w:val="clear" w:pos="7892"/>
              <w:tab w:val="right" w:pos="9026" w:leader="dot"/>
            </w:tabs>
            <w:rPr/>
          </w:pPr>
          <w:hyperlink w:anchor="__RefHeading___Toc2227911_2314609296">
            <w:r>
              <w:rPr>
                <w:webHidden/>
                <w:rStyle w:val="IndexLink"/>
                <w:rtl w:val="true"/>
              </w:rPr>
              <w:t>[«</w:t>
            </w:r>
            <w:r>
              <w:rPr>
                <w:rStyle w:val="IndexLink"/>
                <w:rtl w:val="true"/>
              </w:rPr>
              <w:t>مسائل</w:t>
            </w:r>
            <w:r>
              <w:rPr>
                <w:rStyle w:val="IndexLink"/>
                <w:rtl w:val="true"/>
              </w:rPr>
              <w:t xml:space="preserve">» </w:t>
            </w:r>
            <w:r>
              <w:rPr>
                <w:rStyle w:val="IndexLink"/>
                <w:rtl w:val="true"/>
              </w:rPr>
              <w:t xml:space="preserve">خمس </w:t>
            </w:r>
            <w:r>
              <w:rPr>
                <w:rStyle w:val="IndexLink"/>
                <w:rtl w:val="true"/>
              </w:rPr>
              <w:t>]</w:t>
              <w:tab/>
            </w:r>
            <w:r>
              <w:rPr>
                <w:rStyle w:val="IndexLink"/>
              </w:rPr>
              <w:t>182</w:t>
            </w:r>
          </w:hyperlink>
        </w:p>
        <w:p>
          <w:pPr>
            <w:pStyle w:val="Contents6"/>
            <w:tabs>
              <w:tab w:val="clear" w:pos="7609"/>
              <w:tab w:val="right" w:pos="9026" w:leader="dot"/>
            </w:tabs>
            <w:rPr/>
          </w:pPr>
          <w:hyperlink w:anchor="__RefHeading___Toc2227913_2314609296">
            <w:r>
              <w:rPr>
                <w:webHidden/>
                <w:rStyle w:val="IndexLink"/>
                <w:rtl w:val="true"/>
              </w:rPr>
              <w:t>«</w:t>
            </w:r>
            <w:r>
              <w:rPr>
                <w:rStyle w:val="IndexLink"/>
                <w:rtl w:val="true"/>
              </w:rPr>
              <w:t xml:space="preserve">الاُولی </w:t>
            </w:r>
            <w:r>
              <w:rPr>
                <w:rStyle w:val="IndexLink"/>
                <w:rtl w:val="true"/>
              </w:rPr>
              <w:t>[</w:t>
            </w:r>
            <w:r>
              <w:rPr>
                <w:rStyle w:val="IndexLink"/>
                <w:rtl w:val="true"/>
              </w:rPr>
              <w:t xml:space="preserve">حکم ارث الابوین </w:t>
            </w:r>
            <w:r>
              <w:rPr>
                <w:rStyle w:val="IndexLink"/>
                <w:rtl w:val="true"/>
              </w:rPr>
              <w:t>] » :</w:t>
              <w:tab/>
            </w:r>
            <w:r>
              <w:rPr>
                <w:rStyle w:val="IndexLink"/>
              </w:rPr>
              <w:t>182</w:t>
            </w:r>
          </w:hyperlink>
        </w:p>
        <w:p>
          <w:pPr>
            <w:pStyle w:val="Contents6"/>
            <w:tabs>
              <w:tab w:val="clear" w:pos="7609"/>
              <w:tab w:val="right" w:pos="9026" w:leader="dot"/>
            </w:tabs>
            <w:rPr/>
          </w:pPr>
          <w:hyperlink w:anchor="__RefHeading___Toc2227915_2314609296">
            <w:r>
              <w:rPr>
                <w:webHidden/>
                <w:rStyle w:val="IndexLink"/>
                <w:rtl w:val="true"/>
              </w:rPr>
              <w:t>«</w:t>
            </w:r>
            <w:r>
              <w:rPr>
                <w:rStyle w:val="IndexLink"/>
                <w:rtl w:val="true"/>
              </w:rPr>
              <w:t xml:space="preserve">الثانیة </w:t>
            </w:r>
            <w:r>
              <w:rPr>
                <w:rStyle w:val="IndexLink"/>
                <w:rtl w:val="true"/>
              </w:rPr>
              <w:t>[</w:t>
            </w:r>
            <w:r>
              <w:rPr>
                <w:rStyle w:val="IndexLink"/>
                <w:rtl w:val="true"/>
              </w:rPr>
              <w:t>حکم ارث الاولاد</w:t>
            </w:r>
            <w:r>
              <w:rPr>
                <w:rStyle w:val="IndexLink"/>
                <w:rtl w:val="true"/>
              </w:rPr>
              <w:t>] » :</w:t>
              <w:tab/>
            </w:r>
            <w:r>
              <w:rPr>
                <w:rStyle w:val="IndexLink"/>
              </w:rPr>
              <w:t>183</w:t>
            </w:r>
          </w:hyperlink>
        </w:p>
        <w:p>
          <w:pPr>
            <w:pStyle w:val="Contents6"/>
            <w:tabs>
              <w:tab w:val="clear" w:pos="7609"/>
              <w:tab w:val="right" w:pos="9026" w:leader="dot"/>
            </w:tabs>
            <w:rPr/>
          </w:pPr>
          <w:hyperlink w:anchor="__RefHeading___Toc2227917_2314609296">
            <w:r>
              <w:rPr>
                <w:webHidden/>
                <w:rStyle w:val="IndexLink"/>
                <w:rtl w:val="true"/>
              </w:rPr>
              <w:t>«</w:t>
            </w:r>
            <w:r>
              <w:rPr>
                <w:rStyle w:val="IndexLink"/>
                <w:rtl w:val="true"/>
              </w:rPr>
              <w:t xml:space="preserve">الثالثة </w:t>
            </w:r>
            <w:r>
              <w:rPr>
                <w:rStyle w:val="IndexLink"/>
                <w:rtl w:val="true"/>
              </w:rPr>
              <w:t>[</w:t>
            </w:r>
            <w:r>
              <w:rPr>
                <w:rStyle w:val="IndexLink"/>
                <w:rtl w:val="true"/>
              </w:rPr>
              <w:t xml:space="preserve">حکم ارث اولاد الاولاد </w:t>
            </w:r>
            <w:r>
              <w:rPr>
                <w:rStyle w:val="IndexLink"/>
                <w:rtl w:val="true"/>
              </w:rPr>
              <w:t>] » :</w:t>
              <w:tab/>
            </w:r>
            <w:r>
              <w:rPr>
                <w:rStyle w:val="IndexLink"/>
              </w:rPr>
              <w:t>184</w:t>
            </w:r>
          </w:hyperlink>
        </w:p>
        <w:p>
          <w:pPr>
            <w:pStyle w:val="Contents6"/>
            <w:tabs>
              <w:tab w:val="clear" w:pos="7609"/>
              <w:tab w:val="right" w:pos="9026" w:leader="dot"/>
            </w:tabs>
            <w:rPr/>
          </w:pPr>
          <w:hyperlink w:anchor="__RefHeading___Toc2227919_2314609296">
            <w:r>
              <w:rPr>
                <w:webHidden/>
                <w:rStyle w:val="IndexLink"/>
                <w:rtl w:val="true"/>
              </w:rPr>
              <w:t>«</w:t>
            </w:r>
            <w:r>
              <w:rPr>
                <w:rStyle w:val="IndexLink"/>
                <w:rtl w:val="true"/>
              </w:rPr>
              <w:t xml:space="preserve">الرابعة </w:t>
            </w:r>
            <w:r>
              <w:rPr>
                <w:rStyle w:val="IndexLink"/>
                <w:rtl w:val="true"/>
              </w:rPr>
              <w:t>[</w:t>
            </w:r>
            <w:r>
              <w:rPr>
                <w:rStyle w:val="IndexLink"/>
                <w:rtl w:val="true"/>
              </w:rPr>
              <w:t>الحبوة</w:t>
            </w:r>
            <w:r>
              <w:rPr>
                <w:rStyle w:val="IndexLink"/>
                <w:rtl w:val="true"/>
              </w:rPr>
              <w:t>] » :</w:t>
              <w:tab/>
            </w:r>
            <w:r>
              <w:rPr>
                <w:rStyle w:val="IndexLink"/>
              </w:rPr>
              <w:t>187</w:t>
            </w:r>
          </w:hyperlink>
        </w:p>
        <w:p>
          <w:pPr>
            <w:pStyle w:val="Contents6"/>
            <w:tabs>
              <w:tab w:val="clear" w:pos="7609"/>
              <w:tab w:val="right" w:pos="9026" w:leader="dot"/>
            </w:tabs>
            <w:rPr/>
          </w:pPr>
          <w:hyperlink w:anchor="__RefHeading___Toc2227921_2314609296">
            <w:r>
              <w:rPr>
                <w:webHidden/>
                <w:rStyle w:val="IndexLink"/>
                <w:rtl w:val="true"/>
              </w:rPr>
              <w:t>«</w:t>
            </w:r>
            <w:r>
              <w:rPr>
                <w:rStyle w:val="IndexLink"/>
                <w:rtl w:val="true"/>
              </w:rPr>
              <w:t xml:space="preserve">الخامسة </w:t>
            </w:r>
            <w:r>
              <w:rPr>
                <w:rStyle w:val="IndexLink"/>
                <w:rtl w:val="true"/>
              </w:rPr>
              <w:t>[</w:t>
            </w:r>
            <w:r>
              <w:rPr>
                <w:rStyle w:val="IndexLink"/>
                <w:rtl w:val="true"/>
              </w:rPr>
              <w:t xml:space="preserve">حکم ارث الاجداد مع الابوین </w:t>
            </w:r>
            <w:r>
              <w:rPr>
                <w:rStyle w:val="IndexLink"/>
                <w:rtl w:val="true"/>
              </w:rPr>
              <w:t>] » :</w:t>
              <w:tab/>
            </w:r>
            <w:r>
              <w:rPr>
                <w:rStyle w:val="IndexLink"/>
              </w:rPr>
              <w:t>192</w:t>
            </w:r>
          </w:hyperlink>
        </w:p>
        <w:p>
          <w:pPr>
            <w:pStyle w:val="Contents5"/>
            <w:tabs>
              <w:tab w:val="clear" w:pos="7892"/>
              <w:tab w:val="right" w:pos="9026" w:leader="dot"/>
            </w:tabs>
            <w:rPr/>
          </w:pPr>
          <w:hyperlink w:anchor="__RefHeading___Toc2227923_2314609296">
            <w:r>
              <w:rPr>
                <w:webHidden/>
                <w:rStyle w:val="IndexLink"/>
                <w:rtl w:val="true"/>
              </w:rPr>
              <w:t>«</w:t>
            </w:r>
            <w:r>
              <w:rPr>
                <w:rStyle w:val="IndexLink"/>
                <w:rtl w:val="true"/>
              </w:rPr>
              <w:t>القول فی میراث الأجداد والإخوة</w:t>
            </w:r>
            <w:r>
              <w:rPr>
                <w:rStyle w:val="IndexLink"/>
                <w:rtl w:val="true"/>
              </w:rPr>
              <w:t>» «</w:t>
            </w:r>
            <w:r>
              <w:rPr>
                <w:rStyle w:val="IndexLink"/>
                <w:rtl w:val="true"/>
              </w:rPr>
              <w:t>وفیه مسائل</w:t>
            </w:r>
            <w:r>
              <w:rPr>
                <w:rStyle w:val="IndexLink"/>
                <w:rtl w:val="true"/>
              </w:rPr>
              <w:t>»</w:t>
              <w:tab/>
            </w:r>
            <w:r>
              <w:rPr>
                <w:rStyle w:val="IndexLink"/>
              </w:rPr>
              <w:t>194</w:t>
            </w:r>
          </w:hyperlink>
        </w:p>
        <w:p>
          <w:pPr>
            <w:pStyle w:val="Contents5"/>
            <w:tabs>
              <w:tab w:val="clear" w:pos="7892"/>
              <w:tab w:val="right" w:pos="9026" w:leader="dot"/>
            </w:tabs>
            <w:rPr/>
          </w:pPr>
          <w:hyperlink w:anchor="__RefHeading___Toc2227925_2314609296">
            <w:r>
              <w:rPr>
                <w:webHidden/>
                <w:rStyle w:val="IndexLink"/>
                <w:rtl w:val="true"/>
              </w:rPr>
              <w:t>«</w:t>
            </w:r>
            <w:r>
              <w:rPr>
                <w:rStyle w:val="IndexLink"/>
                <w:rtl w:val="true"/>
              </w:rPr>
              <w:t>القول فی میراث الأعمام والأخوال</w:t>
            </w:r>
            <w:r>
              <w:rPr>
                <w:rStyle w:val="IndexLink"/>
                <w:rtl w:val="true"/>
              </w:rPr>
              <w:t xml:space="preserve">» </w:t>
            </w:r>
            <w:r>
              <w:rPr>
                <w:rStyle w:val="IndexLink"/>
                <w:rtl w:val="true"/>
              </w:rPr>
              <w:t>وأولادهم</w:t>
            </w:r>
            <w:r>
              <w:rPr>
                <w:rStyle w:val="IndexLink"/>
                <w:rtl w:val="true"/>
              </w:rPr>
              <w:tab/>
            </w:r>
            <w:r>
              <w:rPr>
                <w:rStyle w:val="IndexLink"/>
              </w:rPr>
              <w:t>204</w:t>
            </w:r>
          </w:hyperlink>
        </w:p>
        <w:p>
          <w:pPr>
            <w:pStyle w:val="Contents5"/>
            <w:tabs>
              <w:tab w:val="clear" w:pos="7892"/>
              <w:tab w:val="right" w:pos="9026" w:leader="dot"/>
            </w:tabs>
            <w:rPr/>
          </w:pPr>
          <w:hyperlink w:anchor="__RefHeading___Toc2227927_2314609296">
            <w:r>
              <w:rPr>
                <w:webHidden/>
                <w:rStyle w:val="IndexLink"/>
                <w:rtl w:val="true"/>
              </w:rPr>
              <w:t>«</w:t>
            </w:r>
            <w:r>
              <w:rPr>
                <w:rStyle w:val="IndexLink"/>
                <w:rtl w:val="true"/>
              </w:rPr>
              <w:t>القول فی میراث الأزواج</w:t>
            </w:r>
            <w:r>
              <w:rPr>
                <w:rStyle w:val="IndexLink"/>
                <w:rtl w:val="true"/>
              </w:rPr>
              <w:t>»</w:t>
              <w:tab/>
            </w:r>
            <w:r>
              <w:rPr>
                <w:rStyle w:val="IndexLink"/>
              </w:rPr>
              <w:t>215</w:t>
            </w:r>
          </w:hyperlink>
        </w:p>
        <w:p>
          <w:pPr>
            <w:pStyle w:val="Contents4"/>
            <w:tabs>
              <w:tab w:val="clear" w:pos="8176"/>
              <w:tab w:val="right" w:pos="9026" w:leader="dot"/>
            </w:tabs>
            <w:rPr/>
          </w:pPr>
          <w:hyperlink w:anchor="__RefHeading___Toc2227929_2314609296">
            <w:r>
              <w:rPr>
                <w:webHidden/>
                <w:rStyle w:val="IndexLink"/>
                <w:rtl w:val="true"/>
              </w:rPr>
              <w:t>«</w:t>
            </w:r>
            <w:r>
              <w:rPr>
                <w:rStyle w:val="IndexLink"/>
                <w:rtl w:val="true"/>
              </w:rPr>
              <w:t>الفصل الثالث</w:t>
            </w:r>
            <w:r>
              <w:rPr>
                <w:rStyle w:val="IndexLink"/>
                <w:rtl w:val="true"/>
              </w:rPr>
              <w:t>» «</w:t>
            </w:r>
            <w:r>
              <w:rPr>
                <w:rStyle w:val="IndexLink"/>
                <w:rtl w:val="true"/>
              </w:rPr>
              <w:t>فی الوَلاء</w:t>
            </w:r>
            <w:r>
              <w:rPr>
                <w:rStyle w:val="IndexLink"/>
                <w:rtl w:val="true"/>
              </w:rPr>
              <w:t>»</w:t>
              <w:tab/>
            </w:r>
            <w:r>
              <w:rPr>
                <w:rStyle w:val="IndexLink"/>
              </w:rPr>
              <w:t>222</w:t>
            </w:r>
          </w:hyperlink>
        </w:p>
        <w:p>
          <w:pPr>
            <w:pStyle w:val="Contents5"/>
            <w:tabs>
              <w:tab w:val="clear" w:pos="7892"/>
              <w:tab w:val="right" w:pos="9026" w:leader="dot"/>
            </w:tabs>
            <w:rPr/>
          </w:pPr>
          <w:hyperlink w:anchor="__RefHeading___Toc2227931_2314609296">
            <w:r>
              <w:rPr>
                <w:webHidden/>
                <w:rStyle w:val="IndexLink"/>
                <w:rtl w:val="true"/>
              </w:rPr>
              <w:t>اشارة</w:t>
            </w:r>
            <w:r>
              <w:rPr>
                <w:rStyle w:val="IndexLink"/>
                <w:rtl w:val="true"/>
              </w:rPr>
              <w:tab/>
            </w:r>
            <w:r>
              <w:rPr>
                <w:rStyle w:val="IndexLink"/>
              </w:rPr>
              <w:t>222</w:t>
            </w:r>
          </w:hyperlink>
        </w:p>
        <w:p>
          <w:pPr>
            <w:pStyle w:val="Contents5"/>
            <w:tabs>
              <w:tab w:val="clear" w:pos="7892"/>
              <w:tab w:val="right" w:pos="9026" w:leader="dot"/>
            </w:tabs>
            <w:rPr/>
          </w:pPr>
          <w:hyperlink w:anchor="__RefHeading___Toc2227933_2314609296">
            <w:r>
              <w:rPr>
                <w:webHidden/>
                <w:rStyle w:val="IndexLink"/>
                <w:rtl w:val="true"/>
              </w:rPr>
              <w:t>[</w:t>
            </w:r>
            <w:r>
              <w:rPr>
                <w:rStyle w:val="IndexLink"/>
                <w:rtl w:val="true"/>
              </w:rPr>
              <w:t>اقسامه</w:t>
            </w:r>
            <w:r>
              <w:rPr>
                <w:rStyle w:val="IndexLink"/>
                <w:rtl w:val="true"/>
              </w:rPr>
              <w:t>]</w:t>
              <w:tab/>
            </w:r>
            <w:r>
              <w:rPr>
                <w:rStyle w:val="IndexLink"/>
              </w:rPr>
              <w:t>222</w:t>
            </w:r>
          </w:hyperlink>
        </w:p>
        <w:p>
          <w:pPr>
            <w:pStyle w:val="Contents6"/>
            <w:tabs>
              <w:tab w:val="clear" w:pos="7609"/>
              <w:tab w:val="right" w:pos="9026" w:leader="dot"/>
            </w:tabs>
            <w:rPr/>
          </w:pPr>
          <w:hyperlink w:anchor="__RefHeading___Toc2227935_2314609296">
            <w:r>
              <w:rPr>
                <w:webHidden/>
                <w:rStyle w:val="IndexLink"/>
                <w:rtl w:val="true"/>
              </w:rPr>
              <w:t>اشارة</w:t>
            </w:r>
            <w:r>
              <w:rPr>
                <w:rStyle w:val="IndexLink"/>
                <w:rtl w:val="true"/>
              </w:rPr>
              <w:tab/>
            </w:r>
            <w:r>
              <w:rPr>
                <w:rStyle w:val="IndexLink"/>
              </w:rPr>
              <w:t>222</w:t>
            </w:r>
          </w:hyperlink>
        </w:p>
        <w:p>
          <w:pPr>
            <w:pStyle w:val="Contents6"/>
            <w:tabs>
              <w:tab w:val="clear" w:pos="7609"/>
              <w:tab w:val="right" w:pos="9026" w:leader="dot"/>
            </w:tabs>
            <w:rPr/>
          </w:pPr>
          <w:hyperlink w:anchor="__RefHeading___Toc2227937_2314609296">
            <w:r>
              <w:rPr>
                <w:webHidden/>
                <w:rStyle w:val="IndexLink"/>
                <w:rtl w:val="true"/>
              </w:rPr>
              <w:t>[</w:t>
            </w:r>
            <w:r>
              <w:rPr>
                <w:rStyle w:val="IndexLink"/>
              </w:rPr>
              <w:t>1</w:t>
            </w:r>
            <w:r>
              <w:rPr>
                <w:rStyle w:val="IndexLink"/>
                <w:rtl w:val="true"/>
              </w:rPr>
              <w:t>-</w:t>
            </w:r>
            <w:r>
              <w:rPr>
                <w:rStyle w:val="IndexLink"/>
                <w:rtl w:val="true"/>
              </w:rPr>
              <w:t xml:space="preserve">ولاء العتق </w:t>
            </w:r>
            <w:r>
              <w:rPr>
                <w:rStyle w:val="IndexLink"/>
                <w:rtl w:val="true"/>
              </w:rPr>
              <w:t>]</w:t>
              <w:tab/>
            </w:r>
            <w:r>
              <w:rPr>
                <w:rStyle w:val="IndexLink"/>
              </w:rPr>
              <w:t>222</w:t>
            </w:r>
          </w:hyperlink>
        </w:p>
        <w:p>
          <w:pPr>
            <w:pStyle w:val="Contents6"/>
            <w:tabs>
              <w:tab w:val="clear" w:pos="7609"/>
              <w:tab w:val="right" w:pos="9026" w:leader="dot"/>
            </w:tabs>
            <w:rPr/>
          </w:pPr>
          <w:hyperlink w:anchor="__RefHeading___Toc2227939_2314609296">
            <w:r>
              <w:rPr>
                <w:webHidden/>
                <w:rStyle w:val="IndexLink"/>
                <w:rtl w:val="true"/>
              </w:rPr>
              <w:t>[</w:t>
            </w:r>
            <w:r>
              <w:rPr>
                <w:rStyle w:val="IndexLink"/>
              </w:rPr>
              <w:t>2</w:t>
            </w:r>
            <w:r>
              <w:rPr>
                <w:rStyle w:val="IndexLink"/>
                <w:rtl w:val="true"/>
              </w:rPr>
              <w:t xml:space="preserve">- </w:t>
            </w:r>
            <w:r>
              <w:rPr>
                <w:rStyle w:val="IndexLink"/>
                <w:rtl w:val="true"/>
              </w:rPr>
              <w:t>ولاء ضمان الجریرة</w:t>
            </w:r>
            <w:r>
              <w:rPr>
                <w:rStyle w:val="IndexLink"/>
                <w:rtl w:val="true"/>
              </w:rPr>
              <w:t>]</w:t>
              <w:tab/>
            </w:r>
            <w:r>
              <w:rPr>
                <w:rStyle w:val="IndexLink"/>
              </w:rPr>
              <w:t>226</w:t>
            </w:r>
          </w:hyperlink>
        </w:p>
        <w:p>
          <w:pPr>
            <w:pStyle w:val="Contents6"/>
            <w:tabs>
              <w:tab w:val="clear" w:pos="7609"/>
              <w:tab w:val="right" w:pos="9026" w:leader="dot"/>
            </w:tabs>
            <w:rPr/>
          </w:pPr>
          <w:hyperlink w:anchor="__RefHeading___Toc2227941_2314609296">
            <w:r>
              <w:rPr>
                <w:webHidden/>
                <w:rStyle w:val="IndexLink"/>
                <w:rtl w:val="true"/>
              </w:rPr>
              <w:t>[</w:t>
            </w:r>
            <w:r>
              <w:rPr>
                <w:rStyle w:val="IndexLink"/>
                <w:rtl w:val="true"/>
              </w:rPr>
              <w:t>ولاء الامامة</w:t>
            </w:r>
            <w:r>
              <w:rPr>
                <w:rStyle w:val="IndexLink"/>
                <w:rtl w:val="true"/>
              </w:rPr>
              <w:t>]</w:t>
              <w:tab/>
            </w:r>
            <w:r>
              <w:rPr>
                <w:rStyle w:val="IndexLink"/>
              </w:rPr>
              <w:t>227</w:t>
            </w:r>
          </w:hyperlink>
        </w:p>
        <w:p>
          <w:pPr>
            <w:pStyle w:val="Contents4"/>
            <w:tabs>
              <w:tab w:val="clear" w:pos="8176"/>
              <w:tab w:val="right" w:pos="9026" w:leader="dot"/>
            </w:tabs>
            <w:rPr/>
          </w:pPr>
          <w:hyperlink w:anchor="__RefHeading___Toc2227943_2314609296">
            <w:r>
              <w:rPr>
                <w:webHidden/>
                <w:rStyle w:val="IndexLink"/>
                <w:rtl w:val="true"/>
              </w:rPr>
              <w:t>«</w:t>
            </w:r>
            <w:r>
              <w:rPr>
                <w:rStyle w:val="IndexLink"/>
                <w:rtl w:val="true"/>
              </w:rPr>
              <w:t xml:space="preserve">الفصل الرابع </w:t>
            </w:r>
            <w:r>
              <w:rPr>
                <w:rStyle w:val="IndexLink"/>
                <w:rtl w:val="true"/>
              </w:rPr>
              <w:t>» «</w:t>
            </w:r>
            <w:r>
              <w:rPr>
                <w:rStyle w:val="IndexLink"/>
                <w:rtl w:val="true"/>
              </w:rPr>
              <w:t>فی التوابع</w:t>
            </w:r>
            <w:r>
              <w:rPr>
                <w:rStyle w:val="IndexLink"/>
                <w:rtl w:val="true"/>
              </w:rPr>
              <w:t>»</w:t>
              <w:tab/>
            </w:r>
            <w:r>
              <w:rPr>
                <w:rStyle w:val="IndexLink"/>
              </w:rPr>
              <w:t>229</w:t>
            </w:r>
          </w:hyperlink>
        </w:p>
        <w:p>
          <w:pPr>
            <w:pStyle w:val="Contents5"/>
            <w:tabs>
              <w:tab w:val="clear" w:pos="7892"/>
              <w:tab w:val="right" w:pos="9026" w:leader="dot"/>
            </w:tabs>
            <w:rPr/>
          </w:pPr>
          <w:hyperlink w:anchor="__RefHeading___Toc2227945_2314609296">
            <w:r>
              <w:rPr>
                <w:webHidden/>
                <w:rStyle w:val="IndexLink"/>
                <w:rtl w:val="true"/>
              </w:rPr>
              <w:t>اشارة</w:t>
            </w:r>
            <w:r>
              <w:rPr>
                <w:rStyle w:val="IndexLink"/>
                <w:rtl w:val="true"/>
              </w:rPr>
              <w:tab/>
            </w:r>
            <w:r>
              <w:rPr>
                <w:rStyle w:val="IndexLink"/>
              </w:rPr>
              <w:t>229</w:t>
            </w:r>
          </w:hyperlink>
        </w:p>
        <w:p>
          <w:pPr>
            <w:pStyle w:val="Contents5"/>
            <w:tabs>
              <w:tab w:val="clear" w:pos="7892"/>
              <w:tab w:val="right" w:pos="9026" w:leader="dot"/>
            </w:tabs>
            <w:rPr/>
          </w:pPr>
          <w:hyperlink w:anchor="__RefHeading___Toc2227947_2314609296">
            <w:r>
              <w:rPr>
                <w:webHidden/>
                <w:rStyle w:val="IndexLink"/>
                <w:rtl w:val="true"/>
              </w:rPr>
              <w:t>[«</w:t>
            </w:r>
            <w:r>
              <w:rPr>
                <w:rStyle w:val="IndexLink"/>
                <w:rtl w:val="true"/>
              </w:rPr>
              <w:t>وفیه مسائل</w:t>
            </w:r>
            <w:r>
              <w:rPr>
                <w:rStyle w:val="IndexLink"/>
                <w:rtl w:val="true"/>
              </w:rPr>
              <w:t>»]</w:t>
              <w:tab/>
            </w:r>
            <w:r>
              <w:rPr>
                <w:rStyle w:val="IndexLink"/>
              </w:rPr>
              <w:t>229</w:t>
            </w:r>
          </w:hyperlink>
        </w:p>
        <w:p>
          <w:pPr>
            <w:pStyle w:val="Contents6"/>
            <w:tabs>
              <w:tab w:val="clear" w:pos="7609"/>
              <w:tab w:val="right" w:pos="9026" w:leader="dot"/>
            </w:tabs>
            <w:rPr/>
          </w:pPr>
          <w:hyperlink w:anchor="__RefHeading___Toc2227949_2314609296">
            <w:r>
              <w:rPr>
                <w:webHidden/>
                <w:rStyle w:val="IndexLink"/>
                <w:rtl w:val="true"/>
              </w:rPr>
              <w:t>«</w:t>
            </w:r>
            <w:r>
              <w:rPr>
                <w:rStyle w:val="IndexLink"/>
                <w:rtl w:val="true"/>
              </w:rPr>
              <w:t>الاُولی</w:t>
            </w:r>
            <w:r>
              <w:rPr>
                <w:rStyle w:val="IndexLink"/>
                <w:rtl w:val="true"/>
              </w:rPr>
              <w:t xml:space="preserve">» : </w:t>
            </w:r>
            <w:r>
              <w:rPr>
                <w:rStyle w:val="IndexLink"/>
                <w:rtl w:val="true"/>
              </w:rPr>
              <w:t>فی میراث الخنثی</w:t>
            </w:r>
            <w:r>
              <w:rPr>
                <w:rStyle w:val="IndexLink"/>
                <w:rtl w:val="true"/>
              </w:rPr>
              <w:tab/>
            </w:r>
            <w:r>
              <w:rPr>
                <w:rStyle w:val="IndexLink"/>
              </w:rPr>
              <w:t>229</w:t>
            </w:r>
          </w:hyperlink>
        </w:p>
        <w:p>
          <w:pPr>
            <w:pStyle w:val="Contents6"/>
            <w:tabs>
              <w:tab w:val="clear" w:pos="7609"/>
              <w:tab w:val="right" w:pos="9026" w:leader="dot"/>
            </w:tabs>
            <w:rPr/>
          </w:pPr>
          <w:hyperlink w:anchor="__RefHeading___Toc2227951_2314609296">
            <w:r>
              <w:rPr>
                <w:webHidden/>
                <w:rStyle w:val="IndexLink"/>
                <w:rtl w:val="true"/>
              </w:rPr>
              <w:t>«</w:t>
            </w:r>
            <w:r>
              <w:rPr>
                <w:rStyle w:val="IndexLink"/>
                <w:rtl w:val="true"/>
              </w:rPr>
              <w:t xml:space="preserve">الثانیة </w:t>
            </w:r>
            <w:r>
              <w:rPr>
                <w:rStyle w:val="IndexLink"/>
                <w:rtl w:val="true"/>
              </w:rPr>
              <w:t>[</w:t>
            </w:r>
            <w:r>
              <w:rPr>
                <w:rStyle w:val="IndexLink"/>
                <w:rtl w:val="true"/>
              </w:rPr>
              <w:t>من لیس له فرج یورث بالقرعه</w:t>
            </w:r>
            <w:r>
              <w:rPr>
                <w:rStyle w:val="IndexLink"/>
                <w:rtl w:val="true"/>
              </w:rPr>
              <w:t>] »</w:t>
              <w:tab/>
            </w:r>
            <w:r>
              <w:rPr>
                <w:rStyle w:val="IndexLink"/>
              </w:rPr>
              <w:t>233</w:t>
            </w:r>
          </w:hyperlink>
        </w:p>
        <w:p>
          <w:pPr>
            <w:pStyle w:val="Contents6"/>
            <w:tabs>
              <w:tab w:val="clear" w:pos="7609"/>
              <w:tab w:val="right" w:pos="9026" w:leader="dot"/>
            </w:tabs>
            <w:rPr/>
          </w:pPr>
          <w:hyperlink w:anchor="__RefHeading___Toc2227953_2314609296">
            <w:r>
              <w:rPr>
                <w:webHidden/>
                <w:rStyle w:val="IndexLink"/>
                <w:rtl w:val="true"/>
              </w:rPr>
              <w:t>«</w:t>
            </w:r>
            <w:r>
              <w:rPr>
                <w:rStyle w:val="IndexLink"/>
                <w:rtl w:val="true"/>
              </w:rPr>
              <w:t xml:space="preserve">الثالثة </w:t>
            </w:r>
            <w:r>
              <w:rPr>
                <w:rStyle w:val="IndexLink"/>
                <w:rtl w:val="true"/>
              </w:rPr>
              <w:t>[</w:t>
            </w:r>
            <w:r>
              <w:rPr>
                <w:rStyle w:val="IndexLink"/>
                <w:rtl w:val="true"/>
              </w:rPr>
              <w:t>الحمل یورث اذا انفصل حیا او تحرک بعد خروجه ثم مات</w:t>
            </w:r>
            <w:r>
              <w:rPr>
                <w:rStyle w:val="IndexLink"/>
                <w:rtl w:val="true"/>
              </w:rPr>
              <w:t>] » :</w:t>
              <w:tab/>
            </w:r>
            <w:r>
              <w:rPr>
                <w:rStyle w:val="IndexLink"/>
              </w:rPr>
              <w:t>235</w:t>
            </w:r>
          </w:hyperlink>
        </w:p>
        <w:p>
          <w:pPr>
            <w:pStyle w:val="Contents6"/>
            <w:tabs>
              <w:tab w:val="clear" w:pos="7609"/>
              <w:tab w:val="right" w:pos="9026" w:leader="dot"/>
            </w:tabs>
            <w:rPr/>
          </w:pPr>
          <w:hyperlink w:anchor="__RefHeading___Toc2227955_2314609296">
            <w:r>
              <w:rPr>
                <w:webHidden/>
                <w:rStyle w:val="IndexLink"/>
                <w:rtl w:val="true"/>
              </w:rPr>
              <w:t>«</w:t>
            </w:r>
            <w:r>
              <w:rPr>
                <w:rStyle w:val="IndexLink"/>
                <w:rtl w:val="true"/>
              </w:rPr>
              <w:t xml:space="preserve">الرابعة </w:t>
            </w:r>
            <w:r>
              <w:rPr>
                <w:rStyle w:val="IndexLink"/>
                <w:rtl w:val="true"/>
              </w:rPr>
              <w:t>[</w:t>
            </w:r>
            <w:r>
              <w:rPr>
                <w:rStyle w:val="IndexLink"/>
                <w:rtl w:val="true"/>
              </w:rPr>
              <w:t>دیة الجنین یرثها ابواه</w:t>
            </w:r>
            <w:r>
              <w:rPr>
                <w:rStyle w:val="IndexLink"/>
                <w:rtl w:val="true"/>
              </w:rPr>
              <w:t>] » :</w:t>
              <w:tab/>
            </w:r>
            <w:r>
              <w:rPr>
                <w:rStyle w:val="IndexLink"/>
              </w:rPr>
              <w:t>236</w:t>
            </w:r>
          </w:hyperlink>
        </w:p>
        <w:p>
          <w:pPr>
            <w:pStyle w:val="Contents6"/>
            <w:tabs>
              <w:tab w:val="clear" w:pos="7609"/>
              <w:tab w:val="right" w:pos="9026" w:leader="dot"/>
            </w:tabs>
            <w:rPr/>
          </w:pPr>
          <w:hyperlink w:anchor="__RefHeading___Toc2227957_2314609296">
            <w:r>
              <w:rPr>
                <w:webHidden/>
                <w:rStyle w:val="IndexLink"/>
                <w:rtl w:val="true"/>
              </w:rPr>
              <w:t>«</w:t>
            </w:r>
            <w:r>
              <w:rPr>
                <w:rStyle w:val="IndexLink"/>
                <w:rtl w:val="true"/>
              </w:rPr>
              <w:t xml:space="preserve">الخامسة </w:t>
            </w:r>
            <w:r>
              <w:rPr>
                <w:rStyle w:val="IndexLink"/>
                <w:rtl w:val="true"/>
              </w:rPr>
              <w:t>[</w:t>
            </w:r>
            <w:r>
              <w:rPr>
                <w:rStyle w:val="IndexLink"/>
                <w:rtl w:val="true"/>
              </w:rPr>
              <w:t>ولد الملاعنة ترثه امه</w:t>
            </w:r>
            <w:r>
              <w:rPr>
                <w:rStyle w:val="IndexLink"/>
                <w:rtl w:val="true"/>
              </w:rPr>
              <w:t>] » :</w:t>
              <w:tab/>
            </w:r>
            <w:r>
              <w:rPr>
                <w:rStyle w:val="IndexLink"/>
              </w:rPr>
              <w:t>236</w:t>
            </w:r>
          </w:hyperlink>
        </w:p>
        <w:p>
          <w:pPr>
            <w:pStyle w:val="Contents6"/>
            <w:tabs>
              <w:tab w:val="clear" w:pos="7609"/>
              <w:tab w:val="right" w:pos="9026" w:leader="dot"/>
            </w:tabs>
            <w:rPr/>
          </w:pPr>
          <w:hyperlink w:anchor="__RefHeading___Toc2227959_2314609296">
            <w:r>
              <w:rPr>
                <w:webHidden/>
                <w:rStyle w:val="IndexLink"/>
                <w:rtl w:val="true"/>
              </w:rPr>
              <w:t>«</w:t>
            </w:r>
            <w:r>
              <w:rPr>
                <w:rStyle w:val="IndexLink"/>
                <w:rtl w:val="true"/>
              </w:rPr>
              <w:t xml:space="preserve">السادسة </w:t>
            </w:r>
            <w:r>
              <w:rPr>
                <w:rStyle w:val="IndexLink"/>
                <w:rtl w:val="true"/>
              </w:rPr>
              <w:t>[</w:t>
            </w:r>
            <w:r>
              <w:rPr>
                <w:rStyle w:val="IndexLink"/>
                <w:rtl w:val="true"/>
              </w:rPr>
              <w:t>ولد الزنا من الطرفین یرثه ولده بزوجته</w:t>
            </w:r>
            <w:r>
              <w:rPr>
                <w:rStyle w:val="IndexLink"/>
                <w:rtl w:val="true"/>
              </w:rPr>
              <w:t>] » :</w:t>
              <w:tab/>
            </w:r>
            <w:r>
              <w:rPr>
                <w:rStyle w:val="IndexLink"/>
              </w:rPr>
              <w:t>237</w:t>
            </w:r>
          </w:hyperlink>
        </w:p>
        <w:p>
          <w:pPr>
            <w:pStyle w:val="Contents6"/>
            <w:tabs>
              <w:tab w:val="clear" w:pos="7609"/>
              <w:tab w:val="right" w:pos="9026" w:leader="dot"/>
            </w:tabs>
            <w:rPr/>
          </w:pPr>
          <w:hyperlink w:anchor="__RefHeading___Toc2227961_2314609296">
            <w:r>
              <w:rPr>
                <w:webHidden/>
                <w:rStyle w:val="IndexLink"/>
                <w:rtl w:val="true"/>
              </w:rPr>
              <w:t>«</w:t>
            </w:r>
            <w:r>
              <w:rPr>
                <w:rStyle w:val="IndexLink"/>
                <w:rtl w:val="true"/>
              </w:rPr>
              <w:t xml:space="preserve">السابعة </w:t>
            </w:r>
            <w:r>
              <w:rPr>
                <w:rStyle w:val="IndexLink"/>
                <w:rtl w:val="true"/>
              </w:rPr>
              <w:t>[</w:t>
            </w:r>
            <w:r>
              <w:rPr>
                <w:rStyle w:val="IndexLink"/>
                <w:rtl w:val="true"/>
              </w:rPr>
              <w:t xml:space="preserve">لاعبرة بالتبری من النسب </w:t>
            </w:r>
            <w:r>
              <w:rPr>
                <w:rStyle w:val="IndexLink"/>
                <w:rtl w:val="true"/>
              </w:rPr>
              <w:t>] » :</w:t>
              <w:tab/>
            </w:r>
            <w:r>
              <w:rPr>
                <w:rStyle w:val="IndexLink"/>
              </w:rPr>
              <w:t>238</w:t>
            </w:r>
          </w:hyperlink>
        </w:p>
        <w:p>
          <w:pPr>
            <w:pStyle w:val="Contents6"/>
            <w:tabs>
              <w:tab w:val="clear" w:pos="7609"/>
              <w:tab w:val="right" w:pos="9026" w:leader="dot"/>
            </w:tabs>
            <w:rPr/>
          </w:pPr>
          <w:hyperlink w:anchor="__RefHeading___Toc2227963_2314609296">
            <w:r>
              <w:rPr>
                <w:webHidden/>
                <w:rStyle w:val="IndexLink"/>
                <w:rtl w:val="true"/>
              </w:rPr>
              <w:t>«</w:t>
            </w:r>
            <w:r>
              <w:rPr>
                <w:rStyle w:val="IndexLink"/>
                <w:rtl w:val="true"/>
              </w:rPr>
              <w:t xml:space="preserve">الثامنة </w:t>
            </w:r>
            <w:r>
              <w:rPr>
                <w:rStyle w:val="IndexLink"/>
                <w:rtl w:val="true"/>
              </w:rPr>
              <w:t>[</w:t>
            </w:r>
            <w:r>
              <w:rPr>
                <w:rStyle w:val="IndexLink"/>
                <w:rtl w:val="true"/>
              </w:rPr>
              <w:t>فی میراث الغرقی و المهدوم علیهم</w:t>
            </w:r>
            <w:r>
              <w:rPr>
                <w:rStyle w:val="IndexLink"/>
                <w:rtl w:val="true"/>
              </w:rPr>
              <w:t>] » :</w:t>
              <w:tab/>
            </w:r>
            <w:r>
              <w:rPr>
                <w:rStyle w:val="IndexLink"/>
              </w:rPr>
              <w:t>238</w:t>
            </w:r>
          </w:hyperlink>
        </w:p>
        <w:p>
          <w:pPr>
            <w:pStyle w:val="Contents6"/>
            <w:tabs>
              <w:tab w:val="clear" w:pos="7609"/>
              <w:tab w:val="right" w:pos="9026" w:leader="dot"/>
            </w:tabs>
            <w:rPr/>
          </w:pPr>
          <w:hyperlink w:anchor="__RefHeading___Toc2227965_2314609296">
            <w:r>
              <w:rPr>
                <w:webHidden/>
                <w:rStyle w:val="IndexLink"/>
                <w:rtl w:val="true"/>
              </w:rPr>
              <w:t>«</w:t>
            </w:r>
            <w:r>
              <w:rPr>
                <w:rStyle w:val="IndexLink"/>
                <w:rtl w:val="true"/>
              </w:rPr>
              <w:t xml:space="preserve">التاسعة </w:t>
            </w:r>
            <w:r>
              <w:rPr>
                <w:rStyle w:val="IndexLink"/>
                <w:rtl w:val="true"/>
              </w:rPr>
              <w:t>[</w:t>
            </w:r>
            <w:r>
              <w:rPr>
                <w:rStyle w:val="IndexLink"/>
                <w:rtl w:val="true"/>
              </w:rPr>
              <w:t>فی میراث المحبوس</w:t>
            </w:r>
            <w:r>
              <w:rPr>
                <w:rStyle w:val="IndexLink"/>
                <w:rtl w:val="true"/>
              </w:rPr>
              <w:t>] » :</w:t>
              <w:tab/>
            </w:r>
            <w:r>
              <w:rPr>
                <w:rStyle w:val="IndexLink"/>
              </w:rPr>
              <w:t>241</w:t>
            </w:r>
          </w:hyperlink>
        </w:p>
        <w:p>
          <w:pPr>
            <w:pStyle w:val="Contents6"/>
            <w:tabs>
              <w:tab w:val="clear" w:pos="7609"/>
              <w:tab w:val="right" w:pos="9026" w:leader="dot"/>
            </w:tabs>
            <w:rPr/>
          </w:pPr>
          <w:hyperlink w:anchor="__RefHeading___Toc2227967_2314609296">
            <w:r>
              <w:rPr>
                <w:webHidden/>
                <w:rStyle w:val="IndexLink"/>
                <w:rtl w:val="true"/>
              </w:rPr>
              <w:t>«</w:t>
            </w:r>
            <w:r>
              <w:rPr>
                <w:rStyle w:val="IndexLink"/>
                <w:rtl w:val="true"/>
              </w:rPr>
              <w:t xml:space="preserve">العاشرة </w:t>
            </w:r>
            <w:r>
              <w:rPr>
                <w:rStyle w:val="IndexLink"/>
                <w:rtl w:val="true"/>
              </w:rPr>
              <w:t>[</w:t>
            </w:r>
            <w:r>
              <w:rPr>
                <w:rStyle w:val="IndexLink"/>
                <w:rtl w:val="true"/>
              </w:rPr>
              <w:t>مخارج الفروض</w:t>
            </w:r>
            <w:r>
              <w:rPr>
                <w:rStyle w:val="IndexLink"/>
                <w:rtl w:val="true"/>
              </w:rPr>
              <w:t>] » :</w:t>
              <w:tab/>
            </w:r>
            <w:r>
              <w:rPr>
                <w:rStyle w:val="IndexLink"/>
              </w:rPr>
              <w:t>244</w:t>
            </w:r>
          </w:hyperlink>
        </w:p>
        <w:p>
          <w:pPr>
            <w:pStyle w:val="Contents6"/>
            <w:tabs>
              <w:tab w:val="clear" w:pos="7609"/>
              <w:tab w:val="right" w:pos="9026" w:leader="dot"/>
            </w:tabs>
            <w:rPr/>
          </w:pPr>
          <w:hyperlink w:anchor="__RefHeading___Toc2227969_2314609296">
            <w:r>
              <w:rPr>
                <w:webHidden/>
                <w:rStyle w:val="IndexLink"/>
                <w:rtl w:val="true"/>
              </w:rPr>
              <w:t>«</w:t>
            </w:r>
            <w:r>
              <w:rPr>
                <w:rStyle w:val="IndexLink"/>
                <w:rtl w:val="true"/>
              </w:rPr>
              <w:t xml:space="preserve">الحادیة عشرة </w:t>
            </w:r>
            <w:r>
              <w:rPr>
                <w:rStyle w:val="IndexLink"/>
                <w:rtl w:val="true"/>
              </w:rPr>
              <w:t>[</w:t>
            </w:r>
            <w:r>
              <w:rPr>
                <w:rStyle w:val="IndexLink"/>
                <w:rtl w:val="true"/>
              </w:rPr>
              <w:t>انکسار الفریضة</w:t>
            </w:r>
            <w:r>
              <w:rPr>
                <w:rStyle w:val="IndexLink"/>
                <w:rtl w:val="true"/>
              </w:rPr>
              <w:t>] » :</w:t>
              <w:tab/>
            </w:r>
            <w:r>
              <w:rPr>
                <w:rStyle w:val="IndexLink"/>
              </w:rPr>
              <w:t>247</w:t>
            </w:r>
          </w:hyperlink>
        </w:p>
        <w:p>
          <w:pPr>
            <w:pStyle w:val="Contents6"/>
            <w:tabs>
              <w:tab w:val="clear" w:pos="7609"/>
              <w:tab w:val="right" w:pos="9026" w:leader="dot"/>
            </w:tabs>
            <w:rPr/>
          </w:pPr>
          <w:hyperlink w:anchor="__RefHeading___Toc2227971_2314609296">
            <w:r>
              <w:rPr>
                <w:webHidden/>
                <w:rStyle w:val="IndexLink"/>
                <w:rtl w:val="true"/>
              </w:rPr>
              <w:t>«</w:t>
            </w:r>
            <w:r>
              <w:rPr>
                <w:rStyle w:val="IndexLink"/>
                <w:rtl w:val="true"/>
              </w:rPr>
              <w:t xml:space="preserve">الثانیة عشرة </w:t>
            </w:r>
            <w:r>
              <w:rPr>
                <w:rStyle w:val="IndexLink"/>
                <w:rtl w:val="true"/>
              </w:rPr>
              <w:t>[</w:t>
            </w:r>
            <w:r>
              <w:rPr>
                <w:rStyle w:val="IndexLink"/>
                <w:rtl w:val="true"/>
              </w:rPr>
              <w:t>قصور الفریضة عن السهام</w:t>
            </w:r>
            <w:r>
              <w:rPr>
                <w:rStyle w:val="IndexLink"/>
                <w:rtl w:val="true"/>
              </w:rPr>
              <w:t>] » :</w:t>
              <w:tab/>
            </w:r>
            <w:r>
              <w:rPr>
                <w:rStyle w:val="IndexLink"/>
              </w:rPr>
              <w:t>251</w:t>
            </w:r>
          </w:hyperlink>
        </w:p>
        <w:p>
          <w:pPr>
            <w:pStyle w:val="Contents6"/>
            <w:tabs>
              <w:tab w:val="clear" w:pos="7609"/>
              <w:tab w:val="right" w:pos="9026" w:leader="dot"/>
            </w:tabs>
            <w:rPr/>
          </w:pPr>
          <w:hyperlink w:anchor="__RefHeading___Toc2227973_2314609296">
            <w:r>
              <w:rPr>
                <w:webHidden/>
                <w:rStyle w:val="IndexLink"/>
                <w:rtl w:val="true"/>
              </w:rPr>
              <w:t>«</w:t>
            </w:r>
            <w:r>
              <w:rPr>
                <w:rStyle w:val="IndexLink"/>
                <w:rtl w:val="true"/>
              </w:rPr>
              <w:t xml:space="preserve">الثالثة عشرة </w:t>
            </w:r>
            <w:r>
              <w:rPr>
                <w:rStyle w:val="IndexLink"/>
                <w:rtl w:val="true"/>
              </w:rPr>
              <w:t>[</w:t>
            </w:r>
            <w:r>
              <w:rPr>
                <w:rStyle w:val="IndexLink"/>
                <w:rtl w:val="true"/>
              </w:rPr>
              <w:t>زیادة الفریضة علی السهام</w:t>
            </w:r>
            <w:r>
              <w:rPr>
                <w:rStyle w:val="IndexLink"/>
                <w:rtl w:val="true"/>
              </w:rPr>
              <w:t>] » :</w:t>
              <w:tab/>
            </w:r>
            <w:r>
              <w:rPr>
                <w:rStyle w:val="IndexLink"/>
              </w:rPr>
              <w:t>251</w:t>
            </w:r>
          </w:hyperlink>
        </w:p>
        <w:p>
          <w:pPr>
            <w:pStyle w:val="Contents6"/>
            <w:tabs>
              <w:tab w:val="clear" w:pos="7609"/>
              <w:tab w:val="right" w:pos="9026" w:leader="dot"/>
            </w:tabs>
            <w:rPr/>
          </w:pPr>
          <w:hyperlink w:anchor="__RefHeading___Toc2227975_2314609296">
            <w:r>
              <w:rPr>
                <w:webHidden/>
                <w:rStyle w:val="IndexLink"/>
                <w:rtl w:val="true"/>
              </w:rPr>
              <w:t>«</w:t>
            </w:r>
            <w:r>
              <w:rPr>
                <w:rStyle w:val="IndexLink"/>
                <w:rtl w:val="true"/>
              </w:rPr>
              <w:t xml:space="preserve">الرابعة عشرة </w:t>
            </w:r>
            <w:r>
              <w:rPr>
                <w:rStyle w:val="IndexLink"/>
                <w:rtl w:val="true"/>
              </w:rPr>
              <w:t>[</w:t>
            </w:r>
            <w:r>
              <w:rPr>
                <w:rStyle w:val="IndexLink"/>
                <w:rtl w:val="true"/>
              </w:rPr>
              <w:t>فی المناسخات</w:t>
            </w:r>
            <w:r>
              <w:rPr>
                <w:rStyle w:val="IndexLink"/>
                <w:rtl w:val="true"/>
              </w:rPr>
              <w:t>] » :</w:t>
              <w:tab/>
            </w:r>
            <w:r>
              <w:rPr>
                <w:rStyle w:val="IndexLink"/>
              </w:rPr>
              <w:t>252</w:t>
            </w:r>
          </w:hyperlink>
        </w:p>
        <w:p>
          <w:pPr>
            <w:pStyle w:val="Contents2"/>
            <w:tabs>
              <w:tab w:val="clear" w:pos="8743"/>
              <w:tab w:val="right" w:pos="9026" w:leader="dot"/>
            </w:tabs>
            <w:rPr/>
          </w:pPr>
          <w:hyperlink w:anchor="__RefHeading___Toc2227977_2314609296">
            <w:r>
              <w:rPr>
                <w:webHidden/>
                <w:rStyle w:val="IndexLink"/>
                <w:rtl w:val="true"/>
              </w:rPr>
              <w:t>کتاب الحدود</w:t>
            </w:r>
            <w:r>
              <w:rPr>
                <w:rStyle w:val="IndexLink"/>
                <w:rtl w:val="true"/>
              </w:rPr>
              <w:tab/>
            </w:r>
            <w:r>
              <w:rPr>
                <w:rStyle w:val="IndexLink"/>
              </w:rPr>
              <w:t>255</w:t>
            </w:r>
          </w:hyperlink>
        </w:p>
        <w:p>
          <w:pPr>
            <w:pStyle w:val="Contents3"/>
            <w:tabs>
              <w:tab w:val="clear" w:pos="8459"/>
              <w:tab w:val="right" w:pos="9026" w:leader="dot"/>
            </w:tabs>
            <w:rPr/>
          </w:pPr>
          <w:hyperlink w:anchor="__RefHeading___Toc2227979_2314609296">
            <w:r>
              <w:rPr>
                <w:webHidden/>
                <w:rStyle w:val="IndexLink"/>
                <w:rtl w:val="true"/>
              </w:rPr>
              <w:t>اشارة</w:t>
            </w:r>
            <w:r>
              <w:rPr>
                <w:rStyle w:val="IndexLink"/>
                <w:rtl w:val="true"/>
              </w:rPr>
              <w:tab/>
            </w:r>
            <w:r>
              <w:rPr>
                <w:rStyle w:val="IndexLink"/>
              </w:rPr>
              <w:t>255</w:t>
            </w:r>
          </w:hyperlink>
        </w:p>
        <w:p>
          <w:pPr>
            <w:pStyle w:val="Contents3"/>
            <w:tabs>
              <w:tab w:val="clear" w:pos="8459"/>
              <w:tab w:val="right" w:pos="9026" w:leader="dot"/>
            </w:tabs>
            <w:rPr/>
          </w:pPr>
          <w:hyperlink w:anchor="__RefHeading___Toc2227981_2314609296">
            <w:r>
              <w:rPr>
                <w:webHidden/>
                <w:rStyle w:val="IndexLink"/>
                <w:rtl w:val="true"/>
              </w:rPr>
              <w:t xml:space="preserve">الفصل </w:t>
            </w:r>
            <w:r>
              <w:rPr>
                <w:rStyle w:val="IndexLink"/>
                <w:rtl w:val="true"/>
              </w:rPr>
              <w:t>«</w:t>
            </w:r>
            <w:r>
              <w:rPr>
                <w:rStyle w:val="IndexLink"/>
                <w:rtl w:val="true"/>
              </w:rPr>
              <w:t>الأوّل</w:t>
            </w:r>
            <w:r>
              <w:rPr>
                <w:rStyle w:val="IndexLink"/>
                <w:rtl w:val="true"/>
              </w:rPr>
              <w:t>» «</w:t>
            </w:r>
            <w:r>
              <w:rPr>
                <w:rStyle w:val="IndexLink"/>
                <w:rtl w:val="true"/>
              </w:rPr>
              <w:t>فی</w:t>
            </w:r>
            <w:r>
              <w:rPr>
                <w:rStyle w:val="IndexLink"/>
                <w:rtl w:val="true"/>
              </w:rPr>
              <w:t xml:space="preserve">» </w:t>
            </w:r>
            <w:r>
              <w:rPr>
                <w:rStyle w:val="IndexLink"/>
                <w:rtl w:val="true"/>
              </w:rPr>
              <w:t xml:space="preserve">حدّ </w:t>
            </w:r>
            <w:r>
              <w:rPr>
                <w:rStyle w:val="IndexLink"/>
                <w:rtl w:val="true"/>
              </w:rPr>
              <w:t>«</w:t>
            </w:r>
            <w:r>
              <w:rPr>
                <w:rStyle w:val="IndexLink"/>
                <w:rtl w:val="true"/>
              </w:rPr>
              <w:t>الزنا</w:t>
            </w:r>
            <w:r>
              <w:rPr>
                <w:rStyle w:val="IndexLink"/>
                <w:rtl w:val="true"/>
              </w:rPr>
              <w:t>»</w:t>
              <w:tab/>
            </w:r>
            <w:r>
              <w:rPr>
                <w:rStyle w:val="IndexLink"/>
              </w:rPr>
              <w:t>256</w:t>
            </w:r>
          </w:hyperlink>
        </w:p>
        <w:p>
          <w:pPr>
            <w:pStyle w:val="Contents4"/>
            <w:tabs>
              <w:tab w:val="clear" w:pos="8176"/>
              <w:tab w:val="right" w:pos="9026" w:leader="dot"/>
            </w:tabs>
            <w:rPr/>
          </w:pPr>
          <w:hyperlink w:anchor="__RefHeading___Toc2227983_2314609296">
            <w:r>
              <w:rPr>
                <w:webHidden/>
                <w:rStyle w:val="IndexLink"/>
                <w:rtl w:val="true"/>
              </w:rPr>
              <w:t>[</w:t>
            </w:r>
            <w:r>
              <w:rPr>
                <w:rStyle w:val="IndexLink"/>
                <w:rtl w:val="true"/>
              </w:rPr>
              <w:t>تعریف الزنا و قیوده</w:t>
            </w:r>
            <w:r>
              <w:rPr>
                <w:rStyle w:val="IndexLink"/>
                <w:rtl w:val="true"/>
              </w:rPr>
              <w:t>]</w:t>
              <w:tab/>
            </w:r>
            <w:r>
              <w:rPr>
                <w:rStyle w:val="IndexLink"/>
              </w:rPr>
              <w:t>256</w:t>
            </w:r>
          </w:hyperlink>
        </w:p>
        <w:p>
          <w:pPr>
            <w:pStyle w:val="Contents4"/>
            <w:tabs>
              <w:tab w:val="clear" w:pos="8176"/>
              <w:tab w:val="right" w:pos="9026" w:leader="dot"/>
            </w:tabs>
            <w:rPr/>
          </w:pPr>
          <w:hyperlink w:anchor="__RefHeading___Toc2227985_2314609296">
            <w:r>
              <w:rPr>
                <w:webHidden/>
                <w:rStyle w:val="IndexLink"/>
                <w:rtl w:val="true"/>
              </w:rPr>
              <w:t>[</w:t>
            </w:r>
            <w:r>
              <w:rPr>
                <w:rStyle w:val="IndexLink"/>
                <w:rtl w:val="true"/>
              </w:rPr>
              <w:t>حکم الاکراه علی الزنا</w:t>
            </w:r>
            <w:r>
              <w:rPr>
                <w:rStyle w:val="IndexLink"/>
                <w:rtl w:val="true"/>
              </w:rPr>
              <w:t>]</w:t>
              <w:tab/>
            </w:r>
            <w:r>
              <w:rPr>
                <w:rStyle w:val="IndexLink"/>
              </w:rPr>
              <w:t>261</w:t>
            </w:r>
          </w:hyperlink>
        </w:p>
        <w:p>
          <w:pPr>
            <w:pStyle w:val="Contents4"/>
            <w:tabs>
              <w:tab w:val="clear" w:pos="8176"/>
              <w:tab w:val="right" w:pos="9026" w:leader="dot"/>
            </w:tabs>
            <w:rPr/>
          </w:pPr>
          <w:hyperlink w:anchor="__RefHeading___Toc2227987_2314609296">
            <w:r>
              <w:rPr>
                <w:webHidden/>
                <w:rStyle w:val="IndexLink"/>
                <w:rtl w:val="true"/>
              </w:rPr>
              <w:t>[</w:t>
            </w:r>
            <w:r>
              <w:rPr>
                <w:rStyle w:val="IndexLink"/>
                <w:rtl w:val="true"/>
              </w:rPr>
              <w:t>ما یثبت به الزنا</w:t>
            </w:r>
            <w:r>
              <w:rPr>
                <w:rStyle w:val="IndexLink"/>
                <w:rtl w:val="true"/>
              </w:rPr>
              <w:t>]</w:t>
              <w:tab/>
            </w:r>
            <w:r>
              <w:rPr>
                <w:rStyle w:val="IndexLink"/>
              </w:rPr>
              <w:t>261</w:t>
            </w:r>
          </w:hyperlink>
        </w:p>
        <w:p>
          <w:pPr>
            <w:pStyle w:val="Contents5"/>
            <w:tabs>
              <w:tab w:val="clear" w:pos="7892"/>
              <w:tab w:val="right" w:pos="9026" w:leader="dot"/>
            </w:tabs>
            <w:rPr/>
          </w:pPr>
          <w:hyperlink w:anchor="__RefHeading___Toc2227989_2314609296">
            <w:r>
              <w:rPr>
                <w:webHidden/>
                <w:rStyle w:val="IndexLink"/>
                <w:rtl w:val="true"/>
              </w:rPr>
              <w:t>اشارة</w:t>
            </w:r>
            <w:r>
              <w:rPr>
                <w:rStyle w:val="IndexLink"/>
                <w:rtl w:val="true"/>
              </w:rPr>
              <w:tab/>
            </w:r>
            <w:r>
              <w:rPr>
                <w:rStyle w:val="IndexLink"/>
              </w:rPr>
              <w:t>261</w:t>
            </w:r>
          </w:hyperlink>
        </w:p>
        <w:p>
          <w:pPr>
            <w:pStyle w:val="Contents5"/>
            <w:tabs>
              <w:tab w:val="clear" w:pos="7892"/>
              <w:tab w:val="right" w:pos="9026" w:leader="dot"/>
            </w:tabs>
            <w:rPr/>
          </w:pPr>
          <w:hyperlink w:anchor="__RefHeading___Toc2227991_2314609296">
            <w:r>
              <w:rPr>
                <w:webHidden/>
                <w:rStyle w:val="IndexLink"/>
                <w:rtl w:val="true"/>
              </w:rPr>
              <w:t>[«</w:t>
            </w:r>
            <w:r>
              <w:rPr>
                <w:rStyle w:val="IndexLink"/>
                <w:rtl w:val="true"/>
              </w:rPr>
              <w:t>بالإقرار</w:t>
            </w:r>
            <w:r>
              <w:rPr>
                <w:rStyle w:val="IndexLink"/>
                <w:rtl w:val="true"/>
              </w:rPr>
              <w:t>»]</w:t>
              <w:tab/>
            </w:r>
            <w:r>
              <w:rPr>
                <w:rStyle w:val="IndexLink"/>
              </w:rPr>
              <w:t>261</w:t>
            </w:r>
          </w:hyperlink>
        </w:p>
        <w:p>
          <w:pPr>
            <w:pStyle w:val="Contents5"/>
            <w:tabs>
              <w:tab w:val="clear" w:pos="7892"/>
              <w:tab w:val="right" w:pos="9026" w:leader="dot"/>
            </w:tabs>
            <w:rPr/>
          </w:pPr>
          <w:hyperlink w:anchor="__RefHeading___Toc2227993_2314609296">
            <w:r>
              <w:rPr>
                <w:webHidden/>
                <w:rStyle w:val="IndexLink"/>
                <w:rtl w:val="true"/>
              </w:rPr>
              <w:t>[</w:t>
            </w:r>
            <w:r>
              <w:rPr>
                <w:rStyle w:val="IndexLink"/>
                <w:rtl w:val="true"/>
              </w:rPr>
              <w:t>البینة</w:t>
            </w:r>
            <w:r>
              <w:rPr>
                <w:rStyle w:val="IndexLink"/>
                <w:rtl w:val="true"/>
              </w:rPr>
              <w:t>]</w:t>
              <w:tab/>
            </w:r>
            <w:r>
              <w:rPr>
                <w:rStyle w:val="IndexLink"/>
              </w:rPr>
              <w:t>264</w:t>
            </w:r>
          </w:hyperlink>
        </w:p>
        <w:p>
          <w:pPr>
            <w:pStyle w:val="Contents5"/>
            <w:tabs>
              <w:tab w:val="clear" w:pos="7892"/>
              <w:tab w:val="right" w:pos="9026" w:leader="dot"/>
            </w:tabs>
            <w:rPr/>
          </w:pPr>
          <w:hyperlink w:anchor="__RefHeading___Toc2227995_2314609296">
            <w:r>
              <w:rPr>
                <w:webHidden/>
                <w:rStyle w:val="IndexLink"/>
                <w:rtl w:val="true"/>
              </w:rPr>
              <w:t>[</w:t>
            </w:r>
            <w:r>
              <w:rPr>
                <w:rStyle w:val="IndexLink"/>
                <w:rtl w:val="true"/>
              </w:rPr>
              <w:t xml:space="preserve">ما یسقط و ما لا یسقط به الحد </w:t>
            </w:r>
            <w:r>
              <w:rPr>
                <w:rStyle w:val="IndexLink"/>
                <w:rtl w:val="true"/>
              </w:rPr>
              <w:t>]</w:t>
              <w:tab/>
            </w:r>
            <w:r>
              <w:rPr>
                <w:rStyle w:val="IndexLink"/>
              </w:rPr>
              <w:t>267</w:t>
            </w:r>
          </w:hyperlink>
        </w:p>
        <w:p>
          <w:pPr>
            <w:pStyle w:val="Contents5"/>
            <w:tabs>
              <w:tab w:val="clear" w:pos="7892"/>
              <w:tab w:val="right" w:pos="9026" w:leader="dot"/>
            </w:tabs>
            <w:rPr/>
          </w:pPr>
          <w:hyperlink w:anchor="__RefHeading___Toc2227997_2314609296">
            <w:r>
              <w:rPr>
                <w:webHidden/>
                <w:rStyle w:val="IndexLink"/>
                <w:rtl w:val="true"/>
              </w:rPr>
              <w:t>[</w:t>
            </w:r>
            <w:r>
              <w:rPr>
                <w:rStyle w:val="IndexLink"/>
                <w:rtl w:val="true"/>
              </w:rPr>
              <w:t>اقسام حد الزنا</w:t>
            </w:r>
            <w:r>
              <w:rPr>
                <w:rStyle w:val="IndexLink"/>
                <w:rtl w:val="true"/>
              </w:rPr>
              <w:t>]</w:t>
              <w:tab/>
            </w:r>
            <w:r>
              <w:rPr>
                <w:rStyle w:val="IndexLink"/>
              </w:rPr>
              <w:t>268</w:t>
            </w:r>
          </w:hyperlink>
        </w:p>
        <w:p>
          <w:pPr>
            <w:pStyle w:val="Contents6"/>
            <w:tabs>
              <w:tab w:val="clear" w:pos="7609"/>
              <w:tab w:val="right" w:pos="9026" w:leader="dot"/>
            </w:tabs>
            <w:rPr/>
          </w:pPr>
          <w:hyperlink w:anchor="__RefHeading___Toc2227999_2314609296">
            <w:r>
              <w:rPr>
                <w:webHidden/>
                <w:rStyle w:val="IndexLink"/>
                <w:rtl w:val="true"/>
              </w:rPr>
              <w:t>اشارة</w:t>
            </w:r>
            <w:r>
              <w:rPr>
                <w:rStyle w:val="IndexLink"/>
                <w:rtl w:val="true"/>
              </w:rPr>
              <w:tab/>
            </w:r>
            <w:r>
              <w:rPr>
                <w:rStyle w:val="IndexLink"/>
              </w:rPr>
              <w:t>268</w:t>
            </w:r>
          </w:hyperlink>
        </w:p>
        <w:p>
          <w:pPr>
            <w:pStyle w:val="Contents6"/>
            <w:tabs>
              <w:tab w:val="clear" w:pos="7609"/>
              <w:tab w:val="right" w:pos="9026" w:leader="dot"/>
            </w:tabs>
            <w:rPr/>
          </w:pPr>
          <w:hyperlink w:anchor="__RefHeading___Toc2228001_2314609296">
            <w:r>
              <w:rPr>
                <w:webHidden/>
                <w:rStyle w:val="IndexLink"/>
                <w:rtl w:val="true"/>
              </w:rPr>
              <w:t>[«</w:t>
            </w:r>
            <w:r>
              <w:rPr>
                <w:rStyle w:val="IndexLink"/>
                <w:rtl w:val="true"/>
              </w:rPr>
              <w:t>أحدها</w:t>
            </w:r>
            <w:r>
              <w:rPr>
                <w:rStyle w:val="IndexLink"/>
                <w:rtl w:val="true"/>
              </w:rPr>
              <w:t xml:space="preserve">: </w:t>
            </w:r>
            <w:r>
              <w:rPr>
                <w:rStyle w:val="IndexLink"/>
                <w:rtl w:val="true"/>
              </w:rPr>
              <w:t>القتل</w:t>
            </w:r>
            <w:r>
              <w:rPr>
                <w:rStyle w:val="IndexLink"/>
                <w:rtl w:val="true"/>
              </w:rPr>
              <w:t>»]</w:t>
              <w:tab/>
            </w:r>
            <w:r>
              <w:rPr>
                <w:rStyle w:val="IndexLink"/>
              </w:rPr>
              <w:t>268</w:t>
            </w:r>
          </w:hyperlink>
        </w:p>
        <w:p>
          <w:pPr>
            <w:pStyle w:val="Contents6"/>
            <w:tabs>
              <w:tab w:val="clear" w:pos="7609"/>
              <w:tab w:val="right" w:pos="9026" w:leader="dot"/>
            </w:tabs>
            <w:rPr/>
          </w:pPr>
          <w:hyperlink w:anchor="__RefHeading___Toc2228003_2314609296">
            <w:r>
              <w:rPr>
                <w:webHidden/>
                <w:rStyle w:val="IndexLink"/>
                <w:rtl w:val="true"/>
              </w:rPr>
              <w:t>[«</w:t>
            </w:r>
            <w:r>
              <w:rPr>
                <w:rStyle w:val="IndexLink"/>
                <w:rtl w:val="true"/>
              </w:rPr>
              <w:t>وثانیها</w:t>
            </w:r>
            <w:r>
              <w:rPr>
                <w:rStyle w:val="IndexLink"/>
                <w:rtl w:val="true"/>
              </w:rPr>
              <w:t xml:space="preserve">: </w:t>
            </w:r>
            <w:r>
              <w:rPr>
                <w:rStyle w:val="IndexLink"/>
                <w:rtl w:val="true"/>
              </w:rPr>
              <w:t>الرجم</w:t>
            </w:r>
            <w:r>
              <w:rPr>
                <w:rStyle w:val="IndexLink"/>
                <w:rtl w:val="true"/>
              </w:rPr>
              <w:t>» :]</w:t>
              <w:tab/>
            </w:r>
            <w:r>
              <w:rPr>
                <w:rStyle w:val="IndexLink"/>
              </w:rPr>
              <w:t>270</w:t>
            </w:r>
          </w:hyperlink>
        </w:p>
        <w:p>
          <w:pPr>
            <w:pStyle w:val="Contents6"/>
            <w:tabs>
              <w:tab w:val="clear" w:pos="7609"/>
              <w:tab w:val="right" w:pos="9026" w:leader="dot"/>
            </w:tabs>
            <w:rPr/>
          </w:pPr>
          <w:hyperlink w:anchor="__RefHeading___Toc2228005_2314609296">
            <w:r>
              <w:rPr>
                <w:webHidden/>
                <w:rStyle w:val="IndexLink"/>
                <w:rtl w:val="true"/>
              </w:rPr>
              <w:t>[«</w:t>
            </w:r>
            <w:r>
              <w:rPr>
                <w:rStyle w:val="IndexLink"/>
                <w:rtl w:val="true"/>
              </w:rPr>
              <w:t>وثالثها</w:t>
            </w:r>
            <w:r>
              <w:rPr>
                <w:rStyle w:val="IndexLink"/>
                <w:rtl w:val="true"/>
              </w:rPr>
              <w:t xml:space="preserve">: </w:t>
            </w:r>
            <w:r>
              <w:rPr>
                <w:rStyle w:val="IndexLink"/>
                <w:rtl w:val="true"/>
              </w:rPr>
              <w:t>الجلد خاصّة</w:t>
            </w:r>
            <w:r>
              <w:rPr>
                <w:rStyle w:val="IndexLink"/>
                <w:rtl w:val="true"/>
              </w:rPr>
              <w:t>»]</w:t>
              <w:tab/>
            </w:r>
            <w:r>
              <w:rPr>
                <w:rStyle w:val="IndexLink"/>
              </w:rPr>
              <w:t>280</w:t>
            </w:r>
          </w:hyperlink>
        </w:p>
        <w:p>
          <w:pPr>
            <w:pStyle w:val="Contents6"/>
            <w:tabs>
              <w:tab w:val="clear" w:pos="7609"/>
              <w:tab w:val="right" w:pos="9026" w:leader="dot"/>
            </w:tabs>
            <w:rPr/>
          </w:pPr>
          <w:hyperlink w:anchor="__RefHeading___Toc2228007_2314609296">
            <w:r>
              <w:rPr>
                <w:webHidden/>
                <w:rStyle w:val="IndexLink"/>
                <w:rtl w:val="true"/>
              </w:rPr>
              <w:t>[«</w:t>
            </w:r>
            <w:r>
              <w:rPr>
                <w:rStyle w:val="IndexLink"/>
                <w:rtl w:val="true"/>
              </w:rPr>
              <w:t>ورابعها</w:t>
            </w:r>
            <w:r>
              <w:rPr>
                <w:rStyle w:val="IndexLink"/>
                <w:rtl w:val="true"/>
              </w:rPr>
              <w:t xml:space="preserve">: </w:t>
            </w:r>
            <w:r>
              <w:rPr>
                <w:rStyle w:val="IndexLink"/>
                <w:rtl w:val="true"/>
              </w:rPr>
              <w:t>الجلد والجزّ</w:t>
            </w:r>
            <w:r>
              <w:rPr>
                <w:rStyle w:val="IndexLink"/>
                <w:rtl w:val="true"/>
              </w:rPr>
              <w:t xml:space="preserve">» </w:t>
            </w:r>
            <w:r>
              <w:rPr>
                <w:rStyle w:val="IndexLink"/>
                <w:rtl w:val="true"/>
              </w:rPr>
              <w:t xml:space="preserve">للرأس </w:t>
            </w:r>
            <w:r>
              <w:rPr>
                <w:rStyle w:val="IndexLink"/>
                <w:rtl w:val="true"/>
              </w:rPr>
              <w:t>«</w:t>
            </w:r>
            <w:r>
              <w:rPr>
                <w:rStyle w:val="IndexLink"/>
                <w:rtl w:val="true"/>
              </w:rPr>
              <w:t>والتغریب</w:t>
            </w:r>
            <w:r>
              <w:rPr>
                <w:rStyle w:val="IndexLink"/>
                <w:rtl w:val="true"/>
              </w:rPr>
              <w:t>» :]</w:t>
              <w:tab/>
            </w:r>
            <w:r>
              <w:rPr>
                <w:rStyle w:val="IndexLink"/>
              </w:rPr>
              <w:t>283</w:t>
            </w:r>
          </w:hyperlink>
        </w:p>
        <w:p>
          <w:pPr>
            <w:pStyle w:val="Contents6"/>
            <w:tabs>
              <w:tab w:val="clear" w:pos="7609"/>
              <w:tab w:val="right" w:pos="9026" w:leader="dot"/>
            </w:tabs>
            <w:rPr/>
          </w:pPr>
          <w:hyperlink w:anchor="__RefHeading___Toc2228009_2314609296">
            <w:r>
              <w:rPr>
                <w:webHidden/>
                <w:rStyle w:val="IndexLink"/>
                <w:rtl w:val="true"/>
              </w:rPr>
              <w:t>[«</w:t>
            </w:r>
            <w:r>
              <w:rPr>
                <w:rStyle w:val="IndexLink"/>
                <w:rtl w:val="true"/>
              </w:rPr>
              <w:t>وخامسها</w:t>
            </w:r>
            <w:r>
              <w:rPr>
                <w:rStyle w:val="IndexLink"/>
                <w:rtl w:val="true"/>
              </w:rPr>
              <w:t xml:space="preserve">: </w:t>
            </w:r>
            <w:r>
              <w:rPr>
                <w:rStyle w:val="IndexLink"/>
                <w:rtl w:val="true"/>
              </w:rPr>
              <w:t>خمسون جلدة</w:t>
            </w:r>
            <w:r>
              <w:rPr>
                <w:rStyle w:val="IndexLink"/>
                <w:rtl w:val="true"/>
              </w:rPr>
              <w:t>» :]</w:t>
              <w:tab/>
            </w:r>
            <w:r>
              <w:rPr>
                <w:rStyle w:val="IndexLink"/>
              </w:rPr>
              <w:t>285</w:t>
            </w:r>
          </w:hyperlink>
        </w:p>
        <w:p>
          <w:pPr>
            <w:pStyle w:val="Contents6"/>
            <w:tabs>
              <w:tab w:val="clear" w:pos="7609"/>
              <w:tab w:val="right" w:pos="9026" w:leader="dot"/>
            </w:tabs>
            <w:rPr/>
          </w:pPr>
          <w:hyperlink w:anchor="__RefHeading___Toc2228011_2314609296">
            <w:r>
              <w:rPr>
                <w:webHidden/>
                <w:rStyle w:val="IndexLink"/>
                <w:rtl w:val="true"/>
              </w:rPr>
              <w:t>[«</w:t>
            </w:r>
            <w:r>
              <w:rPr>
                <w:rStyle w:val="IndexLink"/>
                <w:rtl w:val="true"/>
              </w:rPr>
              <w:t>وسادسها</w:t>
            </w:r>
            <w:r>
              <w:rPr>
                <w:rStyle w:val="IndexLink"/>
                <w:rtl w:val="true"/>
              </w:rPr>
              <w:t xml:space="preserve">: </w:t>
            </w:r>
            <w:r>
              <w:rPr>
                <w:rStyle w:val="IndexLink"/>
                <w:rtl w:val="true"/>
              </w:rPr>
              <w:t>الحدّ المبعَّض</w:t>
            </w:r>
            <w:r>
              <w:rPr>
                <w:rStyle w:val="IndexLink"/>
                <w:rtl w:val="true"/>
              </w:rPr>
              <w:t>» :]</w:t>
              <w:tab/>
            </w:r>
            <w:r>
              <w:rPr>
                <w:rStyle w:val="IndexLink"/>
              </w:rPr>
              <w:t>285</w:t>
            </w:r>
          </w:hyperlink>
        </w:p>
        <w:p>
          <w:pPr>
            <w:pStyle w:val="Contents6"/>
            <w:tabs>
              <w:tab w:val="clear" w:pos="7609"/>
              <w:tab w:val="right" w:pos="9026" w:leader="dot"/>
            </w:tabs>
            <w:rPr/>
          </w:pPr>
          <w:hyperlink w:anchor="__RefHeading___Toc2228013_2314609296">
            <w:r>
              <w:rPr>
                <w:webHidden/>
                <w:rStyle w:val="IndexLink"/>
                <w:rtl w:val="true"/>
              </w:rPr>
              <w:t>[«</w:t>
            </w:r>
            <w:r>
              <w:rPr>
                <w:rStyle w:val="IndexLink"/>
                <w:rtl w:val="true"/>
              </w:rPr>
              <w:t>وسابعها</w:t>
            </w:r>
            <w:r>
              <w:rPr>
                <w:rStyle w:val="IndexLink"/>
                <w:rtl w:val="true"/>
              </w:rPr>
              <w:t xml:space="preserve">: </w:t>
            </w:r>
            <w:r>
              <w:rPr>
                <w:rStyle w:val="IndexLink"/>
                <w:rtl w:val="true"/>
              </w:rPr>
              <w:t>الضِغث</w:t>
            </w:r>
            <w:r>
              <w:rPr>
                <w:rStyle w:val="IndexLink"/>
                <w:rtl w:val="true"/>
              </w:rPr>
              <w:t>» :]</w:t>
              <w:tab/>
            </w:r>
            <w:r>
              <w:rPr>
                <w:rStyle w:val="IndexLink"/>
              </w:rPr>
              <w:t>286</w:t>
            </w:r>
          </w:hyperlink>
        </w:p>
        <w:p>
          <w:pPr>
            <w:pStyle w:val="Contents6"/>
            <w:tabs>
              <w:tab w:val="clear" w:pos="7609"/>
              <w:tab w:val="right" w:pos="9026" w:leader="dot"/>
            </w:tabs>
            <w:rPr/>
          </w:pPr>
          <w:hyperlink w:anchor="__RefHeading___Toc2228015_2314609296">
            <w:r>
              <w:rPr>
                <w:webHidden/>
                <w:rStyle w:val="IndexLink"/>
                <w:rtl w:val="true"/>
              </w:rPr>
              <w:t>[«</w:t>
            </w:r>
            <w:r>
              <w:rPr>
                <w:rStyle w:val="IndexLink"/>
                <w:rtl w:val="true"/>
              </w:rPr>
              <w:t>وثامنها</w:t>
            </w:r>
            <w:r>
              <w:rPr>
                <w:rStyle w:val="IndexLink"/>
                <w:rtl w:val="true"/>
              </w:rPr>
              <w:t xml:space="preserve">: </w:t>
            </w:r>
            <w:r>
              <w:rPr>
                <w:rStyle w:val="IndexLink"/>
                <w:rtl w:val="true"/>
              </w:rPr>
              <w:t>الجلد</w:t>
            </w:r>
            <w:r>
              <w:rPr>
                <w:rStyle w:val="IndexLink"/>
                <w:rtl w:val="true"/>
              </w:rPr>
              <w:t xml:space="preserve">» </w:t>
            </w:r>
            <w:r>
              <w:rPr>
                <w:rStyle w:val="IndexLink"/>
                <w:rtl w:val="true"/>
              </w:rPr>
              <w:t xml:space="preserve">المقدَّر </w:t>
            </w:r>
            <w:r>
              <w:rPr>
                <w:rStyle w:val="IndexLink"/>
                <w:rtl w:val="true"/>
              </w:rPr>
              <w:t>«</w:t>
            </w:r>
            <w:r>
              <w:rPr>
                <w:rStyle w:val="IndexLink"/>
                <w:rtl w:val="true"/>
              </w:rPr>
              <w:t>و</w:t>
            </w:r>
            <w:r>
              <w:rPr>
                <w:rStyle w:val="IndexLink"/>
                <w:rtl w:val="true"/>
              </w:rPr>
              <w:t xml:space="preserve">» </w:t>
            </w:r>
            <w:r>
              <w:rPr>
                <w:rStyle w:val="IndexLink"/>
                <w:rtl w:val="true"/>
              </w:rPr>
              <w:t xml:space="preserve">معه </w:t>
            </w:r>
            <w:r>
              <w:rPr>
                <w:rStyle w:val="IndexLink"/>
                <w:rtl w:val="true"/>
              </w:rPr>
              <w:t>«</w:t>
            </w:r>
            <w:r>
              <w:rPr>
                <w:rStyle w:val="IndexLink"/>
                <w:rtl w:val="true"/>
              </w:rPr>
              <w:t>عقوبة زائدة</w:t>
            </w:r>
            <w:r>
              <w:rPr>
                <w:rStyle w:val="IndexLink"/>
                <w:rtl w:val="true"/>
              </w:rPr>
              <w:t>» :]</w:t>
              <w:tab/>
            </w:r>
            <w:r>
              <w:rPr>
                <w:rStyle w:val="IndexLink"/>
              </w:rPr>
              <w:t>287</w:t>
            </w:r>
          </w:hyperlink>
        </w:p>
        <w:p>
          <w:pPr>
            <w:pStyle w:val="Contents6"/>
            <w:tabs>
              <w:tab w:val="clear" w:pos="7609"/>
              <w:tab w:val="right" w:pos="9026" w:leader="dot"/>
            </w:tabs>
            <w:rPr/>
          </w:pPr>
          <w:hyperlink w:anchor="__RefHeading___Toc2228017_2314609296">
            <w:r>
              <w:rPr>
                <w:webHidden/>
                <w:rStyle w:val="IndexLink"/>
                <w:rtl w:val="true"/>
              </w:rPr>
              <w:t>[«</w:t>
            </w:r>
            <w:r>
              <w:rPr>
                <w:rStyle w:val="IndexLink"/>
                <w:rtl w:val="true"/>
              </w:rPr>
              <w:t>تتمّة</w:t>
            </w:r>
            <w:r>
              <w:rPr>
                <w:rStyle w:val="IndexLink"/>
                <w:rtl w:val="true"/>
              </w:rPr>
              <w:t>» :]</w:t>
              <w:tab/>
            </w:r>
            <w:r>
              <w:rPr>
                <w:rStyle w:val="IndexLink"/>
              </w:rPr>
              <w:t>287</w:t>
            </w:r>
          </w:hyperlink>
        </w:p>
        <w:p>
          <w:pPr>
            <w:pStyle w:val="Contents3"/>
            <w:tabs>
              <w:tab w:val="clear" w:pos="8459"/>
              <w:tab w:val="right" w:pos="9026" w:leader="dot"/>
            </w:tabs>
            <w:rPr/>
          </w:pPr>
          <w:hyperlink w:anchor="__RefHeading___Toc2228019_2314609296">
            <w:r>
              <w:rPr>
                <w:webHidden/>
                <w:rStyle w:val="IndexLink"/>
                <w:rtl w:val="true"/>
              </w:rPr>
              <w:t>«</w:t>
            </w:r>
            <w:r>
              <w:rPr>
                <w:rStyle w:val="IndexLink"/>
                <w:rtl w:val="true"/>
              </w:rPr>
              <w:t>الفصل الثانی</w:t>
            </w:r>
            <w:r>
              <w:rPr>
                <w:rStyle w:val="IndexLink"/>
                <w:rtl w:val="true"/>
              </w:rPr>
              <w:t>» «</w:t>
            </w:r>
            <w:r>
              <w:rPr>
                <w:rStyle w:val="IndexLink"/>
                <w:rtl w:val="true"/>
              </w:rPr>
              <w:t>فی اللواط</w:t>
            </w:r>
            <w:r>
              <w:rPr>
                <w:rStyle w:val="IndexLink"/>
                <w:rtl w:val="true"/>
              </w:rPr>
              <w:t>»</w:t>
              <w:tab/>
            </w:r>
            <w:r>
              <w:rPr>
                <w:rStyle w:val="IndexLink"/>
              </w:rPr>
              <w:t>296</w:t>
            </w:r>
          </w:hyperlink>
        </w:p>
        <w:p>
          <w:pPr>
            <w:pStyle w:val="Contents4"/>
            <w:tabs>
              <w:tab w:val="clear" w:pos="8176"/>
              <w:tab w:val="right" w:pos="9026" w:leader="dot"/>
            </w:tabs>
            <w:rPr/>
          </w:pPr>
          <w:hyperlink w:anchor="__RefHeading___Toc2228021_2314609296">
            <w:r>
              <w:rPr>
                <w:webHidden/>
                <w:rStyle w:val="IndexLink"/>
                <w:rtl w:val="true"/>
              </w:rPr>
              <w:t>اشارة</w:t>
            </w:r>
            <w:r>
              <w:rPr>
                <w:rStyle w:val="IndexLink"/>
                <w:rtl w:val="true"/>
              </w:rPr>
              <w:tab/>
            </w:r>
            <w:r>
              <w:rPr>
                <w:rStyle w:val="IndexLink"/>
              </w:rPr>
              <w:t>296</w:t>
            </w:r>
          </w:hyperlink>
        </w:p>
        <w:p>
          <w:pPr>
            <w:pStyle w:val="Contents4"/>
            <w:tabs>
              <w:tab w:val="clear" w:pos="8176"/>
              <w:tab w:val="right" w:pos="9026" w:leader="dot"/>
            </w:tabs>
            <w:rPr/>
          </w:pPr>
          <w:hyperlink w:anchor="__RefHeading___Toc2228023_2314609296">
            <w:r>
              <w:rPr>
                <w:webHidden/>
                <w:rStyle w:val="IndexLink"/>
                <w:rtl w:val="true"/>
              </w:rPr>
              <w:t>[</w:t>
            </w:r>
            <w:r>
              <w:rPr>
                <w:rStyle w:val="IndexLink"/>
                <w:rtl w:val="true"/>
              </w:rPr>
              <w:t>اللواط</w:t>
            </w:r>
            <w:r>
              <w:rPr>
                <w:rStyle w:val="IndexLink"/>
                <w:rtl w:val="true"/>
              </w:rPr>
              <w:t>]</w:t>
              <w:tab/>
            </w:r>
            <w:r>
              <w:rPr>
                <w:rStyle w:val="IndexLink"/>
              </w:rPr>
              <w:t>298</w:t>
            </w:r>
          </w:hyperlink>
        </w:p>
        <w:p>
          <w:pPr>
            <w:pStyle w:val="Contents5"/>
            <w:tabs>
              <w:tab w:val="clear" w:pos="7892"/>
              <w:tab w:val="right" w:pos="9026" w:leader="dot"/>
            </w:tabs>
            <w:rPr/>
          </w:pPr>
          <w:hyperlink w:anchor="__RefHeading___Toc2228025_2314609296">
            <w:r>
              <w:rPr>
                <w:webHidden/>
                <w:rStyle w:val="IndexLink"/>
                <w:rtl w:val="true"/>
              </w:rPr>
              <w:t>اشارة</w:t>
            </w:r>
            <w:r>
              <w:rPr>
                <w:rStyle w:val="IndexLink"/>
                <w:rtl w:val="true"/>
              </w:rPr>
              <w:tab/>
            </w:r>
            <w:r>
              <w:rPr>
                <w:rStyle w:val="IndexLink"/>
              </w:rPr>
              <w:t>298</w:t>
            </w:r>
          </w:hyperlink>
        </w:p>
        <w:p>
          <w:pPr>
            <w:pStyle w:val="Contents5"/>
            <w:tabs>
              <w:tab w:val="clear" w:pos="7892"/>
              <w:tab w:val="right" w:pos="9026" w:leader="dot"/>
            </w:tabs>
            <w:rPr/>
          </w:pPr>
          <w:hyperlink w:anchor="__RefHeading___Toc2228027_2314609296">
            <w:r>
              <w:rPr>
                <w:webHidden/>
                <w:rStyle w:val="IndexLink"/>
                <w:rtl w:val="true"/>
              </w:rPr>
              <w:t>[</w:t>
            </w:r>
            <w:r>
              <w:rPr>
                <w:rStyle w:val="IndexLink"/>
                <w:rtl w:val="true"/>
              </w:rPr>
              <w:t>حکم التفخیذ</w:t>
            </w:r>
            <w:r>
              <w:rPr>
                <w:rStyle w:val="IndexLink"/>
                <w:rtl w:val="true"/>
              </w:rPr>
              <w:t>]</w:t>
              <w:tab/>
            </w:r>
            <w:r>
              <w:rPr>
                <w:rStyle w:val="IndexLink"/>
              </w:rPr>
              <w:t>298</w:t>
            </w:r>
          </w:hyperlink>
        </w:p>
        <w:p>
          <w:pPr>
            <w:pStyle w:val="Contents5"/>
            <w:tabs>
              <w:tab w:val="clear" w:pos="7892"/>
              <w:tab w:val="right" w:pos="9026" w:leader="dot"/>
            </w:tabs>
            <w:rPr/>
          </w:pPr>
          <w:hyperlink w:anchor="__RefHeading___Toc2228029_2314609296">
            <w:r>
              <w:rPr>
                <w:webHidden/>
                <w:rStyle w:val="IndexLink"/>
                <w:rtl w:val="true"/>
              </w:rPr>
              <w:t>[</w:t>
            </w:r>
            <w:r>
              <w:rPr>
                <w:rStyle w:val="IndexLink"/>
                <w:rtl w:val="true"/>
              </w:rPr>
              <w:t>حکم من قبل غلاما بشهوة</w:t>
            </w:r>
            <w:r>
              <w:rPr>
                <w:rStyle w:val="IndexLink"/>
                <w:rtl w:val="true"/>
              </w:rPr>
              <w:t>]</w:t>
              <w:tab/>
            </w:r>
            <w:r>
              <w:rPr>
                <w:rStyle w:val="IndexLink"/>
              </w:rPr>
              <w:t>300</w:t>
            </w:r>
          </w:hyperlink>
        </w:p>
        <w:p>
          <w:pPr>
            <w:pStyle w:val="Contents5"/>
            <w:tabs>
              <w:tab w:val="clear" w:pos="7892"/>
              <w:tab w:val="right" w:pos="9026" w:leader="dot"/>
            </w:tabs>
            <w:rPr/>
          </w:pPr>
          <w:hyperlink w:anchor="__RefHeading___Toc2228031_2314609296">
            <w:r>
              <w:rPr>
                <w:webHidden/>
                <w:rStyle w:val="IndexLink"/>
                <w:rtl w:val="true"/>
              </w:rPr>
              <w:t>[</w:t>
            </w:r>
            <w:r>
              <w:rPr>
                <w:rStyle w:val="IndexLink"/>
                <w:rtl w:val="true"/>
              </w:rPr>
              <w:t xml:space="preserve">حکم المجتمعین تحت ازار واحد </w:t>
            </w:r>
            <w:r>
              <w:rPr>
                <w:rStyle w:val="IndexLink"/>
                <w:rtl w:val="true"/>
              </w:rPr>
              <w:t>]</w:t>
              <w:tab/>
            </w:r>
            <w:r>
              <w:rPr>
                <w:rStyle w:val="IndexLink"/>
              </w:rPr>
              <w:t>301</w:t>
            </w:r>
          </w:hyperlink>
        </w:p>
        <w:p>
          <w:pPr>
            <w:pStyle w:val="Contents4"/>
            <w:tabs>
              <w:tab w:val="clear" w:pos="8176"/>
              <w:tab w:val="right" w:pos="9026" w:leader="dot"/>
            </w:tabs>
            <w:rPr/>
          </w:pPr>
          <w:hyperlink w:anchor="__RefHeading___Toc2228033_2314609296">
            <w:r>
              <w:rPr>
                <w:webHidden/>
                <w:rStyle w:val="IndexLink"/>
                <w:rtl w:val="true"/>
              </w:rPr>
              <w:t>[«</w:t>
            </w:r>
            <w:r>
              <w:rPr>
                <w:rStyle w:val="IndexLink"/>
                <w:rtl w:val="true"/>
              </w:rPr>
              <w:t>والسحق</w:t>
            </w:r>
            <w:r>
              <w:rPr>
                <w:rStyle w:val="IndexLink"/>
                <w:rtl w:val="true"/>
              </w:rPr>
              <w:t>» :]</w:t>
              <w:tab/>
            </w:r>
            <w:r>
              <w:rPr>
                <w:rStyle w:val="IndexLink"/>
              </w:rPr>
              <w:t>302</w:t>
            </w:r>
          </w:hyperlink>
        </w:p>
        <w:p>
          <w:pPr>
            <w:pStyle w:val="Contents4"/>
            <w:tabs>
              <w:tab w:val="clear" w:pos="8176"/>
              <w:tab w:val="right" w:pos="9026" w:leader="dot"/>
            </w:tabs>
            <w:rPr/>
          </w:pPr>
          <w:hyperlink w:anchor="__RefHeading___Toc2228035_2314609296">
            <w:r>
              <w:rPr>
                <w:webHidden/>
                <w:rStyle w:val="IndexLink"/>
                <w:rtl w:val="true"/>
              </w:rPr>
              <w:t>[«</w:t>
            </w:r>
            <w:r>
              <w:rPr>
                <w:rStyle w:val="IndexLink"/>
                <w:rtl w:val="true"/>
              </w:rPr>
              <w:t>والقیادة</w:t>
            </w:r>
            <w:r>
              <w:rPr>
                <w:rStyle w:val="IndexLink"/>
                <w:rtl w:val="true"/>
              </w:rPr>
              <w:t>» :]</w:t>
              <w:tab/>
            </w:r>
            <w:r>
              <w:rPr>
                <w:rStyle w:val="IndexLink"/>
              </w:rPr>
              <w:t>304</w:t>
            </w:r>
          </w:hyperlink>
        </w:p>
        <w:p>
          <w:pPr>
            <w:pStyle w:val="Contents3"/>
            <w:tabs>
              <w:tab w:val="clear" w:pos="8459"/>
              <w:tab w:val="right" w:pos="9026" w:leader="dot"/>
            </w:tabs>
            <w:rPr/>
          </w:pPr>
          <w:hyperlink w:anchor="__RefHeading___Toc2228037_2314609296">
            <w:r>
              <w:rPr>
                <w:webHidden/>
                <w:rStyle w:val="IndexLink"/>
                <w:rtl w:val="true"/>
              </w:rPr>
              <w:t>«</w:t>
            </w:r>
            <w:r>
              <w:rPr>
                <w:rStyle w:val="IndexLink"/>
                <w:rtl w:val="true"/>
              </w:rPr>
              <w:t>الفصل الثالث</w:t>
            </w:r>
            <w:r>
              <w:rPr>
                <w:rStyle w:val="IndexLink"/>
                <w:rtl w:val="true"/>
              </w:rPr>
              <w:t>» «</w:t>
            </w:r>
            <w:r>
              <w:rPr>
                <w:rStyle w:val="IndexLink"/>
                <w:rtl w:val="true"/>
              </w:rPr>
              <w:t>فی القذف</w:t>
            </w:r>
            <w:r>
              <w:rPr>
                <w:rStyle w:val="IndexLink"/>
                <w:rtl w:val="true"/>
              </w:rPr>
              <w:t>»</w:t>
              <w:tab/>
            </w:r>
            <w:r>
              <w:rPr>
                <w:rStyle w:val="IndexLink"/>
              </w:rPr>
              <w:t>306</w:t>
            </w:r>
          </w:hyperlink>
        </w:p>
        <w:p>
          <w:pPr>
            <w:pStyle w:val="Contents4"/>
            <w:tabs>
              <w:tab w:val="clear" w:pos="8176"/>
              <w:tab w:val="right" w:pos="9026" w:leader="dot"/>
            </w:tabs>
            <w:rPr/>
          </w:pPr>
          <w:hyperlink w:anchor="__RefHeading___Toc2228039_2314609296">
            <w:r>
              <w:rPr>
                <w:webHidden/>
                <w:rStyle w:val="IndexLink"/>
                <w:rtl w:val="true"/>
              </w:rPr>
              <w:t>[</w:t>
            </w:r>
            <w:r>
              <w:rPr>
                <w:rStyle w:val="IndexLink"/>
                <w:rtl w:val="true"/>
              </w:rPr>
              <w:t>الفاظ الدالة علی القذف</w:t>
            </w:r>
            <w:r>
              <w:rPr>
                <w:rStyle w:val="IndexLink"/>
                <w:rtl w:val="true"/>
              </w:rPr>
              <w:t>]</w:t>
              <w:tab/>
            </w:r>
            <w:r>
              <w:rPr>
                <w:rStyle w:val="IndexLink"/>
              </w:rPr>
              <w:t>306</w:t>
            </w:r>
          </w:hyperlink>
        </w:p>
        <w:p>
          <w:pPr>
            <w:pStyle w:val="Contents4"/>
            <w:tabs>
              <w:tab w:val="clear" w:pos="8176"/>
              <w:tab w:val="right" w:pos="9026" w:leader="dot"/>
            </w:tabs>
            <w:rPr/>
          </w:pPr>
          <w:hyperlink w:anchor="__RefHeading___Toc2228041_2314609296">
            <w:r>
              <w:rPr>
                <w:webHidden/>
                <w:rStyle w:val="IndexLink"/>
                <w:rtl w:val="true"/>
              </w:rPr>
              <w:t>[</w:t>
            </w:r>
            <w:r>
              <w:rPr>
                <w:rStyle w:val="IndexLink"/>
                <w:rtl w:val="true"/>
              </w:rPr>
              <w:t xml:space="preserve">شروط القاذف </w:t>
            </w:r>
            <w:r>
              <w:rPr>
                <w:rStyle w:val="IndexLink"/>
                <w:rtl w:val="true"/>
              </w:rPr>
              <w:t>]</w:t>
              <w:tab/>
            </w:r>
            <w:r>
              <w:rPr>
                <w:rStyle w:val="IndexLink"/>
              </w:rPr>
              <w:t>311</w:t>
            </w:r>
          </w:hyperlink>
        </w:p>
        <w:p>
          <w:pPr>
            <w:pStyle w:val="Contents4"/>
            <w:tabs>
              <w:tab w:val="clear" w:pos="8176"/>
              <w:tab w:val="right" w:pos="9026" w:leader="dot"/>
            </w:tabs>
            <w:rPr/>
          </w:pPr>
          <w:hyperlink w:anchor="__RefHeading___Toc2228043_2314609296">
            <w:r>
              <w:rPr>
                <w:webHidden/>
                <w:rStyle w:val="IndexLink"/>
                <w:rtl w:val="true"/>
              </w:rPr>
              <w:t>[</w:t>
            </w:r>
            <w:r>
              <w:rPr>
                <w:rStyle w:val="IndexLink"/>
                <w:rtl w:val="true"/>
              </w:rPr>
              <w:t>شروط المقذف</w:t>
            </w:r>
            <w:r>
              <w:rPr>
                <w:rStyle w:val="IndexLink"/>
                <w:rtl w:val="true"/>
              </w:rPr>
              <w:t>]</w:t>
              <w:tab/>
            </w:r>
            <w:r>
              <w:rPr>
                <w:rStyle w:val="IndexLink"/>
              </w:rPr>
              <w:t>312</w:t>
            </w:r>
          </w:hyperlink>
        </w:p>
        <w:p>
          <w:pPr>
            <w:pStyle w:val="Contents4"/>
            <w:tabs>
              <w:tab w:val="clear" w:pos="8176"/>
              <w:tab w:val="right" w:pos="9026" w:leader="dot"/>
            </w:tabs>
            <w:rPr/>
          </w:pPr>
          <w:hyperlink w:anchor="__RefHeading___Toc2228045_2314609296">
            <w:r>
              <w:rPr>
                <w:webHidden/>
                <w:rStyle w:val="IndexLink"/>
                <w:rtl w:val="true"/>
              </w:rPr>
              <w:t>[</w:t>
            </w:r>
            <w:r>
              <w:rPr>
                <w:rStyle w:val="IndexLink"/>
                <w:rtl w:val="true"/>
              </w:rPr>
              <w:t>مسائل فی حد القذف</w:t>
            </w:r>
            <w:r>
              <w:rPr>
                <w:rStyle w:val="IndexLink"/>
                <w:rtl w:val="true"/>
              </w:rPr>
              <w:t>]</w:t>
              <w:tab/>
            </w:r>
            <w:r>
              <w:rPr>
                <w:rStyle w:val="IndexLink"/>
              </w:rPr>
              <w:t>317</w:t>
            </w:r>
          </w:hyperlink>
        </w:p>
        <w:p>
          <w:pPr>
            <w:pStyle w:val="Contents4"/>
            <w:tabs>
              <w:tab w:val="clear" w:pos="8176"/>
              <w:tab w:val="right" w:pos="9026" w:leader="dot"/>
            </w:tabs>
            <w:rPr/>
          </w:pPr>
          <w:hyperlink w:anchor="__RefHeading___Toc2228047_2314609296">
            <w:r>
              <w:rPr>
                <w:webHidden/>
                <w:rStyle w:val="IndexLink"/>
                <w:rtl w:val="true"/>
              </w:rPr>
              <w:t xml:space="preserve">و </w:t>
            </w:r>
            <w:r>
              <w:rPr>
                <w:rStyle w:val="IndexLink"/>
                <w:rtl w:val="true"/>
              </w:rPr>
              <w:t>« [</w:t>
            </w:r>
            <w:r>
              <w:rPr>
                <w:rStyle w:val="IndexLink"/>
                <w:rtl w:val="true"/>
              </w:rPr>
              <w:t>حکم</w:t>
            </w:r>
            <w:r>
              <w:rPr>
                <w:rStyle w:val="IndexLink"/>
                <w:rtl w:val="true"/>
              </w:rPr>
              <w:t xml:space="preserve">] </w:t>
            </w:r>
            <w:r>
              <w:rPr>
                <w:rStyle w:val="IndexLink"/>
                <w:rtl w:val="true"/>
              </w:rPr>
              <w:t>سابّ النبیّ صلی الله علیه و آله أو أحد الأئمّة علیهم السلام یقتل</w:t>
            </w:r>
            <w:r>
              <w:rPr>
                <w:rStyle w:val="IndexLink"/>
                <w:rtl w:val="true"/>
              </w:rPr>
              <w:t>»</w:t>
              <w:tab/>
            </w:r>
            <w:r>
              <w:rPr>
                <w:rStyle w:val="IndexLink"/>
              </w:rPr>
              <w:t>320</w:t>
            </w:r>
          </w:hyperlink>
        </w:p>
        <w:p>
          <w:pPr>
            <w:pStyle w:val="Contents3"/>
            <w:tabs>
              <w:tab w:val="clear" w:pos="8459"/>
              <w:tab w:val="right" w:pos="9026" w:leader="dot"/>
            </w:tabs>
            <w:rPr/>
          </w:pPr>
          <w:hyperlink w:anchor="__RefHeading___Toc2228049_2314609296">
            <w:r>
              <w:rPr>
                <w:webHidden/>
                <w:rStyle w:val="IndexLink"/>
                <w:rtl w:val="true"/>
              </w:rPr>
              <w:t>«</w:t>
            </w:r>
            <w:r>
              <w:rPr>
                <w:rStyle w:val="IndexLink"/>
                <w:rtl w:val="true"/>
              </w:rPr>
              <w:t>الفصل الرابع</w:t>
            </w:r>
            <w:r>
              <w:rPr>
                <w:rStyle w:val="IndexLink"/>
                <w:rtl w:val="true"/>
              </w:rPr>
              <w:t>» «</w:t>
            </w:r>
            <w:r>
              <w:rPr>
                <w:rStyle w:val="IndexLink"/>
                <w:rtl w:val="true"/>
              </w:rPr>
              <w:t>فی الشُرب</w:t>
            </w:r>
            <w:r>
              <w:rPr>
                <w:rStyle w:val="IndexLink"/>
                <w:rtl w:val="true"/>
              </w:rPr>
              <w:t>»</w:t>
              <w:tab/>
            </w:r>
            <w:r>
              <w:rPr>
                <w:rStyle w:val="IndexLink"/>
              </w:rPr>
              <w:t>324</w:t>
            </w:r>
          </w:hyperlink>
        </w:p>
        <w:p>
          <w:pPr>
            <w:pStyle w:val="Contents4"/>
            <w:tabs>
              <w:tab w:val="clear" w:pos="8176"/>
              <w:tab w:val="right" w:pos="9026" w:leader="dot"/>
            </w:tabs>
            <w:rPr/>
          </w:pPr>
          <w:hyperlink w:anchor="__RefHeading___Toc2228051_2314609296">
            <w:r>
              <w:rPr>
                <w:webHidden/>
                <w:rStyle w:val="IndexLink"/>
                <w:rtl w:val="true"/>
              </w:rPr>
              <w:t>اشارة</w:t>
            </w:r>
            <w:r>
              <w:rPr>
                <w:rStyle w:val="IndexLink"/>
                <w:rtl w:val="true"/>
              </w:rPr>
              <w:tab/>
            </w:r>
            <w:r>
              <w:rPr>
                <w:rStyle w:val="IndexLink"/>
              </w:rPr>
              <w:t>324</w:t>
            </w:r>
          </w:hyperlink>
        </w:p>
        <w:p>
          <w:pPr>
            <w:pStyle w:val="Contents4"/>
            <w:tabs>
              <w:tab w:val="clear" w:pos="8176"/>
              <w:tab w:val="right" w:pos="9026" w:leader="dot"/>
            </w:tabs>
            <w:rPr/>
          </w:pPr>
          <w:hyperlink w:anchor="__RefHeading___Toc2228053_2314609296">
            <w:r>
              <w:rPr>
                <w:webHidden/>
                <w:rStyle w:val="IndexLink"/>
                <w:rtl w:val="true"/>
              </w:rPr>
              <w:t>[</w:t>
            </w:r>
            <w:r>
              <w:rPr>
                <w:rStyle w:val="IndexLink"/>
                <w:rtl w:val="true"/>
              </w:rPr>
              <w:t>ما یحرم شربه من المسکرات</w:t>
            </w:r>
            <w:r>
              <w:rPr>
                <w:rStyle w:val="IndexLink"/>
                <w:rtl w:val="true"/>
              </w:rPr>
              <w:t>]</w:t>
              <w:tab/>
            </w:r>
            <w:r>
              <w:rPr>
                <w:rStyle w:val="IndexLink"/>
              </w:rPr>
              <w:t>324</w:t>
            </w:r>
          </w:hyperlink>
        </w:p>
        <w:p>
          <w:pPr>
            <w:pStyle w:val="Contents4"/>
            <w:tabs>
              <w:tab w:val="clear" w:pos="8176"/>
              <w:tab w:val="right" w:pos="9026" w:leader="dot"/>
            </w:tabs>
            <w:rPr/>
          </w:pPr>
          <w:hyperlink w:anchor="__RefHeading___Toc2228055_2314609296">
            <w:r>
              <w:rPr>
                <w:webHidden/>
                <w:rStyle w:val="IndexLink"/>
                <w:rtl w:val="true"/>
              </w:rPr>
              <w:t>[</w:t>
            </w:r>
            <w:r>
              <w:rPr>
                <w:rStyle w:val="IndexLink"/>
                <w:rtl w:val="true"/>
              </w:rPr>
              <w:t>حد الشرب و احکامه</w:t>
            </w:r>
            <w:r>
              <w:rPr>
                <w:rStyle w:val="IndexLink"/>
                <w:rtl w:val="true"/>
              </w:rPr>
              <w:t>]</w:t>
              <w:tab/>
            </w:r>
            <w:r>
              <w:rPr>
                <w:rStyle w:val="IndexLink"/>
              </w:rPr>
              <w:t>327</w:t>
            </w:r>
          </w:hyperlink>
        </w:p>
        <w:p>
          <w:pPr>
            <w:pStyle w:val="Contents4"/>
            <w:tabs>
              <w:tab w:val="clear" w:pos="8176"/>
              <w:tab w:val="right" w:pos="9026" w:leader="dot"/>
            </w:tabs>
            <w:rPr/>
          </w:pPr>
          <w:hyperlink w:anchor="__RefHeading___Toc2228057_2314609296">
            <w:r>
              <w:rPr>
                <w:webHidden/>
                <w:rStyle w:val="IndexLink"/>
                <w:rtl w:val="true"/>
              </w:rPr>
              <w:t>[</w:t>
            </w:r>
            <w:r>
              <w:rPr>
                <w:rStyle w:val="IndexLink"/>
                <w:rtl w:val="true"/>
              </w:rPr>
              <w:t>حکم من استحل شیئا من المحرمات</w:t>
            </w:r>
            <w:r>
              <w:rPr>
                <w:rStyle w:val="IndexLink"/>
                <w:rtl w:val="true"/>
              </w:rPr>
              <w:t>]</w:t>
              <w:tab/>
            </w:r>
            <w:r>
              <w:rPr>
                <w:rStyle w:val="IndexLink"/>
              </w:rPr>
              <w:t>332</w:t>
            </w:r>
          </w:hyperlink>
        </w:p>
        <w:p>
          <w:pPr>
            <w:pStyle w:val="Contents4"/>
            <w:tabs>
              <w:tab w:val="clear" w:pos="8176"/>
              <w:tab w:val="right" w:pos="9026" w:leader="dot"/>
            </w:tabs>
            <w:rPr/>
          </w:pPr>
          <w:hyperlink w:anchor="__RefHeading___Toc2228059_2314609296">
            <w:r>
              <w:rPr>
                <w:webHidden/>
                <w:rStyle w:val="IndexLink"/>
                <w:rtl w:val="true"/>
              </w:rPr>
              <w:t>[«</w:t>
            </w:r>
            <w:r>
              <w:rPr>
                <w:rStyle w:val="IndexLink"/>
                <w:rtl w:val="true"/>
              </w:rPr>
              <w:t>ولو أنفذ الحاکم إلی حامل لإقامة حدّ فأجهضت</w:t>
            </w:r>
            <w:r>
              <w:rPr>
                <w:rStyle w:val="IndexLink"/>
                <w:rtl w:val="true"/>
              </w:rPr>
              <w:t>»]</w:t>
              <w:tab/>
            </w:r>
            <w:r>
              <w:rPr>
                <w:rStyle w:val="IndexLink"/>
              </w:rPr>
              <w:t>333</w:t>
            </w:r>
          </w:hyperlink>
        </w:p>
        <w:p>
          <w:pPr>
            <w:pStyle w:val="Contents4"/>
            <w:tabs>
              <w:tab w:val="clear" w:pos="8176"/>
              <w:tab w:val="right" w:pos="9026" w:leader="dot"/>
            </w:tabs>
            <w:rPr/>
          </w:pPr>
          <w:hyperlink w:anchor="__RefHeading___Toc2228061_2314609296">
            <w:r>
              <w:rPr>
                <w:webHidden/>
                <w:rStyle w:val="IndexLink"/>
                <w:rtl w:val="true"/>
              </w:rPr>
              <w:t>[«</w:t>
            </w:r>
            <w:r>
              <w:rPr>
                <w:rStyle w:val="IndexLink"/>
                <w:rtl w:val="true"/>
              </w:rPr>
              <w:t>ومن قتله الحدّ أو التعزیر فهدْر</w:t>
            </w:r>
            <w:r>
              <w:rPr>
                <w:rStyle w:val="IndexLink"/>
                <w:rtl w:val="true"/>
              </w:rPr>
              <w:t>»]</w:t>
              <w:tab/>
            </w:r>
            <w:r>
              <w:rPr>
                <w:rStyle w:val="IndexLink"/>
              </w:rPr>
              <w:t>334</w:t>
            </w:r>
          </w:hyperlink>
        </w:p>
        <w:p>
          <w:pPr>
            <w:pStyle w:val="Contents3"/>
            <w:tabs>
              <w:tab w:val="clear" w:pos="8459"/>
              <w:tab w:val="right" w:pos="9026" w:leader="dot"/>
            </w:tabs>
            <w:rPr/>
          </w:pPr>
          <w:hyperlink w:anchor="__RefHeading___Toc2228063_2314609296">
            <w:r>
              <w:rPr>
                <w:webHidden/>
                <w:rStyle w:val="IndexLink"/>
                <w:rtl w:val="true"/>
              </w:rPr>
              <w:t>«</w:t>
            </w:r>
            <w:r>
              <w:rPr>
                <w:rStyle w:val="IndexLink"/>
                <w:rtl w:val="true"/>
              </w:rPr>
              <w:t>الفصل الخامس</w:t>
            </w:r>
            <w:r>
              <w:rPr>
                <w:rStyle w:val="IndexLink"/>
                <w:rtl w:val="true"/>
              </w:rPr>
              <w:t>» «</w:t>
            </w:r>
            <w:r>
              <w:rPr>
                <w:rStyle w:val="IndexLink"/>
                <w:rtl w:val="true"/>
              </w:rPr>
              <w:t>فی السَرِقة</w:t>
            </w:r>
            <w:r>
              <w:rPr>
                <w:rStyle w:val="IndexLink"/>
                <w:rtl w:val="true"/>
              </w:rPr>
              <w:t>»</w:t>
              <w:tab/>
            </w:r>
            <w:r>
              <w:rPr>
                <w:rStyle w:val="IndexLink"/>
              </w:rPr>
              <w:t>336</w:t>
            </w:r>
          </w:hyperlink>
        </w:p>
        <w:p>
          <w:pPr>
            <w:pStyle w:val="Contents4"/>
            <w:tabs>
              <w:tab w:val="clear" w:pos="8176"/>
              <w:tab w:val="right" w:pos="9026" w:leader="dot"/>
            </w:tabs>
            <w:rPr/>
          </w:pPr>
          <w:hyperlink w:anchor="__RefHeading___Toc2228065_2314609296">
            <w:r>
              <w:rPr>
                <w:webHidden/>
                <w:rStyle w:val="IndexLink"/>
                <w:rtl w:val="true"/>
              </w:rPr>
              <w:t>[</w:t>
            </w:r>
            <w:r>
              <w:rPr>
                <w:rStyle w:val="IndexLink"/>
                <w:rtl w:val="true"/>
              </w:rPr>
              <w:t>شروط وجوب الحد علی السارق</w:t>
            </w:r>
            <w:r>
              <w:rPr>
                <w:rStyle w:val="IndexLink"/>
                <w:rtl w:val="true"/>
              </w:rPr>
              <w:t>]</w:t>
              <w:tab/>
            </w:r>
            <w:r>
              <w:rPr>
                <w:rStyle w:val="IndexLink"/>
              </w:rPr>
              <w:t>336</w:t>
            </w:r>
          </w:hyperlink>
        </w:p>
        <w:p>
          <w:pPr>
            <w:pStyle w:val="Contents4"/>
            <w:tabs>
              <w:tab w:val="clear" w:pos="8176"/>
              <w:tab w:val="right" w:pos="9026" w:leader="dot"/>
            </w:tabs>
            <w:rPr/>
          </w:pPr>
          <w:hyperlink w:anchor="__RefHeading___Toc2228067_2314609296">
            <w:r>
              <w:rPr>
                <w:webHidden/>
                <w:rStyle w:val="IndexLink"/>
                <w:rtl w:val="true"/>
              </w:rPr>
              <w:t>[«</w:t>
            </w:r>
            <w:r>
              <w:rPr>
                <w:rStyle w:val="IndexLink"/>
                <w:rtl w:val="true"/>
              </w:rPr>
              <w:t>وهنا مسائل</w:t>
            </w:r>
            <w:r>
              <w:rPr>
                <w:rStyle w:val="IndexLink"/>
                <w:rtl w:val="true"/>
              </w:rPr>
              <w:t>»]</w:t>
              <w:tab/>
            </w:r>
            <w:r>
              <w:rPr>
                <w:rStyle w:val="IndexLink"/>
              </w:rPr>
              <w:t>344</w:t>
            </w:r>
          </w:hyperlink>
        </w:p>
        <w:p>
          <w:pPr>
            <w:pStyle w:val="Contents5"/>
            <w:tabs>
              <w:tab w:val="clear" w:pos="7892"/>
              <w:tab w:val="right" w:pos="9026" w:leader="dot"/>
            </w:tabs>
            <w:rPr/>
          </w:pPr>
          <w:hyperlink w:anchor="__RefHeading___Toc2228069_2314609296">
            <w:r>
              <w:rPr>
                <w:webHidden/>
                <w:rStyle w:val="IndexLink"/>
                <w:rtl w:val="true"/>
              </w:rPr>
              <w:t>[</w:t>
            </w:r>
            <w:r>
              <w:rPr>
                <w:rStyle w:val="IndexLink"/>
                <w:rtl w:val="true"/>
              </w:rPr>
              <w:t>الاولی</w:t>
            </w:r>
            <w:r>
              <w:rPr>
                <w:rStyle w:val="IndexLink"/>
                <w:rtl w:val="true"/>
              </w:rPr>
              <w:t xml:space="preserve">: </w:t>
            </w:r>
            <w:r>
              <w:rPr>
                <w:rStyle w:val="IndexLink"/>
                <w:rtl w:val="true"/>
              </w:rPr>
              <w:t>لا فرق بین اخراج السارق المتاع بنفسه او بسببه</w:t>
            </w:r>
            <w:r>
              <w:rPr>
                <w:rStyle w:val="IndexLink"/>
                <w:rtl w:val="true"/>
              </w:rPr>
              <w:t>]</w:t>
              <w:tab/>
            </w:r>
            <w:r>
              <w:rPr>
                <w:rStyle w:val="IndexLink"/>
              </w:rPr>
              <w:t>344</w:t>
            </w:r>
          </w:hyperlink>
        </w:p>
        <w:p>
          <w:pPr>
            <w:pStyle w:val="Contents5"/>
            <w:tabs>
              <w:tab w:val="clear" w:pos="7892"/>
              <w:tab w:val="right" w:pos="9026" w:leader="dot"/>
            </w:tabs>
            <w:rPr/>
          </w:pPr>
          <w:hyperlink w:anchor="__RefHeading___Toc2228071_2314609296">
            <w:r>
              <w:rPr>
                <w:webHidden/>
                <w:rStyle w:val="IndexLink"/>
                <w:rtl w:val="true"/>
              </w:rPr>
              <w:t>«</w:t>
            </w:r>
            <w:r>
              <w:rPr>
                <w:rStyle w:val="IndexLink"/>
                <w:rtl w:val="true"/>
              </w:rPr>
              <w:t xml:space="preserve">الثانیة </w:t>
            </w:r>
            <w:r>
              <w:rPr>
                <w:rStyle w:val="IndexLink"/>
                <w:rtl w:val="true"/>
              </w:rPr>
              <w:t>[</w:t>
            </w:r>
            <w:r>
              <w:rPr>
                <w:rStyle w:val="IndexLink"/>
                <w:rtl w:val="true"/>
              </w:rPr>
              <w:t>یقطع الضیف و الاجیر اذا سرقا</w:t>
            </w:r>
            <w:r>
              <w:rPr>
                <w:rStyle w:val="IndexLink"/>
                <w:rtl w:val="true"/>
              </w:rPr>
              <w:t>] » :</w:t>
              <w:tab/>
            </w:r>
            <w:r>
              <w:rPr>
                <w:rStyle w:val="IndexLink"/>
              </w:rPr>
              <w:t>344</w:t>
            </w:r>
          </w:hyperlink>
        </w:p>
        <w:p>
          <w:pPr>
            <w:pStyle w:val="Contents5"/>
            <w:tabs>
              <w:tab w:val="clear" w:pos="7892"/>
              <w:tab w:val="right" w:pos="9026" w:leader="dot"/>
            </w:tabs>
            <w:rPr/>
          </w:pPr>
          <w:hyperlink w:anchor="__RefHeading___Toc2228073_2314609296">
            <w:r>
              <w:rPr>
                <w:webHidden/>
                <w:rStyle w:val="IndexLink"/>
                <w:rtl w:val="true"/>
              </w:rPr>
              <w:t>«</w:t>
            </w:r>
            <w:r>
              <w:rPr>
                <w:rStyle w:val="IndexLink"/>
                <w:rtl w:val="true"/>
              </w:rPr>
              <w:t xml:space="preserve">الثالثة </w:t>
            </w:r>
            <w:r>
              <w:rPr>
                <w:rStyle w:val="IndexLink"/>
                <w:rtl w:val="true"/>
              </w:rPr>
              <w:t>[</w:t>
            </w:r>
            <w:r>
              <w:rPr>
                <w:rStyle w:val="IndexLink"/>
                <w:rtl w:val="true"/>
              </w:rPr>
              <w:t>الحرز</w:t>
            </w:r>
            <w:r>
              <w:rPr>
                <w:rStyle w:val="IndexLink"/>
                <w:rtl w:val="true"/>
              </w:rPr>
              <w:t>] » :</w:t>
              <w:tab/>
            </w:r>
            <w:r>
              <w:rPr>
                <w:rStyle w:val="IndexLink"/>
              </w:rPr>
              <w:t>345</w:t>
            </w:r>
          </w:hyperlink>
        </w:p>
        <w:p>
          <w:pPr>
            <w:pStyle w:val="Contents5"/>
            <w:tabs>
              <w:tab w:val="clear" w:pos="7892"/>
              <w:tab w:val="right" w:pos="9026" w:leader="dot"/>
            </w:tabs>
            <w:rPr/>
          </w:pPr>
          <w:hyperlink w:anchor="__RefHeading___Toc2228075_2314609296">
            <w:r>
              <w:rPr>
                <w:webHidden/>
                <w:rStyle w:val="IndexLink"/>
                <w:rtl w:val="true"/>
              </w:rPr>
              <w:t>«</w:t>
            </w:r>
            <w:r>
              <w:rPr>
                <w:rStyle w:val="IndexLink"/>
                <w:rtl w:val="true"/>
              </w:rPr>
              <w:t xml:space="preserve">الرابعة </w:t>
            </w:r>
            <w:r>
              <w:rPr>
                <w:rStyle w:val="IndexLink"/>
                <w:rtl w:val="true"/>
              </w:rPr>
              <w:t>[</w:t>
            </w:r>
            <w:r>
              <w:rPr>
                <w:rStyle w:val="IndexLink"/>
                <w:rtl w:val="true"/>
              </w:rPr>
              <w:t>لاقطع فی سرقة الثمر علی الشجرة</w:t>
            </w:r>
            <w:r>
              <w:rPr>
                <w:rStyle w:val="IndexLink"/>
                <w:rtl w:val="true"/>
              </w:rPr>
              <w:t>] » :</w:t>
              <w:tab/>
            </w:r>
            <w:r>
              <w:rPr>
                <w:rStyle w:val="IndexLink"/>
              </w:rPr>
              <w:t>348</w:t>
            </w:r>
          </w:hyperlink>
        </w:p>
        <w:p>
          <w:pPr>
            <w:pStyle w:val="Contents5"/>
            <w:tabs>
              <w:tab w:val="clear" w:pos="7892"/>
              <w:tab w:val="right" w:pos="9026" w:leader="dot"/>
            </w:tabs>
            <w:rPr/>
          </w:pPr>
          <w:hyperlink w:anchor="__RefHeading___Toc2228077_2314609296">
            <w:r>
              <w:rPr>
                <w:webHidden/>
                <w:rStyle w:val="IndexLink"/>
                <w:rtl w:val="true"/>
              </w:rPr>
              <w:t>«</w:t>
            </w:r>
            <w:r>
              <w:rPr>
                <w:rStyle w:val="IndexLink"/>
                <w:rtl w:val="true"/>
              </w:rPr>
              <w:t xml:space="preserve">الخامسة </w:t>
            </w:r>
            <w:r>
              <w:rPr>
                <w:rStyle w:val="IndexLink"/>
                <w:rtl w:val="true"/>
              </w:rPr>
              <w:t>[</w:t>
            </w:r>
            <w:r>
              <w:rPr>
                <w:rStyle w:val="IndexLink"/>
                <w:rtl w:val="true"/>
              </w:rPr>
              <w:t>حکم سارق الحر و المملوک</w:t>
            </w:r>
            <w:r>
              <w:rPr>
                <w:rStyle w:val="IndexLink"/>
                <w:rtl w:val="true"/>
              </w:rPr>
              <w:t>] » :</w:t>
              <w:tab/>
            </w:r>
            <w:r>
              <w:rPr>
                <w:rStyle w:val="IndexLink"/>
              </w:rPr>
              <w:t>348</w:t>
            </w:r>
          </w:hyperlink>
        </w:p>
        <w:p>
          <w:pPr>
            <w:pStyle w:val="Contents5"/>
            <w:tabs>
              <w:tab w:val="clear" w:pos="7892"/>
              <w:tab w:val="right" w:pos="9026" w:leader="dot"/>
            </w:tabs>
            <w:rPr/>
          </w:pPr>
          <w:hyperlink w:anchor="__RefHeading___Toc2228079_2314609296">
            <w:r>
              <w:rPr>
                <w:webHidden/>
                <w:rStyle w:val="IndexLink"/>
                <w:rtl w:val="true"/>
              </w:rPr>
              <w:t>«</w:t>
            </w:r>
            <w:r>
              <w:rPr>
                <w:rStyle w:val="IndexLink"/>
                <w:rtl w:val="true"/>
              </w:rPr>
              <w:t xml:space="preserve">السادسة </w:t>
            </w:r>
            <w:r>
              <w:rPr>
                <w:rStyle w:val="IndexLink"/>
                <w:rtl w:val="true"/>
              </w:rPr>
              <w:t>[</w:t>
            </w:r>
            <w:r>
              <w:rPr>
                <w:rStyle w:val="IndexLink"/>
                <w:rtl w:val="true"/>
              </w:rPr>
              <w:t xml:space="preserve">حکم سارق الکفن و النباش </w:t>
            </w:r>
            <w:r>
              <w:rPr>
                <w:rStyle w:val="IndexLink"/>
                <w:rtl w:val="true"/>
              </w:rPr>
              <w:t>] » :</w:t>
              <w:tab/>
            </w:r>
            <w:r>
              <w:rPr>
                <w:rStyle w:val="IndexLink"/>
              </w:rPr>
              <w:t>350</w:t>
            </w:r>
          </w:hyperlink>
        </w:p>
        <w:p>
          <w:pPr>
            <w:pStyle w:val="Contents5"/>
            <w:tabs>
              <w:tab w:val="clear" w:pos="7892"/>
              <w:tab w:val="right" w:pos="9026" w:leader="dot"/>
            </w:tabs>
            <w:rPr/>
          </w:pPr>
          <w:hyperlink w:anchor="__RefHeading___Toc2228081_2314609296">
            <w:r>
              <w:rPr>
                <w:webHidden/>
                <w:rStyle w:val="IndexLink"/>
                <w:rtl w:val="true"/>
              </w:rPr>
              <w:t>«</w:t>
            </w:r>
            <w:r>
              <w:rPr>
                <w:rStyle w:val="IndexLink"/>
                <w:rtl w:val="true"/>
              </w:rPr>
              <w:t xml:space="preserve">السابعة </w:t>
            </w:r>
            <w:r>
              <w:rPr>
                <w:rStyle w:val="IndexLink"/>
                <w:rtl w:val="true"/>
              </w:rPr>
              <w:t>[</w:t>
            </w:r>
            <w:r>
              <w:rPr>
                <w:rStyle w:val="IndexLink"/>
                <w:rtl w:val="true"/>
              </w:rPr>
              <w:t>ما تثبت به السرقة</w:t>
            </w:r>
            <w:r>
              <w:rPr>
                <w:rStyle w:val="IndexLink"/>
                <w:rtl w:val="true"/>
              </w:rPr>
              <w:t>] » :</w:t>
              <w:tab/>
            </w:r>
            <w:r>
              <w:rPr>
                <w:rStyle w:val="IndexLink"/>
              </w:rPr>
              <w:t>352</w:t>
            </w:r>
          </w:hyperlink>
        </w:p>
        <w:p>
          <w:pPr>
            <w:pStyle w:val="Contents5"/>
            <w:tabs>
              <w:tab w:val="clear" w:pos="7892"/>
              <w:tab w:val="right" w:pos="9026" w:leader="dot"/>
            </w:tabs>
            <w:rPr/>
          </w:pPr>
          <w:hyperlink w:anchor="__RefHeading___Toc2228083_2314609296">
            <w:r>
              <w:rPr>
                <w:webHidden/>
                <w:rStyle w:val="IndexLink"/>
                <w:rtl w:val="true"/>
              </w:rPr>
              <w:t>«</w:t>
            </w:r>
            <w:r>
              <w:rPr>
                <w:rStyle w:val="IndexLink"/>
                <w:rtl w:val="true"/>
              </w:rPr>
              <w:t xml:space="preserve">الثامنة </w:t>
            </w:r>
            <w:r>
              <w:rPr>
                <w:rStyle w:val="IndexLink"/>
                <w:rtl w:val="true"/>
              </w:rPr>
              <w:t>[</w:t>
            </w:r>
            <w:r>
              <w:rPr>
                <w:rStyle w:val="IndexLink"/>
                <w:rtl w:val="true"/>
              </w:rPr>
              <w:t>یجب علی السارق اعادة العین او مثلها او قیمتها</w:t>
            </w:r>
            <w:r>
              <w:rPr>
                <w:rStyle w:val="IndexLink"/>
                <w:rtl w:val="true"/>
              </w:rPr>
              <w:t>] » :</w:t>
              <w:tab/>
            </w:r>
            <w:r>
              <w:rPr>
                <w:rStyle w:val="IndexLink"/>
              </w:rPr>
              <w:t>353</w:t>
            </w:r>
          </w:hyperlink>
        </w:p>
        <w:p>
          <w:pPr>
            <w:pStyle w:val="Contents5"/>
            <w:tabs>
              <w:tab w:val="clear" w:pos="7892"/>
              <w:tab w:val="right" w:pos="9026" w:leader="dot"/>
            </w:tabs>
            <w:rPr/>
          </w:pPr>
          <w:hyperlink w:anchor="__RefHeading___Toc2228085_2314609296">
            <w:r>
              <w:rPr>
                <w:webHidden/>
                <w:rStyle w:val="IndexLink"/>
                <w:rtl w:val="true"/>
              </w:rPr>
              <w:t>«</w:t>
            </w:r>
            <w:r>
              <w:rPr>
                <w:rStyle w:val="IndexLink"/>
                <w:rtl w:val="true"/>
              </w:rPr>
              <w:t xml:space="preserve">التاسعة </w:t>
            </w:r>
            <w:r>
              <w:rPr>
                <w:rStyle w:val="IndexLink"/>
                <w:rtl w:val="true"/>
              </w:rPr>
              <w:t>[</w:t>
            </w:r>
            <w:r>
              <w:rPr>
                <w:rStyle w:val="IndexLink"/>
                <w:rtl w:val="true"/>
              </w:rPr>
              <w:t>لاقطع الا بمرافعة الغریم له</w:t>
            </w:r>
            <w:r>
              <w:rPr>
                <w:rStyle w:val="IndexLink"/>
                <w:rtl w:val="true"/>
              </w:rPr>
              <w:t>] » :</w:t>
              <w:tab/>
            </w:r>
            <w:r>
              <w:rPr>
                <w:rStyle w:val="IndexLink"/>
              </w:rPr>
              <w:t>354</w:t>
            </w:r>
          </w:hyperlink>
        </w:p>
        <w:p>
          <w:pPr>
            <w:pStyle w:val="Contents5"/>
            <w:tabs>
              <w:tab w:val="clear" w:pos="7892"/>
              <w:tab w:val="right" w:pos="9026" w:leader="dot"/>
            </w:tabs>
            <w:rPr/>
          </w:pPr>
          <w:hyperlink w:anchor="__RefHeading___Toc2228087_2314609296">
            <w:r>
              <w:rPr>
                <w:webHidden/>
                <w:rStyle w:val="IndexLink"/>
                <w:rtl w:val="true"/>
              </w:rPr>
              <w:t>«</w:t>
            </w:r>
            <w:r>
              <w:rPr>
                <w:rStyle w:val="IndexLink"/>
                <w:rtl w:val="true"/>
              </w:rPr>
              <w:t xml:space="preserve">العاشرة </w:t>
            </w:r>
            <w:r>
              <w:rPr>
                <w:rStyle w:val="IndexLink"/>
                <w:rtl w:val="true"/>
              </w:rPr>
              <w:t>[</w:t>
            </w:r>
            <w:r>
              <w:rPr>
                <w:rStyle w:val="IndexLink"/>
                <w:rtl w:val="true"/>
              </w:rPr>
              <w:t>لو احدث فی النصاب قبل الاخراج ما ینقص قیمتة</w:t>
            </w:r>
            <w:r>
              <w:rPr>
                <w:rStyle w:val="IndexLink"/>
                <w:rtl w:val="true"/>
              </w:rPr>
              <w:t>] » :</w:t>
              <w:tab/>
            </w:r>
            <w:r>
              <w:rPr>
                <w:rStyle w:val="IndexLink"/>
              </w:rPr>
              <w:t>354</w:t>
            </w:r>
          </w:hyperlink>
        </w:p>
        <w:p>
          <w:pPr>
            <w:pStyle w:val="Contents5"/>
            <w:tabs>
              <w:tab w:val="clear" w:pos="7892"/>
              <w:tab w:val="right" w:pos="9026" w:leader="dot"/>
            </w:tabs>
            <w:rPr/>
          </w:pPr>
          <w:hyperlink w:anchor="__RefHeading___Toc2228089_2314609296">
            <w:r>
              <w:rPr>
                <w:webHidden/>
                <w:rStyle w:val="IndexLink"/>
                <w:rtl w:val="true"/>
              </w:rPr>
              <w:t>«</w:t>
            </w:r>
            <w:r>
              <w:rPr>
                <w:rStyle w:val="IndexLink"/>
                <w:rtl w:val="true"/>
              </w:rPr>
              <w:t xml:space="preserve">الحادیة عشرة </w:t>
            </w:r>
            <w:r>
              <w:rPr>
                <w:rStyle w:val="IndexLink"/>
                <w:rtl w:val="true"/>
              </w:rPr>
              <w:t>[</w:t>
            </w:r>
            <w:r>
              <w:rPr>
                <w:rStyle w:val="IndexLink"/>
                <w:rtl w:val="true"/>
              </w:rPr>
              <w:t>الواجب فی القطع</w:t>
            </w:r>
            <w:r>
              <w:rPr>
                <w:rStyle w:val="IndexLink"/>
                <w:rtl w:val="true"/>
              </w:rPr>
              <w:t>] » :</w:t>
              <w:tab/>
            </w:r>
            <w:r>
              <w:rPr>
                <w:rStyle w:val="IndexLink"/>
              </w:rPr>
              <w:t>356</w:t>
            </w:r>
          </w:hyperlink>
        </w:p>
        <w:p>
          <w:pPr>
            <w:pStyle w:val="Contents5"/>
            <w:tabs>
              <w:tab w:val="clear" w:pos="7892"/>
              <w:tab w:val="right" w:pos="9026" w:leader="dot"/>
            </w:tabs>
            <w:rPr/>
          </w:pPr>
          <w:hyperlink w:anchor="__RefHeading___Toc2228091_2314609296">
            <w:r>
              <w:rPr>
                <w:webHidden/>
                <w:rStyle w:val="IndexLink"/>
                <w:rtl w:val="true"/>
              </w:rPr>
              <w:t>«</w:t>
            </w:r>
            <w:r>
              <w:rPr>
                <w:rStyle w:val="IndexLink"/>
                <w:rtl w:val="true"/>
              </w:rPr>
              <w:t xml:space="preserve">الثانیة عشرة </w:t>
            </w:r>
            <w:r>
              <w:rPr>
                <w:rStyle w:val="IndexLink"/>
                <w:rtl w:val="true"/>
              </w:rPr>
              <w:t>[</w:t>
            </w:r>
            <w:r>
              <w:rPr>
                <w:rStyle w:val="IndexLink"/>
                <w:rtl w:val="true"/>
              </w:rPr>
              <w:t>تکرر السرقة</w:t>
            </w:r>
            <w:r>
              <w:rPr>
                <w:rStyle w:val="IndexLink"/>
                <w:rtl w:val="true"/>
              </w:rPr>
              <w:t>] » :</w:t>
              <w:tab/>
            </w:r>
            <w:r>
              <w:rPr>
                <w:rStyle w:val="IndexLink"/>
              </w:rPr>
              <w:t>358</w:t>
            </w:r>
          </w:hyperlink>
        </w:p>
        <w:p>
          <w:pPr>
            <w:pStyle w:val="Contents3"/>
            <w:tabs>
              <w:tab w:val="clear" w:pos="8459"/>
              <w:tab w:val="right" w:pos="9026" w:leader="dot"/>
            </w:tabs>
            <w:rPr/>
          </w:pPr>
          <w:hyperlink w:anchor="__RefHeading___Toc2228093_2314609296">
            <w:r>
              <w:rPr>
                <w:webHidden/>
                <w:rStyle w:val="IndexLink"/>
                <w:rtl w:val="true"/>
              </w:rPr>
              <w:t>«</w:t>
            </w:r>
            <w:r>
              <w:rPr>
                <w:rStyle w:val="IndexLink"/>
                <w:rtl w:val="true"/>
              </w:rPr>
              <w:t>الفصل السادس</w:t>
            </w:r>
            <w:r>
              <w:rPr>
                <w:rStyle w:val="IndexLink"/>
                <w:rtl w:val="true"/>
              </w:rPr>
              <w:t>» «</w:t>
            </w:r>
            <w:r>
              <w:rPr>
                <w:rStyle w:val="IndexLink"/>
                <w:rtl w:val="true"/>
              </w:rPr>
              <w:t>فی المحاربة</w:t>
            </w:r>
            <w:r>
              <w:rPr>
                <w:rStyle w:val="IndexLink"/>
                <w:rtl w:val="true"/>
              </w:rPr>
              <w:t>»</w:t>
              <w:tab/>
            </w:r>
            <w:r>
              <w:rPr>
                <w:rStyle w:val="IndexLink"/>
              </w:rPr>
              <w:t>360</w:t>
            </w:r>
          </w:hyperlink>
        </w:p>
        <w:p>
          <w:pPr>
            <w:pStyle w:val="Contents4"/>
            <w:tabs>
              <w:tab w:val="clear" w:pos="8176"/>
              <w:tab w:val="right" w:pos="9026" w:leader="dot"/>
            </w:tabs>
            <w:rPr/>
          </w:pPr>
          <w:hyperlink w:anchor="__RefHeading___Toc2228095_2314609296">
            <w:r>
              <w:rPr>
                <w:webHidden/>
                <w:rStyle w:val="IndexLink"/>
                <w:rtl w:val="true"/>
              </w:rPr>
              <w:t>[</w:t>
            </w:r>
            <w:r>
              <w:rPr>
                <w:rStyle w:val="IndexLink"/>
                <w:rtl w:val="true"/>
              </w:rPr>
              <w:t>المراد من المحاربه</w:t>
            </w:r>
            <w:r>
              <w:rPr>
                <w:rStyle w:val="IndexLink"/>
                <w:rtl w:val="true"/>
              </w:rPr>
              <w:t>]</w:t>
              <w:tab/>
            </w:r>
            <w:r>
              <w:rPr>
                <w:rStyle w:val="IndexLink"/>
              </w:rPr>
              <w:t>360</w:t>
            </w:r>
          </w:hyperlink>
        </w:p>
        <w:p>
          <w:pPr>
            <w:pStyle w:val="Contents4"/>
            <w:tabs>
              <w:tab w:val="clear" w:pos="8176"/>
              <w:tab w:val="right" w:pos="9026" w:leader="dot"/>
            </w:tabs>
            <w:rPr/>
          </w:pPr>
          <w:hyperlink w:anchor="__RefHeading___Toc2228097_2314609296">
            <w:r>
              <w:rPr>
                <w:webHidden/>
                <w:rStyle w:val="IndexLink"/>
                <w:rtl w:val="true"/>
              </w:rPr>
              <w:t>[</w:t>
            </w:r>
            <w:r>
              <w:rPr>
                <w:rStyle w:val="IndexLink"/>
                <w:rtl w:val="true"/>
              </w:rPr>
              <w:t>حد المحارب</w:t>
            </w:r>
            <w:r>
              <w:rPr>
                <w:rStyle w:val="IndexLink"/>
                <w:rtl w:val="true"/>
              </w:rPr>
              <w:t>]</w:t>
              <w:tab/>
            </w:r>
            <w:r>
              <w:rPr>
                <w:rStyle w:val="IndexLink"/>
              </w:rPr>
              <w:t>362</w:t>
            </w:r>
          </w:hyperlink>
        </w:p>
        <w:p>
          <w:pPr>
            <w:pStyle w:val="Contents4"/>
            <w:tabs>
              <w:tab w:val="clear" w:pos="8176"/>
              <w:tab w:val="right" w:pos="9026" w:leader="dot"/>
            </w:tabs>
            <w:rPr/>
          </w:pPr>
          <w:hyperlink w:anchor="__RefHeading___Toc2228099_2314609296">
            <w:r>
              <w:rPr>
                <w:webHidden/>
                <w:rStyle w:val="IndexLink"/>
                <w:rtl w:val="true"/>
              </w:rPr>
              <w:t>[</w:t>
            </w:r>
            <w:r>
              <w:rPr>
                <w:rStyle w:val="IndexLink"/>
                <w:rtl w:val="true"/>
              </w:rPr>
              <w:t xml:space="preserve">حکم اللص و المتخلس و المتسلب </w:t>
            </w:r>
            <w:r>
              <w:rPr>
                <w:rStyle w:val="IndexLink"/>
                <w:rtl w:val="true"/>
              </w:rPr>
              <w:t>]</w:t>
              <w:tab/>
            </w:r>
            <w:r>
              <w:rPr>
                <w:rStyle w:val="IndexLink"/>
              </w:rPr>
              <w:t>366</w:t>
            </w:r>
          </w:hyperlink>
        </w:p>
        <w:p>
          <w:pPr>
            <w:pStyle w:val="Contents3"/>
            <w:tabs>
              <w:tab w:val="clear" w:pos="8459"/>
              <w:tab w:val="right" w:pos="9026" w:leader="dot"/>
            </w:tabs>
            <w:rPr/>
          </w:pPr>
          <w:hyperlink w:anchor="__RefHeading___Toc2228101_2314609296">
            <w:r>
              <w:rPr>
                <w:webHidden/>
                <w:rStyle w:val="IndexLink"/>
                <w:rtl w:val="true"/>
              </w:rPr>
              <w:t>«</w:t>
            </w:r>
            <w:r>
              <w:rPr>
                <w:rStyle w:val="IndexLink"/>
                <w:rtl w:val="true"/>
              </w:rPr>
              <w:t>الفصل السابع</w:t>
            </w:r>
            <w:r>
              <w:rPr>
                <w:rStyle w:val="IndexLink"/>
                <w:rtl w:val="true"/>
              </w:rPr>
              <w:t>» «</w:t>
            </w:r>
            <w:r>
              <w:rPr>
                <w:rStyle w:val="IndexLink"/>
                <w:rtl w:val="true"/>
              </w:rPr>
              <w:t>فی عقوبات متفرّقة</w:t>
            </w:r>
            <w:r>
              <w:rPr>
                <w:rStyle w:val="IndexLink"/>
                <w:rtl w:val="true"/>
              </w:rPr>
              <w:t>»</w:t>
              <w:tab/>
            </w:r>
            <w:r>
              <w:rPr>
                <w:rStyle w:val="IndexLink"/>
              </w:rPr>
              <w:t>368</w:t>
            </w:r>
          </w:hyperlink>
        </w:p>
        <w:p>
          <w:pPr>
            <w:pStyle w:val="Contents4"/>
            <w:tabs>
              <w:tab w:val="clear" w:pos="8176"/>
              <w:tab w:val="right" w:pos="9026" w:leader="dot"/>
            </w:tabs>
            <w:rPr/>
          </w:pPr>
          <w:hyperlink w:anchor="__RefHeading___Toc2228103_2314609296">
            <w:r>
              <w:rPr>
                <w:webHidden/>
                <w:rStyle w:val="IndexLink"/>
                <w:rtl w:val="true"/>
              </w:rPr>
              <w:t>[</w:t>
            </w:r>
            <w:r>
              <w:rPr>
                <w:rStyle w:val="IndexLink"/>
                <w:rtl w:val="true"/>
              </w:rPr>
              <w:t>اتیان البهیمة</w:t>
            </w:r>
            <w:r>
              <w:rPr>
                <w:rStyle w:val="IndexLink"/>
                <w:rtl w:val="true"/>
              </w:rPr>
              <w:t>]</w:t>
              <w:tab/>
            </w:r>
            <w:r>
              <w:rPr>
                <w:rStyle w:val="IndexLink"/>
              </w:rPr>
              <w:t>368</w:t>
            </w:r>
          </w:hyperlink>
        </w:p>
        <w:p>
          <w:pPr>
            <w:pStyle w:val="Contents4"/>
            <w:tabs>
              <w:tab w:val="clear" w:pos="8176"/>
              <w:tab w:val="right" w:pos="9026" w:leader="dot"/>
            </w:tabs>
            <w:rPr/>
          </w:pPr>
          <w:hyperlink w:anchor="__RefHeading___Toc2228105_2314609296">
            <w:r>
              <w:rPr>
                <w:webHidden/>
                <w:rStyle w:val="IndexLink"/>
                <w:rtl w:val="true"/>
              </w:rPr>
              <w:t>[</w:t>
            </w:r>
            <w:r>
              <w:rPr>
                <w:rStyle w:val="IndexLink"/>
                <w:rtl w:val="true"/>
              </w:rPr>
              <w:t>وطء الاموات</w:t>
            </w:r>
            <w:r>
              <w:rPr>
                <w:rStyle w:val="IndexLink"/>
                <w:rtl w:val="true"/>
              </w:rPr>
              <w:t>]</w:t>
              <w:tab/>
            </w:r>
            <w:r>
              <w:rPr>
                <w:rStyle w:val="IndexLink"/>
              </w:rPr>
              <w:t>376</w:t>
            </w:r>
          </w:hyperlink>
        </w:p>
        <w:p>
          <w:pPr>
            <w:pStyle w:val="Contents4"/>
            <w:tabs>
              <w:tab w:val="clear" w:pos="8176"/>
              <w:tab w:val="right" w:pos="9026" w:leader="dot"/>
            </w:tabs>
            <w:rPr/>
          </w:pPr>
          <w:hyperlink w:anchor="__RefHeading___Toc2228107_2314609296">
            <w:r>
              <w:rPr>
                <w:webHidden/>
                <w:rStyle w:val="IndexLink"/>
                <w:rtl w:val="true"/>
              </w:rPr>
              <w:t>[</w:t>
            </w:r>
            <w:r>
              <w:rPr>
                <w:rStyle w:val="IndexLink"/>
                <w:rtl w:val="true"/>
              </w:rPr>
              <w:t>استمناء</w:t>
            </w:r>
            <w:r>
              <w:rPr>
                <w:rStyle w:val="IndexLink"/>
                <w:rtl w:val="true"/>
              </w:rPr>
              <w:t>]</w:t>
              <w:tab/>
            </w:r>
            <w:r>
              <w:rPr>
                <w:rStyle w:val="IndexLink"/>
              </w:rPr>
              <w:t>377</w:t>
            </w:r>
          </w:hyperlink>
        </w:p>
        <w:p>
          <w:pPr>
            <w:pStyle w:val="Contents4"/>
            <w:tabs>
              <w:tab w:val="clear" w:pos="8176"/>
              <w:tab w:val="right" w:pos="9026" w:leader="dot"/>
            </w:tabs>
            <w:rPr/>
          </w:pPr>
          <w:hyperlink w:anchor="__RefHeading___Toc2228109_2314609296">
            <w:r>
              <w:rPr>
                <w:webHidden/>
                <w:rStyle w:val="IndexLink"/>
                <w:rtl w:val="true"/>
              </w:rPr>
              <w:t>[</w:t>
            </w:r>
            <w:r>
              <w:rPr>
                <w:rStyle w:val="IndexLink"/>
                <w:rtl w:val="true"/>
              </w:rPr>
              <w:t>الارتداد</w:t>
            </w:r>
            <w:r>
              <w:rPr>
                <w:rStyle w:val="IndexLink"/>
                <w:rtl w:val="true"/>
              </w:rPr>
              <w:t>]</w:t>
              <w:tab/>
            </w:r>
            <w:r>
              <w:rPr>
                <w:rStyle w:val="IndexLink"/>
              </w:rPr>
              <w:t>379</w:t>
            </w:r>
          </w:hyperlink>
        </w:p>
        <w:p>
          <w:pPr>
            <w:pStyle w:val="Contents4"/>
            <w:tabs>
              <w:tab w:val="clear" w:pos="8176"/>
              <w:tab w:val="right" w:pos="9026" w:leader="dot"/>
            </w:tabs>
            <w:rPr/>
          </w:pPr>
          <w:hyperlink w:anchor="__RefHeading___Toc2228111_2314609296">
            <w:r>
              <w:rPr>
                <w:webHidden/>
                <w:rStyle w:val="IndexLink"/>
                <w:rtl w:val="true"/>
              </w:rPr>
              <w:t>[</w:t>
            </w:r>
            <w:r>
              <w:rPr>
                <w:rStyle w:val="IndexLink"/>
                <w:rtl w:val="true"/>
              </w:rPr>
              <w:t>الدفاع عن النفس و المال و الحرم</w:t>
            </w:r>
            <w:r>
              <w:rPr>
                <w:rStyle w:val="IndexLink"/>
                <w:rtl w:val="true"/>
              </w:rPr>
              <w:t>]</w:t>
              <w:tab/>
            </w:r>
            <w:r>
              <w:rPr>
                <w:rStyle w:val="IndexLink"/>
              </w:rPr>
              <w:t>386</w:t>
            </w:r>
          </w:hyperlink>
        </w:p>
        <w:p>
          <w:pPr>
            <w:pStyle w:val="Contents2"/>
            <w:tabs>
              <w:tab w:val="clear" w:pos="8743"/>
              <w:tab w:val="right" w:pos="9026" w:leader="dot"/>
            </w:tabs>
            <w:rPr/>
          </w:pPr>
          <w:hyperlink w:anchor="__RefHeading___Toc2228113_2314609296">
            <w:r>
              <w:rPr>
                <w:webHidden/>
                <w:rStyle w:val="IndexLink"/>
                <w:rtl w:val="true"/>
              </w:rPr>
              <w:t>کتاب القصاص</w:t>
            </w:r>
            <w:r>
              <w:rPr>
                <w:rStyle w:val="IndexLink"/>
                <w:rtl w:val="true"/>
              </w:rPr>
              <w:tab/>
            </w:r>
            <w:r>
              <w:rPr>
                <w:rStyle w:val="IndexLink"/>
              </w:rPr>
              <w:t>390</w:t>
            </w:r>
          </w:hyperlink>
        </w:p>
        <w:p>
          <w:pPr>
            <w:pStyle w:val="Contents3"/>
            <w:tabs>
              <w:tab w:val="clear" w:pos="8459"/>
              <w:tab w:val="right" w:pos="9026" w:leader="dot"/>
            </w:tabs>
            <w:rPr/>
          </w:pPr>
          <w:hyperlink w:anchor="__RefHeading___Toc2228115_2314609296">
            <w:r>
              <w:rPr>
                <w:webHidden/>
                <w:rStyle w:val="IndexLink"/>
                <w:rtl w:val="true"/>
              </w:rPr>
              <w:t>اشارة</w:t>
            </w:r>
            <w:r>
              <w:rPr>
                <w:rStyle w:val="IndexLink"/>
                <w:rtl w:val="true"/>
              </w:rPr>
              <w:tab/>
            </w:r>
            <w:r>
              <w:rPr>
                <w:rStyle w:val="IndexLink"/>
              </w:rPr>
              <w:t>390</w:t>
            </w:r>
          </w:hyperlink>
        </w:p>
        <w:p>
          <w:pPr>
            <w:pStyle w:val="Contents3"/>
            <w:tabs>
              <w:tab w:val="clear" w:pos="8459"/>
              <w:tab w:val="right" w:pos="9026" w:leader="dot"/>
            </w:tabs>
            <w:rPr/>
          </w:pPr>
          <w:hyperlink w:anchor="__RefHeading___Toc2228117_2314609296">
            <w:r>
              <w:rPr>
                <w:webHidden/>
                <w:rStyle w:val="IndexLink"/>
                <w:rtl w:val="true"/>
              </w:rPr>
              <w:t xml:space="preserve">الفصل </w:t>
            </w:r>
            <w:r>
              <w:rPr>
                <w:rStyle w:val="IndexLink"/>
                <w:rtl w:val="true"/>
              </w:rPr>
              <w:t>«</w:t>
            </w:r>
            <w:r>
              <w:rPr>
                <w:rStyle w:val="IndexLink"/>
                <w:rtl w:val="true"/>
              </w:rPr>
              <w:t>الأوّل</w:t>
            </w:r>
            <w:r>
              <w:rPr>
                <w:rStyle w:val="IndexLink"/>
                <w:rtl w:val="true"/>
              </w:rPr>
              <w:t>» «</w:t>
            </w:r>
            <w:r>
              <w:rPr>
                <w:rStyle w:val="IndexLink"/>
                <w:rtl w:val="true"/>
              </w:rPr>
              <w:t>فی قصاص النفس</w:t>
            </w:r>
            <w:r>
              <w:rPr>
                <w:rStyle w:val="IndexLink"/>
                <w:rtl w:val="true"/>
              </w:rPr>
              <w:t>»</w:t>
              <w:tab/>
            </w:r>
            <w:r>
              <w:rPr>
                <w:rStyle w:val="IndexLink"/>
              </w:rPr>
              <w:t>391</w:t>
            </w:r>
          </w:hyperlink>
        </w:p>
        <w:p>
          <w:pPr>
            <w:pStyle w:val="Contents4"/>
            <w:tabs>
              <w:tab w:val="clear" w:pos="8176"/>
              <w:tab w:val="right" w:pos="9026" w:leader="dot"/>
            </w:tabs>
            <w:rPr/>
          </w:pPr>
          <w:hyperlink w:anchor="__RefHeading___Toc2228119_2314609296">
            <w:r>
              <w:rPr>
                <w:webHidden/>
                <w:rStyle w:val="IndexLink"/>
                <w:rtl w:val="true"/>
              </w:rPr>
              <w:t>[«</w:t>
            </w:r>
            <w:r>
              <w:rPr>
                <w:rStyle w:val="IndexLink"/>
                <w:rtl w:val="true"/>
              </w:rPr>
              <w:t>وموجبه</w:t>
            </w:r>
            <w:r>
              <w:rPr>
                <w:rStyle w:val="IndexLink"/>
                <w:rtl w:val="true"/>
              </w:rPr>
              <w:t>:]</w:t>
              <w:tab/>
            </w:r>
            <w:r>
              <w:rPr>
                <w:rStyle w:val="IndexLink"/>
              </w:rPr>
              <w:t>391</w:t>
            </w:r>
          </w:hyperlink>
        </w:p>
        <w:p>
          <w:pPr>
            <w:pStyle w:val="Contents4"/>
            <w:tabs>
              <w:tab w:val="clear" w:pos="8176"/>
              <w:tab w:val="right" w:pos="9026" w:leader="dot"/>
            </w:tabs>
            <w:rPr/>
          </w:pPr>
          <w:hyperlink w:anchor="__RefHeading___Toc2228121_2314609296">
            <w:r>
              <w:rPr>
                <w:webHidden/>
                <w:rStyle w:val="IndexLink"/>
                <w:rtl w:val="true"/>
              </w:rPr>
              <w:t>[</w:t>
            </w:r>
            <w:r>
              <w:rPr>
                <w:rStyle w:val="IndexLink"/>
                <w:rtl w:val="true"/>
              </w:rPr>
              <w:t xml:space="preserve">بعض الصور العمد فی القتل </w:t>
            </w:r>
            <w:r>
              <w:rPr>
                <w:rStyle w:val="IndexLink"/>
                <w:rtl w:val="true"/>
              </w:rPr>
              <w:t>]</w:t>
              <w:tab/>
            </w:r>
            <w:r>
              <w:rPr>
                <w:rStyle w:val="IndexLink"/>
              </w:rPr>
              <w:t>393</w:t>
            </w:r>
          </w:hyperlink>
        </w:p>
        <w:p>
          <w:pPr>
            <w:pStyle w:val="Contents4"/>
            <w:tabs>
              <w:tab w:val="clear" w:pos="8176"/>
              <w:tab w:val="right" w:pos="9026" w:leader="dot"/>
            </w:tabs>
            <w:rPr/>
          </w:pPr>
          <w:hyperlink w:anchor="__RefHeading___Toc2228123_2314609296">
            <w:r>
              <w:rPr>
                <w:webHidden/>
                <w:rStyle w:val="IndexLink"/>
                <w:rtl w:val="true"/>
              </w:rPr>
              <w:t>[«</w:t>
            </w:r>
            <w:r>
              <w:rPr>
                <w:rStyle w:val="IndexLink"/>
                <w:rtl w:val="true"/>
              </w:rPr>
              <w:t>وهنا مسائل</w:t>
            </w:r>
            <w:r>
              <w:rPr>
                <w:rStyle w:val="IndexLink"/>
                <w:rtl w:val="true"/>
              </w:rPr>
              <w:t>»]</w:t>
              <w:tab/>
            </w:r>
            <w:r>
              <w:rPr>
                <w:rStyle w:val="IndexLink"/>
              </w:rPr>
              <w:t>398</w:t>
            </w:r>
          </w:hyperlink>
        </w:p>
        <w:p>
          <w:pPr>
            <w:pStyle w:val="Contents5"/>
            <w:tabs>
              <w:tab w:val="clear" w:pos="7892"/>
              <w:tab w:val="right" w:pos="9026" w:leader="dot"/>
            </w:tabs>
            <w:rPr/>
          </w:pPr>
          <w:hyperlink w:anchor="__RefHeading___Toc2228125_2314609296">
            <w:r>
              <w:rPr>
                <w:webHidden/>
                <w:rStyle w:val="IndexLink"/>
                <w:rtl w:val="true"/>
              </w:rPr>
              <w:t>«</w:t>
            </w:r>
            <w:r>
              <w:rPr>
                <w:rStyle w:val="IndexLink"/>
                <w:rtl w:val="true"/>
              </w:rPr>
              <w:t xml:space="preserve">الاُولی </w:t>
            </w:r>
            <w:r>
              <w:rPr>
                <w:rStyle w:val="IndexLink"/>
                <w:rtl w:val="true"/>
              </w:rPr>
              <w:t>[</w:t>
            </w:r>
            <w:r>
              <w:rPr>
                <w:rStyle w:val="IndexLink"/>
                <w:rtl w:val="true"/>
              </w:rPr>
              <w:t xml:space="preserve">حکم الاکراه علی القتل </w:t>
            </w:r>
            <w:r>
              <w:rPr>
                <w:rStyle w:val="IndexLink"/>
                <w:rtl w:val="true"/>
              </w:rPr>
              <w:t>] » :</w:t>
              <w:tab/>
            </w:r>
            <w:r>
              <w:rPr>
                <w:rStyle w:val="IndexLink"/>
              </w:rPr>
              <w:t>398</w:t>
            </w:r>
          </w:hyperlink>
        </w:p>
        <w:p>
          <w:pPr>
            <w:pStyle w:val="Contents5"/>
            <w:tabs>
              <w:tab w:val="clear" w:pos="7892"/>
              <w:tab w:val="right" w:pos="9026" w:leader="dot"/>
            </w:tabs>
            <w:rPr/>
          </w:pPr>
          <w:hyperlink w:anchor="__RefHeading___Toc2228127_2314609296">
            <w:r>
              <w:rPr>
                <w:webHidden/>
                <w:rStyle w:val="IndexLink"/>
                <w:rtl w:val="true"/>
              </w:rPr>
              <w:t>«</w:t>
            </w:r>
            <w:r>
              <w:rPr>
                <w:rStyle w:val="IndexLink"/>
                <w:rtl w:val="true"/>
              </w:rPr>
              <w:t xml:space="preserve">الثانیة </w:t>
            </w:r>
            <w:r>
              <w:rPr>
                <w:rStyle w:val="IndexLink"/>
                <w:rtl w:val="true"/>
              </w:rPr>
              <w:t>[</w:t>
            </w:r>
            <w:r>
              <w:rPr>
                <w:rStyle w:val="IndexLink"/>
                <w:rtl w:val="true"/>
              </w:rPr>
              <w:t xml:space="preserve">حکم الاشتراک فی القتل </w:t>
            </w:r>
            <w:r>
              <w:rPr>
                <w:rStyle w:val="IndexLink"/>
                <w:rtl w:val="true"/>
              </w:rPr>
              <w:t>] » :</w:t>
              <w:tab/>
            </w:r>
            <w:r>
              <w:rPr>
                <w:rStyle w:val="IndexLink"/>
              </w:rPr>
              <w:t>399</w:t>
            </w:r>
          </w:hyperlink>
        </w:p>
        <w:p>
          <w:pPr>
            <w:pStyle w:val="Contents5"/>
            <w:tabs>
              <w:tab w:val="clear" w:pos="7892"/>
              <w:tab w:val="right" w:pos="9026" w:leader="dot"/>
            </w:tabs>
            <w:rPr/>
          </w:pPr>
          <w:hyperlink w:anchor="__RefHeading___Toc2228129_2314609296">
            <w:r>
              <w:rPr>
                <w:webHidden/>
                <w:rStyle w:val="IndexLink"/>
                <w:rtl w:val="true"/>
              </w:rPr>
              <w:t>«</w:t>
            </w:r>
            <w:r>
              <w:rPr>
                <w:rStyle w:val="IndexLink"/>
                <w:rtl w:val="true"/>
              </w:rPr>
              <w:t xml:space="preserve">الثالثة </w:t>
            </w:r>
            <w:r>
              <w:rPr>
                <w:rStyle w:val="IndexLink"/>
                <w:rtl w:val="true"/>
              </w:rPr>
              <w:t>[</w:t>
            </w:r>
            <w:r>
              <w:rPr>
                <w:rStyle w:val="IndexLink"/>
                <w:rtl w:val="true"/>
              </w:rPr>
              <w:t xml:space="preserve">حکم اشتراک امراتین فی القتل </w:t>
            </w:r>
            <w:r>
              <w:rPr>
                <w:rStyle w:val="IndexLink"/>
                <w:rtl w:val="true"/>
              </w:rPr>
              <w:t>] » :</w:t>
              <w:tab/>
            </w:r>
            <w:r>
              <w:rPr>
                <w:rStyle w:val="IndexLink"/>
              </w:rPr>
              <w:t>400</w:t>
            </w:r>
          </w:hyperlink>
        </w:p>
        <w:p>
          <w:pPr>
            <w:pStyle w:val="Contents5"/>
            <w:tabs>
              <w:tab w:val="clear" w:pos="7892"/>
              <w:tab w:val="right" w:pos="9026" w:leader="dot"/>
            </w:tabs>
            <w:rPr/>
          </w:pPr>
          <w:hyperlink w:anchor="__RefHeading___Toc2228131_2314609296">
            <w:r>
              <w:rPr>
                <w:webHidden/>
                <w:rStyle w:val="IndexLink"/>
                <w:rtl w:val="true"/>
              </w:rPr>
              <w:t>«</w:t>
            </w:r>
            <w:r>
              <w:rPr>
                <w:rStyle w:val="IndexLink"/>
                <w:rtl w:val="true"/>
              </w:rPr>
              <w:t xml:space="preserve">الرابعة </w:t>
            </w:r>
            <w:r>
              <w:rPr>
                <w:rStyle w:val="IndexLink"/>
                <w:rtl w:val="true"/>
              </w:rPr>
              <w:t>[</w:t>
            </w:r>
            <w:r>
              <w:rPr>
                <w:rStyle w:val="IndexLink"/>
                <w:rtl w:val="true"/>
              </w:rPr>
              <w:t xml:space="preserve">اشتراک العبید فی القتل </w:t>
            </w:r>
            <w:r>
              <w:rPr>
                <w:rStyle w:val="IndexLink"/>
                <w:rtl w:val="true"/>
              </w:rPr>
              <w:t>] » :</w:t>
              <w:tab/>
            </w:r>
            <w:r>
              <w:rPr>
                <w:rStyle w:val="IndexLink"/>
              </w:rPr>
              <w:t>402</w:t>
            </w:r>
          </w:hyperlink>
        </w:p>
        <w:p>
          <w:pPr>
            <w:pStyle w:val="Contents5"/>
            <w:tabs>
              <w:tab w:val="clear" w:pos="7892"/>
              <w:tab w:val="right" w:pos="9026" w:leader="dot"/>
            </w:tabs>
            <w:rPr/>
          </w:pPr>
          <w:hyperlink w:anchor="__RefHeading___Toc2228133_2314609296">
            <w:r>
              <w:rPr>
                <w:webHidden/>
                <w:rStyle w:val="IndexLink"/>
                <w:rtl w:val="true"/>
              </w:rPr>
              <w:t>«</w:t>
            </w:r>
            <w:r>
              <w:rPr>
                <w:rStyle w:val="IndexLink"/>
                <w:rtl w:val="true"/>
              </w:rPr>
              <w:t xml:space="preserve">الخامسة </w:t>
            </w:r>
            <w:r>
              <w:rPr>
                <w:rStyle w:val="IndexLink"/>
                <w:rtl w:val="true"/>
              </w:rPr>
              <w:t>[</w:t>
            </w:r>
            <w:r>
              <w:rPr>
                <w:rStyle w:val="IndexLink"/>
                <w:rtl w:val="true"/>
              </w:rPr>
              <w:t xml:space="preserve">اشتراک الحر و العبد فی القتل </w:t>
            </w:r>
            <w:r>
              <w:rPr>
                <w:rStyle w:val="IndexLink"/>
                <w:rtl w:val="true"/>
              </w:rPr>
              <w:t>] » :</w:t>
              <w:tab/>
            </w:r>
            <w:r>
              <w:rPr>
                <w:rStyle w:val="IndexLink"/>
              </w:rPr>
              <w:t>402</w:t>
            </w:r>
          </w:hyperlink>
        </w:p>
        <w:p>
          <w:pPr>
            <w:pStyle w:val="Contents4"/>
            <w:tabs>
              <w:tab w:val="clear" w:pos="8176"/>
              <w:tab w:val="right" w:pos="9026" w:leader="dot"/>
            </w:tabs>
            <w:rPr/>
          </w:pPr>
          <w:hyperlink w:anchor="__RefHeading___Toc2228135_2314609296">
            <w:r>
              <w:rPr>
                <w:webHidden/>
                <w:rStyle w:val="IndexLink"/>
                <w:rtl w:val="true"/>
              </w:rPr>
              <w:t>«</w:t>
            </w:r>
            <w:r>
              <w:rPr>
                <w:rStyle w:val="IndexLink"/>
                <w:rtl w:val="true"/>
              </w:rPr>
              <w:t>القول فی شرائط القصاص</w:t>
            </w:r>
            <w:r>
              <w:rPr>
                <w:rStyle w:val="IndexLink"/>
                <w:rtl w:val="true"/>
              </w:rPr>
              <w:t xml:space="preserve">» </w:t>
            </w:r>
            <w:r>
              <w:rPr>
                <w:rStyle w:val="IndexLink"/>
                <w:rtl w:val="true"/>
              </w:rPr>
              <w:t>وهی خمسة</w:t>
            </w:r>
            <w:r>
              <w:rPr>
                <w:rStyle w:val="IndexLink"/>
                <w:rtl w:val="true"/>
              </w:rPr>
              <w:t>:</w:t>
              <w:tab/>
            </w:r>
            <w:r>
              <w:rPr>
                <w:rStyle w:val="IndexLink"/>
              </w:rPr>
              <w:t>404</w:t>
            </w:r>
          </w:hyperlink>
        </w:p>
        <w:p>
          <w:pPr>
            <w:pStyle w:val="Contents5"/>
            <w:tabs>
              <w:tab w:val="clear" w:pos="7892"/>
              <w:tab w:val="right" w:pos="9026" w:leader="dot"/>
            </w:tabs>
            <w:rPr/>
          </w:pPr>
          <w:hyperlink w:anchor="__RefHeading___Toc2228137_2314609296">
            <w:r>
              <w:rPr>
                <w:webHidden/>
                <w:rStyle w:val="IndexLink"/>
                <w:rtl w:val="true"/>
              </w:rPr>
              <w:t>[</w:t>
            </w:r>
            <w:r>
              <w:rPr>
                <w:rStyle w:val="IndexLink"/>
              </w:rPr>
              <w:t>1</w:t>
            </w:r>
            <w:r>
              <w:rPr>
                <w:rStyle w:val="IndexLink"/>
                <w:rtl w:val="true"/>
              </w:rPr>
              <w:t xml:space="preserve">- </w:t>
            </w:r>
            <w:r>
              <w:rPr>
                <w:rStyle w:val="IndexLink"/>
                <w:rtl w:val="true"/>
              </w:rPr>
              <w:t xml:space="preserve">التساوی فی الحریة او الرق </w:t>
            </w:r>
            <w:r>
              <w:rPr>
                <w:rStyle w:val="IndexLink"/>
                <w:rtl w:val="true"/>
              </w:rPr>
              <w:t>]</w:t>
              <w:tab/>
            </w:r>
            <w:r>
              <w:rPr>
                <w:rStyle w:val="IndexLink"/>
              </w:rPr>
              <w:t>404</w:t>
            </w:r>
          </w:hyperlink>
        </w:p>
        <w:p>
          <w:pPr>
            <w:pStyle w:val="Contents5"/>
            <w:tabs>
              <w:tab w:val="clear" w:pos="7892"/>
              <w:tab w:val="right" w:pos="9026" w:leader="dot"/>
            </w:tabs>
            <w:rPr/>
          </w:pPr>
          <w:hyperlink w:anchor="__RefHeading___Toc2228139_2314609296">
            <w:r>
              <w:rPr>
                <w:webHidden/>
                <w:rStyle w:val="IndexLink"/>
                <w:rtl w:val="true"/>
              </w:rPr>
              <w:t>[</w:t>
            </w:r>
            <w:r>
              <w:rPr>
                <w:rStyle w:val="IndexLink"/>
              </w:rPr>
              <w:t>2</w:t>
            </w:r>
            <w:r>
              <w:rPr>
                <w:rStyle w:val="IndexLink"/>
                <w:rtl w:val="true"/>
              </w:rPr>
              <w:t xml:space="preserve">- </w:t>
            </w:r>
            <w:r>
              <w:rPr>
                <w:rStyle w:val="IndexLink"/>
                <w:rtl w:val="true"/>
              </w:rPr>
              <w:t>التساوی فی الدین</w:t>
            </w:r>
            <w:r>
              <w:rPr>
                <w:rStyle w:val="IndexLink"/>
                <w:rtl w:val="true"/>
              </w:rPr>
              <w:t>]</w:t>
              <w:tab/>
            </w:r>
            <w:r>
              <w:rPr>
                <w:rStyle w:val="IndexLink"/>
              </w:rPr>
              <w:t>413</w:t>
            </w:r>
          </w:hyperlink>
        </w:p>
        <w:p>
          <w:pPr>
            <w:pStyle w:val="Contents5"/>
            <w:tabs>
              <w:tab w:val="clear" w:pos="7892"/>
              <w:tab w:val="right" w:pos="9026" w:leader="dot"/>
            </w:tabs>
            <w:rPr/>
          </w:pPr>
          <w:hyperlink w:anchor="__RefHeading___Toc2228141_2314609296">
            <w:r>
              <w:rPr>
                <w:webHidden/>
                <w:rStyle w:val="IndexLink"/>
                <w:rtl w:val="true"/>
              </w:rPr>
              <w:t>[</w:t>
            </w:r>
            <w:r>
              <w:rPr>
                <w:rStyle w:val="IndexLink"/>
              </w:rPr>
              <w:t>3</w:t>
            </w:r>
            <w:r>
              <w:rPr>
                <w:rStyle w:val="IndexLink"/>
                <w:rtl w:val="true"/>
              </w:rPr>
              <w:t xml:space="preserve">- </w:t>
            </w:r>
            <w:r>
              <w:rPr>
                <w:rStyle w:val="IndexLink"/>
                <w:rtl w:val="true"/>
              </w:rPr>
              <w:t>انتفاء الابوة</w:t>
            </w:r>
            <w:r>
              <w:rPr>
                <w:rStyle w:val="IndexLink"/>
                <w:rtl w:val="true"/>
              </w:rPr>
              <w:t>]</w:t>
              <w:tab/>
            </w:r>
            <w:r>
              <w:rPr>
                <w:rStyle w:val="IndexLink"/>
              </w:rPr>
              <w:t>419</w:t>
            </w:r>
          </w:hyperlink>
        </w:p>
        <w:p>
          <w:pPr>
            <w:pStyle w:val="Contents5"/>
            <w:tabs>
              <w:tab w:val="clear" w:pos="7892"/>
              <w:tab w:val="right" w:pos="9026" w:leader="dot"/>
            </w:tabs>
            <w:rPr/>
          </w:pPr>
          <w:hyperlink w:anchor="__RefHeading___Toc2228143_2314609296">
            <w:r>
              <w:rPr>
                <w:webHidden/>
                <w:rStyle w:val="IndexLink"/>
                <w:rtl w:val="true"/>
              </w:rPr>
              <w:t>[</w:t>
            </w:r>
            <w:r>
              <w:rPr>
                <w:rStyle w:val="IndexLink"/>
              </w:rPr>
              <w:t>4</w:t>
            </w:r>
            <w:r>
              <w:rPr>
                <w:rStyle w:val="IndexLink"/>
                <w:rtl w:val="true"/>
              </w:rPr>
              <w:t xml:space="preserve">- </w:t>
            </w:r>
            <w:r>
              <w:rPr>
                <w:rStyle w:val="IndexLink"/>
                <w:rtl w:val="true"/>
              </w:rPr>
              <w:t xml:space="preserve">کمال العقل </w:t>
            </w:r>
            <w:r>
              <w:rPr>
                <w:rStyle w:val="IndexLink"/>
                <w:rtl w:val="true"/>
              </w:rPr>
              <w:t>]</w:t>
              <w:tab/>
            </w:r>
            <w:r>
              <w:rPr>
                <w:rStyle w:val="IndexLink"/>
              </w:rPr>
              <w:t>420</w:t>
            </w:r>
          </w:hyperlink>
        </w:p>
        <w:p>
          <w:pPr>
            <w:pStyle w:val="Contents5"/>
            <w:tabs>
              <w:tab w:val="clear" w:pos="7892"/>
              <w:tab w:val="right" w:pos="9026" w:leader="dot"/>
            </w:tabs>
            <w:rPr/>
          </w:pPr>
          <w:hyperlink w:anchor="__RefHeading___Toc2228145_2314609296">
            <w:r>
              <w:rPr>
                <w:webHidden/>
                <w:rStyle w:val="IndexLink"/>
                <w:rtl w:val="true"/>
              </w:rPr>
              <w:t>[</w:t>
            </w:r>
            <w:r>
              <w:rPr>
                <w:rStyle w:val="IndexLink"/>
              </w:rPr>
              <w:t>5</w:t>
            </w:r>
            <w:r>
              <w:rPr>
                <w:rStyle w:val="IndexLink"/>
                <w:rtl w:val="true"/>
              </w:rPr>
              <w:t xml:space="preserve">- </w:t>
            </w:r>
            <w:r>
              <w:rPr>
                <w:rStyle w:val="IndexLink"/>
                <w:rtl w:val="true"/>
              </w:rPr>
              <w:t xml:space="preserve">ان یکون المقتول محقون الدم </w:t>
            </w:r>
            <w:r>
              <w:rPr>
                <w:rStyle w:val="IndexLink"/>
                <w:rtl w:val="true"/>
              </w:rPr>
              <w:t>]</w:t>
              <w:tab/>
            </w:r>
            <w:r>
              <w:rPr>
                <w:rStyle w:val="IndexLink"/>
              </w:rPr>
              <w:t>421</w:t>
            </w:r>
          </w:hyperlink>
        </w:p>
        <w:p>
          <w:pPr>
            <w:pStyle w:val="Contents4"/>
            <w:tabs>
              <w:tab w:val="clear" w:pos="8176"/>
              <w:tab w:val="right" w:pos="9026" w:leader="dot"/>
            </w:tabs>
            <w:rPr/>
          </w:pPr>
          <w:hyperlink w:anchor="__RefHeading___Toc2228147_2314609296">
            <w:r>
              <w:rPr>
                <w:webHidden/>
                <w:rStyle w:val="IndexLink"/>
                <w:rtl w:val="true"/>
              </w:rPr>
              <w:t>«</w:t>
            </w:r>
            <w:r>
              <w:rPr>
                <w:rStyle w:val="IndexLink"/>
                <w:rtl w:val="true"/>
              </w:rPr>
              <w:t>القول فی ما یثبت به القتل</w:t>
            </w:r>
            <w:r>
              <w:rPr>
                <w:rStyle w:val="IndexLink"/>
                <w:rtl w:val="true"/>
              </w:rPr>
              <w:t>»</w:t>
              <w:tab/>
            </w:r>
            <w:r>
              <w:rPr>
                <w:rStyle w:val="IndexLink"/>
              </w:rPr>
              <w:t>422</w:t>
            </w:r>
          </w:hyperlink>
        </w:p>
        <w:p>
          <w:pPr>
            <w:pStyle w:val="Contents5"/>
            <w:tabs>
              <w:tab w:val="clear" w:pos="7892"/>
              <w:tab w:val="right" w:pos="9026" w:leader="dot"/>
            </w:tabs>
            <w:rPr/>
          </w:pPr>
          <w:hyperlink w:anchor="__RefHeading___Toc2228149_2314609296">
            <w:r>
              <w:rPr>
                <w:webHidden/>
                <w:rStyle w:val="IndexLink"/>
                <w:rtl w:val="true"/>
              </w:rPr>
              <w:t>اشارة</w:t>
            </w:r>
            <w:r>
              <w:rPr>
                <w:rStyle w:val="IndexLink"/>
                <w:rtl w:val="true"/>
              </w:rPr>
              <w:tab/>
            </w:r>
            <w:r>
              <w:rPr>
                <w:rStyle w:val="IndexLink"/>
              </w:rPr>
              <w:t>422</w:t>
            </w:r>
          </w:hyperlink>
        </w:p>
        <w:p>
          <w:pPr>
            <w:pStyle w:val="Contents5"/>
            <w:tabs>
              <w:tab w:val="clear" w:pos="7892"/>
              <w:tab w:val="right" w:pos="9026" w:leader="dot"/>
            </w:tabs>
            <w:rPr/>
          </w:pPr>
          <w:hyperlink w:anchor="__RefHeading___Toc2228151_2314609296">
            <w:r>
              <w:rPr>
                <w:webHidden/>
                <w:rStyle w:val="IndexLink"/>
                <w:rtl w:val="true"/>
              </w:rPr>
              <w:t>[</w:t>
            </w:r>
            <w:r>
              <w:rPr>
                <w:rStyle w:val="IndexLink"/>
              </w:rPr>
              <w:t>1</w:t>
            </w:r>
            <w:r>
              <w:rPr>
                <w:rStyle w:val="IndexLink"/>
                <w:rtl w:val="true"/>
              </w:rPr>
              <w:t xml:space="preserve">- </w:t>
            </w:r>
            <w:r>
              <w:rPr>
                <w:rStyle w:val="IndexLink"/>
                <w:rtl w:val="true"/>
              </w:rPr>
              <w:t xml:space="preserve">الاقرار </w:t>
            </w:r>
            <w:r>
              <w:rPr>
                <w:rStyle w:val="IndexLink"/>
                <w:rtl w:val="true"/>
              </w:rPr>
              <w:t>]</w:t>
              <w:tab/>
            </w:r>
            <w:r>
              <w:rPr>
                <w:rStyle w:val="IndexLink"/>
              </w:rPr>
              <w:t>422</w:t>
            </w:r>
          </w:hyperlink>
        </w:p>
        <w:p>
          <w:pPr>
            <w:pStyle w:val="Contents5"/>
            <w:tabs>
              <w:tab w:val="clear" w:pos="7892"/>
              <w:tab w:val="right" w:pos="9026" w:leader="dot"/>
            </w:tabs>
            <w:rPr/>
          </w:pPr>
          <w:hyperlink w:anchor="__RefHeading___Toc2228153_2314609296">
            <w:r>
              <w:rPr>
                <w:webHidden/>
                <w:rStyle w:val="IndexLink"/>
                <w:rtl w:val="true"/>
              </w:rPr>
              <w:t>[</w:t>
            </w:r>
            <w:r>
              <w:rPr>
                <w:rStyle w:val="IndexLink"/>
              </w:rPr>
              <w:t>2</w:t>
            </w:r>
            <w:r>
              <w:rPr>
                <w:rStyle w:val="IndexLink"/>
                <w:rtl w:val="true"/>
              </w:rPr>
              <w:t xml:space="preserve">- </w:t>
            </w:r>
            <w:r>
              <w:rPr>
                <w:rStyle w:val="IndexLink"/>
                <w:rtl w:val="true"/>
              </w:rPr>
              <w:t>البینة</w:t>
            </w:r>
            <w:r>
              <w:rPr>
                <w:rStyle w:val="IndexLink"/>
                <w:rtl w:val="true"/>
              </w:rPr>
              <w:t>]</w:t>
              <w:tab/>
            </w:r>
            <w:r>
              <w:rPr>
                <w:rStyle w:val="IndexLink"/>
              </w:rPr>
              <w:t>424</w:t>
            </w:r>
          </w:hyperlink>
        </w:p>
        <w:p>
          <w:pPr>
            <w:pStyle w:val="Contents5"/>
            <w:tabs>
              <w:tab w:val="clear" w:pos="7892"/>
              <w:tab w:val="right" w:pos="9026" w:leader="dot"/>
            </w:tabs>
            <w:rPr/>
          </w:pPr>
          <w:hyperlink w:anchor="__RefHeading___Toc2228155_2314609296">
            <w:r>
              <w:rPr>
                <w:webHidden/>
                <w:rStyle w:val="IndexLink"/>
                <w:rtl w:val="true"/>
              </w:rPr>
              <w:t>[</w:t>
            </w:r>
            <w:r>
              <w:rPr>
                <w:rStyle w:val="IndexLink"/>
              </w:rPr>
              <w:t>3</w:t>
            </w:r>
            <w:r>
              <w:rPr>
                <w:rStyle w:val="IndexLink"/>
                <w:rtl w:val="true"/>
              </w:rPr>
              <w:t xml:space="preserve">- </w:t>
            </w:r>
            <w:r>
              <w:rPr>
                <w:rStyle w:val="IndexLink"/>
                <w:rtl w:val="true"/>
              </w:rPr>
              <w:t>القسامة</w:t>
            </w:r>
            <w:r>
              <w:rPr>
                <w:rStyle w:val="IndexLink"/>
                <w:rtl w:val="true"/>
              </w:rPr>
              <w:t>]</w:t>
              <w:tab/>
            </w:r>
            <w:r>
              <w:rPr>
                <w:rStyle w:val="IndexLink"/>
              </w:rPr>
              <w:t>425</w:t>
            </w:r>
          </w:hyperlink>
        </w:p>
        <w:p>
          <w:pPr>
            <w:pStyle w:val="Contents3"/>
            <w:tabs>
              <w:tab w:val="clear" w:pos="8459"/>
              <w:tab w:val="right" w:pos="9026" w:leader="dot"/>
            </w:tabs>
            <w:rPr/>
          </w:pPr>
          <w:hyperlink w:anchor="__RefHeading___Toc2228157_2314609296">
            <w:r>
              <w:rPr>
                <w:webHidden/>
                <w:rStyle w:val="IndexLink"/>
                <w:rtl w:val="true"/>
              </w:rPr>
              <w:t>«</w:t>
            </w:r>
            <w:r>
              <w:rPr>
                <w:rStyle w:val="IndexLink"/>
                <w:rtl w:val="true"/>
              </w:rPr>
              <w:t>الفصل الثانی</w:t>
            </w:r>
            <w:r>
              <w:rPr>
                <w:rStyle w:val="IndexLink"/>
                <w:rtl w:val="true"/>
              </w:rPr>
              <w:t>» «</w:t>
            </w:r>
            <w:r>
              <w:rPr>
                <w:rStyle w:val="IndexLink"/>
                <w:rtl w:val="true"/>
              </w:rPr>
              <w:t>فی قصاص الطرف</w:t>
            </w:r>
            <w:r>
              <w:rPr>
                <w:rStyle w:val="IndexLink"/>
                <w:rtl w:val="true"/>
              </w:rPr>
              <w:t>»</w:t>
              <w:tab/>
            </w:r>
            <w:r>
              <w:rPr>
                <w:rStyle w:val="IndexLink"/>
              </w:rPr>
              <w:t>429</w:t>
            </w:r>
          </w:hyperlink>
        </w:p>
        <w:p>
          <w:pPr>
            <w:pStyle w:val="Contents4"/>
            <w:tabs>
              <w:tab w:val="clear" w:pos="8176"/>
              <w:tab w:val="right" w:pos="9026" w:leader="dot"/>
            </w:tabs>
            <w:rPr/>
          </w:pPr>
          <w:hyperlink w:anchor="__RefHeading___Toc2228159_2314609296">
            <w:r>
              <w:rPr>
                <w:webHidden/>
                <w:rStyle w:val="IndexLink"/>
                <w:rtl w:val="true"/>
              </w:rPr>
              <w:t>اشارة</w:t>
            </w:r>
            <w:r>
              <w:rPr>
                <w:rStyle w:val="IndexLink"/>
                <w:rtl w:val="true"/>
              </w:rPr>
              <w:tab/>
            </w:r>
            <w:r>
              <w:rPr>
                <w:rStyle w:val="IndexLink"/>
              </w:rPr>
              <w:t>429</w:t>
            </w:r>
          </w:hyperlink>
        </w:p>
        <w:p>
          <w:pPr>
            <w:pStyle w:val="Contents4"/>
            <w:tabs>
              <w:tab w:val="clear" w:pos="8176"/>
              <w:tab w:val="right" w:pos="9026" w:leader="dot"/>
            </w:tabs>
            <w:rPr/>
          </w:pPr>
          <w:hyperlink w:anchor="__RefHeading___Toc2228161_2314609296">
            <w:r>
              <w:rPr>
                <w:webHidden/>
                <w:rStyle w:val="IndexLink"/>
                <w:rtl w:val="true"/>
              </w:rPr>
              <w:t>[«</w:t>
            </w:r>
            <w:r>
              <w:rPr>
                <w:rStyle w:val="IndexLink"/>
                <w:rtl w:val="true"/>
              </w:rPr>
              <w:t>وموجبه</w:t>
            </w:r>
            <w:r>
              <w:rPr>
                <w:rStyle w:val="IndexLink"/>
                <w:rtl w:val="true"/>
              </w:rPr>
              <w:t>»]</w:t>
              <w:tab/>
            </w:r>
            <w:r>
              <w:rPr>
                <w:rStyle w:val="IndexLink"/>
              </w:rPr>
              <w:t>429</w:t>
            </w:r>
          </w:hyperlink>
        </w:p>
        <w:p>
          <w:pPr>
            <w:pStyle w:val="Contents4"/>
            <w:tabs>
              <w:tab w:val="clear" w:pos="8176"/>
              <w:tab w:val="right" w:pos="9026" w:leader="dot"/>
            </w:tabs>
            <w:rPr/>
          </w:pPr>
          <w:hyperlink w:anchor="__RefHeading___Toc2228163_2314609296">
            <w:r>
              <w:rPr>
                <w:webHidden/>
                <w:rStyle w:val="IndexLink"/>
                <w:rtl w:val="true"/>
              </w:rPr>
              <w:t>[</w:t>
            </w:r>
            <w:r>
              <w:rPr>
                <w:rStyle w:val="IndexLink"/>
                <w:rtl w:val="true"/>
              </w:rPr>
              <w:t xml:space="preserve">ما یثبت فیه القصاص و ما لایثبت </w:t>
            </w:r>
            <w:r>
              <w:rPr>
                <w:rStyle w:val="IndexLink"/>
                <w:rtl w:val="true"/>
              </w:rPr>
              <w:t>]</w:t>
              <w:tab/>
            </w:r>
            <w:r>
              <w:rPr>
                <w:rStyle w:val="IndexLink"/>
              </w:rPr>
              <w:t>431</w:t>
            </w:r>
          </w:hyperlink>
        </w:p>
        <w:p>
          <w:pPr>
            <w:pStyle w:val="Contents3"/>
            <w:tabs>
              <w:tab w:val="clear" w:pos="8459"/>
              <w:tab w:val="right" w:pos="9026" w:leader="dot"/>
            </w:tabs>
            <w:rPr/>
          </w:pPr>
          <w:hyperlink w:anchor="__RefHeading___Toc2228165_2314609296">
            <w:r>
              <w:rPr>
                <w:webHidden/>
                <w:rStyle w:val="IndexLink"/>
                <w:rtl w:val="true"/>
              </w:rPr>
              <w:t>«</w:t>
            </w:r>
            <w:r>
              <w:rPr>
                <w:rStyle w:val="IndexLink"/>
                <w:rtl w:val="true"/>
              </w:rPr>
              <w:t>الفصل الثالث</w:t>
            </w:r>
            <w:r>
              <w:rPr>
                <w:rStyle w:val="IndexLink"/>
                <w:rtl w:val="true"/>
              </w:rPr>
              <w:t>» «</w:t>
            </w:r>
            <w:r>
              <w:rPr>
                <w:rStyle w:val="IndexLink"/>
                <w:rtl w:val="true"/>
              </w:rPr>
              <w:t>فی اللواحق</w:t>
            </w:r>
            <w:r>
              <w:rPr>
                <w:rStyle w:val="IndexLink"/>
                <w:rtl w:val="true"/>
              </w:rPr>
              <w:t>»</w:t>
              <w:tab/>
            </w:r>
            <w:r>
              <w:rPr>
                <w:rStyle w:val="IndexLink"/>
              </w:rPr>
              <w:t>439</w:t>
            </w:r>
          </w:hyperlink>
        </w:p>
        <w:p>
          <w:pPr>
            <w:pStyle w:val="Contents2"/>
            <w:tabs>
              <w:tab w:val="clear" w:pos="8743"/>
              <w:tab w:val="right" w:pos="9026" w:leader="dot"/>
            </w:tabs>
            <w:rPr/>
          </w:pPr>
          <w:hyperlink w:anchor="__RefHeading___Toc2228167_2314609296">
            <w:r>
              <w:rPr>
                <w:webHidden/>
                <w:rStyle w:val="IndexLink"/>
                <w:rtl w:val="true"/>
              </w:rPr>
              <w:t>کتاب الدیات</w:t>
            </w:r>
            <w:r>
              <w:rPr>
                <w:rStyle w:val="IndexLink"/>
                <w:rtl w:val="true"/>
              </w:rPr>
              <w:tab/>
            </w:r>
            <w:r>
              <w:rPr>
                <w:rStyle w:val="IndexLink"/>
              </w:rPr>
              <w:t>449</w:t>
            </w:r>
          </w:hyperlink>
        </w:p>
        <w:p>
          <w:pPr>
            <w:pStyle w:val="Contents3"/>
            <w:tabs>
              <w:tab w:val="clear" w:pos="8459"/>
              <w:tab w:val="right" w:pos="9026" w:leader="dot"/>
            </w:tabs>
            <w:rPr/>
          </w:pPr>
          <w:hyperlink w:anchor="__RefHeading___Toc2228169_2314609296">
            <w:r>
              <w:rPr>
                <w:webHidden/>
                <w:rStyle w:val="IndexLink"/>
                <w:rtl w:val="true"/>
              </w:rPr>
              <w:t>اشارة</w:t>
            </w:r>
            <w:r>
              <w:rPr>
                <w:rStyle w:val="IndexLink"/>
                <w:rtl w:val="true"/>
              </w:rPr>
              <w:tab/>
            </w:r>
            <w:r>
              <w:rPr>
                <w:rStyle w:val="IndexLink"/>
              </w:rPr>
              <w:t>449</w:t>
            </w:r>
          </w:hyperlink>
        </w:p>
        <w:p>
          <w:pPr>
            <w:pStyle w:val="Contents3"/>
            <w:tabs>
              <w:tab w:val="clear" w:pos="8459"/>
              <w:tab w:val="right" w:pos="9026" w:leader="dot"/>
            </w:tabs>
            <w:rPr/>
          </w:pPr>
          <w:hyperlink w:anchor="__RefHeading___Toc2228171_2314609296">
            <w:r>
              <w:rPr>
                <w:webHidden/>
                <w:rStyle w:val="IndexLink"/>
                <w:rtl w:val="true"/>
              </w:rPr>
              <w:t xml:space="preserve">الفصل </w:t>
            </w:r>
            <w:r>
              <w:rPr>
                <w:rStyle w:val="IndexLink"/>
                <w:rtl w:val="true"/>
              </w:rPr>
              <w:t>«</w:t>
            </w:r>
            <w:r>
              <w:rPr>
                <w:rStyle w:val="IndexLink"/>
                <w:rtl w:val="true"/>
              </w:rPr>
              <w:t>الأوّل</w:t>
            </w:r>
            <w:r>
              <w:rPr>
                <w:rStyle w:val="IndexLink"/>
                <w:rtl w:val="true"/>
              </w:rPr>
              <w:t>» «</w:t>
            </w:r>
            <w:r>
              <w:rPr>
                <w:rStyle w:val="IndexLink"/>
                <w:rtl w:val="true"/>
              </w:rPr>
              <w:t>فی مورد الدیة</w:t>
            </w:r>
            <w:r>
              <w:rPr>
                <w:rStyle w:val="IndexLink"/>
                <w:rtl w:val="true"/>
              </w:rPr>
              <w:t>»</w:t>
              <w:tab/>
            </w:r>
            <w:r>
              <w:rPr>
                <w:rStyle w:val="IndexLink"/>
              </w:rPr>
              <w:t>450</w:t>
            </w:r>
          </w:hyperlink>
        </w:p>
        <w:p>
          <w:pPr>
            <w:pStyle w:val="Contents4"/>
            <w:tabs>
              <w:tab w:val="clear" w:pos="8176"/>
              <w:tab w:val="right" w:pos="9026" w:leader="dot"/>
            </w:tabs>
            <w:rPr/>
          </w:pPr>
          <w:hyperlink w:anchor="__RefHeading___Toc2228173_2314609296">
            <w:r>
              <w:rPr>
                <w:webHidden/>
                <w:rStyle w:val="IndexLink"/>
                <w:rtl w:val="true"/>
              </w:rPr>
              <w:t>اشارة</w:t>
            </w:r>
            <w:r>
              <w:rPr>
                <w:rStyle w:val="IndexLink"/>
                <w:rtl w:val="true"/>
              </w:rPr>
              <w:tab/>
            </w:r>
            <w:r>
              <w:rPr>
                <w:rStyle w:val="IndexLink"/>
              </w:rPr>
              <w:t>450</w:t>
            </w:r>
          </w:hyperlink>
        </w:p>
        <w:p>
          <w:pPr>
            <w:pStyle w:val="Contents4"/>
            <w:tabs>
              <w:tab w:val="clear" w:pos="8176"/>
              <w:tab w:val="right" w:pos="9026" w:leader="dot"/>
            </w:tabs>
            <w:rPr/>
          </w:pPr>
          <w:hyperlink w:anchor="__RefHeading___Toc2228175_2314609296">
            <w:r>
              <w:rPr>
                <w:webHidden/>
                <w:rStyle w:val="IndexLink"/>
                <w:rtl w:val="true"/>
              </w:rPr>
              <w:t>[</w:t>
            </w:r>
            <w:r>
              <w:rPr>
                <w:rStyle w:val="IndexLink"/>
                <w:rtl w:val="true"/>
              </w:rPr>
              <w:t>الضابط فی العمد و الخطاء</w:t>
            </w:r>
            <w:r>
              <w:rPr>
                <w:rStyle w:val="IndexLink"/>
                <w:rtl w:val="true"/>
              </w:rPr>
              <w:t>]</w:t>
              <w:tab/>
            </w:r>
            <w:r>
              <w:rPr>
                <w:rStyle w:val="IndexLink"/>
              </w:rPr>
              <w:t>451</w:t>
            </w:r>
          </w:hyperlink>
        </w:p>
        <w:p>
          <w:pPr>
            <w:pStyle w:val="Contents4"/>
            <w:tabs>
              <w:tab w:val="clear" w:pos="8176"/>
              <w:tab w:val="right" w:pos="9026" w:leader="dot"/>
            </w:tabs>
            <w:rPr/>
          </w:pPr>
          <w:hyperlink w:anchor="__RefHeading___Toc2228177_2314609296">
            <w:r>
              <w:rPr>
                <w:webHidden/>
                <w:rStyle w:val="IndexLink"/>
                <w:rtl w:val="true"/>
              </w:rPr>
              <w:t>[</w:t>
            </w:r>
            <w:r>
              <w:rPr>
                <w:rStyle w:val="IndexLink"/>
                <w:rtl w:val="true"/>
              </w:rPr>
              <w:t>موجبات الضمان</w:t>
            </w:r>
            <w:r>
              <w:rPr>
                <w:rStyle w:val="IndexLink"/>
                <w:rtl w:val="true"/>
              </w:rPr>
              <w:t>]</w:t>
              <w:tab/>
            </w:r>
            <w:r>
              <w:rPr>
                <w:rStyle w:val="IndexLink"/>
              </w:rPr>
              <w:t>451</w:t>
            </w:r>
          </w:hyperlink>
        </w:p>
        <w:p>
          <w:pPr>
            <w:pStyle w:val="Contents4"/>
            <w:tabs>
              <w:tab w:val="clear" w:pos="8176"/>
              <w:tab w:val="right" w:pos="9026" w:leader="dot"/>
            </w:tabs>
            <w:rPr/>
          </w:pPr>
          <w:hyperlink w:anchor="__RefHeading___Toc2228179_2314609296">
            <w:r>
              <w:rPr>
                <w:webHidden/>
                <w:rStyle w:val="IndexLink"/>
                <w:rtl w:val="true"/>
              </w:rPr>
              <w:t>«</w:t>
            </w:r>
            <w:r>
              <w:rPr>
                <w:rStyle w:val="IndexLink"/>
                <w:rtl w:val="true"/>
              </w:rPr>
              <w:t>وهنا مسائل</w:t>
            </w:r>
            <w:r>
              <w:rPr>
                <w:rStyle w:val="IndexLink"/>
                <w:rtl w:val="true"/>
              </w:rPr>
              <w:t>»</w:t>
              <w:tab/>
            </w:r>
            <w:r>
              <w:rPr>
                <w:rStyle w:val="IndexLink"/>
              </w:rPr>
              <w:t>458</w:t>
            </w:r>
          </w:hyperlink>
        </w:p>
        <w:p>
          <w:pPr>
            <w:pStyle w:val="Contents5"/>
            <w:tabs>
              <w:tab w:val="clear" w:pos="7892"/>
              <w:tab w:val="right" w:pos="9026" w:leader="dot"/>
            </w:tabs>
            <w:rPr/>
          </w:pPr>
          <w:hyperlink w:anchor="__RefHeading___Toc2228181_2314609296">
            <w:r>
              <w:rPr>
                <w:webHidden/>
                <w:rStyle w:val="IndexLink"/>
                <w:rtl w:val="true"/>
              </w:rPr>
              <w:t>«</w:t>
            </w:r>
            <w:r>
              <w:rPr>
                <w:rStyle w:val="IndexLink"/>
                <w:rtl w:val="true"/>
              </w:rPr>
              <w:t>الاُولی</w:t>
            </w:r>
            <w:r>
              <w:rPr>
                <w:rStyle w:val="IndexLink"/>
                <w:rtl w:val="true"/>
              </w:rPr>
              <w:t>» : «</w:t>
            </w:r>
            <w:r>
              <w:rPr>
                <w:rStyle w:val="IndexLink"/>
                <w:rtl w:val="true"/>
              </w:rPr>
              <w:t>من دعا غیره لیلاً فأخرجه من منزله</w:t>
            </w:r>
            <w:r>
              <w:rPr>
                <w:rStyle w:val="IndexLink"/>
                <w:rtl w:val="true"/>
              </w:rPr>
              <w:t>»</w:t>
              <w:tab/>
            </w:r>
            <w:r>
              <w:rPr>
                <w:rStyle w:val="IndexLink"/>
              </w:rPr>
              <w:t>458</w:t>
            </w:r>
          </w:hyperlink>
        </w:p>
        <w:p>
          <w:pPr>
            <w:pStyle w:val="Contents5"/>
            <w:tabs>
              <w:tab w:val="clear" w:pos="7892"/>
              <w:tab w:val="right" w:pos="9026" w:leader="dot"/>
            </w:tabs>
            <w:rPr/>
          </w:pPr>
          <w:hyperlink w:anchor="__RefHeading___Toc2228183_2314609296">
            <w:r>
              <w:rPr>
                <w:webHidden/>
                <w:rStyle w:val="IndexLink"/>
                <w:rtl w:val="true"/>
              </w:rPr>
              <w:t>«</w:t>
            </w:r>
            <w:r>
              <w:rPr>
                <w:rStyle w:val="IndexLink"/>
                <w:rtl w:val="true"/>
              </w:rPr>
              <w:t>الثانیة</w:t>
            </w:r>
            <w:r>
              <w:rPr>
                <w:rStyle w:val="IndexLink"/>
                <w:rtl w:val="true"/>
              </w:rPr>
              <w:t>» : «</w:t>
            </w:r>
            <w:r>
              <w:rPr>
                <w:rStyle w:val="IndexLink"/>
                <w:rtl w:val="true"/>
              </w:rPr>
              <w:t>لو انقلبت الظئر</w:t>
            </w:r>
            <w:r>
              <w:rPr>
                <w:rStyle w:val="IndexLink"/>
                <w:rtl w:val="true"/>
              </w:rPr>
              <w:t>»</w:t>
              <w:tab/>
            </w:r>
            <w:r>
              <w:rPr>
                <w:rStyle w:val="IndexLink"/>
              </w:rPr>
              <w:t>461</w:t>
            </w:r>
          </w:hyperlink>
        </w:p>
        <w:p>
          <w:pPr>
            <w:pStyle w:val="Contents5"/>
            <w:tabs>
              <w:tab w:val="clear" w:pos="7892"/>
              <w:tab w:val="right" w:pos="9026" w:leader="dot"/>
            </w:tabs>
            <w:rPr/>
          </w:pPr>
          <w:hyperlink w:anchor="__RefHeading___Toc2228185_2314609296">
            <w:r>
              <w:rPr>
                <w:webHidden/>
                <w:rStyle w:val="IndexLink"/>
                <w:rtl w:val="true"/>
              </w:rPr>
              <w:t>«</w:t>
            </w:r>
            <w:r>
              <w:rPr>
                <w:rStyle w:val="IndexLink"/>
                <w:rtl w:val="true"/>
              </w:rPr>
              <w:t>الثالثة</w:t>
            </w:r>
            <w:r>
              <w:rPr>
                <w:rStyle w:val="IndexLink"/>
                <w:rtl w:val="true"/>
              </w:rPr>
              <w:t>» : «</w:t>
            </w:r>
            <w:r>
              <w:rPr>
                <w:rStyle w:val="IndexLink"/>
                <w:rtl w:val="true"/>
              </w:rPr>
              <w:t>لو رکبت جاریةٌ اُخری فنخستها</w:t>
            </w:r>
            <w:r>
              <w:rPr>
                <w:rStyle w:val="IndexLink"/>
                <w:rtl w:val="true"/>
              </w:rPr>
              <w:tab/>
            </w:r>
            <w:r>
              <w:rPr>
                <w:rStyle w:val="IndexLink"/>
              </w:rPr>
              <w:t>463</w:t>
            </w:r>
          </w:hyperlink>
        </w:p>
        <w:p>
          <w:pPr>
            <w:pStyle w:val="Contents5"/>
            <w:tabs>
              <w:tab w:val="clear" w:pos="7892"/>
              <w:tab w:val="right" w:pos="9026" w:leader="dot"/>
            </w:tabs>
            <w:rPr/>
          </w:pPr>
          <w:hyperlink w:anchor="__RefHeading___Toc2228187_2314609296">
            <w:r>
              <w:rPr>
                <w:webHidden/>
                <w:rStyle w:val="IndexLink"/>
                <w:rtl w:val="true"/>
              </w:rPr>
              <w:t>«</w:t>
            </w:r>
            <w:r>
              <w:rPr>
                <w:rStyle w:val="IndexLink"/>
                <w:rtl w:val="true"/>
              </w:rPr>
              <w:t>الرابعة</w:t>
            </w:r>
            <w:r>
              <w:rPr>
                <w:rStyle w:val="IndexLink"/>
                <w:rtl w:val="true"/>
              </w:rPr>
              <w:t>» : «</w:t>
            </w:r>
            <w:r>
              <w:rPr>
                <w:rStyle w:val="IndexLink"/>
                <w:rtl w:val="true"/>
              </w:rPr>
              <w:t>روی عبد اللّٰه بن طلحة عن أبی عبد اللّٰه علیه السلام فی لُصّ جمع ثیاباً، ووطئ</w:t>
            </w:r>
            <w:r>
              <w:rPr>
                <w:rStyle w:val="IndexLink"/>
                <w:rtl w:val="true"/>
              </w:rPr>
              <w:tab/>
            </w:r>
            <w:r>
              <w:rPr>
                <w:rStyle w:val="IndexLink"/>
              </w:rPr>
              <w:t>464</w:t>
            </w:r>
          </w:hyperlink>
        </w:p>
        <w:p>
          <w:pPr>
            <w:pStyle w:val="Contents5"/>
            <w:tabs>
              <w:tab w:val="clear" w:pos="7892"/>
              <w:tab w:val="right" w:pos="9026" w:leader="dot"/>
            </w:tabs>
            <w:rPr/>
          </w:pPr>
          <w:hyperlink w:anchor="__RefHeading___Toc2228189_2314609296">
            <w:r>
              <w:rPr>
                <w:webHidden/>
                <w:rStyle w:val="IndexLink"/>
                <w:rtl w:val="true"/>
              </w:rPr>
              <w:t>«</w:t>
            </w:r>
            <w:r>
              <w:rPr>
                <w:rStyle w:val="IndexLink"/>
                <w:rtl w:val="true"/>
              </w:rPr>
              <w:t>الخامسة</w:t>
            </w:r>
            <w:r>
              <w:rPr>
                <w:rStyle w:val="IndexLink"/>
                <w:rtl w:val="true"/>
              </w:rPr>
              <w:t>» : «</w:t>
            </w:r>
            <w:r>
              <w:rPr>
                <w:rStyle w:val="IndexLink"/>
                <w:rtl w:val="true"/>
              </w:rPr>
              <w:t>یَضمَن معلّم السباحة</w:t>
            </w:r>
            <w:r>
              <w:rPr>
                <w:rStyle w:val="IndexLink"/>
                <w:rtl w:val="true"/>
              </w:rPr>
              <w:t xml:space="preserve">» </w:t>
            </w:r>
            <w:r>
              <w:rPr>
                <w:rStyle w:val="IndexLink"/>
                <w:rtl w:val="true"/>
              </w:rPr>
              <w:t xml:space="preserve">المتعلّم </w:t>
            </w:r>
            <w:r>
              <w:rPr>
                <w:rStyle w:val="IndexLink"/>
                <w:rtl w:val="true"/>
              </w:rPr>
              <w:t>«</w:t>
            </w:r>
            <w:r>
              <w:rPr>
                <w:rStyle w:val="IndexLink"/>
                <w:rtl w:val="true"/>
              </w:rPr>
              <w:t>الصغیر</w:t>
            </w:r>
            <w:r>
              <w:rPr>
                <w:rStyle w:val="IndexLink"/>
                <w:rtl w:val="true"/>
              </w:rPr>
              <w:t>»</w:t>
              <w:tab/>
            </w:r>
            <w:r>
              <w:rPr>
                <w:rStyle w:val="IndexLink"/>
              </w:rPr>
              <w:t>468</w:t>
            </w:r>
          </w:hyperlink>
        </w:p>
        <w:p>
          <w:pPr>
            <w:pStyle w:val="Contents5"/>
            <w:tabs>
              <w:tab w:val="clear" w:pos="7892"/>
              <w:tab w:val="right" w:pos="9026" w:leader="dot"/>
            </w:tabs>
            <w:rPr/>
          </w:pPr>
          <w:hyperlink w:anchor="__RefHeading___Toc2228191_2314609296">
            <w:r>
              <w:rPr>
                <w:webHidden/>
                <w:rStyle w:val="IndexLink"/>
                <w:rtl w:val="true"/>
              </w:rPr>
              <w:t>«</w:t>
            </w:r>
            <w:r>
              <w:rPr>
                <w:rStyle w:val="IndexLink"/>
                <w:rtl w:val="true"/>
              </w:rPr>
              <w:t>السادسة</w:t>
            </w:r>
            <w:r>
              <w:rPr>
                <w:rStyle w:val="IndexLink"/>
                <w:rtl w:val="true"/>
              </w:rPr>
              <w:t>» : «</w:t>
            </w:r>
            <w:r>
              <w:rPr>
                <w:rStyle w:val="IndexLink"/>
                <w:rtl w:val="true"/>
              </w:rPr>
              <w:t>لو وقع حائطه</w:t>
            </w:r>
            <w:r>
              <w:rPr>
                <w:rStyle w:val="IndexLink"/>
                <w:rtl w:val="true"/>
              </w:rPr>
              <w:t>»</w:t>
              <w:tab/>
            </w:r>
            <w:r>
              <w:rPr>
                <w:rStyle w:val="IndexLink"/>
              </w:rPr>
              <w:t>470</w:t>
            </w:r>
          </w:hyperlink>
        </w:p>
        <w:p>
          <w:pPr>
            <w:pStyle w:val="Contents5"/>
            <w:tabs>
              <w:tab w:val="clear" w:pos="7892"/>
              <w:tab w:val="right" w:pos="9026" w:leader="dot"/>
            </w:tabs>
            <w:rPr/>
          </w:pPr>
          <w:hyperlink w:anchor="__RefHeading___Toc2228193_2314609296">
            <w:r>
              <w:rPr>
                <w:webHidden/>
                <w:rStyle w:val="IndexLink"/>
                <w:rtl w:val="true"/>
              </w:rPr>
              <w:t>«</w:t>
            </w:r>
            <w:r>
              <w:rPr>
                <w:rStyle w:val="IndexLink"/>
                <w:rtl w:val="true"/>
              </w:rPr>
              <w:t>السابعة</w:t>
            </w:r>
            <w:r>
              <w:rPr>
                <w:rStyle w:val="IndexLink"/>
                <w:rtl w:val="true"/>
              </w:rPr>
              <w:t>» : «</w:t>
            </w:r>
            <w:r>
              <w:rPr>
                <w:rStyle w:val="IndexLink"/>
                <w:rtl w:val="true"/>
              </w:rPr>
              <w:t>لو أجَّج ناراً فی ملکه</w:t>
            </w:r>
            <w:r>
              <w:rPr>
                <w:rStyle w:val="IndexLink"/>
                <w:rtl w:val="true"/>
              </w:rPr>
              <w:t>»</w:t>
              <w:tab/>
            </w:r>
            <w:r>
              <w:rPr>
                <w:rStyle w:val="IndexLink"/>
              </w:rPr>
              <w:t>472</w:t>
            </w:r>
          </w:hyperlink>
        </w:p>
        <w:p>
          <w:pPr>
            <w:pStyle w:val="Contents5"/>
            <w:tabs>
              <w:tab w:val="clear" w:pos="7892"/>
              <w:tab w:val="right" w:pos="9026" w:leader="dot"/>
            </w:tabs>
            <w:rPr/>
          </w:pPr>
          <w:hyperlink w:anchor="__RefHeading___Toc2228195_2314609296">
            <w:r>
              <w:rPr>
                <w:webHidden/>
                <w:rStyle w:val="IndexLink"/>
                <w:rtl w:val="true"/>
              </w:rPr>
              <w:t>«</w:t>
            </w:r>
            <w:r>
              <w:rPr>
                <w:rStyle w:val="IndexLink"/>
                <w:rtl w:val="true"/>
              </w:rPr>
              <w:t>الثامنة</w:t>
            </w:r>
            <w:r>
              <w:rPr>
                <w:rStyle w:val="IndexLink"/>
                <w:rtl w:val="true"/>
              </w:rPr>
              <w:t>» : «</w:t>
            </w:r>
            <w:r>
              <w:rPr>
                <w:rStyle w:val="IndexLink"/>
                <w:rtl w:val="true"/>
              </w:rPr>
              <w:t>لو فرّط فی</w:t>
            </w:r>
            <w:r>
              <w:rPr>
                <w:rStyle w:val="IndexLink"/>
                <w:rtl w:val="true"/>
              </w:rPr>
              <w:t xml:space="preserve">» </w:t>
            </w:r>
            <w:r>
              <w:rPr>
                <w:rStyle w:val="IndexLink"/>
                <w:rtl w:val="true"/>
              </w:rPr>
              <w:t xml:space="preserve">حفظ </w:t>
            </w:r>
            <w:r>
              <w:rPr>
                <w:rStyle w:val="IndexLink"/>
                <w:rtl w:val="true"/>
              </w:rPr>
              <w:t>«</w:t>
            </w:r>
            <w:r>
              <w:rPr>
                <w:rStyle w:val="IndexLink"/>
                <w:rtl w:val="true"/>
              </w:rPr>
              <w:t>دابّته فدخلت علی اُخری فجنت</w:t>
            </w:r>
            <w:r>
              <w:rPr>
                <w:rStyle w:val="IndexLink"/>
                <w:rtl w:val="true"/>
              </w:rPr>
              <w:t>»</w:t>
              <w:tab/>
            </w:r>
            <w:r>
              <w:rPr>
                <w:rStyle w:val="IndexLink"/>
              </w:rPr>
              <w:t>473</w:t>
            </w:r>
          </w:hyperlink>
        </w:p>
        <w:p>
          <w:pPr>
            <w:pStyle w:val="Contents5"/>
            <w:tabs>
              <w:tab w:val="clear" w:pos="7892"/>
              <w:tab w:val="right" w:pos="9026" w:leader="dot"/>
            </w:tabs>
            <w:rPr/>
          </w:pPr>
          <w:hyperlink w:anchor="__RefHeading___Toc2228197_2314609296">
            <w:r>
              <w:rPr>
                <w:webHidden/>
                <w:rStyle w:val="IndexLink"/>
                <w:rtl w:val="true"/>
              </w:rPr>
              <w:t>«</w:t>
            </w:r>
            <w:r>
              <w:rPr>
                <w:rStyle w:val="IndexLink"/>
                <w:rtl w:val="true"/>
              </w:rPr>
              <w:t>التاسعة</w:t>
            </w:r>
            <w:r>
              <w:rPr>
                <w:rStyle w:val="IndexLink"/>
                <w:rtl w:val="true"/>
              </w:rPr>
              <w:t>» : «</w:t>
            </w:r>
            <w:r>
              <w:rPr>
                <w:rStyle w:val="IndexLink"/>
                <w:rtl w:val="true"/>
              </w:rPr>
              <w:t>یضمن راکب الدابّة ما تجنیه بیدیها ورأسها</w:t>
            </w:r>
            <w:r>
              <w:rPr>
                <w:rStyle w:val="IndexLink"/>
                <w:rtl w:val="true"/>
              </w:rPr>
              <w:t>»</w:t>
              <w:tab/>
            </w:r>
            <w:r>
              <w:rPr>
                <w:rStyle w:val="IndexLink"/>
              </w:rPr>
              <w:t>474</w:t>
            </w:r>
          </w:hyperlink>
        </w:p>
        <w:p>
          <w:pPr>
            <w:pStyle w:val="Contents5"/>
            <w:tabs>
              <w:tab w:val="clear" w:pos="7892"/>
              <w:tab w:val="right" w:pos="9026" w:leader="dot"/>
            </w:tabs>
            <w:rPr/>
          </w:pPr>
          <w:hyperlink w:anchor="__RefHeading___Toc2228199_2314609296">
            <w:r>
              <w:rPr>
                <w:webHidden/>
                <w:rStyle w:val="IndexLink"/>
                <w:rtl w:val="true"/>
              </w:rPr>
              <w:t>العاشرة</w:t>
            </w:r>
            <w:r>
              <w:rPr>
                <w:rStyle w:val="IndexLink"/>
                <w:rtl w:val="true"/>
              </w:rPr>
              <w:t>» : «</w:t>
            </w:r>
            <w:r>
              <w:rPr>
                <w:rStyle w:val="IndexLink"/>
                <w:rtl w:val="true"/>
              </w:rPr>
              <w:t>یضمن المباشر لو جامعه السبب</w:t>
            </w:r>
            <w:r>
              <w:rPr>
                <w:rStyle w:val="IndexLink"/>
                <w:rtl w:val="true"/>
              </w:rPr>
              <w:t>»</w:t>
              <w:tab/>
            </w:r>
            <w:r>
              <w:rPr>
                <w:rStyle w:val="IndexLink"/>
              </w:rPr>
              <w:t>476</w:t>
            </w:r>
          </w:hyperlink>
        </w:p>
        <w:p>
          <w:pPr>
            <w:pStyle w:val="Contents5"/>
            <w:tabs>
              <w:tab w:val="clear" w:pos="7892"/>
              <w:tab w:val="right" w:pos="9026" w:leader="dot"/>
            </w:tabs>
            <w:rPr/>
          </w:pPr>
          <w:hyperlink w:anchor="__RefHeading___Toc2228201_2314609296">
            <w:r>
              <w:rPr>
                <w:webHidden/>
                <w:rStyle w:val="IndexLink"/>
                <w:rtl w:val="true"/>
              </w:rPr>
              <w:t>«</w:t>
            </w:r>
            <w:r>
              <w:rPr>
                <w:rStyle w:val="IndexLink"/>
                <w:rtl w:val="true"/>
              </w:rPr>
              <w:t>الحادیة عشرة</w:t>
            </w:r>
            <w:r>
              <w:rPr>
                <w:rStyle w:val="IndexLink"/>
                <w:rtl w:val="true"/>
              </w:rPr>
              <w:t>» : «</w:t>
            </w:r>
            <w:r>
              <w:rPr>
                <w:rStyle w:val="IndexLink"/>
                <w:rtl w:val="true"/>
              </w:rPr>
              <w:t>لو وقع واحد فی الزُبیة</w:t>
            </w:r>
            <w:r>
              <w:rPr>
                <w:rStyle w:val="IndexLink"/>
                <w:rtl w:val="true"/>
              </w:rPr>
              <w:t>»</w:t>
              <w:tab/>
            </w:r>
            <w:r>
              <w:rPr>
                <w:rStyle w:val="IndexLink"/>
              </w:rPr>
              <w:t>476</w:t>
            </w:r>
          </w:hyperlink>
        </w:p>
        <w:p>
          <w:pPr>
            <w:pStyle w:val="Contents3"/>
            <w:tabs>
              <w:tab w:val="clear" w:pos="8459"/>
              <w:tab w:val="right" w:pos="9026" w:leader="dot"/>
            </w:tabs>
            <w:rPr/>
          </w:pPr>
          <w:hyperlink w:anchor="__RefHeading___Toc2228203_2314609296">
            <w:r>
              <w:rPr>
                <w:webHidden/>
                <w:rStyle w:val="IndexLink"/>
                <w:rtl w:val="true"/>
              </w:rPr>
              <w:t>«</w:t>
            </w:r>
            <w:r>
              <w:rPr>
                <w:rStyle w:val="IndexLink"/>
                <w:rtl w:val="true"/>
              </w:rPr>
              <w:t>الفصل الثانی</w:t>
            </w:r>
            <w:r>
              <w:rPr>
                <w:rStyle w:val="IndexLink"/>
                <w:rtl w:val="true"/>
              </w:rPr>
              <w:t>» «</w:t>
            </w:r>
            <w:r>
              <w:rPr>
                <w:rStyle w:val="IndexLink"/>
                <w:rtl w:val="true"/>
              </w:rPr>
              <w:t>فی التقدیرات</w:t>
            </w:r>
            <w:r>
              <w:rPr>
                <w:rStyle w:val="IndexLink"/>
                <w:rtl w:val="true"/>
              </w:rPr>
              <w:t>»</w:t>
              <w:tab/>
            </w:r>
            <w:r>
              <w:rPr>
                <w:rStyle w:val="IndexLink"/>
              </w:rPr>
              <w:t>480</w:t>
            </w:r>
          </w:hyperlink>
        </w:p>
        <w:p>
          <w:pPr>
            <w:pStyle w:val="Contents4"/>
            <w:tabs>
              <w:tab w:val="clear" w:pos="8176"/>
              <w:tab w:val="right" w:pos="9026" w:leader="dot"/>
            </w:tabs>
            <w:rPr/>
          </w:pPr>
          <w:hyperlink w:anchor="__RefHeading___Toc2228205_2314609296">
            <w:r>
              <w:rPr>
                <w:webHidden/>
                <w:rStyle w:val="IndexLink"/>
                <w:rtl w:val="true"/>
              </w:rPr>
              <w:t>[«</w:t>
            </w:r>
            <w:r>
              <w:rPr>
                <w:rStyle w:val="IndexLink"/>
                <w:rtl w:val="true"/>
              </w:rPr>
              <w:t>وفیه مسائل</w:t>
            </w:r>
            <w:r>
              <w:rPr>
                <w:rStyle w:val="IndexLink"/>
                <w:rtl w:val="true"/>
              </w:rPr>
              <w:t>»]</w:t>
              <w:tab/>
            </w:r>
            <w:r>
              <w:rPr>
                <w:rStyle w:val="IndexLink"/>
              </w:rPr>
              <w:t>480</w:t>
            </w:r>
          </w:hyperlink>
        </w:p>
        <w:p>
          <w:pPr>
            <w:pStyle w:val="Contents5"/>
            <w:tabs>
              <w:tab w:val="clear" w:pos="7892"/>
              <w:tab w:val="right" w:pos="9026" w:leader="dot"/>
            </w:tabs>
            <w:rPr/>
          </w:pPr>
          <w:hyperlink w:anchor="__RefHeading___Toc2228207_2314609296">
            <w:r>
              <w:rPr>
                <w:webHidden/>
                <w:rStyle w:val="IndexLink"/>
                <w:rtl w:val="true"/>
              </w:rPr>
              <w:t>«</w:t>
            </w:r>
            <w:r>
              <w:rPr>
                <w:rStyle w:val="IndexLink"/>
                <w:rtl w:val="true"/>
              </w:rPr>
              <w:t xml:space="preserve">الاُولی </w:t>
            </w:r>
            <w:r>
              <w:rPr>
                <w:rStyle w:val="IndexLink"/>
                <w:rtl w:val="true"/>
              </w:rPr>
              <w:t>[</w:t>
            </w:r>
            <w:r>
              <w:rPr>
                <w:rStyle w:val="IndexLink"/>
                <w:rtl w:val="true"/>
              </w:rPr>
              <w:t xml:space="preserve">فی النفس </w:t>
            </w:r>
            <w:r>
              <w:rPr>
                <w:rStyle w:val="IndexLink"/>
                <w:rtl w:val="true"/>
              </w:rPr>
              <w:t>] » :</w:t>
              <w:tab/>
            </w:r>
            <w:r>
              <w:rPr>
                <w:rStyle w:val="IndexLink"/>
              </w:rPr>
              <w:t>480</w:t>
            </w:r>
          </w:hyperlink>
        </w:p>
        <w:p>
          <w:pPr>
            <w:pStyle w:val="Contents6"/>
            <w:tabs>
              <w:tab w:val="clear" w:pos="7609"/>
              <w:tab w:val="right" w:pos="9026" w:leader="dot"/>
            </w:tabs>
            <w:rPr/>
          </w:pPr>
          <w:hyperlink w:anchor="__RefHeading___Toc2228209_2314609296">
            <w:r>
              <w:rPr>
                <w:webHidden/>
                <w:rStyle w:val="IndexLink"/>
                <w:rtl w:val="true"/>
              </w:rPr>
              <w:t>[</w:t>
            </w:r>
            <w:r>
              <w:rPr>
                <w:rStyle w:val="IndexLink"/>
                <w:rtl w:val="true"/>
              </w:rPr>
              <w:t>دیة العمد</w:t>
            </w:r>
            <w:r>
              <w:rPr>
                <w:rStyle w:val="IndexLink"/>
                <w:rtl w:val="true"/>
              </w:rPr>
              <w:t>]</w:t>
              <w:tab/>
            </w:r>
            <w:r>
              <w:rPr>
                <w:rStyle w:val="IndexLink"/>
              </w:rPr>
              <w:t>480</w:t>
            </w:r>
          </w:hyperlink>
        </w:p>
        <w:p>
          <w:pPr>
            <w:pStyle w:val="Contents6"/>
            <w:tabs>
              <w:tab w:val="clear" w:pos="7609"/>
              <w:tab w:val="right" w:pos="9026" w:leader="dot"/>
            </w:tabs>
            <w:rPr/>
          </w:pPr>
          <w:hyperlink w:anchor="__RefHeading___Toc2228211_2314609296">
            <w:r>
              <w:rPr>
                <w:webHidden/>
                <w:rStyle w:val="IndexLink"/>
                <w:rtl w:val="true"/>
              </w:rPr>
              <w:t>[</w:t>
            </w:r>
            <w:r>
              <w:rPr>
                <w:rStyle w:val="IndexLink"/>
                <w:rtl w:val="true"/>
              </w:rPr>
              <w:t>دیة الشبیه للعمد</w:t>
            </w:r>
            <w:r>
              <w:rPr>
                <w:rStyle w:val="IndexLink"/>
                <w:rtl w:val="true"/>
              </w:rPr>
              <w:t>]</w:t>
              <w:tab/>
            </w:r>
            <w:r>
              <w:rPr>
                <w:rStyle w:val="IndexLink"/>
              </w:rPr>
              <w:t>481</w:t>
            </w:r>
          </w:hyperlink>
        </w:p>
        <w:p>
          <w:pPr>
            <w:pStyle w:val="Contents6"/>
            <w:tabs>
              <w:tab w:val="clear" w:pos="7609"/>
              <w:tab w:val="right" w:pos="9026" w:leader="dot"/>
            </w:tabs>
            <w:rPr/>
          </w:pPr>
          <w:hyperlink w:anchor="__RefHeading___Toc2228213_2314609296">
            <w:r>
              <w:rPr>
                <w:webHidden/>
                <w:rStyle w:val="IndexLink"/>
                <w:rtl w:val="true"/>
              </w:rPr>
              <w:t>[</w:t>
            </w:r>
            <w:r>
              <w:rPr>
                <w:rStyle w:val="IndexLink"/>
                <w:rtl w:val="true"/>
              </w:rPr>
              <w:t>دیة الخطا المحض</w:t>
            </w:r>
            <w:r>
              <w:rPr>
                <w:rStyle w:val="IndexLink"/>
                <w:rtl w:val="true"/>
              </w:rPr>
              <w:t>]</w:t>
              <w:tab/>
            </w:r>
            <w:r>
              <w:rPr>
                <w:rStyle w:val="IndexLink"/>
              </w:rPr>
              <w:t>483</w:t>
            </w:r>
          </w:hyperlink>
        </w:p>
        <w:p>
          <w:pPr>
            <w:pStyle w:val="Contents6"/>
            <w:tabs>
              <w:tab w:val="clear" w:pos="7609"/>
              <w:tab w:val="right" w:pos="9026" w:leader="dot"/>
            </w:tabs>
            <w:rPr/>
          </w:pPr>
          <w:hyperlink w:anchor="__RefHeading___Toc2228215_2314609296">
            <w:r>
              <w:rPr>
                <w:webHidden/>
                <w:rStyle w:val="IndexLink"/>
                <w:rtl w:val="true"/>
              </w:rPr>
              <w:t>[</w:t>
            </w:r>
            <w:r>
              <w:rPr>
                <w:rStyle w:val="IndexLink"/>
                <w:rtl w:val="true"/>
              </w:rPr>
              <w:t xml:space="preserve">حکم القتل فی الشهر الحرام او الحرم </w:t>
            </w:r>
            <w:r>
              <w:rPr>
                <w:rStyle w:val="IndexLink"/>
                <w:rtl w:val="true"/>
              </w:rPr>
              <w:t>]</w:t>
              <w:tab/>
            </w:r>
            <w:r>
              <w:rPr>
                <w:rStyle w:val="IndexLink"/>
              </w:rPr>
              <w:t>484</w:t>
            </w:r>
          </w:hyperlink>
        </w:p>
        <w:p>
          <w:pPr>
            <w:pStyle w:val="Contents6"/>
            <w:tabs>
              <w:tab w:val="clear" w:pos="7609"/>
              <w:tab w:val="right" w:pos="9026" w:leader="dot"/>
            </w:tabs>
            <w:rPr/>
          </w:pPr>
          <w:hyperlink w:anchor="__RefHeading___Toc2228217_2314609296">
            <w:r>
              <w:rPr>
                <w:webHidden/>
                <w:rStyle w:val="IndexLink"/>
                <w:rtl w:val="true"/>
              </w:rPr>
              <w:t>[</w:t>
            </w:r>
            <w:r>
              <w:rPr>
                <w:rStyle w:val="IndexLink"/>
                <w:rtl w:val="true"/>
              </w:rPr>
              <w:t>دیة المراة و الخنثی</w:t>
            </w:r>
            <w:r>
              <w:rPr>
                <w:rStyle w:val="IndexLink"/>
                <w:rtl w:val="true"/>
              </w:rPr>
              <w:t>]</w:t>
              <w:tab/>
            </w:r>
            <w:r>
              <w:rPr>
                <w:rStyle w:val="IndexLink"/>
              </w:rPr>
              <w:t>486</w:t>
            </w:r>
          </w:hyperlink>
        </w:p>
        <w:p>
          <w:pPr>
            <w:pStyle w:val="Contents6"/>
            <w:tabs>
              <w:tab w:val="clear" w:pos="7609"/>
              <w:tab w:val="right" w:pos="9026" w:leader="dot"/>
            </w:tabs>
            <w:rPr/>
          </w:pPr>
          <w:hyperlink w:anchor="__RefHeading___Toc2228219_2314609296">
            <w:r>
              <w:rPr>
                <w:webHidden/>
                <w:rStyle w:val="IndexLink"/>
                <w:rtl w:val="true"/>
              </w:rPr>
              <w:t>[</w:t>
            </w:r>
            <w:r>
              <w:rPr>
                <w:rStyle w:val="IndexLink"/>
                <w:rtl w:val="true"/>
              </w:rPr>
              <w:t>دیة الذمی و الذمیة</w:t>
            </w:r>
            <w:r>
              <w:rPr>
                <w:rStyle w:val="IndexLink"/>
                <w:rtl w:val="true"/>
              </w:rPr>
              <w:t>]</w:t>
              <w:tab/>
            </w:r>
            <w:r>
              <w:rPr>
                <w:rStyle w:val="IndexLink"/>
              </w:rPr>
              <w:t>486</w:t>
            </w:r>
          </w:hyperlink>
        </w:p>
        <w:p>
          <w:pPr>
            <w:pStyle w:val="Contents6"/>
            <w:tabs>
              <w:tab w:val="clear" w:pos="7609"/>
              <w:tab w:val="right" w:pos="9026" w:leader="dot"/>
            </w:tabs>
            <w:rPr/>
          </w:pPr>
          <w:hyperlink w:anchor="__RefHeading___Toc2228221_2314609296">
            <w:r>
              <w:rPr>
                <w:webHidden/>
                <w:rStyle w:val="IndexLink"/>
                <w:rtl w:val="true"/>
              </w:rPr>
              <w:t>[</w:t>
            </w:r>
            <w:r>
              <w:rPr>
                <w:rStyle w:val="IndexLink"/>
                <w:rtl w:val="true"/>
              </w:rPr>
              <w:t xml:space="preserve">دیة العبد </w:t>
            </w:r>
            <w:r>
              <w:rPr>
                <w:rStyle w:val="IndexLink"/>
                <w:rtl w:val="true"/>
              </w:rPr>
              <w:t>]</w:t>
              <w:tab/>
            </w:r>
            <w:r>
              <w:rPr>
                <w:rStyle w:val="IndexLink"/>
              </w:rPr>
              <w:t>487</w:t>
            </w:r>
          </w:hyperlink>
        </w:p>
        <w:p>
          <w:pPr>
            <w:pStyle w:val="Contents5"/>
            <w:tabs>
              <w:tab w:val="clear" w:pos="7892"/>
              <w:tab w:val="right" w:pos="9026" w:leader="dot"/>
            </w:tabs>
            <w:rPr/>
          </w:pPr>
          <w:hyperlink w:anchor="__RefHeading___Toc2228223_2314609296">
            <w:r>
              <w:rPr>
                <w:webHidden/>
                <w:rStyle w:val="IndexLink"/>
                <w:rtl w:val="true"/>
              </w:rPr>
              <w:t>«</w:t>
            </w:r>
            <w:r>
              <w:rPr>
                <w:rStyle w:val="IndexLink"/>
                <w:rtl w:val="true"/>
              </w:rPr>
              <w:t xml:space="preserve">الثانیة </w:t>
            </w:r>
            <w:r>
              <w:rPr>
                <w:rStyle w:val="IndexLink"/>
                <w:rtl w:val="true"/>
              </w:rPr>
              <w:t>[</w:t>
            </w:r>
            <w:r>
              <w:rPr>
                <w:rStyle w:val="IndexLink"/>
                <w:rtl w:val="true"/>
              </w:rPr>
              <w:t>فی شعر الراس و اللحیة</w:t>
            </w:r>
            <w:r>
              <w:rPr>
                <w:rStyle w:val="IndexLink"/>
                <w:rtl w:val="true"/>
              </w:rPr>
              <w:t>] » :</w:t>
              <w:tab/>
            </w:r>
            <w:r>
              <w:rPr>
                <w:rStyle w:val="IndexLink"/>
              </w:rPr>
              <w:t>488</w:t>
            </w:r>
          </w:hyperlink>
        </w:p>
        <w:p>
          <w:pPr>
            <w:pStyle w:val="Contents5"/>
            <w:tabs>
              <w:tab w:val="clear" w:pos="7892"/>
              <w:tab w:val="right" w:pos="9026" w:leader="dot"/>
            </w:tabs>
            <w:rPr/>
          </w:pPr>
          <w:hyperlink w:anchor="__RefHeading___Toc2228225_2314609296">
            <w:r>
              <w:rPr>
                <w:webHidden/>
                <w:rStyle w:val="IndexLink"/>
                <w:rtl w:val="true"/>
              </w:rPr>
              <w:t>«</w:t>
            </w:r>
            <w:r>
              <w:rPr>
                <w:rStyle w:val="IndexLink"/>
                <w:rtl w:val="true"/>
              </w:rPr>
              <w:t xml:space="preserve">الثالثة </w:t>
            </w:r>
            <w:r>
              <w:rPr>
                <w:rStyle w:val="IndexLink"/>
                <w:rtl w:val="true"/>
              </w:rPr>
              <w:t>[</w:t>
            </w:r>
            <w:r>
              <w:rPr>
                <w:rStyle w:val="IndexLink"/>
                <w:rtl w:val="true"/>
              </w:rPr>
              <w:t>فی العنیین و الاجفان</w:t>
            </w:r>
            <w:r>
              <w:rPr>
                <w:rStyle w:val="IndexLink"/>
                <w:rtl w:val="true"/>
              </w:rPr>
              <w:t>] » :</w:t>
              <w:tab/>
            </w:r>
            <w:r>
              <w:rPr>
                <w:rStyle w:val="IndexLink"/>
              </w:rPr>
              <w:t>490</w:t>
            </w:r>
          </w:hyperlink>
        </w:p>
        <w:p>
          <w:pPr>
            <w:pStyle w:val="Contents5"/>
            <w:tabs>
              <w:tab w:val="clear" w:pos="7892"/>
              <w:tab w:val="right" w:pos="9026" w:leader="dot"/>
            </w:tabs>
            <w:rPr/>
          </w:pPr>
          <w:hyperlink w:anchor="__RefHeading___Toc2228227_2314609296">
            <w:r>
              <w:rPr>
                <w:webHidden/>
                <w:rStyle w:val="IndexLink"/>
                <w:rtl w:val="true"/>
              </w:rPr>
              <w:t>«</w:t>
            </w:r>
            <w:r>
              <w:rPr>
                <w:rStyle w:val="IndexLink"/>
                <w:rtl w:val="true"/>
              </w:rPr>
              <w:t xml:space="preserve">الرابعة </w:t>
            </w:r>
            <w:r>
              <w:rPr>
                <w:rStyle w:val="IndexLink"/>
                <w:rtl w:val="true"/>
              </w:rPr>
              <w:t>[</w:t>
            </w:r>
            <w:r>
              <w:rPr>
                <w:rStyle w:val="IndexLink"/>
                <w:rtl w:val="true"/>
              </w:rPr>
              <w:t>فی الاذنین</w:t>
            </w:r>
            <w:r>
              <w:rPr>
                <w:rStyle w:val="IndexLink"/>
                <w:rtl w:val="true"/>
              </w:rPr>
              <w:t>] » :</w:t>
              <w:tab/>
            </w:r>
            <w:r>
              <w:rPr>
                <w:rStyle w:val="IndexLink"/>
              </w:rPr>
              <w:t>493</w:t>
            </w:r>
          </w:hyperlink>
        </w:p>
        <w:p>
          <w:pPr>
            <w:pStyle w:val="Contents5"/>
            <w:tabs>
              <w:tab w:val="clear" w:pos="7892"/>
              <w:tab w:val="right" w:pos="9026" w:leader="dot"/>
            </w:tabs>
            <w:rPr/>
          </w:pPr>
          <w:hyperlink w:anchor="__RefHeading___Toc2228229_2314609296">
            <w:r>
              <w:rPr>
                <w:webHidden/>
                <w:rStyle w:val="IndexLink"/>
                <w:rtl w:val="true"/>
              </w:rPr>
              <w:t>«</w:t>
            </w:r>
            <w:r>
              <w:rPr>
                <w:rStyle w:val="IndexLink"/>
                <w:rtl w:val="true"/>
              </w:rPr>
              <w:t xml:space="preserve">الخامسة </w:t>
            </w:r>
            <w:r>
              <w:rPr>
                <w:rStyle w:val="IndexLink"/>
                <w:rtl w:val="true"/>
              </w:rPr>
              <w:t>[</w:t>
            </w:r>
            <w:r>
              <w:rPr>
                <w:rStyle w:val="IndexLink"/>
                <w:rtl w:val="true"/>
              </w:rPr>
              <w:t>فی الانف</w:t>
            </w:r>
            <w:r>
              <w:rPr>
                <w:rStyle w:val="IndexLink"/>
                <w:rtl w:val="true"/>
              </w:rPr>
              <w:t>] » :</w:t>
              <w:tab/>
            </w:r>
            <w:r>
              <w:rPr>
                <w:rStyle w:val="IndexLink"/>
              </w:rPr>
              <w:t>493</w:t>
            </w:r>
          </w:hyperlink>
        </w:p>
        <w:p>
          <w:pPr>
            <w:pStyle w:val="Contents5"/>
            <w:tabs>
              <w:tab w:val="clear" w:pos="7892"/>
              <w:tab w:val="right" w:pos="9026" w:leader="dot"/>
            </w:tabs>
            <w:rPr/>
          </w:pPr>
          <w:hyperlink w:anchor="__RefHeading___Toc2228231_2314609296">
            <w:r>
              <w:rPr>
                <w:webHidden/>
                <w:rStyle w:val="IndexLink"/>
                <w:rtl w:val="true"/>
              </w:rPr>
              <w:t>«</w:t>
            </w:r>
            <w:r>
              <w:rPr>
                <w:rStyle w:val="IndexLink"/>
                <w:rtl w:val="true"/>
              </w:rPr>
              <w:t xml:space="preserve">السادسة </w:t>
            </w:r>
            <w:r>
              <w:rPr>
                <w:rStyle w:val="IndexLink"/>
                <w:rtl w:val="true"/>
              </w:rPr>
              <w:t>[</w:t>
            </w:r>
            <w:r>
              <w:rPr>
                <w:rStyle w:val="IndexLink"/>
                <w:rtl w:val="true"/>
              </w:rPr>
              <w:t>فی الشفتین</w:t>
            </w:r>
            <w:r>
              <w:rPr>
                <w:rStyle w:val="IndexLink"/>
                <w:rtl w:val="true"/>
              </w:rPr>
              <w:t>] » :</w:t>
              <w:tab/>
            </w:r>
            <w:r>
              <w:rPr>
                <w:rStyle w:val="IndexLink"/>
              </w:rPr>
              <w:t>494</w:t>
            </w:r>
          </w:hyperlink>
        </w:p>
        <w:p>
          <w:pPr>
            <w:pStyle w:val="Contents5"/>
            <w:tabs>
              <w:tab w:val="clear" w:pos="7892"/>
              <w:tab w:val="right" w:pos="9026" w:leader="dot"/>
            </w:tabs>
            <w:rPr/>
          </w:pPr>
          <w:hyperlink w:anchor="__RefHeading___Toc2228233_2314609296">
            <w:r>
              <w:rPr>
                <w:webHidden/>
                <w:rStyle w:val="IndexLink"/>
                <w:rtl w:val="true"/>
              </w:rPr>
              <w:t>«</w:t>
            </w:r>
            <w:r>
              <w:rPr>
                <w:rStyle w:val="IndexLink"/>
                <w:rtl w:val="true"/>
              </w:rPr>
              <w:t xml:space="preserve">السابعة </w:t>
            </w:r>
            <w:r>
              <w:rPr>
                <w:rStyle w:val="IndexLink"/>
                <w:rtl w:val="true"/>
              </w:rPr>
              <w:t>[</w:t>
            </w:r>
            <w:r>
              <w:rPr>
                <w:rStyle w:val="IndexLink"/>
                <w:rtl w:val="true"/>
              </w:rPr>
              <w:t>فی استئصال اللسان</w:t>
            </w:r>
            <w:r>
              <w:rPr>
                <w:rStyle w:val="IndexLink"/>
                <w:rtl w:val="true"/>
              </w:rPr>
              <w:t>] » :</w:t>
              <w:tab/>
            </w:r>
            <w:r>
              <w:rPr>
                <w:rStyle w:val="IndexLink"/>
              </w:rPr>
              <w:t>496</w:t>
            </w:r>
          </w:hyperlink>
        </w:p>
        <w:p>
          <w:pPr>
            <w:pStyle w:val="Contents5"/>
            <w:tabs>
              <w:tab w:val="clear" w:pos="7892"/>
              <w:tab w:val="right" w:pos="9026" w:leader="dot"/>
            </w:tabs>
            <w:rPr/>
          </w:pPr>
          <w:hyperlink w:anchor="__RefHeading___Toc2228235_2314609296">
            <w:r>
              <w:rPr>
                <w:webHidden/>
                <w:rStyle w:val="IndexLink"/>
                <w:rtl w:val="true"/>
              </w:rPr>
              <w:t>«</w:t>
            </w:r>
            <w:r>
              <w:rPr>
                <w:rStyle w:val="IndexLink"/>
                <w:rtl w:val="true"/>
              </w:rPr>
              <w:t xml:space="preserve">الثامنة </w:t>
            </w:r>
            <w:r>
              <w:rPr>
                <w:rStyle w:val="IndexLink"/>
                <w:rtl w:val="true"/>
              </w:rPr>
              <w:t>[</w:t>
            </w:r>
            <w:r>
              <w:rPr>
                <w:rStyle w:val="IndexLink"/>
                <w:rtl w:val="true"/>
              </w:rPr>
              <w:t>فی الاسنان</w:t>
            </w:r>
            <w:r>
              <w:rPr>
                <w:rStyle w:val="IndexLink"/>
                <w:rtl w:val="true"/>
              </w:rPr>
              <w:t>] » :</w:t>
              <w:tab/>
            </w:r>
            <w:r>
              <w:rPr>
                <w:rStyle w:val="IndexLink"/>
              </w:rPr>
              <w:t>498</w:t>
            </w:r>
          </w:hyperlink>
        </w:p>
        <w:p>
          <w:pPr>
            <w:pStyle w:val="Contents5"/>
            <w:tabs>
              <w:tab w:val="clear" w:pos="7892"/>
              <w:tab w:val="right" w:pos="9026" w:leader="dot"/>
            </w:tabs>
            <w:rPr/>
          </w:pPr>
          <w:hyperlink w:anchor="__RefHeading___Toc2228237_2314609296">
            <w:r>
              <w:rPr>
                <w:webHidden/>
                <w:rStyle w:val="IndexLink"/>
                <w:rtl w:val="true"/>
              </w:rPr>
              <w:t>«</w:t>
            </w:r>
            <w:r>
              <w:rPr>
                <w:rStyle w:val="IndexLink"/>
                <w:rtl w:val="true"/>
              </w:rPr>
              <w:t xml:space="preserve">التاسعة </w:t>
            </w:r>
            <w:r>
              <w:rPr>
                <w:rStyle w:val="IndexLink"/>
                <w:rtl w:val="true"/>
              </w:rPr>
              <w:t>[</w:t>
            </w:r>
            <w:r>
              <w:rPr>
                <w:rStyle w:val="IndexLink"/>
                <w:rtl w:val="true"/>
              </w:rPr>
              <w:t>فی اللحیین</w:t>
            </w:r>
            <w:r>
              <w:rPr>
                <w:rStyle w:val="IndexLink"/>
                <w:rtl w:val="true"/>
              </w:rPr>
              <w:t>] » :</w:t>
              <w:tab/>
            </w:r>
            <w:r>
              <w:rPr>
                <w:rStyle w:val="IndexLink"/>
              </w:rPr>
              <w:t>500</w:t>
            </w:r>
          </w:hyperlink>
        </w:p>
        <w:p>
          <w:pPr>
            <w:pStyle w:val="Contents5"/>
            <w:tabs>
              <w:tab w:val="clear" w:pos="7892"/>
              <w:tab w:val="right" w:pos="9026" w:leader="dot"/>
            </w:tabs>
            <w:rPr/>
          </w:pPr>
          <w:hyperlink w:anchor="__RefHeading___Toc2228239_2314609296">
            <w:r>
              <w:rPr>
                <w:webHidden/>
                <w:rStyle w:val="IndexLink"/>
                <w:rtl w:val="true"/>
              </w:rPr>
              <w:t>«</w:t>
            </w:r>
            <w:r>
              <w:rPr>
                <w:rStyle w:val="IndexLink"/>
                <w:rtl w:val="true"/>
              </w:rPr>
              <w:t xml:space="preserve">العاشرة </w:t>
            </w:r>
            <w:r>
              <w:rPr>
                <w:rStyle w:val="IndexLink"/>
                <w:rtl w:val="true"/>
              </w:rPr>
              <w:t>[</w:t>
            </w:r>
            <w:r>
              <w:rPr>
                <w:rStyle w:val="IndexLink"/>
                <w:rtl w:val="true"/>
              </w:rPr>
              <w:t xml:space="preserve">فی العنق </w:t>
            </w:r>
            <w:r>
              <w:rPr>
                <w:rStyle w:val="IndexLink"/>
                <w:rtl w:val="true"/>
              </w:rPr>
              <w:t>] » :</w:t>
              <w:tab/>
            </w:r>
            <w:r>
              <w:rPr>
                <w:rStyle w:val="IndexLink"/>
              </w:rPr>
              <w:t>500</w:t>
            </w:r>
          </w:hyperlink>
        </w:p>
        <w:p>
          <w:pPr>
            <w:pStyle w:val="Contents5"/>
            <w:tabs>
              <w:tab w:val="clear" w:pos="7892"/>
              <w:tab w:val="right" w:pos="9026" w:leader="dot"/>
            </w:tabs>
            <w:rPr/>
          </w:pPr>
          <w:hyperlink w:anchor="__RefHeading___Toc2228241_2314609296">
            <w:r>
              <w:rPr>
                <w:webHidden/>
                <w:rStyle w:val="IndexLink"/>
                <w:rtl w:val="true"/>
              </w:rPr>
              <w:t>«</w:t>
            </w:r>
            <w:r>
              <w:rPr>
                <w:rStyle w:val="IndexLink"/>
                <w:rtl w:val="true"/>
              </w:rPr>
              <w:t xml:space="preserve">الحادیة عشرة </w:t>
            </w:r>
            <w:r>
              <w:rPr>
                <w:rStyle w:val="IndexLink"/>
                <w:rtl w:val="true"/>
              </w:rPr>
              <w:t>[</w:t>
            </w:r>
            <w:r>
              <w:rPr>
                <w:rStyle w:val="IndexLink"/>
                <w:rtl w:val="true"/>
              </w:rPr>
              <w:t>فی کل من الیدین و الاصابع</w:t>
            </w:r>
            <w:r>
              <w:rPr>
                <w:rStyle w:val="IndexLink"/>
                <w:rtl w:val="true"/>
              </w:rPr>
              <w:t>] » :</w:t>
              <w:tab/>
            </w:r>
            <w:r>
              <w:rPr>
                <w:rStyle w:val="IndexLink"/>
              </w:rPr>
              <w:t>500</w:t>
            </w:r>
          </w:hyperlink>
        </w:p>
        <w:p>
          <w:pPr>
            <w:pStyle w:val="Contents5"/>
            <w:tabs>
              <w:tab w:val="clear" w:pos="7892"/>
              <w:tab w:val="right" w:pos="9026" w:leader="dot"/>
            </w:tabs>
            <w:rPr/>
          </w:pPr>
          <w:hyperlink w:anchor="__RefHeading___Toc2228243_2314609296">
            <w:r>
              <w:rPr>
                <w:webHidden/>
                <w:rStyle w:val="IndexLink"/>
                <w:rtl w:val="true"/>
              </w:rPr>
              <w:t>«</w:t>
            </w:r>
            <w:r>
              <w:rPr>
                <w:rStyle w:val="IndexLink"/>
                <w:rtl w:val="true"/>
              </w:rPr>
              <w:t xml:space="preserve">الثانیة عشرة </w:t>
            </w:r>
            <w:r>
              <w:rPr>
                <w:rStyle w:val="IndexLink"/>
                <w:rtl w:val="true"/>
              </w:rPr>
              <w:t>[</w:t>
            </w:r>
            <w:r>
              <w:rPr>
                <w:rStyle w:val="IndexLink"/>
                <w:rtl w:val="true"/>
              </w:rPr>
              <w:t xml:space="preserve">فی کسر الظهر و الصلب </w:t>
            </w:r>
            <w:r>
              <w:rPr>
                <w:rStyle w:val="IndexLink"/>
                <w:rtl w:val="true"/>
              </w:rPr>
              <w:t>] » :</w:t>
              <w:tab/>
            </w:r>
            <w:r>
              <w:rPr>
                <w:rStyle w:val="IndexLink"/>
              </w:rPr>
              <w:t>503</w:t>
            </w:r>
          </w:hyperlink>
        </w:p>
        <w:p>
          <w:pPr>
            <w:pStyle w:val="Contents5"/>
            <w:tabs>
              <w:tab w:val="clear" w:pos="7892"/>
              <w:tab w:val="right" w:pos="9026" w:leader="dot"/>
            </w:tabs>
            <w:rPr/>
          </w:pPr>
          <w:hyperlink w:anchor="__RefHeading___Toc2228245_2314609296">
            <w:r>
              <w:rPr>
                <w:webHidden/>
                <w:rStyle w:val="IndexLink"/>
                <w:rtl w:val="true"/>
              </w:rPr>
              <w:t>«</w:t>
            </w:r>
            <w:r>
              <w:rPr>
                <w:rStyle w:val="IndexLink"/>
                <w:rtl w:val="true"/>
              </w:rPr>
              <w:t xml:space="preserve">الثالثة عشرة </w:t>
            </w:r>
            <w:r>
              <w:rPr>
                <w:rStyle w:val="IndexLink"/>
                <w:rtl w:val="true"/>
              </w:rPr>
              <w:t>[</w:t>
            </w:r>
            <w:r>
              <w:rPr>
                <w:rStyle w:val="IndexLink"/>
                <w:rtl w:val="true"/>
              </w:rPr>
              <w:t>فی النخاع</w:t>
            </w:r>
            <w:r>
              <w:rPr>
                <w:rStyle w:val="IndexLink"/>
                <w:rtl w:val="true"/>
              </w:rPr>
              <w:t>] »</w:t>
              <w:tab/>
            </w:r>
            <w:r>
              <w:rPr>
                <w:rStyle w:val="IndexLink"/>
              </w:rPr>
              <w:t>505</w:t>
            </w:r>
          </w:hyperlink>
        </w:p>
        <w:p>
          <w:pPr>
            <w:pStyle w:val="Contents5"/>
            <w:tabs>
              <w:tab w:val="clear" w:pos="7892"/>
              <w:tab w:val="right" w:pos="9026" w:leader="dot"/>
            </w:tabs>
            <w:rPr/>
          </w:pPr>
          <w:hyperlink w:anchor="__RefHeading___Toc2228247_2314609296">
            <w:r>
              <w:rPr>
                <w:webHidden/>
                <w:rStyle w:val="IndexLink"/>
                <w:rtl w:val="true"/>
              </w:rPr>
              <w:t>«</w:t>
            </w:r>
            <w:r>
              <w:rPr>
                <w:rStyle w:val="IndexLink"/>
                <w:rtl w:val="true"/>
              </w:rPr>
              <w:t xml:space="preserve">الرابعة عشرة </w:t>
            </w:r>
            <w:r>
              <w:rPr>
                <w:rStyle w:val="IndexLink"/>
                <w:rtl w:val="true"/>
              </w:rPr>
              <w:t>[</w:t>
            </w:r>
            <w:r>
              <w:rPr>
                <w:rStyle w:val="IndexLink"/>
                <w:rtl w:val="true"/>
              </w:rPr>
              <w:t>الثدیان و الحملتان</w:t>
            </w:r>
            <w:r>
              <w:rPr>
                <w:rStyle w:val="IndexLink"/>
                <w:rtl w:val="true"/>
              </w:rPr>
              <w:t>] » :</w:t>
              <w:tab/>
            </w:r>
            <w:r>
              <w:rPr>
                <w:rStyle w:val="IndexLink"/>
              </w:rPr>
              <w:t>505</w:t>
            </w:r>
          </w:hyperlink>
        </w:p>
        <w:p>
          <w:pPr>
            <w:pStyle w:val="Contents5"/>
            <w:tabs>
              <w:tab w:val="clear" w:pos="7892"/>
              <w:tab w:val="right" w:pos="9026" w:leader="dot"/>
            </w:tabs>
            <w:rPr/>
          </w:pPr>
          <w:hyperlink w:anchor="__RefHeading___Toc2228249_2314609296">
            <w:r>
              <w:rPr>
                <w:webHidden/>
                <w:rStyle w:val="IndexLink"/>
                <w:rtl w:val="true"/>
              </w:rPr>
              <w:t>«</w:t>
            </w:r>
            <w:r>
              <w:rPr>
                <w:rStyle w:val="IndexLink"/>
                <w:rtl w:val="true"/>
              </w:rPr>
              <w:t xml:space="preserve">الخامسة عشرة </w:t>
            </w:r>
            <w:r>
              <w:rPr>
                <w:rStyle w:val="IndexLink"/>
                <w:rtl w:val="true"/>
              </w:rPr>
              <w:t>[</w:t>
            </w:r>
            <w:r>
              <w:rPr>
                <w:rStyle w:val="IndexLink"/>
                <w:rtl w:val="true"/>
              </w:rPr>
              <w:t xml:space="preserve">فی الذکر </w:t>
            </w:r>
            <w:r>
              <w:rPr>
                <w:rStyle w:val="IndexLink"/>
                <w:rtl w:val="true"/>
              </w:rPr>
              <w:t>] » :</w:t>
              <w:tab/>
            </w:r>
            <w:r>
              <w:rPr>
                <w:rStyle w:val="IndexLink"/>
              </w:rPr>
              <w:t>506</w:t>
            </w:r>
          </w:hyperlink>
        </w:p>
        <w:p>
          <w:pPr>
            <w:pStyle w:val="Contents5"/>
            <w:tabs>
              <w:tab w:val="clear" w:pos="7892"/>
              <w:tab w:val="right" w:pos="9026" w:leader="dot"/>
            </w:tabs>
            <w:rPr/>
          </w:pPr>
          <w:hyperlink w:anchor="__RefHeading___Toc2228251_2314609296">
            <w:r>
              <w:rPr>
                <w:webHidden/>
                <w:rStyle w:val="IndexLink"/>
                <w:rtl w:val="true"/>
              </w:rPr>
              <w:t>«</w:t>
            </w:r>
            <w:r>
              <w:rPr>
                <w:rStyle w:val="IndexLink"/>
                <w:rtl w:val="true"/>
              </w:rPr>
              <w:t xml:space="preserve">السادسة عشرة </w:t>
            </w:r>
            <w:r>
              <w:rPr>
                <w:rStyle w:val="IndexLink"/>
                <w:rtl w:val="true"/>
              </w:rPr>
              <w:t>[</w:t>
            </w:r>
            <w:r>
              <w:rPr>
                <w:rStyle w:val="IndexLink"/>
                <w:rtl w:val="true"/>
              </w:rPr>
              <w:t>فی الخصیتین</w:t>
            </w:r>
            <w:r>
              <w:rPr>
                <w:rStyle w:val="IndexLink"/>
                <w:rtl w:val="true"/>
              </w:rPr>
              <w:t>] » :</w:t>
              <w:tab/>
            </w:r>
            <w:r>
              <w:rPr>
                <w:rStyle w:val="IndexLink"/>
              </w:rPr>
              <w:t>507</w:t>
            </w:r>
          </w:hyperlink>
        </w:p>
        <w:p>
          <w:pPr>
            <w:pStyle w:val="Contents5"/>
            <w:tabs>
              <w:tab w:val="clear" w:pos="7892"/>
              <w:tab w:val="right" w:pos="9026" w:leader="dot"/>
            </w:tabs>
            <w:rPr/>
          </w:pPr>
          <w:hyperlink w:anchor="__RefHeading___Toc2228253_2314609296">
            <w:r>
              <w:rPr>
                <w:webHidden/>
                <w:rStyle w:val="IndexLink"/>
                <w:rtl w:val="true"/>
              </w:rPr>
              <w:t>«</w:t>
            </w:r>
            <w:r>
              <w:rPr>
                <w:rStyle w:val="IndexLink"/>
                <w:rtl w:val="true"/>
              </w:rPr>
              <w:t xml:space="preserve">السابعة عشرة </w:t>
            </w:r>
            <w:r>
              <w:rPr>
                <w:rStyle w:val="IndexLink"/>
                <w:rtl w:val="true"/>
              </w:rPr>
              <w:t>[</w:t>
            </w:r>
            <w:r>
              <w:rPr>
                <w:rStyle w:val="IndexLink"/>
                <w:rtl w:val="true"/>
              </w:rPr>
              <w:t>فی الشُفْرین</w:t>
            </w:r>
            <w:r>
              <w:rPr>
                <w:rStyle w:val="IndexLink"/>
                <w:rtl w:val="true"/>
              </w:rPr>
              <w:t>] » :</w:t>
              <w:tab/>
            </w:r>
            <w:r>
              <w:rPr>
                <w:rStyle w:val="IndexLink"/>
              </w:rPr>
              <w:t>508</w:t>
            </w:r>
          </w:hyperlink>
        </w:p>
        <w:p>
          <w:pPr>
            <w:pStyle w:val="Contents5"/>
            <w:tabs>
              <w:tab w:val="clear" w:pos="7892"/>
              <w:tab w:val="right" w:pos="9026" w:leader="dot"/>
            </w:tabs>
            <w:rPr/>
          </w:pPr>
          <w:hyperlink w:anchor="__RefHeading___Toc2228255_2314609296">
            <w:r>
              <w:rPr>
                <w:webHidden/>
                <w:rStyle w:val="IndexLink"/>
                <w:rtl w:val="true"/>
              </w:rPr>
              <w:t>«</w:t>
            </w:r>
            <w:r>
              <w:rPr>
                <w:rStyle w:val="IndexLink"/>
                <w:rtl w:val="true"/>
              </w:rPr>
              <w:t xml:space="preserve">الثامنة عشرة </w:t>
            </w:r>
            <w:r>
              <w:rPr>
                <w:rStyle w:val="IndexLink"/>
                <w:rtl w:val="true"/>
              </w:rPr>
              <w:t>[</w:t>
            </w:r>
            <w:r>
              <w:rPr>
                <w:rStyle w:val="IndexLink"/>
                <w:rtl w:val="true"/>
              </w:rPr>
              <w:t>فی الافضاء</w:t>
            </w:r>
            <w:r>
              <w:rPr>
                <w:rStyle w:val="IndexLink"/>
                <w:rtl w:val="true"/>
              </w:rPr>
              <w:t>] » :</w:t>
              <w:tab/>
            </w:r>
            <w:r>
              <w:rPr>
                <w:rStyle w:val="IndexLink"/>
              </w:rPr>
              <w:t>508</w:t>
            </w:r>
          </w:hyperlink>
        </w:p>
        <w:p>
          <w:pPr>
            <w:pStyle w:val="Contents5"/>
            <w:tabs>
              <w:tab w:val="clear" w:pos="7892"/>
              <w:tab w:val="right" w:pos="9026" w:leader="dot"/>
            </w:tabs>
            <w:rPr/>
          </w:pPr>
          <w:hyperlink w:anchor="__RefHeading___Toc2228257_2314609296">
            <w:r>
              <w:rPr>
                <w:webHidden/>
                <w:rStyle w:val="IndexLink"/>
                <w:rtl w:val="true"/>
              </w:rPr>
              <w:t>«</w:t>
            </w:r>
            <w:r>
              <w:rPr>
                <w:rStyle w:val="IndexLink"/>
                <w:rtl w:val="true"/>
              </w:rPr>
              <w:t xml:space="preserve">التاسعة عشرة </w:t>
            </w:r>
            <w:r>
              <w:rPr>
                <w:rStyle w:val="IndexLink"/>
                <w:rtl w:val="true"/>
              </w:rPr>
              <w:t>[</w:t>
            </w:r>
            <w:r>
              <w:rPr>
                <w:rStyle w:val="IndexLink"/>
                <w:rtl w:val="true"/>
              </w:rPr>
              <w:t>فی الألیین</w:t>
            </w:r>
            <w:r>
              <w:rPr>
                <w:rStyle w:val="IndexLink"/>
                <w:rtl w:val="true"/>
              </w:rPr>
              <w:t>] » :</w:t>
              <w:tab/>
            </w:r>
            <w:r>
              <w:rPr>
                <w:rStyle w:val="IndexLink"/>
              </w:rPr>
              <w:t>509</w:t>
            </w:r>
          </w:hyperlink>
        </w:p>
        <w:p>
          <w:pPr>
            <w:pStyle w:val="Contents5"/>
            <w:tabs>
              <w:tab w:val="clear" w:pos="7892"/>
              <w:tab w:val="right" w:pos="9026" w:leader="dot"/>
            </w:tabs>
            <w:rPr/>
          </w:pPr>
          <w:hyperlink w:anchor="__RefHeading___Toc2228259_2314609296">
            <w:r>
              <w:rPr>
                <w:webHidden/>
                <w:rStyle w:val="IndexLink"/>
                <w:rtl w:val="true"/>
              </w:rPr>
              <w:t>«</w:t>
            </w:r>
            <w:r>
              <w:rPr>
                <w:rStyle w:val="IndexLink"/>
                <w:rtl w:val="true"/>
              </w:rPr>
              <w:t xml:space="preserve">العشرون </w:t>
            </w:r>
            <w:r>
              <w:rPr>
                <w:rStyle w:val="IndexLink"/>
                <w:rtl w:val="true"/>
              </w:rPr>
              <w:t>[</w:t>
            </w:r>
            <w:r>
              <w:rPr>
                <w:rStyle w:val="IndexLink"/>
                <w:rtl w:val="true"/>
              </w:rPr>
              <w:t>الرجلان</w:t>
            </w:r>
            <w:r>
              <w:rPr>
                <w:rStyle w:val="IndexLink"/>
                <w:rtl w:val="true"/>
              </w:rPr>
              <w:t>] » :</w:t>
              <w:tab/>
            </w:r>
            <w:r>
              <w:rPr>
                <w:rStyle w:val="IndexLink"/>
              </w:rPr>
              <w:t>510</w:t>
            </w:r>
          </w:hyperlink>
        </w:p>
        <w:p>
          <w:pPr>
            <w:pStyle w:val="Contents5"/>
            <w:tabs>
              <w:tab w:val="clear" w:pos="7892"/>
              <w:tab w:val="right" w:pos="9026" w:leader="dot"/>
            </w:tabs>
            <w:rPr/>
          </w:pPr>
          <w:hyperlink w:anchor="__RefHeading___Toc2228261_2314609296">
            <w:r>
              <w:rPr>
                <w:webHidden/>
                <w:rStyle w:val="IndexLink"/>
                <w:rtl w:val="true"/>
              </w:rPr>
              <w:t>«</w:t>
            </w:r>
            <w:r>
              <w:rPr>
                <w:rStyle w:val="IndexLink"/>
                <w:rtl w:val="true"/>
              </w:rPr>
              <w:t xml:space="preserve">الحادیة والعشرون </w:t>
            </w:r>
            <w:r>
              <w:rPr>
                <w:rStyle w:val="IndexLink"/>
                <w:rtl w:val="true"/>
              </w:rPr>
              <w:t>[</w:t>
            </w:r>
            <w:r>
              <w:rPr>
                <w:rStyle w:val="IndexLink"/>
                <w:rtl w:val="true"/>
              </w:rPr>
              <w:t>فی کسر الترقوه و العظم</w:t>
            </w:r>
            <w:r>
              <w:rPr>
                <w:rStyle w:val="IndexLink"/>
                <w:rtl w:val="true"/>
              </w:rPr>
              <w:t>] » :</w:t>
              <w:tab/>
            </w:r>
            <w:r>
              <w:rPr>
                <w:rStyle w:val="IndexLink"/>
              </w:rPr>
              <w:t>511</w:t>
            </w:r>
          </w:hyperlink>
        </w:p>
        <w:p>
          <w:pPr>
            <w:pStyle w:val="Contents5"/>
            <w:tabs>
              <w:tab w:val="clear" w:pos="7892"/>
              <w:tab w:val="right" w:pos="9026" w:leader="dot"/>
            </w:tabs>
            <w:rPr/>
          </w:pPr>
          <w:hyperlink w:anchor="__RefHeading___Toc2228263_2314609296">
            <w:r>
              <w:rPr>
                <w:webHidden/>
                <w:rStyle w:val="IndexLink"/>
                <w:rtl w:val="true"/>
              </w:rPr>
              <w:t>«</w:t>
            </w:r>
            <w:r>
              <w:rPr>
                <w:rStyle w:val="IndexLink"/>
                <w:rtl w:val="true"/>
              </w:rPr>
              <w:t xml:space="preserve">الثانیة والعشرون </w:t>
            </w:r>
            <w:r>
              <w:rPr>
                <w:rStyle w:val="IndexLink"/>
                <w:rtl w:val="true"/>
              </w:rPr>
              <w:t>[</w:t>
            </w:r>
            <w:r>
              <w:rPr>
                <w:rStyle w:val="IndexLink"/>
                <w:rtl w:val="true"/>
              </w:rPr>
              <w:t>فی کل ضلع مما یلی القلب و العصعص</w:t>
            </w:r>
            <w:r>
              <w:rPr>
                <w:rStyle w:val="IndexLink"/>
                <w:rtl w:val="true"/>
              </w:rPr>
              <w:t>] » :</w:t>
              <w:tab/>
            </w:r>
            <w:r>
              <w:rPr>
                <w:rStyle w:val="IndexLink"/>
              </w:rPr>
              <w:t>512</w:t>
            </w:r>
          </w:hyperlink>
        </w:p>
        <w:p>
          <w:pPr>
            <w:pStyle w:val="Contents4"/>
            <w:tabs>
              <w:tab w:val="clear" w:pos="8176"/>
              <w:tab w:val="right" w:pos="9026" w:leader="dot"/>
            </w:tabs>
            <w:rPr/>
          </w:pPr>
          <w:hyperlink w:anchor="__RefHeading___Toc2228265_2314609296">
            <w:r>
              <w:rPr>
                <w:webHidden/>
                <w:rStyle w:val="IndexLink"/>
                <w:rtl w:val="true"/>
              </w:rPr>
              <w:t>«</w:t>
            </w:r>
            <w:r>
              <w:rPr>
                <w:rStyle w:val="IndexLink"/>
                <w:rtl w:val="true"/>
              </w:rPr>
              <w:t>القول فی دیة المنافع</w:t>
            </w:r>
            <w:r>
              <w:rPr>
                <w:rStyle w:val="IndexLink"/>
                <w:rtl w:val="true"/>
              </w:rPr>
              <w:t>» «</w:t>
            </w:r>
            <w:r>
              <w:rPr>
                <w:rStyle w:val="IndexLink"/>
                <w:rtl w:val="true"/>
              </w:rPr>
              <w:t>وهی ثمانیة</w:t>
            </w:r>
            <w:r>
              <w:rPr>
                <w:rStyle w:val="IndexLink"/>
                <w:rtl w:val="true"/>
              </w:rPr>
              <w:t>»</w:t>
              <w:tab/>
            </w:r>
            <w:r>
              <w:rPr>
                <w:rStyle w:val="IndexLink"/>
              </w:rPr>
              <w:t>515</w:t>
            </w:r>
          </w:hyperlink>
        </w:p>
        <w:p>
          <w:pPr>
            <w:pStyle w:val="Contents5"/>
            <w:tabs>
              <w:tab w:val="clear" w:pos="7892"/>
              <w:tab w:val="right" w:pos="9026" w:leader="dot"/>
            </w:tabs>
            <w:rPr/>
          </w:pPr>
          <w:hyperlink w:anchor="__RefHeading___Toc2228267_2314609296">
            <w:r>
              <w:rPr>
                <w:webHidden/>
                <w:rStyle w:val="IndexLink"/>
                <w:rtl w:val="true"/>
              </w:rPr>
              <w:t>اشارة</w:t>
            </w:r>
            <w:r>
              <w:rPr>
                <w:rStyle w:val="IndexLink"/>
                <w:rtl w:val="true"/>
              </w:rPr>
              <w:tab/>
            </w:r>
            <w:r>
              <w:rPr>
                <w:rStyle w:val="IndexLink"/>
              </w:rPr>
              <w:t>515</w:t>
            </w:r>
          </w:hyperlink>
        </w:p>
        <w:p>
          <w:pPr>
            <w:pStyle w:val="Contents5"/>
            <w:tabs>
              <w:tab w:val="clear" w:pos="7892"/>
              <w:tab w:val="right" w:pos="9026" w:leader="dot"/>
            </w:tabs>
            <w:rPr/>
          </w:pPr>
          <w:hyperlink w:anchor="__RefHeading___Toc2228269_2314609296">
            <w:r>
              <w:rPr>
                <w:webHidden/>
                <w:rStyle w:val="IndexLink"/>
                <w:rtl w:val="true"/>
              </w:rPr>
              <w:t>«</w:t>
            </w:r>
            <w:r>
              <w:rPr>
                <w:rStyle w:val="IndexLink"/>
                <w:rtl w:val="true"/>
              </w:rPr>
              <w:t>الأوّل</w:t>
            </w:r>
            <w:r>
              <w:rPr>
                <w:rStyle w:val="IndexLink"/>
                <w:rtl w:val="true"/>
              </w:rPr>
              <w:t>: [</w:t>
            </w:r>
            <w:r>
              <w:rPr>
                <w:rStyle w:val="IndexLink"/>
                <w:rtl w:val="true"/>
              </w:rPr>
              <w:t xml:space="preserve">العقل </w:t>
            </w:r>
            <w:r>
              <w:rPr>
                <w:rStyle w:val="IndexLink"/>
                <w:rtl w:val="true"/>
              </w:rPr>
              <w:t>]</w:t>
              <w:tab/>
            </w:r>
            <w:r>
              <w:rPr>
                <w:rStyle w:val="IndexLink"/>
              </w:rPr>
              <w:t>515</w:t>
            </w:r>
          </w:hyperlink>
        </w:p>
        <w:p>
          <w:pPr>
            <w:pStyle w:val="Contents5"/>
            <w:tabs>
              <w:tab w:val="clear" w:pos="7892"/>
              <w:tab w:val="right" w:pos="9026" w:leader="dot"/>
            </w:tabs>
            <w:rPr/>
          </w:pPr>
          <w:hyperlink w:anchor="__RefHeading___Toc2228271_2314609296">
            <w:r>
              <w:rPr>
                <w:webHidden/>
                <w:rStyle w:val="IndexLink"/>
                <w:rtl w:val="true"/>
              </w:rPr>
              <w:t>«</w:t>
            </w:r>
            <w:r>
              <w:rPr>
                <w:rStyle w:val="IndexLink"/>
                <w:rtl w:val="true"/>
              </w:rPr>
              <w:t>الثانی</w:t>
            </w:r>
            <w:r>
              <w:rPr>
                <w:rStyle w:val="IndexLink"/>
                <w:rtl w:val="true"/>
              </w:rPr>
              <w:t>: [</w:t>
            </w:r>
            <w:r>
              <w:rPr>
                <w:rStyle w:val="IndexLink"/>
                <w:rtl w:val="true"/>
              </w:rPr>
              <w:t>فی السمع</w:t>
            </w:r>
            <w:r>
              <w:rPr>
                <w:rStyle w:val="IndexLink"/>
                <w:rtl w:val="true"/>
              </w:rPr>
              <w:t>]</w:t>
              <w:tab/>
            </w:r>
            <w:r>
              <w:rPr>
                <w:rStyle w:val="IndexLink"/>
              </w:rPr>
              <w:t>515</w:t>
            </w:r>
          </w:hyperlink>
        </w:p>
        <w:p>
          <w:pPr>
            <w:pStyle w:val="Contents5"/>
            <w:tabs>
              <w:tab w:val="clear" w:pos="7892"/>
              <w:tab w:val="right" w:pos="9026" w:leader="dot"/>
            </w:tabs>
            <w:rPr/>
          </w:pPr>
          <w:hyperlink w:anchor="__RefHeading___Toc2228273_2314609296">
            <w:r>
              <w:rPr>
                <w:webHidden/>
                <w:rStyle w:val="IndexLink"/>
                <w:rtl w:val="true"/>
              </w:rPr>
              <w:t>«</w:t>
            </w:r>
            <w:r>
              <w:rPr>
                <w:rStyle w:val="IndexLink"/>
                <w:rtl w:val="true"/>
              </w:rPr>
              <w:t>الثالث</w:t>
            </w:r>
            <w:r>
              <w:rPr>
                <w:rStyle w:val="IndexLink"/>
                <w:rtl w:val="true"/>
              </w:rPr>
              <w:t>: [</w:t>
            </w:r>
            <w:r>
              <w:rPr>
                <w:rStyle w:val="IndexLink"/>
                <w:rtl w:val="true"/>
              </w:rPr>
              <w:t>فی ذهاب الإبصار</w:t>
            </w:r>
            <w:r>
              <w:rPr>
                <w:rStyle w:val="IndexLink"/>
                <w:rtl w:val="true"/>
              </w:rPr>
              <w:t>]</w:t>
              <w:tab/>
            </w:r>
            <w:r>
              <w:rPr>
                <w:rStyle w:val="IndexLink"/>
              </w:rPr>
              <w:t>516</w:t>
            </w:r>
          </w:hyperlink>
        </w:p>
        <w:p>
          <w:pPr>
            <w:pStyle w:val="Contents5"/>
            <w:tabs>
              <w:tab w:val="clear" w:pos="7892"/>
              <w:tab w:val="right" w:pos="9026" w:leader="dot"/>
            </w:tabs>
            <w:rPr/>
          </w:pPr>
          <w:hyperlink w:anchor="__RefHeading___Toc2228275_2314609296">
            <w:r>
              <w:rPr>
                <w:webHidden/>
                <w:rStyle w:val="IndexLink"/>
                <w:rtl w:val="true"/>
              </w:rPr>
              <w:t>[«</w:t>
            </w:r>
            <w:r>
              <w:rPr>
                <w:rStyle w:val="IndexLink"/>
                <w:rtl w:val="true"/>
              </w:rPr>
              <w:t>الرابع</w:t>
            </w:r>
            <w:r>
              <w:rPr>
                <w:rStyle w:val="IndexLink"/>
                <w:rtl w:val="true"/>
              </w:rPr>
              <w:t xml:space="preserve">: </w:t>
            </w:r>
            <w:r>
              <w:rPr>
                <w:rStyle w:val="IndexLink"/>
                <w:rtl w:val="true"/>
              </w:rPr>
              <w:t>فی إبطال الشم</w:t>
            </w:r>
            <w:r>
              <w:rPr>
                <w:rStyle w:val="IndexLink"/>
                <w:rtl w:val="true"/>
              </w:rPr>
              <w:t>]</w:t>
              <w:tab/>
            </w:r>
            <w:r>
              <w:rPr>
                <w:rStyle w:val="IndexLink"/>
              </w:rPr>
              <w:t>518</w:t>
            </w:r>
          </w:hyperlink>
        </w:p>
        <w:p>
          <w:pPr>
            <w:pStyle w:val="Contents5"/>
            <w:tabs>
              <w:tab w:val="clear" w:pos="7892"/>
              <w:tab w:val="right" w:pos="9026" w:leader="dot"/>
            </w:tabs>
            <w:rPr/>
          </w:pPr>
          <w:hyperlink w:anchor="__RefHeading___Toc2228277_2314609296">
            <w:r>
              <w:rPr>
                <w:webHidden/>
                <w:rStyle w:val="IndexLink"/>
                <w:rtl w:val="true"/>
              </w:rPr>
              <w:t>[«</w:t>
            </w:r>
            <w:r>
              <w:rPr>
                <w:rStyle w:val="IndexLink"/>
                <w:rtl w:val="true"/>
              </w:rPr>
              <w:t>الخامس</w:t>
            </w:r>
            <w:r>
              <w:rPr>
                <w:rStyle w:val="IndexLink"/>
                <w:rtl w:val="true"/>
              </w:rPr>
              <w:t xml:space="preserve">: </w:t>
            </w:r>
            <w:r>
              <w:rPr>
                <w:rStyle w:val="IndexLink"/>
                <w:rtl w:val="true"/>
              </w:rPr>
              <w:t>الذوق قیل</w:t>
            </w:r>
            <w:r>
              <w:rPr>
                <w:rStyle w:val="IndexLink"/>
                <w:rtl w:val="true"/>
              </w:rPr>
              <w:t>»]</w:t>
              <w:tab/>
            </w:r>
            <w:r>
              <w:rPr>
                <w:rStyle w:val="IndexLink"/>
              </w:rPr>
              <w:t>519</w:t>
            </w:r>
          </w:hyperlink>
        </w:p>
        <w:p>
          <w:pPr>
            <w:pStyle w:val="Contents5"/>
            <w:tabs>
              <w:tab w:val="clear" w:pos="7892"/>
              <w:tab w:val="right" w:pos="9026" w:leader="dot"/>
            </w:tabs>
            <w:rPr/>
          </w:pPr>
          <w:hyperlink w:anchor="__RefHeading___Toc2228279_2314609296">
            <w:r>
              <w:rPr>
                <w:webHidden/>
                <w:rStyle w:val="IndexLink"/>
                <w:rtl w:val="true"/>
              </w:rPr>
              <w:t>[«</w:t>
            </w:r>
            <w:r>
              <w:rPr>
                <w:rStyle w:val="IndexLink"/>
                <w:rtl w:val="true"/>
              </w:rPr>
              <w:t>السادس</w:t>
            </w:r>
            <w:r>
              <w:rPr>
                <w:rStyle w:val="IndexLink"/>
                <w:rtl w:val="true"/>
              </w:rPr>
              <w:t xml:space="preserve">: </w:t>
            </w:r>
            <w:r>
              <w:rPr>
                <w:rStyle w:val="IndexLink"/>
                <w:rtl w:val="true"/>
              </w:rPr>
              <w:t>فی تعذّر الإنزال للمنیّ</w:t>
            </w:r>
            <w:r>
              <w:rPr>
                <w:rStyle w:val="IndexLink"/>
                <w:rtl w:val="true"/>
              </w:rPr>
              <w:t>»]</w:t>
              <w:tab/>
            </w:r>
            <w:r>
              <w:rPr>
                <w:rStyle w:val="IndexLink"/>
              </w:rPr>
              <w:t>520</w:t>
            </w:r>
          </w:hyperlink>
        </w:p>
        <w:p>
          <w:pPr>
            <w:pStyle w:val="Contents5"/>
            <w:tabs>
              <w:tab w:val="clear" w:pos="7892"/>
              <w:tab w:val="right" w:pos="9026" w:leader="dot"/>
            </w:tabs>
            <w:rPr/>
          </w:pPr>
          <w:hyperlink w:anchor="__RefHeading___Toc2228281_2314609296">
            <w:r>
              <w:rPr>
                <w:webHidden/>
                <w:rStyle w:val="IndexLink"/>
                <w:rtl w:val="true"/>
              </w:rPr>
              <w:t>[«</w:t>
            </w:r>
            <w:r>
              <w:rPr>
                <w:rStyle w:val="IndexLink"/>
                <w:rtl w:val="true"/>
              </w:rPr>
              <w:t>السابع</w:t>
            </w:r>
            <w:r>
              <w:rPr>
                <w:rStyle w:val="IndexLink"/>
                <w:rtl w:val="true"/>
              </w:rPr>
              <w:t xml:space="preserve">: </w:t>
            </w:r>
            <w:r>
              <w:rPr>
                <w:rStyle w:val="IndexLink"/>
                <w:rtl w:val="true"/>
              </w:rPr>
              <w:t>فی سلس البول</w:t>
            </w:r>
            <w:r>
              <w:rPr>
                <w:rStyle w:val="IndexLink"/>
                <w:rtl w:val="true"/>
              </w:rPr>
              <w:t>»]</w:t>
              <w:tab/>
            </w:r>
            <w:r>
              <w:rPr>
                <w:rStyle w:val="IndexLink"/>
              </w:rPr>
              <w:t>520</w:t>
            </w:r>
          </w:hyperlink>
        </w:p>
        <w:p>
          <w:pPr>
            <w:pStyle w:val="Contents5"/>
            <w:tabs>
              <w:tab w:val="clear" w:pos="7892"/>
              <w:tab w:val="right" w:pos="9026" w:leader="dot"/>
            </w:tabs>
            <w:rPr/>
          </w:pPr>
          <w:hyperlink w:anchor="__RefHeading___Toc2228283_2314609296">
            <w:r>
              <w:rPr>
                <w:webHidden/>
                <w:rStyle w:val="IndexLink"/>
                <w:rtl w:val="true"/>
              </w:rPr>
              <w:t>[«</w:t>
            </w:r>
            <w:r>
              <w:rPr>
                <w:rStyle w:val="IndexLink"/>
                <w:rtl w:val="true"/>
              </w:rPr>
              <w:t>الثامن</w:t>
            </w:r>
            <w:r>
              <w:rPr>
                <w:rStyle w:val="IndexLink"/>
                <w:rtl w:val="true"/>
              </w:rPr>
              <w:t xml:space="preserve">: </w:t>
            </w:r>
            <w:r>
              <w:rPr>
                <w:rStyle w:val="IndexLink"/>
                <w:rtl w:val="true"/>
              </w:rPr>
              <w:t>فی اذهاب الصوت</w:t>
            </w:r>
            <w:r>
              <w:rPr>
                <w:rStyle w:val="IndexLink"/>
                <w:rtl w:val="true"/>
              </w:rPr>
              <w:t>]</w:t>
              <w:tab/>
            </w:r>
            <w:r>
              <w:rPr>
                <w:rStyle w:val="IndexLink"/>
              </w:rPr>
              <w:t>521</w:t>
            </w:r>
          </w:hyperlink>
        </w:p>
        <w:p>
          <w:pPr>
            <w:pStyle w:val="Contents3"/>
            <w:tabs>
              <w:tab w:val="clear" w:pos="8459"/>
              <w:tab w:val="right" w:pos="9026" w:leader="dot"/>
            </w:tabs>
            <w:rPr/>
          </w:pPr>
          <w:hyperlink w:anchor="__RefHeading___Toc2228285_2314609296">
            <w:r>
              <w:rPr>
                <w:webHidden/>
                <w:rStyle w:val="IndexLink"/>
                <w:rtl w:val="true"/>
              </w:rPr>
              <w:t>«</w:t>
            </w:r>
            <w:r>
              <w:rPr>
                <w:rStyle w:val="IndexLink"/>
                <w:rtl w:val="true"/>
              </w:rPr>
              <w:t>الفصل الثالث</w:t>
            </w:r>
            <w:r>
              <w:rPr>
                <w:rStyle w:val="IndexLink"/>
                <w:rtl w:val="true"/>
              </w:rPr>
              <w:t>» «</w:t>
            </w:r>
            <w:r>
              <w:rPr>
                <w:rStyle w:val="IndexLink"/>
                <w:rtl w:val="true"/>
              </w:rPr>
              <w:t>فی الشجاج</w:t>
            </w:r>
            <w:r>
              <w:rPr>
                <w:rStyle w:val="IndexLink"/>
                <w:rtl w:val="true"/>
              </w:rPr>
              <w:t>»</w:t>
              <w:tab/>
            </w:r>
            <w:r>
              <w:rPr>
                <w:rStyle w:val="IndexLink"/>
              </w:rPr>
              <w:t>522</w:t>
            </w:r>
          </w:hyperlink>
        </w:p>
        <w:p>
          <w:pPr>
            <w:pStyle w:val="Contents3"/>
            <w:tabs>
              <w:tab w:val="clear" w:pos="8459"/>
              <w:tab w:val="right" w:pos="9026" w:leader="dot"/>
            </w:tabs>
            <w:rPr/>
          </w:pPr>
          <w:hyperlink w:anchor="__RefHeading___Toc2228287_2314609296">
            <w:r>
              <w:rPr>
                <w:webHidden/>
                <w:rStyle w:val="IndexLink"/>
                <w:rtl w:val="true"/>
              </w:rPr>
              <w:t>«</w:t>
            </w:r>
            <w:r>
              <w:rPr>
                <w:rStyle w:val="IndexLink"/>
                <w:rtl w:val="true"/>
              </w:rPr>
              <w:t>الفصل الرابع</w:t>
            </w:r>
            <w:r>
              <w:rPr>
                <w:rStyle w:val="IndexLink"/>
                <w:rtl w:val="true"/>
              </w:rPr>
              <w:t>» «</w:t>
            </w:r>
            <w:r>
              <w:rPr>
                <w:rStyle w:val="IndexLink"/>
                <w:rtl w:val="true"/>
              </w:rPr>
              <w:t>فی التوابع</w:t>
            </w:r>
            <w:r>
              <w:rPr>
                <w:rStyle w:val="IndexLink"/>
                <w:rtl w:val="true"/>
              </w:rPr>
              <w:t>»</w:t>
              <w:tab/>
            </w:r>
            <w:r>
              <w:rPr>
                <w:rStyle w:val="IndexLink"/>
              </w:rPr>
              <w:t>531</w:t>
            </w:r>
          </w:hyperlink>
        </w:p>
        <w:p>
          <w:pPr>
            <w:pStyle w:val="Contents4"/>
            <w:tabs>
              <w:tab w:val="clear" w:pos="8176"/>
              <w:tab w:val="right" w:pos="9026" w:leader="dot"/>
            </w:tabs>
            <w:rPr/>
          </w:pPr>
          <w:hyperlink w:anchor="__RefHeading___Toc2228289_2314609296">
            <w:r>
              <w:rPr>
                <w:webHidden/>
                <w:rStyle w:val="IndexLink"/>
                <w:rtl w:val="true"/>
              </w:rPr>
              <w:t>اشارة</w:t>
            </w:r>
            <w:r>
              <w:rPr>
                <w:rStyle w:val="IndexLink"/>
                <w:rtl w:val="true"/>
              </w:rPr>
              <w:tab/>
            </w:r>
            <w:r>
              <w:rPr>
                <w:rStyle w:val="IndexLink"/>
              </w:rPr>
              <w:t>531</w:t>
            </w:r>
          </w:hyperlink>
        </w:p>
        <w:p>
          <w:pPr>
            <w:pStyle w:val="Contents4"/>
            <w:tabs>
              <w:tab w:val="clear" w:pos="8176"/>
              <w:tab w:val="right" w:pos="9026" w:leader="dot"/>
            </w:tabs>
            <w:rPr/>
          </w:pPr>
          <w:hyperlink w:anchor="__RefHeading___Toc2228291_2314609296">
            <w:r>
              <w:rPr>
                <w:webHidden/>
                <w:rStyle w:val="IndexLink"/>
                <w:rtl w:val="true"/>
              </w:rPr>
              <w:t>«</w:t>
            </w:r>
            <w:r>
              <w:rPr>
                <w:rStyle w:val="IndexLink"/>
                <w:rtl w:val="true"/>
              </w:rPr>
              <w:t>الأوّل</w:t>
            </w:r>
            <w:r>
              <w:rPr>
                <w:rStyle w:val="IndexLink"/>
                <w:rtl w:val="true"/>
              </w:rPr>
              <w:t xml:space="preserve">: </w:t>
            </w:r>
            <w:r>
              <w:rPr>
                <w:rStyle w:val="IndexLink"/>
                <w:rtl w:val="true"/>
              </w:rPr>
              <w:t>فی دیة الجنین</w:t>
            </w:r>
            <w:r>
              <w:rPr>
                <w:rStyle w:val="IndexLink"/>
                <w:rtl w:val="true"/>
              </w:rPr>
              <w:t>»</w:t>
              <w:tab/>
            </w:r>
            <w:r>
              <w:rPr>
                <w:rStyle w:val="IndexLink"/>
              </w:rPr>
              <w:t>531</w:t>
            </w:r>
          </w:hyperlink>
        </w:p>
        <w:p>
          <w:pPr>
            <w:pStyle w:val="Contents4"/>
            <w:tabs>
              <w:tab w:val="clear" w:pos="8176"/>
              <w:tab w:val="right" w:pos="9026" w:leader="dot"/>
            </w:tabs>
            <w:rPr/>
          </w:pPr>
          <w:hyperlink w:anchor="__RefHeading___Toc2228293_2314609296">
            <w:r>
              <w:rPr>
                <w:webHidden/>
                <w:rStyle w:val="IndexLink"/>
                <w:rtl w:val="true"/>
              </w:rPr>
              <w:t>«</w:t>
            </w:r>
            <w:r>
              <w:rPr>
                <w:rStyle w:val="IndexLink"/>
                <w:rtl w:val="true"/>
              </w:rPr>
              <w:t>الثانی</w:t>
            </w:r>
            <w:r>
              <w:rPr>
                <w:rStyle w:val="IndexLink"/>
                <w:rtl w:val="true"/>
              </w:rPr>
              <w:t xml:space="preserve">: </w:t>
            </w:r>
            <w:r>
              <w:rPr>
                <w:rStyle w:val="IndexLink"/>
                <w:rtl w:val="true"/>
              </w:rPr>
              <w:t>فی العاقلة</w:t>
            </w:r>
            <w:r>
              <w:rPr>
                <w:rStyle w:val="IndexLink"/>
                <w:rtl w:val="true"/>
              </w:rPr>
              <w:t>»</w:t>
              <w:tab/>
            </w:r>
            <w:r>
              <w:rPr>
                <w:rStyle w:val="IndexLink"/>
              </w:rPr>
              <w:t>537</w:t>
            </w:r>
          </w:hyperlink>
        </w:p>
        <w:p>
          <w:pPr>
            <w:pStyle w:val="Contents4"/>
            <w:tabs>
              <w:tab w:val="clear" w:pos="8176"/>
              <w:tab w:val="right" w:pos="9026" w:leader="dot"/>
            </w:tabs>
            <w:rPr/>
          </w:pPr>
          <w:hyperlink w:anchor="__RefHeading___Toc2228295_2314609296">
            <w:r>
              <w:rPr>
                <w:webHidden/>
                <w:rStyle w:val="IndexLink"/>
                <w:rtl w:val="true"/>
              </w:rPr>
              <w:t>«</w:t>
            </w:r>
            <w:r>
              <w:rPr>
                <w:rStyle w:val="IndexLink"/>
                <w:rtl w:val="true"/>
              </w:rPr>
              <w:t>الثالث</w:t>
            </w:r>
            <w:r>
              <w:rPr>
                <w:rStyle w:val="IndexLink"/>
                <w:rtl w:val="true"/>
              </w:rPr>
              <w:t xml:space="preserve">: </w:t>
            </w:r>
            <w:r>
              <w:rPr>
                <w:rStyle w:val="IndexLink"/>
                <w:rtl w:val="true"/>
              </w:rPr>
              <w:t>فی الکفّارة</w:t>
            </w:r>
            <w:r>
              <w:rPr>
                <w:rStyle w:val="IndexLink"/>
                <w:rtl w:val="true"/>
              </w:rPr>
              <w:t>»</w:t>
              <w:tab/>
            </w:r>
            <w:r>
              <w:rPr>
                <w:rStyle w:val="IndexLink"/>
              </w:rPr>
              <w:t>542</w:t>
            </w:r>
          </w:hyperlink>
        </w:p>
        <w:p>
          <w:pPr>
            <w:pStyle w:val="Contents4"/>
            <w:tabs>
              <w:tab w:val="clear" w:pos="8176"/>
              <w:tab w:val="right" w:pos="9026" w:leader="dot"/>
            </w:tabs>
            <w:rPr/>
          </w:pPr>
          <w:hyperlink w:anchor="__RefHeading___Toc2228297_2314609296">
            <w:r>
              <w:rPr>
                <w:webHidden/>
                <w:rStyle w:val="IndexLink"/>
                <w:rtl w:val="true"/>
              </w:rPr>
              <w:t>«</w:t>
            </w:r>
            <w:r>
              <w:rPr>
                <w:rStyle w:val="IndexLink"/>
                <w:rtl w:val="true"/>
              </w:rPr>
              <w:t>الرابع</w:t>
            </w:r>
            <w:r>
              <w:rPr>
                <w:rStyle w:val="IndexLink"/>
                <w:rtl w:val="true"/>
              </w:rPr>
              <w:t xml:space="preserve">: </w:t>
            </w:r>
            <w:r>
              <w:rPr>
                <w:rStyle w:val="IndexLink"/>
                <w:rtl w:val="true"/>
              </w:rPr>
              <w:t>فی الجنایة علی الحیوان</w:t>
            </w:r>
            <w:r>
              <w:rPr>
                <w:rStyle w:val="IndexLink"/>
                <w:rtl w:val="true"/>
              </w:rPr>
              <w:t xml:space="preserve">» </w:t>
            </w:r>
            <w:r>
              <w:rPr>
                <w:rStyle w:val="IndexLink"/>
                <w:rtl w:val="true"/>
              </w:rPr>
              <w:t>الصامت</w:t>
            </w:r>
            <w:r>
              <w:rPr>
                <w:rStyle w:val="IndexLink"/>
                <w:rtl w:val="true"/>
              </w:rPr>
              <w:tab/>
            </w:r>
            <w:r>
              <w:rPr>
                <w:rStyle w:val="IndexLink"/>
              </w:rPr>
              <w:t>544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9815_252996"/>
      <w:bookmarkStart w:id="1" w:name="pg19815_252996"/>
      <w:bookmarkEnd w:id="1"/>
    </w:p>
    <w:p>
      <w:pPr>
        <w:pStyle w:val="Heading2"/>
        <w:numPr>
          <w:ilvl w:val="1"/>
          <w:numId w:val="1"/>
        </w:numPr>
        <w:rPr/>
      </w:pPr>
      <w:bookmarkStart w:id="2" w:name="pg19815_252996"/>
      <w:bookmarkStart w:id="3" w:name="__RefHeading___Toc2227677_2314609296"/>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شهید‌ثانی ، زین‌الدین‌بن علی ،</w:t>
      </w:r>
      <w:r>
        <w:rPr>
          <w:rFonts w:ascii="IRNazanin" w:hAnsi="IRNazanin" w:eastAsia="IRNazanin"/>
          <w:color w:val="111111"/>
          <w:sz w:val="28"/>
          <w:sz w:val="28"/>
          <w:szCs w:val="28"/>
          <w:lang w:bidi="fa-IR"/>
        </w:rPr>
        <w:t>۹۱۱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۹۶۶</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قراردادی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اللمعه‌الدمشقیه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الروضه البهیه فی شرح اللمعه الدمشقیه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اول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زین‌الدین العاملی ؛ المولف مجمع الفکر الاسلامی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الفکر الاسلامی ، </w:t>
      </w:r>
      <w:r>
        <w:rPr>
          <w:rFonts w:ascii="IRNazanin" w:hAnsi="IRNazanin" w:eastAsia="IRNazanin"/>
          <w:color w:val="111111"/>
          <w:sz w:val="28"/>
          <w:sz w:val="28"/>
          <w:szCs w:val="28"/>
          <w:lang w:bidi="fa-IR"/>
        </w:rPr>
        <w:t>۱۴۲۴</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۱۳۸۲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الفکر الاسلامی ؛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۴۳</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5662</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5662</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5662</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5662</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5662</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۱۴۲۶</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۱۳۸۴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کتابنامه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شهید اول، محمدبن مکی، </w:t>
      </w:r>
      <w:r>
        <w:rPr>
          <w:rFonts w:ascii="IRNazanin" w:hAnsi="IRNazanin" w:eastAsia="IRNazanin"/>
          <w:color w:val="111111"/>
          <w:sz w:val="28"/>
          <w:sz w:val="28"/>
          <w:szCs w:val="28"/>
          <w:lang w:bidi="fa-IR"/>
        </w:rPr>
        <w:t>۷۳۴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۷۸۶</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المعه الدمشقیه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شهید اول، محمدبن مکی، </w:t>
      </w:r>
      <w:r>
        <w:rPr>
          <w:rFonts w:ascii="IRNazanin" w:hAnsi="IRNazanin" w:eastAsia="IRNazanin"/>
          <w:color w:val="111111"/>
          <w:sz w:val="28"/>
          <w:sz w:val="28"/>
          <w:szCs w:val="28"/>
          <w:lang w:bidi="fa-IR"/>
        </w:rPr>
        <w:t>۷۳۴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۷۸۶</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اللمعه الدمشقیه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الفکر الاسلامی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۱۸۲</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ل</w:t>
      </w:r>
      <w:r>
        <w:rPr>
          <w:rFonts w:ascii="IRNazanin" w:hAnsi="IRNazanin" w:eastAsia="IRNazanin"/>
          <w:color w:val="111111"/>
          <w:sz w:val="28"/>
          <w:sz w:val="28"/>
          <w:szCs w:val="28"/>
          <w:lang w:bidi="fa-IR"/>
        </w:rPr>
        <w:t>‌۸۰۲۱۵۵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۱۳۸۲</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۳۴۲</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‌۸۲</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۹۶۹۴</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227679_2314609296"/>
      <w:bookmarkStart w:id="6" w:name="_Toc2"/>
      <w:bookmarkEnd w:id="5"/>
      <w:r>
        <w:rPr>
          <w:rtl w:val="true"/>
        </w:rPr>
        <w:t>اشارة</w:t>
      </w:r>
      <w:bookmarkStart w:id="7" w:name="pg19815_253004"/>
      <w:bookmarkEnd w:id="6"/>
    </w:p>
    <w:p>
      <w:pPr>
        <w:pStyle w:val="Heading2"/>
        <w:numPr>
          <w:ilvl w:val="1"/>
          <w:numId w:val="1"/>
        </w:numPr>
        <w:rPr/>
      </w:pPr>
      <w:bookmarkStart w:id="8" w:name="__RefHeading___Toc2227681_2314609296"/>
      <w:bookmarkStart w:id="9" w:name="_Toc3"/>
      <w:bookmarkEnd w:id="7"/>
      <w:bookmarkEnd w:id="8"/>
      <w:r>
        <w:rPr>
          <w:rtl w:val="true"/>
        </w:rPr>
        <w:t>کتاب اللقطة</w:t>
      </w:r>
      <w:bookmarkEnd w:id="9"/>
    </w:p>
    <w:p>
      <w:pPr>
        <w:pStyle w:val="Heading3"/>
        <w:numPr>
          <w:ilvl w:val="2"/>
          <w:numId w:val="1"/>
        </w:numPr>
        <w:rPr/>
      </w:pPr>
      <w:bookmarkStart w:id="10" w:name="__RefHeading___Toc2227683_2314609296"/>
      <w:bookmarkStart w:id="11" w:name="_Toc4"/>
      <w:bookmarkEnd w:id="10"/>
      <w:r>
        <w:rPr>
          <w:rtl w:val="true"/>
        </w:rPr>
        <w:t>اشارة</w:t>
      </w:r>
      <w:bookmarkEnd w:id="1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اللقطة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بضمّ اللام وفتح القاف، اسم للمال الملقوط، أو للملتقِط </w:t>
      </w:r>
      <w:r>
        <w:rPr>
          <w:rStyle w:val="FootnoteAnchor"/>
          <w:rtl w:val="true"/>
        </w:rPr>
        <w:footnoteReference w:id="2"/>
      </w:r>
      <w:r>
        <w:rPr>
          <w:rFonts w:ascii="Amiri" w:hAnsi="Amiri" w:eastAsia="Amiri" w:cs="Amiri"/>
          <w:color w:val="111111"/>
          <w:sz w:val="28"/>
          <w:sz w:val="28"/>
          <w:szCs w:val="28"/>
          <w:rtl w:val="true"/>
          <w:lang w:bidi="ar-SA"/>
        </w:rPr>
        <w:t>کباب فُعَلَة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کهُمَزَة ولُمَزَة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بسکون القاف اسم للمال، واُطلِق علی ما یشمل الإنسان تغلیباً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وفیه فصول</w:t>
      </w:r>
      <w:r>
        <w:rPr>
          <w:rFonts w:eastAsia="IRNazanin" w:cs="IRNazanin"/>
          <w:color w:val="111111"/>
          <w:sz w:val="28"/>
          <w:szCs w:val="28"/>
          <w:rtl w:val="true"/>
          <w:lang w:bidi="fa-IR"/>
        </w:rPr>
        <w:t>» :</w:t>
      </w:r>
    </w:p>
    <w:p>
      <w:pPr>
        <w:pStyle w:val="Heading3"/>
        <w:numPr>
          <w:ilvl w:val="2"/>
          <w:numId w:val="1"/>
        </w:numPr>
        <w:rPr/>
      </w:pPr>
      <w:bookmarkStart w:id="12" w:name="__RefHeading___Toc2227685_2314609296"/>
      <w:bookmarkStart w:id="13" w:name="_Toc5"/>
      <w:bookmarkEnd w:id="12"/>
      <w:r>
        <w:rPr>
          <w:rtl w:val="true"/>
        </w:rPr>
        <w:t xml:space="preserve">الفصل </w:t>
      </w:r>
      <w:r>
        <w:rPr>
          <w:rtl w:val="true"/>
        </w:rPr>
        <w:t>«</w:t>
      </w:r>
      <w:r>
        <w:rPr>
          <w:rtl w:val="true"/>
        </w:rPr>
        <w:t>الأوّل</w:t>
      </w:r>
      <w:r>
        <w:rPr>
          <w:rtl w:val="true"/>
        </w:rPr>
        <w:t>» «</w:t>
      </w:r>
      <w:r>
        <w:rPr>
          <w:rtl w:val="true"/>
        </w:rPr>
        <w:t>فی اللقیط</w:t>
      </w:r>
      <w:r>
        <w:rPr>
          <w:rtl w:val="true"/>
        </w:rPr>
        <w:t>»</w:t>
      </w:r>
      <w:bookmarkEnd w:id="13"/>
    </w:p>
    <w:p>
      <w:pPr>
        <w:pStyle w:val="Heading4"/>
        <w:numPr>
          <w:ilvl w:val="3"/>
          <w:numId w:val="1"/>
        </w:numPr>
        <w:rPr/>
      </w:pPr>
      <w:bookmarkStart w:id="14" w:name="__RefHeading___Toc2227687_2314609296"/>
      <w:bookmarkStart w:id="15" w:name="_Toc6"/>
      <w:bookmarkEnd w:id="14"/>
      <w:r>
        <w:rPr>
          <w:rtl w:val="true"/>
        </w:rPr>
        <w:t>اشارة</w:t>
      </w:r>
      <w:bookmarkEnd w:id="15"/>
    </w:p>
    <w:p>
      <w:pPr>
        <w:pStyle w:val="BookText"/>
        <w:rPr/>
      </w:pPr>
      <w:r>
        <w:rPr>
          <w:rFonts w:ascii="IRNazanin" w:hAnsi="IRNazanin" w:eastAsia="IRNazanin"/>
          <w:color w:val="111111"/>
          <w:sz w:val="28"/>
          <w:sz w:val="28"/>
          <w:szCs w:val="28"/>
          <w:rtl w:val="true"/>
          <w:lang w:bidi="fa-IR"/>
        </w:rPr>
        <w:t>وهو فعیل بمعنی مفعول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کطریح وجریح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ویُسمّی منبوذاً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واختلاف اسمیه باعتبار حالتیه إذا ضاع، فإنّه یُنبذ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یُرمی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یُلقط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إنسان ضائع لا کافل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حالة الالتقاط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یستقلّ بنفسه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بالسعی إلی </w:t>
      </w:r>
      <w:r>
        <w:rPr>
          <w:rStyle w:val="FootnoteAnchor"/>
          <w:rtl w:val="true"/>
        </w:rPr>
        <w:footnoteReference w:id="3"/>
      </w:r>
      <w:r>
        <w:rPr>
          <w:rFonts w:ascii="IRNazanin" w:hAnsi="IRNazanin" w:eastAsia="IRNazanin"/>
          <w:color w:val="111111"/>
          <w:sz w:val="28"/>
          <w:sz w:val="28"/>
          <w:szCs w:val="28"/>
          <w:rtl w:val="true"/>
          <w:lang w:bidi="fa-IR"/>
        </w:rPr>
        <w:t>ما یصلحه ویدفع عن نفسه المهلکات الممکن دفعها عادة</w:t>
      </w:r>
      <w:r>
        <w:rPr>
          <w:rFonts w:eastAsia="IRNazanin" w:cs="IRNazanin"/>
          <w:color w:val="111111"/>
          <w:sz w:val="28"/>
          <w:szCs w:val="28"/>
          <w:rtl w:val="true"/>
          <w:lang w:bidi="fa-IR"/>
        </w:rPr>
        <w:t>.</w:t>
      </w:r>
    </w:p>
    <w:p>
      <w:pPr>
        <w:pStyle w:val="Heading4"/>
        <w:numPr>
          <w:ilvl w:val="3"/>
          <w:numId w:val="1"/>
        </w:numPr>
        <w:rPr/>
      </w:pPr>
      <w:bookmarkStart w:id="16" w:name="__RefHeading___Toc2227689_2314609296"/>
      <w:bookmarkStart w:id="17" w:name="_Toc7"/>
      <w:bookmarkEnd w:id="16"/>
      <w:r>
        <w:rPr>
          <w:rtl w:val="true"/>
        </w:rPr>
        <w:t>[</w:t>
      </w:r>
      <w:r>
        <w:rPr>
          <w:rtl w:val="true"/>
        </w:rPr>
        <w:t>التقاط الطفل و المملوک</w:t>
      </w:r>
      <w:r>
        <w:rPr>
          <w:rtl w:val="true"/>
        </w:rPr>
        <w:t>]</w:t>
      </w:r>
      <w:bookmarkEnd w:id="17"/>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فیُلتقط الصبیّ والصبیّة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میّزا علی الأقوی؛ لعدم استقلالهما</w:t>
      </w:r>
    </w:p>
    <w:p>
      <w:pPr>
        <w:pStyle w:val="BookText"/>
        <w:rPr/>
      </w:pPr>
      <w:r>
        <w:rPr>
          <w:rFonts w:ascii="IRNazanin" w:hAnsi="IRNazanin" w:eastAsia="IRNazanin"/>
          <w:color w:val="111111"/>
          <w:sz w:val="28"/>
          <w:sz w:val="28"/>
          <w:szCs w:val="28"/>
          <w:rtl w:val="true"/>
          <w:lang w:bidi="fa-IR"/>
        </w:rPr>
        <w:t xml:space="preserve">بأنفسهما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 یبلغا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فیمتنع التقاطهما حینئذٍ؛ لاستقلالهما وانتفاء الولایة عنهما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خاف علی البالغ التلف فی مهلکة وجب إنقاذه کما یجب إنقاذ الغریق ونحوه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والمجنون بحکم الطفل، وهو داخل فی إطلاق التعریف وإن لم یخصّه بالتفصیل، وقد صرّح بإدخاله فی تعریف الدروس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واحترز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کافل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معلوم الولیّ أو الملتقِط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عُلم الأب أو الجدّ</w:t>
      </w:r>
      <w:r>
        <w:rPr>
          <w:rFonts w:eastAsia="IRNazanin" w:cs="IRNazanin"/>
          <w:color w:val="111111"/>
          <w:sz w:val="28"/>
          <w:szCs w:val="28"/>
          <w:rtl w:val="true"/>
          <w:lang w:bidi="fa-IR"/>
        </w:rPr>
        <w:t xml:space="preserve">» </w:t>
      </w:r>
      <w:r>
        <w:rPr>
          <w:rStyle w:val="FootnoteAnchor"/>
          <w:rtl w:val="true"/>
        </w:rPr>
        <w:footnoteReference w:id="5"/>
      </w:r>
      <w:r>
        <w:rPr>
          <w:rFonts w:ascii="IRNazanin" w:hAnsi="IRNazanin" w:eastAsia="IRNazanin"/>
          <w:color w:val="111111"/>
          <w:sz w:val="28"/>
          <w:sz w:val="28"/>
          <w:szCs w:val="28"/>
          <w:rtl w:val="true"/>
          <w:lang w:bidi="fa-IR"/>
        </w:rPr>
        <w:t xml:space="preserve">وإن علا، والاُمّ وإن صعدت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الوصیّ، أو الملتقِط السابق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انتفاء الأوّلین </w:t>
      </w:r>
      <w:r>
        <w:rPr>
          <w:rStyle w:val="FootnoteAnchor"/>
          <w:rtl w:val="true"/>
        </w:rPr>
        <w:footnoteReference w:id="6"/>
      </w:r>
      <w:r>
        <w:rPr>
          <w:rFonts w:ascii="Amiri" w:hAnsi="Amiri" w:eastAsia="Amiri" w:cs="Amiri"/>
          <w:color w:val="111111"/>
          <w:sz w:val="28"/>
          <w:sz w:val="28"/>
          <w:szCs w:val="28"/>
          <w:rtl w:val="true"/>
          <w:lang w:bidi="ar-SA"/>
        </w:rPr>
        <w:t xml:space="preserve">لم یصحّ التقاطه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 إلیهم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وجوباً؛ لسبق تعلّق الحقّ بهم فیُجبرون علی أخذه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کان اللقیط مملوکاً حُفظ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یصل إلی المالک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وکیله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ویفهم من إطلاقه عدم جواز تملّکه مطلقاً وبه صرّح فی الدروس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واختلف کلام العلّامة، ففی القواعد قطع بجواز تملّک الصغیر بعد التعریف حولاً </w:t>
      </w:r>
      <w:r>
        <w:rPr>
          <w:rStyle w:val="FootnoteAnchor"/>
          <w:rtl w:val="true"/>
        </w:rPr>
        <w:footnoteReference w:id="8"/>
      </w:r>
      <w:r>
        <w:rPr>
          <w:rFonts w:ascii="IRNazanin" w:hAnsi="IRNazanin" w:eastAsia="IRNazanin"/>
          <w:color w:val="111111"/>
          <w:sz w:val="28"/>
          <w:sz w:val="28"/>
          <w:szCs w:val="28"/>
          <w:rtl w:val="true"/>
          <w:lang w:bidi="fa-IR"/>
        </w:rPr>
        <w:t xml:space="preserve">وهو قول للشیخ </w:t>
      </w:r>
      <w:r>
        <w:rPr>
          <w:rStyle w:val="FootnoteAnchor"/>
          <w:rtl w:val="true"/>
        </w:rPr>
        <w:footnoteReference w:id="9"/>
      </w:r>
      <w:r>
        <w:rPr>
          <w:rFonts w:ascii="IRNazanin" w:hAnsi="IRNazanin" w:eastAsia="IRNazanin"/>
          <w:color w:val="111111"/>
          <w:sz w:val="28"/>
          <w:sz w:val="28"/>
          <w:szCs w:val="28"/>
          <w:rtl w:val="true"/>
          <w:lang w:bidi="fa-IR"/>
        </w:rPr>
        <w:t>لأنّه مال ضائع یُخشی تلفه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التحریر أطلق المنع</w:t>
      </w:r>
      <w:bookmarkStart w:id="18" w:name="pg19815_253006"/>
    </w:p>
    <w:p>
      <w:pPr>
        <w:pStyle w:val="BookText"/>
        <w:rPr/>
      </w:pPr>
      <w:bookmarkEnd w:id="18"/>
      <w:r>
        <w:rPr>
          <w:rFonts w:ascii="Amiri" w:hAnsi="Amiri" w:eastAsia="Amiri" w:cs="Amiri"/>
          <w:color w:val="111111"/>
          <w:sz w:val="28"/>
          <w:sz w:val="28"/>
          <w:szCs w:val="28"/>
          <w:rtl w:val="true"/>
          <w:lang w:bidi="ar-SA"/>
        </w:rPr>
        <w:t xml:space="preserve">من تملّکه محتجّاً بأنّ العبد یتحفّظ بنفسه کالإبل </w:t>
      </w:r>
      <w:r>
        <w:rPr>
          <w:rStyle w:val="FootnoteAnchor"/>
          <w:rtl w:val="true"/>
        </w:rPr>
        <w:footnoteReference w:id="10"/>
      </w:r>
      <w:r>
        <w:rPr>
          <w:rFonts w:ascii="IRNazanin" w:hAnsi="IRNazanin" w:eastAsia="IRNazanin"/>
          <w:color w:val="111111"/>
          <w:sz w:val="28"/>
          <w:sz w:val="28"/>
          <w:szCs w:val="28"/>
          <w:rtl w:val="true"/>
          <w:lang w:bidi="fa-IR"/>
        </w:rPr>
        <w:t>وهو لا یتمّ فی الصغیر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قول الشیخ قوّة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العلم برقّیّته، بأن یراه یباع فی الأسواق مراراً قبل أن یضیع، ولا یعلم مالکه، لا بالقرائن من اللون وغیره، لأصالة الحرّیّة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یضمن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تلف أو أبق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إلّابالتفریط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للإذن فی قبضه شرعاً، فیکون أمانة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الأقرب المنع من أخذه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أخذ المملوک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بالغاً أو مراهقاً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مقارباً للبلوغ؛ لأنّهما کالضالّة الممتنعة بنفسها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بخلاف الصغیر الذی لا قوّة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دفع المهلکات عن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ووجه الجواز مطلقاً أ نّه مال ضائع یُخشی تلفه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وینبغی القطع بجواز أخذه إذا کان مخوف التلف ولو بالإباق؛ لأنّه معاونة علی البرّ، ودفع لضرورة المضطرّ، وأقلّ مراتبه الجواز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وبهذا یحصل الفرق بین الحرّ والمملوک، حیث اشترط فی الحرّ الصغر، دون المملوک؛ لأنّه لا یخرج بالبلوغ عن المالیّة، والحرّ إنّما یُحفظ عن التلف، والقصد من لَقطَته حضانته وحفظه، فیختصّ بالصغیر، ومن ثَمّ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الممیّز لا یجوز لقطتُه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 w:name="__RefHeading___Toc2227691_2314609296"/>
      <w:bookmarkStart w:id="20" w:name="_Toc8"/>
      <w:bookmarkEnd w:id="19"/>
      <w:r>
        <w:rPr>
          <w:rtl w:val="true"/>
        </w:rPr>
        <w:t>[</w:t>
      </w:r>
      <w:r>
        <w:rPr>
          <w:rtl w:val="true"/>
        </w:rPr>
        <w:t>شروط الملتقط</w:t>
      </w:r>
      <w:r>
        <w:rPr>
          <w:rtl w:val="true"/>
        </w:rPr>
        <w:t>]</w:t>
      </w:r>
      <w:bookmarkEnd w:id="2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بدّ من بلوغ الملتقط وعقلِه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یصحّ التقاط الصبیّ والمجنون، بمعنی أنّ حکم اللقیط فی یدیهما ما کان علیه قبلَ 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ویُفهم من إطلاقه اشتراطهما دون غیرهما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نّه لا یشترط رشده، فیصحّ من السفیه؛ لأنّ حضانة اللقیط لیست مالاً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یُحجر علی السفیه له، ومطلق کونه مولّی علیه غیر مانع</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واستقرب المصنّف فی الدروس اشتراط رشده؛ محتجّاً بأنّ الشارع</w:t>
      </w:r>
    </w:p>
    <w:p>
      <w:pPr>
        <w:pStyle w:val="BookText"/>
        <w:rPr/>
      </w:pPr>
      <w:r>
        <w:rPr>
          <w:rFonts w:ascii="IRNazanin" w:hAnsi="IRNazanin" w:eastAsia="IRNazanin"/>
          <w:color w:val="111111"/>
          <w:sz w:val="28"/>
          <w:sz w:val="28"/>
          <w:szCs w:val="28"/>
          <w:rtl w:val="true"/>
          <w:lang w:bidi="fa-IR"/>
        </w:rPr>
        <w:t xml:space="preserve">لم یأتمنه علی ماله، فعلی الطفل وماله أولی بالمنع، ولأنّ الالتقاط ائتمان شرعیّ والشرع لم یأتمنه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وفیه نظر؛ لأنّ الشارع إنّما لم یأتمنه علی المال، لا علی غیره، بل جوّز تصرّفه فی غیره مطلقاً وعلی تقدیر أن یوجد معه مال یمکن الجمع بین القاعدتین الشرعیّتین، وهما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استئمان المبذّر علی المال، وتأهیله لغیره من التصرّفات التی من جملتها الالتقاط والحضانة، فیؤخذ المال منه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صحّة التقاطه یستلزم وجوب إنفاقه، وهو ممتنع من المبذّر؛ لاستلزامه التصرّف المالی، وجعل التصرّف فیه لآخر یستدعی الضرر علی الطفل بتوزیع اُموره، أمکن إن تحقّق الضرر بذلک، وإلّا فالقول بالجواز أجود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وحرّیّته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عبرة بالتقاط العبد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إلّابإذن السیّد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منافعه له، وحقّه مضیّق، فلا یتفرّغ للحضانة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لو أذن له فیه ابتداءً أو أقرّه علیه بعد وضع یده جاز، وکان السیّد فی الحقیقة هو الملتقط والعبد نائبه، ثمّ لا یجوز للسیّد الرجوع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فرق بین القِنّ والمکاتب والمدبّر ومن تحرّر بعضه واُمّ الولد، لعدم جواز تبرّع واحد منهم بماله ولا منافعه إلّابإذن السیّد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یدفع ذلک مهایاة المبعَّض وإن وفی زمانُه المختصّ بالحضانة؛ لعدم لزومها، فجاز تطرّق المانع کلَّ وقت</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لو لم یوجد للقیط کافل غیر العبد وخیف علیه التلف بالإبقاء فقد قال المصنّف فی الدروس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یجب حینئذٍ علی العبد التقاطه بدون إذن المولی </w:t>
      </w:r>
      <w:r>
        <w:rPr>
          <w:rStyle w:val="FootnoteAnchor"/>
          <w:rtl w:val="true"/>
        </w:rPr>
        <w:footnoteReference w:id="13"/>
      </w:r>
      <w:r>
        <w:rPr>
          <w:rFonts w:ascii="IRNazanin" w:hAnsi="IRNazanin" w:eastAsia="IRNazanin"/>
          <w:color w:val="111111"/>
          <w:sz w:val="28"/>
          <w:sz w:val="28"/>
          <w:szCs w:val="28"/>
          <w:rtl w:val="true"/>
          <w:lang w:bidi="fa-IR"/>
        </w:rPr>
        <w:t>وهذا فی الحقیقة لا یوجب إلحاق حکم اللقطة، وإنّما دلّت الضرورة علی الوجوب من</w:t>
      </w:r>
    </w:p>
    <w:p>
      <w:pPr>
        <w:pStyle w:val="BookText"/>
        <w:rPr/>
      </w:pPr>
      <w:r>
        <w:rPr>
          <w:rFonts w:ascii="IRNazanin" w:hAnsi="IRNazanin" w:eastAsia="IRNazanin"/>
          <w:color w:val="111111"/>
          <w:sz w:val="28"/>
          <w:sz w:val="28"/>
          <w:szCs w:val="28"/>
          <w:rtl w:val="true"/>
          <w:lang w:bidi="fa-IR"/>
        </w:rPr>
        <w:t>حیث إنقاذ النفس المحترمة من الهلاک، فإذا وُجِدَ من له أهلیّة الالتقاط وجب علیه انتزاعه منه وسیّده من الجملة؛ لانتفاء أهلیّة العبد 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وإسلامه إن کان اللقیط محکوماً بإسلامه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لانتفاء السبیل للکافر علی المسلم، ولأ نّه لا یؤمن أن یفتنه عن دینه، فإن التقطه الکافر لم یُقرَّ فی یده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کان اللقیط محکوماً بکفره جاز التقاطه للمسلم وللکافر؛ لقوله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اَلَّذِینَ کَفَرُوا بَعْضُهُمْ أَوْلِیٰاءُ بَعْضٍ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والقائل الشیخ </w:t>
      </w:r>
      <w:r>
        <w:rPr>
          <w:rStyle w:val="FootnoteAnchor"/>
          <w:rtl w:val="true"/>
        </w:rPr>
        <w:footnoteReference w:id="15"/>
      </w:r>
      <w:r>
        <w:rPr>
          <w:rFonts w:ascii="IRNazanin" w:hAnsi="IRNazanin" w:eastAsia="IRNazanin"/>
          <w:color w:val="111111"/>
          <w:sz w:val="28"/>
          <w:sz w:val="28"/>
          <w:szCs w:val="28"/>
          <w:rtl w:val="true"/>
          <w:lang w:bidi="fa-IR"/>
        </w:rPr>
        <w:t xml:space="preserve">والعلّامة فی غیر التحریر </w:t>
      </w:r>
      <w:r>
        <w:rPr>
          <w:rStyle w:val="FootnoteAnchor"/>
          <w:rtl w:val="true"/>
        </w:rPr>
        <w:footnoteReference w:id="1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وعدالته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لافتقار الالتقاط إلی الحضانة وهی استئمان لا یلیق بالفاسق، ولأ نّه لا یؤمن أن یسترقّه ویأخذ 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والأکثر علی العدم </w:t>
      </w:r>
      <w:r>
        <w:rPr>
          <w:rStyle w:val="FootnoteAnchor"/>
          <w:rtl w:val="true"/>
        </w:rPr>
        <w:footnoteReference w:id="17"/>
      </w:r>
      <w:r>
        <w:rPr>
          <w:rFonts w:ascii="IRNazanin" w:hAnsi="IRNazanin" w:eastAsia="IRNazanin"/>
          <w:color w:val="111111"/>
          <w:sz w:val="28"/>
          <w:sz w:val="28"/>
          <w:szCs w:val="28"/>
          <w:rtl w:val="true"/>
          <w:lang w:bidi="fa-IR"/>
        </w:rPr>
        <w:t>للأصل، ولأنّ المسلم محلّ الأمانة، مع أ نّه لیس استئماناً حقیقیّاً، ولانتقاضه بالتقاط الکافر مثلَه؛ لجوازه بغیر 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هو الأقوی، وإن کان اعتبارها أحوط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لو کان له مال فقد قیل باشتراطها؛ لأنّ الخیانة فی المال أمر راجح الوقوع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ویشکل بإمکان الجمع بانتزاع الحاکم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ماله </w:t>
      </w:r>
      <w:r>
        <w:rPr>
          <w:rFonts w:eastAsia="IRNazanin" w:cs="IRNazanin"/>
          <w:color w:val="111111"/>
          <w:sz w:val="28"/>
          <w:szCs w:val="28"/>
          <w:rtl w:val="true"/>
          <w:lang w:bidi="fa-IR"/>
        </w:rPr>
        <w:t xml:space="preserve">] </w:t>
      </w:r>
      <w:r>
        <w:rPr>
          <w:rStyle w:val="FootnoteAnchor"/>
          <w:rtl w:val="true"/>
        </w:rPr>
        <w:footnoteReference w:id="19"/>
      </w:r>
      <w:r>
        <w:rPr>
          <w:rFonts w:ascii="IRNazanin" w:hAnsi="IRNazanin" w:eastAsia="IRNazanin"/>
          <w:color w:val="111111"/>
          <w:sz w:val="28"/>
          <w:sz w:val="28"/>
          <w:szCs w:val="28"/>
          <w:rtl w:val="true"/>
          <w:lang w:bidi="fa-IR"/>
        </w:rPr>
        <w:t>منه کالمبذّر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وأولی</w:t>
      </w:r>
      <w:bookmarkStart w:id="21" w:name="pg19815_253009"/>
    </w:p>
    <w:p>
      <w:pPr>
        <w:pStyle w:val="BookText"/>
        <w:rPr/>
      </w:pPr>
      <w:bookmarkEnd w:id="21"/>
      <w:r>
        <w:rPr>
          <w:rFonts w:ascii="IRNazanin" w:hAnsi="IRNazanin" w:eastAsia="IRNazanin"/>
          <w:color w:val="111111"/>
          <w:sz w:val="28"/>
          <w:sz w:val="28"/>
          <w:szCs w:val="28"/>
          <w:rtl w:val="true"/>
          <w:lang w:bidi="fa-IR"/>
        </w:rPr>
        <w:t xml:space="preserve">بالجواز التقاط المستور </w:t>
      </w:r>
      <w:r>
        <w:rPr>
          <w:rStyle w:val="FootnoteAnchor"/>
          <w:rtl w:val="true"/>
        </w:rPr>
        <w:footnoteReference w:id="20"/>
      </w:r>
      <w:r>
        <w:rPr>
          <w:rFonts w:ascii="IRNazanin" w:hAnsi="IRNazanin" w:eastAsia="IRNazanin"/>
          <w:color w:val="111111"/>
          <w:sz w:val="28"/>
          <w:sz w:val="28"/>
          <w:szCs w:val="28"/>
          <w:rtl w:val="true"/>
          <w:lang w:bidi="fa-IR"/>
        </w:rPr>
        <w:t xml:space="preserve">والحکم بوجوب نصب الحاکم </w:t>
      </w:r>
      <w:r>
        <w:rPr>
          <w:rStyle w:val="FootnoteAnchor"/>
          <w:rtl w:val="true"/>
        </w:rPr>
        <w:footnoteReference w:id="21"/>
      </w:r>
      <w:r>
        <w:rPr>
          <w:rFonts w:ascii="IRNazanin" w:hAnsi="IRNazanin" w:eastAsia="IRNazanin"/>
          <w:color w:val="111111"/>
          <w:sz w:val="28"/>
          <w:sz w:val="28"/>
          <w:szCs w:val="28"/>
          <w:rtl w:val="true"/>
          <w:lang w:bidi="fa-IR"/>
        </w:rPr>
        <w:t>مراقباً علیه لا یعلم به إلی أن تحصل الثقة به أو ضدّها فینتزع منه، بعید</w:t>
      </w:r>
      <w:r>
        <w:rPr>
          <w:rFonts w:eastAsia="IRNazanin" w:cs="IRNazanin"/>
          <w:color w:val="111111"/>
          <w:sz w:val="28"/>
          <w:szCs w:val="28"/>
          <w:rtl w:val="true"/>
          <w:lang w:bidi="fa-IR"/>
        </w:rPr>
        <w:t>.</w:t>
      </w:r>
    </w:p>
    <w:p>
      <w:pPr>
        <w:pStyle w:val="Heading4"/>
        <w:numPr>
          <w:ilvl w:val="3"/>
          <w:numId w:val="1"/>
        </w:numPr>
        <w:rPr/>
      </w:pPr>
      <w:bookmarkStart w:id="22" w:name="__RefHeading___Toc2227693_2314609296"/>
      <w:bookmarkStart w:id="23" w:name="_Toc9"/>
      <w:bookmarkEnd w:id="22"/>
      <w:r>
        <w:rPr>
          <w:rtl w:val="true"/>
        </w:rPr>
        <w:t>[</w:t>
      </w:r>
      <w:r>
        <w:rPr>
          <w:rtl w:val="true"/>
        </w:rPr>
        <w:t>احکام الالتقاط و اللقیط</w:t>
      </w:r>
      <w:r>
        <w:rPr>
          <w:rtl w:val="true"/>
        </w:rPr>
        <w:t>]</w:t>
      </w:r>
      <w:bookmarkEnd w:id="2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یعتبر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حضره </w:t>
      </w:r>
      <w:r>
        <w:rPr>
          <w:rStyle w:val="FootnoteAnchor"/>
          <w:rtl w:val="true"/>
        </w:rPr>
        <w:footnoteReference w:id="22"/>
      </w:r>
      <w:r>
        <w:rPr>
          <w:rFonts w:ascii="IRNazanin" w:hAnsi="IRNazanin" w:eastAsia="IRNazanin"/>
          <w:color w:val="111111"/>
          <w:sz w:val="28"/>
          <w:sz w:val="28"/>
          <w:szCs w:val="28"/>
          <w:rtl w:val="true"/>
          <w:lang w:bidi="fa-IR"/>
        </w:rPr>
        <w:t>فینتزع من البدوی ومن مرید السفر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لأداء التقاطهما له إلی ضیاع نسبه بانتقالهما عن محلّ ضیاعه الذی هو مظنّة ظهوره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ویضعَّف بعدم لزوم ذلک مطلقاً، بل جاز العکس، وأصالة عدم الاشتراط تدفعه، فالقول بعدمه أوضح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وحکایته اشتراط هذین قولاً یدلّ علی تمریضه، وقد حکم فی الدروس بعدمه </w:t>
      </w:r>
      <w:r>
        <w:rPr>
          <w:rStyle w:val="FootnoteAnchor"/>
          <w:rtl w:val="true"/>
        </w:rPr>
        <w:footnoteReference w:id="23"/>
      </w:r>
      <w:r>
        <w:rPr>
          <w:rFonts w:ascii="IRNazanin" w:hAnsi="IRNazanin" w:eastAsia="IRNazanin"/>
          <w:color w:val="111111"/>
          <w:sz w:val="28"/>
          <w:sz w:val="28"/>
          <w:szCs w:val="28"/>
          <w:rtl w:val="true"/>
          <w:lang w:bidi="fa-IR"/>
        </w:rPr>
        <w:t>ولو لم یوجد غیرهما لم ینتزع قطعاً، وکذا لو وُجد مثلهما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والواجب علی الملتقط حضانته بالمعروف، وهو تعهّده والقیام بضرورة تربیته بنفسه أو بغیره ولا یجب علیه الإنفاق علیه من ماله ابتداءً، بل من مال اللقیط الذی وجد تحت یده، أو الموقوف علی أمثاله، أو الموصی به لهم بإذن الحاکم مع إمکانه، وإلّا أنفق بنفسه ولا ضمان</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تعذّره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ینفق علیه من بیت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برفع الأمر إلی الإمام؛ لأنّه معدّ للمصالح وهو من جملتها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سهم الفقراء والمساکین، أو سهم سبیل اللّٰه إن اعتبرنا البسط، وإلّا فمنها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یترتّب أحدهما علی الآخر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تعذّر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کلّه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الملتقط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ویجب علیهم مساعدته بالنفقة کفایة؛ لوجوب إعانة المحتاج کذلک مطلقاً، فإن وُجد متبرّع منهم، وإلّا کان الملتقط وغیرُه ممّن لا ینفق إلّابنیّة الرجوع سواء فی الوجوب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تعذّر أنفق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الملتقط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ورجع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یساره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نواه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لم ینوِ کان متبرّعاً لا رجوع له، کما لا رجوع له لو وجد المعین المتبرّع فلم یستعن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أنفق غیره بنیّة الرجوع فله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والأقوی عدم اشتراط الإشهاد فی جواز الرجوع وإن توقّف ثبوته علیه بدون الیمین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کان اللقیط مملوکاً ولم یتبرّع علیه متبرّع بالنفقة رفع أمره إلی الحاکم لینفق علیه، أو یبیعه فی النفقة، أو یأمره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تعذّر أنفق علیه بنیّة الرجوع ثمّ باعه فیها إن لم یمکن بیعه تدریجاً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ولاولاء علیه للملتقط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لغیره من المسلمین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خلافاً للشیخ </w:t>
      </w:r>
      <w:r>
        <w:rPr>
          <w:rStyle w:val="FootnoteAnchor"/>
          <w:rtl w:val="true"/>
        </w:rPr>
        <w:footnoteReference w:id="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هو سائبة یتولّی من شاء، فإن مات ولا وارث له فمیراثه للإمام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وإذا خاف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التلف وجب أخذه 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یجب حفظ کلّ نفس محترمة عنه مع الإمکان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یخف علیه التلف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أخذه؛ لأصالة عدم الوجوب مع ما فیه من المعاونة علی البرّ</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یجب کفایة مطلقاً؛ لأنّه مُعرَّض للتلف، ولوجوب إطعام المضطرّ </w:t>
      </w:r>
      <w:r>
        <w:rPr>
          <w:rStyle w:val="FootnoteAnchor"/>
          <w:rtl w:val="true"/>
        </w:rPr>
        <w:footnoteReference w:id="25"/>
      </w:r>
      <w:r>
        <w:rPr>
          <w:rFonts w:ascii="IRNazanin" w:hAnsi="IRNazanin" w:eastAsia="IRNazanin"/>
          <w:color w:val="111111"/>
          <w:sz w:val="28"/>
          <w:sz w:val="28"/>
          <w:szCs w:val="28"/>
          <w:rtl w:val="true"/>
          <w:lang w:bidi="fa-IR"/>
        </w:rPr>
        <w:t xml:space="preserve">واختاره المصنّف فی الدروس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یستحبّ مطلقاً؛ لأصالة البراءة </w:t>
      </w:r>
      <w:r>
        <w:rPr>
          <w:rStyle w:val="FootnoteAnchor"/>
          <w:rtl w:val="true"/>
        </w:rPr>
        <w:footnoteReference w:id="27"/>
      </w:r>
      <w:r>
        <w:rPr>
          <w:rFonts w:ascii="IRNazanin" w:hAnsi="IRNazanin" w:eastAsia="IRNazanin"/>
          <w:color w:val="111111"/>
          <w:sz w:val="28"/>
          <w:sz w:val="28"/>
          <w:szCs w:val="28"/>
          <w:rtl w:val="true"/>
          <w:lang w:bidi="fa-IR"/>
        </w:rPr>
        <w:t>ولا یخفی ضعفه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وکلّ ما بیده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التقاطه من المال أو المتاع کملبوسه والمشدود فی ثوبه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تحته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کالفراش والدابّة المرکوبة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فوقه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کاللحاف والخیمة والفسطاط التی لا مالک لها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لدلالة الید ظاهراً علی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ومثله ما لو کان بیده قبل الالتقاط ثمّ زالت عنه لعارض، کطائر أفلت من یده ومتاع غُصب منه أو سَقَط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ما بین یدیه، أو إلی جانبه </w:t>
      </w:r>
      <w:r>
        <w:rPr>
          <w:rStyle w:val="FootnoteAnchor"/>
          <w:rtl w:val="true"/>
        </w:rPr>
        <w:footnoteReference w:id="28"/>
      </w:r>
      <w:r>
        <w:rPr>
          <w:rFonts w:ascii="IRNazanin" w:hAnsi="IRNazanin" w:eastAsia="IRNazanin"/>
          <w:color w:val="111111"/>
          <w:sz w:val="28"/>
          <w:sz w:val="28"/>
          <w:szCs w:val="28"/>
          <w:rtl w:val="true"/>
          <w:lang w:bidi="fa-IR"/>
        </w:rPr>
        <w:t>أو علی دکّة هو علیها، علی الأقوی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ینفق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الملتقطُ ولا 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إلّابإذن الحاکم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ولیّه مع إمکانه، أمّا مع تعذّره فیجوز للضرورة، کما سلف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ویستحبّ الإشهاد علی أخذه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صیانةً له ولنسبه وحرّیّته، فإنّ اللُقطة یشیع أمرها بالتعریف، ولا تعریف للّقیط إلّاعلی وجه نادر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یجب؛ للأصل</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ویحکم بإسلامه إن التقط فی دار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فی دار الحرب وفیها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یمکن تولّده منه وإن کان تاجراً أو أسیراً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وعاقلته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الملتقط إذا لم یتوال أحداً بعد بلوغه ولم یظهر له نسب، فدیة جنایته خطأً علیه، وحقّ قصاصه نفساً له، وطرفاً للّقیط بعد بلوغه قصاصاً ودیةً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ویجوز تعجیله للإمام قبلَه، کما یجوز ذلک للأب والجدّ علی أصحّ القولین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bookmarkStart w:id="24" w:name="pg19815_253012"/>
    </w:p>
    <w:p>
      <w:pPr>
        <w:pStyle w:val="Heading4"/>
        <w:numPr>
          <w:ilvl w:val="3"/>
          <w:numId w:val="1"/>
        </w:numPr>
        <w:rPr/>
      </w:pPr>
      <w:bookmarkStart w:id="25" w:name="__RefHeading___Toc2227695_2314609296"/>
      <w:bookmarkStart w:id="26" w:name="_Toc10"/>
      <w:bookmarkEnd w:id="24"/>
      <w:bookmarkEnd w:id="25"/>
      <w:r>
        <w:rPr>
          <w:rtl w:val="true"/>
        </w:rPr>
        <w:t>[</w:t>
      </w:r>
      <w:r>
        <w:rPr>
          <w:rtl w:val="true"/>
        </w:rPr>
        <w:t>فی التنازع</w:t>
      </w:r>
      <w:r>
        <w:rPr>
          <w:rtl w:val="true"/>
        </w:rPr>
        <w:t>]</w:t>
      </w:r>
      <w:bookmarkEnd w:id="2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اختلفا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الملتقط واللقیط بعد البلوغ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الإنفاق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فادّعاه الملتقط وأنکره اللقیط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اتّفقا علی أصله واختلفا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قدره حلف الملتقط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لدلالة الظاهر علیه وإن عارضه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ما زاد علی المعروف فلا یلتفت إلی دعواه فیه؛ لأنّه علی تقدیر صدقه مفرط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قُدّر عروض حاجة إلیه </w:t>
      </w:r>
      <w:r>
        <w:rPr>
          <w:rStyle w:val="FootnoteAnchor"/>
          <w:rtl w:val="true"/>
        </w:rPr>
        <w:footnoteReference w:id="31"/>
      </w:r>
      <w:r>
        <w:rPr>
          <w:rFonts w:ascii="IRNazanin" w:hAnsi="IRNazanin" w:eastAsia="IRNazanin"/>
          <w:color w:val="111111"/>
          <w:sz w:val="28"/>
          <w:sz w:val="28"/>
          <w:szCs w:val="28"/>
          <w:rtl w:val="true"/>
          <w:lang w:bidi="fa-IR"/>
        </w:rPr>
        <w:t>فالأصل عدمها، ولا ظاهر یعضدها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تشاحّ ملتقطان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جامعان للشرائط فی أخذه قُدّم السابق إلی أخذه فإن استویا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بینهما وحُکم به لمن أخرجته القرعة، ولا یُشرک بینهما فی الحضانة؛ لما فیه من الإضرار باللقیط أو بهما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ترک أحدهما للآخر 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لحصول الغرض، فیجب علی الآخر الاستبداد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واحترزنا بجمعهما للشرائط عمّا لو تشاحّ مسلم وکافر، أو عدل وفاسق حیث یشترط العدالة، أو حرّ وعبد، فیرجّح الأوّل بغیر قرعة وإن کان الملقوط کافراً فی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ترجیح البلدی علی القروی، والقروی علی البدوی، والقارّ علی المسافر، والموسر علی المعسر، والعدل علی المستور، والأعدل علی الأنقص، قول </w:t>
      </w:r>
      <w:r>
        <w:rPr>
          <w:rStyle w:val="FootnoteAnchor"/>
          <w:rtl w:val="true"/>
        </w:rPr>
        <w:footnoteReference w:id="32"/>
      </w:r>
      <w:r>
        <w:rPr>
          <w:rFonts w:ascii="IRNazanin" w:hAnsi="IRNazanin" w:eastAsia="IRNazanin"/>
          <w:color w:val="111111"/>
          <w:sz w:val="28"/>
          <w:sz w:val="28"/>
          <w:szCs w:val="28"/>
          <w:rtl w:val="true"/>
          <w:lang w:bidi="fa-IR"/>
        </w:rPr>
        <w:t>مأخذه النظر إلی مصلحة اللقیط فی إیثار الأکمل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والأقوی اعتبار جواز الالتقاط خاصّة</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تداعی بنوّته اثنان ولا بیّنة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لأحدهما، أو لکلّ منهما بیّنة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فالقرعة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من الاُمور المشکلة وهی لکلّ أمرٍ مشکل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ترجیح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کان اللقیط محکوماً بإسلامه ظاهراً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قول</w:t>
      </w:r>
    </w:p>
    <w:p>
      <w:pPr>
        <w:pStyle w:val="BookText"/>
        <w:rPr/>
      </w:pPr>
      <w:r>
        <w:rPr>
          <w:rFonts w:ascii="IRNazanin" w:hAnsi="IRNazanin" w:eastAsia="IRNazanin"/>
          <w:color w:val="111111"/>
          <w:sz w:val="28"/>
          <w:sz w:val="28"/>
          <w:szCs w:val="28"/>
          <w:rtl w:val="true"/>
          <w:lang w:bidi="fa-IR"/>
        </w:rPr>
        <w:t>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الخلاف؛ لعموم الأخبار فیمن تداعوا نسباً </w:t>
      </w:r>
      <w:r>
        <w:rPr>
          <w:rStyle w:val="FootnoteAnchor"/>
          <w:rtl w:val="true"/>
        </w:rPr>
        <w:footnoteReference w:id="33"/>
      </w:r>
      <w:r>
        <w:rPr>
          <w:rFonts w:ascii="IRNazanin" w:hAnsi="IRNazanin" w:eastAsia="IRNazanin"/>
          <w:color w:val="111111"/>
          <w:sz w:val="28"/>
          <w:sz w:val="28"/>
          <w:szCs w:val="28"/>
          <w:rtl w:val="true"/>
          <w:lang w:bidi="fa-IR"/>
        </w:rPr>
        <w:t xml:space="preserve">ولتکافؤهما </w:t>
      </w:r>
      <w:r>
        <w:rPr>
          <w:rStyle w:val="FootnoteAnchor"/>
          <w:rtl w:val="true"/>
        </w:rPr>
        <w:footnoteReference w:id="34"/>
      </w:r>
      <w:r>
        <w:rPr>
          <w:rFonts w:ascii="IRNazanin" w:hAnsi="IRNazanin" w:eastAsia="IRNazanin"/>
          <w:color w:val="111111"/>
          <w:sz w:val="28"/>
          <w:sz w:val="28"/>
          <w:szCs w:val="28"/>
          <w:rtl w:val="true"/>
          <w:lang w:bidi="fa-IR"/>
        </w:rPr>
        <w:t>فی الدعوی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ورجّح فی المبسوط دعوی المسلم؛ لتأیّده بالحکم بإسلام اللقیط علی تقدیره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ومثله تنازع الحرّ والعبد مع الحکم بحرّیّة اللقیط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 محکوماً بکفره أو رقّه اُشکل الترجیح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وحیث یحکم به للکافر یحکم بکفره علی الأقوی؛ للتبعیّة</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بالالتقاط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الملتقط کغیره فی دعوی نسبه؛ لجواز أن یکون قد سقط منه أو نَبَذه ثمّ عاد إلی أخذه، ولا ترجیح للید فی النسب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لم یعلم کونه ملتقطاً ولا صرّح ببنوّته فادّعاه غیره فنازعه، فإن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لقیط وهو ابنی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فهما سواء، وإن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واقتصر ولم یکن هناک بیّنة علی أ نّه التقطه، فقد قرّب فی الدروس ترجیح دعواه عملاً بظاهر الید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bookmarkStart w:id="27" w:name="pg19815_253014"/>
    </w:p>
    <w:p>
      <w:pPr>
        <w:pStyle w:val="Heading3"/>
        <w:numPr>
          <w:ilvl w:val="2"/>
          <w:numId w:val="1"/>
        </w:numPr>
        <w:rPr/>
      </w:pPr>
      <w:bookmarkStart w:id="28" w:name="__RefHeading___Toc2227697_2314609296"/>
      <w:bookmarkStart w:id="29" w:name="_Toc11"/>
      <w:bookmarkEnd w:id="27"/>
      <w:bookmarkEnd w:id="28"/>
      <w:r>
        <w:rPr>
          <w:rtl w:val="true"/>
        </w:rPr>
        <w:t xml:space="preserve">الفصل </w:t>
      </w:r>
      <w:r>
        <w:rPr>
          <w:rtl w:val="true"/>
        </w:rPr>
        <w:t>«</w:t>
      </w:r>
      <w:r>
        <w:rPr>
          <w:rtl w:val="true"/>
        </w:rPr>
        <w:t>الثانی</w:t>
      </w:r>
      <w:r>
        <w:rPr>
          <w:rtl w:val="true"/>
        </w:rPr>
        <w:t>» «</w:t>
      </w:r>
      <w:r>
        <w:rPr>
          <w:rtl w:val="true"/>
        </w:rPr>
        <w:t>فی</w:t>
      </w:r>
      <w:r>
        <w:rPr>
          <w:rtl w:val="true"/>
        </w:rPr>
        <w:t xml:space="preserve">» </w:t>
      </w:r>
      <w:r>
        <w:rPr>
          <w:rtl w:val="true"/>
        </w:rPr>
        <w:t xml:space="preserve">لقطة </w:t>
      </w:r>
      <w:r>
        <w:rPr>
          <w:rtl w:val="true"/>
        </w:rPr>
        <w:t>«</w:t>
      </w:r>
      <w:r>
        <w:rPr>
          <w:rtl w:val="true"/>
        </w:rPr>
        <w:t>الحیوان</w:t>
      </w:r>
      <w:r>
        <w:rPr>
          <w:rtl w:val="true"/>
        </w:rPr>
        <w:t>»</w:t>
      </w:r>
      <w:bookmarkEnd w:id="29"/>
    </w:p>
    <w:p>
      <w:pPr>
        <w:pStyle w:val="Heading4"/>
        <w:numPr>
          <w:ilvl w:val="3"/>
          <w:numId w:val="1"/>
        </w:numPr>
        <w:rPr/>
      </w:pPr>
      <w:bookmarkStart w:id="30" w:name="__RefHeading___Toc2227699_2314609296"/>
      <w:bookmarkStart w:id="31" w:name="_Toc12"/>
      <w:bookmarkEnd w:id="30"/>
      <w:r>
        <w:rPr>
          <w:rtl w:val="true"/>
        </w:rPr>
        <w:t>[</w:t>
      </w:r>
      <w:r>
        <w:rPr>
          <w:rtl w:val="true"/>
        </w:rPr>
        <w:t>فی الماخوذ</w:t>
      </w:r>
      <w:r>
        <w:rPr>
          <w:rtl w:val="true"/>
        </w:rPr>
        <w:t>]</w:t>
      </w:r>
      <w:bookmarkEnd w:id="3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وتُسمّی </w:t>
      </w:r>
      <w:r>
        <w:rPr>
          <w:rStyle w:val="FootnoteAnchor"/>
          <w:rtl w:val="true"/>
        </w:rPr>
        <w:footnoteReference w:id="37"/>
      </w:r>
      <w:r>
        <w:rPr>
          <w:rFonts w:ascii="IRNazanin" w:hAnsi="IRNazanin" w:eastAsia="IRNazanin"/>
          <w:color w:val="111111"/>
          <w:sz w:val="28"/>
          <w:sz w:val="28"/>
          <w:szCs w:val="28"/>
          <w:rtl w:val="true"/>
          <w:lang w:bidi="fa-IR"/>
        </w:rPr>
        <w:t>ضالّة، وأخذه فی صورة الجواز مکروه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للنهی عنه فی أخبار کثیرة </w:t>
      </w:r>
      <w:r>
        <w:rPr>
          <w:rStyle w:val="FootnoteAnchor"/>
          <w:rtl w:val="true"/>
        </w:rPr>
        <w:footnoteReference w:id="38"/>
      </w:r>
      <w:r>
        <w:rPr>
          <w:rFonts w:ascii="IRNazanin" w:hAnsi="IRNazanin" w:eastAsia="IRNazanin"/>
          <w:color w:val="111111"/>
          <w:sz w:val="28"/>
          <w:sz w:val="28"/>
          <w:szCs w:val="28"/>
          <w:rtl w:val="true"/>
          <w:lang w:bidi="fa-IR"/>
        </w:rPr>
        <w:t xml:space="preserve">المحمول علی الکراهة جمعاً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ویستحبّ الإشهاد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أخذ الضالّة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تحقّق التلف لم یُکره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قد یجب کفایة إذا عرف مالکها، وإلّا اُبیح خاصّة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والبعیر وشبهه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الدابّة والبقرة ونحوهما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وُجِد فی کلاء وماء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حالة کونه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مکسور ولا مریض، أو صحیحاً وإن لم یکن فی کلاء وماء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لامتناعه، ولا یجوز أخذه حینئذٍ بنیّة التملّک مطلقاً</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جوازه بنیّة الحفظ لمالکه قولان </w:t>
      </w:r>
      <w:r>
        <w:rPr>
          <w:rStyle w:val="FootnoteAnchor"/>
          <w:rtl w:val="true"/>
        </w:rPr>
        <w:footnoteReference w:id="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إطلاق الأخبار بالنهی</w:t>
      </w:r>
    </w:p>
    <w:p>
      <w:pPr>
        <w:pStyle w:val="BookText"/>
        <w:rPr/>
      </w:pPr>
      <w:r>
        <w:rPr>
          <w:rFonts w:ascii="IRNazanin" w:hAnsi="IRNazanin" w:eastAsia="IRNazanin"/>
          <w:color w:val="111111"/>
          <w:sz w:val="28"/>
          <w:sz w:val="28"/>
          <w:szCs w:val="28"/>
          <w:rtl w:val="true"/>
          <w:lang w:bidi="fa-IR"/>
        </w:rPr>
        <w:t xml:space="preserve">والإحسان </w:t>
      </w:r>
      <w:r>
        <w:rPr>
          <w:rStyle w:val="FootnoteAnchor"/>
          <w:rtl w:val="true"/>
        </w:rPr>
        <w:footnoteReference w:id="40"/>
      </w:r>
      <w:r>
        <w:rPr>
          <w:rFonts w:ascii="IRNazanin" w:hAnsi="IRNazanin" w:eastAsia="IRNazanin"/>
          <w:color w:val="111111"/>
          <w:sz w:val="28"/>
          <w:sz w:val="28"/>
          <w:szCs w:val="28"/>
          <w:rtl w:val="true"/>
          <w:lang w:bidi="fa-IR"/>
        </w:rPr>
        <w:t xml:space="preserve">وعلی التقدیرین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فیضمن بالأخذ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یصل إلی مالکه، أو إلی الحاکم مع تعذّره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یرجع آخذه بالنفقة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لا یرجّح أخذه؛ لتبرّعه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مع وجوبه أو استحبابه فالأجود جوازه مع نیّته؛ لأنّه محسن، ولأنّ إذن الشارع له فی الأخذ مع عدم الإذن فی النفقة ضرر وحرج</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تُرِک من جُهد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وعطب لمرض أو کسر أو غیرهما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فی کلاء وماء اُبیح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أخذه ومَلِکَه الآخذ وإن وُجد مالکه وعینه قائمة فی أصحّ القولین </w:t>
      </w:r>
      <w:r>
        <w:rPr>
          <w:rStyle w:val="FootnoteAnchor"/>
          <w:rtl w:val="true"/>
        </w:rPr>
        <w:footnoteReference w:id="41"/>
      </w:r>
      <w:r>
        <w:rPr>
          <w:rFonts w:ascii="IRNazanin" w:hAnsi="IRNazanin" w:eastAsia="IRNazanin"/>
          <w:color w:val="111111"/>
          <w:sz w:val="28"/>
          <w:sz w:val="28"/>
          <w:szCs w:val="28"/>
          <w:rtl w:val="true"/>
          <w:lang w:bidi="fa-IR"/>
        </w:rPr>
        <w:t>لقول الصادق علیه السلام فی صحیحة عبد اللّٰه بن سنان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أصاب مالاً أو بعیراً فی فلاة من الأرض قد کلّت وقامت وقد سیّبها صاحبها لمّا لم تتبعه، فأخذها غیره، فاقام علیها وأنفق نفقة حتّی أحیاها من الکلال ومن الموت فهی له ولا سبیل له علیها، وإنّما هی مثل الشیء المباح</w:t>
      </w:r>
      <w:r>
        <w:rPr>
          <w:rFonts w:eastAsia="IRNazanin" w:cs="IRNazanin"/>
          <w:color w:val="111111"/>
          <w:sz w:val="28"/>
          <w:szCs w:val="28"/>
          <w:rtl w:val="true"/>
          <w:lang w:bidi="fa-IR"/>
        </w:rPr>
        <w:t xml:space="preserve">» </w:t>
      </w:r>
      <w:r>
        <w:rPr>
          <w:rStyle w:val="FootnoteAnchor"/>
          <w:rtl w:val="true"/>
        </w:rPr>
        <w:footnoteReference w:id="42"/>
      </w:r>
      <w:r>
        <w:rPr>
          <w:rFonts w:ascii="IRNazanin" w:hAnsi="IRNazanin" w:eastAsia="IRNazanin"/>
          <w:color w:val="111111"/>
          <w:sz w:val="28"/>
          <w:sz w:val="28"/>
          <w:szCs w:val="28"/>
          <w:rtl w:val="true"/>
          <w:lang w:bidi="fa-IR"/>
        </w:rPr>
        <w:t>وظاهره أنّ المراد بالمال ما کان من الدوابّ التی تحمل ونحوها، بدلیل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کلّت وقامت وقد سیّبها صاحبها لمّا لم تتبعه</w:t>
      </w:r>
      <w:r>
        <w:rPr>
          <w:rFonts w:eastAsia="IRNazanin" w:cs="IRNazanin"/>
          <w:color w:val="111111"/>
          <w:sz w:val="28"/>
          <w:szCs w:val="28"/>
          <w:rtl w:val="true"/>
          <w:lang w:bidi="fa-IR"/>
        </w:rPr>
        <w:t>» .</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والظاهر أنّ الفلاة المشتملة علی کلاء دون ماء أو بالعکس بحکم عادمتهما؛ لعدم قوام الحیوان بدونهما، ولظاهر قول أمیر المؤمنین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إن ترکها فی</w:t>
      </w:r>
    </w:p>
    <w:p>
      <w:pPr>
        <w:pStyle w:val="BookText"/>
        <w:rPr/>
      </w:pPr>
      <w:r>
        <w:rPr>
          <w:rFonts w:ascii="IRNazanin" w:hAnsi="IRNazanin" w:eastAsia="IRNazanin"/>
          <w:color w:val="111111"/>
          <w:sz w:val="28"/>
          <w:sz w:val="28"/>
          <w:szCs w:val="28"/>
          <w:rtl w:val="true"/>
          <w:lang w:bidi="fa-IR"/>
        </w:rPr>
        <w:t>غیر کلاء ولا ماء فهی للّذی أحیاها</w:t>
      </w:r>
      <w:r>
        <w:rPr>
          <w:rFonts w:eastAsia="IRNazanin" w:cs="IRNazanin"/>
          <w:color w:val="111111"/>
          <w:sz w:val="28"/>
          <w:szCs w:val="28"/>
          <w:rtl w:val="true"/>
          <w:lang w:bidi="fa-IR"/>
        </w:rPr>
        <w:t xml:space="preserve">»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والشاة فی الفلاة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یُخاف علیها فیها من السباع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تؤخذ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لأنّها لا تمتنع من صغیر السباع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کالتالفة، ولقوله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 لک أو لأخیک أو للذئب</w:t>
      </w:r>
      <w:r>
        <w:rPr>
          <w:rFonts w:eastAsia="IRNazanin" w:cs="IRNazanin"/>
          <w:color w:val="111111"/>
          <w:sz w:val="28"/>
          <w:szCs w:val="28"/>
          <w:rtl w:val="true"/>
          <w:lang w:bidi="fa-IR"/>
        </w:rPr>
        <w:t xml:space="preserve">» </w:t>
      </w:r>
      <w:r>
        <w:rPr>
          <w:rStyle w:val="FootnoteAnchor"/>
          <w:rtl w:val="true"/>
        </w:rPr>
        <w:footnoteReference w:id="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وحینئذٍ یتملّکها إن شاء، وفی الضمان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لمالکها علی تقدیر ظهوره أو کونه معلوماً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جزم به المصنّف فی الدروس </w:t>
      </w:r>
      <w:r>
        <w:rPr>
          <w:rStyle w:val="FootnoteAnchor"/>
          <w:rtl w:val="true"/>
        </w:rPr>
        <w:footnoteReference w:id="45"/>
      </w:r>
      <w:r>
        <w:rPr>
          <w:rFonts w:ascii="IRNazanin" w:hAnsi="IRNazanin" w:eastAsia="IRNazanin"/>
          <w:color w:val="111111"/>
          <w:sz w:val="28"/>
          <w:sz w:val="28"/>
          <w:szCs w:val="28"/>
          <w:rtl w:val="true"/>
          <w:lang w:bidi="fa-IR"/>
        </w:rPr>
        <w:t>لعموم قول الباقر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جاء طالبه ردّه إلیه</w:t>
      </w:r>
      <w:r>
        <w:rPr>
          <w:rFonts w:eastAsia="IRNazanin" w:cs="IRNazanin"/>
          <w:color w:val="111111"/>
          <w:sz w:val="28"/>
          <w:szCs w:val="28"/>
          <w:rtl w:val="true"/>
          <w:lang w:bidi="fa-IR"/>
        </w:rPr>
        <w:t xml:space="preserve">» </w:t>
      </w:r>
      <w:r>
        <w:rPr>
          <w:rStyle w:val="FootnoteAnchor"/>
          <w:rtl w:val="true"/>
        </w:rPr>
        <w:footnoteReference w:id="46"/>
      </w:r>
      <w:r>
        <w:rPr>
          <w:rFonts w:ascii="IRNazanin" w:hAnsi="IRNazanin" w:eastAsia="IRNazanin"/>
          <w:color w:val="111111"/>
          <w:sz w:val="28"/>
          <w:sz w:val="28"/>
          <w:szCs w:val="28"/>
          <w:rtl w:val="true"/>
          <w:lang w:bidi="fa-IR"/>
        </w:rPr>
        <w:t>ومتی ضمن عینَها ضمن قیمتَها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ینافی ذلک جواز تملّکها بالقیمة علی تقدیر ظهوره؛ لأنّه ملک متزلزل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ووجه العدم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صحیحة ابن سنان السابقة وقوله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 لک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إلی آخره فإنّ المتبادر منه عدم الضمان مطلقاً، ولا ریب أنّ الضمان 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وهل یتوقّف تملّکها علی التعریف؟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Style w:val="FootnoteAnchor"/>
          <w:rtl w:val="true"/>
        </w:rPr>
        <w:footnoteReference w:id="47"/>
      </w:r>
      <w:r>
        <w:rPr>
          <w:rFonts w:ascii="IRNazanin" w:hAnsi="IRNazanin" w:eastAsia="IRNazanin"/>
          <w:color w:val="111111"/>
          <w:sz w:val="28"/>
          <w:sz w:val="28"/>
          <w:szCs w:val="28"/>
          <w:rtl w:val="true"/>
          <w:lang w:bidi="fa-IR"/>
        </w:rPr>
        <w:t xml:space="preserve">لأنّها مال، فیدخل فی عموم الأخبار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والأقوی العدم؛ لما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وعلیه فهو سَنة کغیرها من الأموال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یبقیها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یظهر مالکها أو یوصله إیّاها إن کان معلوماً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یدفعها إلی الحاکم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تعذّر الوصول إلی المالک، ثمّ الحاکم یحفظها أو یبیعها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والقائل الشیخ فی المبسوط </w:t>
      </w:r>
      <w:r>
        <w:rPr>
          <w:rStyle w:val="FootnoteAnchor"/>
          <w:rtl w:val="true"/>
        </w:rPr>
        <w:footnoteReference w:id="49"/>
      </w:r>
      <w:r>
        <w:rPr>
          <w:rFonts w:ascii="Amiri" w:hAnsi="Amiri" w:eastAsia="Amiri" w:cs="Amiri"/>
          <w:color w:val="111111"/>
          <w:sz w:val="28"/>
          <w:sz w:val="28"/>
          <w:szCs w:val="28"/>
          <w:rtl w:val="true"/>
          <w:lang w:bidi="ar-SA"/>
        </w:rPr>
        <w:t xml:space="preserve">والعلّامة </w:t>
      </w:r>
      <w:r>
        <w:rPr>
          <w:rStyle w:val="FootnoteAnchor"/>
          <w:rtl w:val="true"/>
        </w:rPr>
        <w:footnoteReference w:id="50"/>
      </w:r>
      <w:r>
        <w:rPr>
          <w:rFonts w:ascii="Amiri" w:hAnsi="Amiri" w:eastAsia="Amiri" w:cs="Amiri"/>
          <w:color w:val="111111"/>
          <w:sz w:val="28"/>
          <w:sz w:val="28"/>
          <w:szCs w:val="28"/>
          <w:rtl w:val="true"/>
          <w:lang w:bidi="ar-SA"/>
        </w:rPr>
        <w:t xml:space="preserve">وجماعة </w:t>
      </w:r>
      <w:r>
        <w:rPr>
          <w:rStyle w:val="FootnoteAnchor"/>
          <w:rtl w:val="true"/>
        </w:rPr>
        <w:footnoteReference w:id="51"/>
      </w:r>
      <w:r>
        <w:rPr>
          <w:rFonts w:ascii="IRNazanin" w:hAnsi="IRNazanin" w:eastAsia="IRNazanin"/>
          <w:color w:val="111111"/>
          <w:sz w:val="28"/>
          <w:sz w:val="28"/>
          <w:szCs w:val="28"/>
          <w:rtl w:val="true"/>
          <w:lang w:bidi="fa-IR"/>
        </w:rPr>
        <w:t xml:space="preserve">بل أسنده فی التذکرة إلی علمائنا </w:t>
      </w:r>
      <w:r>
        <w:rPr>
          <w:rStyle w:val="FootnoteAnchor"/>
          <w:rtl w:val="true"/>
        </w:rPr>
        <w:footnoteReference w:id="52"/>
      </w:r>
      <w:r>
        <w:rPr>
          <w:rFonts w:ascii="IRNazanin" w:hAnsi="IRNazanin" w:eastAsia="IRNazanin"/>
          <w:color w:val="111111"/>
          <w:sz w:val="28"/>
          <w:sz w:val="28"/>
          <w:szCs w:val="28"/>
          <w:rtl w:val="true"/>
          <w:lang w:bidi="fa-IR"/>
        </w:rPr>
        <w:t>مطلِقاً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لا یمتنع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الحیوان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صغیر السباع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بعدْوٍ ولا طیران ولا قوّة وإن کان من شأنه الامتناع إذا کمُل کصغیر الإبل والبقر، ونسبه المصنّف إلی القیل؛ لعدم نصّ علیه بخصوصه، وإنّما ورد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فیبقی غیرها علی أصالة البقاء علی ملک المالک، وحینئذٍ فیلزمها حکم اللقطة، فتُعرَّف سنةً، ثمّ یتملّکها إن شاء أو یتصدّق بها، لکن فی قوله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 لک أو لأخیک أو للذئب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إیماء إلیه، حیث إنّها لا تمتنع من السباع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أمکن امتناعها بالعَدْو کالظباء </w:t>
      </w:r>
      <w:r>
        <w:rPr>
          <w:rStyle w:val="FootnoteAnchor"/>
          <w:rtl w:val="true"/>
        </w:rPr>
        <w:footnoteReference w:id="53"/>
      </w:r>
      <w:r>
        <w:rPr>
          <w:rFonts w:ascii="IRNazanin" w:hAnsi="IRNazanin" w:eastAsia="IRNazanin"/>
          <w:color w:val="111111"/>
          <w:sz w:val="28"/>
          <w:sz w:val="28"/>
          <w:szCs w:val="28"/>
          <w:rtl w:val="true"/>
          <w:lang w:bidi="fa-IR"/>
        </w:rPr>
        <w:t>أو الطیران لم یجز أخذها مطلقاً إلّاأن یخاف ضیاعها، فالأقرب الجواز بنیّة الحفظ للمالک</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وقیل یجوز أخذ الضالّة مطلقاً بهذه النیّة </w:t>
      </w:r>
      <w:r>
        <w:rPr>
          <w:rStyle w:val="FootnoteAnchor"/>
          <w:rtl w:val="true"/>
        </w:rPr>
        <w:footnoteReference w:id="54"/>
      </w:r>
      <w:r>
        <w:rPr>
          <w:rFonts w:ascii="IRNazanin" w:hAnsi="IRNazanin" w:eastAsia="IRNazanin"/>
          <w:color w:val="111111"/>
          <w:sz w:val="28"/>
          <w:sz w:val="28"/>
          <w:szCs w:val="28"/>
          <w:rtl w:val="true"/>
          <w:lang w:bidi="fa-IR"/>
        </w:rPr>
        <w:t>وهو حسن؛ لما فیه من الإعانة والإحسان، وتُحمل أخبار النهی علی الأخذ بنیّة التملّک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والتعلیلُ بکونها محفوظة بنفسها غیرُ کافٍ فی المنع؛ لأنّ الأثمان </w:t>
      </w:r>
      <w:r>
        <w:rPr>
          <w:rStyle w:val="FootnoteAnchor"/>
          <w:rtl w:val="true"/>
        </w:rPr>
        <w:footnoteReference w:id="55"/>
      </w:r>
      <w:r>
        <w:rPr>
          <w:rFonts w:ascii="IRNazanin" w:hAnsi="IRNazanin" w:eastAsia="IRNazanin"/>
          <w:color w:val="111111"/>
          <w:sz w:val="28"/>
          <w:sz w:val="28"/>
          <w:szCs w:val="28"/>
          <w:rtl w:val="true"/>
          <w:lang w:bidi="fa-IR"/>
        </w:rPr>
        <w:t>کذلک حیث کانت مع جواز التقاطها بنیّة التعریف وإن فارقتها بعد ذلک فی الحکم</w:t>
      </w:r>
      <w:r>
        <w:rPr>
          <w:rFonts w:eastAsia="IRNazanin" w:cs="IRNazanin"/>
          <w:color w:val="111111"/>
          <w:sz w:val="28"/>
          <w:szCs w:val="28"/>
          <w:rtl w:val="true"/>
          <w:lang w:bidi="fa-IR"/>
        </w:rPr>
        <w:t>.</w:t>
      </w:r>
      <w:bookmarkStart w:id="32" w:name="pg19815_253018"/>
    </w:p>
    <w:p>
      <w:pPr>
        <w:pStyle w:val="Heading4"/>
        <w:numPr>
          <w:ilvl w:val="3"/>
          <w:numId w:val="1"/>
        </w:numPr>
        <w:rPr/>
      </w:pPr>
      <w:bookmarkStart w:id="33" w:name="__RefHeading___Toc2227701_2314609296"/>
      <w:bookmarkStart w:id="34" w:name="_Toc13"/>
      <w:bookmarkEnd w:id="32"/>
      <w:bookmarkEnd w:id="33"/>
      <w:r>
        <w:rPr>
          <w:rtl w:val="true"/>
        </w:rPr>
        <w:t>[</w:t>
      </w:r>
      <w:r>
        <w:rPr>
          <w:rtl w:val="true"/>
        </w:rPr>
        <w:t>فی الاخذ و شروطه</w:t>
      </w:r>
      <w:r>
        <w:rPr>
          <w:rtl w:val="true"/>
        </w:rPr>
        <w:t>]</w:t>
      </w:r>
      <w:bookmarkEnd w:id="3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وُجدت الشاة فی العمران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التی لا یُخاف علیها فیها من السباع، وهی ما قرب من المساکن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احتبسها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ثلاثة أیّام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حین الوجدان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لم یجد صاحبها باعها وتصدّق بثمنها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وضمن إن لم یرض المالک علی الأقوی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 إبقاؤها بغیر بیع وإبقاء ثمنها أمانة إلی أن یظهر المالک أو ییأس منه، ولا ضمان حینئذٍ إن جاز أخذها کما یظهر من العبارة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 صرّح به غیره </w:t>
      </w:r>
      <w:r>
        <w:rPr>
          <w:rStyle w:val="FootnoteAnchor"/>
          <w:rtl w:val="true"/>
        </w:rPr>
        <w:footnoteReference w:id="56"/>
      </w:r>
      <w:r>
        <w:rPr>
          <w:rFonts w:ascii="IRNazanin" w:hAnsi="IRNazanin" w:eastAsia="IRNazanin"/>
          <w:color w:val="111111"/>
          <w:sz w:val="28"/>
          <w:sz w:val="28"/>
          <w:szCs w:val="28"/>
          <w:rtl w:val="true"/>
          <w:lang w:bidi="fa-IR"/>
        </w:rPr>
        <w:t>عدم جواز أخذ شیء من العمران، ولکن لو فعل لزمه هذا الحکم فی الشاة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وکیف کان، فلیس له تملّکها مع الضمان علی الأقوی؛ للأصل وظاهر النصّ </w:t>
      </w:r>
      <w:r>
        <w:rPr>
          <w:rStyle w:val="FootnoteAnchor"/>
          <w:rtl w:val="true"/>
        </w:rPr>
        <w:footnoteReference w:id="57"/>
      </w:r>
      <w:r>
        <w:rPr>
          <w:rFonts w:ascii="IRNazanin" w:hAnsi="IRNazanin" w:eastAsia="IRNazanin"/>
          <w:color w:val="111111"/>
          <w:sz w:val="28"/>
          <w:sz w:val="28"/>
          <w:szCs w:val="28"/>
          <w:rtl w:val="true"/>
          <w:lang w:bidi="fa-IR"/>
        </w:rPr>
        <w:t>والفتوی عدم وجوب التعریف حینئذٍ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وغیر الشاة یجب مع أخذه تعریفه سنة کغیره من المال، أو یحفظه لمالکه من غیر تعریف، أو یدفعه إلی الحاکم</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یشترط فی الآخذ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باسم الفاعل شیء من الشروط المعتبرة فی آخذ اللقیط وغیرها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إلّاالأخذ</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بالمصدر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بمعنی أ نّه یجوز التقاطها فی موضع الجواز للصغیر والکبیر والحرّ والعبد والمسلم والکافر؛ للأصل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فتقرّ ید العبد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الضالّة مع بلوغه وعقله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الولیّ علی لقطة غیر الکامل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طفل ومجنون وسفیه، کما یجب علیه حفظ ماله؛ لأنّه لا یؤمن علی إتلافه، فإن أهمل الولیّ ضمن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افتقر إلی تعریف تولّاه الولیّ ثمّ یفعل بعدَه الأولی للملتقَط من تملّکٍ وغیره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والإنفاق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الضالّة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مرّ</w:t>
      </w:r>
      <w:r>
        <w:rPr>
          <w:rFonts w:eastAsia="IRNazanin" w:cs="IRNazanin"/>
          <w:color w:val="111111"/>
          <w:sz w:val="28"/>
          <w:szCs w:val="28"/>
          <w:rtl w:val="true"/>
          <w:lang w:bidi="fa-IR"/>
        </w:rPr>
        <w:t xml:space="preserve">» </w:t>
      </w:r>
      <w:r>
        <w:rPr>
          <w:rStyle w:val="FootnoteAnchor"/>
          <w:rtl w:val="true"/>
        </w:rPr>
        <w:footnoteReference w:id="58"/>
      </w:r>
      <w:r>
        <w:rPr>
          <w:rFonts w:ascii="IRNazanin" w:hAnsi="IRNazanin" w:eastAsia="IRNazanin"/>
          <w:color w:val="111111"/>
          <w:sz w:val="28"/>
          <w:sz w:val="28"/>
          <w:szCs w:val="28"/>
          <w:rtl w:val="true"/>
          <w:lang w:bidi="fa-IR"/>
        </w:rPr>
        <w:t>فی الإنفاق علی اللقیط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 نّه مع عدم بیت المال والحاکم ینفق ویرجع مع نیّته علی أصحّ القولین </w:t>
      </w:r>
      <w:r>
        <w:rPr>
          <w:rStyle w:val="FootnoteAnchor"/>
          <w:rtl w:val="true"/>
        </w:rPr>
        <w:footnoteReference w:id="59"/>
      </w:r>
      <w:r>
        <w:rPr>
          <w:rFonts w:ascii="IRNazanin" w:hAnsi="IRNazanin" w:eastAsia="IRNazanin"/>
          <w:color w:val="111111"/>
          <w:sz w:val="28"/>
          <w:sz w:val="28"/>
          <w:szCs w:val="28"/>
          <w:rtl w:val="true"/>
          <w:lang w:bidi="fa-IR"/>
        </w:rPr>
        <w:t>لوجوب حفظها، ولا یتمّ إلّابالإنفاق، والإیجاب إذن من الشارع فیه، فیستحقّه مع نیّته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یرجع هنا </w:t>
      </w:r>
      <w:r>
        <w:rPr>
          <w:rStyle w:val="FootnoteAnchor"/>
          <w:rtl w:val="true"/>
        </w:rPr>
        <w:footnoteReference w:id="60"/>
      </w:r>
      <w:r>
        <w:rPr>
          <w:rFonts w:ascii="IRNazanin" w:hAnsi="IRNazanin" w:eastAsia="IRNazanin"/>
          <w:color w:val="111111"/>
          <w:sz w:val="28"/>
          <w:sz w:val="28"/>
          <w:szCs w:val="28"/>
          <w:rtl w:val="true"/>
          <w:lang w:bidi="fa-IR"/>
        </w:rPr>
        <w:t>لأنّه إنفاق علی مال الغیر بغیر إذنه، فیکون متبرّعاً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ظهر ضعفه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یشترط الإشهاد علی الأقوی؛ للأصل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انتفع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الآخذ بالظهر والدرّ والخدمة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المالکَ بالنفقة، ورجع ذو الفضل بفضله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الانتفاع بإزاء النفقة مطلقاً </w:t>
      </w:r>
      <w:r>
        <w:rPr>
          <w:rStyle w:val="FootnoteAnchor"/>
          <w:rtl w:val="true"/>
        </w:rPr>
        <w:footnoteReference w:id="61"/>
      </w:r>
      <w:r>
        <w:rPr>
          <w:rFonts w:ascii="IRNazanin" w:hAnsi="IRNazanin" w:eastAsia="IRNazanin"/>
          <w:color w:val="111111"/>
          <w:sz w:val="28"/>
          <w:sz w:val="28"/>
          <w:szCs w:val="28"/>
          <w:rtl w:val="true"/>
          <w:lang w:bidi="fa-IR"/>
        </w:rPr>
        <w:t>وظاهر الفتوی جواز الانتفاع لأجل الإنفاق، سواء قاصَّ أم جعله عوضاً</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یضمن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الآخذ الضالّة حیث یجوز له أخذها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إلّابتفریطٍ </w:t>
      </w:r>
      <w:r>
        <w:rPr>
          <w:rStyle w:val="FootnoteAnchor"/>
          <w:rtl w:val="true"/>
        </w:rPr>
        <w:footnoteReference w:id="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والمراد به ما یشمل التعدّی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قصد التملّک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موضع جوازه وبدونه </w:t>
      </w:r>
      <w:r>
        <w:rPr>
          <w:rStyle w:val="FootnoteAnchor"/>
          <w:rtl w:val="true"/>
        </w:rPr>
        <w:footnoteReference w:id="63"/>
      </w:r>
      <w:r>
        <w:rPr>
          <w:rFonts w:ascii="IRNazanin" w:hAnsi="IRNazanin" w:eastAsia="IRNazanin"/>
          <w:color w:val="111111"/>
          <w:sz w:val="28"/>
          <w:sz w:val="28"/>
          <w:szCs w:val="28"/>
          <w:rtl w:val="true"/>
          <w:lang w:bidi="fa-IR"/>
        </w:rPr>
        <w:t>ولو قبضها فی غیر موضع الجواز ضمن مطلقاً؛ للتصرّف فی مال الغیر عدواناً</w:t>
      </w:r>
      <w:r>
        <w:rPr>
          <w:rFonts w:eastAsia="IRNazanin" w:cs="IRNazanin"/>
          <w:color w:val="111111"/>
          <w:sz w:val="28"/>
          <w:szCs w:val="28"/>
          <w:rtl w:val="true"/>
          <w:lang w:bidi="fa-IR"/>
        </w:rPr>
        <w:t>.</w:t>
      </w:r>
      <w:bookmarkStart w:id="35" w:name="pg19815_253020"/>
    </w:p>
    <w:p>
      <w:pPr>
        <w:pStyle w:val="Heading3"/>
        <w:numPr>
          <w:ilvl w:val="2"/>
          <w:numId w:val="1"/>
        </w:numPr>
        <w:rPr/>
      </w:pPr>
      <w:bookmarkStart w:id="36" w:name="__RefHeading___Toc2227703_2314609296"/>
      <w:bookmarkStart w:id="37" w:name="_Toc14"/>
      <w:bookmarkEnd w:id="35"/>
      <w:bookmarkEnd w:id="36"/>
      <w:r>
        <w:rPr>
          <w:rtl w:val="true"/>
        </w:rPr>
        <w:t xml:space="preserve">الفصل </w:t>
      </w:r>
      <w:r>
        <w:rPr>
          <w:rtl w:val="true"/>
        </w:rPr>
        <w:t>«</w:t>
      </w:r>
      <w:r>
        <w:rPr>
          <w:rtl w:val="true"/>
        </w:rPr>
        <w:t>الثالث</w:t>
      </w:r>
      <w:r>
        <w:rPr>
          <w:rtl w:val="true"/>
        </w:rPr>
        <w:t>» «</w:t>
      </w:r>
      <w:r>
        <w:rPr>
          <w:rtl w:val="true"/>
        </w:rPr>
        <w:t>فی</w:t>
      </w:r>
      <w:r>
        <w:rPr>
          <w:rtl w:val="true"/>
        </w:rPr>
        <w:t xml:space="preserve">» </w:t>
      </w:r>
      <w:r>
        <w:rPr>
          <w:rtl w:val="true"/>
        </w:rPr>
        <w:t xml:space="preserve">لقطة </w:t>
      </w:r>
      <w:r>
        <w:rPr>
          <w:rtl w:val="true"/>
        </w:rPr>
        <w:t>«</w:t>
      </w:r>
      <w:r>
        <w:rPr>
          <w:rtl w:val="true"/>
        </w:rPr>
        <w:t>المال</w:t>
      </w:r>
      <w:r>
        <w:rPr>
          <w:rtl w:val="true"/>
        </w:rPr>
        <w:t>»</w:t>
      </w:r>
      <w:bookmarkEnd w:id="37"/>
    </w:p>
    <w:p>
      <w:pPr>
        <w:pStyle w:val="Heading4"/>
        <w:numPr>
          <w:ilvl w:val="3"/>
          <w:numId w:val="1"/>
        </w:numPr>
        <w:rPr/>
      </w:pPr>
      <w:bookmarkStart w:id="38" w:name="__RefHeading___Toc2227705_2314609296"/>
      <w:bookmarkStart w:id="39" w:name="_Toc15"/>
      <w:bookmarkEnd w:id="38"/>
      <w:r>
        <w:rPr>
          <w:rtl w:val="true"/>
        </w:rPr>
        <w:t>[</w:t>
      </w:r>
      <w:r>
        <w:rPr>
          <w:rtl w:val="true"/>
        </w:rPr>
        <w:t>لقطة الحرم و احکامها</w:t>
      </w:r>
      <w:r>
        <w:rPr>
          <w:rtl w:val="true"/>
        </w:rPr>
        <w:t>]</w:t>
      </w:r>
      <w:bookmarkEnd w:id="39"/>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غیر الحیوان مطلقاً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کان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الحرم حرم أخذه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بنیّة التملّک مطلقاً قلیلاً کان أم کثیراً؛ لقوله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وَ لَمْ یَرَوْا أَنّٰا جَعَلْنٰا حَرَماً آمِناً</w:t>
      </w:r>
      <w:r>
        <w:rPr>
          <w:rFonts w:eastAsia="Amiri" w:cs="Amiri" w:ascii="Amiri" w:hAnsi="Amiri"/>
          <w:color w:val="111111"/>
          <w:sz w:val="28"/>
          <w:szCs w:val="28"/>
          <w:rtl w:val="true"/>
          <w:lang w:bidi="ar-SA"/>
        </w:rPr>
        <w:t xml:space="preserve">) </w:t>
      </w:r>
      <w:r>
        <w:rPr>
          <w:rStyle w:val="FootnoteAnchor"/>
          <w:rtl w:val="true"/>
        </w:rPr>
        <w:footnoteReference w:id="64"/>
      </w:r>
      <w:r>
        <w:rPr>
          <w:rFonts w:ascii="IRNazanin" w:hAnsi="IRNazanin" w:eastAsia="IRNazanin"/>
          <w:color w:val="111111"/>
          <w:sz w:val="28"/>
          <w:sz w:val="28"/>
          <w:szCs w:val="28"/>
          <w:rtl w:val="true"/>
          <w:lang w:bidi="fa-IR"/>
        </w:rPr>
        <w:t xml:space="preserve">وللأخبار الدالّة علی النهی عنه مطلقاً </w:t>
      </w:r>
      <w:r>
        <w:rPr>
          <w:rStyle w:val="FootnoteAnchor"/>
          <w:rtl w:val="true"/>
        </w:rPr>
        <w:footnoteReference w:id="65"/>
      </w:r>
      <w:r>
        <w:rPr>
          <w:rFonts w:ascii="IRNazanin" w:hAnsi="IRNazanin" w:eastAsia="IRNazanin"/>
          <w:color w:val="111111"/>
          <w:sz w:val="28"/>
          <w:sz w:val="28"/>
          <w:szCs w:val="28"/>
          <w:rtl w:val="true"/>
          <w:lang w:bidi="fa-IR"/>
        </w:rPr>
        <w:t>وفی بعضها عن الکاظم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لقطة الحرم لا تُمَسّ بید ولا رجل، ولو أنّ الناس ترکوها لجاء صاحبها وأخذها</w:t>
      </w:r>
      <w:r>
        <w:rPr>
          <w:rFonts w:eastAsia="IRNazanin" w:cs="IRNazanin"/>
          <w:color w:val="111111"/>
          <w:sz w:val="28"/>
          <w:szCs w:val="28"/>
          <w:rtl w:val="true"/>
          <w:lang w:bidi="fa-IR"/>
        </w:rPr>
        <w:t xml:space="preserve">» </w:t>
      </w:r>
      <w:r>
        <w:rPr>
          <w:rStyle w:val="FootnoteAnchor"/>
          <w:rtl w:val="true"/>
        </w:rPr>
        <w:footnoteReference w:id="66"/>
      </w:r>
      <w:r>
        <w:rPr>
          <w:rFonts w:ascii="IRNazanin" w:hAnsi="IRNazanin" w:eastAsia="IRNazanin"/>
          <w:color w:val="111111"/>
          <w:sz w:val="28"/>
          <w:sz w:val="28"/>
          <w:szCs w:val="28"/>
          <w:rtl w:val="true"/>
          <w:lang w:bidi="fa-IR"/>
        </w:rPr>
        <w:t xml:space="preserve">وذهب بعضهم إلی الکراهة مطلقاً </w:t>
      </w:r>
      <w:r>
        <w:rPr>
          <w:rStyle w:val="FootnoteAnchor"/>
          <w:rtl w:val="true"/>
        </w:rPr>
        <w:footnoteReference w:id="67"/>
      </w:r>
      <w:r>
        <w:rPr>
          <w:rFonts w:ascii="IRNazanin" w:hAnsi="IRNazanin" w:eastAsia="IRNazanin"/>
          <w:color w:val="111111"/>
          <w:sz w:val="28"/>
          <w:sz w:val="28"/>
          <w:szCs w:val="28"/>
          <w:rtl w:val="true"/>
          <w:lang w:bidi="fa-IR"/>
        </w:rPr>
        <w:t xml:space="preserve">استضعافاً لدلیل التحریم، أمّا فی الآیة فمن حیث الدلالة، وأمّا فی الخبر فمن جهة السند </w:t>
      </w:r>
      <w:r>
        <w:rPr>
          <w:rStyle w:val="FootnoteAnchor"/>
          <w:rtl w:val="true"/>
        </w:rPr>
        <w:footnoteReference w:id="68"/>
      </w:r>
      <w:r>
        <w:rPr>
          <w:rFonts w:ascii="IRNazanin" w:hAnsi="IRNazanin" w:eastAsia="IRNazanin"/>
          <w:color w:val="111111"/>
          <w:sz w:val="28"/>
          <w:sz w:val="28"/>
          <w:szCs w:val="28"/>
          <w:rtl w:val="true"/>
          <w:lang w:bidi="fa-IR"/>
        </w:rPr>
        <w:t xml:space="preserve">واختاره المصنّف فی الدروس </w:t>
      </w:r>
      <w:r>
        <w:rPr>
          <w:rStyle w:val="FootnoteAnchor"/>
          <w:rtl w:val="true"/>
        </w:rPr>
        <w:footnoteReference w:id="69"/>
      </w:r>
      <w:r>
        <w:rPr>
          <w:rFonts w:ascii="IRNazanin" w:hAnsi="IRNazanin" w:eastAsia="IRNazanin"/>
          <w:color w:val="111111"/>
          <w:sz w:val="28"/>
          <w:sz w:val="28"/>
          <w:szCs w:val="28"/>
          <w:rtl w:val="true"/>
          <w:lang w:bidi="fa-IR"/>
        </w:rPr>
        <w:t>وهو أقوی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التحریم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أخذه حَفِظه لربّه، وإن تلف بغیر تفریط لم یضمن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یصیر بعد الأخذ أمانة 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ویُشکل ذلک علی القول بالتحریم؛ لنهی الشارع عن أخذها فکیف یصیر أمانة منه؟ والمناسب للقول بالتحریم ثبوت الضمان مطلقاً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ولیس له تملّکه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التعریف ولا بعده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یتصدّق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التعریف حولاً عن مالکه، سواء قلّ أم کثر؛ لروایة علیّ بن أبی حمزة عن الکاظم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رجل وجد دیناراً فی الحرم فأخذه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بئس ما صنع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ینبغی له أن یأخذه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ابتُلی بذلک،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یُعرّفه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rtl w:val="true"/>
          <w:lang w:bidi="fa-IR"/>
        </w:rPr>
        <w:t xml:space="preserve">] </w:t>
      </w:r>
      <w:r>
        <w:rPr>
          <w:rStyle w:val="FootnoteAnchor"/>
          <w:rtl w:val="true"/>
        </w:rPr>
        <w:footnoteReference w:id="70"/>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قد عرّفه فلم یجد له ناعتاً </w:t>
      </w:r>
      <w:r>
        <w:rPr>
          <w:rStyle w:val="FootnoteAnchor"/>
          <w:rtl w:val="true"/>
        </w:rPr>
        <w:footnoteReference w:id="71"/>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یرجع إلی بلده فیتصدّق به علی أهل بیت من المسلمین، فإن جاء طالبه فهو له ضامن</w:t>
      </w:r>
      <w:r>
        <w:rPr>
          <w:rFonts w:eastAsia="IRNazanin" w:cs="IRNazanin"/>
          <w:color w:val="111111"/>
          <w:sz w:val="28"/>
          <w:szCs w:val="28"/>
          <w:rtl w:val="true"/>
          <w:lang w:bidi="fa-IR"/>
        </w:rPr>
        <w:t xml:space="preserve">»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دلّ الحدیث بإطلاقه علی عدم الفرق بین القلیل والکثیر فی وجوب تعریفه مطلقاً وعلی تحریم الأخذ، وکذلک علی ضمان المتصدّق لو کره المالک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ضعف سنده </w:t>
      </w:r>
      <w:r>
        <w:rPr>
          <w:rStyle w:val="FootnoteAnchor"/>
          <w:rtl w:val="true"/>
        </w:rPr>
        <w:footnoteReference w:id="73"/>
      </w:r>
      <w:r>
        <w:rPr>
          <w:rFonts w:ascii="IRNazanin" w:hAnsi="IRNazanin" w:eastAsia="IRNazanin"/>
          <w:color w:val="111111"/>
          <w:sz w:val="28"/>
          <w:sz w:val="28"/>
          <w:szCs w:val="28"/>
          <w:rtl w:val="true"/>
          <w:lang w:bidi="fa-IR"/>
        </w:rPr>
        <w:t>یمنع ذلک کلّه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والأقوی ما اختاره المصنّف فی الدروس </w:t>
      </w:r>
      <w:r>
        <w:rPr>
          <w:rStyle w:val="FootnoteAnchor"/>
          <w:rtl w:val="true"/>
        </w:rPr>
        <w:footnoteReference w:id="74"/>
      </w:r>
      <w:r>
        <w:rPr>
          <w:rFonts w:ascii="IRNazanin" w:hAnsi="IRNazanin" w:eastAsia="IRNazanin"/>
          <w:color w:val="111111"/>
          <w:sz w:val="28"/>
          <w:sz w:val="28"/>
          <w:szCs w:val="28"/>
          <w:rtl w:val="true"/>
          <w:lang w:bidi="fa-IR"/>
        </w:rPr>
        <w:t>من جواز تملّک ما نقص عن الدرهم ووجوب تعریف ما زاد، کغیره</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الضمان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تصدّق به بعد التعریف وظهر المالک فلم یرضَ</w:t>
      </w:r>
      <w:bookmarkStart w:id="40" w:name="pg19815_253022"/>
    </w:p>
    <w:p>
      <w:pPr>
        <w:pStyle w:val="BookText"/>
        <w:rPr/>
      </w:pPr>
      <w:bookmarkEnd w:id="40"/>
      <w:r>
        <w:rPr>
          <w:rFonts w:ascii="IRNazanin" w:hAnsi="IRNazanin" w:eastAsia="IRNazanin"/>
          <w:color w:val="111111"/>
          <w:sz w:val="28"/>
          <w:sz w:val="28"/>
          <w:szCs w:val="28"/>
          <w:rtl w:val="true"/>
          <w:lang w:bidi="fa-IR"/>
        </w:rPr>
        <w:t xml:space="preserve">بالصدقة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منشؤه من دلالة الخبر السالف علی الضمان، وعمومِ قوله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الید ما أخذت حتّی تؤدّی</w:t>
      </w:r>
      <w:r>
        <w:rPr>
          <w:rFonts w:eastAsia="IRNazanin" w:cs="IRNazanin"/>
          <w:color w:val="111111"/>
          <w:sz w:val="28"/>
          <w:szCs w:val="28"/>
          <w:rtl w:val="true"/>
          <w:lang w:bidi="fa-IR"/>
        </w:rPr>
        <w:t xml:space="preserve">» </w:t>
      </w:r>
      <w:r>
        <w:rPr>
          <w:rStyle w:val="FootnoteAnchor"/>
          <w:rtl w:val="true"/>
        </w:rPr>
        <w:footnoteReference w:id="75"/>
      </w:r>
      <w:r>
        <w:rPr>
          <w:rFonts w:ascii="IRNazanin" w:hAnsi="IRNazanin" w:eastAsia="IRNazanin"/>
          <w:color w:val="111111"/>
          <w:sz w:val="28"/>
          <w:sz w:val="28"/>
          <w:szCs w:val="28"/>
          <w:rtl w:val="true"/>
          <w:lang w:bidi="fa-IR"/>
        </w:rPr>
        <w:t>وإتلافه مالَ الغیر بغیر إذنه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کونه أمانة قد دفعها بإذن الشارع فلا یتعقّبه الضمان، ولأصالة البراءة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والقول بضمان ما یجب تعریفه أقوی</w:t>
      </w:r>
      <w:r>
        <w:rPr>
          <w:rFonts w:eastAsia="IRNazanin" w:cs="IRNazanin"/>
          <w:color w:val="111111"/>
          <w:sz w:val="28"/>
          <w:szCs w:val="28"/>
          <w:rtl w:val="true"/>
          <w:lang w:bidi="fa-IR"/>
        </w:rPr>
        <w:t>.</w:t>
      </w:r>
    </w:p>
    <w:p>
      <w:pPr>
        <w:pStyle w:val="Heading4"/>
        <w:numPr>
          <w:ilvl w:val="3"/>
          <w:numId w:val="1"/>
        </w:numPr>
        <w:rPr/>
      </w:pPr>
      <w:bookmarkStart w:id="41" w:name="__RefHeading___Toc2227707_2314609296"/>
      <w:bookmarkStart w:id="42" w:name="_Toc16"/>
      <w:bookmarkEnd w:id="41"/>
      <w:r>
        <w:rPr>
          <w:rtl w:val="true"/>
        </w:rPr>
        <w:t>[</w:t>
      </w:r>
      <w:r>
        <w:rPr>
          <w:rtl w:val="true"/>
        </w:rPr>
        <w:t>لقطة غیر الحرم و احکامها</w:t>
      </w:r>
      <w:r>
        <w:rPr>
          <w:rtl w:val="true"/>
        </w:rPr>
        <w:t>]</w:t>
      </w:r>
      <w:bookmarkEnd w:id="4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أخذه بنیّة الإنشاد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والتعریف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کثیراً؛ لأنّه محسن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والأخبار الدالّة علی التحریم مطلقة، وعمل بها الأکثر </w:t>
      </w:r>
      <w:r>
        <w:rPr>
          <w:rStyle w:val="FootnoteAnchor"/>
          <w:rtl w:val="true"/>
        </w:rPr>
        <w:footnoteReference w:id="76"/>
      </w:r>
      <w:r>
        <w:rPr>
          <w:rFonts w:ascii="Amiri" w:hAnsi="Amiri" w:eastAsia="Amiri" w:cs="Amiri"/>
          <w:color w:val="111111"/>
          <w:sz w:val="28"/>
          <w:sz w:val="28"/>
          <w:szCs w:val="28"/>
          <w:rtl w:val="true"/>
          <w:lang w:bidi="ar-SA"/>
        </w:rPr>
        <w:t>مطلقاً، ولو تمّت لم یکن التفصیل جیّداً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ویجب تعریفه حولاً علی کلّ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قلیلاً کان أم کثیراً أخذه بنیّة الإنشاد أم لا؛ لإطلاق الخبر السالف </w:t>
      </w:r>
      <w:r>
        <w:rPr>
          <w:rStyle w:val="FootnoteAnchor"/>
          <w:rtl w:val="true"/>
        </w:rPr>
        <w:footnoteReference w:id="77"/>
      </w:r>
      <w:r>
        <w:rPr>
          <w:rFonts w:ascii="IRNazanin" w:hAnsi="IRNazanin" w:eastAsia="IRNazanin"/>
          <w:color w:val="111111"/>
          <w:sz w:val="28"/>
          <w:sz w:val="28"/>
          <w:szCs w:val="28"/>
          <w:rtl w:val="true"/>
          <w:lang w:bidi="fa-IR"/>
        </w:rPr>
        <w:t>وقد عرفت ما فیه</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کان فی غیر الحرم یحلّ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کان من الفضّة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الدرهم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ما کانت قیمته دونَه لو کان من غیرها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غیر تعریف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لو ظهر مالکه وعینه باقیة وجب ردّه علیه علی الأشهر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وجوب عوضه مع تلفه قولان </w:t>
      </w:r>
      <w:r>
        <w:rPr>
          <w:rStyle w:val="FootnoteAnchor"/>
          <w:rtl w:val="true"/>
        </w:rPr>
        <w:footnoteReference w:id="78"/>
      </w:r>
      <w:r>
        <w:rPr>
          <w:rFonts w:ascii="IRNazanin" w:hAnsi="IRNazanin" w:eastAsia="IRNazanin"/>
          <w:color w:val="111111"/>
          <w:sz w:val="28"/>
          <w:sz w:val="28"/>
          <w:szCs w:val="28"/>
          <w:rtl w:val="true"/>
          <w:lang w:bidi="fa-IR"/>
        </w:rPr>
        <w:t>مأخذهما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نّه تصرّف شرعیّ فلا یتعقّبه ضمان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وظهور الاستحقاق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عداه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ما کان بقدر الدرهم أو أزید عیناً أو قیمة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یتخیّر الواجد فیه بعد تعریفه حولاً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عقیب الالتقاط مع الإمکان متتابعاً بحیث یعلم السامع أنّ التالی تکرار لمتلوّه، ولیکن فی موضع الالتقاط مع الإمکان إن کان بلداً، ولو کان بریّة عرّف من یجده فیها ثمّ أکمله إذا حضر فی بلده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أراد السفر قبل التعریف فی بلد الالتقاط أو إکماله، فإن أمکنه الاستنابة فهی أولی، وإلّا عرّفه فی بلده بحیث یشتهر خبره، ثمّ یکمله فی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أخّره عن وقت الالتقاط اختیاراً أثِم واعتُبر الحول من </w:t>
      </w:r>
      <w:r>
        <w:rPr>
          <w:rStyle w:val="FootnoteAnchor"/>
          <w:rtl w:val="true"/>
        </w:rPr>
        <w:footnoteReference w:id="79"/>
      </w:r>
      <w:r>
        <w:rPr>
          <w:rFonts w:ascii="IRNazanin" w:hAnsi="IRNazanin" w:eastAsia="IRNazanin"/>
          <w:color w:val="111111"/>
          <w:sz w:val="28"/>
          <w:sz w:val="28"/>
          <w:szCs w:val="28"/>
          <w:rtl w:val="true"/>
          <w:lang w:bidi="fa-IR"/>
        </w:rPr>
        <w:t>حین الشروع، ویترتّب علیه أحکامه مطلقاً علی الأقوی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ویجوز التعریف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بنفسه وبغیره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لحصول الغرض بهما، لکن یشترط فی النائب العدالة أو الاطّلاع </w:t>
      </w:r>
      <w:r>
        <w:rPr>
          <w:rStyle w:val="FootnoteAnchor"/>
          <w:rtl w:val="true"/>
        </w:rPr>
        <w:footnoteReference w:id="80"/>
      </w:r>
      <w:r>
        <w:rPr>
          <w:rFonts w:ascii="IRNazanin" w:hAnsi="IRNazanin" w:eastAsia="IRNazanin"/>
          <w:color w:val="111111"/>
          <w:sz w:val="28"/>
          <w:sz w:val="28"/>
          <w:szCs w:val="28"/>
          <w:rtl w:val="true"/>
          <w:lang w:bidi="fa-IR"/>
        </w:rPr>
        <w:t xml:space="preserve">علی تعریفه المعتبر شرعاً؛ إذ لا یُقبل إخبار الفاسق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الصدقة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مستحقّی الزکاة لحاجته، وإن اتّحد وکثرت </w:t>
      </w:r>
      <w:r>
        <w:rPr>
          <w:rStyle w:val="FootnoteAnchor"/>
          <w:rtl w:val="true"/>
        </w:rPr>
        <w:footnoteReference w:id="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والتملّک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بنیّته</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ویضمن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ظهر المالک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الثانی مطلقاً، وفی الأوّل إذا لم یرض بالصدقة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وجد العین باقیة، ففی تعیین رجوعه بها لو طلبها، أو تخیّر الملتقط بین دفعها ودفع البدل مثلاً أو قیمة، قولان </w:t>
      </w:r>
      <w:r>
        <w:rPr>
          <w:rStyle w:val="FootnoteAnchor"/>
          <w:rtl w:val="true"/>
        </w:rPr>
        <w:footnoteReference w:id="82"/>
      </w:r>
      <w:r>
        <w:rPr>
          <w:rFonts w:ascii="IRNazanin" w:hAnsi="IRNazanin" w:eastAsia="IRNazanin"/>
          <w:color w:val="111111"/>
          <w:sz w:val="28"/>
          <w:sz w:val="28"/>
          <w:szCs w:val="28"/>
          <w:rtl w:val="true"/>
          <w:lang w:bidi="fa-IR"/>
        </w:rPr>
        <w:t>ویظهر من</w:t>
      </w:r>
    </w:p>
    <w:p>
      <w:pPr>
        <w:pStyle w:val="BookText"/>
        <w:rPr/>
      </w:pPr>
      <w:r>
        <w:rPr>
          <w:rFonts w:ascii="IRNazanin" w:hAnsi="IRNazanin" w:eastAsia="IRNazanin"/>
          <w:color w:val="111111"/>
          <w:sz w:val="28"/>
          <w:sz w:val="28"/>
          <w:szCs w:val="28"/>
          <w:rtl w:val="true"/>
          <w:lang w:bidi="fa-IR"/>
        </w:rPr>
        <w:t xml:space="preserve">الأخبار </w:t>
      </w:r>
      <w:r>
        <w:rPr>
          <w:rStyle w:val="FootnoteAnchor"/>
          <w:rtl w:val="true"/>
        </w:rPr>
        <w:footnoteReference w:id="83"/>
      </w:r>
      <w:r>
        <w:rPr>
          <w:rFonts w:ascii="Amiri" w:hAnsi="Amiri" w:eastAsia="Amiri" w:cs="Amiri"/>
          <w:color w:val="111111"/>
          <w:sz w:val="28"/>
          <w:sz w:val="28"/>
          <w:szCs w:val="28"/>
          <w:rtl w:val="true"/>
          <w:lang w:bidi="ar-SA"/>
        </w:rPr>
        <w:t xml:space="preserve">الأوّلُ، واستقرب المصنّف فی الدروس </w:t>
      </w:r>
      <w:r>
        <w:rPr>
          <w:rStyle w:val="FootnoteAnchor"/>
          <w:rtl w:val="true"/>
        </w:rPr>
        <w:footnoteReference w:id="84"/>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عابت ضمن أرشها ویجب قبوله معها علی الأوّل، وکذا علی الثانی علی الأقوی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والزیادة المتّصلة للمالک، والمنفصلة للملتقط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الزوائد قبل نیّة التملّک فتابعة للعین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والأقوی أنّ ضمانها لا یحصل بمجرّد التملّک أو الصدقة، بل بظهور المالک، سواء طالب أم لم یطالب، مع احتمال توقّفه علی مطالبته أیضاً، ولا یشکل بأنّ استحقاق المطالبة یتوقّف علی ثبوت الحقّ، فلو توقّف ثبوته علیه دار؛ لمنع توقّفه علی ثبوت الحقّ، بل علی إمکان ثبوته، وهو هنا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وتظهر الفائدة فی عدم ثبوته دیناً فی ذمّته قبل ذلک، فلا یقسّط علیه ماله لو أفلس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یجب الإیصاء به ولا یُعدّ مدیوناً ولا غارماً بسببه، ولا یطالبه به فی الآخرة لو لم یظهر فی الدنیا، إلی غیر 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وبین إبقائه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موضوعاً فی حرز أمثاله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یضمن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لم یفرّط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إذا کان ممّا لا یضرّه البقاء کالجواهر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کان ممّا لا یبقی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کالطعام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قوّمه علی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باعه وحفظ ثمنه ثمّ عرّفه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دفعه إلی الحاکم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وجده، وإلّا تعیّن علیه الأوّل، فإن أخلّ به فتلف أو عاب ضمن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 ممّا یتلف علی تطاول الأوقات لا عاجلاً کالثیاب تعلّق الحکم بها عند خوف التلف</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افتقر إبقاؤه إلی علاج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کالرطب المفتقر إلی التجفیف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أصلحه الحاکم ببعضه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یجعل بعضه عوضاً عن إصلاح الباقی أو یبیع بعضه وینفقه</w:t>
      </w:r>
      <w:bookmarkStart w:id="43" w:name="pg19815_253025"/>
    </w:p>
    <w:p>
      <w:pPr>
        <w:pStyle w:val="BookText"/>
        <w:rPr/>
      </w:pPr>
      <w:bookmarkEnd w:id="43"/>
      <w:r>
        <w:rPr>
          <w:rFonts w:ascii="IRNazanin" w:hAnsi="IRNazanin" w:eastAsia="IRNazanin"/>
          <w:color w:val="111111"/>
          <w:sz w:val="28"/>
          <w:sz w:val="28"/>
          <w:szCs w:val="28"/>
          <w:rtl w:val="true"/>
          <w:lang w:bidi="fa-IR"/>
        </w:rPr>
        <w:t>علیه وجوباً، حذراً من تلف الجمیع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ویجب علی الملتقط إعلامه بحاله إن لم یعلم، ومع عدمه یتولّاه بنفسه، حذراً من الضرر بترکه</w:t>
      </w:r>
      <w:r>
        <w:rPr>
          <w:rFonts w:eastAsia="IRNazanin" w:cs="IRNazanin"/>
          <w:color w:val="111111"/>
          <w:sz w:val="28"/>
          <w:szCs w:val="28"/>
          <w:rtl w:val="true"/>
          <w:lang w:bidi="fa-IR"/>
        </w:rPr>
        <w:t>.</w:t>
      </w:r>
    </w:p>
    <w:p>
      <w:pPr>
        <w:pStyle w:val="Heading4"/>
        <w:numPr>
          <w:ilvl w:val="3"/>
          <w:numId w:val="1"/>
        </w:numPr>
        <w:rPr/>
      </w:pPr>
      <w:bookmarkStart w:id="44" w:name="__RefHeading___Toc2227709_2314609296"/>
      <w:bookmarkStart w:id="45" w:name="_Toc17"/>
      <w:bookmarkEnd w:id="44"/>
      <w:r>
        <w:rPr>
          <w:rtl w:val="true"/>
        </w:rPr>
        <w:t>[</w:t>
      </w:r>
      <w:r>
        <w:rPr>
          <w:rtl w:val="true"/>
        </w:rPr>
        <w:t>ما یکره التقاطه</w:t>
      </w:r>
      <w:r>
        <w:rPr>
          <w:rtl w:val="true"/>
        </w:rPr>
        <w:t>]</w:t>
      </w:r>
      <w:bookmarkEnd w:id="45"/>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ویُکره التقاط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تکثر منفعته وتقلّ قیمته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الإداوة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وهی المِطهرة، به </w:t>
      </w:r>
      <w:r>
        <w:rPr>
          <w:rStyle w:val="FootnoteAnchor"/>
          <w:rtl w:val="true"/>
        </w:rPr>
        <w:footnoteReference w:id="85"/>
      </w:r>
      <w:r>
        <w:rPr>
          <w:rFonts w:ascii="IRNazanin" w:hAnsi="IRNazanin" w:eastAsia="IRNazanin"/>
          <w:color w:val="111111"/>
          <w:sz w:val="28"/>
          <w:sz w:val="28"/>
          <w:szCs w:val="28"/>
          <w:rtl w:val="true"/>
          <w:lang w:bidi="fa-IR"/>
        </w:rPr>
        <w:t xml:space="preserve">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والنعل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الجلد؛ لأنّ المطروح منه مجهولاً میتة، أو یُحمل </w:t>
      </w:r>
      <w:r>
        <w:rPr>
          <w:rStyle w:val="FootnoteAnchor"/>
          <w:rtl w:val="true"/>
        </w:rPr>
        <w:footnoteReference w:id="86"/>
      </w:r>
      <w:r>
        <w:rPr>
          <w:rFonts w:ascii="IRNazanin" w:hAnsi="IRNazanin" w:eastAsia="IRNazanin"/>
          <w:color w:val="111111"/>
          <w:sz w:val="28"/>
          <w:sz w:val="28"/>
          <w:szCs w:val="28"/>
          <w:rtl w:val="true"/>
          <w:lang w:bidi="fa-IR"/>
        </w:rPr>
        <w:t xml:space="preserve">علی ظهور أمارات تدلّ علی ذکاته، فقد یظهر من المصنّف فی بعض کتبه </w:t>
      </w:r>
      <w:r>
        <w:rPr>
          <w:rStyle w:val="FootnoteAnchor"/>
          <w:rtl w:val="true"/>
        </w:rPr>
        <w:footnoteReference w:id="87"/>
      </w:r>
      <w:r>
        <w:rPr>
          <w:rFonts w:ascii="IRNazanin" w:hAnsi="IRNazanin" w:eastAsia="IRNazanin"/>
          <w:color w:val="111111"/>
          <w:sz w:val="28"/>
          <w:sz w:val="28"/>
          <w:szCs w:val="28"/>
          <w:rtl w:val="true"/>
          <w:lang w:bidi="fa-IR"/>
        </w:rPr>
        <w:t xml:space="preserve">التعویل علیها، وذکره هنا مطلقاً تبعاً للروایة </w:t>
      </w:r>
      <w:r>
        <w:rPr>
          <w:rStyle w:val="FootnoteAnchor"/>
          <w:rtl w:val="true"/>
        </w:rPr>
        <w:footnoteReference w:id="88"/>
      </w:r>
      <w:r>
        <w:rPr>
          <w:rFonts w:ascii="IRNazanin" w:hAnsi="IRNazanin" w:eastAsia="IRNazanin"/>
          <w:color w:val="111111"/>
          <w:sz w:val="28"/>
          <w:sz w:val="28"/>
          <w:szCs w:val="28"/>
          <w:rtl w:val="true"/>
          <w:lang w:bidi="fa-IR"/>
        </w:rPr>
        <w:t xml:space="preserve">ولعلّها تدلّ علی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والمِخصرة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وهی کلّما اختصره الإنسان بیده فأمسکه من عصی ونحوها قاله الجوهری </w:t>
      </w:r>
      <w:r>
        <w:rPr>
          <w:rStyle w:val="FootnoteAnchor"/>
          <w:rtl w:val="true"/>
        </w:rPr>
        <w:footnoteReference w:id="89"/>
      </w:r>
      <w:r>
        <w:rPr>
          <w:rFonts w:ascii="IRNazanin" w:hAnsi="IRNazanin" w:eastAsia="IRNazanin"/>
          <w:color w:val="111111"/>
          <w:sz w:val="28"/>
          <w:sz w:val="28"/>
          <w:szCs w:val="28"/>
          <w:rtl w:val="true"/>
          <w:lang w:bidi="fa-IR"/>
        </w:rPr>
        <w:t>والکلام فیها إذا کانت جلداً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الغالب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سبق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والعصا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علی ما ذکره الجوهری </w:t>
      </w:r>
      <w:r>
        <w:rPr>
          <w:rStyle w:val="FootnoteAnchor"/>
          <w:rtl w:val="true"/>
        </w:rPr>
        <w:footnoteReference w:id="90"/>
      </w:r>
      <w:r>
        <w:rPr>
          <w:rFonts w:ascii="IRNazanin" w:hAnsi="IRNazanin" w:eastAsia="IRNazanin"/>
          <w:color w:val="111111"/>
          <w:sz w:val="28"/>
          <w:sz w:val="28"/>
          <w:szCs w:val="28"/>
          <w:rtl w:val="true"/>
          <w:lang w:bidi="fa-IR"/>
        </w:rPr>
        <w:t xml:space="preserve">أخصّ من المخصرة، وعلی المتعارف </w:t>
      </w:r>
      <w:r>
        <w:rPr>
          <w:rStyle w:val="FootnoteAnchor"/>
          <w:rtl w:val="true"/>
        </w:rPr>
        <w:footnoteReference w:id="91"/>
      </w:r>
      <w:r>
        <w:rPr>
          <w:rFonts w:ascii="IRNazanin" w:hAnsi="IRNazanin" w:eastAsia="IRNazanin"/>
          <w:color w:val="111111"/>
          <w:sz w:val="28"/>
          <w:sz w:val="28"/>
          <w:szCs w:val="28"/>
          <w:rtl w:val="true"/>
          <w:lang w:bidi="fa-IR"/>
        </w:rPr>
        <w:t xml:space="preserve">غیرها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والشِظاظ</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خشبة محدّدة الطرف تدخل فی عروة الجُوالقین </w:t>
      </w:r>
      <w:r>
        <w:rPr>
          <w:rStyle w:val="FootnoteAnchor"/>
          <w:rtl w:val="true"/>
        </w:rPr>
        <w:footnoteReference w:id="92"/>
      </w:r>
      <w:r>
        <w:rPr>
          <w:rFonts w:ascii="IRNazanin" w:hAnsi="IRNazanin" w:eastAsia="IRNazanin"/>
          <w:color w:val="111111"/>
          <w:sz w:val="28"/>
          <w:sz w:val="28"/>
          <w:szCs w:val="28"/>
          <w:rtl w:val="true"/>
          <w:lang w:bidi="fa-IR"/>
        </w:rPr>
        <w:t xml:space="preserve">لیجمع بینهما عند حملهما علی البعیر، والجمع أشِظّة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والحبل والوتد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بکسر وسطه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والعِقال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حبل یُشدّ به قائمة البعیر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یحرم بعض هذه </w:t>
      </w:r>
      <w:r>
        <w:rPr>
          <w:rStyle w:val="FootnoteAnchor"/>
          <w:rtl w:val="true"/>
        </w:rPr>
        <w:footnoteReference w:id="93"/>
      </w:r>
      <w:r>
        <w:rPr>
          <w:rFonts w:ascii="IRNazanin" w:hAnsi="IRNazanin" w:eastAsia="IRNazanin"/>
          <w:color w:val="111111"/>
          <w:sz w:val="28"/>
          <w:sz w:val="28"/>
          <w:szCs w:val="28"/>
          <w:rtl w:val="true"/>
          <w:lang w:bidi="fa-IR"/>
        </w:rPr>
        <w:t>للنهی عن مسّه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ویُکره أخذ اللقطة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مطلقاً وإن تأکّدت فی السابق؛ لما روی عن 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إیّاکم واللقطة، فإنّها ضالّة المؤمن، وهی من حریق النار</w:t>
      </w:r>
      <w:r>
        <w:rPr>
          <w:rFonts w:eastAsia="IRNazanin" w:cs="IRNazanin"/>
          <w:color w:val="111111"/>
          <w:sz w:val="28"/>
          <w:szCs w:val="28"/>
          <w:rtl w:val="true"/>
          <w:lang w:bidi="fa-IR"/>
        </w:rPr>
        <w:t xml:space="preserve">» </w:t>
      </w:r>
      <w:r>
        <w:rPr>
          <w:rStyle w:val="FootnoteAnchor"/>
          <w:rtl w:val="true"/>
        </w:rPr>
        <w:footnoteReference w:id="94"/>
      </w:r>
      <w:r>
        <w:rPr>
          <w:rFonts w:ascii="IRNazanin" w:hAnsi="IRNazanin" w:eastAsia="IRNazanin"/>
          <w:color w:val="111111"/>
          <w:sz w:val="28"/>
          <w:sz w:val="28"/>
          <w:szCs w:val="28"/>
          <w:rtl w:val="true"/>
          <w:lang w:bidi="fa-IR"/>
        </w:rPr>
        <w:t>وعن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یأخذ </w:t>
      </w:r>
      <w:r>
        <w:rPr>
          <w:rStyle w:val="FootnoteAnchor"/>
          <w:rtl w:val="true"/>
        </w:rPr>
        <w:footnoteReference w:id="95"/>
      </w:r>
      <w:r>
        <w:rPr>
          <w:rFonts w:ascii="Amiri" w:hAnsi="Amiri" w:eastAsia="Amiri" w:cs="Amiri"/>
          <w:color w:val="111111"/>
          <w:sz w:val="28"/>
          <w:sz w:val="28"/>
          <w:szCs w:val="28"/>
          <w:rtl w:val="true"/>
          <w:lang w:bidi="ar-SA"/>
        </w:rPr>
        <w:t>الضالّة إلّاالضالّون</w:t>
      </w:r>
      <w:r>
        <w:rPr>
          <w:rFonts w:eastAsia="Amiri" w:cs="Amiri" w:ascii="Amiri" w:hAnsi="Amiri"/>
          <w:color w:val="111111"/>
          <w:sz w:val="28"/>
          <w:szCs w:val="28"/>
          <w:rtl w:val="true"/>
          <w:lang w:bidi="ar-SA"/>
        </w:rPr>
        <w:t xml:space="preserve">» </w:t>
      </w:r>
      <w:r>
        <w:rPr>
          <w:rStyle w:val="FootnoteAnchor"/>
          <w:rtl w:val="true"/>
        </w:rPr>
        <w:footnoteReference w:id="96"/>
      </w:r>
      <w:r>
        <w:rPr>
          <w:rFonts w:ascii="IRNazanin" w:hAnsi="IRNazanin" w:eastAsia="IRNazanin"/>
          <w:color w:val="111111"/>
          <w:sz w:val="28"/>
          <w:sz w:val="28"/>
          <w:szCs w:val="28"/>
          <w:rtl w:val="true"/>
          <w:lang w:bidi="fa-IR"/>
        </w:rPr>
        <w:t xml:space="preserve">وحرّمها بعضهم </w:t>
      </w:r>
      <w:r>
        <w:rPr>
          <w:rStyle w:val="FootnoteAnchor"/>
          <w:rtl w:val="true"/>
        </w:rPr>
        <w:footnoteReference w:id="97"/>
      </w:r>
      <w:r>
        <w:rPr>
          <w:rFonts w:ascii="IRNazanin" w:hAnsi="IRNazanin" w:eastAsia="IRNazanin"/>
          <w:color w:val="111111"/>
          <w:sz w:val="28"/>
          <w:sz w:val="28"/>
          <w:szCs w:val="28"/>
          <w:rtl w:val="true"/>
          <w:lang w:bidi="fa-IR"/>
        </w:rPr>
        <w:t>لذلک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وحُمل النهی علی أخذها بنیّة عدم التعریف، وقد روی فی الخبر الثانی زیادة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لم یعرّفوها</w:t>
      </w:r>
      <w:r>
        <w:rPr>
          <w:rFonts w:eastAsia="IRNazanin" w:cs="IRNazanin"/>
          <w:color w:val="111111"/>
          <w:sz w:val="28"/>
          <w:szCs w:val="28"/>
          <w:rtl w:val="true"/>
          <w:lang w:bidi="fa-IR"/>
        </w:rPr>
        <w:t xml:space="preserve">» </w:t>
      </w:r>
      <w:r>
        <w:rPr>
          <w:rStyle w:val="FootnoteAnchor"/>
          <w:rtl w:val="true"/>
        </w:rPr>
        <w:footnoteReference w:id="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وخصوصاً من الفاسق والمعسر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الأوّل لیس أهلاً لحفظ مال الغیر بغیر إذنه، والثانی یضرّ بحال المالک إذا ظهر وقد تملّک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جاز مع ذلک؛ لأنّ اللقطة فی معنی الاکتساب، لا استئمان محض</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إذا لم یعلم خیانته، وإلّا وجب علی الحاکم انتزاعها منه حیث لا یجوز له التملّک، أو ضمّ مشرف إلیه من باب الحسبة، ولا یجب ذلک فی 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ومع اجتماعهما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الفسق والإعسار المدلول علیهما بالمشتقّ منهما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تزید</w:t>
      </w:r>
    </w:p>
    <w:p>
      <w:pPr>
        <w:pStyle w:val="BookText"/>
        <w:rPr/>
      </w:pPr>
      <w:r>
        <w:rPr>
          <w:rFonts w:ascii="IRNazanin" w:hAnsi="IRNazanin" w:eastAsia="IRNazanin"/>
          <w:color w:val="111111"/>
          <w:sz w:val="28"/>
          <w:sz w:val="28"/>
          <w:szCs w:val="28"/>
          <w:rtl w:val="true"/>
          <w:lang w:bidi="fa-IR"/>
        </w:rPr>
        <w:t>الکراهة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لزیادة سببها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الملتقط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أخذها عدلین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تنزیهاً لنفسه عن الطمع فیها، ومنعاً لوارثه من التصرّف </w:t>
      </w:r>
      <w:r>
        <w:rPr>
          <w:rStyle w:val="FootnoteAnchor"/>
          <w:rtl w:val="true"/>
        </w:rPr>
        <w:footnoteReference w:id="99"/>
      </w:r>
      <w:r>
        <w:rPr>
          <w:rFonts w:ascii="Amiri" w:hAnsi="Amiri" w:eastAsia="Amiri" w:cs="Amiri"/>
          <w:color w:val="111111"/>
          <w:sz w:val="28"/>
          <w:sz w:val="28"/>
          <w:szCs w:val="28"/>
          <w:rtl w:val="true"/>
          <w:lang w:bidi="ar-SA"/>
        </w:rPr>
        <w:t>لو مات، وغرمائه لو فُلِّس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ویعرّف الشهود بعض الأوصاف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کالعُدّة </w:t>
      </w:r>
      <w:r>
        <w:rPr>
          <w:rStyle w:val="FootnoteAnchor"/>
          <w:rtl w:val="true"/>
        </w:rPr>
        <w:footnoteReference w:id="100"/>
      </w:r>
      <w:r>
        <w:rPr>
          <w:rFonts w:ascii="IRNazanin" w:hAnsi="IRNazanin" w:eastAsia="IRNazanin"/>
          <w:color w:val="111111"/>
          <w:sz w:val="28"/>
          <w:sz w:val="28"/>
          <w:szCs w:val="28"/>
          <w:rtl w:val="true"/>
          <w:lang w:bidi="fa-IR"/>
        </w:rPr>
        <w:t xml:space="preserve">والوعاء والعفاص </w:t>
      </w:r>
      <w:r>
        <w:rPr>
          <w:rStyle w:val="FootnoteAnchor"/>
          <w:rtl w:val="true"/>
        </w:rPr>
        <w:footnoteReference w:id="101"/>
      </w:r>
      <w:r>
        <w:rPr>
          <w:rFonts w:ascii="IRNazanin" w:hAnsi="IRNazanin" w:eastAsia="IRNazanin"/>
          <w:color w:val="111111"/>
          <w:sz w:val="28"/>
          <w:sz w:val="28"/>
          <w:szCs w:val="28"/>
          <w:rtl w:val="true"/>
          <w:lang w:bidi="fa-IR"/>
        </w:rPr>
        <w:t xml:space="preserve">والوکاء </w:t>
      </w:r>
      <w:r>
        <w:rPr>
          <w:rStyle w:val="FootnoteAnchor"/>
          <w:rtl w:val="true"/>
        </w:rPr>
        <w:footnoteReference w:id="102"/>
      </w:r>
      <w:r>
        <w:rPr>
          <w:rFonts w:ascii="IRNazanin" w:hAnsi="IRNazanin" w:eastAsia="IRNazanin"/>
          <w:color w:val="111111"/>
          <w:sz w:val="28"/>
          <w:sz w:val="28"/>
          <w:szCs w:val="28"/>
          <w:rtl w:val="true"/>
          <w:lang w:bidi="fa-IR"/>
        </w:rPr>
        <w:t xml:space="preserve">لا جمیعها </w:t>
      </w:r>
      <w:r>
        <w:rPr>
          <w:rStyle w:val="FootnoteAnchor"/>
          <w:rtl w:val="true"/>
        </w:rPr>
        <w:footnoteReference w:id="103"/>
      </w:r>
      <w:r>
        <w:rPr>
          <w:rFonts w:ascii="IRNazanin" w:hAnsi="IRNazanin" w:eastAsia="IRNazanin"/>
          <w:color w:val="111111"/>
          <w:sz w:val="28"/>
          <w:sz w:val="28"/>
          <w:szCs w:val="28"/>
          <w:rtl w:val="true"/>
          <w:lang w:bidi="fa-IR"/>
        </w:rPr>
        <w:t>حذراً من شیاع خبرها فیطّلع علیها من لا یستحقّها فیدّعیها ویذکر الوصف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والملتقط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له أهلیّة الاکتساب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کان غیر مکلّف أو مملوکاً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یجب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یحفظ الولیّ ما التقطه الصبیّ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یجب علیه حفظ ماله، ولا یُمکّنه منه؛ لأنّه لا یؤمن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وکذا المجنون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افتقر إلی تعریفه عرّفه، ثمّ فعل لهما ما هو الأغبط لهما من التملّک والصدقة والإبقاء أمانة</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ویجب تعریفها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اللقطة البالغة درهماً فصاعداً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کاملاً وقد تقدّم، وإنّما أعاده لیرتّب علیه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متفرّقاً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بعده، ومعنی جوازه متفرّقاً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نّه لا یعتبر وقوع التعریف کلّ یوم من أیّام الحول، بل المعتبر ظهور أنّ التعریف التالی تکرار لما سبق، لا للقطة جدیدة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فیکفی التعریف فی الابتداء کلّ یوم مرّة أو مرّتین، ثمّ فی کلّ اُسبوع، ثمّ فی کلّ شهر مراعیاً لما ذکرناه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یختصّ تکراره أیّاماً باُسبوع واُسبوعاً ببقیّة الشهر وشهراً ببقیّة الحول، وإن</w:t>
      </w:r>
    </w:p>
    <w:p>
      <w:pPr>
        <w:pStyle w:val="BookText"/>
        <w:rPr/>
      </w:pPr>
      <w:r>
        <w:rPr>
          <w:rFonts w:ascii="IRNazanin" w:hAnsi="IRNazanin" w:eastAsia="IRNazanin"/>
          <w:color w:val="111111"/>
          <w:sz w:val="28"/>
          <w:sz w:val="28"/>
          <w:szCs w:val="28"/>
          <w:rtl w:val="true"/>
          <w:lang w:bidi="fa-IR"/>
        </w:rPr>
        <w:t>کان ذلک مجزیاً، بل 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ینسی کون التالی تکراراً لما مضی؛ لأنّ الشارع لم یقدّره بقدر، فیعتبر فیه ما ذکر؛ لدلالة العرف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ولیس المراد بجوازه متفرّقاً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الحول یجوز تلفیقه لو فُرض ترک التعریف فی بعضه، بل یعتبر اجتماعه فی حول واحد؛ لأنّه المفهوم منه شرعاً عند الإطلاق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خلافاً لظاهر التذکرة </w:t>
      </w:r>
      <w:r>
        <w:rPr>
          <w:rStyle w:val="FootnoteAnchor"/>
          <w:rtl w:val="true"/>
        </w:rPr>
        <w:footnoteReference w:id="104"/>
      </w:r>
      <w:r>
        <w:rPr>
          <w:rFonts w:ascii="IRNazanin" w:hAnsi="IRNazanin" w:eastAsia="IRNazanin"/>
          <w:color w:val="111111"/>
          <w:sz w:val="28"/>
          <w:sz w:val="28"/>
          <w:szCs w:val="28"/>
          <w:rtl w:val="true"/>
          <w:lang w:bidi="fa-IR"/>
        </w:rPr>
        <w:t>حیث اکتفی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وبما ذکرناه من تفسیر التفرّق صرّح فی القواعد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ووجوب التعریف ثابت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الملتقط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التملّک أو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أصحّ القولین </w:t>
      </w:r>
      <w:r>
        <w:rPr>
          <w:rStyle w:val="FootnoteAnchor"/>
          <w:rtl w:val="true"/>
        </w:rPr>
        <w:footnoteReference w:id="106"/>
      </w:r>
      <w:r>
        <w:rPr>
          <w:rFonts w:ascii="IRNazanin" w:hAnsi="IRNazanin" w:eastAsia="IRNazanin"/>
          <w:color w:val="111111"/>
          <w:sz w:val="28"/>
          <w:sz w:val="28"/>
          <w:szCs w:val="28"/>
          <w:rtl w:val="true"/>
          <w:lang w:bidi="fa-IR"/>
        </w:rPr>
        <w:t>لإطلاق الأمر به الشامل للقسمین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خلافاً للشیخ </w:t>
      </w:r>
      <w:r>
        <w:rPr>
          <w:rStyle w:val="FootnoteAnchor"/>
          <w:rtl w:val="true"/>
        </w:rPr>
        <w:footnoteReference w:id="107"/>
      </w:r>
      <w:r>
        <w:rPr>
          <w:rFonts w:ascii="IRNazanin" w:hAnsi="IRNazanin" w:eastAsia="IRNazanin"/>
          <w:color w:val="111111"/>
          <w:sz w:val="28"/>
          <w:sz w:val="28"/>
          <w:szCs w:val="28"/>
          <w:rtl w:val="true"/>
          <w:lang w:bidi="fa-IR"/>
        </w:rPr>
        <w:t>حیث شرط فی وجوبه نیّة التملّک، فلو نوی الحفظ لم یجب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ویشکل باستلزامه خفاء اللقطة، وبأنّ التملّک غیر واجب فکیف تجب وسیلته؟ وکأ نّه أراد به الشرط</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وهی أمانة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ید الملتقط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الحول وبعدَه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یضمنها لو تلفت بغیر تفریط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 ینو التملّک، فیضمن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بالنیّة وإن کان قبل الحول، ثمّ لا تعود أمانة </w:t>
      </w:r>
      <w:r>
        <w:rPr>
          <w:rStyle w:val="FootnoteAnchor"/>
          <w:rtl w:val="true"/>
        </w:rPr>
        <w:footnoteReference w:id="108"/>
      </w:r>
      <w:r>
        <w:rPr>
          <w:rFonts w:ascii="IRNazanin" w:hAnsi="IRNazanin" w:eastAsia="IRNazanin"/>
          <w:color w:val="111111"/>
          <w:sz w:val="28"/>
          <w:sz w:val="28"/>
          <w:szCs w:val="28"/>
          <w:rtl w:val="true"/>
          <w:lang w:bidi="fa-IR"/>
        </w:rPr>
        <w:t>لو عاد إلی نیّتها استصحاباً لما 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تفد النیّة </w:t>
      </w:r>
      <w:r>
        <w:rPr>
          <w:rStyle w:val="FootnoteAnchor"/>
          <w:rtl w:val="true"/>
        </w:rPr>
        <w:footnoteReference w:id="109"/>
      </w:r>
      <w:r>
        <w:rPr>
          <w:rFonts w:ascii="IRNazanin" w:hAnsi="IRNazanin" w:eastAsia="IRNazanin"/>
          <w:color w:val="111111"/>
          <w:sz w:val="28"/>
          <w:sz w:val="28"/>
          <w:szCs w:val="28"/>
          <w:rtl w:val="true"/>
          <w:lang w:bidi="fa-IR"/>
        </w:rPr>
        <w:t>الملک فی غیر وقتها،</w:t>
      </w:r>
    </w:p>
    <w:p>
      <w:pPr>
        <w:pStyle w:val="BookText"/>
        <w:rPr/>
      </w:pPr>
      <w:r>
        <w:rPr>
          <w:rFonts w:ascii="IRNazanin" w:hAnsi="IRNazanin" w:eastAsia="IRNazanin"/>
          <w:color w:val="111111"/>
          <w:sz w:val="28"/>
          <w:sz w:val="28"/>
          <w:szCs w:val="28"/>
          <w:rtl w:val="true"/>
          <w:lang w:bidi="fa-IR"/>
        </w:rPr>
        <w:t>لکن لو مضی الحول مع قیامه بالتعریف وتملّکها حینئذٍ بُنی بقاء الضمان وعدمه علی ما سلف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تنجیز الضمان، أو توقّفه علی مطالبة المالک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التقط العبدُ عرّف بنفسه أو بنائبه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کالحرّ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أتلفها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التعریف أو بعده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 بعد عتقه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ویساره کما یضمن غیرَها من أموال الغیر التی یتصرّف فیها بغیر إذنه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یجب علی المالک انتزاعها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التعریف وبعده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لم یکن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لأصالة البراءة من وجوب حفظ مال الغیر مع عدم قبضه، وخصوصاً مع وجود ید متصرّفة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یضمن بترکها فی ید غیر الأمین؛ لتعدّیه </w:t>
      </w:r>
      <w:r>
        <w:rPr>
          <w:rStyle w:val="FootnoteAnchor"/>
          <w:rtl w:val="true"/>
        </w:rPr>
        <w:footnoteReference w:id="110"/>
      </w:r>
      <w:r>
        <w:rPr>
          <w:rFonts w:ascii="IRNazanin" w:hAnsi="IRNazanin" w:eastAsia="IRNazanin"/>
          <w:color w:val="111111"/>
          <w:sz w:val="28"/>
          <w:sz w:val="28"/>
          <w:szCs w:val="28"/>
          <w:rtl w:val="true"/>
          <w:lang w:bidi="fa-IR"/>
        </w:rPr>
        <w:t>وهو ممنوع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کان العبد غیر ممیّز فقد قال المصنّف فی الدروس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المتّجه ضمان السیّد </w:t>
      </w:r>
      <w:r>
        <w:rPr>
          <w:rStyle w:val="FootnoteAnchor"/>
          <w:rtl w:val="true"/>
        </w:rPr>
        <w:footnoteReference w:id="111"/>
      </w:r>
      <w:r>
        <w:rPr>
          <w:rFonts w:ascii="IRNazanin" w:hAnsi="IRNazanin" w:eastAsia="IRNazanin"/>
          <w:color w:val="111111"/>
          <w:sz w:val="28"/>
          <w:sz w:val="28"/>
          <w:szCs w:val="28"/>
          <w:rtl w:val="true"/>
          <w:lang w:bidi="fa-IR"/>
        </w:rPr>
        <w:t>نظراً إلی أنّ العبد حینئذٍ بمنزلة البهیمة المملوکة یضمن مالکها ما تفسده من مال الغیر مع إمکان حفظها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 نظر؛ للفرق بصلاحیّة ذمّة العبد لتعلّق مال الغیر بها، دون الدابّة، والأصل براءة ذمّة السیّد من وجوب انتزاع مال غیره وحفظه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أذن له فی الالتقاط اتّجه الضمان مع عدم تمییزه أو عدم أمانته إذا قصّر فی الانتزاع قطعاً، ومع عدم التقصیر علی احتمال من حیث إنّ ید العبد ید المولی</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ویجوز للمولی التملّک بتعریف العبد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علم المولی به، أو کون العبد ثقة لیقبل خبره، وللمولی انتزاعها منه قبل التعریف وبعده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تملّکها العبد بعد التعریف صحّ علی القول بملکه، وکذا یجوز لمولاه مطلقاً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تدفع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اللقطة إلی مدّعیها وجوباً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إلّابالبیّنة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العادلة أو الشاهد والیمین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بالأوصاف وإن خفیت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بحیث یغلب الظنّ بصدقه لعدم </w:t>
      </w:r>
      <w:r>
        <w:rPr>
          <w:rStyle w:val="FootnoteAnchor"/>
          <w:rtl w:val="true"/>
        </w:rPr>
        <w:footnoteReference w:id="112"/>
      </w:r>
      <w:r>
        <w:rPr>
          <w:rFonts w:ascii="IRNazanin" w:hAnsi="IRNazanin" w:eastAsia="IRNazanin"/>
          <w:color w:val="111111"/>
          <w:sz w:val="28"/>
          <w:sz w:val="28"/>
          <w:szCs w:val="28"/>
          <w:rtl w:val="true"/>
          <w:lang w:bidi="fa-IR"/>
        </w:rPr>
        <w:t xml:space="preserve">اطّلاع غیر المالک علیها غالباً کوصف وزنها ونقدها ووکائها؛ لقیام الاحتمال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 یجوز الدفع بها </w:t>
      </w:r>
      <w:r>
        <w:rPr>
          <w:rStyle w:val="FootnoteAnchor"/>
          <w:rtl w:val="true"/>
        </w:rPr>
        <w:footnoteReference w:id="1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وظاهره کغیره جواز الدفع بمطلق الوصف؛ لأنّ الحکم لیس منحصراً فی الأوصاف الخفیّة، وإنّما ذُکرت مبالغةً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الدروس شرط فی جواز الدفع إلیه ظنَّ صدقه لإطنابه فی الوصف، أو رجحان عدالته </w:t>
      </w:r>
      <w:r>
        <w:rPr>
          <w:rStyle w:val="FootnoteAnchor"/>
          <w:rtl w:val="true"/>
        </w:rPr>
        <w:footnoteReference w:id="115"/>
      </w:r>
      <w:r>
        <w:rPr>
          <w:rFonts w:ascii="IRNazanin" w:hAnsi="IRNazanin" w:eastAsia="IRNazanin"/>
          <w:color w:val="111111"/>
          <w:sz w:val="28"/>
          <w:sz w:val="28"/>
          <w:szCs w:val="28"/>
          <w:rtl w:val="true"/>
          <w:lang w:bidi="fa-IR"/>
        </w:rPr>
        <w:t>وهو الوجه؛ لأنّ مناط أکثر الشرعیّات الظنّ، ولتعذّر إقامة البیّنة غالباً، فلولاه لزم عدم وصولها إلی مالکها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بعض الأخبار </w:t>
      </w:r>
      <w:r>
        <w:rPr>
          <w:rStyle w:val="FootnoteAnchor"/>
          <w:rtl w:val="true"/>
        </w:rPr>
        <w:footnoteReference w:id="116"/>
      </w:r>
      <w:r>
        <w:rPr>
          <w:rFonts w:ascii="IRNazanin" w:hAnsi="IRNazanin" w:eastAsia="IRNazanin"/>
          <w:color w:val="111111"/>
          <w:sz w:val="28"/>
          <w:sz w:val="28"/>
          <w:szCs w:val="28"/>
          <w:rtl w:val="true"/>
          <w:lang w:bidi="fa-IR"/>
        </w:rPr>
        <w:t>إرشاد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ومنع ابن إدریس من دفعها بدون البیّنة؛ لاشتغال الذمّة بحفظها، وعدم ثبوت کون الوصف حجّة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والأشهر الأوّل وعلیه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أقام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غیر الواصف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 بیّنة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دفعها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استعیدت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البیّنة حجّة شرعیّة بالملک، والدفع بالوصف إنّما کان رخصة وبناءً علی الظاهر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تعذّر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انتزاعها من الواصف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 الدافع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لذی البیّنة مثلَها أو قیمتها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القابض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غرمه؛ لأنّ التلف فی یده، ولأ نّه عادٍ، إلّاأن یعترف الدافع له بالملک،</w:t>
      </w:r>
    </w:p>
    <w:p>
      <w:pPr>
        <w:pStyle w:val="BookText"/>
        <w:rPr/>
      </w:pPr>
      <w:r>
        <w:rPr>
          <w:rFonts w:ascii="IRNazanin" w:hAnsi="IRNazanin" w:eastAsia="IRNazanin"/>
          <w:color w:val="111111"/>
          <w:sz w:val="28"/>
          <w:sz w:val="28"/>
          <w:szCs w:val="28"/>
          <w:rtl w:val="true"/>
          <w:lang w:bidi="fa-IR"/>
        </w:rPr>
        <w:t>فلا یرجع علیه لو رُجع علیه؛ لاعترافه بکون الأخذ منه ظلماً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وللمالک الرجوع علی الواصف القابض ابتداءً فلا یرجع علی الملتقط، سواء تلفت فی یده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کان دفعها إلی الأوّل بالبیّنة ثمّ أقام آخر بیّنته حکم بأرجح البیّنتین عدالةً وعدداً، فإن تساویا اُقرع، وکذا لو أقاماها ابتداءً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فلو </w:t>
      </w:r>
      <w:r>
        <w:rPr>
          <w:rFonts w:eastAsia="IRNazanin" w:cs="IRNazanin"/>
          <w:color w:val="111111"/>
          <w:sz w:val="28"/>
          <w:szCs w:val="28"/>
          <w:rtl w:val="true"/>
          <w:lang w:bidi="fa-IR"/>
        </w:rPr>
        <w:t xml:space="preserve">] </w:t>
      </w:r>
      <w:r>
        <w:rPr>
          <w:rStyle w:val="FootnoteAnchor"/>
          <w:rtl w:val="true"/>
        </w:rPr>
        <w:footnoteReference w:id="118"/>
      </w:r>
      <w:r>
        <w:rPr>
          <w:rFonts w:ascii="IRNazanin" w:hAnsi="IRNazanin" w:eastAsia="IRNazanin"/>
          <w:color w:val="111111"/>
          <w:sz w:val="28"/>
          <w:sz w:val="28"/>
          <w:szCs w:val="28"/>
          <w:rtl w:val="true"/>
          <w:lang w:bidi="fa-IR"/>
        </w:rPr>
        <w:t>خرجت القرعة للثانی انتزعها من الأوّل، وإن تلفت فبدلها مثلاً أو قیمةً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شیء علی الملتقط إن کان دفعها بحکم الحاکم، وإلّا ضمن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کان الملتقط قد دفع بدلها لتلفها ثمّ ثبتت للثانی رجع علی الملتقط؛ لأنّ المدفوع إلی الأوّل لیس عین ماله، ویرجع الملتقط علی الأوّل بما أدّاه إن لم یعترف له بالملک لا من حیث البیّنة، أمّا لو اعترف لأجلها لم یضرّ، لبنائه علی الظاهر وقد تبیّن خلافه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والموجود فی المفازة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البریّة القفر، والجمع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المفاوز، قاله ابن الأثیر فی النهایة </w:t>
      </w:r>
      <w:r>
        <w:rPr>
          <w:rStyle w:val="FootnoteAnchor"/>
          <w:rtl w:val="true"/>
        </w:rPr>
        <w:footnoteReference w:id="119"/>
      </w:r>
      <w:r>
        <w:rPr>
          <w:rFonts w:ascii="IRNazanin" w:hAnsi="IRNazanin" w:eastAsia="IRNazanin"/>
          <w:color w:val="111111"/>
          <w:sz w:val="28"/>
          <w:sz w:val="28"/>
          <w:szCs w:val="28"/>
          <w:rtl w:val="true"/>
          <w:lang w:bidi="fa-IR"/>
        </w:rPr>
        <w:t>ونقل الجوهری عن ابن الأعرابی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نّها سُمّیت بذلک تفاؤلاً بالسلامة والفوز </w:t>
      </w:r>
      <w:r>
        <w:rPr>
          <w:rStyle w:val="FootnoteAnchor"/>
          <w:rtl w:val="true"/>
        </w:rPr>
        <w:footnoteReference w:id="1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والخربة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باد أهلها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مدفوناً فی أرض لا مالک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یُتملّکُ من غیر تعریف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لم یکن علیه أثر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الشهادتین، أو اسم سلطان من سلاطین الإسلام ونحوه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یکن کذلک بأن وجد علیه أثر الإسلام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التعریف؛ لدلالة الأثر علی سبق ید المسلم، فتستصحب</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یملک مطلقاً </w:t>
      </w:r>
      <w:r>
        <w:rPr>
          <w:rStyle w:val="FootnoteAnchor"/>
          <w:rtl w:val="true"/>
        </w:rPr>
        <w:footnoteReference w:id="121"/>
      </w:r>
      <w:r>
        <w:rPr>
          <w:rFonts w:ascii="IRNazanin" w:hAnsi="IRNazanin" w:eastAsia="IRNazanin"/>
          <w:color w:val="111111"/>
          <w:sz w:val="28"/>
          <w:sz w:val="28"/>
          <w:szCs w:val="28"/>
          <w:rtl w:val="true"/>
          <w:lang w:bidi="fa-IR"/>
        </w:rPr>
        <w:t>لعموم صحیحة محمّد بن مسلم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للواجد</w:t>
      </w:r>
    </w:p>
    <w:p>
      <w:pPr>
        <w:pStyle w:val="BookText"/>
        <w:rPr/>
      </w:pPr>
      <w:r>
        <w:rPr>
          <w:rFonts w:ascii="IRNazanin" w:hAnsi="IRNazanin" w:eastAsia="IRNazanin"/>
          <w:color w:val="111111"/>
          <w:sz w:val="28"/>
          <w:sz w:val="28"/>
          <w:szCs w:val="28"/>
          <w:rtl w:val="true"/>
          <w:lang w:bidi="fa-IR"/>
        </w:rPr>
        <w:t>ما یوجد فی الخربة</w:t>
      </w:r>
      <w:r>
        <w:rPr>
          <w:rFonts w:eastAsia="IRNazanin" w:cs="IRNazanin"/>
          <w:color w:val="111111"/>
          <w:sz w:val="28"/>
          <w:szCs w:val="28"/>
          <w:rtl w:val="true"/>
          <w:lang w:bidi="fa-IR"/>
        </w:rPr>
        <w:t xml:space="preserve">» </w:t>
      </w:r>
      <w:r>
        <w:rPr>
          <w:rStyle w:val="FootnoteAnchor"/>
          <w:rtl w:val="true"/>
        </w:rPr>
        <w:footnoteReference w:id="122"/>
      </w:r>
      <w:r>
        <w:rPr>
          <w:rFonts w:ascii="IRNazanin" w:hAnsi="IRNazanin" w:eastAsia="IRNazanin"/>
          <w:color w:val="111111"/>
          <w:sz w:val="28"/>
          <w:sz w:val="28"/>
          <w:szCs w:val="28"/>
          <w:rtl w:val="true"/>
          <w:lang w:bidi="fa-IR"/>
        </w:rPr>
        <w:t xml:space="preserve">ولأنّ أثر الإسلام قد یصدر عن غیر المسلم، وحملت الروایة </w:t>
      </w:r>
      <w:r>
        <w:rPr>
          <w:rStyle w:val="FootnoteAnchor"/>
          <w:rtl w:val="true"/>
        </w:rPr>
        <w:footnoteReference w:id="123"/>
      </w:r>
      <w:r>
        <w:rPr>
          <w:rFonts w:ascii="IRNazanin" w:hAnsi="IRNazanin" w:eastAsia="IRNazanin"/>
          <w:color w:val="111111"/>
          <w:sz w:val="28"/>
          <w:sz w:val="28"/>
          <w:szCs w:val="28"/>
          <w:rtl w:val="true"/>
          <w:lang w:bidi="fa-IR"/>
        </w:rPr>
        <w:t xml:space="preserve">علی الاستحقاق بعد التعریف فیما علیه الأثر </w:t>
      </w:r>
      <w:r>
        <w:rPr>
          <w:rStyle w:val="FootnoteAnchor"/>
          <w:rtl w:val="true"/>
        </w:rPr>
        <w:footnoteReference w:id="1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بعید، إلّاأنّ الأوّل أشهر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ویستفاد من تقیید الموجود فی الأرض التی لا مالک لها بالمدفون، عدم اشتراطه فی الأوّلین، بل یُملک ما یوجد فیهما مطلقاً، عملاً بإطلاق النصّ والفتوی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غیر المدفون فی الأرض المذکورة فهو لقطة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إذا کان فی دار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فی دار الحرب فلواجده مطلقاً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کان للأرض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وجد مدفوناً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عرّفه، فإن 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ادّعی أ نّه له، دفعه إلیه من غیر بیّنة ولا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یدّعیه </w:t>
      </w:r>
      <w:r>
        <w:rPr>
          <w:rStyle w:val="FootnoteAnchor"/>
          <w:rtl w:val="true"/>
        </w:rPr>
        <w:footnoteReference w:id="1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للواجد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انتفاء أثر الإسلام، وإلّا فلقطة کما سبق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وجده فی الأرض المملوکة غیر مدفون فهو لقطة، إلّاأ نّه یجب تقدیم تعریف المالک، فإن ادّعاه فهو له کما سلف، وإلّا عرّفه</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وکذا لو وجده فی جوف دابّة عرّفه مالکها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سبق؛ لسبق یده، وظهور کونه من ماله دخل فی علفها، لبعد وجوده فی الصحراء واعتلافه، فإن عَرِفه المالک، وإلّا فهو للواجد؛ لصحیحة علیّ </w:t>
      </w:r>
      <w:r>
        <w:rPr>
          <w:rStyle w:val="FootnoteAnchor"/>
          <w:rtl w:val="true"/>
        </w:rPr>
        <w:footnoteReference w:id="126"/>
      </w:r>
      <w:r>
        <w:rPr>
          <w:rFonts w:ascii="IRNazanin" w:hAnsi="IRNazanin" w:eastAsia="IRNazanin"/>
          <w:color w:val="111111"/>
          <w:sz w:val="28"/>
          <w:sz w:val="28"/>
          <w:szCs w:val="28"/>
          <w:rtl w:val="true"/>
          <w:lang w:bidi="fa-IR"/>
        </w:rPr>
        <w:t>بن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إلی الرجل أسأله عن رجل اشتری جزوراً، أو بقرة للأضاحی فلمّا ذبحها وجد فی جوفها</w:t>
      </w:r>
    </w:p>
    <w:p>
      <w:pPr>
        <w:pStyle w:val="BookText"/>
        <w:rPr/>
      </w:pPr>
      <w:r>
        <w:rPr>
          <w:rFonts w:ascii="IRNazanin" w:hAnsi="IRNazanin" w:eastAsia="IRNazanin"/>
          <w:color w:val="111111"/>
          <w:sz w:val="28"/>
          <w:sz w:val="28"/>
          <w:szCs w:val="28"/>
          <w:rtl w:val="true"/>
          <w:lang w:bidi="fa-IR"/>
        </w:rPr>
        <w:t>صُرّة فیها دراهم أو دنانیر أو جوهرة، لمن تکون؟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فوقّع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عرّفها البائع فإن لم یکن یعرفها فالشیء لک، رزقک اللّٰه إیّاه</w:t>
      </w:r>
      <w:r>
        <w:rPr>
          <w:rFonts w:eastAsia="IRNazanin" w:cs="IRNazanin"/>
          <w:color w:val="111111"/>
          <w:sz w:val="28"/>
          <w:szCs w:val="28"/>
          <w:rtl w:val="true"/>
          <w:lang w:bidi="fa-IR"/>
        </w:rPr>
        <w:t xml:space="preserve">» </w:t>
      </w:r>
      <w:r>
        <w:rPr>
          <w:rStyle w:val="FootnoteAnchor"/>
          <w:rtl w:val="true"/>
        </w:rPr>
        <w:footnoteReference w:id="127"/>
      </w:r>
      <w:r>
        <w:rPr>
          <w:rFonts w:ascii="IRNazanin" w:hAnsi="IRNazanin" w:eastAsia="IRNazanin"/>
          <w:color w:val="111111"/>
          <w:sz w:val="28"/>
          <w:sz w:val="28"/>
          <w:szCs w:val="28"/>
          <w:rtl w:val="true"/>
          <w:lang w:bidi="fa-IR"/>
        </w:rPr>
        <w:t>وظاهر الفتوی والنصّ عدم الفرق بین وجود أثر الإسلام علیه وعدمه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والأقوی الفرق واختصاص الحکم بما لا أثر علیه، وإلّا فهو لقطة جمعاً بین الأدلّة </w:t>
      </w:r>
      <w:r>
        <w:rPr>
          <w:rStyle w:val="FootnoteAnchor"/>
          <w:rtl w:val="true"/>
        </w:rPr>
        <w:footnoteReference w:id="128"/>
      </w:r>
      <w:r>
        <w:rPr>
          <w:rFonts w:ascii="IRNazanin" w:hAnsi="IRNazanin" w:eastAsia="IRNazanin"/>
          <w:color w:val="111111"/>
          <w:sz w:val="28"/>
          <w:sz w:val="28"/>
          <w:szCs w:val="28"/>
          <w:rtl w:val="true"/>
          <w:lang w:bidi="fa-IR"/>
        </w:rPr>
        <w:t xml:space="preserve">ولدلالة أثر الإسلام علی ید المسلم سابقاً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یوجد فی جوف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السمکة فللواجد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لأنّها إنّما ملکت بالحیازة، والمحیز إنّما قصد تملّکها خاصّة؛ لعدم علمه بما فی بطنها فلم یتوجّه قصده إلیه بناءً علی أنّ المباحات إنّما تملک بالنیّة والحیازة معاً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إلّاأن تکون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السمکة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محصورة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فتکون کالدابّة، لعین ما 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 یظهر أنّ المراد بالدابّة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الأهلیّة کما یظهر من الروایة، فلو کانت وحشیّة لا تعتلف من مال المالک فکالسمکة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کلّه إذا لم یکن أثر الإسلام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وإلّا فلقطة کما مرّ، مع احتمال عموم الحکم له فیهما </w:t>
      </w:r>
      <w:r>
        <w:rPr>
          <w:rStyle w:val="FootnoteAnchor"/>
          <w:rtl w:val="true"/>
        </w:rPr>
        <w:footnoteReference w:id="129"/>
      </w:r>
      <w:r>
        <w:rPr>
          <w:rFonts w:ascii="IRNazanin" w:hAnsi="IRNazanin" w:eastAsia="IRNazanin"/>
          <w:color w:val="111111"/>
          <w:sz w:val="28"/>
          <w:sz w:val="28"/>
          <w:szCs w:val="28"/>
          <w:rtl w:val="true"/>
          <w:lang w:bidi="fa-IR"/>
        </w:rPr>
        <w:t>لإطلاق النصّ والفتوی</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والموجود فی صندوقه أو 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غیرهما من أملاکه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مشارکة الغیر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فی التصرّف فیهما </w:t>
      </w:r>
      <w:r>
        <w:rPr>
          <w:rStyle w:val="FootnoteAnchor"/>
          <w:rtl w:val="true"/>
        </w:rPr>
        <w:footnoteReference w:id="130"/>
      </w:r>
      <w:r>
        <w:rPr>
          <w:rFonts w:ascii="IRNazanin" w:hAnsi="IRNazanin" w:eastAsia="IRNazanin"/>
          <w:color w:val="111111"/>
          <w:sz w:val="28"/>
          <w:sz w:val="28"/>
          <w:szCs w:val="28"/>
          <w:rtl w:val="true"/>
          <w:lang w:bidi="fa-IR"/>
        </w:rPr>
        <w:t xml:space="preserve">محصوراً أو غیر محصور علی ما یقتضیه إطلاقهم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مع عدم الحصر فظاهر؛ لأنّه بمشارکة غیره لا یَدَ له بخصوصه فیکون لقطة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مع انحصار المشارک فلأنّ المفروض أ نّه لا یعرفه، فلا یکون له</w:t>
      </w:r>
    </w:p>
    <w:p>
      <w:pPr>
        <w:pStyle w:val="BookText"/>
        <w:rPr/>
      </w:pPr>
      <w:r>
        <w:rPr>
          <w:rFonts w:ascii="IRNazanin" w:hAnsi="IRNazanin" w:eastAsia="IRNazanin"/>
          <w:color w:val="111111"/>
          <w:sz w:val="28"/>
          <w:sz w:val="28"/>
          <w:szCs w:val="28"/>
          <w:rtl w:val="true"/>
          <w:lang w:bidi="fa-IR"/>
        </w:rPr>
        <w:t>بدون التعریف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ویحتمل قویّاً کونه له مع تعریف المنحصر؛ لأنّه بعدم اعتراف المشارک یصیر کما لا مشارک فیه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معها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لا مع المشارکة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للمالک الواجد؛ لأنّه من توابع ملکه المحکوم له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إذا لم یقطع بانتفائه عنه، وإلّا أشکل الحکم بکونه له، بل ینبغی أن یکون لقطة، إلّاأنّ کلامهم هنا مطلق کما ذکره المصنّف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فرق فی وجوب تعریف المشارک هنا بین ما نقص عن الدرهم وما زاد؛ لاشتراکهم فی الید بسبب التصرّف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یفتقر مدّعیه منهم إلی البیّنة ولا الوصف؛ لأ نّه مال لا یدّعیه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جهلوا جمیعاً أمره فلم یعترفوا به ولم ینفوه، فإن کان الاشتراک فی التصرّف خاصّة فهو للمالک منهم، وإن لم یکن فیهم مالک فهو للمالک، وإن کان الاشتراک فی الملک والتصرّف فهم فیه سواء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یکفی التعریف حولاً فی التملّک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یجب تعریفه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لا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الحول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للتملّک وإنّما یُحدث التعریفُ حولاً تخییر </w:t>
      </w:r>
      <w:r>
        <w:rPr>
          <w:rStyle w:val="FootnoteAnchor"/>
          <w:rtl w:val="true"/>
        </w:rPr>
        <w:footnoteReference w:id="131"/>
      </w:r>
      <w:r>
        <w:rPr>
          <w:rFonts w:ascii="IRNazanin" w:hAnsi="IRNazanin" w:eastAsia="IRNazanin"/>
          <w:color w:val="111111"/>
          <w:sz w:val="28"/>
          <w:sz w:val="28"/>
          <w:szCs w:val="28"/>
          <w:rtl w:val="true"/>
          <w:lang w:bidi="fa-IR"/>
        </w:rPr>
        <w:t>الملتقط بین التملّک بالنیّة، وبین الصدقة به، وبین إبقائه فی یده أمانة لمالکه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هو المشهور من حکم المسألة، وفیها قولان آخران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طرفی </w:t>
      </w:r>
      <w:r>
        <w:rPr>
          <w:rFonts w:eastAsia="IRNazanin" w:cs="IRNazanin"/>
          <w:color w:val="111111"/>
          <w:sz w:val="28"/>
          <w:szCs w:val="28"/>
          <w:rtl w:val="true"/>
          <w:lang w:bidi="fa-IR"/>
        </w:rPr>
        <w:t xml:space="preserve">] </w:t>
      </w:r>
      <w:r>
        <w:rPr>
          <w:rStyle w:val="FootnoteAnchor"/>
          <w:rtl w:val="true"/>
        </w:rPr>
        <w:footnoteReference w:id="132"/>
      </w:r>
      <w:r>
        <w:rPr>
          <w:rFonts w:ascii="IRNazanin" w:hAnsi="IRNazanin" w:eastAsia="IRNazanin"/>
          <w:color w:val="111111"/>
          <w:sz w:val="28"/>
          <w:sz w:val="28"/>
          <w:szCs w:val="28"/>
          <w:rtl w:val="true"/>
          <w:lang w:bidi="fa-IR"/>
        </w:rPr>
        <w:t>النقیض</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دخوله فی الملک قهراً من غیر احتیاج إلی أمر زائد علی التعریف؛</w:t>
      </w:r>
    </w:p>
    <w:p>
      <w:pPr>
        <w:pStyle w:val="BookText"/>
        <w:rPr/>
      </w:pPr>
      <w:r>
        <w:rPr>
          <w:rFonts w:ascii="IRNazanin" w:hAnsi="IRNazanin" w:eastAsia="IRNazanin"/>
          <w:color w:val="111111"/>
          <w:sz w:val="28"/>
          <w:sz w:val="28"/>
          <w:szCs w:val="28"/>
          <w:rtl w:val="true"/>
          <w:lang w:bidi="fa-IR"/>
        </w:rPr>
        <w:t>لظاهر قول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جاء لها طالب، وإلّا فهی کسبیل ماله</w:t>
      </w:r>
      <w:r>
        <w:rPr>
          <w:rFonts w:eastAsia="IRNazanin" w:cs="IRNazanin"/>
          <w:color w:val="111111"/>
          <w:sz w:val="28"/>
          <w:szCs w:val="28"/>
          <w:rtl w:val="true"/>
          <w:lang w:bidi="fa-IR"/>
        </w:rPr>
        <w:t xml:space="preserve">» </w:t>
      </w:r>
      <w:r>
        <w:rPr>
          <w:rStyle w:val="FootnoteAnchor"/>
          <w:rtl w:val="true"/>
        </w:rPr>
        <w:footnoteReference w:id="133"/>
      </w:r>
      <w:r>
        <w:rPr>
          <w:rFonts w:ascii="IRNazanin" w:hAnsi="IRNazanin" w:eastAsia="IRNazanin"/>
          <w:color w:val="111111"/>
          <w:sz w:val="28"/>
          <w:sz w:val="28"/>
          <w:szCs w:val="28"/>
          <w:rtl w:val="true"/>
          <w:lang w:bidi="fa-IR"/>
        </w:rPr>
        <w:t xml:space="preserve">والفاء للتعقیب، وهو قول ابن إدریس </w:t>
      </w:r>
      <w:r>
        <w:rPr>
          <w:rStyle w:val="FootnoteAnchor"/>
          <w:rtl w:val="true"/>
        </w:rPr>
        <w:footnoteReference w:id="134"/>
      </w:r>
      <w:r>
        <w:rPr>
          <w:rFonts w:ascii="IRNazanin" w:hAnsi="IRNazanin" w:eastAsia="IRNazanin"/>
          <w:color w:val="111111"/>
          <w:sz w:val="28"/>
          <w:sz w:val="28"/>
          <w:szCs w:val="28"/>
          <w:rtl w:val="true"/>
          <w:lang w:bidi="fa-IR"/>
        </w:rPr>
        <w:t xml:space="preserve">وردّ بأنّ کونها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کسبیل 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یقتضی حصول الملک 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افتقار ملکه إلی اللفظ الدالّ علیه بأن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اخترت تملّکها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قول أبی الصلاح </w:t>
      </w:r>
      <w:r>
        <w:rPr>
          <w:rStyle w:val="FootnoteAnchor"/>
          <w:rtl w:val="true"/>
        </w:rPr>
        <w:footnoteReference w:id="135"/>
      </w:r>
      <w:r>
        <w:rPr>
          <w:rFonts w:ascii="IRNazanin" w:hAnsi="IRNazanin" w:eastAsia="IRNazanin"/>
          <w:color w:val="111111"/>
          <w:sz w:val="28"/>
          <w:sz w:val="28"/>
          <w:szCs w:val="28"/>
          <w:rtl w:val="true"/>
          <w:lang w:bidi="fa-IR"/>
        </w:rPr>
        <w:t xml:space="preserve">وغیره </w:t>
      </w:r>
      <w:r>
        <w:rPr>
          <w:rStyle w:val="FootnoteAnchor"/>
          <w:rtl w:val="true"/>
        </w:rPr>
        <w:footnoteReference w:id="136"/>
      </w:r>
      <w:r>
        <w:rPr>
          <w:rFonts w:ascii="IRNazanin" w:hAnsi="IRNazanin" w:eastAsia="IRNazanin"/>
          <w:color w:val="111111"/>
          <w:sz w:val="28"/>
          <w:sz w:val="28"/>
          <w:szCs w:val="28"/>
          <w:rtl w:val="true"/>
          <w:lang w:bidi="fa-IR"/>
        </w:rPr>
        <w:t>لأنّه معه مجمع علی ملکه، وغیره لا دلیل علیه</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والأقوی الأوّل؛ لقوله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وإلّا فاجعلها فی عرض مالک</w:t>
      </w:r>
      <w:r>
        <w:rPr>
          <w:rFonts w:eastAsia="IRNazanin" w:cs="IRNazanin"/>
          <w:color w:val="111111"/>
          <w:sz w:val="28"/>
          <w:szCs w:val="28"/>
          <w:rtl w:val="true"/>
          <w:lang w:bidi="fa-IR"/>
        </w:rPr>
        <w:t xml:space="preserve">» </w:t>
      </w:r>
      <w:r>
        <w:rPr>
          <w:rStyle w:val="FootnoteAnchor"/>
          <w:rtl w:val="true"/>
        </w:rPr>
        <w:footnoteReference w:id="137"/>
      </w:r>
      <w:r>
        <w:rPr>
          <w:rFonts w:ascii="IRNazanin" w:hAnsi="IRNazanin" w:eastAsia="IRNazanin"/>
          <w:color w:val="111111"/>
          <w:sz w:val="28"/>
          <w:sz w:val="28"/>
          <w:szCs w:val="28"/>
          <w:rtl w:val="true"/>
          <w:lang w:bidi="fa-IR"/>
        </w:rPr>
        <w:t xml:space="preserve">وصیغة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للأمر </w:t>
      </w:r>
      <w:r>
        <w:rPr>
          <w:rStyle w:val="FootnoteAnchor"/>
          <w:rtl w:val="true"/>
        </w:rPr>
        <w:footnoteReference w:id="138"/>
      </w:r>
      <w:r>
        <w:rPr>
          <w:rFonts w:ascii="IRNazanin" w:hAnsi="IRNazanin" w:eastAsia="IRNazanin"/>
          <w:color w:val="111111"/>
          <w:sz w:val="28"/>
          <w:sz w:val="28"/>
          <w:szCs w:val="28"/>
          <w:rtl w:val="true"/>
          <w:lang w:bidi="fa-IR"/>
        </w:rPr>
        <w:t>ولا أقلّ من أن یکون للإباحة، فیستدعی أن یکون المأمور به مقدوراً بعد التعریف وعدم مجیء المالک، ولم یذکر اللفظ، فدلّ الأوّل علی انتفاء الأوّل، والثانی علی انتفاء الثانی، وبه یجمع بینه وبین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کسبیل 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وإلّا لکان ظاهره الملک القهریّ، لا کما ردّ سابقاً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والأقوال الثلاثة للشیخ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bookmarkStart w:id="46" w:name="pg19815_253036"/>
    </w:p>
    <w:p>
      <w:pPr>
        <w:pStyle w:val="Heading2"/>
        <w:numPr>
          <w:ilvl w:val="1"/>
          <w:numId w:val="1"/>
        </w:numPr>
        <w:rPr/>
      </w:pPr>
      <w:bookmarkStart w:id="47" w:name="__RefHeading___Toc2227711_2314609296"/>
      <w:bookmarkStart w:id="48" w:name="_Toc18"/>
      <w:bookmarkEnd w:id="46"/>
      <w:bookmarkEnd w:id="47"/>
      <w:r>
        <w:rPr>
          <w:rtl w:val="true"/>
        </w:rPr>
        <w:t>کتاب إحیاء الموات</w:t>
      </w:r>
      <w:bookmarkEnd w:id="48"/>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9" w:name="__RefHeading___Toc2227713_2314609296"/>
      <w:bookmarkStart w:id="50" w:name="_Toc19"/>
      <w:bookmarkEnd w:id="49"/>
      <w:r>
        <w:rPr>
          <w:rtl w:val="true"/>
        </w:rPr>
        <w:t>اشارة</w:t>
      </w:r>
      <w:bookmarkStart w:id="51" w:name="pg19815_253038"/>
      <w:bookmarkEnd w:id="50"/>
    </w:p>
    <w:p>
      <w:pPr>
        <w:pStyle w:val="BookText"/>
        <w:rPr/>
      </w:pPr>
      <w:bookmarkEnd w:id="51"/>
      <w:r>
        <w:rPr>
          <w:rFonts w:ascii="IRNazanin" w:hAnsi="IRNazanin" w:eastAsia="IRNazanin"/>
          <w:color w:val="111111"/>
          <w:sz w:val="28"/>
          <w:sz w:val="28"/>
          <w:szCs w:val="28"/>
          <w:rtl w:val="true"/>
          <w:lang w:bidi="fa-IR"/>
        </w:rPr>
        <w:t>کتاب إحیاء الموات</w:t>
      </w:r>
    </w:p>
    <w:p>
      <w:pPr>
        <w:pStyle w:val="Heading3"/>
        <w:numPr>
          <w:ilvl w:val="2"/>
          <w:numId w:val="1"/>
        </w:numPr>
        <w:rPr/>
      </w:pPr>
      <w:bookmarkStart w:id="52" w:name="__RefHeading___Toc2227715_2314609296"/>
      <w:bookmarkStart w:id="53" w:name="_Toc20"/>
      <w:bookmarkEnd w:id="52"/>
      <w:r>
        <w:rPr>
          <w:rtl w:val="true"/>
        </w:rPr>
        <w:t>[</w:t>
      </w:r>
      <w:r>
        <w:rPr>
          <w:rtl w:val="true"/>
        </w:rPr>
        <w:t>المراد من ارض الموات</w:t>
      </w:r>
      <w:r>
        <w:rPr>
          <w:rtl w:val="true"/>
        </w:rPr>
        <w:t>]</w:t>
      </w:r>
      <w:bookmarkEnd w:id="5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الموات من الأرض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یُنتفع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لعُطلته أو لاستیجامه، أو لعُدم الماء عنه، أو لاستیلاء الماء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جعل هذه الأقسام أفراداً لعُطلته؛ لأنّها أعمّ منها، کان أجود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فرق بین أن یکون قد سبق لها إحیاء ثمّ ماتت، وبین موتها ابتداءً علی ما یقتضیه الإطلاق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یتمّ مع إبادة أهله بحیث لا یُعرفون ولا بعضهم، فلو عُرف المحیی لم یصحّ إحیاؤها علی ما صرّح به المصنّف فی الدروس </w:t>
      </w:r>
      <w:r>
        <w:rPr>
          <w:rStyle w:val="FootnoteAnchor"/>
          <w:rtl w:val="true"/>
        </w:rPr>
        <w:footnoteReference w:id="140"/>
      </w:r>
      <w:r>
        <w:rPr>
          <w:rFonts w:ascii="IRNazanin" w:hAnsi="IRNazanin" w:eastAsia="IRNazanin"/>
          <w:color w:val="111111"/>
          <w:sz w:val="28"/>
          <w:sz w:val="28"/>
          <w:szCs w:val="28"/>
          <w:rtl w:val="true"/>
          <w:lang w:bidi="fa-IR"/>
        </w:rPr>
        <w:t xml:space="preserve">وسیأتی إن شاء اللّٰه تعالی ما فیه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یعتبر فی تحقّق موتها العارض ذهاب رسم العمارة رأساً، بل ضابطه العُطلة وإن بقیت آثار الأنهار ونحوها؛ لصدقه عرفاً معها خلافاً لظاهر التذکرة </w:t>
      </w:r>
      <w:r>
        <w:rPr>
          <w:rStyle w:val="FootnoteAnchor"/>
          <w:rtl w:val="true"/>
        </w:rPr>
        <w:footnoteReference w:id="142"/>
      </w:r>
      <w:r>
        <w:rPr>
          <w:rFonts w:ascii="IRNazanin" w:hAnsi="IRNazanin" w:eastAsia="IRNazanin"/>
          <w:color w:val="111111"/>
          <w:sz w:val="28"/>
          <w:sz w:val="28"/>
          <w:szCs w:val="28"/>
          <w:rtl w:val="true"/>
          <w:lang w:bidi="fa-IR"/>
        </w:rPr>
        <w:t>ولا یلحق ذلک بالتحجیر حیث إنّه لو وقع ابتداءً کان تحجیراً؛ لأنّ شرطه بقاء الید وقصد العمارة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وهما منتفیان هنا، بل التحجیر مخصوص بابتداء الإحیاء؛ لأنّه بمعنی الشروع فیه حیث لا یبلغه، فکأ نّه قد حجّر علی غیره بأثره أن یتصرّف فیما حجّره بإحیاء وغیره</w:t>
      </w:r>
      <w:r>
        <w:rPr>
          <w:rFonts w:eastAsia="IRNazanin" w:cs="IRNazanin"/>
          <w:color w:val="111111"/>
          <w:sz w:val="28"/>
          <w:szCs w:val="28"/>
          <w:rtl w:val="true"/>
          <w:lang w:bidi="fa-IR"/>
        </w:rPr>
        <w:t>.</w:t>
      </w:r>
      <w:bookmarkStart w:id="54" w:name="pg19815_253039"/>
    </w:p>
    <w:p>
      <w:pPr>
        <w:pStyle w:val="Heading3"/>
        <w:numPr>
          <w:ilvl w:val="2"/>
          <w:numId w:val="1"/>
        </w:numPr>
        <w:rPr/>
      </w:pPr>
      <w:bookmarkStart w:id="55" w:name="__RefHeading___Toc2227717_2314609296"/>
      <w:bookmarkStart w:id="56" w:name="_Toc21"/>
      <w:bookmarkEnd w:id="54"/>
      <w:bookmarkEnd w:id="55"/>
      <w:r>
        <w:rPr>
          <w:rtl w:val="true"/>
        </w:rPr>
        <w:t>[</w:t>
      </w:r>
      <w:r>
        <w:rPr>
          <w:rtl w:val="true"/>
        </w:rPr>
        <w:t>حکم الموات</w:t>
      </w:r>
      <w:r>
        <w:rPr>
          <w:rtl w:val="true"/>
        </w:rPr>
        <w:t>]</w:t>
      </w:r>
      <w:bookmarkEnd w:id="56"/>
    </w:p>
    <w:p>
      <w:pPr>
        <w:pStyle w:val="BookText"/>
        <w:rPr/>
      </w:pPr>
      <w:r>
        <w:rPr>
          <w:rFonts w:ascii="IRNazanin" w:hAnsi="IRNazanin" w:eastAsia="IRNazanin"/>
          <w:color w:val="111111"/>
          <w:sz w:val="28"/>
          <w:sz w:val="28"/>
          <w:szCs w:val="28"/>
          <w:rtl w:val="true"/>
          <w:lang w:bidi="fa-IR"/>
        </w:rPr>
        <w:t>وحکم الموات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یتملّکه </w:t>
      </w:r>
      <w:r>
        <w:rPr>
          <w:rStyle w:val="FootnoteAnchor"/>
          <w:rtl w:val="true"/>
        </w:rPr>
        <w:footnoteReference w:id="143"/>
      </w:r>
      <w:r>
        <w:rPr>
          <w:rFonts w:ascii="IRNazanin" w:hAnsi="IRNazanin" w:eastAsia="IRNazanin"/>
          <w:color w:val="111111"/>
          <w:sz w:val="28"/>
          <w:sz w:val="28"/>
          <w:szCs w:val="28"/>
          <w:rtl w:val="true"/>
          <w:lang w:bidi="fa-IR"/>
        </w:rPr>
        <w:t>مَن أحیاه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قصد تملّکه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غیبة الإمام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فی ذلک المسلم والکافر؛ لعموم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أحیا أرضاً میتة فهی له</w:t>
      </w:r>
      <w:r>
        <w:rPr>
          <w:rFonts w:eastAsia="IRNazanin" w:cs="IRNazanin"/>
          <w:color w:val="111111"/>
          <w:sz w:val="28"/>
          <w:szCs w:val="28"/>
          <w:rtl w:val="true"/>
          <w:lang w:bidi="fa-IR"/>
        </w:rPr>
        <w:t xml:space="preserve">» </w:t>
      </w:r>
      <w:r>
        <w:rPr>
          <w:rStyle w:val="FootnoteAnchor"/>
          <w:rtl w:val="true"/>
        </w:rPr>
        <w:footnoteReference w:id="144"/>
      </w:r>
      <w:r>
        <w:rPr>
          <w:rFonts w:ascii="IRNazanin" w:hAnsi="IRNazanin" w:eastAsia="IRNazanin"/>
          <w:color w:val="111111"/>
          <w:sz w:val="28"/>
          <w:sz w:val="28"/>
          <w:szCs w:val="28"/>
          <w:rtl w:val="true"/>
          <w:lang w:bidi="fa-IR"/>
        </w:rPr>
        <w:t xml:space="preserve">ولا یقدح فی ذلک کونها للإمام علیه السلام علی تقدیر ظهوره؛ لأنّ ذلک لا یقصر عن حقّه من غیرها کالخمس والمغنوم بغیر إذنه، فإنّه بید الکافر والمخالف علی وجه الملک حالَ الغیبة، ولا یجوز انتزاعه </w:t>
      </w:r>
      <w:r>
        <w:rPr>
          <w:rStyle w:val="FootnoteAnchor"/>
          <w:rtl w:val="true"/>
        </w:rPr>
        <w:footnoteReference w:id="145"/>
      </w:r>
      <w:r>
        <w:rPr>
          <w:rFonts w:ascii="IRNazanin" w:hAnsi="IRNazanin" w:eastAsia="IRNazanin"/>
          <w:color w:val="111111"/>
          <w:sz w:val="28"/>
          <w:sz w:val="28"/>
          <w:szCs w:val="28"/>
          <w:rtl w:val="true"/>
          <w:lang w:bidi="fa-IR"/>
        </w:rPr>
        <w:t>منه فهنا أولی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یکن الإمام علیه السلام غائباً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الإحیاء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إذنه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إجماعاً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 کان مسلماً ملکها بإذنه، وفی ملک الکافر مع الإذن قولان </w:t>
      </w:r>
      <w:r>
        <w:rPr>
          <w:rStyle w:val="FootnoteAnchor"/>
          <w:rtl w:val="true"/>
        </w:rPr>
        <w:footnoteReference w:id="146"/>
      </w:r>
      <w:r>
        <w:rPr>
          <w:rFonts w:ascii="IRNazanin" w:hAnsi="IRNazanin" w:eastAsia="IRNazanin"/>
          <w:color w:val="111111"/>
          <w:sz w:val="28"/>
          <w:sz w:val="28"/>
          <w:szCs w:val="28"/>
          <w:rtl w:val="true"/>
          <w:lang w:bidi="fa-IR"/>
        </w:rPr>
        <w:t>ولا إشکال فیه لو حصل، إنّما الإشکال فی جواز إذنه له، نظراً إلی أنّ الکافر هل له أهلیّة ذلک أم لا؟ والنزاع قلیل الجدوی</w:t>
      </w:r>
      <w:r>
        <w:rPr>
          <w:rFonts w:eastAsia="IRNazanin" w:cs="IRNazanin"/>
          <w:color w:val="111111"/>
          <w:sz w:val="28"/>
          <w:szCs w:val="28"/>
          <w:rtl w:val="true"/>
          <w:lang w:bidi="fa-IR"/>
        </w:rPr>
        <w:t>.</w:t>
      </w:r>
    </w:p>
    <w:p>
      <w:pPr>
        <w:pStyle w:val="Heading3"/>
        <w:numPr>
          <w:ilvl w:val="2"/>
          <w:numId w:val="1"/>
        </w:numPr>
        <w:rPr/>
      </w:pPr>
      <w:bookmarkStart w:id="57" w:name="__RefHeading___Toc2227719_2314609296"/>
      <w:bookmarkStart w:id="58" w:name="_Toc22"/>
      <w:bookmarkEnd w:id="57"/>
      <w:r>
        <w:rPr>
          <w:rtl w:val="true"/>
        </w:rPr>
        <w:t>[</w:t>
      </w:r>
      <w:r>
        <w:rPr>
          <w:rtl w:val="true"/>
        </w:rPr>
        <w:t>ما لا یجوز احیاوه</w:t>
      </w:r>
      <w:r>
        <w:rPr>
          <w:rtl w:val="true"/>
        </w:rPr>
        <w:t>]</w:t>
      </w:r>
      <w:bookmarkEnd w:id="58"/>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یجوز إحیاء العامر وتوابعه کالطریق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المفضی إلیه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والشرب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بکسر الشین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وأصله الحظّ من الماء، ومنه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لَهٰا شِرْبٌ وَ لَکُمْ شِرْبُ یَوْمٍ مَعْلُومٍ</w:t>
      </w:r>
      <w:r>
        <w:rPr>
          <w:rFonts w:eastAsia="Amiri" w:cs="Amiri" w:ascii="Amiri" w:hAnsi="Amiri"/>
          <w:color w:val="111111"/>
          <w:sz w:val="28"/>
          <w:szCs w:val="28"/>
          <w:rtl w:val="true"/>
          <w:lang w:bidi="ar-SA"/>
        </w:rPr>
        <w:t xml:space="preserve">) </w:t>
      </w:r>
      <w:r>
        <w:rPr>
          <w:rStyle w:val="FootnoteAnchor"/>
          <w:rtl w:val="true"/>
        </w:rPr>
        <w:footnoteReference w:id="147"/>
      </w:r>
      <w:r>
        <w:rPr>
          <w:rFonts w:ascii="IRNazanin" w:hAnsi="IRNazanin" w:eastAsia="IRNazanin"/>
          <w:color w:val="111111"/>
          <w:sz w:val="28"/>
          <w:sz w:val="28"/>
          <w:szCs w:val="28"/>
          <w:rtl w:val="true"/>
          <w:lang w:bidi="fa-IR"/>
        </w:rPr>
        <w:t>والمراد هنا النهر وشبهه المعدّ لمصالح العامر، وکذا غیرهما من مرافق العامر وحریمه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إحیاء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المفتوحة عَنْوةً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العین أی قهراً وغلبة علی أهلها کأرض الشام والعراق وغالب بلاد الإسلام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عامرها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الفتح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قاطبة بمعنی أنّ حاصلها یصرف فی مصالحهم، لا تصرّفُهم فیها کیف اتّفق کما سیأتی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وغامرها </w:t>
      </w:r>
      <w:r>
        <w:rPr>
          <w:rStyle w:val="FootnoteAnchor"/>
          <w:rtl w:val="true"/>
        </w:rPr>
        <w:footnoteReference w:id="1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بالمعجمة وهو خلاف العامر بالمهملة، قال الجوهری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قیل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لأنّ الماء یبلغه فیغمره، وهو فاعل بمعنی مفعول کقولهم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 کاتم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 دافق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بُنی علی فاعل لیقابل به العامر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الغامر من الأرض ما لم یُزرع ممّا یحتمل الزراعة </w:t>
      </w:r>
      <w:r>
        <w:rPr>
          <w:rStyle w:val="FootnoteAnchor"/>
          <w:rtl w:val="true"/>
        </w:rPr>
        <w:footnoteReference w:id="150"/>
      </w:r>
      <w:r>
        <w:rPr>
          <w:rFonts w:ascii="IRNazanin" w:hAnsi="IRNazanin" w:eastAsia="IRNazanin"/>
          <w:color w:val="111111"/>
          <w:sz w:val="28"/>
          <w:sz w:val="28"/>
          <w:szCs w:val="28"/>
          <w:rtl w:val="true"/>
          <w:lang w:bidi="fa-IR"/>
        </w:rPr>
        <w:t>وما لا یبلغه الماء من موات الأرض لا یقال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نظراً إلی الوصف المتقدّم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والمراد هنا أنّ مواتها مطلقاً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للإمام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یصحّ إحیاؤه بغیر إذنه مع حضوره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مع غیبته فیملکها المحیی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ویرجع الآن فی المحیی منها والمیّت فی تلک الحال إلی القرائن، 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الخراج والمقاسمة، فإن انتفت فالأصل یقتضی عدم العمارة، فیحکم لمن بیده منها شیء بالملک لو ادّعاه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وکذا کلّ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موات من الأرض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یجر علیه ملک لمسلم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للإمام علیه السلام فلا یصحّ إحیاؤه إلّابإذنه مع حضوره ویباح فی غیبته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ومثله ما جری علیه ملکه ثمّ باد أهله</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جری علیه ملک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له ولوارثه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کغیره من الأملاک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ینتقل عنه بصیرورته مواتاً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مطلقاً، لأصالة بقاء الملک،</w:t>
      </w:r>
    </w:p>
    <w:p>
      <w:pPr>
        <w:pStyle w:val="BookText"/>
        <w:rPr/>
      </w:pPr>
      <w:r>
        <w:rPr>
          <w:rFonts w:ascii="IRNazanin" w:hAnsi="IRNazanin" w:eastAsia="IRNazanin"/>
          <w:color w:val="111111"/>
          <w:sz w:val="28"/>
          <w:sz w:val="28"/>
          <w:szCs w:val="28"/>
          <w:rtl w:val="true"/>
          <w:lang w:bidi="fa-IR"/>
        </w:rPr>
        <w:t>وخروجه یحتاج إلی سبب ناقل، وهو محصور ولیس منه الخراب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یملکها المحیی بعد صیرورتها مواتاً ویبطل حقّ السابق </w:t>
      </w:r>
      <w:r>
        <w:rPr>
          <w:rStyle w:val="FootnoteAnchor"/>
          <w:rtl w:val="true"/>
        </w:rPr>
        <w:footnoteReference w:id="151"/>
      </w:r>
      <w:r>
        <w:rPr>
          <w:rFonts w:ascii="IRNazanin" w:hAnsi="IRNazanin" w:eastAsia="IRNazanin"/>
          <w:color w:val="111111"/>
          <w:sz w:val="28"/>
          <w:sz w:val="28"/>
          <w:szCs w:val="28"/>
          <w:rtl w:val="true"/>
          <w:lang w:bidi="fa-IR"/>
        </w:rPr>
        <w:t xml:space="preserve">لعموم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أحیا أرضاً میتة فهی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ولصحیحة أبی خالد الکابلی عن الباقر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وجدنا فی کتاب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الأرض للّٰه‌یورثها من یشاء من عباده والعاقبة للمتّقین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وإن ترکها أو أخربها </w:t>
      </w:r>
      <w:r>
        <w:rPr>
          <w:rStyle w:val="FootnoteAnchor"/>
          <w:rtl w:val="true"/>
        </w:rPr>
        <w:footnoteReference w:id="152"/>
      </w:r>
      <w:r>
        <w:rPr>
          <w:rFonts w:ascii="IRNazanin" w:hAnsi="IRNazanin" w:eastAsia="IRNazanin"/>
          <w:color w:val="111111"/>
          <w:sz w:val="28"/>
          <w:sz w:val="28"/>
          <w:szCs w:val="28"/>
          <w:rtl w:val="true"/>
          <w:lang w:bidi="fa-IR"/>
        </w:rPr>
        <w:t>فأخذها رجل من المسلمین من بعده فعمّرها وأحیاها فهو أحقّ بها من الذی ترکها</w:t>
      </w:r>
      <w:r>
        <w:rPr>
          <w:rFonts w:eastAsia="IRNazanin" w:cs="IRNazanin"/>
          <w:color w:val="111111"/>
          <w:sz w:val="28"/>
          <w:szCs w:val="28"/>
          <w:rtl w:val="true"/>
          <w:lang w:bidi="fa-IR"/>
        </w:rPr>
        <w:t xml:space="preserve">» </w:t>
      </w:r>
      <w:r>
        <w:rPr>
          <w:rStyle w:val="FootnoteAnchor"/>
          <w:rtl w:val="true"/>
        </w:rPr>
        <w:footnoteReference w:id="153"/>
      </w:r>
      <w:r>
        <w:rPr>
          <w:rFonts w:ascii="IRNazanin" w:hAnsi="IRNazanin" w:eastAsia="IRNazanin"/>
          <w:color w:val="111111"/>
          <w:sz w:val="28"/>
          <w:sz w:val="28"/>
          <w:szCs w:val="28"/>
          <w:rtl w:val="true"/>
          <w:lang w:bidi="fa-IR"/>
        </w:rPr>
        <w:t>وقول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 یّما رجل أتی خربة هائرة </w:t>
      </w:r>
      <w:r>
        <w:rPr>
          <w:rStyle w:val="FootnoteAnchor"/>
          <w:rtl w:val="true"/>
        </w:rPr>
        <w:footnoteReference w:id="154"/>
      </w:r>
      <w:r>
        <w:rPr>
          <w:rFonts w:ascii="IRNazanin" w:hAnsi="IRNazanin" w:eastAsia="IRNazanin"/>
          <w:color w:val="111111"/>
          <w:sz w:val="28"/>
          <w:sz w:val="28"/>
          <w:szCs w:val="28"/>
          <w:rtl w:val="true"/>
          <w:lang w:bidi="fa-IR"/>
        </w:rPr>
        <w:t>فاستخرجها وکری أنهارها وعمرها، فإنّ علیه فیها الصدقة، فإن کانت أرضاً لرجل قبله فغاب عنها وترکها وأخربها ثمّ جاء بعدُ یطلبها، فإنّ الأرض للّٰه‌ولمن عمرها</w:t>
      </w:r>
      <w:r>
        <w:rPr>
          <w:rFonts w:eastAsia="IRNazanin" w:cs="IRNazanin"/>
          <w:color w:val="111111"/>
          <w:sz w:val="28"/>
          <w:szCs w:val="28"/>
          <w:rtl w:val="true"/>
          <w:lang w:bidi="fa-IR"/>
        </w:rPr>
        <w:t xml:space="preserve">» </w:t>
      </w:r>
      <w:r>
        <w:rPr>
          <w:rStyle w:val="FootnoteAnchor"/>
          <w:rtl w:val="true"/>
        </w:rPr>
        <w:footnoteReference w:id="155"/>
      </w:r>
      <w:r>
        <w:rPr>
          <w:rFonts w:ascii="IRNazanin" w:hAnsi="IRNazanin" w:eastAsia="IRNazanin"/>
          <w:color w:val="111111"/>
          <w:sz w:val="28"/>
          <w:sz w:val="28"/>
          <w:szCs w:val="28"/>
          <w:rtl w:val="true"/>
          <w:lang w:bidi="fa-IR"/>
        </w:rPr>
        <w:t>وهذا هو الأقوی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وموضع 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إذا کان السابق قد ملکها بالإحیاء، فلو کان قد ملکها بالشراء ونحوه لم یزل ملکه عنها إجماعاً، علی ما نقله العلّامة فی التذکرة عن جمیع أهل العلم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وکلّ أرض أسلم علیها أهلها طوعاً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کالمدینة المشرّفة والبحرین</w:t>
      </w:r>
    </w:p>
    <w:p>
      <w:pPr>
        <w:pStyle w:val="BookText"/>
        <w:rPr/>
      </w:pPr>
      <w:r>
        <w:rPr>
          <w:rFonts w:ascii="IRNazanin" w:hAnsi="IRNazanin" w:eastAsia="IRNazanin"/>
          <w:color w:val="111111"/>
          <w:sz w:val="28"/>
          <w:sz w:val="28"/>
          <w:szCs w:val="28"/>
          <w:rtl w:val="true"/>
          <w:lang w:bidi="fa-IR"/>
        </w:rPr>
        <w:t xml:space="preserve">وأطراف الیمن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فهی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الخصوص یتصرّفون فیها کیف شاؤوا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ولیس علیهم فیها سوی الزکاة 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الشرائط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المعتبرة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قاموا بعمارتها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لو ترکوها فخربت فإنّها تدخل فی عموم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وکلّ أرض تَرکَ أهلها عمارتها فالمحیی أحقّ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منهم، لا بمعنی ملکه لها بالإحیاء؛ لما سبق من أنّ ما جری علیها ملک مسلم لا ینتقل عنه بالموت، فبترک العمارة التی هی أعمّ من الموت أولی، بل بمعنی استحقاقه التصرّف فیها ما دام قائماً بعمارتها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وعلیه طسقها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اُجرتها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لأربابها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ترکوا عمارتها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عدم خروجها عن ملکهم فقد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جواز إحیائها مع القیام بالاُجرة فلروایة سلیمان بن خالد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سأله عن الرجل یأتی الأرض الخربة فیستخرجها ویجری أنهارها ویعمرها ویزرعها فماذا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الصدقة،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یعرف صاحبها،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فلیؤدّ إلیه حقّه</w:t>
      </w:r>
      <w:r>
        <w:rPr>
          <w:rFonts w:eastAsia="IRNazanin" w:cs="IRNazanin"/>
          <w:color w:val="111111"/>
          <w:sz w:val="28"/>
          <w:szCs w:val="28"/>
          <w:rtl w:val="true"/>
          <w:lang w:bidi="fa-IR"/>
        </w:rPr>
        <w:t xml:space="preserve">» </w:t>
      </w:r>
      <w:r>
        <w:rPr>
          <w:rStyle w:val="FootnoteAnchor"/>
          <w:rtl w:val="true"/>
        </w:rPr>
        <w:footnoteReference w:id="157"/>
      </w:r>
      <w:r>
        <w:rPr>
          <w:rFonts w:ascii="IRNazanin" w:hAnsi="IRNazanin" w:eastAsia="IRNazanin"/>
          <w:color w:val="111111"/>
          <w:sz w:val="28"/>
          <w:sz w:val="28"/>
          <w:szCs w:val="28"/>
          <w:rtl w:val="true"/>
          <w:lang w:bidi="fa-IR"/>
        </w:rPr>
        <w:t xml:space="preserve">وهی دالّة علی عدم خروج الموات به عن الملک أیضاً؛ لأنّ نفس الأرض حقّ صاحبها، إلّاأ نّها مقطوعة السند ضعیفة </w:t>
      </w:r>
      <w:r>
        <w:rPr>
          <w:rStyle w:val="FootnoteAnchor"/>
          <w:rtl w:val="true"/>
        </w:rPr>
        <w:footnoteReference w:id="158"/>
      </w:r>
      <w:r>
        <w:rPr>
          <w:rFonts w:ascii="IRNazanin" w:hAnsi="IRNazanin" w:eastAsia="IRNazanin"/>
          <w:color w:val="111111"/>
          <w:sz w:val="28"/>
          <w:sz w:val="28"/>
          <w:szCs w:val="28"/>
          <w:rtl w:val="true"/>
          <w:lang w:bidi="fa-IR"/>
        </w:rPr>
        <w:t>فلا تصلح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وشرط فی الدروس إذن المالک فی الإحیاء، فإن تعذّر فالحاکم، فإن تعذّر جاز الإحیاء بغیر إذن، وللمالک حینئذٍ طسقها </w:t>
      </w:r>
      <w:r>
        <w:rPr>
          <w:rStyle w:val="FootnoteAnchor"/>
          <w:rtl w:val="true"/>
        </w:rPr>
        <w:footnoteReference w:id="159"/>
      </w:r>
      <w:r>
        <w:rPr>
          <w:rFonts w:ascii="IRNazanin" w:hAnsi="IRNazanin" w:eastAsia="IRNazanin"/>
          <w:color w:val="111111"/>
          <w:sz w:val="28"/>
          <w:sz w:val="28"/>
          <w:szCs w:val="28"/>
          <w:rtl w:val="true"/>
          <w:lang w:bidi="fa-IR"/>
        </w:rPr>
        <w:t>ودلیله غیر واضح</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والأقوی أ نّها إن خرجت عن ملکه جاز إحیاؤها بغیر اُجرة، وإلّا امتنع</w:t>
      </w:r>
      <w:bookmarkStart w:id="59" w:name="pg19815_253043"/>
    </w:p>
    <w:p>
      <w:pPr>
        <w:pStyle w:val="BookText"/>
        <w:rPr/>
      </w:pPr>
      <w:bookmarkEnd w:id="59"/>
      <w:r>
        <w:rPr>
          <w:rFonts w:ascii="IRNazanin" w:hAnsi="IRNazanin" w:eastAsia="IRNazanin"/>
          <w:color w:val="111111"/>
          <w:sz w:val="28"/>
          <w:sz w:val="28"/>
          <w:szCs w:val="28"/>
          <w:rtl w:val="true"/>
          <w:lang w:bidi="fa-IR"/>
        </w:rPr>
        <w:t>التصرّف فیها بغیر إذنه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تقدّم ما یعلم منه خروجها عن ملکه وعدمه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 للإمام علیه السلام تقبیل المملوکة الممتنع أهلها من عمارتها بما شاء؛ لأنّه أولی بالمؤمنین من أنفسهم</w:t>
      </w:r>
      <w:r>
        <w:rPr>
          <w:rFonts w:eastAsia="IRNazanin" w:cs="IRNazanin"/>
          <w:color w:val="111111"/>
          <w:sz w:val="28"/>
          <w:szCs w:val="28"/>
          <w:rtl w:val="true"/>
          <w:lang w:bidi="fa-IR"/>
        </w:rPr>
        <w:t>.</w:t>
      </w:r>
    </w:p>
    <w:p>
      <w:pPr>
        <w:pStyle w:val="Heading3"/>
        <w:numPr>
          <w:ilvl w:val="2"/>
          <w:numId w:val="1"/>
        </w:numPr>
        <w:rPr/>
      </w:pPr>
      <w:bookmarkStart w:id="60" w:name="__RefHeading___Toc2227721_2314609296"/>
      <w:bookmarkStart w:id="61" w:name="_Toc23"/>
      <w:bookmarkEnd w:id="60"/>
      <w:r>
        <w:rPr>
          <w:rtl w:val="true"/>
        </w:rPr>
        <w:t>[</w:t>
      </w:r>
      <w:r>
        <w:rPr>
          <w:rtl w:val="true"/>
        </w:rPr>
        <w:t>حکم الارض المفتوحه عنوة</w:t>
      </w:r>
      <w:r>
        <w:rPr>
          <w:rtl w:val="true"/>
        </w:rPr>
        <w:t>]</w:t>
      </w:r>
      <w:bookmarkEnd w:id="6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وأرض الصلح التی بأیدی أهل الذمّة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صالحوا النبیّ صلی الله علیه و آله أو الإمام علیه السلام علی أنّ الأرض لهم فهی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عملاً بمقتضی الشرط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وعلیهم الجزیة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داموا أهل ذمّة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أسلموا صارت کالأرض التی أسلم أهلها علیها طوعاً ملکاً لهم بغیر عوض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وقع الصلح ابتداءً علی الأرض للمسلمین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کأرض خیبر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فهی کالمفتوحة عنوة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ویصرف الإمام علیه السلام حاصل الأرض المفتوحة عنوة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المحیاة حال الفتح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مصالح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الغانمین وغیرهم، کسدّ الثغور، ومعونة الغزاة، وأرزاق الولاة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مع حضوره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مع غیبته فما کان منها بید الجائر یجوز المضیّ معه فی حکمه فیها فیصحّ تناول الخراج والمقاسمة منه بهبة وشراء واستقطاع، وغیرها ممّا یقتضیه حکمه شرعاً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یمکن استقلال نائب الإمام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الحاکم الشرعی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فأمرُه إلیه یصرفه فی مصالح المسلمین کالأصل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یجوز بیعها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بیع الأرض المفتوحة عنوةً المحیاة حالَ الفتح؛ لأ نّها للمسلمین قاطبة، من وُجد منهم ذلک الیوم ومن یتجدّد إلی یوم القیامة، لا بمعنی ملک الرقبة، بل بالمعنی السابق، وهو صرف حاصلها فی مصالحهم</w:t>
      </w:r>
      <w:r>
        <w:rPr>
          <w:rFonts w:eastAsia="IRNazanin" w:cs="IRNazanin"/>
          <w:color w:val="111111"/>
          <w:sz w:val="28"/>
          <w:szCs w:val="28"/>
          <w:rtl w:val="true"/>
          <w:lang w:bidi="fa-IR"/>
        </w:rPr>
        <w:t>.</w:t>
      </w:r>
      <w:bookmarkStart w:id="62" w:name="pg19815_253044"/>
    </w:p>
    <w:p>
      <w:pPr>
        <w:pStyle w:val="BookText"/>
        <w:rPr/>
      </w:pPr>
      <w:bookmarkEnd w:id="6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هبتها، ولا وقفها، ولا نقلها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بوجه من الوجوه المملّکة؛ لما ذکرناه من العلّة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والقائل به جماعة من المتأخّرین </w:t>
      </w:r>
      <w:r>
        <w:rPr>
          <w:rStyle w:val="FootnoteAnchor"/>
          <w:rtl w:val="true"/>
        </w:rPr>
        <w:footnoteReference w:id="162"/>
      </w:r>
      <w:r>
        <w:rPr>
          <w:rFonts w:ascii="IRNazanin" w:hAnsi="IRNazanin" w:eastAsia="IRNazanin"/>
          <w:color w:val="111111"/>
          <w:sz w:val="28"/>
          <w:sz w:val="28"/>
          <w:szCs w:val="28"/>
          <w:rtl w:val="true"/>
          <w:lang w:bidi="fa-IR"/>
        </w:rPr>
        <w:t>منهم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وقد تقدّم فی کتاب البیع اختیاره له </w:t>
      </w:r>
      <w:r>
        <w:rPr>
          <w:rStyle w:val="FootnoteAnchor"/>
          <w:rtl w:val="true"/>
        </w:rPr>
        <w:footnoteReference w:id="1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جمیع ما ذکر من البیع والوقف وغیره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تبعاً لآثار المتصرّف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بناءٍ وغرس، ویستمرّ الحکم ما دام شیء من الأثر باقیاً، فإذا زال رجعت الأرض إلی حکمها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کانت میتة حالَ الفتح أو عرض لها المَوَتان ثمّ أحیاها محیٍ، أو اشتبه حالها حالتَه، أو وُجدت فی ید أحد یدّعی ملکها حیث لا یعلم فساد دعواه، فهی کغیرها من الأرضین المملوکة بالشرط السابق </w:t>
      </w:r>
      <w:r>
        <w:rPr>
          <w:rStyle w:val="FootnoteAnchor"/>
          <w:rtl w:val="true"/>
        </w:rPr>
        <w:footnoteReference w:id="164"/>
      </w:r>
      <w:r>
        <w:rPr>
          <w:rFonts w:ascii="IRNazanin" w:hAnsi="IRNazanin" w:eastAsia="IRNazanin"/>
          <w:color w:val="111111"/>
          <w:sz w:val="28"/>
          <w:sz w:val="28"/>
          <w:szCs w:val="28"/>
          <w:rtl w:val="true"/>
          <w:lang w:bidi="fa-IR"/>
        </w:rPr>
        <w:t>یتصرّف فیها المالک کیف شاء بغیر إشکال</w:t>
      </w:r>
      <w:r>
        <w:rPr>
          <w:rFonts w:eastAsia="IRNazanin" w:cs="IRNazanin"/>
          <w:color w:val="111111"/>
          <w:sz w:val="28"/>
          <w:szCs w:val="28"/>
          <w:rtl w:val="true"/>
          <w:lang w:bidi="fa-IR"/>
        </w:rPr>
        <w:t>.</w:t>
      </w:r>
    </w:p>
    <w:p>
      <w:pPr>
        <w:pStyle w:val="Heading3"/>
        <w:numPr>
          <w:ilvl w:val="2"/>
          <w:numId w:val="1"/>
        </w:numPr>
        <w:rPr/>
      </w:pPr>
      <w:bookmarkStart w:id="63" w:name="__RefHeading___Toc2227723_2314609296"/>
      <w:bookmarkStart w:id="64" w:name="_Toc24"/>
      <w:bookmarkEnd w:id="63"/>
      <w:r>
        <w:rPr>
          <w:rtl w:val="true"/>
        </w:rPr>
        <w:t>[</w:t>
      </w:r>
      <w:r>
        <w:rPr>
          <w:rtl w:val="true"/>
        </w:rPr>
        <w:t>شروط احیاء المملّک</w:t>
      </w:r>
      <w:r>
        <w:rPr>
          <w:rtl w:val="true"/>
        </w:rPr>
        <w:t>]</w:t>
      </w:r>
      <w:bookmarkEnd w:id="6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وشروط الإحیاء المملّک </w:t>
      </w:r>
      <w:r>
        <w:rPr>
          <w:rStyle w:val="FootnoteAnchor"/>
          <w:rtl w:val="true"/>
        </w:rPr>
        <w:footnoteReference w:id="1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للمحیی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ستّة</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انتفاء ید الغیر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الأرض المیتة، فلو کان علیها ید محترمة لم یصحّ إحیاؤها لغیره؛ لأنّ الید تدلّ علی الملک ظاهراً إذا لم یُعلم انتفاء سبب صحیح للملک أو الأولویّة، وإلّا لم یلتفت إلی الید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وانتفاء ملک 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للأرض قبل موتها لمسلم أو مسالم، فلو کانت مملوکة </w:t>
      </w:r>
      <w:r>
        <w:rPr>
          <w:rStyle w:val="FootnoteAnchor"/>
          <w:rtl w:val="true"/>
        </w:rPr>
        <w:footnoteReference w:id="166"/>
      </w:r>
      <w:r>
        <w:rPr>
          <w:rFonts w:ascii="IRNazanin" w:hAnsi="IRNazanin" w:eastAsia="IRNazanin"/>
          <w:color w:val="111111"/>
          <w:sz w:val="28"/>
          <w:sz w:val="28"/>
          <w:szCs w:val="28"/>
          <w:rtl w:val="true"/>
          <w:lang w:bidi="fa-IR"/>
        </w:rPr>
        <w:t>لأحدهما لم یصحّ إحیاؤها لغیره استصحاباً للملک السابق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وهذان الشرطان مبنیّان علی ما سبق من عدم بطلان الملک بالموت مطلقاً، وقد تقدّم ما فیه من التفصیل المختار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وانتفاء کونه حریماً لعامر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مالک العامر استحقّ حریمه؛ لأنّه من مرافقه وممّا یتوقّف کمال انتفاعه علیه، وسیأتی تفصیل الحریم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انتفاء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کونه مشعراً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محلّاً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کعرفة والمشعر ومنی ولو کان یسیراً لا یمنع المتعبّدین، سدّاً لباب مزاحمة الناسکین، ولتعلّق حقوق الناس کافّة بها، فلا یسوغ تملّکها مطلقاً؛ لأدائه إلی تفویت هذا الغرض الشرعی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وجوّز المحقّق الیسیر منه </w:t>
      </w:r>
      <w:r>
        <w:rPr>
          <w:rStyle w:val="FootnoteAnchor"/>
          <w:rtl w:val="true"/>
        </w:rPr>
        <w:footnoteReference w:id="167"/>
      </w:r>
      <w:r>
        <w:rPr>
          <w:rFonts w:ascii="IRNazanin" w:hAnsi="IRNazanin" w:eastAsia="IRNazanin"/>
          <w:color w:val="111111"/>
          <w:sz w:val="28"/>
          <w:sz w:val="28"/>
          <w:szCs w:val="28"/>
          <w:rtl w:val="true"/>
          <w:lang w:bidi="fa-IR"/>
        </w:rPr>
        <w:t>لعدم الإضرار، مع أ نّه غیر ملک لأحد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نادر، وعلیه لو عمد بعض الحاجّ فوقف به لم یجز؛ للنهی عن التصرّف فی ملک الغیر؛ لأنّا بنینا علیه، وهو مفسد للعبادة التی هی عبارة عن الکون ومن ضروراته </w:t>
      </w:r>
      <w:r>
        <w:rPr>
          <w:rStyle w:val="FootnoteAnchor"/>
          <w:rtl w:val="true"/>
        </w:rPr>
        <w:footnoteReference w:id="168"/>
      </w:r>
      <w:r>
        <w:rPr>
          <w:rFonts w:ascii="IRNazanin" w:hAnsi="IRNazanin" w:eastAsia="IRNazanin"/>
          <w:color w:val="111111"/>
          <w:sz w:val="28"/>
          <w:sz w:val="28"/>
          <w:szCs w:val="28"/>
          <w:rtl w:val="true"/>
          <w:lang w:bidi="fa-IR"/>
        </w:rPr>
        <w:t>المکان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وللمصنّف تفریعاً علیه وجه بالجواز جمعاً بین الحقّین وآخر بالتفصیل بضیق المکان فیجوز، وسعته فلا </w:t>
      </w:r>
      <w:r>
        <w:rPr>
          <w:rStyle w:val="FootnoteAnchor"/>
          <w:rtl w:val="true"/>
        </w:rPr>
        <w:footnoteReference w:id="169"/>
      </w:r>
      <w:r>
        <w:rPr>
          <w:rFonts w:ascii="IRNazanin" w:hAnsi="IRNazanin" w:eastAsia="IRNazanin"/>
          <w:color w:val="111111"/>
          <w:sz w:val="28"/>
          <w:sz w:val="28"/>
          <w:szCs w:val="28"/>
          <w:rtl w:val="true"/>
          <w:lang w:bidi="fa-IR"/>
        </w:rPr>
        <w:t>وإثبات الملک مطلقاً یأباهما، وإنّما یتوجّهان لو جعله مشروطاً بأحد الأمرین</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مُقْطَعاً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النبیّ صلی الله علیه و آله، أو الإمام علیه السلام لأحد المسلمین؛ لأنّ المُقطَع له یصیر أولی من غیره کالتحجیر، فلا یصحّ لغیره التصرّف بدون إذنه وإن لم یفد ملکاً، وقد رُوی أنّ النبیّ صلی الله علیه و آله أقطع بلال بن الحارث العقیق </w:t>
      </w:r>
      <w:r>
        <w:rPr>
          <w:rStyle w:val="FootnoteAnchor"/>
          <w:rtl w:val="true"/>
        </w:rPr>
        <w:footnoteReference w:id="170"/>
      </w:r>
      <w:r>
        <w:rPr>
          <w:rFonts w:ascii="IRNazanin" w:hAnsi="IRNazanin" w:eastAsia="IRNazanin"/>
          <w:color w:val="111111"/>
          <w:sz w:val="28"/>
          <w:sz w:val="28"/>
          <w:szCs w:val="28"/>
          <w:rtl w:val="true"/>
          <w:lang w:bidi="fa-IR"/>
        </w:rPr>
        <w:t>وهو وادٍ بظاهر</w:t>
      </w:r>
    </w:p>
    <w:p>
      <w:pPr>
        <w:pStyle w:val="BookText"/>
        <w:rPr/>
      </w:pPr>
      <w:r>
        <w:rPr>
          <w:rFonts w:ascii="IRNazanin" w:hAnsi="IRNazanin" w:eastAsia="IRNazanin"/>
          <w:color w:val="111111"/>
          <w:sz w:val="28"/>
          <w:sz w:val="28"/>
          <w:szCs w:val="28"/>
          <w:rtl w:val="true"/>
          <w:lang w:bidi="fa-IR"/>
        </w:rPr>
        <w:t>المدینة واستمرّ تحت یده إلی ولایة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وأقطع الزبیر بن العوّام حُضرَ فرسه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بالحاء المهملة المضمومة والضاد المعجمة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وهو عدوه مقدارَ ما جری، فأجری فرسه حتّی قام أی عجز عن التقدّم فرمی بسوطه طلباً للزیادة علی الحُضر فأعطاه صلی الله علیه و آله من حیث وقع السوط </w:t>
      </w:r>
      <w:r>
        <w:rPr>
          <w:rStyle w:val="FootnoteAnchor"/>
          <w:rtl w:val="true"/>
        </w:rPr>
        <w:footnoteReference w:id="171"/>
      </w:r>
      <w:r>
        <w:rPr>
          <w:rFonts w:ascii="IRNazanin" w:hAnsi="IRNazanin" w:eastAsia="IRNazanin"/>
          <w:color w:val="111111"/>
          <w:sz w:val="28"/>
          <w:sz w:val="28"/>
          <w:szCs w:val="28"/>
          <w:rtl w:val="true"/>
          <w:lang w:bidi="fa-IR"/>
        </w:rPr>
        <w:t xml:space="preserve">وأقطع صلی الله علیه و آله غیرهما مواضع اُخر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محجّراً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مشروعاً فی إحیائه شروعاً لم یبلغ حدّ الإحیاء، فإنّه بالشروع یفید أولویّة لا یصحّ لغیره التخطّی إلیه وإن لم یفد ملکاً، فلا یصحّ بیعه، لکن یورث ویصحّ الصلح علیه، إلّاأن یُهمِل الإتمام، فللحاکم حینئذٍ إلزامه به أو رفع یده عنه، فإن امتنع أذِنَ لغیره فی الإحیاء، وإن اعتذر بشاغل أمهله مدّة یزول عذره فیها، ولا یتخطّی غیره إلیها ما دام مُمهَلاً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الدروس جعل الشروط تسعة، وجعل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الإمام مع حضوره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ووجود ما یُخرجها عن المَوات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یتحقّق الإحیاء؛ إذ لا ملک قبل کمال العمل المعتبر فیه، وإن أفاد الشروع تحجیراً لا یفید سوی الأولویّة، کما مرّ</w:t>
      </w:r>
      <w:r>
        <w:rPr>
          <w:rFonts w:eastAsia="IRNazanin" w:cs="IRNazanin"/>
          <w:color w:val="111111"/>
          <w:sz w:val="28"/>
          <w:szCs w:val="28"/>
          <w:rtl w:val="true"/>
          <w:lang w:bidi="fa-IR"/>
        </w:rPr>
        <w:t xml:space="preserve">) </w:t>
      </w:r>
      <w:r>
        <w:rPr>
          <w:rStyle w:val="FootnoteAnchor"/>
          <w:rtl w:val="true"/>
        </w:rPr>
        <w:footnoteReference w:id="173"/>
      </w:r>
      <w:r>
        <w:rPr>
          <w:rFonts w:ascii="IRNazanin" w:hAnsi="IRNazanin" w:eastAsia="IRNazanin"/>
          <w:color w:val="111111"/>
          <w:sz w:val="28"/>
          <w:sz w:val="28"/>
          <w:szCs w:val="28"/>
          <w:rtl w:val="true"/>
          <w:lang w:bidi="fa-IR"/>
        </w:rPr>
        <w:t xml:space="preserve">وقصد التملّک فلو فعل أسباب الملک بقصد غیره أو لا مع قصد لم یملک کحیازة سائر المباحات من الاصطیاد والاحتطاب والاحتشاش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والشرط الأوّل قد ذکره هنا فی أوّل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والثانی یلزم من جعلها</w:t>
      </w:r>
      <w:bookmarkStart w:id="65" w:name="pg19815_253047"/>
    </w:p>
    <w:p>
      <w:pPr>
        <w:pStyle w:val="BookText"/>
        <w:rPr/>
      </w:pPr>
      <w:bookmarkEnd w:id="65"/>
      <w:r>
        <w:rPr>
          <w:rFonts w:ascii="IRNazanin" w:hAnsi="IRNazanin" w:eastAsia="IRNazanin"/>
          <w:color w:val="111111"/>
          <w:sz w:val="28"/>
          <w:sz w:val="28"/>
          <w:szCs w:val="28"/>
          <w:rtl w:val="true"/>
          <w:lang w:bidi="fa-IR"/>
        </w:rPr>
        <w:t>شروط الإحیاء، مضافاً إلی ما سیأتی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والمرجع فی الإحیاء إلی العرف</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والثالث یستفاد من قوله فی أوّل الکتاب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یتملّکه من أحیاه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التملّک یستلزم القصد إلیه، فإنّ الموجود فی بعض النسخ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یتملّکه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بالتاء بعد الیاء </w:t>
      </w:r>
      <w:r>
        <w:rPr>
          <w:rStyle w:val="FootnoteAnchor"/>
          <w:rtl w:val="true"/>
        </w:rPr>
        <w:footnoteReference w:id="175"/>
      </w:r>
      <w:r>
        <w:rPr>
          <w:rFonts w:ascii="IRNazanin" w:hAnsi="IRNazanin" w:eastAsia="IRNazanin"/>
          <w:color w:val="111111"/>
          <w:sz w:val="28"/>
          <w:sz w:val="28"/>
          <w:szCs w:val="28"/>
          <w:rtl w:val="true"/>
          <w:lang w:bidi="fa-IR"/>
        </w:rPr>
        <w:t xml:space="preserve">ویوجد فی بعضها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یملکه</w:t>
      </w:r>
      <w:r>
        <w:rPr>
          <w:rFonts w:eastAsia="IRNazanin" w:cs="IRNazanin"/>
          <w:color w:val="111111"/>
          <w:sz w:val="28"/>
          <w:szCs w:val="28"/>
          <w:rtl w:val="true"/>
          <w:lang w:bidi="fa-IR"/>
        </w:rPr>
        <w:t xml:space="preserve">» </w:t>
      </w:r>
      <w:r>
        <w:rPr>
          <w:rStyle w:val="FootnoteAnchor"/>
          <w:rtl w:val="true"/>
        </w:rPr>
        <w:footnoteReference w:id="176"/>
      </w:r>
      <w:r>
        <w:rPr>
          <w:rFonts w:ascii="IRNazanin" w:hAnsi="IRNazanin" w:eastAsia="IRNazanin"/>
          <w:color w:val="111111"/>
          <w:sz w:val="28"/>
          <w:sz w:val="28"/>
          <w:szCs w:val="28"/>
          <w:rtl w:val="true"/>
          <w:lang w:bidi="fa-IR"/>
        </w:rPr>
        <w:t>وهو لا یفید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استفادته من قوله بعد حکمه برجوعه إلی العرف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لمن أراد الزرع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لمن أراد البیت</w:t>
      </w:r>
      <w:r>
        <w:rPr>
          <w:rFonts w:eastAsia="IRNazanin" w:cs="IRNazanin"/>
          <w:color w:val="111111"/>
          <w:sz w:val="28"/>
          <w:szCs w:val="28"/>
          <w:rtl w:val="true"/>
          <w:lang w:bidi="fa-IR"/>
        </w:rPr>
        <w:t xml:space="preserve">» </w:t>
      </w:r>
      <w:r>
        <w:rPr>
          <w:rStyle w:val="FootnoteAnchor"/>
          <w:rtl w:val="true"/>
        </w:rPr>
        <w:footnoteReference w:id="177"/>
      </w:r>
      <w:r>
        <w:rPr>
          <w:rFonts w:ascii="IRNazanin" w:hAnsi="IRNazanin" w:eastAsia="IRNazanin"/>
          <w:color w:val="111111"/>
          <w:sz w:val="28"/>
          <w:sz w:val="28"/>
          <w:szCs w:val="28"/>
          <w:rtl w:val="true"/>
          <w:lang w:bidi="fa-IR"/>
        </w:rPr>
        <w:t>فإنّ الإرادة لما ذکر ونحوه تکفی فی قصد التملّک وإن لم یقصده بخصوصه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وحیث بیّن أنّ من الشرائط أن لا یکون حریماً لعامر نبّه هنا علی بیان حریم بعض الأملاک بقوله</w:t>
      </w:r>
      <w:r>
        <w:rPr>
          <w:rFonts w:eastAsia="IRNazanin" w:cs="IRNazanin"/>
          <w:color w:val="111111"/>
          <w:sz w:val="28"/>
          <w:szCs w:val="28"/>
          <w:rtl w:val="true"/>
          <w:lang w:bidi="fa-IR"/>
        </w:rPr>
        <w:t>:</w:t>
      </w:r>
    </w:p>
    <w:p>
      <w:pPr>
        <w:pStyle w:val="Heading3"/>
        <w:numPr>
          <w:ilvl w:val="2"/>
          <w:numId w:val="1"/>
        </w:numPr>
        <w:rPr/>
      </w:pPr>
      <w:bookmarkStart w:id="66" w:name="__RefHeading___Toc2227725_2314609296"/>
      <w:bookmarkStart w:id="67" w:name="_Toc25"/>
      <w:bookmarkEnd w:id="66"/>
      <w:r>
        <w:rPr>
          <w:rtl w:val="true"/>
        </w:rPr>
        <w:t>[</w:t>
      </w:r>
      <w:r>
        <w:rPr>
          <w:rtl w:val="true"/>
        </w:rPr>
        <w:t>حریم بعض الاملاک</w:t>
      </w:r>
      <w:r>
        <w:rPr>
          <w:rtl w:val="true"/>
        </w:rPr>
        <w:t>]</w:t>
      </w:r>
      <w:bookmarkEnd w:id="67"/>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وحریم العین ألف ذراع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حولَها من کلّ جانب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الرخوة وخمسمئة فی الصَلبة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أ نّه لیس للغیر استنباط عین اُخری فی هذا القدر، لا المنع من مطلق الإحیاء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والتحدید بذلک هو المشهور روایةً </w:t>
      </w:r>
      <w:r>
        <w:rPr>
          <w:rStyle w:val="FootnoteAnchor"/>
          <w:rtl w:val="true"/>
        </w:rPr>
        <w:footnoteReference w:id="178"/>
      </w:r>
      <w:r>
        <w:rPr>
          <w:rFonts w:ascii="Amiri" w:hAnsi="Amiri" w:eastAsia="Amiri" w:cs="Amiri"/>
          <w:color w:val="111111"/>
          <w:sz w:val="28"/>
          <w:sz w:val="28"/>
          <w:szCs w:val="28"/>
          <w:rtl w:val="true"/>
          <w:lang w:bidi="ar-SA"/>
        </w:rPr>
        <w:t xml:space="preserve">وفتویً </w:t>
      </w:r>
      <w:r>
        <w:rPr>
          <w:rStyle w:val="FootnoteAnchor"/>
          <w:rtl w:val="true"/>
        </w:rPr>
        <w:footnoteReference w:id="179"/>
      </w:r>
      <w:r>
        <w:rPr>
          <w:rFonts w:ascii="IRNazanin" w:hAnsi="IRNazanin" w:eastAsia="IRNazanin"/>
          <w:color w:val="111111"/>
          <w:sz w:val="28"/>
          <w:sz w:val="28"/>
          <w:szCs w:val="28"/>
          <w:rtl w:val="true"/>
          <w:lang w:bidi="fa-IR"/>
        </w:rPr>
        <w:t xml:space="preserve">وحدّه ابن الجنید بما ینتفی معه الضرر </w:t>
      </w:r>
      <w:r>
        <w:rPr>
          <w:rStyle w:val="FootnoteAnchor"/>
          <w:rtl w:val="true"/>
        </w:rPr>
        <w:footnoteReference w:id="180"/>
      </w:r>
      <w:r>
        <w:rPr>
          <w:rFonts w:ascii="IRNazanin" w:hAnsi="IRNazanin" w:eastAsia="IRNazanin"/>
          <w:color w:val="111111"/>
          <w:sz w:val="28"/>
          <w:sz w:val="28"/>
          <w:szCs w:val="28"/>
          <w:rtl w:val="true"/>
          <w:lang w:bidi="fa-IR"/>
        </w:rPr>
        <w:t>ومال إلیه العلّامة فی</w:t>
      </w:r>
    </w:p>
    <w:p>
      <w:pPr>
        <w:pStyle w:val="BookText"/>
        <w:rPr/>
      </w:pPr>
      <w:r>
        <w:rPr>
          <w:rFonts w:ascii="IRNazanin" w:hAnsi="IRNazanin" w:eastAsia="IRNazanin"/>
          <w:color w:val="111111"/>
          <w:sz w:val="28"/>
          <w:sz w:val="28"/>
          <w:szCs w:val="28"/>
          <w:rtl w:val="true"/>
          <w:lang w:bidi="fa-IR"/>
        </w:rPr>
        <w:t xml:space="preserve">المختلف </w:t>
      </w:r>
      <w:r>
        <w:rPr>
          <w:rStyle w:val="FootnoteAnchor"/>
          <w:rtl w:val="true"/>
        </w:rPr>
        <w:footnoteReference w:id="181"/>
      </w:r>
      <w:r>
        <w:rPr>
          <w:rFonts w:ascii="IRNazanin" w:hAnsi="IRNazanin" w:eastAsia="IRNazanin"/>
          <w:color w:val="111111"/>
          <w:sz w:val="28"/>
          <w:sz w:val="28"/>
          <w:szCs w:val="28"/>
          <w:rtl w:val="true"/>
          <w:lang w:bidi="fa-IR"/>
        </w:rPr>
        <w:t>استضعافاً للمنصوص، واقتصاراً علی موضع الضرر، وتمسّکاً بعموم نصوص جواز الإحیاء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فرق بین العین المملوکة والمشترکة بین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والمرجع فی الرخاوة والصلابة إلی العرف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وحریم بئر الناضح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البعیر الذی یستقی علیه للزرع وغیره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ستّون ذراعاً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جمیع الجوانب، فلا یجوز إحیاؤه بحفر بئر اُخری ولا غیره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حریم بئر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 المعاطن وهی مَبارک الإبل عند الماء لتشرب، قاله الجوهری </w:t>
      </w:r>
      <w:r>
        <w:rPr>
          <w:rStyle w:val="FootnoteAnchor"/>
          <w:rtl w:val="true"/>
        </w:rPr>
        <w:footnoteReference w:id="182"/>
      </w:r>
      <w:r>
        <w:rPr>
          <w:rFonts w:ascii="IRNazanin" w:hAnsi="IRNazanin" w:eastAsia="IRNazanin"/>
          <w:color w:val="111111"/>
          <w:sz w:val="28"/>
          <w:sz w:val="28"/>
          <w:szCs w:val="28"/>
          <w:rtl w:val="true"/>
          <w:lang w:bidi="fa-IR"/>
        </w:rPr>
        <w:t xml:space="preserve">والمراد البئر التی یُستقی منها لشرب الإبل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أربعون ذراعاً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کلّ جانب کما مرّ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وحریم الحائط مطرح آلاته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حجر وتراب وغیرهما علی تقدیر انهدامه؛ لمسیس الحاجة إلیه عنده</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الدار مطرح ترابها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ورمادها وکناستها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وثلوجها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ومسیل مائها حیث یحتاج إلیهما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ومسلک الدخول والخروج فی صوب 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یصل إلی </w:t>
      </w:r>
      <w:r>
        <w:rPr>
          <w:rStyle w:val="FootnoteAnchor"/>
          <w:rtl w:val="true"/>
        </w:rPr>
        <w:footnoteReference w:id="183"/>
      </w:r>
      <w:r>
        <w:rPr>
          <w:rFonts w:ascii="IRNazanin" w:hAnsi="IRNazanin" w:eastAsia="IRNazanin"/>
          <w:color w:val="111111"/>
          <w:sz w:val="28"/>
          <w:sz w:val="28"/>
          <w:szCs w:val="28"/>
          <w:rtl w:val="true"/>
          <w:lang w:bidi="fa-IR"/>
        </w:rPr>
        <w:t xml:space="preserve">الطریق أو المباح ولو بازورار </w:t>
      </w:r>
      <w:r>
        <w:rPr>
          <w:rStyle w:val="FootnoteAnchor"/>
          <w:rtl w:val="true"/>
        </w:rPr>
        <w:footnoteReference w:id="184"/>
      </w:r>
      <w:r>
        <w:rPr>
          <w:rFonts w:ascii="IRNazanin" w:hAnsi="IRNazanin" w:eastAsia="IRNazanin"/>
          <w:color w:val="111111"/>
          <w:sz w:val="28"/>
          <w:sz w:val="28"/>
          <w:szCs w:val="28"/>
          <w:rtl w:val="true"/>
          <w:lang w:bidi="fa-IR"/>
        </w:rPr>
        <w:t>لا یوجب ضرراً کثیراً أو بُعداً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ویضمّ إلی ذلک حریم حائطها کما سلف </w:t>
      </w:r>
      <w:r>
        <w:rPr>
          <w:rStyle w:val="FootnoteAnchor"/>
          <w:rtl w:val="true"/>
        </w:rPr>
        <w:footnoteReference w:id="185"/>
      </w:r>
      <w:r>
        <w:rPr>
          <w:rFonts w:ascii="IRNazanin" w:hAnsi="IRNazanin" w:eastAsia="IRNazanin"/>
          <w:color w:val="111111"/>
          <w:sz w:val="28"/>
          <w:sz w:val="28"/>
          <w:szCs w:val="28"/>
          <w:rtl w:val="true"/>
          <w:lang w:bidi="fa-IR"/>
        </w:rPr>
        <w:t>وله منع من یحفر بقرب حائطه بئراً أو نهراً، أو یغرس شجرة تضرّ بحائطه أو داره، وکذا لو غرس فی ملکه</w:t>
      </w:r>
      <w:bookmarkStart w:id="68" w:name="pg19815_253049"/>
    </w:p>
    <w:p>
      <w:pPr>
        <w:pStyle w:val="BookText"/>
        <w:rPr/>
      </w:pPr>
      <w:bookmarkEnd w:id="68"/>
      <w:r>
        <w:rPr>
          <w:rFonts w:ascii="IRNazanin" w:hAnsi="IRNazanin" w:eastAsia="IRNazanin"/>
          <w:color w:val="111111"/>
          <w:sz w:val="28"/>
          <w:sz w:val="28"/>
          <w:szCs w:val="28"/>
          <w:rtl w:val="true"/>
          <w:lang w:bidi="fa-IR"/>
        </w:rPr>
        <w:t>أو أرضٍ أحیاها ما تبرز أغصانه أو عروقه إلی المباح ولو بعد حین، لم یکن لغیره إحیاؤه، وللغارس منعه ابتداءً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إذا أحیا هذه الأشیاء فی الموات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الأملاک المتلاصقة فلا حریم لأحدها علی جاره؛ لتعارضها، فإنّ کلّ واحد منها حریم بالنسبة إلی جاره ولا أولویّة؛ ولأنّ من الممکن شروعهم فی الإحیاء دفعة، فلم یکن لواحد علی آخر حریم</w:t>
      </w:r>
      <w:r>
        <w:rPr>
          <w:rFonts w:eastAsia="IRNazanin" w:cs="IRNazanin"/>
          <w:color w:val="111111"/>
          <w:sz w:val="28"/>
          <w:szCs w:val="28"/>
          <w:rtl w:val="true"/>
          <w:lang w:bidi="fa-IR"/>
        </w:rPr>
        <w:t>.</w:t>
      </w:r>
    </w:p>
    <w:p>
      <w:pPr>
        <w:pStyle w:val="Heading3"/>
        <w:numPr>
          <w:ilvl w:val="2"/>
          <w:numId w:val="1"/>
        </w:numPr>
        <w:rPr/>
      </w:pPr>
      <w:bookmarkStart w:id="69" w:name="__RefHeading___Toc2227727_2314609296"/>
      <w:bookmarkStart w:id="70" w:name="_Toc26"/>
      <w:bookmarkEnd w:id="69"/>
      <w:r>
        <w:rPr>
          <w:rtl w:val="true"/>
        </w:rPr>
        <w:t>[</w:t>
      </w:r>
      <w:r>
        <w:rPr>
          <w:rtl w:val="true"/>
        </w:rPr>
        <w:t>مرجع الاحیاء</w:t>
      </w:r>
      <w:r>
        <w:rPr>
          <w:rtl w:val="true"/>
        </w:rPr>
        <w:t>]</w:t>
      </w:r>
      <w:bookmarkEnd w:id="70"/>
    </w:p>
    <w:p>
      <w:pPr>
        <w:pStyle w:val="Heading4"/>
        <w:numPr>
          <w:ilvl w:val="3"/>
          <w:numId w:val="1"/>
        </w:numPr>
        <w:rPr/>
      </w:pPr>
      <w:bookmarkStart w:id="71" w:name="__RefHeading___Toc2227729_2314609296"/>
      <w:bookmarkStart w:id="72" w:name="_Toc27"/>
      <w:bookmarkEnd w:id="71"/>
      <w:r>
        <w:rPr>
          <w:rtl w:val="true"/>
        </w:rPr>
        <w:t>اشارة</w:t>
      </w:r>
      <w:bookmarkEnd w:id="7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والمرجع فی الإحیاء إلی العرف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لعدم ورود شیء معیّن فیه من الشارع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کعضد </w:t>
      </w:r>
      <w:r>
        <w:rPr>
          <w:rStyle w:val="FootnoteAnchor"/>
          <w:rtl w:val="true"/>
        </w:rPr>
        <w:footnoteReference w:id="186"/>
      </w:r>
      <w:r>
        <w:rPr>
          <w:rFonts w:ascii="IRNazanin" w:hAnsi="IRNazanin" w:eastAsia="IRNazanin"/>
          <w:color w:val="111111"/>
          <w:sz w:val="28"/>
          <w:sz w:val="28"/>
          <w:szCs w:val="28"/>
          <w:rtl w:val="true"/>
          <w:lang w:bidi="fa-IR"/>
        </w:rPr>
        <w:t>الشجر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وقطع المیاه الغالبة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والتحجیر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بحائط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طین أو حجر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مِرز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بکسر المیم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جمع التراب حولَ ما یرید إحیاءه من الأرض لیتمیّز عن 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مُسنّاة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بضمّ المیم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نحو المرز، وربما کان أزید منه تراباً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ومثله نصب القصب والحجر والشوک ونحوها حولَها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Style w:val="FootnoteAnchor"/>
          <w:rtl w:val="true"/>
        </w:rPr>
        <w:footnoteReference w:id="187"/>
      </w:r>
      <w:r>
        <w:rPr>
          <w:rFonts w:ascii="IRNazanin" w:hAnsi="IRNazanin" w:eastAsia="IRNazanin"/>
          <w:color w:val="111111"/>
          <w:sz w:val="28"/>
          <w:sz w:val="28"/>
          <w:szCs w:val="28"/>
          <w:rtl w:val="true"/>
          <w:lang w:bidi="fa-IR"/>
        </w:rPr>
        <w:t>سوق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إلیها حیث یحتاج إلی السقی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اعتیاد الغیث</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کلّ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لمن أراد الزرع والغرس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بإحیاء الأرض</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وظاهر هذه العبارة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الأرض التی یُراد إحیاؤها للزراعة لو کانت مشتملة علی شجر والماء مستولٍ علیها، لا یتحقّق إحیاؤها إلّابعضد شجرها وقطع الماء عنها ونصب حائط وشبهه حولَها، وسوق ما یحتاج إلیه من الماء إلیها إن کانت ممّا تحتاج إلی السقی به، فلو أخلّ بأحد هذه لا یکون إحیاءً، بل تحجیراً، وإنّما جمع بین قطع الماء وسوقه إلیها؛ لجواز أن یکون الماء الذی یحتاج إلی قطعه غیر مناسب للسقی، بأن یکون وصوله إلیها علی وجه الرشح المضرّ</w:t>
      </w:r>
    </w:p>
    <w:p>
      <w:pPr>
        <w:pStyle w:val="BookText"/>
        <w:rPr/>
      </w:pPr>
      <w:r>
        <w:rPr>
          <w:rFonts w:ascii="IRNazanin" w:hAnsi="IRNazanin" w:eastAsia="IRNazanin"/>
          <w:color w:val="111111"/>
          <w:sz w:val="28"/>
          <w:sz w:val="28"/>
          <w:szCs w:val="28"/>
          <w:rtl w:val="true"/>
          <w:lang w:bidi="fa-IR"/>
        </w:rPr>
        <w:t>بالأرض من غیر أن ینفع فی السقی ونحو ذلک، وإلّا فلو کان کثیراً یمکن السقی به کفی قطع القدر المضرّ منه وإبقاء الباقی للسقی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جُعِل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هذه الأشیاء 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کلّ واحد منها کافیاً فی تحقّق الإحیاء، لکن لا یصحّ فی بعضها، فإنّ من جملتها سوق الماء أو اعتیاد الغیث، ومقتضاه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المعتادة لسقی الغیث لا یتوقّف إحیاؤها علی شیءٍ من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وعلی الأوّل </w:t>
      </w:r>
      <w:r>
        <w:rPr>
          <w:rStyle w:val="FootnoteAnchor"/>
          <w:rtl w:val="true"/>
        </w:rPr>
        <w:footnoteReference w:id="188"/>
      </w:r>
      <w:r>
        <w:rPr>
          <w:rFonts w:ascii="IRNazanin" w:hAnsi="IRNazanin" w:eastAsia="IRNazanin"/>
          <w:color w:val="111111"/>
          <w:sz w:val="28"/>
          <w:sz w:val="28"/>
          <w:szCs w:val="28"/>
          <w:rtl w:val="true"/>
          <w:lang w:bidi="fa-IR"/>
        </w:rPr>
        <w:t xml:space="preserve">لو فرض عدم الشجر أو عدم المیاه الغالبة لم یکن مقدار ما یُعتبر فی الإحیاء مذکوراً ویکفی کلّ واحد ممّا یبقی علی الثانی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الدروس اقتصر علی حصوله بعضد الأشجار والتهیئة للانتفاع وسَوق الماء أو اعتیاد الغیث ولم یشترط الحائط والمسنّاة، بل اشترط أن یبین الحدّ بمرز وشبهه،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ویحصل الإحیاء أیضاً بقطع المیاه الغالبة </w:t>
      </w:r>
      <w:r>
        <w:rPr>
          <w:rStyle w:val="FootnoteAnchor"/>
          <w:rtl w:val="true"/>
        </w:rPr>
        <w:footnoteReference w:id="190"/>
      </w:r>
      <w:r>
        <w:rPr>
          <w:rFonts w:ascii="IRNazanin" w:hAnsi="IRNazanin" w:eastAsia="IRNazanin"/>
          <w:color w:val="111111"/>
          <w:sz w:val="28"/>
          <w:sz w:val="28"/>
          <w:szCs w:val="28"/>
          <w:rtl w:val="true"/>
          <w:lang w:bidi="fa-IR"/>
        </w:rPr>
        <w:t>وظاهره الاکتفاء به عن الباقی أجمع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وباقی عبارات الأصحاب </w:t>
      </w:r>
      <w:r>
        <w:rPr>
          <w:rStyle w:val="FootnoteAnchor"/>
          <w:rtl w:val="true"/>
        </w:rPr>
        <w:footnoteReference w:id="191"/>
      </w:r>
      <w:r>
        <w:rPr>
          <w:rFonts w:ascii="IRNazanin" w:hAnsi="IRNazanin" w:eastAsia="IRNazanin"/>
          <w:color w:val="111111"/>
          <w:sz w:val="28"/>
          <w:sz w:val="28"/>
          <w:szCs w:val="28"/>
          <w:rtl w:val="true"/>
          <w:lang w:bidi="fa-IR"/>
        </w:rPr>
        <w:t>مختلفة فی ذلک کثیراً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والأقوی الاکتفاء بکلّ واحد من الاُمور الثلاثة السابقة مع سوق الماء حیث یفتقر إلیه، وإلّا اکتفی بأحدها خاصّة</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إذا لم یکن المانعان الأوّلان أو أحدهما موجوداً، وإلّا لم یکتفِ بالباقی، فلو کان الشجر مستولیاً علیها والماء کذلک لم یکف الحائط، وکذا أحدهما؛ وکذا لو کان الشجر لم یکفِ دفع الماء وبالعکس؛ لدلالة العرف علی ذلک کلّه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الحرث والزرع فغیر شرط فیه قطعاً؛ لأنّه انتفاع بالمحییٰ کالسُکنی لمحیی الدار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لو کانت الأرض مهیّأة للزراعة والغرس لا یتوقّف إلّاعلی الماء کفی سوق الماء إلیها مع غرسها أو زرعها؛ لأنّ ذلک یکون بمنزلة تمیّزها </w:t>
      </w:r>
      <w:r>
        <w:rPr>
          <w:rStyle w:val="FootnoteAnchor"/>
          <w:rtl w:val="true"/>
        </w:rPr>
        <w:footnoteReference w:id="192"/>
      </w:r>
      <w:r>
        <w:rPr>
          <w:rFonts w:ascii="IRNazanin" w:hAnsi="IRNazanin" w:eastAsia="IRNazanin"/>
          <w:color w:val="111111"/>
          <w:sz w:val="28"/>
          <w:sz w:val="28"/>
          <w:szCs w:val="28"/>
          <w:rtl w:val="true"/>
          <w:lang w:bidi="fa-IR"/>
        </w:rPr>
        <w:t>بالمرز وشبهه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وکالحائط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بخشب أو قصب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لمن أراد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بإحیاء الأرض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الحظیرة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المعدّة للغنم ونحوه، أو لتجفیف الثمار أو لجمع الحطب والخشب والحشیش وشبه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اکتفی فیها بالحائط؛ لأنّ ذلک هو المعتبر عرفاً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کالحائط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السقف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بخشب أو عُقَد </w:t>
      </w:r>
      <w:r>
        <w:rPr>
          <w:rStyle w:val="FootnoteAnchor"/>
          <w:rtl w:val="true"/>
        </w:rPr>
        <w:footnoteReference w:id="193"/>
      </w:r>
      <w:r>
        <w:rPr>
          <w:rFonts w:ascii="Amiri" w:hAnsi="Amiri" w:eastAsia="Amiri" w:cs="Amiri"/>
          <w:color w:val="111111"/>
          <w:sz w:val="28"/>
          <w:sz w:val="28"/>
          <w:szCs w:val="28"/>
          <w:rtl w:val="true"/>
          <w:lang w:bidi="ar-SA"/>
        </w:rPr>
        <w:t xml:space="preserve">أو طُرَح </w:t>
      </w:r>
      <w:r>
        <w:rPr>
          <w:rStyle w:val="FootnoteAnchor"/>
          <w:rtl w:val="true"/>
        </w:rPr>
        <w:footnoteReference w:id="194"/>
      </w:r>
      <w:r>
        <w:rPr>
          <w:rFonts w:ascii="IRNazanin" w:hAnsi="IRNazanin" w:eastAsia="IRNazanin"/>
          <w:color w:val="111111"/>
          <w:sz w:val="28"/>
          <w:sz w:val="28"/>
          <w:szCs w:val="28"/>
          <w:rtl w:val="true"/>
          <w:lang w:bidi="fa-IR"/>
        </w:rPr>
        <w:t xml:space="preserve">بحسب المعتاد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أراد البیت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واکتفی فی التذکرة فی تملّک قاصد السکنی بالحائط </w:t>
      </w:r>
      <w:r>
        <w:rPr>
          <w:rStyle w:val="FootnoteAnchor"/>
          <w:rtl w:val="true"/>
        </w:rPr>
        <w:footnoteReference w:id="195"/>
      </w:r>
      <w:r>
        <w:rPr>
          <w:rFonts w:ascii="IRNazanin" w:hAnsi="IRNazanin" w:eastAsia="IRNazanin"/>
          <w:color w:val="111111"/>
          <w:sz w:val="28"/>
          <w:sz w:val="28"/>
          <w:szCs w:val="28"/>
          <w:rtl w:val="true"/>
          <w:lang w:bidi="fa-IR"/>
        </w:rPr>
        <w:t>المعتبر فی الحظیرة، وغیره من الأقسام التی یحصل بها الإحیاء لنوع، مع قصد غیره الذی لا یحصل به</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تعلیق الباب للحظیرة والمسکن فلیس بمعتبر عندنا؛ لأنّه للحفظ لا لتوقّف السکنی علیه</w:t>
      </w:r>
      <w:r>
        <w:rPr>
          <w:rFonts w:eastAsia="IRNazanin" w:cs="IRNazanin"/>
          <w:color w:val="111111"/>
          <w:sz w:val="28"/>
          <w:szCs w:val="28"/>
          <w:rtl w:val="true"/>
          <w:lang w:bidi="fa-IR"/>
        </w:rPr>
        <w:t>.</w:t>
      </w:r>
      <w:bookmarkStart w:id="73" w:name="pg19815_253052"/>
    </w:p>
    <w:p>
      <w:pPr>
        <w:pStyle w:val="Heading4"/>
        <w:numPr>
          <w:ilvl w:val="3"/>
          <w:numId w:val="1"/>
        </w:numPr>
        <w:rPr/>
      </w:pPr>
      <w:bookmarkStart w:id="74" w:name="__RefHeading___Toc2227731_2314609296"/>
      <w:bookmarkStart w:id="75" w:name="_Toc28"/>
      <w:bookmarkEnd w:id="73"/>
      <w:bookmarkEnd w:id="74"/>
      <w:r>
        <w:rPr>
          <w:rtl w:val="true"/>
        </w:rPr>
        <w:t>«</w:t>
      </w:r>
      <w:r>
        <w:rPr>
          <w:rtl w:val="true"/>
        </w:rPr>
        <w:t>القول فی المشترکات</w:t>
      </w:r>
      <w:r>
        <w:rPr>
          <w:rtl w:val="true"/>
        </w:rPr>
        <w:t>»</w:t>
      </w:r>
      <w:bookmarkEnd w:id="75"/>
    </w:p>
    <w:p>
      <w:pPr>
        <w:pStyle w:val="Heading5"/>
        <w:numPr>
          <w:ilvl w:val="4"/>
          <w:numId w:val="1"/>
        </w:numPr>
        <w:rPr/>
      </w:pPr>
      <w:bookmarkStart w:id="76" w:name="__RefHeading___Toc2227733_2314609296"/>
      <w:bookmarkStart w:id="77" w:name="_Toc29"/>
      <w:bookmarkEnd w:id="76"/>
      <w:r>
        <w:rPr>
          <w:rtl w:val="true"/>
        </w:rPr>
        <w:t>اشارة</w:t>
      </w:r>
      <w:bookmarkEnd w:id="77"/>
    </w:p>
    <w:p>
      <w:pPr>
        <w:pStyle w:val="BookText"/>
        <w:rPr/>
      </w:pPr>
      <w:r>
        <w:rPr>
          <w:rFonts w:ascii="IRNazanin" w:hAnsi="IRNazanin" w:eastAsia="IRNazanin"/>
          <w:color w:val="111111"/>
          <w:sz w:val="28"/>
          <w:sz w:val="28"/>
          <w:szCs w:val="28"/>
          <w:rtl w:val="true"/>
          <w:lang w:bidi="fa-IR"/>
        </w:rPr>
        <w:t>بین الناس فی الجملة وإن کان بعضها مختصّاً بفریق 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وهی أنواع ترجع اُصولها إلی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الماء، والمعدن، والمنافع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والمنافع ستّة منافع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المساجد، والمشاهد، والمدارس، والرُبُط، والطُرُق، ومقاعد الأسواق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أشار إلیها المصنّف فی خمسة أقسام</w:t>
      </w:r>
      <w:r>
        <w:rPr>
          <w:rFonts w:eastAsia="IRNazanin" w:cs="IRNazanin"/>
          <w:color w:val="111111"/>
          <w:sz w:val="28"/>
          <w:szCs w:val="28"/>
          <w:rtl w:val="true"/>
          <w:lang w:bidi="fa-IR"/>
        </w:rPr>
        <w:t>.</w:t>
      </w:r>
    </w:p>
    <w:p>
      <w:pPr>
        <w:pStyle w:val="Heading5"/>
        <w:numPr>
          <w:ilvl w:val="4"/>
          <w:numId w:val="1"/>
        </w:numPr>
        <w:rPr/>
      </w:pPr>
      <w:bookmarkStart w:id="78" w:name="__RefHeading___Toc2227735_2314609296"/>
      <w:bookmarkStart w:id="79" w:name="_Toc30"/>
      <w:bookmarkEnd w:id="78"/>
      <w:r>
        <w:rPr>
          <w:rtl w:val="true"/>
        </w:rPr>
        <w:t>[«</w:t>
      </w:r>
      <w:r>
        <w:rPr>
          <w:rtl w:val="true"/>
        </w:rPr>
        <w:t>فمنها</w:t>
      </w:r>
      <w:r>
        <w:rPr>
          <w:rtl w:val="true"/>
        </w:rPr>
        <w:t xml:space="preserve">: </w:t>
      </w:r>
      <w:r>
        <w:rPr>
          <w:rtl w:val="true"/>
        </w:rPr>
        <w:t>المسجد</w:t>
      </w:r>
      <w:r>
        <w:rPr>
          <w:rtl w:val="true"/>
        </w:rPr>
        <w:t>»]</w:t>
      </w:r>
      <w:bookmarkEnd w:id="79"/>
    </w:p>
    <w:p>
      <w:pPr>
        <w:pStyle w:val="BookText"/>
        <w:rPr/>
      </w:pPr>
      <w:r>
        <w:rPr>
          <w:rFonts w:ascii="IRNazanin" w:hAnsi="IRNazanin" w:eastAsia="IRNazanin"/>
          <w:color w:val="111111"/>
          <w:sz w:val="28"/>
          <w:sz w:val="28"/>
          <w:szCs w:val="28"/>
          <w:rtl w:val="true"/>
          <w:lang w:bidi="fa-IR"/>
        </w:rPr>
        <w:t>وفی معناه المشهد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سبق إلی 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أولی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دام باقیاً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فارق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لحاجة کتجدید طهارة وإزالة نجاسة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بطل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کان ناویاً للعود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إلّاأن یکون رحله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شیء من أمتعته ولو سُبحته وما یشدّ به وسطه وخفّه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الموضع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ینوی العود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فارق لا بنیّته سقط حقّه وإن کان رحله باقیاً</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الشرط لم یذکره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حسن؛ لأنّ الجلوس یفید أولویّة، فإذا فارق بنیّة رفع الأولویّة سقط حقّه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والرحل لا مدخل له فی الاستحقاق بمجرّده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احتماله؛ لإطلاق النصّ </w:t>
      </w:r>
      <w:r>
        <w:rPr>
          <w:rStyle w:val="FootnoteAnchor"/>
          <w:rtl w:val="true"/>
        </w:rPr>
        <w:footnoteReference w:id="196"/>
      </w:r>
      <w:r>
        <w:rPr>
          <w:rFonts w:ascii="IRNazanin" w:hAnsi="IRNazanin" w:eastAsia="IRNazanin"/>
          <w:color w:val="111111"/>
          <w:sz w:val="28"/>
          <w:sz w:val="28"/>
          <w:szCs w:val="28"/>
          <w:rtl w:val="true"/>
          <w:lang w:bidi="fa-IR"/>
        </w:rPr>
        <w:t xml:space="preserve">والفتوی </w:t>
      </w:r>
      <w:r>
        <w:rPr>
          <w:rStyle w:val="FootnoteAnchor"/>
          <w:rtl w:val="true"/>
        </w:rPr>
        <w:footnoteReference w:id="197"/>
      </w:r>
      <w:r>
        <w:rPr>
          <w:rFonts w:ascii="IRNazanin" w:hAnsi="IRNazanin" w:eastAsia="IRNazanin"/>
          <w:color w:val="111111"/>
          <w:sz w:val="28"/>
          <w:sz w:val="28"/>
          <w:szCs w:val="28"/>
          <w:rtl w:val="true"/>
          <w:lang w:bidi="fa-IR"/>
        </w:rPr>
        <w:t xml:space="preserve">وإنّما تظهر الفائدة علی الأوّل </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لو کان رحله لا یشغل من المسجد مقدارَ حاجته فی الجلوس والصلاة؛ لأنّ ذلک هو المستثنی علی تقدیر الأولویّة، فلو کان کبیراً یسع ذلک، فالحقّ باقٍ من حیث عدم جواز رفعه بغیر إذن مالکه، وکونه فی موضع مشترک کالمباح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احتمال سقوط حقّه مطلقاً علی ذلک التقدیر، فیصحّ رفعه لأجل غیره، حذراً من تعطیل بعض المسجد ممّن لا حقّ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علی تقدیر الجواز هل یضمن الرحلَ رافعُه؟ یحتمله؛ لصدق التصرّف وعدم المنافاة بین جواز رفعه والضمان، جمعاً بین الحقّین، ولعموم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الید ما أخذت حتّی تؤدّی</w:t>
      </w:r>
      <w:r>
        <w:rPr>
          <w:rFonts w:eastAsia="IRNazanin" w:cs="IRNazanin"/>
          <w:color w:val="111111"/>
          <w:sz w:val="28"/>
          <w:szCs w:val="28"/>
          <w:rtl w:val="true"/>
          <w:lang w:bidi="fa-IR"/>
        </w:rPr>
        <w:t xml:space="preserve">» </w:t>
      </w:r>
      <w:r>
        <w:rPr>
          <w:rStyle w:val="FootnoteAnchor"/>
          <w:rtl w:val="true"/>
        </w:rPr>
        <w:footnoteReference w:id="199"/>
      </w:r>
      <w:r>
        <w:rPr>
          <w:rFonts w:ascii="IRNazanin" w:hAnsi="IRNazanin" w:eastAsia="IRNazanin"/>
          <w:color w:val="111111"/>
          <w:sz w:val="28"/>
          <w:sz w:val="28"/>
          <w:szCs w:val="28"/>
          <w:rtl w:val="true"/>
          <w:lang w:bidi="fa-IR"/>
        </w:rPr>
        <w:t>وعدمه؛ لأنّه لا حقّ له، فیکون تفریغه منه بمنزلة رفعه من ملکه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أجد فی هذه الوجوه کلاماً یعتدّ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تقدیر بقاء الحقّ لبقائه أو بقاء رحله فأزعجه مزعج، فلا شبهة فی إثمه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یصیر أولی منه بعد ذلک؟ یحتمله؛ لسقوط حقّ الأوّل بالمفارقة، وعدمه؛ للنهی، فلا یترتّب علیه 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والوجهان آتیان فی رفع کلّ أولویّة، وقد ذکر جماعة من الأصحاب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حقّ أولویّة التحجیر لا یسقط بتغلّب غیره </w:t>
      </w:r>
      <w:r>
        <w:rPr>
          <w:rStyle w:val="FootnoteAnchor"/>
          <w:rtl w:val="true"/>
        </w:rPr>
        <w:footnoteReference w:id="200"/>
      </w:r>
      <w:r>
        <w:rPr>
          <w:rFonts w:ascii="IRNazanin" w:hAnsi="IRNazanin" w:eastAsia="IRNazanin"/>
          <w:color w:val="111111"/>
          <w:sz w:val="28"/>
          <w:sz w:val="28"/>
          <w:szCs w:val="28"/>
          <w:rtl w:val="true"/>
          <w:lang w:bidi="fa-IR"/>
        </w:rPr>
        <w:t>ویتفرّع علی ذلک صحّة صلاة الثانی وعدمها</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واشترط المصنّف فی الذکری فی بقاء حقّه مع بقاء الرحل أن لا یطول المکث </w:t>
      </w:r>
      <w:r>
        <w:rPr>
          <w:rStyle w:val="FootnoteAnchor"/>
          <w:rtl w:val="true"/>
        </w:rPr>
        <w:footnoteReference w:id="201"/>
      </w:r>
      <w:r>
        <w:rPr>
          <w:rFonts w:ascii="IRNazanin" w:hAnsi="IRNazanin" w:eastAsia="IRNazanin"/>
          <w:color w:val="111111"/>
          <w:sz w:val="28"/>
          <w:sz w:val="28"/>
          <w:szCs w:val="28"/>
          <w:rtl w:val="true"/>
          <w:lang w:bidi="fa-IR"/>
        </w:rPr>
        <w:t>وفی التذکرة استقرب بقاء الحقّ مع المفارقة لعذر، کإجابة داعٍ</w:t>
      </w:r>
      <w:bookmarkStart w:id="80" w:name="pg19815_253054"/>
    </w:p>
    <w:p>
      <w:pPr>
        <w:pStyle w:val="BookText"/>
        <w:rPr/>
      </w:pPr>
      <w:bookmarkEnd w:id="80"/>
      <w:r>
        <w:rPr>
          <w:rFonts w:ascii="IRNazanin" w:hAnsi="IRNazanin" w:eastAsia="IRNazanin"/>
          <w:color w:val="111111"/>
          <w:sz w:val="28"/>
          <w:sz w:val="28"/>
          <w:szCs w:val="28"/>
          <w:rtl w:val="true"/>
          <w:lang w:bidi="fa-IR"/>
        </w:rPr>
        <w:t xml:space="preserve">وتجدید وضوء وقضاء حاجة وإن لم یکن له رحل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استبق اثنان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دفعةً إلی مکان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 یمکن الجمع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لانحصار الأولویّة فیهما وعدم إمکان الجمع فهو لأحدهما؛ إذ منعهما معاً باطل، والقرعة لکلّ أمر مشکل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احتمال العدم؛ لأنّ القرعة لتبیین المجهول عندنا المعیّن فی نفس الأمر، ولیس کذلک هنا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تقدّم </w:t>
      </w:r>
      <w:r>
        <w:rPr>
          <w:rStyle w:val="FootnoteAnchor"/>
          <w:rtl w:val="true"/>
        </w:rPr>
        <w:footnoteReference w:id="203"/>
      </w:r>
      <w:r>
        <w:rPr>
          <w:rFonts w:ascii="IRNazanin" w:hAnsi="IRNazanin" w:eastAsia="IRNazanin"/>
          <w:color w:val="111111"/>
          <w:sz w:val="28"/>
          <w:sz w:val="28"/>
          <w:szCs w:val="28"/>
          <w:rtl w:val="true"/>
          <w:lang w:bidi="fa-IR"/>
        </w:rPr>
        <w:t>أنّ الحکم بالقرعة غیر منحصر فی ما ذکر، وعموم الخبر یدفعه، والرجوع إلیها هنا هو الوجه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فرق فی ذلک کلّه بین المعتاد لبقعة معیّنة وغیره وإن کان اعتیاده لدرس وإمامة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بین المفارق فی أثناء الصلاة وغیره؛ للعموم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واستقرب المصنّف فی الدروس بقاء أولویّة المفارق فی أثنائها اضطراراً، إلّا أن یجد مکاناً مساویاً للأوّل أو أولی منه، محتجّاً بأ نّها صلاة واحدة فلا یمنع من إتمامها </w:t>
      </w:r>
      <w:r>
        <w:rPr>
          <w:rStyle w:val="FootnoteAnchor"/>
          <w:rtl w:val="true"/>
        </w:rPr>
        <w:footnoteReference w:id="2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یخفی ما فیه</w:t>
      </w:r>
      <w:r>
        <w:rPr>
          <w:rFonts w:eastAsia="IRNazanin" w:cs="IRNazanin"/>
          <w:color w:val="111111"/>
          <w:sz w:val="28"/>
          <w:szCs w:val="28"/>
          <w:rtl w:val="true"/>
          <w:lang w:bidi="fa-IR"/>
        </w:rPr>
        <w:t>.</w:t>
      </w:r>
    </w:p>
    <w:p>
      <w:pPr>
        <w:pStyle w:val="Heading5"/>
        <w:numPr>
          <w:ilvl w:val="4"/>
          <w:numId w:val="1"/>
        </w:numPr>
        <w:rPr/>
      </w:pPr>
      <w:bookmarkStart w:id="81" w:name="__RefHeading___Toc2227737_2314609296"/>
      <w:bookmarkStart w:id="82" w:name="_Toc31"/>
      <w:bookmarkEnd w:id="81"/>
      <w:r>
        <w:rPr>
          <w:rtl w:val="true"/>
        </w:rPr>
        <w:t>[«</w:t>
      </w:r>
      <w:r>
        <w:rPr>
          <w:rtl w:val="true"/>
        </w:rPr>
        <w:t>ومنها</w:t>
      </w:r>
      <w:r>
        <w:rPr>
          <w:rtl w:val="true"/>
        </w:rPr>
        <w:t xml:space="preserve">: </w:t>
      </w:r>
      <w:r>
        <w:rPr>
          <w:rtl w:val="true"/>
        </w:rPr>
        <w:t>المدرسة والرباط</w:t>
      </w:r>
      <w:r>
        <w:rPr>
          <w:rtl w:val="true"/>
        </w:rPr>
        <w:t>»]</w:t>
      </w:r>
      <w:bookmarkEnd w:id="82"/>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سکن 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منهما أو أقام بمکان مخصوص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ممّن له السکنی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یکون متّصفاً بالوصف المعتبر فی الاستحقاق، إمّا فی أصله بأن یکون مشتغلاً بالعلم فی المدرسة، أو بحسب الشرط بأن تکون موقوفة علی قبیلة مخصوصة</w:t>
      </w:r>
    </w:p>
    <w:p>
      <w:pPr>
        <w:pStyle w:val="BookText"/>
        <w:rPr/>
      </w:pPr>
      <w:r>
        <w:rPr>
          <w:rFonts w:ascii="IRNazanin" w:hAnsi="IRNazanin" w:eastAsia="IRNazanin"/>
          <w:color w:val="111111"/>
          <w:sz w:val="28"/>
          <w:sz w:val="28"/>
          <w:szCs w:val="28"/>
          <w:rtl w:val="true"/>
          <w:lang w:bidi="fa-IR"/>
        </w:rPr>
        <w:t xml:space="preserve">أو نوع من العلم أو المذاهب، ویتّصف الساکن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أحقّ به وإن تطاولت المدّة، إلّامع مخالفة شرط الواقف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یشترط الواقف أمداً فینتهی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واحتمل المصنّف فی الدروس فی المدرسة ونحوها الإزعاج </w:t>
      </w:r>
      <w:r>
        <w:rPr>
          <w:rStyle w:val="FootnoteAnchor"/>
          <w:rtl w:val="true"/>
        </w:rPr>
        <w:footnoteReference w:id="205"/>
      </w:r>
      <w:r>
        <w:rPr>
          <w:rFonts w:ascii="IRNazanin" w:hAnsi="IRNazanin" w:eastAsia="IRNazanin"/>
          <w:color w:val="111111"/>
          <w:sz w:val="28"/>
          <w:sz w:val="28"/>
          <w:szCs w:val="28"/>
          <w:rtl w:val="true"/>
          <w:lang w:bidi="fa-IR"/>
        </w:rPr>
        <w:t xml:space="preserve">إذا تمّ غرضه من ذلک، وقوّی الاحتمال إذا ترک التشاغل بالعلم وإن لم یشترطه الواقف؛ لأنّ موضوع المدرسة ذلک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وله أن یمنع من یشارکه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فیها من الضرر إذا کان المسکن الذی أقام به معدّاً لواحد، فلو اُعدّ لما فوقه لم یکن له منع الزائد عنه إلی أن یزید عن النصاب المشروط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فارق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ساکن المدرسة والرباط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لغیر عذر بطل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بقی رحله أم لا، وسواء طالت مدّة المفارقة أم قصرت؛ لصدقها وخلوّ المکان الموجب لاستحقاق غیره إشغاله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ومفهومه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نّه لو فارق لعذر لم یسقط حقّه مطلقاً، ویشکل مع طول المدّة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وأطلق الأکثر بطلان حقّه بالمفارقة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نّه إذا فارق أیّاماً قلیلة لعذر فهو أحقّ </w:t>
      </w:r>
      <w:r>
        <w:rPr>
          <w:rStyle w:val="FootnoteAnchor"/>
          <w:rtl w:val="true"/>
        </w:rPr>
        <w:footnoteReference w:id="209"/>
      </w:r>
      <w:r>
        <w:rPr>
          <w:rFonts w:ascii="Amiri" w:hAnsi="Amiri" w:eastAsia="Amiri" w:cs="Amiri"/>
          <w:color w:val="111111"/>
          <w:sz w:val="28"/>
          <w:sz w:val="28"/>
          <w:szCs w:val="28"/>
          <w:rtl w:val="true"/>
          <w:lang w:bidi="ar-SA"/>
        </w:rPr>
        <w:t xml:space="preserve">وشرط بعضهم بقاء الرحل وعدم طول المدّة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bookmarkStart w:id="83" w:name="pg19815_253056"/>
    </w:p>
    <w:p>
      <w:pPr>
        <w:pStyle w:val="BookText"/>
        <w:rPr/>
      </w:pPr>
      <w:bookmarkEnd w:id="83"/>
      <w:r>
        <w:rPr>
          <w:rFonts w:ascii="IRNazanin" w:hAnsi="IRNazanin" w:eastAsia="IRNazanin"/>
          <w:color w:val="111111"/>
          <w:sz w:val="28"/>
          <w:sz w:val="28"/>
          <w:szCs w:val="28"/>
          <w:rtl w:val="true"/>
          <w:lang w:bidi="fa-IR"/>
        </w:rPr>
        <w:t>وفی الدروس ذکر فی المسألة أوجهاً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زوال حقّه کالمسجد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وبقاؤه مطلقاً؛ لأنّه باستیلائه جری مجری المالک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وبقاؤه إن قصرت المدّة دون ما إذا طالت، لئلّا یضرّ بالمستحقّین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وبقاؤه إن خرج لضرورة وإن طالت المدّة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وبقاؤه إن بقی رحله أو خادمه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استقرب تفویض الأمر إلی ما یراه الناظر صلاحاً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والأقوی أ نّه مع بقاء الرحل وقِصَر المدّة لا یبطل حقّه، وبدون الرحل یبطل، إلّاأن یقصر الزمان بحیث لا یخرج عن الإقامة عرفاً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ویشکل الرجوع إلی رأی الناظر مع إطلاق النظر؛ إذ لیس له إخراج المستحقّ اقتراحاً، فرأیه حینئذٍ فرع الاستحقاق وعدمه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فُوّض إلیه الأمر مطلقاً فلا إشکال</w:t>
      </w:r>
      <w:r>
        <w:rPr>
          <w:rFonts w:eastAsia="IRNazanin" w:cs="IRNazanin"/>
          <w:color w:val="111111"/>
          <w:sz w:val="28"/>
          <w:szCs w:val="28"/>
          <w:rtl w:val="true"/>
          <w:lang w:bidi="fa-IR"/>
        </w:rPr>
        <w:t>.</w:t>
      </w:r>
    </w:p>
    <w:p>
      <w:pPr>
        <w:pStyle w:val="Heading5"/>
        <w:numPr>
          <w:ilvl w:val="4"/>
          <w:numId w:val="1"/>
        </w:numPr>
        <w:rPr/>
      </w:pPr>
      <w:bookmarkStart w:id="84" w:name="__RefHeading___Toc2227739_2314609296"/>
      <w:bookmarkStart w:id="85" w:name="_Toc32"/>
      <w:bookmarkEnd w:id="84"/>
      <w:r>
        <w:rPr>
          <w:rtl w:val="true"/>
        </w:rPr>
        <w:t>[«</w:t>
      </w:r>
      <w:r>
        <w:rPr>
          <w:rtl w:val="true"/>
        </w:rPr>
        <w:t>ومنها</w:t>
      </w:r>
      <w:r>
        <w:rPr>
          <w:rtl w:val="true"/>
        </w:rPr>
        <w:t xml:space="preserve">: </w:t>
      </w:r>
      <w:r>
        <w:rPr>
          <w:rtl w:val="true"/>
        </w:rPr>
        <w:t>الطرق</w:t>
      </w:r>
      <w:r>
        <w:rPr>
          <w:rtl w:val="true"/>
        </w:rPr>
        <w:t>»]</w:t>
      </w:r>
      <w:bookmarkEnd w:id="85"/>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وفائدتها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الأصل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الاستطراق والناس فیها شَرَع </w:t>
      </w:r>
      <w:r>
        <w:rPr>
          <w:rStyle w:val="FootnoteAnchor"/>
          <w:rtl w:val="true"/>
        </w:rPr>
        <w:footnoteReference w:id="2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بالنسبة إلی المنفعة المأذون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ویمنع من الانتفاع بها فی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 وهو الاستطراق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یفوت به منفعة المارّة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مطلقاً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یجوز الجلوس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 </w:t>
      </w:r>
      <w:r>
        <w:rPr>
          <w:rStyle w:val="FootnoteAnchor"/>
          <w:rtl w:val="true"/>
        </w:rPr>
        <w:footnoteReference w:id="2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للبیع والشراء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وغیرهما من الأعمال والأکوان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إلّامع السعة حیث 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المارّة لو مرّوا فی الطریق بغیر موضعه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لهم حینئذٍ تخصیص</w:t>
      </w:r>
    </w:p>
    <w:p>
      <w:pPr>
        <w:pStyle w:val="BookText"/>
        <w:rPr/>
      </w:pPr>
      <w:r>
        <w:rPr>
          <w:rFonts w:ascii="IRNazanin" w:hAnsi="IRNazanin" w:eastAsia="IRNazanin"/>
          <w:color w:val="111111"/>
          <w:sz w:val="28"/>
          <w:sz w:val="28"/>
          <w:szCs w:val="28"/>
          <w:rtl w:val="true"/>
          <w:lang w:bidi="fa-IR"/>
        </w:rPr>
        <w:t>الممرّ بموضعه إذا کان لهم عنه مندوحة؛ لثبوت الاشتراک علی هذا الوجه وإطباق الناس علی ذلک فی جمیع الأصقاع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فرق فی ذلک بین المسلمین وغیرهم؛ لأنّ لأهل الذمّة منه ما للمسلمین فی الجملة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فارق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المکان الذی جلس فیه للبیع وغیره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بطل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مطلقاً؛ لأ نّه کان متعلّقاً بکونه فیه وقد زال وإن کان رحله باقیاً؛ لاختصاص ذلک بالمسجد، وأطلق المصنّف فی الدروس </w:t>
      </w:r>
      <w:r>
        <w:rPr>
          <w:rStyle w:val="FootnoteAnchor"/>
          <w:rtl w:val="true"/>
        </w:rPr>
        <w:footnoteReference w:id="214"/>
      </w:r>
      <w:r>
        <w:rPr>
          <w:rFonts w:ascii="Amiri" w:hAnsi="Amiri" w:eastAsia="Amiri" w:cs="Amiri"/>
          <w:color w:val="111111"/>
          <w:sz w:val="28"/>
          <w:sz w:val="28"/>
          <w:szCs w:val="28"/>
          <w:rtl w:val="true"/>
          <w:lang w:bidi="ar-SA"/>
        </w:rPr>
        <w:t xml:space="preserve">وجماعة </w:t>
      </w:r>
      <w:r>
        <w:rPr>
          <w:rStyle w:val="FootnoteAnchor"/>
          <w:rtl w:val="true"/>
        </w:rPr>
        <w:footnoteReference w:id="215"/>
      </w:r>
      <w:r>
        <w:rPr>
          <w:rFonts w:ascii="IRNazanin" w:hAnsi="IRNazanin" w:eastAsia="IRNazanin"/>
          <w:color w:val="111111"/>
          <w:sz w:val="28"/>
          <w:sz w:val="28"/>
          <w:szCs w:val="28"/>
          <w:rtl w:val="true"/>
          <w:lang w:bidi="fa-IR"/>
        </w:rPr>
        <w:t>بقاءَ حقّه مع بقاء رحله؛ لقول أمیر المؤمنین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سوق المسلمین کمسجدهم</w:t>
      </w:r>
      <w:r>
        <w:rPr>
          <w:rFonts w:eastAsia="IRNazanin" w:cs="IRNazanin"/>
          <w:color w:val="111111"/>
          <w:sz w:val="28"/>
          <w:szCs w:val="28"/>
          <w:rtl w:val="true"/>
          <w:lang w:bidi="fa-IR"/>
        </w:rPr>
        <w:t xml:space="preserve">» </w:t>
      </w:r>
      <w:r>
        <w:rPr>
          <w:rStyle w:val="FootnoteAnchor"/>
          <w:rtl w:val="true"/>
        </w:rPr>
        <w:footnoteReference w:id="216"/>
      </w:r>
      <w:r>
        <w:rPr>
          <w:rFonts w:ascii="IRNazanin" w:hAnsi="IRNazanin" w:eastAsia="IRNazanin"/>
          <w:color w:val="111111"/>
          <w:sz w:val="28"/>
          <w:sz w:val="28"/>
          <w:szCs w:val="28"/>
          <w:rtl w:val="true"/>
          <w:lang w:bidi="fa-IR"/>
        </w:rPr>
        <w:t>والطریق علی هذا الوجه بمنزلة السوق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فرق مع سقوط حقّه علی التقدیرین بین تضرّره بتفرّق معاملیه وعدمه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واحتمل فی الدروس بقاءه مع الضرر؛ لأنّ أظهر المقاصد أن یعرف مکانه لیقصده المعاملون، إلّامع طول زمان المفارقة </w:t>
      </w:r>
      <w:r>
        <w:rPr>
          <w:rStyle w:val="FootnoteAnchor"/>
          <w:rtl w:val="true"/>
        </w:rPr>
        <w:footnoteReference w:id="217"/>
      </w:r>
      <w:r>
        <w:rPr>
          <w:rFonts w:ascii="IRNazanin" w:hAnsi="IRNazanin" w:eastAsia="IRNazanin"/>
          <w:color w:val="111111"/>
          <w:sz w:val="28"/>
          <w:sz w:val="28"/>
          <w:szCs w:val="28"/>
          <w:rtl w:val="true"/>
          <w:lang w:bidi="fa-IR"/>
        </w:rPr>
        <w:t>لاستناد الضرر حینئذٍ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التذکرة قیّد بقاء حقّه مع الرحل ببقاء النهار، فلو دخل اللیل سقط حقّه </w:t>
      </w:r>
      <w:r>
        <w:rPr>
          <w:rStyle w:val="FootnoteAnchor"/>
          <w:rtl w:val="true"/>
        </w:rPr>
        <w:footnoteReference w:id="218"/>
      </w:r>
      <w:r>
        <w:rPr>
          <w:rFonts w:ascii="IRNazanin" w:hAnsi="IRNazanin" w:eastAsia="IRNazanin"/>
          <w:color w:val="111111"/>
          <w:sz w:val="28"/>
          <w:sz w:val="28"/>
          <w:szCs w:val="28"/>
          <w:rtl w:val="true"/>
          <w:lang w:bidi="fa-IR"/>
        </w:rPr>
        <w:t>محتجّاً بالخبر السابق حیث قال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سبق إلی مکان فهو أحقّ به إلی اللیل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ویشکل بأنّ الروایة تدلّ بإطلاقها علی بقاء الحقّ إلی اللیل، سواء کان له رحل أم لا</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والوجه بقاء حقّه مع بقاء رحله ما لم یطل الزمان أو یضرّ بالمارّة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فرق</w:t>
      </w:r>
      <w:bookmarkStart w:id="86" w:name="pg19815_253058"/>
    </w:p>
    <w:p>
      <w:pPr>
        <w:pStyle w:val="BookText"/>
        <w:rPr/>
      </w:pPr>
      <w:bookmarkEnd w:id="86"/>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ذلک </w:t>
      </w:r>
      <w:r>
        <w:rPr>
          <w:rFonts w:eastAsia="IRNazanin" w:cs="IRNazanin"/>
          <w:color w:val="111111"/>
          <w:sz w:val="28"/>
          <w:szCs w:val="28"/>
          <w:rtl w:val="true"/>
          <w:lang w:bidi="fa-IR"/>
        </w:rPr>
        <w:t xml:space="preserve">] </w:t>
      </w:r>
      <w:r>
        <w:rPr>
          <w:rStyle w:val="FootnoteAnchor"/>
          <w:rtl w:val="true"/>
        </w:rPr>
        <w:footnoteReference w:id="219"/>
      </w:r>
      <w:r>
        <w:rPr>
          <w:rFonts w:ascii="IRNazanin" w:hAnsi="IRNazanin" w:eastAsia="IRNazanin"/>
          <w:color w:val="111111"/>
          <w:sz w:val="28"/>
          <w:sz w:val="28"/>
          <w:szCs w:val="28"/>
          <w:rtl w:val="true"/>
          <w:lang w:bidi="fa-IR"/>
        </w:rPr>
        <w:t>بین الزائد عن مقدار الطریق شرعاً وما دونه، إلّاأن یجوز إحیاء الزائد فیجوز الجلوس فیه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وحیث یجوز له الجلوس یجوز التظلیل علیه بما لا یضرّ بالمارّة، دون التسقیف وبناء دکّة وغیرها، إلّاعلی الوجه المرخّص فی الطریق مطلقاً وقد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وکذا الحکم فی مقاعد الأسواق المباحة، ولم یذکرها المصنّف هنا، وصرّح فی الدروس بإلحاقها بما ذکر فی حکم الطریق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7" w:name="__RefHeading___Toc2227741_2314609296"/>
      <w:bookmarkStart w:id="88" w:name="_Toc33"/>
      <w:bookmarkEnd w:id="87"/>
      <w:r>
        <w:rPr>
          <w:rtl w:val="true"/>
        </w:rPr>
        <w:t>[«</w:t>
      </w:r>
      <w:r>
        <w:rPr>
          <w:rtl w:val="true"/>
        </w:rPr>
        <w:t>ومنها</w:t>
      </w:r>
      <w:r>
        <w:rPr>
          <w:rtl w:val="true"/>
        </w:rPr>
        <w:t xml:space="preserve">: </w:t>
      </w:r>
      <w:r>
        <w:rPr>
          <w:rtl w:val="true"/>
        </w:rPr>
        <w:t>المیاه المباحة</w:t>
      </w:r>
      <w:r>
        <w:rPr>
          <w:rtl w:val="true"/>
        </w:rPr>
        <w:t>»]</w:t>
      </w:r>
      <w:bookmarkEnd w:id="88"/>
    </w:p>
    <w:p>
      <w:pPr>
        <w:pStyle w:val="BookText"/>
        <w:rPr/>
      </w:pPr>
      <w:r>
        <w:rPr>
          <w:rFonts w:ascii="IRNazanin" w:hAnsi="IRNazanin" w:eastAsia="IRNazanin"/>
          <w:color w:val="111111"/>
          <w:sz w:val="28"/>
          <w:sz w:val="28"/>
          <w:szCs w:val="28"/>
          <w:rtl w:val="true"/>
          <w:lang w:bidi="fa-IR"/>
        </w:rPr>
        <w:t>کمیاه العیون فی المباح والآبار المباحة والغیوث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والأنهار الکبار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کالفرات ودجلة والنیل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والصغار التی لم یُجرِها مُجرٍ بنیّة التملّک، فإنّ الناس فیها شَرَع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سبق إلی اغتراف شیء منها فهو أولی به، ویملکه مع نیّة التملّک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المباح لا یُملَک إلّابالإحراز والنیّة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ومقتضی العبارة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الأولویّة تحصل بدون نیّة التملّک، بخلاف الملک، تنزیلاً للفعل قبلَ النیّة منزلة التحجیر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یشکل هنا بأ نّه إن نوی بالإحراز الملک فقد حصل الشرط، وإلّا کان کالعابث لا یستفید أولویّة</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أجری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من المیاه المباحة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بنیّة التملّک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الماء المُجری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أصحّ القولین </w:t>
      </w:r>
      <w:r>
        <w:rPr>
          <w:rStyle w:val="FootnoteAnchor"/>
          <w:rtl w:val="true"/>
        </w:rPr>
        <w:footnoteReference w:id="221"/>
      </w:r>
      <w:r>
        <w:rPr>
          <w:rFonts w:ascii="IRNazanin" w:hAnsi="IRNazanin" w:eastAsia="IRNazanin"/>
          <w:color w:val="111111"/>
          <w:sz w:val="28"/>
          <w:sz w:val="28"/>
          <w:szCs w:val="28"/>
          <w:rtl w:val="true"/>
          <w:lang w:bidi="fa-IR"/>
        </w:rPr>
        <w:t xml:space="preserve">وحُکی عن الشیخ إفادته الأولویّة خاصّة </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استناداً إلی قوله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الناس شرکاء فی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النار والماء والکلأ</w:t>
      </w:r>
      <w:r>
        <w:rPr>
          <w:rFonts w:eastAsia="IRNazanin" w:cs="IRNazanin"/>
          <w:color w:val="111111"/>
          <w:sz w:val="28"/>
          <w:szCs w:val="28"/>
          <w:rtl w:val="true"/>
          <w:lang w:bidi="fa-IR"/>
        </w:rPr>
        <w:t xml:space="preserve">» </w:t>
      </w:r>
      <w:r>
        <w:rPr>
          <w:rStyle w:val="FootnoteAnchor"/>
          <w:rtl w:val="true"/>
        </w:rPr>
        <w:footnoteReference w:id="223"/>
      </w:r>
      <w:r>
        <w:rPr>
          <w:rFonts w:ascii="IRNazanin" w:hAnsi="IRNazanin" w:eastAsia="IRNazanin"/>
          <w:color w:val="111111"/>
          <w:sz w:val="28"/>
          <w:sz w:val="28"/>
          <w:szCs w:val="28"/>
          <w:rtl w:val="true"/>
          <w:lang w:bidi="fa-IR"/>
        </w:rPr>
        <w:t>وهو محمول علی المباح منه دون المملوک إجماعاً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أجری عیناً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أخرجها من الأرض وأجراها علی وجهها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یملکها مع نیّة التملّک، ولا یصحّ لغیره أخذ شیء من مائها إلّابإذنه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 المُجری جماعة ملکوه علی نسبة عملهم، لا علی نسبة خرجِهم، إلّاأن یکون الخرج تابعاً للعمل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وجوّز فی الدروس الوضوء والغسل وتطهیر الثوب منه عملاً بشاهد الحال، إلّا مع النهی </w:t>
      </w:r>
      <w:r>
        <w:rPr>
          <w:rStyle w:val="FootnoteAnchor"/>
          <w:rtl w:val="true"/>
        </w:rPr>
        <w:footnoteReference w:id="224"/>
      </w:r>
      <w:r>
        <w:rPr>
          <w:rFonts w:ascii="IRNazanin" w:hAnsi="IRNazanin" w:eastAsia="IRNazanin"/>
          <w:color w:val="111111"/>
          <w:sz w:val="28"/>
          <w:sz w:val="28"/>
          <w:szCs w:val="28"/>
          <w:rtl w:val="true"/>
          <w:lang w:bidi="fa-IR"/>
        </w:rPr>
        <w:t>ولا یجوز ذلک من المحرز فی الإناء ولا ممّا یُظنّ الکراهیة فیه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لم ینته الحفر فی النهر والعین إلی الماء بحیث یجری فیه فهو تحجیر یُفید الأولویّة کما مرّ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یملک الماء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احتقن شیئاً من میاه الغیث أو السیل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لتحقّق الإحراز مع نیّة التملّک کإجراء النهر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ومثله ما لو أجری ماء الغیث فی ساقیة ونحوها إلی مکان بنیّة التملّک، سواء أحرزها فیه أم لا، حتّی لو أحرزها فی ملک الغیر وإن کان غاصباً للمحرز فیه، إلّا إذا أجراها ابتداءً فی ملک الغیر، فإنّه لا یفید ملکاً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احتماله کما لو أحرزها فی الآنیة المغصوبة بنیّة التملّک</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حفر بئراً ملک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یحصل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بوصوله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إلی الماء إذا قصد التملّک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ولو قصد </w:t>
      </w:r>
      <w:r>
        <w:rPr>
          <w:rStyle w:val="FootnoteAnchor"/>
          <w:rtl w:val="true"/>
        </w:rPr>
        <w:footnoteReference w:id="225"/>
      </w:r>
      <w:r>
        <w:rPr>
          <w:rFonts w:ascii="IRNazanin" w:hAnsi="IRNazanin" w:eastAsia="IRNazanin"/>
          <w:color w:val="111111"/>
          <w:sz w:val="28"/>
          <w:sz w:val="28"/>
          <w:szCs w:val="28"/>
          <w:rtl w:val="true"/>
          <w:lang w:bidi="fa-IR"/>
        </w:rPr>
        <w:t>الانتفاع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والمفارقة فهو أولی به ما دام نازلاً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فارقه بطل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عاد بعد المفارقة ساوی غیره علی</w:t>
      </w:r>
      <w:bookmarkStart w:id="89" w:name="pg19815_253060"/>
    </w:p>
    <w:p>
      <w:pPr>
        <w:pStyle w:val="BookText"/>
        <w:rPr/>
      </w:pPr>
      <w:bookmarkEnd w:id="89"/>
      <w:r>
        <w:rPr>
          <w:rFonts w:ascii="IRNazanin" w:hAnsi="IRNazanin" w:eastAsia="IRNazanin"/>
          <w:color w:val="111111"/>
          <w:sz w:val="28"/>
          <w:sz w:val="28"/>
          <w:szCs w:val="28"/>
          <w:rtl w:val="true"/>
          <w:lang w:bidi="fa-IR"/>
        </w:rPr>
        <w:t>الأقوی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تجرّد عن قصد التملّک والانتفاع فمقتضی القواعد السابقة عدم الملک والأولویّة معاً کالعابث</w:t>
      </w:r>
      <w:r>
        <w:rPr>
          <w:rFonts w:eastAsia="IRNazanin" w:cs="IRNazanin"/>
          <w:color w:val="111111"/>
          <w:sz w:val="28"/>
          <w:szCs w:val="28"/>
          <w:rtl w:val="true"/>
          <w:lang w:bidi="fa-IR"/>
        </w:rPr>
        <w:t>.</w:t>
      </w:r>
    </w:p>
    <w:p>
      <w:pPr>
        <w:pStyle w:val="Heading5"/>
        <w:numPr>
          <w:ilvl w:val="4"/>
          <w:numId w:val="1"/>
        </w:numPr>
        <w:rPr/>
      </w:pPr>
      <w:bookmarkStart w:id="90" w:name="__RefHeading___Toc2227743_2314609296"/>
      <w:bookmarkStart w:id="91" w:name="_Toc34"/>
      <w:bookmarkEnd w:id="90"/>
      <w:r>
        <w:rPr>
          <w:rtl w:val="true"/>
        </w:rPr>
        <w:t>[«</w:t>
      </w:r>
      <w:r>
        <w:rPr>
          <w:rtl w:val="true"/>
        </w:rPr>
        <w:t>ومنها</w:t>
      </w:r>
      <w:r>
        <w:rPr>
          <w:rtl w:val="true"/>
        </w:rPr>
        <w:t xml:space="preserve">: </w:t>
      </w:r>
      <w:r>
        <w:rPr>
          <w:rtl w:val="true"/>
        </w:rPr>
        <w:t>المعادن</w:t>
      </w:r>
      <w:r>
        <w:rPr>
          <w:rtl w:val="true"/>
        </w:rPr>
        <w:t>»]</w:t>
      </w:r>
      <w:bookmarkEnd w:id="91"/>
    </w:p>
    <w:p>
      <w:pPr>
        <w:pStyle w:val="BookText"/>
        <w:rPr/>
      </w:pPr>
      <w:r>
        <w:rPr>
          <w:rFonts w:ascii="IRNazanin" w:hAnsi="IRNazanin" w:eastAsia="IRNazanin"/>
          <w:color w:val="111111"/>
          <w:sz w:val="28"/>
          <w:sz w:val="28"/>
          <w:szCs w:val="28"/>
          <w:rtl w:val="true"/>
          <w:lang w:bidi="fa-IR"/>
        </w:rPr>
        <w:t>وهی قسمان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ظاهرةٌ وهی التی لا یحتاج تحصیلها إلی طلب کالیاقوت والبرام </w:t>
      </w:r>
      <w:r>
        <w:rPr>
          <w:rStyle w:val="FootnoteAnchor"/>
          <w:rtl w:val="true"/>
        </w:rPr>
        <w:footnoteReference w:id="226"/>
      </w:r>
      <w:r>
        <w:rPr>
          <w:rFonts w:ascii="IRNazanin" w:hAnsi="IRNazanin" w:eastAsia="IRNazanin"/>
          <w:color w:val="111111"/>
          <w:sz w:val="28"/>
          <w:sz w:val="28"/>
          <w:szCs w:val="28"/>
          <w:rtl w:val="true"/>
          <w:lang w:bidi="fa-IR"/>
        </w:rPr>
        <w:t xml:space="preserve">والقیر والنفط والملح والکبریت وأحجار الرحی وطین الغسل، وباطنةٌ وهی المتوقّف ظهورها علی العمل، کالذهب والفضّة والحدید والنحاس والرصاص والبلّور والفیروزج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فالظاهرة لا تُملک بالإحیاء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إحیاء المعدن إظهاره بالعمل، وهو غیر متصوّر فی المعادن الظاهرة لظهورها، بل التحجیر أیضاً؛ لأ نّه الشروع بالإحیاء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وإدارة نحو الحائط إحیاء للأرض علی وجهٍ لا مطلقاً </w:t>
      </w:r>
      <w:r>
        <w:rPr>
          <w:rStyle w:val="FootnoteAnchor"/>
          <w:rtl w:val="true"/>
        </w:rPr>
        <w:footnoteReference w:id="227"/>
      </w:r>
      <w:r>
        <w:rPr>
          <w:rFonts w:ascii="IRNazanin" w:hAnsi="IRNazanin" w:eastAsia="IRNazanin"/>
          <w:color w:val="111111"/>
          <w:sz w:val="28"/>
          <w:sz w:val="28"/>
          <w:szCs w:val="28"/>
          <w:rtl w:val="true"/>
          <w:lang w:bidi="fa-IR"/>
        </w:rPr>
        <w:t>بل الناس فیها شَرَع، الإمام وغیره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یجوز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یقطعها السلطان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العادل لأحد علی الأشهر؛ لاشتراک الناس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وربما قیل بالجواز </w:t>
      </w:r>
      <w:r>
        <w:rPr>
          <w:rStyle w:val="FootnoteAnchor"/>
          <w:rtl w:val="true"/>
        </w:rPr>
        <w:footnoteReference w:id="228"/>
      </w:r>
      <w:r>
        <w:rPr>
          <w:rFonts w:ascii="IRNazanin" w:hAnsi="IRNazanin" w:eastAsia="IRNazanin"/>
          <w:color w:val="111111"/>
          <w:sz w:val="28"/>
          <w:sz w:val="28"/>
          <w:szCs w:val="28"/>
          <w:rtl w:val="true"/>
          <w:lang w:bidi="fa-IR"/>
        </w:rPr>
        <w:t>نظراً إلی عموم ولایته ونظره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سبق إلیها فله أخذ حاجته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أخذ ما شاء وإن زاد عمّا یحتاج إلیه؛ لثبوت الأحقّیّة بالسبق، سواء طال زمانه أم قصر</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توافیا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دفعة واحدة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وأمکن القسمة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قسمة الحاصل بینهما؛ لتساویهما فی سبب الاستحقاق وإمکان الجمع بینهما فیه</w:t>
      </w:r>
    </w:p>
    <w:p>
      <w:pPr>
        <w:pStyle w:val="BookText"/>
        <w:rPr/>
      </w:pPr>
      <w:r>
        <w:rPr>
          <w:rFonts w:ascii="IRNazanin" w:hAnsi="IRNazanin" w:eastAsia="IRNazanin"/>
          <w:color w:val="111111"/>
          <w:sz w:val="28"/>
          <w:sz w:val="28"/>
          <w:szCs w:val="28"/>
          <w:rtl w:val="true"/>
          <w:lang w:bidi="fa-IR"/>
        </w:rPr>
        <w:t>بالقسمة، وإن لم یمکن الجمع بینهما للأخذ من مکان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إذا لم یزد المعدن عن مطلوبهما، وإلّا اُشکل القول بالقسمة؛ لعدم اختصاصهما به حینئذٍ</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یمکن القسمة بینهما لقلّة المطلوب، أو لعدم قبوله 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لاستوائهما فی الأولویّة وعدم إمکان الاشتراک واستحالة الترجیح، فاُشکل المستحقّ فعُیّن بالقرعة؛ لأنّها لکلّ أمر مشکل، فمن أخرجته القرعة أخذه أجمع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زاد عن حاجتهما ولم یمکن أخذهما دفعة لضیق المکان فالقرعة أیضاً وإن أمکن القسمة، وفائدتها تقدیم من أخرجته فی أخذ حاجته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ومثله ما لو ازدحم اثنان علی نهر ونحوه ولم یمکن الجمع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تغلّب أحدهما علی الآخر أثم وملک هنا، بخلاف تغلّبه علی أولویّة التحجیر والماء الذی لا یفی بغرضهما، والفرق أنّ الملک مع الزیادة لا یتحقّق بخلاف ما لو لم یزد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الباطنة تُملک ببلوغ نیلها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هو إحیاؤها وما دونه تحجیر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کانت علی وجه الأرض أو مستورة بتراب یسیر لا یصدق معه الإحیاء عرفاً لم یُملک بغیر الحیازة کالظاهرة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إذا کان المعدن فی أرض مباحة، فلو کان فی أرض مملوکة فهو بحکمها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لو أحیا أرضاً مواتاً فظهر فیها معدن، فإنّه یملکه وإن کان ظاهراً، إلّا أن یکون ظهوره سابقاً علی إحیائه</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وحیث یُملک المعدن یُملک حریمه، وهو منتهی عروقه عادةً ومطرح ترابه وطریقه وما یتوقّف علیه عمله إن عمله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 المعدن فی الأرض المختصّة بالإمام علیه السلام فهو له تبعاً لها، والناس فی غیره شَرَع علی الأقوی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تقدّم الکلام فیه فی باب الخمس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bookmarkStart w:id="92" w:name="pg19815_253062"/>
    </w:p>
    <w:p>
      <w:pPr>
        <w:pStyle w:val="Heading2"/>
        <w:numPr>
          <w:ilvl w:val="1"/>
          <w:numId w:val="1"/>
        </w:numPr>
        <w:rPr/>
      </w:pPr>
      <w:bookmarkStart w:id="93" w:name="__RefHeading___Toc2227745_2314609296"/>
      <w:bookmarkStart w:id="94" w:name="_Toc35"/>
      <w:bookmarkEnd w:id="92"/>
      <w:bookmarkEnd w:id="93"/>
      <w:r>
        <w:rPr>
          <w:rtl w:val="true"/>
        </w:rPr>
        <w:t>کتاب الصید والذباحة</w:t>
      </w:r>
      <w:bookmarkEnd w:id="94"/>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5" w:name="__RefHeading___Toc2227747_2314609296"/>
      <w:bookmarkStart w:id="96" w:name="_Toc36"/>
      <w:bookmarkEnd w:id="95"/>
      <w:r>
        <w:rPr>
          <w:rtl w:val="true"/>
        </w:rPr>
        <w:t>اشارة</w:t>
      </w:r>
      <w:bookmarkStart w:id="97" w:name="pg19815_253064"/>
      <w:bookmarkEnd w:id="96"/>
    </w:p>
    <w:p>
      <w:pPr>
        <w:pStyle w:val="BookText"/>
        <w:rPr/>
      </w:pPr>
      <w:bookmarkEnd w:id="9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الصید والذباحة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وفیه 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w:t>
      </w:r>
      <w:r>
        <w:rPr>
          <w:rFonts w:eastAsia="IRNazanin" w:cs="IRNazanin"/>
          <w:color w:val="111111"/>
          <w:sz w:val="28"/>
          <w:szCs w:val="28"/>
          <w:rtl w:val="true"/>
          <w:lang w:bidi="fa-IR"/>
        </w:rPr>
        <w:t>:</w:t>
      </w:r>
    </w:p>
    <w:p>
      <w:pPr>
        <w:pStyle w:val="Heading3"/>
        <w:numPr>
          <w:ilvl w:val="2"/>
          <w:numId w:val="1"/>
        </w:numPr>
        <w:rPr/>
      </w:pPr>
      <w:bookmarkStart w:id="98" w:name="__RefHeading___Toc2227749_2314609296"/>
      <w:bookmarkStart w:id="99" w:name="_Toc37"/>
      <w:bookmarkEnd w:id="98"/>
      <w:r>
        <w:rPr>
          <w:rtl w:val="true"/>
        </w:rPr>
        <w:t xml:space="preserve">الفصل </w:t>
      </w:r>
      <w:r>
        <w:rPr>
          <w:rtl w:val="true"/>
        </w:rPr>
        <w:t>«</w:t>
      </w:r>
      <w:r>
        <w:rPr>
          <w:rtl w:val="true"/>
        </w:rPr>
        <w:t>الأوّل</w:t>
      </w:r>
      <w:r>
        <w:rPr>
          <w:rtl w:val="true"/>
        </w:rPr>
        <w:t xml:space="preserve">» </w:t>
      </w:r>
      <w:r>
        <w:rPr>
          <w:rtl w:val="true"/>
        </w:rPr>
        <w:t>فی آلة الصید</w:t>
      </w:r>
      <w:bookmarkEnd w:id="99"/>
    </w:p>
    <w:p>
      <w:pPr>
        <w:pStyle w:val="Heading4"/>
        <w:numPr>
          <w:ilvl w:val="3"/>
          <w:numId w:val="1"/>
        </w:numPr>
        <w:rPr/>
      </w:pPr>
      <w:bookmarkStart w:id="100" w:name="__RefHeading___Toc2227751_2314609296"/>
      <w:bookmarkStart w:id="101" w:name="_Toc38"/>
      <w:bookmarkEnd w:id="100"/>
      <w:r>
        <w:rPr>
          <w:rtl w:val="true"/>
        </w:rPr>
        <w:t>اشارة</w:t>
      </w:r>
      <w:bookmarkEnd w:id="10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الاصطیاد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إثبات الصید وتحصیله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بجمیع آلاته </w:t>
      </w:r>
      <w:r>
        <w:rPr>
          <w:rStyle w:val="FootnoteAnchor"/>
          <w:rtl w:val="true"/>
        </w:rPr>
        <w:footnoteReference w:id="2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یمکن تحصیله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السیف والرمح والسهم والکلب والفهد والبازی والصقر والعقاب والباشَق والشَرَک والحِبالة والشَبَکة والفَخّ والبُندق </w:t>
      </w:r>
      <w:r>
        <w:rPr>
          <w:rStyle w:val="FootnoteAnchor"/>
          <w:rtl w:val="true"/>
        </w:rPr>
        <w:footnoteReference w:id="232"/>
      </w:r>
      <w:r>
        <w:rPr>
          <w:rFonts w:ascii="IRNazanin" w:hAnsi="IRNazanin" w:eastAsia="IRNazanin"/>
          <w:color w:val="111111"/>
          <w:sz w:val="28"/>
          <w:sz w:val="28"/>
          <w:szCs w:val="28"/>
          <w:rtl w:val="true"/>
          <w:lang w:bidi="fa-IR"/>
        </w:rPr>
        <w:t>وغیرها</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یؤکل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من الحیوانات المصیدة المدلول علیها</w:t>
      </w:r>
      <w:bookmarkStart w:id="102" w:name="pg19815_253065"/>
    </w:p>
    <w:p>
      <w:pPr>
        <w:pStyle w:val="Heading4"/>
        <w:numPr>
          <w:ilvl w:val="3"/>
          <w:numId w:val="1"/>
        </w:numPr>
        <w:rPr/>
      </w:pPr>
      <w:bookmarkStart w:id="103" w:name="__RefHeading___Toc2227753_2314609296"/>
      <w:bookmarkStart w:id="104" w:name="_Toc39"/>
      <w:bookmarkEnd w:id="102"/>
      <w:bookmarkEnd w:id="103"/>
      <w:r>
        <w:rPr>
          <w:rtl w:val="true"/>
        </w:rPr>
        <w:t>[</w:t>
      </w:r>
      <w:r>
        <w:rPr>
          <w:rtl w:val="true"/>
        </w:rPr>
        <w:t>الاصطیاد بالکلب المعلم</w:t>
      </w:r>
      <w:r>
        <w:rPr>
          <w:rtl w:val="true"/>
        </w:rPr>
        <w:t>]</w:t>
      </w:r>
      <w:bookmarkEnd w:id="104"/>
    </w:p>
    <w:p>
      <w:pPr>
        <w:pStyle w:val="BookText"/>
        <w:rPr/>
      </w:pPr>
      <w:r>
        <w:rPr>
          <w:rFonts w:ascii="IRNazanin" w:hAnsi="IRNazanin" w:eastAsia="IRNazanin"/>
          <w:color w:val="111111"/>
          <w:sz w:val="28"/>
          <w:sz w:val="28"/>
          <w:szCs w:val="28"/>
          <w:rtl w:val="true"/>
          <w:lang w:bidi="fa-IR"/>
        </w:rPr>
        <w:t xml:space="preserve">بالاصطیاد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 یُذکّ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بالذبح بعد إدراکه حیّاً، فلو أدرکه بعد رمیه میّتاً أو مات قبل تذکیته لم یحلّ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إلّاما قتله الکلب المعلَّم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 غیره علی أظهر الأقوال </w:t>
      </w:r>
      <w:r>
        <w:rPr>
          <w:rStyle w:val="FootnoteAnchor"/>
          <w:rtl w:val="true"/>
        </w:rPr>
        <w:footnoteReference w:id="233"/>
      </w:r>
      <w:r>
        <w:rPr>
          <w:rFonts w:ascii="IRNazanin" w:hAnsi="IRNazanin" w:eastAsia="IRNazanin"/>
          <w:color w:val="111111"/>
          <w:sz w:val="28"/>
          <w:sz w:val="28"/>
          <w:szCs w:val="28"/>
          <w:rtl w:val="true"/>
          <w:lang w:bidi="fa-IR"/>
        </w:rPr>
        <w:t xml:space="preserve">والأخبار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ویثبت تعلیم الکلب بکونه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بحیث یسترسل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ینطلق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اُرسل وینزجر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ویقف عن الاسترسال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زُجر </w:t>
      </w:r>
      <w:r>
        <w:rPr>
          <w:rStyle w:val="FootnoteAnchor"/>
          <w:rtl w:val="true"/>
        </w:rPr>
        <w:footnoteReference w:id="2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یعتاد أکلَ ما یمسکه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الصید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ویتحقّق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الوصف وهو الاسترسال والانزجار وعدم الأکل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بالتکرار علی هذه الصفات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الثلاث مراراً یصدق بها التعلیم علیه </w:t>
      </w:r>
      <w:r>
        <w:rPr>
          <w:rStyle w:val="FootnoteAnchor"/>
          <w:rtl w:val="true"/>
        </w:rPr>
        <w:footnoteReference w:id="236"/>
      </w:r>
      <w:r>
        <w:rPr>
          <w:rFonts w:ascii="Amiri" w:hAnsi="Amiri" w:eastAsia="Amiri" w:cs="Amiri"/>
          <w:color w:val="111111"/>
          <w:sz w:val="28"/>
          <w:sz w:val="28"/>
          <w:szCs w:val="28"/>
          <w:rtl w:val="true"/>
          <w:lang w:bidi="ar-SA"/>
        </w:rPr>
        <w:t>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تحقّق کونه معلَّماً حلَّ مقتوله وإن خلا عن الأوصاف إلی أن یتکرّر فقدها علی وجهٍ یصدق علیه </w:t>
      </w:r>
      <w:r>
        <w:rPr>
          <w:rStyle w:val="FootnoteAnchor"/>
          <w:rtl w:val="true"/>
        </w:rPr>
        <w:footnoteReference w:id="237"/>
      </w:r>
      <w:r>
        <w:rPr>
          <w:rFonts w:ascii="IRNazanin" w:hAnsi="IRNazanin" w:eastAsia="IRNazanin"/>
          <w:color w:val="111111"/>
          <w:sz w:val="28"/>
          <w:sz w:val="28"/>
          <w:szCs w:val="28"/>
          <w:rtl w:val="true"/>
          <w:lang w:bidi="fa-IR"/>
        </w:rPr>
        <w:t>زوال التعلیم عرفاً، ثمّ یحرم مقتوله ولا یعود إلی أن یتکرّر اتّصافه بها کذلک، وهکذا</w:t>
      </w:r>
      <w:r>
        <w:rPr>
          <w:rFonts w:eastAsia="IRNazanin" w:cs="IRNazanin"/>
          <w:color w:val="111111"/>
          <w:sz w:val="28"/>
          <w:szCs w:val="28"/>
          <w:rtl w:val="true"/>
          <w:lang w:bidi="fa-IR"/>
        </w:rPr>
        <w:t>. . .</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أکل نادراً أو لم یسترسل نادراً لم یقدح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تحقّق التعلیم عرفاً، ولا فی زواله بعد حصوله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لا یقدح حصول الأوصاف له نادراً، وکذا لا یقدح شربه الدم</w:t>
      </w:r>
      <w:r>
        <w:rPr>
          <w:rFonts w:eastAsia="IRNazanin" w:cs="IRNazanin"/>
          <w:color w:val="111111"/>
          <w:sz w:val="28"/>
          <w:szCs w:val="28"/>
          <w:rtl w:val="true"/>
          <w:lang w:bidi="fa-IR"/>
        </w:rPr>
        <w:t>.</w:t>
      </w:r>
      <w:bookmarkStart w:id="105" w:name="pg19815_253066"/>
    </w:p>
    <w:p>
      <w:pPr>
        <w:pStyle w:val="Heading4"/>
        <w:numPr>
          <w:ilvl w:val="3"/>
          <w:numId w:val="1"/>
        </w:numPr>
        <w:rPr/>
      </w:pPr>
      <w:bookmarkStart w:id="106" w:name="__RefHeading___Toc2227755_2314609296"/>
      <w:bookmarkStart w:id="107" w:name="_Toc40"/>
      <w:bookmarkEnd w:id="105"/>
      <w:bookmarkEnd w:id="106"/>
      <w:r>
        <w:rPr>
          <w:rtl w:val="true"/>
        </w:rPr>
        <w:t>[</w:t>
      </w:r>
      <w:r>
        <w:rPr>
          <w:rtl w:val="true"/>
        </w:rPr>
        <w:t>شروط المرسل</w:t>
      </w:r>
      <w:r>
        <w:rPr>
          <w:rtl w:val="true"/>
        </w:rPr>
        <w:t>]</w:t>
      </w:r>
      <w:bookmarkEnd w:id="10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الاشتراط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التسمیة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للّٰه‌تعالی من المرسِل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إرساله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الکلبَ المعلَّم، فلو ترکها عمداً حرم، ولو کان نسیاناً حلّ إن لم یذکر قبل الإصابة، وإلّا اشترط استدراکها عند الذکر ولو مقارنة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ترکها جهلاً بوجوبها، ففی إلحاقه بالعامد أو الناسی، 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 نّه عامد، ومن أنّ الناس فی سعة ممّا لم یعلموا </w:t>
      </w:r>
      <w:r>
        <w:rPr>
          <w:rStyle w:val="FootnoteAnchor"/>
          <w:rtl w:val="true"/>
        </w:rPr>
        <w:footnoteReference w:id="238"/>
      </w:r>
      <w:r>
        <w:rPr>
          <w:rFonts w:ascii="IRNazanin" w:hAnsi="IRNazanin" w:eastAsia="IRNazanin"/>
          <w:color w:val="111111"/>
          <w:sz w:val="28"/>
          <w:sz w:val="28"/>
          <w:szCs w:val="28"/>
          <w:rtl w:val="true"/>
          <w:lang w:bidi="fa-IR"/>
        </w:rPr>
        <w:t xml:space="preserve">وألحقه المصنّف فی بعض فوائده بالناسی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ولو تعمّد ترکها عند الإرسال ثمّ استدرکها قبلَ الإصابة، ففی الإجزاء قولان </w:t>
      </w:r>
      <w:r>
        <w:rPr>
          <w:rStyle w:val="FootnoteAnchor"/>
          <w:rtl w:val="true"/>
        </w:rPr>
        <w:footnoteReference w:id="240"/>
      </w:r>
      <w:r>
        <w:rPr>
          <w:rFonts w:ascii="Amiri" w:hAnsi="Amiri" w:eastAsia="Amiri" w:cs="Amiri"/>
          <w:color w:val="111111"/>
          <w:sz w:val="28"/>
          <w:sz w:val="28"/>
          <w:szCs w:val="28"/>
          <w:rtl w:val="true"/>
          <w:lang w:bidi="ar-SA"/>
        </w:rPr>
        <w:t xml:space="preserve">أقربهما الإجزاء؛ لتناول الأدلّة له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تَأْکُلُوا مِمّٰا لَمْ یُذْکَرِ اِسْمُ اَللّٰهِ عَلَیْهِ </w:t>
      </w:r>
      <w:r>
        <w:rPr>
          <w:rStyle w:val="FootnoteAnchor"/>
          <w:rtl w:val="true"/>
        </w:rPr>
        <w:footnoteReference w:id="241"/>
      </w:r>
      <w:r>
        <w:rPr>
          <w:rFonts w:ascii="Amiri" w:hAnsi="Amiri" w:eastAsia="Amiri" w:cs="Amiri"/>
          <w:color w:val="111111"/>
          <w:sz w:val="28"/>
          <w:sz w:val="28"/>
          <w:szCs w:val="28"/>
          <w:rtl w:val="true"/>
          <w:lang w:bidi="ar-SA"/>
        </w:rPr>
        <w:t xml:space="preserve">فَکُلُوا مِمّٰا أَمْسَکْنَ عَلَیْکُمْ وَ اُذْکُرُوا اِسْمَ اَللّٰهِ </w:t>
      </w:r>
      <w:r>
        <w:rPr>
          <w:rStyle w:val="FootnoteAnchor"/>
          <w:rtl w:val="true"/>
        </w:rPr>
        <w:footnoteReference w:id="242"/>
      </w:r>
      <w:r>
        <w:rPr>
          <w:rFonts w:ascii="IRNazanin" w:hAnsi="IRNazanin" w:eastAsia="IRNazanin"/>
          <w:color w:val="111111"/>
          <w:sz w:val="28"/>
          <w:sz w:val="28"/>
          <w:szCs w:val="28"/>
          <w:rtl w:val="true"/>
          <w:lang w:bidi="fa-IR"/>
        </w:rPr>
        <w:t>وقول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ما قتله الکلب إذا سمّیت</w:t>
      </w:r>
      <w:r>
        <w:rPr>
          <w:rFonts w:eastAsia="IRNazanin" w:cs="IRNazanin"/>
          <w:color w:val="111111"/>
          <w:sz w:val="28"/>
          <w:szCs w:val="28"/>
          <w:rtl w:val="true"/>
          <w:lang w:bidi="fa-IR"/>
        </w:rPr>
        <w:t xml:space="preserve">» </w:t>
      </w:r>
      <w:r>
        <w:rPr>
          <w:rStyle w:val="FootnoteAnchor"/>
          <w:rtl w:val="true"/>
        </w:rPr>
        <w:footnoteReference w:id="243"/>
      </w:r>
      <w:r>
        <w:rPr>
          <w:rFonts w:ascii="IRNazanin" w:hAnsi="IRNazanin" w:eastAsia="IRNazanin"/>
          <w:color w:val="111111"/>
          <w:sz w:val="28"/>
          <w:sz w:val="28"/>
          <w:szCs w:val="28"/>
          <w:rtl w:val="true"/>
          <w:lang w:bidi="fa-IR"/>
        </w:rPr>
        <w:t>ولأ نّه أقرب إلی الفعل المعتبر فی الذکاة فکان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ووجه المنع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دلالة بعض الأخبار علی أنّ محلّها الإرسال </w:t>
      </w:r>
      <w:r>
        <w:rPr>
          <w:rStyle w:val="FootnoteAnchor"/>
          <w:rtl w:val="true"/>
        </w:rPr>
        <w:footnoteReference w:id="244"/>
      </w:r>
      <w:r>
        <w:rPr>
          <w:rFonts w:ascii="Amiri" w:hAnsi="Amiri" w:eastAsia="Amiri" w:cs="Amiri"/>
          <w:color w:val="111111"/>
          <w:sz w:val="28"/>
          <w:sz w:val="28"/>
          <w:szCs w:val="28"/>
          <w:rtl w:val="true"/>
          <w:lang w:bidi="ar-SA"/>
        </w:rPr>
        <w:t>ولأ نّه إجماعیٌّ، وغیره مشکوک فیه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ولا عبرة بتسمیة غیر المرسِل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اشترک فی قتله کلبان معلَّمان اعتبر تسمیة مرسلیهما، فلو ترکها أحدهما أو کان أحد الکلبین غیرَ مُرسَل، أو غیرَ معلَّم لم یحلّ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والمعتبر من التسمیة هنا وفی إرسال السهم والذبح والنحر ذکر اللّٰه المقترن بالتعظیم؛ لأنّه المفهوم منه، کأحد التسبیحات الأربع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اغفر لی وارحمنی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علی محمّد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قولان </w:t>
      </w:r>
      <w:r>
        <w:rPr>
          <w:rStyle w:val="FootnoteAnchor"/>
          <w:rtl w:val="true"/>
        </w:rPr>
        <w:footnoteReference w:id="245"/>
      </w:r>
      <w:r>
        <w:rPr>
          <w:rFonts w:ascii="IRNazanin" w:hAnsi="IRNazanin" w:eastAsia="IRNazanin"/>
          <w:color w:val="111111"/>
          <w:sz w:val="28"/>
          <w:sz w:val="28"/>
          <w:szCs w:val="28"/>
          <w:rtl w:val="true"/>
          <w:lang w:bidi="fa-IR"/>
        </w:rPr>
        <w:t>أقربهما الإجزاء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ذکر اللّٰه مجرّداً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احتماله؛ لصدق الذکر، وبه قطع الفاضل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اشتراط وقوعه بالعربیّة قولان </w:t>
      </w:r>
      <w:r>
        <w:rPr>
          <w:rStyle w:val="FootnoteAnchor"/>
          <w:rtl w:val="true"/>
        </w:rPr>
        <w:footnoteReference w:id="247"/>
      </w:r>
      <w:r>
        <w:rPr>
          <w:rFonts w:ascii="IRNazanin" w:hAnsi="IRNazanin" w:eastAsia="IRNazanin"/>
          <w:color w:val="111111"/>
          <w:sz w:val="28"/>
          <w:sz w:val="28"/>
          <w:szCs w:val="28"/>
          <w:rtl w:val="true"/>
          <w:lang w:bidi="fa-IR"/>
        </w:rPr>
        <w:t xml:space="preserve">من صدق الذکر، وتصریح القرآن باسم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والأقوی الإجزاء؛ لأنّ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الآیة الذات، لا الاسم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وعلیه یتفرّع ذکر اللّٰه تعالی بأسمائه المختصّة به 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فعلی الأوّل یُجزئ؛ لصدق الذکر، دون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هذا ممّا لم ینبّهوا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 یکون المرسل مسلماً، أو بحکمه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کولده الممیّز غیر البالغ ذکراً کان أو اُنثی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أرسله الکافر لم یحلّ وإن سمّی أو کان ذمّیّاً علی الأصحّ </w:t>
      </w:r>
      <w:r>
        <w:rPr>
          <w:rStyle w:val="FootnoteAnchor"/>
          <w:rtl w:val="true"/>
        </w:rPr>
        <w:footnoteReference w:id="248"/>
      </w:r>
      <w:r>
        <w:rPr>
          <w:rFonts w:ascii="IRNazanin" w:hAnsi="IRNazanin" w:eastAsia="IRNazanin"/>
          <w:color w:val="111111"/>
          <w:sz w:val="28"/>
          <w:sz w:val="28"/>
          <w:szCs w:val="28"/>
          <w:rtl w:val="true"/>
          <w:lang w:bidi="fa-IR"/>
        </w:rPr>
        <w:t xml:space="preserve">وکذا الناصب من المسلمین والمجسِّم </w:t>
      </w:r>
      <w:r>
        <w:rPr>
          <w:rStyle w:val="FootnoteAnchor"/>
          <w:rtl w:val="true"/>
        </w:rPr>
        <w:footnoteReference w:id="249"/>
      </w:r>
      <w:r>
        <w:rPr>
          <w:rFonts w:ascii="IRNazanin" w:hAnsi="IRNazanin" w:eastAsia="IRNazanin"/>
          <w:color w:val="111111"/>
          <w:sz w:val="28"/>
          <w:sz w:val="28"/>
          <w:szCs w:val="28"/>
          <w:rtl w:val="true"/>
          <w:lang w:bidi="fa-IR"/>
        </w:rPr>
        <w:t>أمّا غیرهما من المخالفین ففی حلّ صیده الخلاف الآتی فی الذبیحة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یحلّ صید الصبیّ غیر الممیّز، ولا المجنون؛ لاشتراط القصد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الأعمی فإن تصوّر فیه قصد الصید حلّ صیده، وإلّا فلا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 یرسله للاصطیاد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استرسل من نفسه أو أرسله لا للصید فصادف صیداً فقتله لم یحلّ وإن زاده إغراءً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زجره فوقف ثمّ أرسله حلّ</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 لا یغیب الصید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المُرسِل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وحیاته مستقرّة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یمکن أن</w:t>
      </w:r>
      <w:bookmarkStart w:id="108" w:name="pg19815_253069"/>
    </w:p>
    <w:p>
      <w:pPr>
        <w:pStyle w:val="BookText"/>
        <w:rPr/>
      </w:pPr>
      <w:bookmarkEnd w:id="108"/>
      <w:r>
        <w:rPr>
          <w:rFonts w:ascii="IRNazanin" w:hAnsi="IRNazanin" w:eastAsia="IRNazanin"/>
          <w:color w:val="111111"/>
          <w:sz w:val="28"/>
          <w:sz w:val="28"/>
          <w:szCs w:val="28"/>
          <w:rtl w:val="true"/>
          <w:lang w:bidi="fa-IR"/>
        </w:rPr>
        <w:t>یعیش ولو نصف یوم، فلو غاب کذلک لم یحلّ؛ لجواز استناد القتل إلی غیر الکلب، سواء وجد الکلب واقفاً علیه أم لا، وسواء وجد فیه أثراً غیر عضّة الکلب أم لا، وسواء تشاغل عنه أم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وأولی منه لو تردّی من جبل ونحوه وإن لم یغب، فإنّ الشرط موته بجرح الکلب حتّی لو مات بإتعابه أو غمّه لم یحلّ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عُلم انتفاء سبب خارجی، أو غاب بعد أن صارت حیاته غیر مستقرّة وصار فی حکم المذبوح أو تردّی کذلک 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ویشترط مع ذلک کون الصید ممتنعاً، سواء کان وحشیّاً أم أهلیّاً، فلو قتل غیر الممتنع من الفُروخ أو الأهلیّة لم یحلّ</w:t>
      </w:r>
      <w:r>
        <w:rPr>
          <w:rFonts w:eastAsia="IRNazanin" w:cs="IRNazanin"/>
          <w:color w:val="111111"/>
          <w:sz w:val="28"/>
          <w:szCs w:val="28"/>
          <w:rtl w:val="true"/>
          <w:lang w:bidi="fa-IR"/>
        </w:rPr>
        <w:t>.</w:t>
      </w:r>
    </w:p>
    <w:p>
      <w:pPr>
        <w:pStyle w:val="Heading4"/>
        <w:numPr>
          <w:ilvl w:val="3"/>
          <w:numId w:val="1"/>
        </w:numPr>
        <w:rPr/>
      </w:pPr>
      <w:bookmarkStart w:id="109" w:name="__RefHeading___Toc2227757_2314609296"/>
      <w:bookmarkStart w:id="110" w:name="_Toc41"/>
      <w:bookmarkEnd w:id="109"/>
      <w:r>
        <w:rPr>
          <w:rtl w:val="true"/>
        </w:rPr>
        <w:t>[</w:t>
      </w:r>
      <w:r>
        <w:rPr>
          <w:rtl w:val="true"/>
        </w:rPr>
        <w:t xml:space="preserve">الاصطیاد بالسیف و کل ما فیه نصل </w:t>
      </w:r>
      <w:r>
        <w:rPr>
          <w:rtl w:val="true"/>
        </w:rPr>
        <w:t>]</w:t>
      </w:r>
      <w:bookmarkEnd w:id="11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ویؤکل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الصید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قتله السیف والرمح والسهم وکلّ ما فیه نصل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حدید، سواء خرق أم لا، حتّی لو قطعه بنصفین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اختلفا أم اتّفقا تحرّکا أم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حلّا، إلّاأن یکون ما فیه الرأس مستقرّ الحیاة فیُذکّی ویحرم الآخر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والمعراضُ</w:t>
      </w:r>
      <w:r>
        <w:rPr>
          <w:rFonts w:eastAsia="IRNazanin" w:cs="IRNazanin"/>
          <w:color w:val="111111"/>
          <w:sz w:val="28"/>
          <w:szCs w:val="28"/>
          <w:rtl w:val="true"/>
          <w:lang w:bidi="fa-IR"/>
        </w:rPr>
        <w:t xml:space="preserve">» </w:t>
      </w:r>
      <w:r>
        <w:rPr>
          <w:rStyle w:val="FootnoteAnchor"/>
          <w:rtl w:val="true"/>
        </w:rPr>
        <w:footnoteReference w:id="250"/>
      </w:r>
      <w:r>
        <w:rPr>
          <w:rFonts w:ascii="Amiri" w:hAnsi="Amiri" w:eastAsia="Amiri" w:cs="Amiri"/>
          <w:color w:val="111111"/>
          <w:sz w:val="28"/>
          <w:sz w:val="28"/>
          <w:szCs w:val="28"/>
          <w:rtl w:val="true"/>
          <w:lang w:bidi="ar-SA"/>
        </w:rPr>
        <w:t xml:space="preserve">ونحوُه من السهام المحدّدة التی لا نَصْلَ فیها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خرق اللحم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قتل معترضاً لم یحلّ، دون المُثقَل کالحجر والبندق، فإنّه لا یحلّ وإن خرق وکان البُندق من حدید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 الدُبّوس </w:t>
      </w:r>
      <w:r>
        <w:rPr>
          <w:rStyle w:val="FootnoteAnchor"/>
          <w:rtl w:val="true"/>
        </w:rPr>
        <w:footnoteReference w:id="251"/>
      </w:r>
      <w:r>
        <w:rPr>
          <w:rFonts w:ascii="IRNazanin" w:hAnsi="IRNazanin" w:eastAsia="IRNazanin"/>
          <w:color w:val="111111"/>
          <w:sz w:val="28"/>
          <w:sz w:val="28"/>
          <w:szCs w:val="28"/>
          <w:rtl w:val="true"/>
          <w:lang w:bidi="fa-IR"/>
        </w:rPr>
        <w:t>بحکمه إلّاأن یکون محدّداً بحیث یصلح للخرق وإن لم یخرق</w:t>
      </w:r>
      <w:r>
        <w:rPr>
          <w:rFonts w:eastAsia="IRNazanin" w:cs="IRNazanin"/>
          <w:color w:val="111111"/>
          <w:sz w:val="28"/>
          <w:szCs w:val="28"/>
          <w:rtl w:val="true"/>
          <w:lang w:bidi="fa-IR"/>
        </w:rPr>
        <w:t>.</w:t>
      </w:r>
    </w:p>
    <w:p>
      <w:pPr>
        <w:pStyle w:val="Heading4"/>
        <w:numPr>
          <w:ilvl w:val="3"/>
          <w:numId w:val="1"/>
        </w:numPr>
        <w:rPr/>
      </w:pPr>
      <w:bookmarkStart w:id="111" w:name="__RefHeading___Toc2227759_2314609296"/>
      <w:bookmarkStart w:id="112" w:name="_Toc42"/>
      <w:bookmarkEnd w:id="111"/>
      <w:r>
        <w:rPr>
          <w:rtl w:val="true"/>
        </w:rPr>
        <w:t>[</w:t>
      </w:r>
      <w:r>
        <w:rPr>
          <w:rtl w:val="true"/>
        </w:rPr>
        <w:t>احکام الاصطیاد</w:t>
      </w:r>
      <w:r>
        <w:rPr>
          <w:rtl w:val="true"/>
        </w:rPr>
        <w:t>]</w:t>
      </w:r>
      <w:bookmarkEnd w:id="11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ذلک مع التسمیة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الرمی أو بعده قبل الإصابة، ولو ترکها عمداً أو سهواً أو جهلاً فکما سبق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الصید، فلو وقع السهم من یده فقتله، أو قصد الرمی لا له</w:t>
      </w:r>
    </w:p>
    <w:p>
      <w:pPr>
        <w:pStyle w:val="BookText"/>
        <w:rPr/>
      </w:pPr>
      <w:r>
        <w:rPr>
          <w:rFonts w:ascii="Amiri" w:hAnsi="Amiri" w:eastAsia="Amiri" w:cs="Amiri"/>
          <w:color w:val="111111"/>
          <w:sz w:val="28"/>
          <w:sz w:val="28"/>
          <w:szCs w:val="28"/>
          <w:rtl w:val="true"/>
          <w:lang w:bidi="ar-SA"/>
        </w:rPr>
        <w:t>فقتله، أو قصد خنزیراً فأصاب ظبیاً، أو ظنّه خنزیراً فبان ظبیاً، لم یحلّ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یشترط قصد عینه حتّی لو قصد فأخطأ فقتل صیداً آخر 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قصد محلَّلاً ومحرَّماً حلّ المحلَّل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إسلام الرامی أو حکمه کما سلف </w:t>
      </w:r>
      <w:r>
        <w:rPr>
          <w:rStyle w:val="FootnoteAnchor"/>
          <w:rtl w:val="true"/>
        </w:rPr>
        <w:footnoteReference w:id="253"/>
      </w:r>
      <w:r>
        <w:rPr>
          <w:rFonts w:ascii="IRNazanin" w:hAnsi="IRNazanin" w:eastAsia="IRNazanin"/>
          <w:color w:val="111111"/>
          <w:sz w:val="28"/>
          <w:sz w:val="28"/>
          <w:szCs w:val="28"/>
          <w:rtl w:val="true"/>
          <w:lang w:bidi="fa-IR"/>
        </w:rPr>
        <w:t xml:space="preserve">وکذا یشترط موته بالجرح، وأن لا یغیب عنه وفیه حیاة مستقرّة وامتناع المقتول کما مرّ </w:t>
      </w:r>
      <w:r>
        <w:rPr>
          <w:rStyle w:val="FootnoteAnchor"/>
          <w:rtl w:val="true"/>
        </w:rPr>
        <w:footnoteReference w:id="25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اشترک فیه آلتا مسلم وکافر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قاصد وغیره أو مسمٍّ وغیره، وبالجملة فآلة جامع للشرائط وغیره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یحلّ إلّاأن یعلم أنّ جرح المسلم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بحکمه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کلبه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کانت الآلة کلبین فصاعداً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القاتل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خاصّة وإن کان الآخر معیناً علی إثباته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ویحرم الاصطیاد بالآلة المغصوبة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لقبح التصرّف فی مال الغیر بغیر إذنه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یحرم الصید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 ویملکه الصائد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وعلیه اُجرة الآلة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کانت کلباً أم سلاحاً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ویجب علیه غَسلُ موضع العضّة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الکلب جمعاً بین نجاسة الکلب، وإطلاق الأمر بالأکل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یجب </w:t>
      </w:r>
      <w:r>
        <w:rPr>
          <w:rStyle w:val="FootnoteAnchor"/>
          <w:rtl w:val="true"/>
        </w:rPr>
        <w:footnoteReference w:id="255"/>
      </w:r>
      <w:r>
        <w:rPr>
          <w:rFonts w:ascii="IRNazanin" w:hAnsi="IRNazanin" w:eastAsia="IRNazanin"/>
          <w:color w:val="111111"/>
          <w:sz w:val="28"/>
          <w:sz w:val="28"/>
          <w:szCs w:val="28"/>
          <w:rtl w:val="true"/>
          <w:lang w:bidi="fa-IR"/>
        </w:rPr>
        <w:t xml:space="preserve">لإطلاق الأمر بالأکل منه </w:t>
      </w:r>
      <w:r>
        <w:rPr>
          <w:rStyle w:val="FootnoteAnchor"/>
          <w:rtl w:val="true"/>
        </w:rPr>
        <w:footnoteReference w:id="256"/>
      </w:r>
      <w:r>
        <w:rPr>
          <w:rFonts w:ascii="IRNazanin" w:hAnsi="IRNazanin" w:eastAsia="IRNazanin"/>
          <w:color w:val="111111"/>
          <w:sz w:val="28"/>
          <w:sz w:val="28"/>
          <w:szCs w:val="28"/>
          <w:rtl w:val="true"/>
          <w:lang w:bidi="fa-IR"/>
        </w:rPr>
        <w:t>من غیر أمر بالغَسل</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وإنّما یحلّ المقتول بالآلة مطلقاً إذا أدرکه میّتاً أو فی حکمه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أدرک ذو السهم أو الکلب الصیدَ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إسراعه إلیه حالَ الإصابة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وحیاته مستقرّة ذکّاه، وإلّا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یُسرع أو لم یذکّه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 إن اتّسع الزمان لذبحه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یفعل حتّی 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قصُر الزمان عن ذلک فالمشهور حلّه وإن کانت حیاته مستقرّة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منافاة بین استقرار حیاته وقصور الزمان عن تذکیته مع حضور الآلة؛ لأنّ استقرار الحیاة مناطه الإمکان، ولیس کلّ ممکن بواقع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 عدم إمکان ذکاته لغیبة الآلة التی تقع بها الذکاة أو فقدِها، بحیث یفتقر إلی زمان طویل عادةً فاتّفق موته فیه لم یحلّ قطعاً</w:t>
      </w:r>
      <w:r>
        <w:rPr>
          <w:rFonts w:eastAsia="IRNazanin" w:cs="IRNazanin"/>
          <w:color w:val="111111"/>
          <w:sz w:val="28"/>
          <w:szCs w:val="28"/>
          <w:rtl w:val="true"/>
          <w:lang w:bidi="fa-IR"/>
        </w:rPr>
        <w:t>.</w:t>
      </w:r>
      <w:bookmarkStart w:id="113" w:name="pg19815_253072"/>
    </w:p>
    <w:p>
      <w:pPr>
        <w:pStyle w:val="Heading3"/>
        <w:numPr>
          <w:ilvl w:val="2"/>
          <w:numId w:val="1"/>
        </w:numPr>
        <w:rPr/>
      </w:pPr>
      <w:bookmarkStart w:id="114" w:name="__RefHeading___Toc2227761_2314609296"/>
      <w:bookmarkStart w:id="115" w:name="_Toc43"/>
      <w:bookmarkEnd w:id="113"/>
      <w:bookmarkEnd w:id="114"/>
      <w:r>
        <w:rPr>
          <w:rtl w:val="true"/>
        </w:rPr>
        <w:t>«</w:t>
      </w:r>
      <w:r>
        <w:rPr>
          <w:rtl w:val="true"/>
        </w:rPr>
        <w:t>الفصل الثانی</w:t>
      </w:r>
      <w:r>
        <w:rPr>
          <w:rtl w:val="true"/>
        </w:rPr>
        <w:t>» «</w:t>
      </w:r>
      <w:r>
        <w:rPr>
          <w:rtl w:val="true"/>
        </w:rPr>
        <w:t>فی الذباحة</w:t>
      </w:r>
      <w:r>
        <w:rPr>
          <w:rtl w:val="true"/>
        </w:rPr>
        <w:t>»</w:t>
      </w:r>
      <w:bookmarkEnd w:id="115"/>
    </w:p>
    <w:p>
      <w:pPr>
        <w:pStyle w:val="Heading4"/>
        <w:numPr>
          <w:ilvl w:val="3"/>
          <w:numId w:val="1"/>
        </w:numPr>
        <w:rPr/>
      </w:pPr>
      <w:bookmarkStart w:id="116" w:name="__RefHeading___Toc2227763_2314609296"/>
      <w:bookmarkStart w:id="117" w:name="_Toc44"/>
      <w:bookmarkEnd w:id="116"/>
      <w:r>
        <w:rPr>
          <w:rtl w:val="true"/>
        </w:rPr>
        <w:t>اشارة</w:t>
      </w:r>
      <w:bookmarkEnd w:id="117"/>
    </w:p>
    <w:p>
      <w:pPr>
        <w:pStyle w:val="BookText"/>
        <w:rPr/>
      </w:pPr>
      <w:r>
        <w:rPr>
          <w:rFonts w:ascii="IRNazanin" w:hAnsi="IRNazanin" w:eastAsia="IRNazanin"/>
          <w:color w:val="111111"/>
          <w:sz w:val="28"/>
          <w:sz w:val="28"/>
          <w:szCs w:val="28"/>
          <w:rtl w:val="true"/>
          <w:lang w:bidi="fa-IR"/>
        </w:rPr>
        <w:t>غُلِّب العنوان علیها مع کونها أخصّ ممّا یُبحث عنه فی الفصل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النحر وذکاة السمک ونحوه </w:t>
      </w:r>
      <w:r>
        <w:rPr>
          <w:rStyle w:val="FootnoteAnchor"/>
          <w:rtl w:val="true"/>
        </w:rPr>
        <w:footnoteReference w:id="258"/>
      </w:r>
      <w:r>
        <w:rPr>
          <w:rFonts w:ascii="Amiri" w:hAnsi="Amiri" w:eastAsia="Amiri" w:cs="Amiri"/>
          <w:color w:val="111111"/>
          <w:sz w:val="28"/>
          <w:sz w:val="28"/>
          <w:szCs w:val="28"/>
          <w:rtl w:val="true"/>
          <w:lang w:bidi="ar-SA"/>
        </w:rPr>
        <w:t>خارج عنها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تجوّزاً </w:t>
      </w:r>
      <w:r>
        <w:rPr>
          <w:rStyle w:val="FootnoteAnchor"/>
          <w:rtl w:val="true"/>
        </w:rPr>
        <w:footnoteReference w:id="259"/>
      </w:r>
      <w:r>
        <w:rPr>
          <w:rFonts w:ascii="IRNazanin" w:hAnsi="IRNazanin" w:eastAsia="IRNazanin"/>
          <w:color w:val="111111"/>
          <w:sz w:val="28"/>
          <w:sz w:val="28"/>
          <w:szCs w:val="28"/>
          <w:rtl w:val="true"/>
          <w:lang w:bidi="fa-IR"/>
        </w:rPr>
        <w:t xml:space="preserve">فی بعض الأفراد أو أشهرها، ولو جعل العنوان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صنع فی الدروس </w:t>
      </w:r>
      <w:r>
        <w:rPr>
          <w:rStyle w:val="FootnoteAnchor"/>
          <w:rtl w:val="true"/>
        </w:rPr>
        <w:footnoteReference w:id="260"/>
      </w:r>
      <w:r>
        <w:rPr>
          <w:rFonts w:ascii="IRNazanin" w:hAnsi="IRNazanin" w:eastAsia="IRNazanin"/>
          <w:color w:val="111111"/>
          <w:sz w:val="28"/>
          <w:sz w:val="28"/>
          <w:szCs w:val="28"/>
          <w:rtl w:val="true"/>
          <w:lang w:bidi="fa-IR"/>
        </w:rPr>
        <w:t>کان أجود؛ لشموله الجمیع</w:t>
      </w:r>
      <w:r>
        <w:rPr>
          <w:rFonts w:eastAsia="IRNazanin" w:cs="IRNazanin"/>
          <w:color w:val="111111"/>
          <w:sz w:val="28"/>
          <w:szCs w:val="28"/>
          <w:rtl w:val="true"/>
          <w:lang w:bidi="fa-IR"/>
        </w:rPr>
        <w:t>.</w:t>
      </w:r>
    </w:p>
    <w:p>
      <w:pPr>
        <w:pStyle w:val="Heading4"/>
        <w:numPr>
          <w:ilvl w:val="3"/>
          <w:numId w:val="1"/>
        </w:numPr>
        <w:rPr/>
      </w:pPr>
      <w:bookmarkStart w:id="118" w:name="__RefHeading___Toc2227765_2314609296"/>
      <w:bookmarkStart w:id="119" w:name="_Toc45"/>
      <w:bookmarkEnd w:id="118"/>
      <w:r>
        <w:rPr>
          <w:rtl w:val="true"/>
        </w:rPr>
        <w:t>[</w:t>
      </w:r>
      <w:r>
        <w:rPr>
          <w:rtl w:val="true"/>
        </w:rPr>
        <w:t>شروط الذابح</w:t>
      </w:r>
      <w:r>
        <w:rPr>
          <w:rtl w:val="true"/>
        </w:rPr>
        <w:t>]</w:t>
      </w:r>
      <w:bookmarkEnd w:id="11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ویشترط فی الذابح الإسلام أو حکمه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طفله الممیّز، فلا تحلّ ذبیحة الکافر مطلقاً، وثنیّاً کان أم ذمّیّاً سُمِعت تسمیته أم لا علی أشهر الأقوال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وذهب جماعة إلی حِلّ ذبیحة الذمّی إذا سُمِعت تسمیته</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وآخرون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حلّ </w:t>
      </w:r>
      <w:r>
        <w:rPr>
          <w:rFonts w:eastAsia="IRNazanin" w:cs="IRNazanin"/>
          <w:color w:val="111111"/>
          <w:sz w:val="28"/>
          <w:szCs w:val="28"/>
          <w:rtl w:val="true"/>
          <w:lang w:bidi="fa-IR"/>
        </w:rPr>
        <w:t xml:space="preserve">] </w:t>
      </w:r>
      <w:r>
        <w:rPr>
          <w:rStyle w:val="FootnoteAnchor"/>
          <w:rtl w:val="true"/>
        </w:rPr>
        <w:footnoteReference w:id="262"/>
      </w:r>
      <w:r>
        <w:rPr>
          <w:rFonts w:ascii="IRNazanin" w:hAnsi="IRNazanin" w:eastAsia="IRNazanin"/>
          <w:color w:val="111111"/>
          <w:sz w:val="28"/>
          <w:sz w:val="28"/>
          <w:szCs w:val="28"/>
          <w:rtl w:val="true"/>
          <w:lang w:bidi="fa-IR"/>
        </w:rPr>
        <w:t xml:space="preserve">ذبیحة غیر المجوسی مطلقاً </w:t>
      </w:r>
      <w:r>
        <w:rPr>
          <w:rStyle w:val="FootnoteAnchor"/>
          <w:rtl w:val="true"/>
        </w:rPr>
        <w:footnoteReference w:id="263"/>
      </w:r>
      <w:r>
        <w:rPr>
          <w:rFonts w:ascii="IRNazanin" w:hAnsi="IRNazanin" w:eastAsia="IRNazanin"/>
          <w:color w:val="111111"/>
          <w:sz w:val="28"/>
          <w:sz w:val="28"/>
          <w:szCs w:val="28"/>
          <w:rtl w:val="true"/>
          <w:lang w:bidi="fa-IR"/>
        </w:rPr>
        <w:t>وبه أخبار</w:t>
      </w:r>
    </w:p>
    <w:p>
      <w:pPr>
        <w:pStyle w:val="BookText"/>
        <w:rPr/>
      </w:pPr>
      <w:r>
        <w:rPr>
          <w:rFonts w:ascii="IRNazanin" w:hAnsi="IRNazanin" w:eastAsia="IRNazanin"/>
          <w:color w:val="111111"/>
          <w:sz w:val="28"/>
          <w:sz w:val="28"/>
          <w:szCs w:val="28"/>
          <w:rtl w:val="true"/>
          <w:lang w:bidi="fa-IR"/>
        </w:rPr>
        <w:t xml:space="preserve">صحیحة </w:t>
      </w:r>
      <w:r>
        <w:rPr>
          <w:rStyle w:val="FootnoteAnchor"/>
          <w:rtl w:val="true"/>
        </w:rPr>
        <w:footnoteReference w:id="264"/>
      </w:r>
      <w:r>
        <w:rPr>
          <w:rFonts w:ascii="Amiri" w:hAnsi="Amiri" w:eastAsia="Amiri" w:cs="Amiri"/>
          <w:color w:val="111111"/>
          <w:sz w:val="28"/>
          <w:sz w:val="28"/>
          <w:szCs w:val="28"/>
          <w:rtl w:val="true"/>
          <w:lang w:bidi="ar-SA"/>
        </w:rPr>
        <w:t xml:space="preserve">معارضة بمثلها </w:t>
      </w:r>
      <w:r>
        <w:rPr>
          <w:rStyle w:val="FootnoteAnchor"/>
          <w:rtl w:val="true"/>
        </w:rPr>
        <w:footnoteReference w:id="265"/>
      </w:r>
      <w:r>
        <w:rPr>
          <w:rFonts w:ascii="IRNazanin" w:hAnsi="IRNazanin" w:eastAsia="IRNazanin"/>
          <w:color w:val="111111"/>
          <w:sz w:val="28"/>
          <w:sz w:val="28"/>
          <w:szCs w:val="28"/>
          <w:rtl w:val="true"/>
          <w:lang w:bidi="fa-IR"/>
        </w:rPr>
        <w:t xml:space="preserve">وحملت علی التقیّة، أو الضرورة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یشترط الإیمان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الأصحّ؛ لقول أمیر المؤمنین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دان بکلمة الإسلام وصام وصلّی فذبیحته لکم حلال إذا ذکر اسم اللّٰه علیه</w:t>
      </w:r>
      <w:r>
        <w:rPr>
          <w:rFonts w:eastAsia="IRNazanin" w:cs="IRNazanin"/>
          <w:color w:val="111111"/>
          <w:sz w:val="28"/>
          <w:szCs w:val="28"/>
          <w:rtl w:val="true"/>
          <w:lang w:bidi="fa-IR"/>
        </w:rPr>
        <w:t xml:space="preserve">» </w:t>
      </w:r>
      <w:r>
        <w:rPr>
          <w:rStyle w:val="FootnoteAnchor"/>
          <w:rtl w:val="true"/>
        </w:rPr>
        <w:footnoteReference w:id="267"/>
      </w:r>
      <w:r>
        <w:rPr>
          <w:rFonts w:ascii="IRNazanin" w:hAnsi="IRNazanin" w:eastAsia="IRNazanin"/>
          <w:color w:val="111111"/>
          <w:sz w:val="28"/>
          <w:sz w:val="28"/>
          <w:szCs w:val="28"/>
          <w:rtl w:val="true"/>
          <w:lang w:bidi="fa-IR"/>
        </w:rPr>
        <w:t>ومفهوم الشرط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نّه إذا لم یذکر اسم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w:t>
      </w:r>
      <w:r>
        <w:rPr>
          <w:rFonts w:eastAsia="IRNazanin" w:cs="IRNazanin"/>
          <w:color w:val="111111"/>
          <w:sz w:val="28"/>
          <w:szCs w:val="28"/>
          <w:rtl w:val="true"/>
          <w:lang w:bidi="fa-IR"/>
        </w:rPr>
        <w:t xml:space="preserve">] </w:t>
      </w:r>
      <w:r>
        <w:rPr>
          <w:rStyle w:val="FootnoteAnchor"/>
          <w:rtl w:val="true"/>
        </w:rPr>
        <w:footnoteReference w:id="268"/>
      </w:r>
      <w:r>
        <w:rPr>
          <w:rFonts w:ascii="Amiri" w:hAnsi="Amiri" w:eastAsia="Amiri" w:cs="Amiri"/>
          <w:color w:val="111111"/>
          <w:sz w:val="28"/>
          <w:sz w:val="28"/>
          <w:szCs w:val="28"/>
          <w:rtl w:val="true"/>
          <w:lang w:bidi="ar-SA"/>
        </w:rPr>
        <w:t>لم یحلّ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وهل یشترط مع الذکر اعتقاد وجوبه؟ قولان </w:t>
      </w:r>
      <w:r>
        <w:rPr>
          <w:rStyle w:val="FootnoteAnchor"/>
          <w:rtl w:val="true"/>
        </w:rPr>
        <w:footnoteReference w:id="269"/>
      </w:r>
      <w:r>
        <w:rPr>
          <w:rFonts w:ascii="IRNazanin" w:hAnsi="IRNazanin" w:eastAsia="IRNazanin"/>
          <w:color w:val="111111"/>
          <w:sz w:val="28"/>
          <w:sz w:val="28"/>
          <w:szCs w:val="28"/>
          <w:rtl w:val="true"/>
          <w:lang w:bidi="fa-IR"/>
        </w:rPr>
        <w:t xml:space="preserve">من صدق ذکر اسم </w:t>
      </w:r>
      <w:r>
        <w:rPr>
          <w:rStyle w:val="FootnoteAnchor"/>
          <w:rtl w:val="true"/>
        </w:rPr>
        <w:footnoteReference w:id="270"/>
      </w:r>
      <w:r>
        <w:rPr>
          <w:rFonts w:ascii="IRNazanin" w:hAnsi="IRNazanin" w:eastAsia="IRNazanin"/>
          <w:color w:val="111111"/>
          <w:sz w:val="28"/>
          <w:sz w:val="28"/>
          <w:szCs w:val="28"/>
          <w:rtl w:val="true"/>
          <w:lang w:bidi="fa-IR"/>
        </w:rPr>
        <w:t>اللّٰه علیه وأصالة عدم الاشتراط، ومن اشترطه اعتبر إیقاعه علی وجهه کغیره من العبادات الواجبة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والأوّل أقوی</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وحیث لم یعتبر الإیمان صحّ مع مطلق الخلاف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لم یکن بالغاً حدّ النصب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لعداوة أهل البیت علیهم السلام فلا تحلّ حینئذٍ ذبیحته؛ لروایة أبی بصیر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ذبیحة الناصب لا تحلّ</w:t>
      </w:r>
      <w:r>
        <w:rPr>
          <w:rFonts w:eastAsia="IRNazanin" w:cs="IRNazanin"/>
          <w:color w:val="111111"/>
          <w:sz w:val="28"/>
          <w:szCs w:val="28"/>
          <w:rtl w:val="true"/>
          <w:lang w:bidi="fa-IR"/>
        </w:rPr>
        <w:t xml:space="preserve">» </w:t>
      </w:r>
      <w:r>
        <w:rPr>
          <w:rStyle w:val="FootnoteAnchor"/>
          <w:rtl w:val="true"/>
        </w:rPr>
        <w:footnoteReference w:id="271"/>
      </w:r>
      <w:r>
        <w:rPr>
          <w:rFonts w:ascii="IRNazanin" w:hAnsi="IRNazanin" w:eastAsia="IRNazanin"/>
          <w:color w:val="111111"/>
          <w:sz w:val="28"/>
          <w:sz w:val="28"/>
          <w:szCs w:val="28"/>
          <w:rtl w:val="true"/>
          <w:lang w:bidi="fa-IR"/>
        </w:rPr>
        <w:t>ولارتکاب الناصب خلاف ما هو المعلوم من دین النبیّ صلی الله علیه و آله ثبوته ضرورةً، فیکون کافراً، فیتناوله</w:t>
      </w:r>
      <w:bookmarkStart w:id="120" w:name="pg19815_253074"/>
    </w:p>
    <w:p>
      <w:pPr>
        <w:pStyle w:val="BookText"/>
        <w:rPr/>
      </w:pPr>
      <w:bookmarkEnd w:id="120"/>
      <w:r>
        <w:rPr>
          <w:rFonts w:ascii="IRNazanin" w:hAnsi="IRNazanin" w:eastAsia="IRNazanin"/>
          <w:color w:val="111111"/>
          <w:sz w:val="28"/>
          <w:sz w:val="28"/>
          <w:szCs w:val="28"/>
          <w:rtl w:val="true"/>
          <w:lang w:bidi="fa-IR"/>
        </w:rPr>
        <w:t>ما دلّ علی تحریم ذبیحة الکافر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ومثله الخارجیّ والمجسِّم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وقصّر جماعة </w:t>
      </w:r>
      <w:r>
        <w:rPr>
          <w:rStyle w:val="FootnoteAnchor"/>
          <w:rtl w:val="true"/>
        </w:rPr>
        <w:footnoteReference w:id="272"/>
      </w:r>
      <w:r>
        <w:rPr>
          <w:rFonts w:ascii="IRNazanin" w:hAnsi="IRNazanin" w:eastAsia="IRNazanin"/>
          <w:color w:val="111111"/>
          <w:sz w:val="28"/>
          <w:sz w:val="28"/>
          <w:szCs w:val="28"/>
          <w:rtl w:val="true"/>
          <w:lang w:bidi="fa-IR"/>
        </w:rPr>
        <w:t>الحلّ علی ما یذبحه المؤمن؛ لقول الکاظم علیه السلام لزکریّا بن آدم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أنهاک عن ذبیحة من کان علی خلاف الذی أنت علیه وأصحابک، إلّا فی وقت الضرورة إلیه</w:t>
      </w:r>
      <w:r>
        <w:rPr>
          <w:rFonts w:eastAsia="IRNazanin" w:cs="IRNazanin"/>
          <w:color w:val="111111"/>
          <w:sz w:val="28"/>
          <w:szCs w:val="28"/>
          <w:rtl w:val="true"/>
          <w:lang w:bidi="fa-IR"/>
        </w:rPr>
        <w:t xml:space="preserve">» </w:t>
      </w:r>
      <w:r>
        <w:rPr>
          <w:rStyle w:val="FootnoteAnchor"/>
          <w:rtl w:val="true"/>
        </w:rPr>
        <w:footnoteReference w:id="273"/>
      </w:r>
      <w:r>
        <w:rPr>
          <w:rFonts w:ascii="IRNazanin" w:hAnsi="IRNazanin" w:eastAsia="IRNazanin"/>
          <w:color w:val="111111"/>
          <w:sz w:val="28"/>
          <w:sz w:val="28"/>
          <w:szCs w:val="28"/>
          <w:rtl w:val="true"/>
          <w:lang w:bidi="fa-IR"/>
        </w:rPr>
        <w:t xml:space="preserve">ویحمل علی الکراهة بقرینة الضرورة، فإنّها أعمّ من وقت تحلّ فیه المیتة، ویمکن حمل النهی الوارد فی جمیع الباب علیه علیها </w:t>
      </w:r>
      <w:r>
        <w:rPr>
          <w:rStyle w:val="FootnoteAnchor"/>
          <w:rtl w:val="true"/>
        </w:rPr>
        <w:footnoteReference w:id="274"/>
      </w:r>
      <w:r>
        <w:rPr>
          <w:rFonts w:ascii="IRNazanin" w:hAnsi="IRNazanin" w:eastAsia="IRNazanin"/>
          <w:color w:val="111111"/>
          <w:sz w:val="28"/>
          <w:sz w:val="28"/>
          <w:szCs w:val="28"/>
          <w:rtl w:val="true"/>
          <w:lang w:bidi="fa-IR"/>
        </w:rPr>
        <w:t xml:space="preserve">جمعاً، ولعلّه أولی من الحمل علی التقیّة و </w:t>
      </w:r>
      <w:r>
        <w:rPr>
          <w:rStyle w:val="FootnoteAnchor"/>
          <w:rtl w:val="true"/>
        </w:rPr>
        <w:footnoteReference w:id="275"/>
      </w:r>
      <w:r>
        <w:rPr>
          <w:rFonts w:ascii="Amiri" w:hAnsi="Amiri" w:eastAsia="Amiri" w:cs="Amiri"/>
          <w:color w:val="111111"/>
          <w:sz w:val="28"/>
          <w:sz w:val="28"/>
          <w:szCs w:val="28"/>
          <w:rtl w:val="true"/>
          <w:lang w:bidi="ar-SA"/>
        </w:rPr>
        <w:t>الضرورة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ویحلّ ما تذبحه المسلمة والخصیّ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والمجبوب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والصبیّ الممیّز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 المجنون، ومن لا تمیّز له </w:t>
      </w:r>
      <w:r>
        <w:rPr>
          <w:rStyle w:val="FootnoteAnchor"/>
          <w:rtl w:val="true"/>
        </w:rPr>
        <w:footnoteReference w:id="276"/>
      </w:r>
      <w:r>
        <w:rPr>
          <w:rFonts w:ascii="IRNazanin" w:hAnsi="IRNazanin" w:eastAsia="IRNazanin"/>
          <w:color w:val="111111"/>
          <w:sz w:val="28"/>
          <w:sz w:val="28"/>
          <w:szCs w:val="28"/>
          <w:rtl w:val="true"/>
          <w:lang w:bidi="fa-IR"/>
        </w:rPr>
        <w:t xml:space="preserve">لعدم القصد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والجنب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والحائض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والنفساء؛ لانتفاء المانع مع وجود المقتضی للحلّ</w:t>
      </w:r>
      <w:r>
        <w:rPr>
          <w:rFonts w:eastAsia="IRNazanin" w:cs="IRNazanin"/>
          <w:color w:val="111111"/>
          <w:sz w:val="28"/>
          <w:szCs w:val="28"/>
          <w:rtl w:val="true"/>
          <w:lang w:bidi="fa-IR"/>
        </w:rPr>
        <w:t>.</w:t>
      </w:r>
    </w:p>
    <w:p>
      <w:pPr>
        <w:pStyle w:val="Heading4"/>
        <w:numPr>
          <w:ilvl w:val="3"/>
          <w:numId w:val="1"/>
        </w:numPr>
        <w:rPr/>
      </w:pPr>
      <w:bookmarkStart w:id="121" w:name="__RefHeading___Toc2227767_2314609296"/>
      <w:bookmarkStart w:id="122" w:name="_Toc46"/>
      <w:bookmarkEnd w:id="121"/>
      <w:r>
        <w:rPr>
          <w:rtl w:val="true"/>
        </w:rPr>
        <w:t>[«</w:t>
      </w:r>
      <w:r>
        <w:rPr>
          <w:rtl w:val="true"/>
        </w:rPr>
        <w:t>والواجب فی الذبیحة اُمور سبعة</w:t>
      </w:r>
      <w:r>
        <w:rPr>
          <w:rtl w:val="true"/>
        </w:rPr>
        <w:t>»]</w:t>
      </w:r>
      <w:bookmarkEnd w:id="122"/>
    </w:p>
    <w:p>
      <w:pPr>
        <w:pStyle w:val="Heading5"/>
        <w:numPr>
          <w:ilvl w:val="4"/>
          <w:numId w:val="1"/>
        </w:numPr>
        <w:rPr/>
      </w:pPr>
      <w:bookmarkStart w:id="123" w:name="__RefHeading___Toc2227769_2314609296"/>
      <w:bookmarkStart w:id="124" w:name="_Toc47"/>
      <w:bookmarkEnd w:id="123"/>
      <w:r>
        <w:rPr>
          <w:rtl w:val="true"/>
        </w:rPr>
        <w:t>[</w:t>
      </w:r>
      <w:r>
        <w:rPr>
          <w:rtl w:val="true"/>
        </w:rPr>
        <w:t>الاول</w:t>
      </w:r>
      <w:r>
        <w:rPr>
          <w:rtl w:val="true"/>
        </w:rPr>
        <w:t xml:space="preserve">: </w:t>
      </w:r>
      <w:r>
        <w:rPr>
          <w:rtl w:val="true"/>
        </w:rPr>
        <w:t>الفری بالحدید</w:t>
      </w:r>
      <w:r>
        <w:rPr>
          <w:rtl w:val="true"/>
        </w:rPr>
        <w:t>]</w:t>
      </w:r>
      <w:bookmarkEnd w:id="124"/>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فری الأعضاء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القدرة علیه؛ لقول الباقر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ذکاة إلّابالحدید</w:t>
      </w:r>
      <w:r>
        <w:rPr>
          <w:rFonts w:eastAsia="IRNazanin" w:cs="IRNazanin"/>
          <w:color w:val="111111"/>
          <w:sz w:val="28"/>
          <w:szCs w:val="28"/>
          <w:rtl w:val="true"/>
          <w:lang w:bidi="fa-IR"/>
        </w:rPr>
        <w:t xml:space="preserve">» </w:t>
      </w:r>
      <w:r>
        <w:rPr>
          <w:rStyle w:val="FootnoteAnchor"/>
          <w:rtl w:val="true"/>
        </w:rPr>
        <w:footnoteReference w:id="2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خیف فوت الذبیحة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بالموت وغیره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وتعذّر الحدید جاز بما یفری الأعضاء من لَیطة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القشر الأعلی</w:t>
      </w:r>
    </w:p>
    <w:p>
      <w:pPr>
        <w:pStyle w:val="BookText"/>
        <w:rPr/>
      </w:pPr>
      <w:r>
        <w:rPr>
          <w:rFonts w:ascii="IRNazanin" w:hAnsi="IRNazanin" w:eastAsia="IRNazanin"/>
          <w:color w:val="111111"/>
          <w:sz w:val="28"/>
          <w:sz w:val="28"/>
          <w:szCs w:val="28"/>
          <w:rtl w:val="true"/>
          <w:lang w:bidi="fa-IR"/>
        </w:rPr>
        <w:t xml:space="preserve">للقَصَب المتّصل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مَروة حادّة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حجر یقدح النار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زجاجة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مخیَّر فی ذلک من غیر ترجیح، وکذا ما أشبهها من الآلات الحادّة غیر الحدید؛ لصحیحة زید الشحّام عن الصادق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اذبح بالحجر وبالعظم وبالقصبة وبالعود إذا لم تُصِب الحدید، إذا قُطع الحلقوم وخرج الدم فلا بأس</w:t>
      </w:r>
      <w:r>
        <w:rPr>
          <w:rFonts w:eastAsia="IRNazanin" w:cs="IRNazanin"/>
          <w:color w:val="111111"/>
          <w:sz w:val="28"/>
          <w:szCs w:val="28"/>
          <w:rtl w:val="true"/>
          <w:lang w:bidi="fa-IR"/>
        </w:rPr>
        <w:t xml:space="preserve">» </w:t>
      </w:r>
      <w:r>
        <w:rPr>
          <w:rStyle w:val="FootnoteAnchor"/>
          <w:rtl w:val="true"/>
        </w:rPr>
        <w:footnoteReference w:id="278"/>
      </w:r>
      <w:r>
        <w:rPr>
          <w:rFonts w:ascii="IRNazanin" w:hAnsi="IRNazanin" w:eastAsia="IRNazanin"/>
          <w:color w:val="111111"/>
          <w:sz w:val="28"/>
          <w:sz w:val="28"/>
          <w:szCs w:val="28"/>
          <w:rtl w:val="true"/>
          <w:lang w:bidi="fa-IR"/>
        </w:rPr>
        <w:t>وفی حسنة عبد الرحمن عن الکاظم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المروة والقَصَبة والعود نذبح بها إذا لم نجد سکّیناً؟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فُری الأوداج فلا بأس بذلک</w:t>
      </w:r>
      <w:r>
        <w:rPr>
          <w:rFonts w:eastAsia="IRNazanin" w:cs="IRNazanin"/>
          <w:color w:val="111111"/>
          <w:sz w:val="28"/>
          <w:szCs w:val="28"/>
          <w:rtl w:val="true"/>
          <w:lang w:bidi="fa-IR"/>
        </w:rPr>
        <w:t xml:space="preserve">»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الظُفر والسِنّ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متّصلین ومنفصلین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للضرورة قول بالجواز</w:t>
      </w:r>
      <w:r>
        <w:rPr>
          <w:rFonts w:eastAsia="IRNazanin" w:cs="IRNazanin"/>
          <w:color w:val="111111"/>
          <w:sz w:val="28"/>
          <w:szCs w:val="28"/>
          <w:rtl w:val="true"/>
          <w:lang w:bidi="fa-IR"/>
        </w:rPr>
        <w:t xml:space="preserve">» </w:t>
      </w:r>
      <w:r>
        <w:rPr>
          <w:rStyle w:val="FootnoteAnchor"/>
          <w:rtl w:val="true"/>
        </w:rPr>
        <w:footnoteReference w:id="280"/>
      </w:r>
      <w:r>
        <w:rPr>
          <w:rFonts w:ascii="IRNazanin" w:hAnsi="IRNazanin" w:eastAsia="IRNazanin"/>
          <w:color w:val="111111"/>
          <w:sz w:val="28"/>
          <w:sz w:val="28"/>
          <w:szCs w:val="28"/>
          <w:rtl w:val="true"/>
          <w:lang w:bidi="fa-IR"/>
        </w:rPr>
        <w:t>لظاهر الخبرین السالفین، حیث اعتبر فیهما قطع الحلقوم، وفری الأوداج، ولم یعتبر خصوصیّة القاطع، وهو موجود فیهما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ومنعه الشیخ فی الخلاف </w:t>
      </w:r>
      <w:r>
        <w:rPr>
          <w:rStyle w:val="FootnoteAnchor"/>
          <w:rtl w:val="true"/>
        </w:rPr>
        <w:footnoteReference w:id="281"/>
      </w:r>
      <w:r>
        <w:rPr>
          <w:rFonts w:ascii="IRNazanin" w:hAnsi="IRNazanin" w:eastAsia="IRNazanin"/>
          <w:color w:val="111111"/>
          <w:sz w:val="28"/>
          <w:sz w:val="28"/>
          <w:szCs w:val="28"/>
          <w:rtl w:val="true"/>
          <w:lang w:bidi="fa-IR"/>
        </w:rPr>
        <w:t xml:space="preserve">محتجّاً بالإجماع وروایة رافع بن خدیج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النبیّ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اُنهر </w:t>
      </w:r>
      <w:r>
        <w:rPr>
          <w:rFonts w:eastAsia="IRNazanin" w:cs="IRNazanin"/>
          <w:color w:val="111111"/>
          <w:sz w:val="28"/>
          <w:szCs w:val="28"/>
          <w:rtl w:val="true"/>
          <w:lang w:bidi="fa-IR"/>
        </w:rPr>
        <w:t xml:space="preserve">] </w:t>
      </w:r>
      <w:r>
        <w:rPr>
          <w:rStyle w:val="FootnoteAnchor"/>
          <w:rtl w:val="true"/>
        </w:rPr>
        <w:footnoteReference w:id="282"/>
      </w:r>
      <w:r>
        <w:rPr>
          <w:rFonts w:ascii="Amiri" w:hAnsi="Amiri" w:eastAsia="Amiri" w:cs="Amiri"/>
          <w:color w:val="111111"/>
          <w:sz w:val="28"/>
          <w:sz w:val="28"/>
          <w:szCs w:val="28"/>
          <w:rtl w:val="true"/>
          <w:lang w:bidi="ar-SA"/>
        </w:rPr>
        <w:t>الدم وذُکر اسم اللّٰه علیه فکلوا إلّاما کان من سنّ أو ظفر وساُحدّثکم عن ذلک، أمّا السنّ فعظم، وأمّا الظفر فمُدی الحبشة</w:t>
      </w:r>
      <w:r>
        <w:rPr>
          <w:rFonts w:eastAsia="Amiri" w:cs="Amiri" w:ascii="Amiri" w:hAnsi="Amiri"/>
          <w:color w:val="111111"/>
          <w:sz w:val="28"/>
          <w:szCs w:val="28"/>
          <w:rtl w:val="true"/>
          <w:lang w:bidi="ar-SA"/>
        </w:rPr>
        <w:t xml:space="preserve">» </w:t>
      </w:r>
      <w:r>
        <w:rPr>
          <w:rStyle w:val="FootnoteAnchor"/>
          <w:rtl w:val="true"/>
        </w:rPr>
        <w:footnoteReference w:id="283"/>
      </w:r>
      <w:r>
        <w:rPr>
          <w:rFonts w:ascii="IRNazanin" w:hAnsi="IRNazanin" w:eastAsia="IRNazanin"/>
          <w:color w:val="111111"/>
          <w:sz w:val="28"/>
          <w:sz w:val="28"/>
          <w:szCs w:val="28"/>
          <w:rtl w:val="true"/>
          <w:lang w:bidi="fa-IR"/>
        </w:rPr>
        <w:t>والروایة عامّیّة، والإجماع ممنوع</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یمکن أن یقال مع اتّصالهما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یخرج عن مسمّی الذبح، بل هو أشبه</w:t>
      </w:r>
      <w:bookmarkStart w:id="125" w:name="pg19815_253076"/>
    </w:p>
    <w:p>
      <w:pPr>
        <w:pStyle w:val="BookText"/>
        <w:rPr/>
      </w:pPr>
      <w:bookmarkEnd w:id="125"/>
      <w:r>
        <w:rPr>
          <w:rFonts w:ascii="IRNazanin" w:hAnsi="IRNazanin" w:eastAsia="IRNazanin"/>
          <w:color w:val="111111"/>
          <w:sz w:val="28"/>
          <w:sz w:val="28"/>
          <w:szCs w:val="28"/>
          <w:rtl w:val="true"/>
          <w:lang w:bidi="fa-IR"/>
        </w:rPr>
        <w:t>بالأکل والتقطیع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واستقرب المصنّف فی الشرح المنع منهما مطلقاً </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وعلی تقدیر الجواز هل یساویان غیرهما ممّا یفری غیر الحدید، أو یترتّبان علی غیرهما مطلقاً </w:t>
      </w:r>
      <w:r>
        <w:rPr>
          <w:rStyle w:val="FootnoteAnchor"/>
          <w:rtl w:val="true"/>
        </w:rPr>
        <w:footnoteReference w:id="285"/>
      </w:r>
      <w:r>
        <w:rPr>
          <w:rFonts w:ascii="IRNazanin" w:hAnsi="IRNazanin" w:eastAsia="IRNazanin"/>
          <w:color w:val="111111"/>
          <w:sz w:val="28"/>
          <w:sz w:val="28"/>
          <w:szCs w:val="28"/>
          <w:rtl w:val="true"/>
          <w:lang w:bidi="fa-IR"/>
        </w:rPr>
        <w:t>؟ مقتضی استدلال المجوّز بالحدیثین،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الدروس استقرب الجواز بهما مطلقاً مع عدم غیرهما </w:t>
      </w:r>
      <w:r>
        <w:rPr>
          <w:rStyle w:val="FootnoteAnchor"/>
          <w:rtl w:val="true"/>
        </w:rPr>
        <w:footnoteReference w:id="286"/>
      </w:r>
      <w:r>
        <w:rPr>
          <w:rFonts w:ascii="IRNazanin" w:hAnsi="IRNazanin" w:eastAsia="IRNazanin"/>
          <w:color w:val="111111"/>
          <w:sz w:val="28"/>
          <w:sz w:val="28"/>
          <w:szCs w:val="28"/>
          <w:rtl w:val="true"/>
          <w:lang w:bidi="fa-IR"/>
        </w:rPr>
        <w:t>وهو الظاهر من تعلیقه الجواز بهما هنا علی الضرورة؛ إذ لا ضرورة مع وجود غیرهما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هو الأولی</w:t>
      </w:r>
      <w:r>
        <w:rPr>
          <w:rFonts w:eastAsia="IRNazanin" w:cs="IRNazanin"/>
          <w:color w:val="111111"/>
          <w:sz w:val="28"/>
          <w:szCs w:val="28"/>
          <w:rtl w:val="true"/>
          <w:lang w:bidi="fa-IR"/>
        </w:rPr>
        <w:t>.</w:t>
      </w:r>
    </w:p>
    <w:p>
      <w:pPr>
        <w:pStyle w:val="Heading5"/>
        <w:numPr>
          <w:ilvl w:val="4"/>
          <w:numId w:val="1"/>
        </w:numPr>
        <w:rPr/>
      </w:pPr>
      <w:bookmarkStart w:id="126" w:name="__RefHeading___Toc2227771_2314609296"/>
      <w:bookmarkStart w:id="127" w:name="_Toc48"/>
      <w:bookmarkEnd w:id="126"/>
      <w:r>
        <w:rPr>
          <w:rtl w:val="true"/>
        </w:rPr>
        <w:t>[«</w:t>
      </w:r>
      <w:r>
        <w:rPr>
          <w:rtl w:val="true"/>
        </w:rPr>
        <w:t>الثانی</w:t>
      </w:r>
      <w:r>
        <w:rPr>
          <w:rtl w:val="true"/>
        </w:rPr>
        <w:t xml:space="preserve">: </w:t>
      </w:r>
      <w:r>
        <w:rPr>
          <w:rtl w:val="true"/>
        </w:rPr>
        <w:t>استقبال القبلة</w:t>
      </w:r>
      <w:r>
        <w:rPr>
          <w:rtl w:val="true"/>
        </w:rPr>
        <w:t>»]</w:t>
      </w:r>
      <w:bookmarkEnd w:id="127"/>
    </w:p>
    <w:p>
      <w:pPr>
        <w:pStyle w:val="BookText"/>
        <w:rPr/>
      </w:pPr>
      <w:r>
        <w:rPr>
          <w:rFonts w:ascii="IRNazanin" w:hAnsi="IRNazanin" w:eastAsia="IRNazanin"/>
          <w:color w:val="111111"/>
          <w:sz w:val="28"/>
          <w:sz w:val="28"/>
          <w:szCs w:val="28"/>
          <w:rtl w:val="true"/>
          <w:lang w:bidi="fa-IR"/>
        </w:rPr>
        <w:t>بالمذبوح، لا استقبال الذابح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والمفهوم من استقبال المذبوح الاستقبال بمقادیم بدنه، ومنه مذبحه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وربما قیل بالاکتفاء باستقبال المذبح خاصّة </w:t>
      </w:r>
      <w:r>
        <w:rPr>
          <w:rStyle w:val="FootnoteAnchor"/>
          <w:rtl w:val="true"/>
        </w:rPr>
        <w:footnoteReference w:id="287"/>
      </w:r>
      <w:r>
        <w:rPr>
          <w:rFonts w:ascii="IRNazanin" w:hAnsi="IRNazanin" w:eastAsia="IRNazanin"/>
          <w:color w:val="111111"/>
          <w:sz w:val="28"/>
          <w:sz w:val="28"/>
          <w:szCs w:val="28"/>
          <w:rtl w:val="true"/>
          <w:lang w:bidi="fa-IR"/>
        </w:rPr>
        <w:t>وصحیحة محمّد بن مسلم عن أبی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الذبیحة،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استقبل بذبیحتک القبلة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Style w:val="FootnoteAnchor"/>
          <w:rtl w:val="true"/>
        </w:rPr>
        <w:footnoteReference w:id="288"/>
      </w:r>
      <w:r>
        <w:rPr>
          <w:rFonts w:ascii="Amiri" w:hAnsi="Amiri" w:eastAsia="Amiri" w:cs="Amiri"/>
          <w:color w:val="111111"/>
          <w:sz w:val="28"/>
          <w:sz w:val="28"/>
          <w:szCs w:val="28"/>
          <w:rtl w:val="true"/>
          <w:lang w:bidi="ar-SA"/>
        </w:rPr>
        <w:t>تدلّ علی الأوّل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الإمکان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التعذّر لاشتباه الجهة أو الاضطرار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لتردّی الحیوان أو استعصائه أو نحوه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یسقط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ترکها ناسیاً فلا 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للأخبار الکثیرة </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الجاهل وجهان، وإلحاقه بالناسی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حسنة محمّد بن مسلم،</w:t>
      </w:r>
      <w:bookmarkStart w:id="128" w:name="pg19815_253077"/>
    </w:p>
    <w:p>
      <w:pPr>
        <w:pStyle w:val="BookText"/>
        <w:rPr/>
      </w:pPr>
      <w:bookmarkEnd w:id="128"/>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جعفر علیه السلام عن رجل ذبح ذبیحة فجهل أن یوجّهها إلی القبلة،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منها</w:t>
      </w:r>
      <w:r>
        <w:rPr>
          <w:rFonts w:eastAsia="IRNazanin" w:cs="IRNazanin"/>
          <w:color w:val="111111"/>
          <w:sz w:val="28"/>
          <w:szCs w:val="28"/>
          <w:rtl w:val="true"/>
          <w:lang w:bidi="fa-IR"/>
        </w:rPr>
        <w:t xml:space="preserve">» </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9" w:name="__RefHeading___Toc2227773_2314609296"/>
      <w:bookmarkStart w:id="130" w:name="_Toc49"/>
      <w:bookmarkEnd w:id="129"/>
      <w:r>
        <w:rPr>
          <w:rtl w:val="true"/>
        </w:rPr>
        <w:t>[«</w:t>
      </w:r>
      <w:r>
        <w:rPr>
          <w:rtl w:val="true"/>
        </w:rPr>
        <w:t>الثالث</w:t>
      </w:r>
      <w:r>
        <w:rPr>
          <w:rtl w:val="true"/>
        </w:rPr>
        <w:t xml:space="preserve">: </w:t>
      </w:r>
      <w:r>
        <w:rPr>
          <w:rtl w:val="true"/>
        </w:rPr>
        <w:t>التسمیة</w:t>
      </w:r>
      <w:r>
        <w:rPr>
          <w:rtl w:val="true"/>
        </w:rPr>
        <w:t>»]</w:t>
      </w:r>
      <w:bookmarkEnd w:id="130"/>
    </w:p>
    <w:p>
      <w:pPr>
        <w:pStyle w:val="BookText"/>
        <w:rPr/>
      </w:pPr>
      <w:r>
        <w:rPr>
          <w:rFonts w:ascii="IRNazanin" w:hAnsi="IRNazanin" w:eastAsia="IRNazanin"/>
          <w:color w:val="111111"/>
          <w:sz w:val="28"/>
          <w:sz w:val="28"/>
          <w:szCs w:val="28"/>
          <w:rtl w:val="true"/>
          <w:lang w:bidi="fa-IR"/>
        </w:rPr>
        <w:t xml:space="preserve">عند الذبح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وهی أن یذکر اسم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سبق </w:t>
      </w:r>
      <w:r>
        <w:rPr>
          <w:rStyle w:val="FootnoteAnchor"/>
          <w:rtl w:val="true"/>
        </w:rPr>
        <w:footnoteReference w:id="291"/>
      </w:r>
      <w:r>
        <w:rPr>
          <w:rFonts w:ascii="IRNazanin" w:hAnsi="IRNazanin" w:eastAsia="IRNazanin"/>
          <w:color w:val="111111"/>
          <w:sz w:val="28"/>
          <w:sz w:val="28"/>
          <w:szCs w:val="28"/>
          <w:rtl w:val="true"/>
          <w:lang w:bidi="fa-IR"/>
        </w:rPr>
        <w:t>فلو ترکها عمداً فهی میتة إذا کان معتقداً لوجوبها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غیر المعتقد وجهان، وظاهر الأصحاب التحریم لقطعهم؛ باشتراطها من غیر تفصیل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واستشکل المصنّف ذلک، لحکمهم بحلّ ذبیحة المخالف علی الإطلاق ما لم یکن ناصباً، ولا ریب أنّ بعضهم لا یعتقد وجوبها </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ویمکن دفعه بأنّ حکمهم بحلّ ذبیحته من حیث هو مخالف، وذلک لا ینافی تحریمها من حیث الإخلال بشرط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بحلّها منه عند اشتباه الحال، عملاً بأصالة الصحّة وإطلاق الأدلّة، وترجیحاً للظاهر من حیث رجحانها عند من لا یوجبها، وعدم اشتراط اعتقاد الوجوب، بل المعتبر فعلها کما مرّ </w:t>
      </w:r>
      <w:r>
        <w:rPr>
          <w:rStyle w:val="FootnoteAnchor"/>
          <w:rtl w:val="true"/>
        </w:rPr>
        <w:footnoteReference w:id="293"/>
      </w:r>
      <w:r>
        <w:rPr>
          <w:rFonts w:ascii="IRNazanin" w:hAnsi="IRNazanin" w:eastAsia="IRNazanin"/>
          <w:color w:val="111111"/>
          <w:sz w:val="28"/>
          <w:sz w:val="28"/>
          <w:szCs w:val="28"/>
          <w:rtl w:val="true"/>
          <w:lang w:bidi="fa-IR"/>
        </w:rPr>
        <w:t>وإنّما یحکم بالتحریم مع العلم بعدم تسمیته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ومثله القول فی الاستقبال</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ترکها ناسیاً 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للنصّ </w:t>
      </w:r>
      <w:r>
        <w:rPr>
          <w:rStyle w:val="FootnoteAnchor"/>
          <w:rtl w:val="true"/>
        </w:rPr>
        <w:footnoteReference w:id="294"/>
      </w:r>
      <w:r>
        <w:rPr>
          <w:rFonts w:ascii="IRNazanin" w:hAnsi="IRNazanin" w:eastAsia="IRNazanin"/>
          <w:color w:val="111111"/>
          <w:sz w:val="28"/>
          <w:sz w:val="28"/>
          <w:szCs w:val="28"/>
          <w:rtl w:val="true"/>
          <w:lang w:bidi="fa-IR"/>
        </w:rPr>
        <w:t>وفی الجاهل الوجهان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ویمکن إلحاق</w:t>
      </w:r>
      <w:bookmarkStart w:id="131" w:name="pg19815_253078"/>
    </w:p>
    <w:p>
      <w:pPr>
        <w:pStyle w:val="BookText"/>
        <w:rPr/>
      </w:pPr>
      <w:bookmarkEnd w:id="131"/>
      <w:r>
        <w:rPr>
          <w:rFonts w:ascii="IRNazanin" w:hAnsi="IRNazanin" w:eastAsia="IRNazanin"/>
          <w:color w:val="111111"/>
          <w:sz w:val="28"/>
          <w:sz w:val="28"/>
          <w:szCs w:val="28"/>
          <w:rtl w:val="true"/>
          <w:lang w:bidi="fa-IR"/>
        </w:rPr>
        <w:t>المخالف الذی لا یعتقد وجوبها بالجاهل؛ لمشارکته له فی المعنی، خصوصاً المقلّد منهم</w:t>
      </w:r>
      <w:r>
        <w:rPr>
          <w:rFonts w:eastAsia="IRNazanin" w:cs="IRNazanin"/>
          <w:color w:val="111111"/>
          <w:sz w:val="28"/>
          <w:szCs w:val="28"/>
          <w:rtl w:val="true"/>
          <w:lang w:bidi="fa-IR"/>
        </w:rPr>
        <w:t>.</w:t>
      </w:r>
    </w:p>
    <w:p>
      <w:pPr>
        <w:pStyle w:val="Heading5"/>
        <w:numPr>
          <w:ilvl w:val="4"/>
          <w:numId w:val="1"/>
        </w:numPr>
        <w:rPr/>
      </w:pPr>
      <w:bookmarkStart w:id="132" w:name="__RefHeading___Toc2227775_2314609296"/>
      <w:bookmarkStart w:id="133" w:name="_Toc50"/>
      <w:bookmarkEnd w:id="132"/>
      <w:r>
        <w:rPr>
          <w:rtl w:val="true"/>
        </w:rPr>
        <w:t>[«</w:t>
      </w:r>
      <w:r>
        <w:rPr>
          <w:rtl w:val="true"/>
        </w:rPr>
        <w:t>الرابع</w:t>
      </w:r>
      <w:r>
        <w:rPr>
          <w:rtl w:val="true"/>
        </w:rPr>
        <w:t xml:space="preserve">: </w:t>
      </w:r>
      <w:r>
        <w:rPr>
          <w:rtl w:val="true"/>
        </w:rPr>
        <w:t>اختصاص الإبل بالنحر</w:t>
      </w:r>
      <w:r>
        <w:rPr>
          <w:rtl w:val="true"/>
        </w:rPr>
        <w:t>»]</w:t>
      </w:r>
      <w:bookmarkEnd w:id="133"/>
    </w:p>
    <w:p>
      <w:pPr>
        <w:pStyle w:val="BookText"/>
        <w:rPr/>
      </w:pPr>
      <w:r>
        <w:rPr>
          <w:rFonts w:ascii="IRNazanin" w:hAnsi="IRNazanin" w:eastAsia="IRNazanin"/>
          <w:color w:val="111111"/>
          <w:sz w:val="28"/>
          <w:sz w:val="28"/>
          <w:szCs w:val="28"/>
          <w:rtl w:val="true"/>
          <w:lang w:bidi="fa-IR"/>
        </w:rPr>
        <w:t xml:space="preserve">وذکره فی باب شرائط الذبح استطراد أو تغلیب لاسم الذبح علی ما یشمله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عداها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الحیوان القابل للتذکیة غیر ما یستثنی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بالذبح، فلو 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فذبح الإبل، أو جمع بین الأمرین، أو نحر ما عداها مختاراً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الضرورة کالمستعصی یحلّ کما یحلّ طعنه کیف اتّفق، ولو استدرک الذبح بعد النحر أو بالعکس احتمل التحریم؛ لاستناد موته إلیهما، وإن کان کلّ منهما کافیاً فی الإزهاق لو انفرد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حکم المصنّف </w:t>
      </w:r>
      <w:r>
        <w:rPr>
          <w:rStyle w:val="FootnoteAnchor"/>
          <w:rtl w:val="true"/>
        </w:rPr>
        <w:footnoteReference w:id="295"/>
      </w:r>
      <w:r>
        <w:rPr>
          <w:rFonts w:ascii="IRNazanin" w:hAnsi="IRNazanin" w:eastAsia="IRNazanin"/>
          <w:color w:val="111111"/>
          <w:sz w:val="28"/>
          <w:sz w:val="28"/>
          <w:szCs w:val="28"/>
          <w:rtl w:val="true"/>
          <w:lang w:bidi="fa-IR"/>
        </w:rPr>
        <w:t xml:space="preserve">وغیره </w:t>
      </w:r>
      <w:r>
        <w:rPr>
          <w:rStyle w:val="FootnoteAnchor"/>
          <w:rtl w:val="true"/>
        </w:rPr>
        <w:footnoteReference w:id="296"/>
      </w:r>
      <w:r>
        <w:rPr>
          <w:rFonts w:ascii="IRNazanin" w:hAnsi="IRNazanin" w:eastAsia="IRNazanin"/>
          <w:color w:val="111111"/>
          <w:sz w:val="28"/>
          <w:sz w:val="28"/>
          <w:szCs w:val="28"/>
          <w:rtl w:val="true"/>
          <w:lang w:bidi="fa-IR"/>
        </w:rPr>
        <w:t xml:space="preserve">باشتراط استناد موته إلی الذکاة خاصّة، وفرّعوا علیه أ نّه لو شرع فی الذبح فنزع آخَرُ حشوتَه </w:t>
      </w:r>
      <w:r>
        <w:rPr>
          <w:rStyle w:val="FootnoteAnchor"/>
          <w:rtl w:val="true"/>
        </w:rPr>
        <w:footnoteReference w:id="297"/>
      </w:r>
      <w:r>
        <w:rPr>
          <w:rFonts w:ascii="IRNazanin" w:hAnsi="IRNazanin" w:eastAsia="IRNazanin"/>
          <w:color w:val="111111"/>
          <w:sz w:val="28"/>
          <w:sz w:val="28"/>
          <w:szCs w:val="28"/>
          <w:rtl w:val="true"/>
          <w:lang w:bidi="fa-IR"/>
        </w:rPr>
        <w:t>معاً فمیتة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کلّ فعل لا تستقرّ معه الحیاة وهذا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والاکتفاء </w:t>
      </w:r>
      <w:r>
        <w:rPr>
          <w:rStyle w:val="FootnoteAnchor"/>
          <w:rtl w:val="true"/>
        </w:rPr>
        <w:footnoteReference w:id="298"/>
      </w:r>
      <w:r>
        <w:rPr>
          <w:rFonts w:ascii="IRNazanin" w:hAnsi="IRNazanin" w:eastAsia="IRNazanin"/>
          <w:color w:val="111111"/>
          <w:sz w:val="28"/>
          <w:sz w:val="28"/>
          <w:szCs w:val="28"/>
          <w:rtl w:val="true"/>
          <w:lang w:bidi="fa-IR"/>
        </w:rPr>
        <w:t>بالحرکة بعد الفعل المعتبر أو خروج الدم المعتدل، کما سیأتی</w:t>
      </w:r>
      <w:r>
        <w:rPr>
          <w:rFonts w:eastAsia="IRNazanin" w:cs="IRNazanin"/>
          <w:color w:val="111111"/>
          <w:sz w:val="28"/>
          <w:szCs w:val="28"/>
          <w:rtl w:val="true"/>
          <w:lang w:bidi="fa-IR"/>
        </w:rPr>
        <w:t>.</w:t>
      </w:r>
    </w:p>
    <w:p>
      <w:pPr>
        <w:pStyle w:val="Heading5"/>
        <w:numPr>
          <w:ilvl w:val="4"/>
          <w:numId w:val="1"/>
        </w:numPr>
        <w:rPr/>
      </w:pPr>
      <w:bookmarkStart w:id="134" w:name="__RefHeading___Toc2227777_2314609296"/>
      <w:bookmarkStart w:id="135" w:name="_Toc51"/>
      <w:bookmarkEnd w:id="134"/>
      <w:r>
        <w:rPr>
          <w:rtl w:val="true"/>
        </w:rPr>
        <w:t>[«</w:t>
      </w:r>
      <w:r>
        <w:rPr>
          <w:rtl w:val="true"/>
        </w:rPr>
        <w:t>الخامس</w:t>
      </w:r>
      <w:r>
        <w:rPr>
          <w:rtl w:val="true"/>
        </w:rPr>
        <w:t xml:space="preserve">: </w:t>
      </w:r>
      <w:r>
        <w:rPr>
          <w:rtl w:val="true"/>
        </w:rPr>
        <w:t>قطع الأعضاء الأربعة</w:t>
      </w:r>
      <w:r>
        <w:rPr>
          <w:rtl w:val="true"/>
        </w:rPr>
        <w:t>»]</w:t>
      </w:r>
      <w:bookmarkEnd w:id="135"/>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المذبوح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وهی المریء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المیم والهمز آخره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مجری الطعام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والشراب المتّصل بالحلقوم</w:t>
      </w:r>
      <w:bookmarkStart w:id="136" w:name="pg19815_253079"/>
    </w:p>
    <w:p>
      <w:pPr>
        <w:pStyle w:val="BookText"/>
        <w:rPr/>
      </w:pPr>
      <w:bookmarkEnd w:id="13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بضمّ الحاء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للنَفَس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المعدّ لجریه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والوَدَجان وهما عرقان یکتنفان الحلقوم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قطع بعض هذه لم یحلّ وإن بقی یسیر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یکفی قطع الحلقوم </w:t>
      </w:r>
      <w:r>
        <w:rPr>
          <w:rStyle w:val="FootnoteAnchor"/>
          <w:rtl w:val="true"/>
        </w:rPr>
        <w:footnoteReference w:id="299"/>
      </w:r>
      <w:r>
        <w:rPr>
          <w:rFonts w:ascii="IRNazanin" w:hAnsi="IRNazanin" w:eastAsia="IRNazanin"/>
          <w:color w:val="111111"/>
          <w:sz w:val="28"/>
          <w:sz w:val="28"/>
          <w:szCs w:val="28"/>
          <w:rtl w:val="true"/>
          <w:lang w:bidi="fa-IR"/>
        </w:rPr>
        <w:t>لصحیحة زید الشحّام عن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قطع الحلقوم وجری الدم فلا بأس</w:t>
      </w:r>
      <w:r>
        <w:rPr>
          <w:rFonts w:eastAsia="IRNazanin" w:cs="IRNazanin"/>
          <w:color w:val="111111"/>
          <w:sz w:val="28"/>
          <w:szCs w:val="28"/>
          <w:rtl w:val="true"/>
          <w:lang w:bidi="fa-IR"/>
        </w:rPr>
        <w:t xml:space="preserve">» </w:t>
      </w:r>
      <w:r>
        <w:rPr>
          <w:rStyle w:val="FootnoteAnchor"/>
          <w:rtl w:val="true"/>
        </w:rPr>
        <w:footnoteReference w:id="300"/>
      </w:r>
      <w:r>
        <w:rPr>
          <w:rFonts w:ascii="IRNazanin" w:hAnsi="IRNazanin" w:eastAsia="IRNazanin"/>
          <w:color w:val="111111"/>
          <w:sz w:val="28"/>
          <w:sz w:val="28"/>
          <w:szCs w:val="28"/>
          <w:rtl w:val="true"/>
          <w:lang w:bidi="fa-IR"/>
        </w:rPr>
        <w:t xml:space="preserve">وحُملت علی الضرورة؛ لأنّها وردت فی سیاقها مع معارضتها بغیرها </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ومحلّ الذبح الحلق تحت اللحیین، ومحلّ النحر وهدة اللَبّة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یعتبر فیه قطع الأعضاء، 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یکفی فی المنحور طعنة فی وهدة اللَبّة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ثغرة النحر بین الترقوتین، وأصل الوهدة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المکان المطمئنّ، وهو المنخفض، واللَبّة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بفتح اللام وتشدید الباء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حدّ للطعنة طولاً ولا عرضاً، بل المعتبر موته بها خاصّة</w:t>
      </w:r>
      <w:r>
        <w:rPr>
          <w:rFonts w:eastAsia="IRNazanin" w:cs="IRNazanin"/>
          <w:color w:val="111111"/>
          <w:sz w:val="28"/>
          <w:szCs w:val="28"/>
          <w:rtl w:val="true"/>
          <w:lang w:bidi="fa-IR"/>
        </w:rPr>
        <w:t>.</w:t>
      </w:r>
    </w:p>
    <w:p>
      <w:pPr>
        <w:pStyle w:val="Heading5"/>
        <w:numPr>
          <w:ilvl w:val="4"/>
          <w:numId w:val="1"/>
        </w:numPr>
        <w:rPr/>
      </w:pPr>
      <w:bookmarkStart w:id="137" w:name="__RefHeading___Toc2227779_2314609296"/>
      <w:bookmarkStart w:id="138" w:name="_Toc52"/>
      <w:bookmarkEnd w:id="137"/>
      <w:r>
        <w:rPr>
          <w:rtl w:val="true"/>
        </w:rPr>
        <w:t>[«</w:t>
      </w:r>
      <w:r>
        <w:rPr>
          <w:rtl w:val="true"/>
        </w:rPr>
        <w:t>السادس</w:t>
      </w:r>
      <w:r>
        <w:rPr>
          <w:rtl w:val="true"/>
        </w:rPr>
        <w:t xml:space="preserve">: </w:t>
      </w:r>
      <w:r>
        <w:rPr>
          <w:rtl w:val="true"/>
        </w:rPr>
        <w:t>الحرکة بعد الذبح</w:t>
      </w:r>
      <w:r>
        <w:rPr>
          <w:rtl w:val="true"/>
        </w:rPr>
        <w:t>»]</w:t>
      </w:r>
      <w:bookmarkEnd w:id="138"/>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 النحر، ویکفی مسمّاها فی بعض الأعضاء کالذَنَب والاُذن، دون التقلّص والاختلاج، فإنّه قد یحصل فی اللحم المسلوخ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خروج الدم المعتدل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الخارج بدفع لا المتثاقل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انتفیا حرم؛ لصحیحة الحلبی </w:t>
      </w:r>
      <w:r>
        <w:rPr>
          <w:rStyle w:val="FootnoteAnchor"/>
          <w:rtl w:val="true"/>
        </w:rPr>
        <w:footnoteReference w:id="302"/>
      </w:r>
      <w:r>
        <w:rPr>
          <w:rFonts w:ascii="IRNazanin" w:hAnsi="IRNazanin" w:eastAsia="IRNazanin"/>
          <w:color w:val="111111"/>
          <w:sz w:val="28"/>
          <w:sz w:val="28"/>
          <w:szCs w:val="28"/>
          <w:rtl w:val="true"/>
          <w:lang w:bidi="fa-IR"/>
        </w:rPr>
        <w:t xml:space="preserve">علی الأوّل وروایة الحسین بن مسلم </w:t>
      </w:r>
      <w:r>
        <w:rPr>
          <w:rStyle w:val="FootnoteAnchor"/>
          <w:rtl w:val="true"/>
        </w:rPr>
        <w:footnoteReference w:id="303"/>
      </w:r>
      <w:r>
        <w:rPr>
          <w:rFonts w:ascii="IRNazanin" w:hAnsi="IRNazanin" w:eastAsia="IRNazanin"/>
          <w:color w:val="111111"/>
          <w:sz w:val="28"/>
          <w:sz w:val="28"/>
          <w:szCs w:val="28"/>
          <w:rtl w:val="true"/>
          <w:lang w:bidi="fa-IR"/>
        </w:rPr>
        <w:t>علی الثانی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واعتبر جماعة اجتماعهما </w:t>
      </w:r>
      <w:r>
        <w:rPr>
          <w:rStyle w:val="FootnoteAnchor"/>
          <w:rtl w:val="true"/>
        </w:rPr>
        <w:footnoteReference w:id="304"/>
      </w:r>
      <w:r>
        <w:rPr>
          <w:rFonts w:ascii="IRNazanin" w:hAnsi="IRNazanin" w:eastAsia="IRNazanin"/>
          <w:color w:val="111111"/>
          <w:sz w:val="28"/>
          <w:sz w:val="28"/>
          <w:szCs w:val="28"/>
          <w:rtl w:val="true"/>
          <w:lang w:bidi="fa-IR"/>
        </w:rPr>
        <w:t xml:space="preserve">وآخرون الحرکة وحدها </w:t>
      </w:r>
      <w:r>
        <w:rPr>
          <w:rStyle w:val="FootnoteAnchor"/>
          <w:rtl w:val="true"/>
        </w:rPr>
        <w:footnoteReference w:id="305"/>
      </w:r>
      <w:r>
        <w:rPr>
          <w:rFonts w:ascii="IRNazanin" w:hAnsi="IRNazanin" w:eastAsia="IRNazanin"/>
          <w:color w:val="111111"/>
          <w:sz w:val="28"/>
          <w:sz w:val="28"/>
          <w:szCs w:val="28"/>
          <w:rtl w:val="true"/>
          <w:lang w:bidi="fa-IR"/>
        </w:rPr>
        <w:t>لصحّة روایتها وجهالة الاُخری بالحسین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الأقوی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وصحیحة الحلبی وغیرها </w:t>
      </w:r>
      <w:r>
        <w:rPr>
          <w:rStyle w:val="FootnoteAnchor"/>
          <w:rtl w:val="true"/>
        </w:rPr>
        <w:footnoteReference w:id="306"/>
      </w:r>
      <w:r>
        <w:rPr>
          <w:rFonts w:ascii="IRNazanin" w:hAnsi="IRNazanin" w:eastAsia="IRNazanin"/>
          <w:color w:val="111111"/>
          <w:sz w:val="28"/>
          <w:sz w:val="28"/>
          <w:szCs w:val="28"/>
          <w:rtl w:val="true"/>
          <w:lang w:bidi="fa-IR"/>
        </w:rPr>
        <w:t>مصرّحة بالاکتفاء فی الحرکة بطرف العین، أو تحریک الذَنَب أو الاُذُن، من غیر اعتبار أمر آخر</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ولکنّ المصنّف هنا وغیره من المتأخّرین </w:t>
      </w:r>
      <w:r>
        <w:rPr>
          <w:rStyle w:val="FootnoteAnchor"/>
          <w:rtl w:val="true"/>
        </w:rPr>
        <w:footnoteReference w:id="307"/>
      </w:r>
      <w:r>
        <w:rPr>
          <w:rFonts w:ascii="Amiri" w:hAnsi="Amiri" w:eastAsia="Amiri" w:cs="Amiri"/>
          <w:color w:val="111111"/>
          <w:sz w:val="28"/>
          <w:sz w:val="28"/>
          <w:szCs w:val="28"/>
          <w:rtl w:val="true"/>
          <w:lang w:bidi="ar-SA"/>
        </w:rPr>
        <w:t>اشترطوا مع ذلک أمراً آخر کما نبّه علیه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علم عدم استقرار الحیاة 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نقف لهم فیه علی مستند، وظاهر القدماء کالأخبار الاکتفاء بأحد الأمرین أو بهما من غیر اعتبار استقرار الحیاة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 الآیة إیماء إلیه وهی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حُرِّمَتْ عَلَیْکُمُ اَلْمَیْتَةُ وَ 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مٰا ذَکَّیْتُمْ</w:t>
      </w:r>
      <w:r>
        <w:rPr>
          <w:rFonts w:eastAsia="Amiri" w:cs="Amiri" w:ascii="Amiri" w:hAnsi="Amiri"/>
          <w:color w:val="111111"/>
          <w:sz w:val="28"/>
          <w:szCs w:val="28"/>
          <w:rtl w:val="true"/>
          <w:lang w:bidi="ar-SA"/>
        </w:rPr>
        <w:t xml:space="preserve">) </w:t>
      </w:r>
      <w:r>
        <w:rPr>
          <w:rStyle w:val="FootnoteAnchor"/>
          <w:rtl w:val="true"/>
        </w:rPr>
        <w:footnoteReference w:id="308"/>
      </w:r>
      <w:r>
        <w:rPr>
          <w:rFonts w:ascii="IRNazanin" w:hAnsi="IRNazanin" w:eastAsia="IRNazanin"/>
          <w:color w:val="111111"/>
          <w:sz w:val="28"/>
          <w:sz w:val="28"/>
          <w:szCs w:val="28"/>
          <w:rtl w:val="true"/>
          <w:lang w:bidi="fa-IR"/>
        </w:rPr>
        <w:t>ففی صحیحة زرارة عن الباقر علیه السلام فی تفسیرها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أدرکت شیئاً منها عین تطرف أو قائمة ترکض، أو ذَ نَب یمصع فقد</w:t>
      </w:r>
      <w:bookmarkStart w:id="139" w:name="pg19815_253081"/>
    </w:p>
    <w:p>
      <w:pPr>
        <w:pStyle w:val="BookText"/>
        <w:rPr/>
      </w:pPr>
      <w:bookmarkEnd w:id="139"/>
      <w:r>
        <w:rPr>
          <w:rFonts w:ascii="IRNazanin" w:hAnsi="IRNazanin" w:eastAsia="IRNazanin"/>
          <w:color w:val="111111"/>
          <w:sz w:val="28"/>
          <w:sz w:val="28"/>
          <w:szCs w:val="28"/>
          <w:rtl w:val="true"/>
          <w:lang w:bidi="fa-IR"/>
        </w:rPr>
        <w:t>أدرکت ذکاته، فکله</w:t>
      </w:r>
      <w:r>
        <w:rPr>
          <w:rFonts w:eastAsia="IRNazanin" w:cs="IRNazanin"/>
          <w:color w:val="111111"/>
          <w:sz w:val="28"/>
          <w:szCs w:val="28"/>
          <w:rtl w:val="true"/>
          <w:lang w:bidi="fa-IR"/>
        </w:rPr>
        <w:t xml:space="preserve">» </w:t>
      </w:r>
      <w:r>
        <w:rPr>
          <w:rStyle w:val="FootnoteAnchor"/>
          <w:rtl w:val="true"/>
        </w:rPr>
        <w:footnoteReference w:id="309"/>
      </w:r>
      <w:r>
        <w:rPr>
          <w:rFonts w:ascii="IRNazanin" w:hAnsi="IRNazanin" w:eastAsia="IRNazanin"/>
          <w:color w:val="111111"/>
          <w:sz w:val="28"/>
          <w:sz w:val="28"/>
          <w:szCs w:val="28"/>
          <w:rtl w:val="true"/>
          <w:lang w:bidi="fa-IR"/>
        </w:rPr>
        <w:t xml:space="preserve">ومثلها أخبار کثیرة </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المصنّف فی الدروس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یحیی </w:t>
      </w:r>
      <w:r>
        <w:rPr>
          <w:rStyle w:val="FootnoteAnchor"/>
          <w:rtl w:val="true"/>
        </w:rPr>
        <w:footnoteReference w:id="311"/>
      </w:r>
      <w:r>
        <w:rPr>
          <w:rFonts w:ascii="IRNazanin" w:hAnsi="IRNazanin" w:eastAsia="IRNazanin"/>
          <w:color w:val="111111"/>
          <w:sz w:val="28"/>
          <w:sz w:val="28"/>
          <w:szCs w:val="28"/>
          <w:rtl w:val="true"/>
          <w:lang w:bidi="fa-IR"/>
        </w:rPr>
        <w:t xml:space="preserve">أنّ اعتبار استقرار الحیاة لیس من المذهب، ونعم ما قال </w:t>
      </w:r>
      <w:r>
        <w:rPr>
          <w:rStyle w:val="FootnoteAnchor"/>
          <w:rtl w:val="true"/>
        </w:rPr>
        <w:footnoteReference w:id="312"/>
      </w:r>
      <w:r>
        <w:rPr>
          <w:rFonts w:ascii="IRNazanin" w:hAnsi="IRNazanin" w:eastAsia="IRNazanin"/>
          <w:color w:val="111111"/>
          <w:sz w:val="28"/>
          <w:sz w:val="28"/>
          <w:szCs w:val="28"/>
          <w:rtl w:val="true"/>
          <w:lang w:bidi="fa-IR"/>
        </w:rPr>
        <w:t>وهذا خلاف ما حکم به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هذا یعتبر فی المشرف علی الموت وأکیل السبع وغیره، الحرکة بعد الذبح وإن لم یکن مستقرّ الحیاة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اعتبر معها خروج الدم المعتدل کان أولی</w:t>
      </w:r>
      <w:r>
        <w:rPr>
          <w:rFonts w:eastAsia="IRNazanin" w:cs="IRNazanin"/>
          <w:color w:val="111111"/>
          <w:sz w:val="28"/>
          <w:szCs w:val="28"/>
          <w:rtl w:val="true"/>
          <w:lang w:bidi="fa-IR"/>
        </w:rPr>
        <w:t>.</w:t>
      </w:r>
    </w:p>
    <w:p>
      <w:pPr>
        <w:pStyle w:val="Heading5"/>
        <w:numPr>
          <w:ilvl w:val="4"/>
          <w:numId w:val="1"/>
        </w:numPr>
        <w:rPr/>
      </w:pPr>
      <w:bookmarkStart w:id="140" w:name="__RefHeading___Toc2227781_2314609296"/>
      <w:bookmarkStart w:id="141" w:name="_Toc53"/>
      <w:bookmarkEnd w:id="140"/>
      <w:r>
        <w:rPr>
          <w:rtl w:val="true"/>
        </w:rPr>
        <w:t>[«</w:t>
      </w:r>
      <w:r>
        <w:rPr>
          <w:rtl w:val="true"/>
        </w:rPr>
        <w:t>السابع</w:t>
      </w:r>
      <w:r>
        <w:rPr>
          <w:rtl w:val="true"/>
        </w:rPr>
        <w:t xml:space="preserve">: </w:t>
      </w:r>
      <w:r>
        <w:rPr>
          <w:rtl w:val="true"/>
        </w:rPr>
        <w:t>متابعة الذبح حتّی یستوفی</w:t>
      </w:r>
      <w:r>
        <w:rPr>
          <w:rtl w:val="true"/>
        </w:rPr>
        <w:t>»]</w:t>
      </w:r>
      <w:bookmarkEnd w:id="141"/>
    </w:p>
    <w:p>
      <w:pPr>
        <w:pStyle w:val="BookText"/>
        <w:rPr/>
      </w:pPr>
      <w:r>
        <w:rPr>
          <w:rFonts w:ascii="IRNazanin" w:hAnsi="IRNazanin" w:eastAsia="IRNazanin"/>
          <w:color w:val="111111"/>
          <w:sz w:val="28"/>
          <w:sz w:val="28"/>
          <w:szCs w:val="28"/>
          <w:rtl w:val="true"/>
          <w:lang w:bidi="fa-IR"/>
        </w:rPr>
        <w:t>قطع الأعضاء، فلو قطع البعض وأرسله ثمّ تمّمه أو تثاقل بقطع البعض حرم إن لم یکن فی الحیاة استقرار؛ لعدم صدق الذبح مع التفرقة کثیراً؛ لأنّ الأوّل غیر محلِّل، والثانی یجری مجری التجهیز علی المیّت</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ویشکل مع صدق اسم الذبح عرفاً </w:t>
      </w:r>
      <w:r>
        <w:rPr>
          <w:rStyle w:val="FootnoteAnchor"/>
          <w:rtl w:val="true"/>
        </w:rPr>
        <w:footnoteReference w:id="313"/>
      </w:r>
      <w:r>
        <w:rPr>
          <w:rFonts w:ascii="IRNazanin" w:hAnsi="IRNazanin" w:eastAsia="IRNazanin"/>
          <w:color w:val="111111"/>
          <w:sz w:val="28"/>
          <w:sz w:val="28"/>
          <w:szCs w:val="28"/>
          <w:rtl w:val="true"/>
          <w:lang w:bidi="fa-IR"/>
        </w:rPr>
        <w:t xml:space="preserve">ویمکن استناد </w:t>
      </w:r>
      <w:r>
        <w:rPr>
          <w:rStyle w:val="FootnoteAnchor"/>
          <w:rtl w:val="true"/>
        </w:rPr>
        <w:footnoteReference w:id="314"/>
      </w:r>
      <w:r>
        <w:rPr>
          <w:rFonts w:ascii="IRNazanin" w:hAnsi="IRNazanin" w:eastAsia="IRNazanin"/>
          <w:color w:val="111111"/>
          <w:sz w:val="28"/>
          <w:sz w:val="28"/>
          <w:szCs w:val="28"/>
          <w:rtl w:val="true"/>
          <w:lang w:bidi="fa-IR"/>
        </w:rPr>
        <w:t>الإباحة إلی الجمیع، ولولاه لورد مثله مع التوالی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واعتبار استقرار الحیاة ممنوع، والحرکة الیسیرة الکافیة مصحّحة فیهما </w:t>
      </w:r>
      <w:r>
        <w:rPr>
          <w:rStyle w:val="FootnoteAnchor"/>
          <w:rtl w:val="true"/>
        </w:rPr>
        <w:footnoteReference w:id="315"/>
      </w:r>
      <w:r>
        <w:rPr>
          <w:rFonts w:ascii="IRNazanin" w:hAnsi="IRNazanin" w:eastAsia="IRNazanin"/>
          <w:color w:val="111111"/>
          <w:sz w:val="28"/>
          <w:sz w:val="28"/>
          <w:szCs w:val="28"/>
          <w:rtl w:val="true"/>
          <w:lang w:bidi="fa-IR"/>
        </w:rPr>
        <w:t>مع أصالة الإباحة إذا صدق اسم الذبح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الأقوی</w:t>
      </w:r>
      <w:r>
        <w:rPr>
          <w:rFonts w:eastAsia="IRNazanin" w:cs="IRNazanin"/>
          <w:color w:val="111111"/>
          <w:sz w:val="28"/>
          <w:szCs w:val="28"/>
          <w:rtl w:val="true"/>
          <w:lang w:bidi="fa-IR"/>
        </w:rPr>
        <w:t>.</w:t>
      </w:r>
      <w:bookmarkStart w:id="142" w:name="pg19815_253082"/>
    </w:p>
    <w:p>
      <w:pPr>
        <w:pStyle w:val="BookText"/>
        <w:rPr/>
      </w:pPr>
      <w:bookmarkEnd w:id="14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القولین </w:t>
      </w:r>
      <w:r>
        <w:rPr>
          <w:rStyle w:val="FootnoteAnchor"/>
          <w:rtl w:val="true"/>
        </w:rPr>
        <w:footnoteReference w:id="3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تضرّ التفرقة الیسیرة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لا تخرج عن المتابعة عادة</w:t>
      </w:r>
      <w:r>
        <w:rPr>
          <w:rFonts w:eastAsia="IRNazanin" w:cs="IRNazanin"/>
          <w:color w:val="111111"/>
          <w:sz w:val="28"/>
          <w:szCs w:val="28"/>
          <w:rtl w:val="true"/>
          <w:lang w:bidi="fa-IR"/>
        </w:rPr>
        <w:t>.</w:t>
      </w:r>
    </w:p>
    <w:p>
      <w:pPr>
        <w:pStyle w:val="Heading4"/>
        <w:numPr>
          <w:ilvl w:val="3"/>
          <w:numId w:val="1"/>
        </w:numPr>
        <w:rPr/>
      </w:pPr>
      <w:bookmarkStart w:id="143" w:name="__RefHeading___Toc2227783_2314609296"/>
      <w:bookmarkStart w:id="144" w:name="_Toc54"/>
      <w:bookmarkEnd w:id="143"/>
      <w:r>
        <w:rPr>
          <w:rtl w:val="true"/>
        </w:rPr>
        <w:t>[</w:t>
      </w:r>
      <w:r>
        <w:rPr>
          <w:rtl w:val="true"/>
        </w:rPr>
        <w:t>مستحبات الذبح و مکروهه</w:t>
      </w:r>
      <w:r>
        <w:rPr>
          <w:rtl w:val="true"/>
        </w:rPr>
        <w:t>]</w:t>
      </w:r>
      <w:bookmarkEnd w:id="14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ویستحبّ نحر الإبل قد رُبطت أخفافها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أخفاف یدیها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آباطها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یربطهما معاً مجتمعین من الخفّ إلی الآباط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أ نّه یعقل یدها الیسری من الخفّ إلی الرُکبة ویوقفها علی </w:t>
      </w:r>
      <w:r>
        <w:rPr>
          <w:rStyle w:val="FootnoteAnchor"/>
          <w:rtl w:val="true"/>
        </w:rPr>
        <w:footnoteReference w:id="317"/>
      </w:r>
      <w:r>
        <w:rPr>
          <w:rFonts w:ascii="IRNazanin" w:hAnsi="IRNazanin" w:eastAsia="IRNazanin"/>
          <w:color w:val="111111"/>
          <w:sz w:val="28"/>
          <w:sz w:val="28"/>
          <w:szCs w:val="28"/>
          <w:rtl w:val="true"/>
          <w:lang w:bidi="fa-IR"/>
        </w:rPr>
        <w:t xml:space="preserve">الیمنی </w:t>
      </w:r>
      <w:r>
        <w:rPr>
          <w:rStyle w:val="FootnoteAnchor"/>
          <w:rtl w:val="true"/>
        </w:rPr>
        <w:footnoteReference w:id="318"/>
      </w:r>
      <w:r>
        <w:rPr>
          <w:rFonts w:ascii="IRNazanin" w:hAnsi="IRNazanin" w:eastAsia="IRNazanin"/>
          <w:color w:val="111111"/>
          <w:sz w:val="28"/>
          <w:sz w:val="28"/>
          <w:szCs w:val="28"/>
          <w:rtl w:val="true"/>
          <w:lang w:bidi="fa-IR"/>
        </w:rPr>
        <w:t xml:space="preserve">وکلاهما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واُطلقت أرجُلها والبقر تُعقل یداه ورجلاه ویطلق ذنبه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والغنم تُربط یداه ورجل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وتطلق الاُخری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ویُمسک صوفه وشعره ووَبرَه حتّی 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روایة حمران ابن أعین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من الغنم فأمسک صوفه أو شعره ولا تمسکن یداً ولا رجلاً</w:t>
      </w:r>
      <w:r>
        <w:rPr>
          <w:rFonts w:eastAsia="IRNazanin" w:cs="IRNazanin"/>
          <w:color w:val="111111"/>
          <w:sz w:val="28"/>
          <w:szCs w:val="28"/>
          <w:rtl w:val="true"/>
          <w:lang w:bidi="fa-IR"/>
        </w:rPr>
        <w:t xml:space="preserve">» </w:t>
      </w:r>
      <w:r>
        <w:rPr>
          <w:rStyle w:val="FootnoteAnchor"/>
          <w:rtl w:val="true"/>
        </w:rPr>
        <w:footnoteReference w:id="319"/>
      </w:r>
      <w:r>
        <w:rPr>
          <w:rFonts w:ascii="IRNazanin" w:hAnsi="IRNazanin" w:eastAsia="IRNazanin"/>
          <w:color w:val="111111"/>
          <w:sz w:val="28"/>
          <w:sz w:val="28"/>
          <w:szCs w:val="28"/>
          <w:rtl w:val="true"/>
          <w:lang w:bidi="fa-IR"/>
        </w:rPr>
        <w:t xml:space="preserve">والأشهر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والطیر یذبح ویرسل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یُمسک ولا یُکتف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ویُکره أن تنخع الذبیحة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أن یقطع نخاعها قبل موتها، وهو الخیط الأبیض الذی وسط الفقار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ممتدّاً من الرقبة إلی عَجْب الذنب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العین وسکون الجیم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أصله</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یحرم </w:t>
      </w:r>
      <w:r>
        <w:rPr>
          <w:rStyle w:val="FootnoteAnchor"/>
          <w:rtl w:val="true"/>
        </w:rPr>
        <w:footnoteReference w:id="320"/>
      </w:r>
      <w:r>
        <w:rPr>
          <w:rFonts w:ascii="IRNazanin" w:hAnsi="IRNazanin" w:eastAsia="IRNazanin"/>
          <w:color w:val="111111"/>
          <w:sz w:val="28"/>
          <w:sz w:val="28"/>
          <w:szCs w:val="28"/>
          <w:rtl w:val="true"/>
          <w:lang w:bidi="fa-IR"/>
        </w:rPr>
        <w:t>لصحیحة الحلبی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تنخع الذبیحة حتّی تموت فإذا ماتت فانخعها</w:t>
      </w:r>
      <w:r>
        <w:rPr>
          <w:rFonts w:eastAsia="IRNazanin" w:cs="IRNazanin"/>
          <w:color w:val="111111"/>
          <w:sz w:val="28"/>
          <w:szCs w:val="28"/>
          <w:rtl w:val="true"/>
          <w:lang w:bidi="fa-IR"/>
        </w:rPr>
        <w:t xml:space="preserve">» </w:t>
      </w:r>
      <w:r>
        <w:rPr>
          <w:rStyle w:val="FootnoteAnchor"/>
          <w:rtl w:val="true"/>
        </w:rPr>
        <w:footnoteReference w:id="321"/>
      </w:r>
      <w:r>
        <w:rPr>
          <w:rFonts w:ascii="IRNazanin" w:hAnsi="IRNazanin" w:eastAsia="IRNazanin"/>
          <w:color w:val="111111"/>
          <w:sz w:val="28"/>
          <w:sz w:val="28"/>
          <w:szCs w:val="28"/>
          <w:rtl w:val="true"/>
          <w:lang w:bidi="fa-IR"/>
        </w:rPr>
        <w:t>والأصل فی النهی التحریم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w:t>
      </w:r>
    </w:p>
    <w:p>
      <w:pPr>
        <w:pStyle w:val="BookText"/>
        <w:rPr/>
      </w:pPr>
      <w:r>
        <w:rPr>
          <w:rFonts w:ascii="IRNazanin" w:hAnsi="IRNazanin" w:eastAsia="IRNazanin"/>
          <w:color w:val="111111"/>
          <w:sz w:val="28"/>
          <w:sz w:val="28"/>
          <w:szCs w:val="28"/>
          <w:rtl w:val="true"/>
          <w:lang w:bidi="fa-IR"/>
        </w:rPr>
        <w:t xml:space="preserve">الأقوی، واختاره فی الدروس </w:t>
      </w:r>
      <w:r>
        <w:rPr>
          <w:rStyle w:val="FootnoteAnchor"/>
          <w:rtl w:val="true"/>
        </w:rPr>
        <w:footnoteReference w:id="322"/>
      </w:r>
      <w:r>
        <w:rPr>
          <w:rFonts w:ascii="IRNazanin" w:hAnsi="IRNazanin" w:eastAsia="IRNazanin"/>
          <w:color w:val="111111"/>
          <w:sz w:val="28"/>
          <w:sz w:val="28"/>
          <w:szCs w:val="28"/>
          <w:rtl w:val="true"/>
          <w:lang w:bidi="fa-IR"/>
        </w:rPr>
        <w:t>نعم لا تحرم الذبیحة علی القولین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 یقلب السکّین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یُدخِلها تحت الحلقوم وباقی الأعضاء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فیذبح إلی فوق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لنهی الصادق علیه السلام عنه فی روایة حمران بن أعین، ومن ثَمّ قیل بالتحریم </w:t>
      </w:r>
      <w:r>
        <w:rPr>
          <w:rStyle w:val="FootnoteAnchor"/>
          <w:rtl w:val="true"/>
        </w:rPr>
        <w:footnoteReference w:id="323"/>
      </w:r>
      <w:r>
        <w:rPr>
          <w:rFonts w:ascii="IRNazanin" w:hAnsi="IRNazanin" w:eastAsia="IRNazanin"/>
          <w:color w:val="111111"/>
          <w:sz w:val="28"/>
          <w:sz w:val="28"/>
          <w:szCs w:val="28"/>
          <w:rtl w:val="true"/>
          <w:lang w:bidi="fa-IR"/>
        </w:rPr>
        <w:t>حملاً للنهی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السند من لا تثبت عدالته </w:t>
      </w:r>
      <w:r>
        <w:rPr>
          <w:rStyle w:val="FootnoteAnchor"/>
          <w:rtl w:val="true"/>
        </w:rPr>
        <w:footnoteReference w:id="324"/>
      </w:r>
      <w:r>
        <w:rPr>
          <w:rFonts w:ascii="IRNazanin" w:hAnsi="IRNazanin" w:eastAsia="IRNazanin"/>
          <w:color w:val="111111"/>
          <w:sz w:val="28"/>
          <w:sz w:val="28"/>
          <w:szCs w:val="28"/>
          <w:rtl w:val="true"/>
          <w:lang w:bidi="fa-IR"/>
        </w:rPr>
        <w:t>فالقول بالکراهة أجود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والسلخ قبل البرد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لمرفوعة محمّد بن یحیی عن الرضا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ذُبِحت وسُلخت، أو سُلخ شیء منها قبل أن تموت فلیس یحلّ أکلها</w:t>
      </w:r>
      <w:r>
        <w:rPr>
          <w:rFonts w:eastAsia="IRNazanin" w:cs="IRNazanin"/>
          <w:color w:val="111111"/>
          <w:sz w:val="28"/>
          <w:szCs w:val="28"/>
          <w:rtl w:val="true"/>
          <w:lang w:bidi="fa-IR"/>
        </w:rPr>
        <w:t xml:space="preserve">» </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وذهب جماعة </w:t>
      </w:r>
      <w:r>
        <w:rPr>
          <w:rStyle w:val="FootnoteAnchor"/>
          <w:rtl w:val="true"/>
        </w:rPr>
        <w:footnoteReference w:id="3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منهم المصنّف فی الدروس والشرح </w:t>
      </w:r>
      <w:r>
        <w:rPr>
          <w:rStyle w:val="FootnoteAnchor"/>
          <w:rtl w:val="true"/>
        </w:rPr>
        <w:footnoteReference w:id="3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تحریم</w:t>
      </w:r>
    </w:p>
    <w:p>
      <w:pPr>
        <w:pStyle w:val="BookText"/>
        <w:rPr/>
      </w:pPr>
      <w:r>
        <w:rPr>
          <w:rFonts w:ascii="IRNazanin" w:hAnsi="IRNazanin" w:eastAsia="IRNazanin"/>
          <w:color w:val="111111"/>
          <w:sz w:val="28"/>
          <w:sz w:val="28"/>
          <w:szCs w:val="28"/>
          <w:rtl w:val="true"/>
          <w:lang w:bidi="fa-IR"/>
        </w:rPr>
        <w:t>الفعل، استناداً إلی تلازم تحریم الأکل وتحریم 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یخفی منعه، بل عدم دلالته علی التحریم والکراهة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یمکن الکراهة من حیث اشتماله علی تعذیب الحیوان علی تقدیر شعوره، مع أنّ سلخه قبل برده لا یستلزمه؛ لأنّه أعمّ من قبلیّة الموت، وظاهرهم أ نّهما متلازمان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ممنوع، ومن ثَمّ جاز تغسیل میّت الإنسان قبل برده، فالأولی تخصیص الکراهة بسلخه قبل موته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وإبانة الرأس عمداً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حالةَ الذبح؛ للنهی عنه فی صحیحة محمّد بن مسلم عن الباقر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تنخع، ولاتقطع الرقبة بعدما تذبح</w:t>
      </w:r>
      <w:r>
        <w:rPr>
          <w:rFonts w:eastAsia="IRNazanin" w:cs="IRNazanin"/>
          <w:color w:val="111111"/>
          <w:sz w:val="28"/>
          <w:szCs w:val="28"/>
          <w:rtl w:val="true"/>
          <w:lang w:bidi="fa-IR"/>
        </w:rPr>
        <w:t xml:space="preserve">» </w:t>
      </w:r>
      <w:r>
        <w:rPr>
          <w:rStyle w:val="FootnoteAnchor"/>
          <w:rtl w:val="true"/>
        </w:rPr>
        <w:footnoteReference w:id="32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والقائل الشیخ فی النهایة </w:t>
      </w:r>
      <w:r>
        <w:rPr>
          <w:rStyle w:val="FootnoteAnchor"/>
          <w:rtl w:val="true"/>
        </w:rPr>
        <w:footnoteReference w:id="329"/>
      </w:r>
      <w:r>
        <w:rPr>
          <w:rFonts w:ascii="Amiri" w:hAnsi="Amiri" w:eastAsia="Amiri" w:cs="Amiri"/>
          <w:color w:val="111111"/>
          <w:sz w:val="28"/>
          <w:sz w:val="28"/>
          <w:szCs w:val="28"/>
          <w:rtl w:val="true"/>
          <w:lang w:bidi="ar-SA"/>
        </w:rPr>
        <w:t xml:space="preserve">وجماعة </w:t>
      </w:r>
      <w:r>
        <w:rPr>
          <w:rStyle w:val="FootnoteAnchor"/>
          <w:rtl w:val="true"/>
        </w:rPr>
        <w:footnoteReference w:id="3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بالتحریم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لاقتضاء النهی له مع صحّة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الأقوی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هل تحرم الذبیحة؟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Style w:val="FootnoteAnchor"/>
          <w:rtl w:val="true"/>
        </w:rPr>
        <w:footnoteReference w:id="331"/>
      </w:r>
      <w:r>
        <w:rPr>
          <w:rFonts w:ascii="IRNazanin" w:hAnsi="IRNazanin" w:eastAsia="IRNazanin"/>
          <w:color w:val="111111"/>
          <w:sz w:val="28"/>
          <w:sz w:val="28"/>
          <w:szCs w:val="28"/>
          <w:rtl w:val="true"/>
          <w:lang w:bidi="fa-IR"/>
        </w:rPr>
        <w:t>لأنّ الزائد عن قطع الأعضاء یخرجه عن کونه ذبحاً شرعیّاً، فلا یکون مبیحاً</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ویُضعّف بأنّ المعتبر فی الذبح قد حصل، فلا اعتبار بالزائد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روی الحلبی فی الصحیح عن الصادق علیه السلام حیث سئل عن ذبح طیر قطع رأسه أیؤکل منه؟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ولکن لا یتعمّد قطع رأسه</w:t>
      </w:r>
      <w:r>
        <w:rPr>
          <w:rFonts w:eastAsia="IRNazanin" w:cs="IRNazanin"/>
          <w:color w:val="111111"/>
          <w:sz w:val="28"/>
          <w:szCs w:val="28"/>
          <w:rtl w:val="true"/>
          <w:lang w:bidi="fa-IR"/>
        </w:rPr>
        <w:t xml:space="preserve">» </w:t>
      </w:r>
      <w:r>
        <w:rPr>
          <w:rStyle w:val="FootnoteAnchor"/>
          <w:rtl w:val="true"/>
        </w:rPr>
        <w:footnoteReference w:id="332"/>
      </w:r>
      <w:r>
        <w:rPr>
          <w:rFonts w:ascii="IRNazanin" w:hAnsi="IRNazanin" w:eastAsia="IRNazanin"/>
          <w:color w:val="111111"/>
          <w:sz w:val="28"/>
          <w:sz w:val="28"/>
          <w:szCs w:val="28"/>
          <w:rtl w:val="true"/>
          <w:lang w:bidi="fa-IR"/>
        </w:rPr>
        <w:t>وهو نصّ، ولعموم قوله تعالی</w:t>
      </w:r>
      <w:r>
        <w:rPr>
          <w:rFonts w:eastAsia="IRNazanin" w:cs="IRNazanin"/>
          <w:color w:val="111111"/>
          <w:sz w:val="28"/>
          <w:szCs w:val="28"/>
          <w:rtl w:val="true"/>
          <w:lang w:bidi="fa-IR"/>
        </w:rPr>
        <w:t>:</w:t>
      </w:r>
      <w:bookmarkStart w:id="145" w:name="pg19815_253085"/>
    </w:p>
    <w:p>
      <w:pPr>
        <w:pStyle w:val="BookText"/>
        <w:rPr/>
      </w:pPr>
      <w:bookmarkEnd w:id="14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فَکُلُوا مِمّٰا ذُکِرَ اِسْمُ اَللّٰهِ عَلَیْهِ</w:t>
      </w:r>
      <w:r>
        <w:rPr>
          <w:rFonts w:eastAsia="Amiri" w:cs="Amiri" w:ascii="Amiri" w:hAnsi="Amiri"/>
          <w:color w:val="111111"/>
          <w:sz w:val="28"/>
          <w:szCs w:val="28"/>
          <w:rtl w:val="true"/>
          <w:lang w:bidi="ar-SA"/>
        </w:rPr>
        <w:t xml:space="preserve">) </w:t>
      </w:r>
      <w:r>
        <w:rPr>
          <w:rStyle w:val="FootnoteAnchor"/>
          <w:rtl w:val="true"/>
        </w:rPr>
        <w:footnoteReference w:id="333"/>
      </w:r>
      <w:r>
        <w:rPr>
          <w:rFonts w:ascii="IRNazanin" w:hAnsi="IRNazanin" w:eastAsia="IRNazanin"/>
          <w:color w:val="111111"/>
          <w:sz w:val="28"/>
          <w:sz w:val="28"/>
          <w:szCs w:val="28"/>
          <w:rtl w:val="true"/>
          <w:lang w:bidi="fa-IR"/>
        </w:rPr>
        <w:t>فالمتّجه تحریم الفعل، دون الذبیحة فیه، وفی کلّ ما حُرّم سابقاً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ویمکن أن یکون القول المحکیّ بالتحریم متعلّقاً بجمیع ما ذُکر مکروهاً؛ لوقوع الخلاف فیها أجمع، بل قد حرّمها المصنّف فی الدروس إلّا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 السکّین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یحکم فیه بتحریم ولا غیره، بل اقتصر علی نقل الخلاف </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6" w:name="__RefHeading___Toc2227785_2314609296"/>
      <w:bookmarkStart w:id="147" w:name="_Toc55"/>
      <w:bookmarkEnd w:id="146"/>
      <w:r>
        <w:rPr>
          <w:rtl w:val="true"/>
        </w:rPr>
        <w:t>[</w:t>
      </w:r>
      <w:r>
        <w:rPr>
          <w:rtl w:val="true"/>
        </w:rPr>
        <w:t>ما یقبل الذکاة</w:t>
      </w:r>
      <w:r>
        <w:rPr>
          <w:rtl w:val="true"/>
        </w:rPr>
        <w:t>]</w:t>
      </w:r>
      <w:bookmarkEnd w:id="14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وإنّما تقع الذکاة علی حیوان طاهر العین، غیر آدمی ولا حِشار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ما سکن الأرض من الحیوان </w:t>
      </w:r>
      <w:r>
        <w:rPr>
          <w:rStyle w:val="FootnoteAnchor"/>
          <w:rtl w:val="true"/>
        </w:rPr>
        <w:footnoteReference w:id="335"/>
      </w:r>
      <w:r>
        <w:rPr>
          <w:rFonts w:ascii="IRNazanin" w:hAnsi="IRNazanin" w:eastAsia="IRNazanin"/>
          <w:color w:val="111111"/>
          <w:sz w:val="28"/>
          <w:sz w:val="28"/>
          <w:szCs w:val="28"/>
          <w:rtl w:val="true"/>
          <w:lang w:bidi="fa-IR"/>
        </w:rPr>
        <w:t xml:space="preserve">کالفأر والضبّ وابن عرس </w:t>
      </w:r>
      <w:r>
        <w:rPr>
          <w:rStyle w:val="FootnoteAnchor"/>
          <w:rtl w:val="true"/>
        </w:rPr>
        <w:footnoteReference w:id="3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تقع علی الکلب والخنزیر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إجماعاً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علی الآدمی وإن کان کافراً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إجماعاً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علی الحشرات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الأظهر؛ للأصل؛ إذ لم یرد بها نصّ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تقع</w:t>
      </w:r>
      <w:r>
        <w:rPr>
          <w:rFonts w:eastAsia="IRNazanin" w:cs="IRNazanin"/>
          <w:color w:val="111111"/>
          <w:sz w:val="28"/>
          <w:szCs w:val="28"/>
          <w:rtl w:val="true"/>
          <w:lang w:bidi="fa-IR"/>
        </w:rPr>
        <w:t xml:space="preserve">» </w:t>
      </w:r>
      <w:r>
        <w:rPr>
          <w:rStyle w:val="FootnoteAnchor"/>
          <w:rtl w:val="true"/>
        </w:rPr>
        <w:footnoteReference w:id="337"/>
      </w:r>
      <w:r>
        <w:rPr>
          <w:rFonts w:ascii="Amiri" w:hAnsi="Amiri" w:eastAsia="Amiri" w:cs="Amiri"/>
          <w:color w:val="111111"/>
          <w:sz w:val="28"/>
          <w:sz w:val="28"/>
          <w:szCs w:val="28"/>
          <w:rtl w:val="true"/>
          <w:lang w:bidi="ar-SA"/>
        </w:rPr>
        <w:t>وهو شاذّ</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والظاهر وقوعها علی المسوخ والسباع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لروایة محمّد بن مسلم عن أبی جعفر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نّه سئل عن سباع الطیر والوحش حتّی ذکر القنافذ والوطواط والحمیر والبغال والخیل،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الحرام إلّاما حرّمه اللّٰه فی کتابه</w:t>
      </w:r>
      <w:r>
        <w:rPr>
          <w:rFonts w:eastAsia="IRNazanin" w:cs="IRNazanin"/>
          <w:color w:val="111111"/>
          <w:sz w:val="28"/>
          <w:szCs w:val="28"/>
          <w:rtl w:val="true"/>
          <w:lang w:bidi="fa-IR"/>
        </w:rPr>
        <w:t xml:space="preserve">» </w:t>
      </w:r>
      <w:r>
        <w:rPr>
          <w:rStyle w:val="FootnoteAnchor"/>
          <w:rtl w:val="true"/>
        </w:rPr>
        <w:footnoteReference w:id="338"/>
      </w:r>
      <w:r>
        <w:rPr>
          <w:rFonts w:ascii="IRNazanin" w:hAnsi="IRNazanin" w:eastAsia="IRNazanin"/>
          <w:color w:val="111111"/>
          <w:sz w:val="28"/>
          <w:sz w:val="28"/>
          <w:szCs w:val="28"/>
          <w:rtl w:val="true"/>
          <w:lang w:bidi="fa-IR"/>
        </w:rPr>
        <w:t xml:space="preserve">ولیس المراد نفی تحریم الأکل؛ للروایات الدالّة علی تحریمه </w:t>
      </w:r>
      <w:r>
        <w:rPr>
          <w:rStyle w:val="FootnoteAnchor"/>
          <w:rtl w:val="true"/>
        </w:rPr>
        <w:footnoteReference w:id="339"/>
      </w:r>
      <w:r>
        <w:rPr>
          <w:rFonts w:ascii="IRNazanin" w:hAnsi="IRNazanin" w:eastAsia="IRNazanin"/>
          <w:color w:val="111111"/>
          <w:sz w:val="28"/>
          <w:sz w:val="28"/>
          <w:szCs w:val="28"/>
          <w:rtl w:val="true"/>
          <w:lang w:bidi="fa-IR"/>
        </w:rPr>
        <w:t>فیبقی عدم تحریم</w:t>
      </w:r>
    </w:p>
    <w:p>
      <w:pPr>
        <w:pStyle w:val="BookText"/>
        <w:rPr/>
      </w:pPr>
      <w:r>
        <w:rPr>
          <w:rFonts w:ascii="IRNazanin" w:hAnsi="IRNazanin" w:eastAsia="IRNazanin"/>
          <w:color w:val="111111"/>
          <w:sz w:val="28"/>
          <w:sz w:val="28"/>
          <w:szCs w:val="28"/>
          <w:rtl w:val="true"/>
          <w:lang w:bidi="fa-IR"/>
        </w:rPr>
        <w:t>الذکاة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حمّاد بن عثمان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کان رسول اللّٰه صلی الله علیه و آله عزوف النفس </w:t>
      </w:r>
      <w:r>
        <w:rPr>
          <w:rStyle w:val="FootnoteAnchor"/>
          <w:rtl w:val="true"/>
        </w:rPr>
        <w:footnoteReference w:id="340"/>
      </w:r>
      <w:r>
        <w:rPr>
          <w:rFonts w:ascii="IRNazanin" w:hAnsi="IRNazanin" w:eastAsia="IRNazanin"/>
          <w:color w:val="111111"/>
          <w:sz w:val="28"/>
          <w:sz w:val="28"/>
          <w:szCs w:val="28"/>
          <w:rtl w:val="true"/>
          <w:lang w:bidi="fa-IR"/>
        </w:rPr>
        <w:t>وکان یکره الشیء ولا یحرّمه، فاُتی بالأرنب فکرهها ولم یحرّمها</w:t>
      </w:r>
      <w:r>
        <w:rPr>
          <w:rFonts w:eastAsia="IRNazanin" w:cs="IRNazanin"/>
          <w:color w:val="111111"/>
          <w:sz w:val="28"/>
          <w:szCs w:val="28"/>
          <w:rtl w:val="true"/>
          <w:lang w:bidi="fa-IR"/>
        </w:rPr>
        <w:t xml:space="preserve">» </w:t>
      </w:r>
      <w:r>
        <w:rPr>
          <w:rStyle w:val="FootnoteAnchor"/>
          <w:rtl w:val="true"/>
        </w:rPr>
        <w:footnoteReference w:id="341"/>
      </w:r>
      <w:r>
        <w:rPr>
          <w:rFonts w:ascii="IRNazanin" w:hAnsi="IRNazanin" w:eastAsia="IRNazanin"/>
          <w:color w:val="111111"/>
          <w:sz w:val="28"/>
          <w:sz w:val="28"/>
          <w:szCs w:val="28"/>
          <w:rtl w:val="true"/>
          <w:lang w:bidi="fa-IR"/>
        </w:rPr>
        <w:t xml:space="preserve">وهو محمول أیضاً علی عدم تحریم ذکاتها وجلودها، جمعاً بین الأخبار </w:t>
      </w:r>
      <w:r>
        <w:rPr>
          <w:rStyle w:val="FootnoteAnchor"/>
          <w:rtl w:val="true"/>
        </w:rPr>
        <w:footnoteReference w:id="342"/>
      </w:r>
      <w:r>
        <w:rPr>
          <w:rFonts w:ascii="IRNazanin" w:hAnsi="IRNazanin" w:eastAsia="IRNazanin"/>
          <w:color w:val="111111"/>
          <w:sz w:val="28"/>
          <w:sz w:val="28"/>
          <w:szCs w:val="28"/>
          <w:rtl w:val="true"/>
          <w:lang w:bidi="fa-IR"/>
        </w:rPr>
        <w:t>والأرنب من جملة المسوخ، ولا قائل بالفرق بینها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سماعة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سألته عن لحوم </w:t>
      </w:r>
      <w:r>
        <w:rPr>
          <w:rStyle w:val="FootnoteAnchor"/>
          <w:rtl w:val="true"/>
        </w:rPr>
        <w:footnoteReference w:id="343"/>
      </w:r>
      <w:r>
        <w:rPr>
          <w:rFonts w:ascii="IRNazanin" w:hAnsi="IRNazanin" w:eastAsia="IRNazanin"/>
          <w:color w:val="111111"/>
          <w:sz w:val="28"/>
          <w:sz w:val="28"/>
          <w:szCs w:val="28"/>
          <w:rtl w:val="true"/>
          <w:lang w:bidi="fa-IR"/>
        </w:rPr>
        <w:t>السباع وجلودها؟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اللحوم فدعها، وأمّا الجلود فارکبوا علیها، ولا تصلّوا فیها</w:t>
      </w:r>
      <w:r>
        <w:rPr>
          <w:rFonts w:eastAsia="IRNazanin" w:cs="IRNazanin"/>
          <w:color w:val="111111"/>
          <w:sz w:val="28"/>
          <w:szCs w:val="28"/>
          <w:rtl w:val="true"/>
          <w:lang w:bidi="fa-IR"/>
        </w:rPr>
        <w:t xml:space="preserve">» </w:t>
      </w:r>
      <w:r>
        <w:rPr>
          <w:rStyle w:val="FootnoteAnchor"/>
          <w:rtl w:val="true"/>
        </w:rPr>
        <w:footnoteReference w:id="344"/>
      </w:r>
      <w:r>
        <w:rPr>
          <w:rFonts w:ascii="IRNazanin" w:hAnsi="IRNazanin" w:eastAsia="IRNazanin"/>
          <w:color w:val="111111"/>
          <w:sz w:val="28"/>
          <w:sz w:val="28"/>
          <w:szCs w:val="28"/>
          <w:rtl w:val="true"/>
          <w:lang w:bidi="fa-IR"/>
        </w:rPr>
        <w:t>والظاهر أنّ المسؤول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یخفی بُعد هذه الأدلّة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قال المصنّف فی الشرح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القول الآخر فی السباع لا نعرفه لأحد منّا </w:t>
      </w:r>
      <w:r>
        <w:rPr>
          <w:rStyle w:val="FootnoteAnchor"/>
          <w:rtl w:val="true"/>
        </w:rPr>
        <w:footnoteReference w:id="345"/>
      </w:r>
      <w:r>
        <w:rPr>
          <w:rFonts w:ascii="IRNazanin" w:hAnsi="IRNazanin" w:eastAsia="IRNazanin"/>
          <w:color w:val="111111"/>
          <w:sz w:val="28"/>
          <w:sz w:val="28"/>
          <w:szCs w:val="28"/>
          <w:rtl w:val="true"/>
          <w:lang w:bidi="fa-IR"/>
        </w:rPr>
        <w:t xml:space="preserve">والقائلون بعدم وقوع الذکاة علی المسوخ أکثرهم علّلوه بنجاستها </w:t>
      </w:r>
      <w:r>
        <w:rPr>
          <w:rStyle w:val="FootnoteAnchor"/>
          <w:rtl w:val="true"/>
        </w:rPr>
        <w:footnoteReference w:id="346"/>
      </w:r>
      <w:r>
        <w:rPr>
          <w:rFonts w:ascii="IRNazanin" w:hAnsi="IRNazanin" w:eastAsia="IRNazanin"/>
          <w:color w:val="111111"/>
          <w:sz w:val="28"/>
          <w:sz w:val="28"/>
          <w:szCs w:val="28"/>
          <w:rtl w:val="true"/>
          <w:lang w:bidi="fa-IR"/>
        </w:rPr>
        <w:t xml:space="preserve">وحیث ثبت طهارتها فی محلّه توجّه القول بوقوع الذکاة علیها إن تمّ ما سبق </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ویستثنی من المسوخ الخنازیر؛ لنجاستها، والضبّ والفأر والوزغ؛ لأنّها</w:t>
      </w:r>
    </w:p>
    <w:p>
      <w:pPr>
        <w:pStyle w:val="BookText"/>
        <w:rPr/>
      </w:pPr>
      <w:r>
        <w:rPr>
          <w:rFonts w:ascii="IRNazanin" w:hAnsi="IRNazanin" w:eastAsia="IRNazanin"/>
          <w:color w:val="111111"/>
          <w:sz w:val="28"/>
          <w:sz w:val="28"/>
          <w:szCs w:val="28"/>
          <w:rtl w:val="true"/>
          <w:lang w:bidi="fa-IR"/>
        </w:rPr>
        <w:t xml:space="preserve">من الحِشار، وکذا ما فی معناها </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وروی الصدوق بإسناده إلی أبی عبد 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المسوخ من بنی آدم ثلاثة عشر صنفاً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القردة والخنازیر والخفّاش والذئب والدبّ والفیل والدعموص والجریث والعقرب وسهیل والزهرة والعنکبوت والقنفذ</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الصدوق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والزهرة وسهیل دابّتان ولیستا نجمین، ولکن سُمّی بهما النجمان، کالحمل والثور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والمسوخ جمیعها لم تبق أکثر من ثلاثة أیّام ثمّ ماتت، وهذه الحیوانات علی صورها سُمّیت مسوخاً استعارة </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ورُوی عن الرضا علیه السلام زیادة الأرنب والفأرة والوزغ والزنبور </w:t>
      </w:r>
      <w:r>
        <w:rPr>
          <w:rStyle w:val="FootnoteAnchor"/>
          <w:rtl w:val="true"/>
        </w:rPr>
        <w:footnoteReference w:id="350"/>
      </w:r>
      <w:r>
        <w:rPr>
          <w:rFonts w:ascii="IRNazanin" w:hAnsi="IRNazanin" w:eastAsia="IRNazanin"/>
          <w:color w:val="111111"/>
          <w:sz w:val="28"/>
          <w:sz w:val="28"/>
          <w:szCs w:val="28"/>
          <w:rtl w:val="true"/>
          <w:lang w:bidi="fa-IR"/>
        </w:rPr>
        <w:t xml:space="preserve">ورُوی إضافة الطاووس </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والمراد بالسباع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الحیوان المفترس، کالأسد والنمر والفهد والثعلب والهرّ</w:t>
      </w:r>
      <w:r>
        <w:rPr>
          <w:rFonts w:eastAsia="IRNazanin" w:cs="IRNazanin"/>
          <w:color w:val="111111"/>
          <w:sz w:val="28"/>
          <w:szCs w:val="28"/>
          <w:rtl w:val="true"/>
          <w:lang w:bidi="fa-IR"/>
        </w:rPr>
        <w:t>.</w:t>
      </w:r>
      <w:bookmarkStart w:id="148" w:name="pg19815_253088"/>
    </w:p>
    <w:p>
      <w:pPr>
        <w:pStyle w:val="Heading3"/>
        <w:numPr>
          <w:ilvl w:val="2"/>
          <w:numId w:val="1"/>
        </w:numPr>
        <w:rPr/>
      </w:pPr>
      <w:bookmarkStart w:id="149" w:name="__RefHeading___Toc2227787_2314609296"/>
      <w:bookmarkStart w:id="150" w:name="_Toc56"/>
      <w:bookmarkEnd w:id="148"/>
      <w:bookmarkEnd w:id="149"/>
      <w:r>
        <w:rPr>
          <w:rtl w:val="true"/>
        </w:rPr>
        <w:t xml:space="preserve">الفصل </w:t>
      </w:r>
      <w:r>
        <w:rPr>
          <w:rtl w:val="true"/>
        </w:rPr>
        <w:t>«</w:t>
      </w:r>
      <w:r>
        <w:rPr>
          <w:rtl w:val="true"/>
        </w:rPr>
        <w:t>الثالث</w:t>
      </w:r>
      <w:r>
        <w:rPr>
          <w:rtl w:val="true"/>
        </w:rPr>
        <w:t>» «</w:t>
      </w:r>
      <w:r>
        <w:rPr>
          <w:rtl w:val="true"/>
        </w:rPr>
        <w:t>فی اللواحق</w:t>
      </w:r>
      <w:r>
        <w:rPr>
          <w:rtl w:val="true"/>
        </w:rPr>
        <w:t>»</w:t>
      </w:r>
      <w:bookmarkEnd w:id="150"/>
    </w:p>
    <w:p>
      <w:pPr>
        <w:pStyle w:val="Heading4"/>
        <w:numPr>
          <w:ilvl w:val="3"/>
          <w:numId w:val="1"/>
        </w:numPr>
        <w:rPr/>
      </w:pPr>
      <w:bookmarkStart w:id="151" w:name="__RefHeading___Toc2227789_2314609296"/>
      <w:bookmarkStart w:id="152" w:name="_Toc57"/>
      <w:bookmarkEnd w:id="151"/>
      <w:r>
        <w:rPr>
          <w:rtl w:val="true"/>
        </w:rPr>
        <w:t>[«</w:t>
      </w:r>
      <w:r>
        <w:rPr>
          <w:rtl w:val="true"/>
        </w:rPr>
        <w:t>وفیه مسائل</w:t>
      </w:r>
      <w:r>
        <w:rPr>
          <w:rtl w:val="true"/>
        </w:rPr>
        <w:t>»]</w:t>
      </w:r>
      <w:bookmarkEnd w:id="152"/>
    </w:p>
    <w:p>
      <w:pPr>
        <w:pStyle w:val="Heading5"/>
        <w:numPr>
          <w:ilvl w:val="4"/>
          <w:numId w:val="1"/>
        </w:numPr>
        <w:rPr/>
      </w:pPr>
      <w:bookmarkStart w:id="153" w:name="__RefHeading___Toc2227791_2314609296"/>
      <w:bookmarkStart w:id="154" w:name="_Toc58"/>
      <w:bookmarkEnd w:id="153"/>
      <w:r>
        <w:rPr>
          <w:rtl w:val="true"/>
        </w:rPr>
        <w:t>[</w:t>
      </w:r>
      <w:r>
        <w:rPr>
          <w:rtl w:val="true"/>
        </w:rPr>
        <w:t>الاُولی</w:t>
      </w:r>
      <w:r>
        <w:rPr>
          <w:rtl w:val="true"/>
        </w:rPr>
        <w:t>: «</w:t>
      </w:r>
      <w:r>
        <w:rPr>
          <w:rtl w:val="true"/>
        </w:rPr>
        <w:t>ذکاة السمک</w:t>
      </w:r>
      <w:r>
        <w:rPr>
          <w:rtl w:val="true"/>
        </w:rPr>
        <w:t>»]</w:t>
      </w:r>
      <w:bookmarkEnd w:id="154"/>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المأکول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إخراجه من الماء حیّاً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إثبات الید علیه خارج الماء حیّاً وإن لم یخرجه منه، کما نبّه علیه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وثب فأخرجه حیّاً، أو صار خارج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فأخذه حیّاً حلّ، ولا یکفی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خرج من الماء حیّاً ثمّ مات علی أصحّ القولین </w:t>
      </w:r>
      <w:r>
        <w:rPr>
          <w:rStyle w:val="FootnoteAnchor"/>
          <w:rtl w:val="true"/>
        </w:rPr>
        <w:footnoteReference w:id="352"/>
      </w:r>
      <w:r>
        <w:rPr>
          <w:rFonts w:ascii="IRNazanin" w:hAnsi="IRNazanin" w:eastAsia="IRNazanin"/>
          <w:color w:val="111111"/>
          <w:sz w:val="28"/>
          <w:sz w:val="28"/>
          <w:szCs w:val="28"/>
          <w:rtl w:val="true"/>
          <w:lang w:bidi="fa-IR"/>
        </w:rPr>
        <w:t>لقول أبی عبد اللّٰه علیه السلام فی حسنة الحلبی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صید الحیتان أخذه</w:t>
      </w:r>
      <w:r>
        <w:rPr>
          <w:rFonts w:eastAsia="IRNazanin" w:cs="IRNazanin"/>
          <w:color w:val="111111"/>
          <w:sz w:val="28"/>
          <w:szCs w:val="28"/>
          <w:rtl w:val="true"/>
          <w:lang w:bidi="fa-IR"/>
        </w:rPr>
        <w:t xml:space="preserve">» </w:t>
      </w:r>
      <w:r>
        <w:rPr>
          <w:rStyle w:val="FootnoteAnchor"/>
          <w:rtl w:val="true"/>
        </w:rPr>
        <w:footnoteReference w:id="353"/>
      </w:r>
      <w:r>
        <w:rPr>
          <w:rFonts w:ascii="IRNazanin" w:hAnsi="IRNazanin" w:eastAsia="IRNazanin"/>
          <w:color w:val="111111"/>
          <w:sz w:val="28"/>
          <w:sz w:val="28"/>
          <w:szCs w:val="28"/>
          <w:rtl w:val="true"/>
          <w:lang w:bidi="fa-IR"/>
        </w:rPr>
        <w:t>وهی للحصر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علیّ بن جعفر عن أخیه موسی علیهما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سألته عن سمکة وثبت من نهر فوقعت علی الجُدّ </w:t>
      </w:r>
      <w:r>
        <w:rPr>
          <w:rStyle w:val="FootnoteAnchor"/>
          <w:rtl w:val="true"/>
        </w:rPr>
        <w:footnoteReference w:id="354"/>
      </w:r>
    </w:p>
    <w:p>
      <w:pPr>
        <w:pStyle w:val="BookText"/>
        <w:rPr/>
      </w:pPr>
      <w:r>
        <w:rPr>
          <w:rFonts w:ascii="IRNazanin" w:hAnsi="IRNazanin" w:eastAsia="IRNazanin"/>
          <w:color w:val="111111"/>
          <w:sz w:val="28"/>
          <w:sz w:val="28"/>
          <w:szCs w:val="28"/>
          <w:rtl w:val="true"/>
          <w:lang w:bidi="fa-IR"/>
        </w:rPr>
        <w:t>من النهر فماتت أیصلح أکلها؟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أخذتها قبل أن تموت ثمّ ماتت فکلها، وإن ماتت قبل أن تأخذها فلا تأکلها</w:t>
      </w:r>
      <w:r>
        <w:rPr>
          <w:rFonts w:eastAsia="IRNazanin" w:cs="IRNazanin"/>
          <w:color w:val="111111"/>
          <w:sz w:val="28"/>
          <w:szCs w:val="28"/>
          <w:rtl w:val="true"/>
          <w:lang w:bidi="fa-IR"/>
        </w:rPr>
        <w:t xml:space="preserve">» </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یکفی فی حلّه خروجه من الماء وموته خارجه، وإنّما یحرم بموته فی الماء </w:t>
      </w:r>
      <w:r>
        <w:rPr>
          <w:rStyle w:val="FootnoteAnchor"/>
          <w:rtl w:val="true"/>
        </w:rPr>
        <w:footnoteReference w:id="356"/>
      </w:r>
      <w:r>
        <w:rPr>
          <w:rFonts w:ascii="IRNazanin" w:hAnsi="IRNazanin" w:eastAsia="IRNazanin"/>
          <w:color w:val="111111"/>
          <w:sz w:val="28"/>
          <w:sz w:val="28"/>
          <w:szCs w:val="28"/>
          <w:rtl w:val="true"/>
          <w:lang w:bidi="fa-IR"/>
        </w:rPr>
        <w:t xml:space="preserve">لروایة سَلَمة أبی حفص عن أبی عبد 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علیّاً صلوات اللّٰه علیه کان یقول فی الصید والسمک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أدرکها وهی تضطرب وتضرب بیدیها، وتُحرّک ذَنَبها، وتطرف بعینها فهی ذکاته</w:t>
      </w:r>
      <w:r>
        <w:rPr>
          <w:rFonts w:eastAsia="IRNazanin" w:cs="IRNazanin"/>
          <w:color w:val="111111"/>
          <w:sz w:val="28"/>
          <w:szCs w:val="28"/>
          <w:rtl w:val="true"/>
          <w:lang w:bidi="fa-IR"/>
        </w:rPr>
        <w:t xml:space="preserve">» </w:t>
      </w:r>
      <w:r>
        <w:rPr>
          <w:rStyle w:val="FootnoteAnchor"/>
          <w:rtl w:val="true"/>
        </w:rPr>
        <w:footnoteReference w:id="357"/>
      </w:r>
      <w:r>
        <w:rPr>
          <w:rFonts w:ascii="IRNazanin" w:hAnsi="IRNazanin" w:eastAsia="IRNazanin"/>
          <w:color w:val="111111"/>
          <w:sz w:val="28"/>
          <w:sz w:val="28"/>
          <w:szCs w:val="28"/>
          <w:rtl w:val="true"/>
          <w:lang w:bidi="fa-IR"/>
        </w:rPr>
        <w:t>وروی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السمکة تثب من الماء فتقع علی الشطّ فتضطرب حتّی تموت؟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کُلها</w:t>
      </w:r>
      <w:r>
        <w:rPr>
          <w:rFonts w:eastAsia="IRNazanin" w:cs="IRNazanin"/>
          <w:color w:val="111111"/>
          <w:sz w:val="28"/>
          <w:szCs w:val="28"/>
          <w:rtl w:val="true"/>
          <w:lang w:bidi="fa-IR"/>
        </w:rPr>
        <w:t xml:space="preserve">» </w:t>
      </w:r>
      <w:r>
        <w:rPr>
          <w:rStyle w:val="FootnoteAnchor"/>
          <w:rtl w:val="true"/>
        </w:rPr>
        <w:footnoteReference w:id="3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ولحلِّه </w:t>
      </w:r>
      <w:r>
        <w:rPr>
          <w:rStyle w:val="FootnoteAnchor"/>
          <w:rtl w:val="true"/>
        </w:rPr>
        <w:footnoteReference w:id="359"/>
      </w:r>
      <w:r>
        <w:rPr>
          <w:rFonts w:ascii="IRNazanin" w:hAnsi="IRNazanin" w:eastAsia="IRNazanin"/>
          <w:color w:val="111111"/>
          <w:sz w:val="28"/>
          <w:sz w:val="28"/>
          <w:szCs w:val="28"/>
          <w:rtl w:val="true"/>
          <w:lang w:bidi="fa-IR"/>
        </w:rPr>
        <w:t>بصید المجوسی مع مشاهدة المسلم له کذلک، وصیده لا اعتبار به وإنّما الاعتبار بنظر المسلم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ویضعَّف بأنّ سَلَمة مجهول أو 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وروایة زرارة مقطوعة مرسلة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والقیاس علی صید المجوس فاسد؛ لجواز کون سبب الحِلّ أخذ المسلم أو نظره مع کونه تحت یدٍ؛ إذ لا یدلّ الحکم علی أزید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وأصالة عدم التذکیة مع ما سلف تقتضی العدم</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یشترط فی مُخرجه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الأظهر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یشترط حضور مسلم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یشاهده قد اُخرج حیّاً ومات خارج الماء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حِلّ أکله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للأخبار الکثیرة الدالّة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الحلبی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عبد اللّٰه علیه السلام عن صید الحیتان وإن لم یُسمَّ،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به، وسألته عن صید المجوس السمک، آکله؟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کنت لآکله حتّی أنظر إلیه</w:t>
      </w:r>
      <w:r>
        <w:rPr>
          <w:rFonts w:eastAsia="IRNazanin" w:cs="IRNazanin"/>
          <w:color w:val="111111"/>
          <w:sz w:val="28"/>
          <w:szCs w:val="28"/>
          <w:rtl w:val="true"/>
          <w:lang w:bidi="fa-IR"/>
        </w:rPr>
        <w:t xml:space="preserve">» </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روایة اُخری له عنه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نّه سُئل عن صید المجوس حین یضربون بالشباک ویسمّون بالشرک،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بصیدهم إنّما صید الحیتان أخذه</w:t>
      </w:r>
      <w:r>
        <w:rPr>
          <w:rFonts w:eastAsia="IRNazanin" w:cs="IRNazanin"/>
          <w:color w:val="111111"/>
          <w:sz w:val="28"/>
          <w:szCs w:val="28"/>
          <w:rtl w:val="true"/>
          <w:lang w:bidi="fa-IR"/>
        </w:rPr>
        <w:t xml:space="preserve">» </w:t>
      </w:r>
      <w:r>
        <w:rPr>
          <w:rStyle w:val="FootnoteAnchor"/>
          <w:rtl w:val="true"/>
        </w:rPr>
        <w:footnoteReference w:id="3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ومطلق الثانی </w:t>
      </w:r>
      <w:r>
        <w:rPr>
          <w:rStyle w:val="FootnoteAnchor"/>
          <w:rtl w:val="true"/>
        </w:rPr>
        <w:footnoteReference w:id="362"/>
      </w:r>
      <w:r>
        <w:rPr>
          <w:rFonts w:ascii="IRNazanin" w:hAnsi="IRNazanin" w:eastAsia="IRNazanin"/>
          <w:color w:val="111111"/>
          <w:sz w:val="28"/>
          <w:sz w:val="28"/>
          <w:szCs w:val="28"/>
          <w:rtl w:val="true"/>
          <w:lang w:bidi="fa-IR"/>
        </w:rPr>
        <w:t>محمول علی مشاهدة المسلم له جمعاً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ویظهر من الشیخ فی الاستبصار المنع منه إلّاأن یأخذه المسلم منه حیّاً </w:t>
      </w:r>
      <w:r>
        <w:rPr>
          <w:rStyle w:val="FootnoteAnchor"/>
          <w:rtl w:val="true"/>
        </w:rPr>
        <w:footnoteReference w:id="363"/>
      </w:r>
      <w:r>
        <w:rPr>
          <w:rFonts w:ascii="IRNazanin" w:hAnsi="IRNazanin" w:eastAsia="IRNazanin"/>
          <w:color w:val="111111"/>
          <w:sz w:val="28"/>
          <w:sz w:val="28"/>
          <w:szCs w:val="28"/>
          <w:rtl w:val="true"/>
          <w:lang w:bidi="fa-IR"/>
        </w:rPr>
        <w:t>لأ نّه حمل الأخبار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المفید </w:t>
      </w:r>
      <w:r>
        <w:rPr>
          <w:rStyle w:val="FootnoteAnchor"/>
          <w:rtl w:val="true"/>
        </w:rPr>
        <w:footnoteReference w:id="364"/>
      </w:r>
      <w:r>
        <w:rPr>
          <w:rFonts w:ascii="Amiri" w:hAnsi="Amiri" w:eastAsia="Amiri" w:cs="Amiri"/>
          <w:color w:val="111111"/>
          <w:sz w:val="28"/>
          <w:sz w:val="28"/>
          <w:szCs w:val="28"/>
          <w:rtl w:val="true"/>
          <w:lang w:bidi="ar-SA"/>
        </w:rPr>
        <w:t xml:space="preserve">وابن زهرة </w:t>
      </w:r>
      <w:r>
        <w:rPr>
          <w:rStyle w:val="FootnoteAnchor"/>
          <w:rtl w:val="true"/>
        </w:rPr>
        <w:footnoteReference w:id="365"/>
      </w:r>
      <w:r>
        <w:rPr>
          <w:rFonts w:ascii="IRNazanin" w:hAnsi="IRNazanin" w:eastAsia="IRNazanin"/>
          <w:color w:val="111111"/>
          <w:sz w:val="28"/>
          <w:sz w:val="28"/>
          <w:szCs w:val="28"/>
          <w:rtl w:val="true"/>
          <w:lang w:bidi="fa-IR"/>
        </w:rPr>
        <w:t xml:space="preserve">المنع من صید غیر المسلم له مطلقاً، إمّا لاشتراط الإسلام فی التذکیة، وهذا منه، أو لما فی بعض الأخبار من اشتراط أخذ المسلم له منهم حیّاً </w:t>
      </w:r>
      <w:r>
        <w:rPr>
          <w:rStyle w:val="FootnoteAnchor"/>
          <w:rtl w:val="true"/>
        </w:rPr>
        <w:footnoteReference w:id="366"/>
      </w:r>
      <w:r>
        <w:rPr>
          <w:rFonts w:ascii="IRNazanin" w:hAnsi="IRNazanin" w:eastAsia="IRNazanin"/>
          <w:color w:val="111111"/>
          <w:sz w:val="28"/>
          <w:sz w:val="28"/>
          <w:szCs w:val="28"/>
          <w:rtl w:val="true"/>
          <w:lang w:bidi="fa-IR"/>
        </w:rPr>
        <w:t>فیکون إخراجهم له بمنزلة وُثوبه من الماء بنفسه إذا أخذه المسلم</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والمذهب هو الأوّل، والقول فی اعتبار استقرار الحیاة بعد إخراجه کما سبق </w:t>
      </w:r>
      <w:r>
        <w:rPr>
          <w:rStyle w:val="FootnoteAnchor"/>
          <w:rtl w:val="true"/>
        </w:rPr>
        <w:footnoteReference w:id="367"/>
      </w:r>
      <w:r>
        <w:rPr>
          <w:rFonts w:ascii="Amiri" w:hAnsi="Amiri" w:eastAsia="Amiri" w:cs="Amiri"/>
          <w:color w:val="111111"/>
          <w:sz w:val="28"/>
          <w:sz w:val="28"/>
          <w:szCs w:val="28"/>
          <w:rtl w:val="true"/>
          <w:lang w:bidi="ar-SA"/>
        </w:rPr>
        <w:t xml:space="preserve">والمصنّف فی الدروس مع میله إلی عدم اعتباره ثَمَّ </w:t>
      </w:r>
      <w:r>
        <w:rPr>
          <w:rStyle w:val="FootnoteAnchor"/>
          <w:rtl w:val="true"/>
        </w:rPr>
        <w:footnoteReference w:id="368"/>
      </w:r>
      <w:r>
        <w:rPr>
          <w:rFonts w:ascii="IRNazanin" w:hAnsi="IRNazanin" w:eastAsia="IRNazanin"/>
          <w:color w:val="111111"/>
          <w:sz w:val="28"/>
          <w:sz w:val="28"/>
          <w:szCs w:val="28"/>
          <w:rtl w:val="true"/>
          <w:lang w:bidi="fa-IR"/>
        </w:rPr>
        <w:t>جزم باشتراطه هنا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ویجوز أکله حیّاً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لکونه مذکّی بإخراجه من غیر اعتبار موته بعد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بخلاف غیره من الحیوان، فإنّ تذکیته مشروطة بموته بالذبح أو النحر، أو ما فی حکمهما </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یباح أکله حتّی یموت کباقی ما یُذکّی </w:t>
      </w:r>
      <w:r>
        <w:rPr>
          <w:rStyle w:val="FootnoteAnchor"/>
          <w:rtl w:val="true"/>
        </w:rPr>
        <w:footnoteReference w:id="370"/>
      </w:r>
      <w:r>
        <w:rPr>
          <w:rFonts w:ascii="IRNazanin" w:hAnsi="IRNazanin" w:eastAsia="IRNazanin"/>
          <w:color w:val="111111"/>
          <w:sz w:val="28"/>
          <w:sz w:val="28"/>
          <w:szCs w:val="28"/>
          <w:rtl w:val="true"/>
          <w:lang w:bidi="fa-IR"/>
        </w:rPr>
        <w:t>ومن ثَمَّ لو رجع إلی الماء بعد إخراجه فمات فیه لم یحلّ، فلو کان مجرّد إخراجه کافیاً لما حرم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ویمکن خروج هذا الفرد بالنصّ علیه، وقد عُلّل فیه بأ نّه مات فیما فیه حیاته </w:t>
      </w:r>
      <w:r>
        <w:rPr>
          <w:rStyle w:val="FootnoteAnchor"/>
          <w:rtl w:val="true"/>
        </w:rPr>
        <w:footnoteReference w:id="371"/>
      </w:r>
      <w:r>
        <w:rPr>
          <w:rFonts w:ascii="IRNazanin" w:hAnsi="IRNazanin" w:eastAsia="IRNazanin"/>
          <w:color w:val="111111"/>
          <w:sz w:val="28"/>
          <w:sz w:val="28"/>
          <w:szCs w:val="28"/>
          <w:rtl w:val="true"/>
          <w:lang w:bidi="fa-IR"/>
        </w:rPr>
        <w:t>فیبقی ما دلّ علی أنّ ذکاته إخراجه خالیاً عن المعارض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اشتبه المیّت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بالحیّ فی الشبکة وغیرها حرم الجمیع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الأظهر؛ لوجوب اجتناب المیّت المحصور الموقوف علی اجتناب الجمیع، ولعموم قول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مات فی الماء فلا تأکله، فإنّه مات فیما فیه حیاته</w:t>
      </w:r>
      <w:r>
        <w:rPr>
          <w:rFonts w:eastAsia="IRNazanin" w:cs="IRNazanin"/>
          <w:color w:val="111111"/>
          <w:sz w:val="28"/>
          <w:szCs w:val="28"/>
          <w:rtl w:val="true"/>
          <w:lang w:bidi="fa-IR"/>
        </w:rPr>
        <w:t xml:space="preserve">» </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یحلّ الجمیع إذا کان فی الشبکة أو الحظیرة مع عدم تمیّز المیّت؛ لصحیحة الحلبی </w:t>
      </w:r>
      <w:r>
        <w:rPr>
          <w:rStyle w:val="FootnoteAnchor"/>
          <w:rtl w:val="true"/>
        </w:rPr>
        <w:footnoteReference w:id="373"/>
      </w:r>
      <w:r>
        <w:rPr>
          <w:rFonts w:ascii="IRNazanin" w:hAnsi="IRNazanin" w:eastAsia="IRNazanin"/>
          <w:color w:val="111111"/>
          <w:sz w:val="28"/>
          <w:sz w:val="28"/>
          <w:szCs w:val="28"/>
          <w:rtl w:val="true"/>
          <w:lang w:bidi="fa-IR"/>
        </w:rPr>
        <w:t xml:space="preserve">وغیرها </w:t>
      </w:r>
      <w:r>
        <w:rPr>
          <w:rStyle w:val="FootnoteAnchor"/>
          <w:rtl w:val="true"/>
        </w:rPr>
        <w:footnoteReference w:id="374"/>
      </w:r>
      <w:r>
        <w:rPr>
          <w:rFonts w:ascii="IRNazanin" w:hAnsi="IRNazanin" w:eastAsia="IRNazanin"/>
          <w:color w:val="111111"/>
          <w:sz w:val="28"/>
          <w:sz w:val="28"/>
          <w:szCs w:val="28"/>
          <w:rtl w:val="true"/>
          <w:lang w:bidi="fa-IR"/>
        </w:rPr>
        <w:t>الدالّة علی حلّه مطلقاً، بحمله علی الاشتباه جمعاً</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یحلّ المیّت فی الشبکة والحظیرة وإن تمیّز </w:t>
      </w:r>
      <w:r>
        <w:rPr>
          <w:rStyle w:val="FootnoteAnchor"/>
          <w:rtl w:val="true"/>
        </w:rPr>
        <w:footnoteReference w:id="375"/>
      </w:r>
      <w:r>
        <w:rPr>
          <w:rFonts w:ascii="IRNazanin" w:hAnsi="IRNazanin" w:eastAsia="IRNazanin"/>
          <w:color w:val="111111"/>
          <w:sz w:val="28"/>
          <w:sz w:val="28"/>
          <w:szCs w:val="28"/>
          <w:rtl w:val="true"/>
          <w:lang w:bidi="fa-IR"/>
        </w:rPr>
        <w:t>للتعلیل فی النصّ</w:t>
      </w:r>
      <w:bookmarkStart w:id="155" w:name="pg19815_253092"/>
    </w:p>
    <w:p>
      <w:pPr>
        <w:pStyle w:val="BookText"/>
        <w:rPr/>
      </w:pPr>
      <w:bookmarkEnd w:id="155"/>
      <w:r>
        <w:rPr>
          <w:rFonts w:ascii="IRNazanin" w:hAnsi="IRNazanin" w:eastAsia="IRNazanin"/>
          <w:color w:val="111111"/>
          <w:sz w:val="28"/>
          <w:sz w:val="28"/>
          <w:szCs w:val="28"/>
          <w:rtl w:val="true"/>
          <w:lang w:bidi="fa-IR"/>
        </w:rPr>
        <w:t xml:space="preserve">بأ نّهما لمّا عُملا للاصطیاد جری ما فیهما مجری المقبوض بالید </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6" w:name="__RefHeading___Toc2227793_2314609296"/>
      <w:bookmarkStart w:id="157" w:name="_Toc59"/>
      <w:bookmarkEnd w:id="156"/>
      <w:r>
        <w:rPr>
          <w:rtl w:val="true"/>
        </w:rPr>
        <w:t>[«</w:t>
      </w:r>
      <w:r>
        <w:rPr>
          <w:rtl w:val="true"/>
        </w:rPr>
        <w:t>الثانیة</w:t>
      </w:r>
      <w:r>
        <w:rPr>
          <w:rtl w:val="true"/>
        </w:rPr>
        <w:t>» : «</w:t>
      </w:r>
      <w:r>
        <w:rPr>
          <w:rtl w:val="true"/>
        </w:rPr>
        <w:t>ذکاة الجراد أخذه</w:t>
      </w:r>
      <w:r>
        <w:rPr>
          <w:rtl w:val="true"/>
        </w:rPr>
        <w:t>»]</w:t>
      </w:r>
      <w:bookmarkEnd w:id="157"/>
    </w:p>
    <w:p>
      <w:pPr>
        <w:pStyle w:val="BookText"/>
        <w:rPr/>
      </w:pPr>
      <w:r>
        <w:rPr>
          <w:rFonts w:ascii="IRNazanin" w:hAnsi="IRNazanin" w:eastAsia="IRNazanin"/>
          <w:color w:val="111111"/>
          <w:sz w:val="28"/>
          <w:sz w:val="28"/>
          <w:szCs w:val="28"/>
          <w:rtl w:val="true"/>
          <w:lang w:bidi="fa-IR"/>
        </w:rPr>
        <w:t xml:space="preserve">حیّاً بالید أو الآلة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کان الآخذ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شاهده المسلم کالسمک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 ابن زهرة هنا کقوله فی السمک </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استقلّ بالطیران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وإلّا لم یحلّ، وحیث اعتبر فی تذکیته أخذه حیّاً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أحرقه قبل أخذه 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وکذا لو مات فی الصحراء أو فی الماء قبل أخذه وإن أدرکه بنظره، ویباح أکله حیّاً وبما فیه کالسمک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یحلّ الدَبا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بفتح الدال مقصوراً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وهو الجراد قبل أن یطیر وإن ظهر جناحه،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بالفتح أیضاً</w:t>
      </w:r>
      <w:r>
        <w:rPr>
          <w:rFonts w:eastAsia="IRNazanin" w:cs="IRNazanin"/>
          <w:color w:val="111111"/>
          <w:sz w:val="28"/>
          <w:szCs w:val="28"/>
          <w:rtl w:val="true"/>
          <w:lang w:bidi="fa-IR"/>
        </w:rPr>
        <w:t>.</w:t>
      </w:r>
    </w:p>
    <w:p>
      <w:pPr>
        <w:pStyle w:val="Heading5"/>
        <w:numPr>
          <w:ilvl w:val="4"/>
          <w:numId w:val="1"/>
        </w:numPr>
        <w:rPr/>
      </w:pPr>
      <w:bookmarkStart w:id="158" w:name="__RefHeading___Toc2227795_2314609296"/>
      <w:bookmarkStart w:id="159" w:name="_Toc60"/>
      <w:bookmarkEnd w:id="158"/>
      <w:r>
        <w:rPr>
          <w:rtl w:val="true"/>
        </w:rPr>
        <w:t>[«</w:t>
      </w:r>
      <w:r>
        <w:rPr>
          <w:rtl w:val="true"/>
        </w:rPr>
        <w:t>الثالثة</w:t>
      </w:r>
      <w:r>
        <w:rPr>
          <w:rtl w:val="true"/>
        </w:rPr>
        <w:t>» : «</w:t>
      </w:r>
      <w:r>
        <w:rPr>
          <w:rtl w:val="true"/>
        </w:rPr>
        <w:t>ذکاةُ الجنین ذکاةُ اُمّه</w:t>
      </w:r>
      <w:r>
        <w:rPr>
          <w:rtl w:val="true"/>
        </w:rPr>
        <w:t>»]</w:t>
      </w:r>
      <w:bookmarkEnd w:id="159"/>
    </w:p>
    <w:p>
      <w:pPr>
        <w:pStyle w:val="BookText"/>
        <w:rPr/>
      </w:pPr>
      <w:r>
        <w:rPr>
          <w:rFonts w:ascii="IRNazanin" w:hAnsi="IRNazanin" w:eastAsia="IRNazanin"/>
          <w:color w:val="111111"/>
          <w:sz w:val="28"/>
          <w:sz w:val="28"/>
          <w:szCs w:val="28"/>
          <w:rtl w:val="true"/>
          <w:lang w:bidi="fa-IR"/>
        </w:rPr>
        <w:t xml:space="preserve">هذا لفظ الحدیث النبویّ </w:t>
      </w:r>
      <w:r>
        <w:rPr>
          <w:rStyle w:val="FootnoteAnchor"/>
          <w:rtl w:val="true"/>
        </w:rPr>
        <w:footnoteReference w:id="378"/>
      </w:r>
      <w:r>
        <w:rPr>
          <w:rFonts w:ascii="IRNazanin" w:hAnsi="IRNazanin" w:eastAsia="IRNazanin"/>
          <w:color w:val="111111"/>
          <w:sz w:val="28"/>
          <w:sz w:val="28"/>
          <w:szCs w:val="28"/>
          <w:rtl w:val="true"/>
          <w:lang w:bidi="fa-IR"/>
        </w:rPr>
        <w:t xml:space="preserve">وعن أهل البیت علیهم السلام مثله </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والصحیح روایةً وفتویً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الثانیة مرفوعةٌ خبراً عن الاُولی، فتنحصر ذکاته فی ذکاتها؛ لوجوب انحصار المبتدأ فی خبره، فإنّه إمّا مساوٍ أو أعمّ وکلاهما یقتضی الحصر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والمراد بالذکاة هنا السبب المحلِّل للحیوان</w:t>
      </w:r>
    </w:p>
    <w:p>
      <w:pPr>
        <w:pStyle w:val="BookText"/>
        <w:rPr/>
      </w:pPr>
      <w:r>
        <w:rPr>
          <w:rFonts w:ascii="IRNazanin" w:hAnsi="IRNazanin" w:eastAsia="IRNazanin"/>
          <w:color w:val="111111"/>
          <w:sz w:val="28"/>
          <w:sz w:val="28"/>
          <w:szCs w:val="28"/>
          <w:rtl w:val="true"/>
          <w:lang w:bidi="fa-IR"/>
        </w:rPr>
        <w:t>کذکاة السمک والجراد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وامتناع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ذکّیت الجنین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صحّ فهو محمول علی المعنی الظاهر، وهو فری الأعضاء المخصوصة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إضافة المصادر تخالف إضافة الأفعال؛ للاکتفاء فیها بأدنی ملابسة، ولهذا صحّ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وللّٰه علی الناسِ حِجُّ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صومُ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یصحّ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صام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بجعلهما فاعلین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وربما أعربها بعضهم </w:t>
      </w:r>
      <w:r>
        <w:rPr>
          <w:rStyle w:val="FootnoteAnchor"/>
          <w:rtl w:val="true"/>
        </w:rPr>
        <w:footnoteReference w:id="380"/>
      </w:r>
      <w:r>
        <w:rPr>
          <w:rFonts w:ascii="IRNazanin" w:hAnsi="IRNazanin" w:eastAsia="IRNazanin"/>
          <w:color w:val="111111"/>
          <w:sz w:val="28"/>
          <w:sz w:val="28"/>
          <w:szCs w:val="28"/>
          <w:rtl w:val="true"/>
          <w:lang w:bidi="fa-IR"/>
        </w:rPr>
        <w:t>بالنصب علی المصدر، أی ذکاته کذکاة اُمّه، فحُذف الجارّ ونُصب مفعولاً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وحینئذٍ فتجب تذکیته کتذکیتها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مع التعسّف، مخالفته لروایة الرفع، دون العکس؛ لإمکان کون الجارّ المحذوف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داخلة فی ذکاة اُمّه جمعاً بین الروایتین، مع أ نّه الموافق لروایة أهل البیت علیهم السلام وهم أدری بما فی البیت، وهو فی أخبارهم کثیر صریح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قول الصادق علیه السلام وقد سُئل عن الحُوار </w:t>
      </w:r>
      <w:r>
        <w:rPr>
          <w:rStyle w:val="FootnoteAnchor"/>
          <w:rtl w:val="true"/>
        </w:rPr>
        <w:footnoteReference w:id="381"/>
      </w:r>
      <w:r>
        <w:rPr>
          <w:rFonts w:ascii="Amiri" w:hAnsi="Amiri" w:eastAsia="Amiri" w:cs="Amiri"/>
          <w:color w:val="111111"/>
          <w:sz w:val="28"/>
          <w:sz w:val="28"/>
          <w:szCs w:val="28"/>
          <w:rtl w:val="true"/>
          <w:lang w:bidi="ar-SA"/>
        </w:rPr>
        <w:t>تُذکّی اُمّه أیؤکل بذکاتها؟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کان تامّاً ونبت علیه الشعر فکل</w:t>
      </w:r>
      <w:r>
        <w:rPr>
          <w:rFonts w:eastAsia="Amiri" w:cs="Amiri" w:ascii="Amiri" w:hAnsi="Amiri"/>
          <w:color w:val="111111"/>
          <w:sz w:val="28"/>
          <w:szCs w:val="28"/>
          <w:rtl w:val="true"/>
          <w:lang w:bidi="ar-SA"/>
        </w:rPr>
        <w:t xml:space="preserve">» </w:t>
      </w:r>
      <w:r>
        <w:rPr>
          <w:rStyle w:val="FootnoteAnchor"/>
          <w:rtl w:val="true"/>
        </w:rPr>
        <w:footnoteReference w:id="382"/>
      </w:r>
      <w:r>
        <w:rPr>
          <w:rFonts w:ascii="IRNazanin" w:hAnsi="IRNazanin" w:eastAsia="IRNazanin"/>
          <w:color w:val="111111"/>
          <w:sz w:val="28"/>
          <w:sz w:val="28"/>
          <w:szCs w:val="28"/>
          <w:rtl w:val="true"/>
          <w:lang w:bidi="fa-IR"/>
        </w:rPr>
        <w:t>وعن الباقر علیه السلام أ نّه قال فی الذبیحة تذبح وفی بطنها ولد،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کان تامّاً فکله فإنّ ذکاته ذکاة اُمّه، وإن لم یکن تامّاً فلا تأکله</w:t>
      </w:r>
      <w:r>
        <w:rPr>
          <w:rFonts w:eastAsia="IRNazanin" w:cs="IRNazanin"/>
          <w:color w:val="111111"/>
          <w:sz w:val="28"/>
          <w:szCs w:val="28"/>
          <w:rtl w:val="true"/>
          <w:lang w:bidi="fa-IR"/>
        </w:rPr>
        <w:t xml:space="preserve">» </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وإنّما یجوز أکله بذکاتها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تمّت خلقته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وتکاملت أعضاؤه وأشعر أو أوبر، کما دلّت علیه الأخبار </w:t>
      </w:r>
      <w:r>
        <w:rPr>
          <w:rStyle w:val="FootnoteAnchor"/>
          <w:rtl w:val="true"/>
        </w:rPr>
        <w:footnoteReference w:id="3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ولجته الروح أو لا، وسواء اُخرج میّتاً</w:t>
      </w:r>
    </w:p>
    <w:p>
      <w:pPr>
        <w:pStyle w:val="BookText"/>
        <w:rPr/>
      </w:pP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حیّاً غیر مستقرّ الحیاة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غیر مستقرّها بمنزلة المیّت، ولإطلاق النصوص بحِلّه إذا کان تامّاً </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کانت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مستقرّة ذُکّی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حیوان حیّ فیتوقّف حِلّه علی التذکیة، عملاً بعموم النصوص الدالّة علیها إلّاما أخرجه الدلیل الخاصّ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وینبغی فی غیر المستقرّ ذلک؛ لما تقدّم من عدم اعتبارها </w:t>
      </w:r>
      <w:r>
        <w:rPr>
          <w:rStyle w:val="FootnoteAnchor"/>
          <w:rtl w:val="true"/>
        </w:rPr>
        <w:footnoteReference w:id="386"/>
      </w:r>
      <w:r>
        <w:rPr>
          <w:rFonts w:ascii="IRNazanin" w:hAnsi="IRNazanin" w:eastAsia="IRNazanin"/>
          <w:color w:val="111111"/>
          <w:sz w:val="28"/>
          <w:sz w:val="28"/>
          <w:szCs w:val="28"/>
          <w:rtl w:val="true"/>
          <w:lang w:bidi="fa-IR"/>
        </w:rPr>
        <w:t>فی حلّ المذبوح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إذا اتّسع الزمان لتذکیته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لو ضاق عنها ففی حلّه 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إطلاق الأصحاب وجوب تذکیة ما خرج مستقرّ الحیاة </w:t>
      </w:r>
      <w:r>
        <w:rPr>
          <w:rStyle w:val="FootnoteAnchor"/>
          <w:rtl w:val="true"/>
        </w:rPr>
        <w:footnoteReference w:id="387"/>
      </w:r>
      <w:r>
        <w:rPr>
          <w:rFonts w:ascii="IRNazanin" w:hAnsi="IRNazanin" w:eastAsia="IRNazanin"/>
          <w:color w:val="111111"/>
          <w:sz w:val="28"/>
          <w:sz w:val="28"/>
          <w:szCs w:val="28"/>
          <w:rtl w:val="true"/>
          <w:lang w:bidi="fa-IR"/>
        </w:rPr>
        <w:t>ومن تنزیله منزلة غیر مستقرّها؛ لقصور زمان حیاته ودخوله فی عموم الأخبار الدالّة علی حلّه بتذکیة اُمّه إن لم یدخل مطلق الحیّ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ولو لم تتمّ خلقته فهو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واشترط جماعة مع تمام خلقته أن لا تلجه الروح </w:t>
      </w:r>
      <w:r>
        <w:rPr>
          <w:rStyle w:val="FootnoteAnchor"/>
          <w:rtl w:val="true"/>
        </w:rPr>
        <w:footnoteReference w:id="388"/>
      </w:r>
      <w:r>
        <w:rPr>
          <w:rFonts w:ascii="IRNazanin" w:hAnsi="IRNazanin" w:eastAsia="IRNazanin"/>
          <w:color w:val="111111"/>
          <w:sz w:val="28"/>
          <w:sz w:val="28"/>
          <w:szCs w:val="28"/>
          <w:rtl w:val="true"/>
          <w:lang w:bidi="fa-IR"/>
        </w:rPr>
        <w:t>وإلّا افتقر إلی تذکیته مطلقاً، والأخبار مطلقة، والفرض بعید؛ لأنّ الروح لا تنفکّ عن تمام الخلقة عادّة</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وهل تجب المبادرة إلی إخراجه بعد موت المذبوح، أم یکفی إخراجه المعتاد بعد کشط جلده عادة؟ إطلاق الأخبار والفتوی یقتضی العدم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والأوّل أولی</w:t>
      </w:r>
      <w:r>
        <w:rPr>
          <w:rFonts w:eastAsia="IRNazanin" w:cs="IRNazanin"/>
          <w:color w:val="111111"/>
          <w:sz w:val="28"/>
          <w:szCs w:val="28"/>
          <w:rtl w:val="true"/>
          <w:lang w:bidi="fa-IR"/>
        </w:rPr>
        <w:t>.</w:t>
      </w:r>
      <w:bookmarkStart w:id="160" w:name="pg19815_253095"/>
    </w:p>
    <w:p>
      <w:pPr>
        <w:pStyle w:val="Heading5"/>
        <w:numPr>
          <w:ilvl w:val="4"/>
          <w:numId w:val="1"/>
        </w:numPr>
        <w:rPr/>
      </w:pPr>
      <w:bookmarkStart w:id="161" w:name="__RefHeading___Toc2227797_2314609296"/>
      <w:bookmarkStart w:id="162" w:name="_Toc61"/>
      <w:bookmarkEnd w:id="160"/>
      <w:bookmarkEnd w:id="161"/>
      <w:r>
        <w:rPr>
          <w:rtl w:val="true"/>
        </w:rPr>
        <w:t>[«</w:t>
      </w:r>
      <w:r>
        <w:rPr>
          <w:rtl w:val="true"/>
        </w:rPr>
        <w:t>الرابعة</w:t>
      </w:r>
      <w:r>
        <w:rPr>
          <w:rtl w:val="true"/>
        </w:rPr>
        <w:t>» : «</w:t>
      </w:r>
      <w:r>
        <w:rPr>
          <w:rtl w:val="true"/>
        </w:rPr>
        <w:t>ما یثبت فی آلة الصیّاد</w:t>
      </w:r>
      <w:r>
        <w:rPr>
          <w:rtl w:val="true"/>
        </w:rPr>
        <w:t>»]</w:t>
      </w:r>
      <w:bookmarkEnd w:id="162"/>
    </w:p>
    <w:p>
      <w:pPr>
        <w:pStyle w:val="BookText"/>
        <w:rPr/>
      </w:pPr>
      <w:r>
        <w:rPr>
          <w:rFonts w:ascii="IRNazanin" w:hAnsi="IRNazanin" w:eastAsia="IRNazanin"/>
          <w:color w:val="111111"/>
          <w:sz w:val="28"/>
          <w:sz w:val="28"/>
          <w:szCs w:val="28"/>
          <w:rtl w:val="true"/>
          <w:lang w:bidi="fa-IR"/>
        </w:rPr>
        <w:t>من الصیود المقصودة بالصید یملکه لتحقّق الحیازة والنیّة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نصبها بقصد الصید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الظاهر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لیتحقّق قصد التملّک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یبقی ملکه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انفلت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لثبوت ملکه فلا یزول بتعذّر قبضه، کإباق العبد وشرود الدابّة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کان انفلاته باختیاره ناویاً قطع ملکه عنه، ففی خروجه عن ملکه قولان </w:t>
      </w:r>
      <w:r>
        <w:rPr>
          <w:rStyle w:val="FootnoteAnchor"/>
          <w:rtl w:val="true"/>
        </w:rPr>
        <w:footnoteReference w:id="389"/>
      </w:r>
      <w:r>
        <w:rPr>
          <w:rFonts w:ascii="IRNazanin" w:hAnsi="IRNazanin" w:eastAsia="IRNazanin"/>
          <w:color w:val="111111"/>
          <w:sz w:val="28"/>
          <w:sz w:val="28"/>
          <w:szCs w:val="28"/>
          <w:rtl w:val="true"/>
          <w:lang w:bidi="fa-IR"/>
        </w:rPr>
        <w:t>من الشکّ فی کون ذلک مخرجاً عن الملک مع تحقّقه فیستصحب، ومن کونه بمنزلة الشیء الحقیر من ماله إذا رماه مهملاً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ویضعَّف بمنع خروج الحقیر عن ملکه بذلک وإن کان ذلک إباحة لتناول غیره، فیجوز الرجوع فیه ما دام باقیاً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وربما قیل بتحریم أخذ الصید المذکور مطلقاً </w:t>
      </w:r>
      <w:r>
        <w:rPr>
          <w:rStyle w:val="FootnoteAnchor"/>
          <w:rtl w:val="true"/>
        </w:rPr>
        <w:footnoteReference w:id="390"/>
      </w:r>
      <w:r>
        <w:rPr>
          <w:rFonts w:ascii="IRNazanin" w:hAnsi="IRNazanin" w:eastAsia="IRNazanin"/>
          <w:color w:val="111111"/>
          <w:sz w:val="28"/>
          <w:sz w:val="28"/>
          <w:szCs w:val="28"/>
          <w:rtl w:val="true"/>
          <w:lang w:bidi="fa-IR"/>
        </w:rPr>
        <w:t>وإن جاز أخذ الیسیر من المال؛ لعدم الإذن شرعاً فی إتلاف المال مطلقاً إلّاأن تکون قیمته یسیرة</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 یملک ما عشّش فی داره، أو وقع فی موحلته </w:t>
      </w:r>
      <w:r>
        <w:rPr>
          <w:rStyle w:val="FootnoteAnchor"/>
          <w:rtl w:val="true"/>
        </w:rPr>
        <w:footnoteReference w:id="391"/>
      </w:r>
      <w:r>
        <w:rPr>
          <w:rFonts w:ascii="IRNazanin" w:hAnsi="IRNazanin" w:eastAsia="IRNazanin"/>
          <w:color w:val="111111"/>
          <w:sz w:val="28"/>
          <w:sz w:val="28"/>
          <w:szCs w:val="28"/>
          <w:rtl w:val="true"/>
          <w:lang w:bidi="fa-IR"/>
        </w:rPr>
        <w:t>أو وثب إلی سفینته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ذلک لا یعدّ آلة للاصطیاد، ولا إثباتاً للید</w:t>
      </w:r>
      <w:r>
        <w:rPr>
          <w:rFonts w:eastAsia="IRNazanin" w:cs="IRNazanin"/>
          <w:color w:val="111111"/>
          <w:sz w:val="28"/>
          <w:szCs w:val="28"/>
          <w:rtl w:val="true"/>
          <w:lang w:bidi="fa-IR"/>
        </w:rPr>
        <w:t>.</w:t>
      </w:r>
      <w:bookmarkStart w:id="163" w:name="pg19815_253096"/>
    </w:p>
    <w:p>
      <w:pPr>
        <w:pStyle w:val="BookText"/>
        <w:rPr/>
      </w:pPr>
      <w:bookmarkEnd w:id="163"/>
      <w:r>
        <w:rPr>
          <w:rFonts w:ascii="IRNazanin" w:hAnsi="IRNazanin" w:eastAsia="IRNazanin"/>
          <w:color w:val="111111"/>
          <w:sz w:val="28"/>
          <w:sz w:val="28"/>
          <w:szCs w:val="28"/>
          <w:rtl w:val="true"/>
          <w:lang w:bidi="fa-IR"/>
        </w:rPr>
        <w:t xml:space="preserve">نعم، یصیر أولی به من غیره، فلو تخطّی الغیر إلیه فعل حراماً، وفی ملکه له بالأخذ قولان </w:t>
      </w:r>
      <w:r>
        <w:rPr>
          <w:rStyle w:val="FootnoteAnchor"/>
          <w:rtl w:val="true"/>
        </w:rPr>
        <w:footnoteReference w:id="392"/>
      </w:r>
      <w:r>
        <w:rPr>
          <w:rFonts w:ascii="IRNazanin" w:hAnsi="IRNazanin" w:eastAsia="IRNazanin"/>
          <w:color w:val="111111"/>
          <w:sz w:val="28"/>
          <w:sz w:val="28"/>
          <w:szCs w:val="28"/>
          <w:rtl w:val="true"/>
          <w:lang w:bidi="fa-IR"/>
        </w:rPr>
        <w:t>من أنّ الأولویّة لا تفید الملک فیمکن تملّکه بالاستیلاء، ومن تحریم الفعل فلا یترتّب علیه حکم الملک شرعاً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تقدّم مثله فی أولویّة التحجیر وأنّ المتخطّی لا یملک </w:t>
      </w:r>
      <w:r>
        <w:rPr>
          <w:rStyle w:val="FootnoteAnchor"/>
          <w:rtl w:val="true"/>
        </w:rPr>
        <w:footnoteReference w:id="393"/>
      </w:r>
      <w:r>
        <w:rPr>
          <w:rFonts w:ascii="IRNazanin" w:hAnsi="IRNazanin" w:eastAsia="IRNazanin"/>
          <w:color w:val="111111"/>
          <w:sz w:val="28"/>
          <w:sz w:val="28"/>
          <w:szCs w:val="28"/>
          <w:rtl w:val="true"/>
          <w:lang w:bidi="fa-IR"/>
        </w:rPr>
        <w:t>وفیه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قصد ببناء الدار احتباس الصید أو تعشیشه، وبالسفینة وثوب السمک، وبالموحلة توحّله، ففی الملک به 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انتفاء کون ذلک آلة للاصطیاد عادة، وکونه مع القصد بمعناه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الأقوی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ویملک الصید بإثباته، بحیث یسهل تناوله وإن لم یقبضه بیده أو بآلته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أمکن الصید التحامل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إصابته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عَدْواً أو طیراناً بحیث لا یدرکه إلّابسرعة شدیدة فهو باقٍ علی الإباحة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لعدم تحقّق إثبات الید علیه ببقائه علی الامتناع وإن ضعفت قوّته، وکذا لو کان له قوّة علی الامتناع بالطیران والعَدْو فأبطل أحدهما خاصّة؛ لبقاء الامتناع فی الجملة المنافی للید</w:t>
      </w:r>
      <w:r>
        <w:rPr>
          <w:rFonts w:eastAsia="IRNazanin" w:cs="IRNazanin"/>
          <w:color w:val="111111"/>
          <w:sz w:val="28"/>
          <w:szCs w:val="28"/>
          <w:rtl w:val="true"/>
          <w:lang w:bidi="fa-IR"/>
        </w:rPr>
        <w:t>.</w:t>
      </w:r>
    </w:p>
    <w:p>
      <w:pPr>
        <w:pStyle w:val="Heading5"/>
        <w:numPr>
          <w:ilvl w:val="4"/>
          <w:numId w:val="1"/>
        </w:numPr>
        <w:rPr/>
      </w:pPr>
      <w:bookmarkStart w:id="164" w:name="__RefHeading___Toc2227799_2314609296"/>
      <w:bookmarkStart w:id="165" w:name="_Toc62"/>
      <w:bookmarkEnd w:id="164"/>
      <w:r>
        <w:rPr>
          <w:rtl w:val="true"/>
        </w:rPr>
        <w:t>[«</w:t>
      </w:r>
      <w:r>
        <w:rPr>
          <w:rtl w:val="true"/>
        </w:rPr>
        <w:t>الخامسة</w:t>
      </w:r>
      <w:r>
        <w:rPr>
          <w:rtl w:val="true"/>
        </w:rPr>
        <w:t>» : «</w:t>
      </w:r>
      <w:r>
        <w:rPr>
          <w:rtl w:val="true"/>
        </w:rPr>
        <w:t>لا یُملک الصید المقصوص أو ما علیه أثر الملک</w:t>
      </w:r>
      <w:r>
        <w:rPr>
          <w:rtl w:val="true"/>
        </w:rPr>
        <w:t>» ]</w:t>
      </w:r>
      <w:bookmarkEnd w:id="165"/>
    </w:p>
    <w:p>
      <w:pPr>
        <w:pStyle w:val="BookText"/>
        <w:rPr/>
      </w:pPr>
      <w:r>
        <w:rPr>
          <w:rFonts w:ascii="IRNazanin" w:hAnsi="IRNazanin" w:eastAsia="IRNazanin"/>
          <w:color w:val="111111"/>
          <w:sz w:val="28"/>
          <w:sz w:val="28"/>
          <w:szCs w:val="28"/>
          <w:rtl w:val="true"/>
          <w:lang w:bidi="fa-IR"/>
        </w:rPr>
        <w:t>لدلالة القصّ والأثر علی مالک سابق، والأصل بقاؤه</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ویشکل بأنّ مطلق الأثر إنّما یدلّ علی المؤثّر، أمّا المالک فلا؛ لجواز وقوعه من غیر مالک، أو ممّن لا یصلح للتملّک، أو ممّن لا یحترم ماله، فکیف یحکم</w:t>
      </w:r>
    </w:p>
    <w:p>
      <w:pPr>
        <w:pStyle w:val="BookText"/>
        <w:rPr/>
      </w:pPr>
      <w:r>
        <w:rPr>
          <w:rFonts w:ascii="IRNazanin" w:hAnsi="IRNazanin" w:eastAsia="IRNazanin"/>
          <w:color w:val="111111"/>
          <w:sz w:val="28"/>
          <w:sz w:val="28"/>
          <w:szCs w:val="28"/>
          <w:rtl w:val="true"/>
          <w:lang w:bidi="fa-IR"/>
        </w:rPr>
        <w:t xml:space="preserve">بمجرّد الأثر لمالک </w:t>
      </w:r>
      <w:r>
        <w:rPr>
          <w:rStyle w:val="FootnoteAnchor"/>
          <w:rtl w:val="true"/>
        </w:rPr>
        <w:footnoteReference w:id="394"/>
      </w:r>
      <w:r>
        <w:rPr>
          <w:rFonts w:ascii="Amiri" w:hAnsi="Amiri" w:eastAsia="Amiri" w:cs="Amiri"/>
          <w:color w:val="111111"/>
          <w:sz w:val="28"/>
          <w:sz w:val="28"/>
          <w:szCs w:val="28"/>
          <w:rtl w:val="true"/>
          <w:lang w:bidi="ar-SA"/>
        </w:rPr>
        <w:t>محترم؟ مع أ نّه أعمّ والعامّ لا یدلّ علی الخاصّ</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المشهور یکون مع الأثر لقطة، ومع عدم الأثر فهو لصائده وإن کان أهلیّاً کالحمام؛ للأصل، إلّاأن یعرف مالکه فیدفعه إلیه</w:t>
      </w:r>
      <w:r>
        <w:rPr>
          <w:rFonts w:eastAsia="IRNazanin" w:cs="IRNazanin"/>
          <w:color w:val="111111"/>
          <w:sz w:val="28"/>
          <w:szCs w:val="28"/>
          <w:rtl w:val="true"/>
          <w:lang w:bidi="fa-IR"/>
        </w:rPr>
        <w:t>.</w:t>
      </w:r>
      <w:bookmarkStart w:id="166" w:name="pg19815_253098"/>
    </w:p>
    <w:p>
      <w:pPr>
        <w:pStyle w:val="Heading2"/>
        <w:numPr>
          <w:ilvl w:val="1"/>
          <w:numId w:val="1"/>
        </w:numPr>
        <w:rPr/>
      </w:pPr>
      <w:bookmarkStart w:id="167" w:name="__RefHeading___Toc2227801_2314609296"/>
      <w:bookmarkStart w:id="168" w:name="_Toc63"/>
      <w:bookmarkEnd w:id="166"/>
      <w:bookmarkEnd w:id="167"/>
      <w:r>
        <w:rPr>
          <w:rtl w:val="true"/>
        </w:rPr>
        <w:t>کتاب الأطعمة والأشربة</w:t>
      </w:r>
      <w:bookmarkEnd w:id="168"/>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9" w:name="__RefHeading___Toc2227803_2314609296"/>
      <w:bookmarkStart w:id="170" w:name="_Toc64"/>
      <w:bookmarkEnd w:id="169"/>
      <w:r>
        <w:rPr>
          <w:rtl w:val="true"/>
        </w:rPr>
        <w:t>اشارة</w:t>
      </w:r>
      <w:bookmarkStart w:id="171" w:name="pg19815_253100"/>
      <w:bookmarkEnd w:id="170"/>
    </w:p>
    <w:p>
      <w:pPr>
        <w:pStyle w:val="BookText"/>
        <w:rPr/>
      </w:pPr>
      <w:bookmarkEnd w:id="17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الأطعمة والأشربة</w:t>
      </w:r>
      <w:r>
        <w:rPr>
          <w:rFonts w:eastAsia="IRNazanin" w:cs="IRNazanin"/>
          <w:color w:val="111111"/>
          <w:sz w:val="28"/>
          <w:szCs w:val="28"/>
          <w:rtl w:val="true"/>
          <w:lang w:bidi="fa-IR"/>
        </w:rPr>
        <w:t>»</w:t>
      </w:r>
    </w:p>
    <w:p>
      <w:pPr>
        <w:pStyle w:val="Heading3"/>
        <w:numPr>
          <w:ilvl w:val="2"/>
          <w:numId w:val="1"/>
        </w:numPr>
        <w:rPr/>
      </w:pPr>
      <w:bookmarkStart w:id="172" w:name="__RefHeading___Toc2227805_2314609296"/>
      <w:bookmarkStart w:id="173" w:name="_Toc65"/>
      <w:bookmarkEnd w:id="172"/>
      <w:r>
        <w:rPr>
          <w:rtl w:val="true"/>
        </w:rPr>
        <w:t>[</w:t>
      </w:r>
      <w:r>
        <w:rPr>
          <w:rtl w:val="true"/>
        </w:rPr>
        <w:t xml:space="preserve">فی الحیوان البحر </w:t>
      </w:r>
      <w:r>
        <w:rPr>
          <w:rtl w:val="true"/>
        </w:rPr>
        <w:t>]</w:t>
      </w:r>
      <w:bookmarkEnd w:id="173"/>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یحلّ من حیوان البحر سمک له فَلْس وإن زال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بعض الأحیان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کالکنعت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الکنعد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بالدال المهملة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ضرب من السمک له فَلْس ضعیف یحتکّ بالرمل فیذهب عنه ثمّ یعود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 یحلّ الجرّی </w:t>
      </w:r>
      <w:r>
        <w:rPr>
          <w:rStyle w:val="FootnoteAnchor"/>
          <w:rtl w:val="true"/>
        </w:rPr>
        <w:footnoteReference w:id="395"/>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بالجیم المکسورة فالراء المهملة المشدّدة المکسورة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الجرّیث بالضبط الأوّل مختوماً بالثاء المثلّثة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والمارماهی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بفتح الراء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فارسی معرَّب وأصلها حیّة السمک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والزهو </w:t>
      </w:r>
      <w:r>
        <w:rPr>
          <w:rStyle w:val="FootnoteAnchor"/>
          <w:rtl w:val="true"/>
        </w:rPr>
        <w:footnoteReference w:id="3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بالزای المعجمة فالهاء الساکنة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الأکثر </w:t>
      </w:r>
      <w:r>
        <w:rPr>
          <w:rStyle w:val="FootnoteAnchor"/>
          <w:rtl w:val="true"/>
        </w:rPr>
        <w:footnoteReference w:id="397"/>
      </w:r>
    </w:p>
    <w:p>
      <w:pPr>
        <w:pStyle w:val="BookText"/>
        <w:rPr/>
      </w:pPr>
      <w:r>
        <w:rPr>
          <w:rFonts w:ascii="IRNazanin" w:hAnsi="IRNazanin" w:eastAsia="IRNazanin"/>
          <w:color w:val="111111"/>
          <w:sz w:val="28"/>
          <w:sz w:val="28"/>
          <w:szCs w:val="28"/>
          <w:rtl w:val="true"/>
          <w:lang w:bidi="fa-IR"/>
        </w:rPr>
        <w:t xml:space="preserve">وبه أخبار </w:t>
      </w:r>
      <w:r>
        <w:rPr>
          <w:rStyle w:val="FootnoteAnchor"/>
          <w:rtl w:val="true"/>
        </w:rPr>
        <w:footnoteReference w:id="398"/>
      </w:r>
      <w:r>
        <w:rPr>
          <w:rFonts w:ascii="IRNazanin" w:hAnsi="IRNazanin" w:eastAsia="IRNazanin"/>
          <w:color w:val="111111"/>
          <w:sz w:val="28"/>
          <w:sz w:val="28"/>
          <w:szCs w:val="28"/>
          <w:rtl w:val="true"/>
          <w:lang w:bidi="fa-IR"/>
        </w:rPr>
        <w:t xml:space="preserve">لا تبلغ حدّ الصحّة، وبحلّها أخبار صحیحة </w:t>
      </w:r>
      <w:r>
        <w:rPr>
          <w:rStyle w:val="FootnoteAnchor"/>
          <w:rtl w:val="true"/>
        </w:rPr>
        <w:footnoteReference w:id="399"/>
      </w:r>
      <w:r>
        <w:rPr>
          <w:rFonts w:ascii="IRNazanin" w:hAnsi="IRNazanin" w:eastAsia="IRNazanin"/>
          <w:color w:val="111111"/>
          <w:sz w:val="28"/>
          <w:sz w:val="28"/>
          <w:szCs w:val="28"/>
          <w:rtl w:val="true"/>
          <w:lang w:bidi="fa-IR"/>
        </w:rPr>
        <w:t xml:space="preserve">حملت علی التقیّة </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ویمکن حمل النهی علی الکراهة، کما فعل الشیخ فی موضع من النهایة </w:t>
      </w:r>
      <w:r>
        <w:rPr>
          <w:rStyle w:val="FootnoteAnchor"/>
          <w:rtl w:val="true"/>
        </w:rPr>
        <w:footnoteReference w:id="401"/>
      </w:r>
      <w:r>
        <w:rPr>
          <w:rFonts w:ascii="IRNazanin" w:hAnsi="IRNazanin" w:eastAsia="IRNazanin"/>
          <w:color w:val="111111"/>
          <w:sz w:val="28"/>
          <w:sz w:val="28"/>
          <w:szCs w:val="28"/>
          <w:rtl w:val="true"/>
          <w:lang w:bidi="fa-IR"/>
        </w:rPr>
        <w:t xml:space="preserve">إلّا أ نّه رجع فی موضع آخر وحکم بقتل مستحلّها </w:t>
      </w:r>
      <w:r>
        <w:rPr>
          <w:rStyle w:val="FootnoteAnchor"/>
          <w:rtl w:val="true"/>
        </w:rPr>
        <w:footnoteReference w:id="402"/>
      </w:r>
      <w:r>
        <w:rPr>
          <w:rFonts w:ascii="IRNazanin" w:hAnsi="IRNazanin" w:eastAsia="IRNazanin"/>
          <w:color w:val="111111"/>
          <w:sz w:val="28"/>
          <w:sz w:val="28"/>
          <w:szCs w:val="28"/>
          <w:rtl w:val="true"/>
          <w:lang w:bidi="fa-IR"/>
        </w:rPr>
        <w:t xml:space="preserve">وحکایته قولاً مشعرة بتوقّفه، مع أ نّه رجّح فی الدروس التحریم </w:t>
      </w:r>
      <w:r>
        <w:rPr>
          <w:rStyle w:val="FootnoteAnchor"/>
          <w:rtl w:val="true"/>
        </w:rPr>
        <w:footnoteReference w:id="403"/>
      </w:r>
      <w:r>
        <w:rPr>
          <w:rFonts w:ascii="IRNazanin" w:hAnsi="IRNazanin" w:eastAsia="IRNazanin"/>
          <w:color w:val="111111"/>
          <w:sz w:val="28"/>
          <w:sz w:val="28"/>
          <w:szCs w:val="28"/>
          <w:rtl w:val="true"/>
          <w:lang w:bidi="fa-IR"/>
        </w:rPr>
        <w:t>وهو الأشهر</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السلحفاة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بضمّ السین المهملة وفتح اللام فالحاء المهملة الساکنة فالفاء المفتوحة والهاء بعد الألف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والضفدع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بکسر الضاد والدال المهملة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مثال خِنصِر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والصرطان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بفتح الصاد والراء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وغیرها من حیوان البحر وإن کان جنسه فی البرّ حلالاً سوی السمک المخصوص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الجلّال من السمک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الذی اغتذی العذرة محضاً حتّی نما بها کغیره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یُستبرأ بأن یُطعم علفاً طاهراً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مطلقاً </w:t>
      </w:r>
      <w:r>
        <w:rPr>
          <w:rStyle w:val="FootnoteAnchor"/>
          <w:rtl w:val="true"/>
        </w:rPr>
        <w:footnoteReference w:id="404"/>
      </w:r>
      <w:r>
        <w:rPr>
          <w:rFonts w:ascii="IRNazanin" w:hAnsi="IRNazanin" w:eastAsia="IRNazanin"/>
          <w:color w:val="111111"/>
          <w:sz w:val="28"/>
          <w:sz w:val="28"/>
          <w:szCs w:val="28"/>
          <w:rtl w:val="true"/>
          <w:lang w:bidi="fa-IR"/>
        </w:rPr>
        <w:t xml:space="preserve">علی الأقوی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یوماً ولیلة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ذلک عن الرضا علیه السلام بسند ضعیف </w:t>
      </w:r>
      <w:r>
        <w:rPr>
          <w:rStyle w:val="FootnoteAnchor"/>
          <w:rtl w:val="true"/>
        </w:rPr>
        <w:footnoteReference w:id="405"/>
      </w:r>
      <w:r>
        <w:rPr>
          <w:rFonts w:ascii="IRNazanin" w:hAnsi="IRNazanin" w:eastAsia="IRNazanin"/>
          <w:color w:val="111111"/>
          <w:sz w:val="28"/>
          <w:sz w:val="28"/>
          <w:szCs w:val="28"/>
          <w:rtl w:val="true"/>
          <w:lang w:bidi="fa-IR"/>
        </w:rPr>
        <w:t>وفی الدروس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نّه یستبرأ یوماً إلی اللیل </w:t>
      </w:r>
      <w:r>
        <w:rPr>
          <w:rStyle w:val="FootnoteAnchor"/>
          <w:rtl w:val="true"/>
        </w:rPr>
        <w:footnoteReference w:id="406"/>
      </w:r>
      <w:r>
        <w:rPr>
          <w:rFonts w:ascii="Amiri" w:hAnsi="Amiri" w:eastAsia="Amiri" w:cs="Amiri"/>
          <w:color w:val="111111"/>
          <w:sz w:val="28"/>
          <w:sz w:val="28"/>
          <w:szCs w:val="28"/>
          <w:rtl w:val="true"/>
          <w:lang w:bidi="ar-SA"/>
        </w:rPr>
        <w:t>ثمّ نقل</w:t>
      </w:r>
      <w:bookmarkStart w:id="174" w:name="pg19815_253102"/>
    </w:p>
    <w:p>
      <w:pPr>
        <w:pStyle w:val="BookText"/>
        <w:rPr/>
      </w:pPr>
      <w:bookmarkEnd w:id="174"/>
      <w:r>
        <w:rPr>
          <w:rFonts w:ascii="IRNazanin" w:hAnsi="IRNazanin" w:eastAsia="IRNazanin"/>
          <w:color w:val="111111"/>
          <w:sz w:val="28"/>
          <w:sz w:val="28"/>
          <w:szCs w:val="28"/>
          <w:rtl w:val="true"/>
          <w:lang w:bidi="fa-IR"/>
        </w:rPr>
        <w:t>الروایة وجعلها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ومستند الیوم روایة القاسم بن محمّد الجوهری </w:t>
      </w:r>
      <w:r>
        <w:rPr>
          <w:rStyle w:val="FootnoteAnchor"/>
          <w:rtl w:val="true"/>
        </w:rPr>
        <w:footnoteReference w:id="407"/>
      </w:r>
      <w:r>
        <w:rPr>
          <w:rFonts w:ascii="IRNazanin" w:hAnsi="IRNazanin" w:eastAsia="IRNazanin"/>
          <w:color w:val="111111"/>
          <w:sz w:val="28"/>
          <w:sz w:val="28"/>
          <w:szCs w:val="28"/>
          <w:rtl w:val="true"/>
          <w:lang w:bidi="fa-IR"/>
        </w:rPr>
        <w:t xml:space="preserve">وهو ضعیف أیضاً </w:t>
      </w:r>
      <w:r>
        <w:rPr>
          <w:rStyle w:val="FootnoteAnchor"/>
          <w:rtl w:val="true"/>
        </w:rPr>
        <w:footnoteReference w:id="4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إلّاأنّ الأشهر الأوّل، وهو المناسب لیقین البراءة واستصحاب حکم التحریم إلی أن یعلم المزیل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ولولا الإجماع علی عدم اعتبار أمر آخر فی تحلیله، لما کان ذلک قاطعاً للتحریم؛ لضعفه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والبیض تابع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للسمک فی الحلّ والحرمة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اشتبه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بیض المحلَّل بالمحرَّم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اُکِل الخشن دون الأملس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وأطلق کثیر ذلک </w:t>
      </w:r>
      <w:r>
        <w:rPr>
          <w:rStyle w:val="FootnoteAnchor"/>
          <w:rtl w:val="true"/>
        </w:rPr>
        <w:footnoteReference w:id="409"/>
      </w:r>
      <w:r>
        <w:rPr>
          <w:rFonts w:ascii="IRNazanin" w:hAnsi="IRNazanin" w:eastAsia="IRNazanin"/>
          <w:color w:val="111111"/>
          <w:sz w:val="28"/>
          <w:sz w:val="28"/>
          <w:szCs w:val="28"/>
          <w:rtl w:val="true"/>
          <w:lang w:bidi="fa-IR"/>
        </w:rPr>
        <w:t>من غیر اعتبار التبعیّة</w:t>
      </w:r>
      <w:r>
        <w:rPr>
          <w:rFonts w:eastAsia="IRNazanin" w:cs="IRNazanin"/>
          <w:color w:val="111111"/>
          <w:sz w:val="28"/>
          <w:szCs w:val="28"/>
          <w:rtl w:val="true"/>
          <w:lang w:bidi="fa-IR"/>
        </w:rPr>
        <w:t>.</w:t>
      </w:r>
    </w:p>
    <w:p>
      <w:pPr>
        <w:pStyle w:val="Heading3"/>
        <w:numPr>
          <w:ilvl w:val="2"/>
          <w:numId w:val="1"/>
        </w:numPr>
        <w:rPr/>
      </w:pPr>
      <w:bookmarkStart w:id="175" w:name="__RefHeading___Toc2227807_2314609296"/>
      <w:bookmarkStart w:id="176" w:name="_Toc66"/>
      <w:bookmarkEnd w:id="175"/>
      <w:r>
        <w:rPr>
          <w:rtl w:val="true"/>
        </w:rPr>
        <w:t>[</w:t>
      </w:r>
      <w:r>
        <w:rPr>
          <w:rtl w:val="true"/>
        </w:rPr>
        <w:t xml:space="preserve">فی الحیوان البر </w:t>
      </w:r>
      <w:r>
        <w:rPr>
          <w:rtl w:val="true"/>
        </w:rPr>
        <w:t>]</w:t>
      </w:r>
      <w:bookmarkEnd w:id="176"/>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ویؤکل من حیوان البرّ الأنعام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الإبل والبقر والغنم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نسب إلینا تحریم الإبل فقد بهت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هو مذهب الخطّابیّة </w:t>
      </w:r>
      <w:r>
        <w:rPr>
          <w:rStyle w:val="FootnoteAnchor"/>
          <w:rtl w:val="true"/>
        </w:rPr>
        <w:footnoteReference w:id="410"/>
      </w:r>
      <w:r>
        <w:rPr>
          <w:rFonts w:ascii="IRNazanin" w:hAnsi="IRNazanin" w:eastAsia="IRNazanin"/>
          <w:color w:val="111111"/>
          <w:sz w:val="28"/>
          <w:sz w:val="28"/>
          <w:szCs w:val="28"/>
          <w:rtl w:val="true"/>
          <w:lang w:bidi="fa-IR"/>
        </w:rPr>
        <w:t xml:space="preserve">لعنهم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وبقر الوحش وحماره وکبش الجبل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 القرن الطویل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والظبی والیحمور </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ویکره الخیل والبغال والحمیر الأهلیّة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الأشهر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وآکدها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کراهةً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البغل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لترکّبه من الفرس والحمار، وهما مکروهان، فجمع الکراهتین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الحمار</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والقائل القاضی </w:t>
      </w:r>
      <w:r>
        <w:rPr>
          <w:rStyle w:val="FootnoteAnchor"/>
          <w:rtl w:val="true"/>
        </w:rPr>
        <w:footnoteReference w:id="4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آکدها کراهة الحمار ثمّ البغل؛ لأنّ المتولّد من قویّ الکراهة وضعیفها أخفّ کراهة من المتولّد من قویّها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وقیل بتحریم البغل </w:t>
      </w:r>
      <w:r>
        <w:rPr>
          <w:rStyle w:val="FootnoteAnchor"/>
          <w:rtl w:val="true"/>
        </w:rPr>
        <w:footnoteReference w:id="413"/>
      </w:r>
      <w:r>
        <w:rPr>
          <w:rFonts w:ascii="IRNazanin" w:hAnsi="IRNazanin" w:eastAsia="IRNazanin"/>
          <w:color w:val="111111"/>
          <w:sz w:val="28"/>
          <w:sz w:val="28"/>
          <w:szCs w:val="28"/>
          <w:rtl w:val="true"/>
          <w:lang w:bidi="fa-IR"/>
        </w:rPr>
        <w:t xml:space="preserve">وفی صحیحة ابن مسکان النهی عن الثلاثة إلّالضرورة </w:t>
      </w:r>
      <w:r>
        <w:rPr>
          <w:rStyle w:val="FootnoteAnchor"/>
          <w:rtl w:val="true"/>
        </w:rPr>
        <w:footnoteReference w:id="414"/>
      </w:r>
      <w:r>
        <w:rPr>
          <w:rFonts w:ascii="IRNazanin" w:hAnsi="IRNazanin" w:eastAsia="IRNazanin"/>
          <w:color w:val="111111"/>
          <w:sz w:val="28"/>
          <w:sz w:val="28"/>
          <w:szCs w:val="28"/>
          <w:rtl w:val="true"/>
          <w:lang w:bidi="fa-IR"/>
        </w:rPr>
        <w:t xml:space="preserve">وحملت </w:t>
      </w:r>
      <w:r>
        <w:rPr>
          <w:rStyle w:val="FootnoteAnchor"/>
          <w:rtl w:val="true"/>
        </w:rPr>
        <w:footnoteReference w:id="415"/>
      </w:r>
      <w:r>
        <w:rPr>
          <w:rFonts w:ascii="IRNazanin" w:hAnsi="IRNazanin" w:eastAsia="IRNazanin"/>
          <w:color w:val="111111"/>
          <w:sz w:val="28"/>
          <w:sz w:val="28"/>
          <w:szCs w:val="28"/>
          <w:rtl w:val="true"/>
          <w:lang w:bidi="fa-IR"/>
        </w:rPr>
        <w:t>علی الکراهة جمعاً</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ویحرم الکلب والخنزیر والسِنَّور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بکسر السین وفتح النون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وحشیّاً، والأسد والنَمر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النون وکسر المیم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والفهد والثعلب والأرنب والضَبُع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الضاد وضمّ الباء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وابن آوی </w:t>
      </w:r>
      <w:r>
        <w:rPr>
          <w:rStyle w:val="FootnoteAnchor"/>
          <w:rtl w:val="true"/>
        </w:rPr>
        <w:footnoteReference w:id="416"/>
      </w:r>
      <w:r>
        <w:rPr>
          <w:rFonts w:ascii="Amiri" w:hAnsi="Amiri" w:eastAsia="Amiri" w:cs="Amiri"/>
          <w:color w:val="111111"/>
          <w:sz w:val="28"/>
          <w:sz w:val="28"/>
          <w:szCs w:val="28"/>
          <w:rtl w:val="true"/>
          <w:lang w:bidi="ar-SA"/>
        </w:rPr>
        <w:t xml:space="preserve">والضَبّ </w:t>
      </w:r>
      <w:r>
        <w:rPr>
          <w:rStyle w:val="FootnoteAnchor"/>
          <w:rtl w:val="true"/>
        </w:rPr>
        <w:footnoteReference w:id="417"/>
      </w:r>
      <w:r>
        <w:rPr>
          <w:rFonts w:ascii="IRNazanin" w:hAnsi="IRNazanin" w:eastAsia="IRNazanin"/>
          <w:color w:val="111111"/>
          <w:sz w:val="28"/>
          <w:sz w:val="28"/>
          <w:szCs w:val="28"/>
          <w:rtl w:val="true"/>
          <w:lang w:bidi="fa-IR"/>
        </w:rPr>
        <w:t xml:space="preserve">والحشرات کلّها، کالحیّة والفأرة والعقرب والخنافس </w:t>
      </w:r>
      <w:r>
        <w:rPr>
          <w:rStyle w:val="FootnoteAnchor"/>
          <w:rtl w:val="true"/>
        </w:rPr>
        <w:footnoteReference w:id="418"/>
      </w:r>
      <w:r>
        <w:rPr>
          <w:rFonts w:ascii="IRNazanin" w:hAnsi="IRNazanin" w:eastAsia="IRNazanin"/>
          <w:color w:val="111111"/>
          <w:sz w:val="28"/>
          <w:sz w:val="28"/>
          <w:szCs w:val="28"/>
          <w:rtl w:val="true"/>
          <w:lang w:bidi="fa-IR"/>
        </w:rPr>
        <w:t>والصراصر وبنات</w:t>
      </w:r>
    </w:p>
    <w:p>
      <w:pPr>
        <w:pStyle w:val="BookText"/>
        <w:rPr/>
      </w:pPr>
      <w:r>
        <w:rPr>
          <w:rFonts w:ascii="Amiri" w:hAnsi="Amiri" w:eastAsia="Amiri" w:cs="Amiri"/>
          <w:color w:val="111111"/>
          <w:sz w:val="28"/>
          <w:sz w:val="28"/>
          <w:szCs w:val="28"/>
          <w:rtl w:val="true"/>
          <w:lang w:bidi="ar-SA"/>
        </w:rPr>
        <w:t xml:space="preserve">وَردان </w:t>
      </w:r>
      <w:r>
        <w:rPr>
          <w:rStyle w:val="FootnoteAnchor"/>
          <w:rtl w:val="true"/>
        </w:rPr>
        <w:footnoteReference w:id="4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الواو مبنیّاً علی الفتح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والبراغیث والقُمَّل والیربوع </w:t>
      </w:r>
      <w:r>
        <w:rPr>
          <w:rStyle w:val="FootnoteAnchor"/>
          <w:rtl w:val="true"/>
        </w:rPr>
        <w:footnoteReference w:id="420"/>
      </w:r>
      <w:r>
        <w:rPr>
          <w:rFonts w:ascii="IRNazanin" w:hAnsi="IRNazanin" w:eastAsia="IRNazanin"/>
          <w:color w:val="111111"/>
          <w:sz w:val="28"/>
          <w:sz w:val="28"/>
          <w:szCs w:val="28"/>
          <w:rtl w:val="true"/>
          <w:lang w:bidi="fa-IR"/>
        </w:rPr>
        <w:t>والقنفذ والوبْر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بسکون الباء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وبرة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بالسکون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الجوهری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دویبة أصغر من السنّور طحلاء اللون لا ذَ نَب لها ترجن </w:t>
      </w:r>
      <w:r>
        <w:rPr>
          <w:rStyle w:val="FootnoteAnchor"/>
          <w:rtl w:val="true"/>
        </w:rPr>
        <w:footnoteReference w:id="421"/>
      </w:r>
      <w:r>
        <w:rPr>
          <w:rFonts w:ascii="IRNazanin" w:hAnsi="IRNazanin" w:eastAsia="IRNazanin"/>
          <w:color w:val="111111"/>
          <w:sz w:val="28"/>
          <w:sz w:val="28"/>
          <w:szCs w:val="28"/>
          <w:rtl w:val="true"/>
          <w:lang w:bidi="fa-IR"/>
        </w:rPr>
        <w:t xml:space="preserve">فی البیوت </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والخزّ</w:t>
      </w:r>
      <w:r>
        <w:rPr>
          <w:rFonts w:eastAsia="Amiri" w:cs="Amiri" w:ascii="Amiri" w:hAnsi="Amiri"/>
          <w:color w:val="111111"/>
          <w:sz w:val="28"/>
          <w:szCs w:val="28"/>
          <w:rtl w:val="true"/>
          <w:lang w:bidi="ar-SA"/>
        </w:rPr>
        <w:t xml:space="preserve">» </w:t>
      </w:r>
      <w:r>
        <w:rPr>
          <w:rStyle w:val="FootnoteAnchor"/>
          <w:rtl w:val="true"/>
        </w:rPr>
        <w:footnoteReference w:id="423"/>
      </w:r>
      <w:r>
        <w:rPr>
          <w:rFonts w:ascii="IRNazanin" w:hAnsi="IRNazanin" w:eastAsia="IRNazanin"/>
          <w:color w:val="111111"/>
          <w:sz w:val="28"/>
          <w:sz w:val="28"/>
          <w:szCs w:val="28"/>
          <w:rtl w:val="true"/>
          <w:lang w:bidi="fa-IR"/>
        </w:rPr>
        <w:t xml:space="preserve">وقد تقدّم فی باب الصلاة </w:t>
      </w:r>
      <w:r>
        <w:rPr>
          <w:rStyle w:val="FootnoteAnchor"/>
          <w:rtl w:val="true"/>
        </w:rPr>
        <w:footnoteReference w:id="424"/>
      </w:r>
      <w:r>
        <w:rPr>
          <w:rFonts w:ascii="IRNazanin" w:hAnsi="IRNazanin" w:eastAsia="IRNazanin"/>
          <w:color w:val="111111"/>
          <w:sz w:val="28"/>
          <w:sz w:val="28"/>
          <w:szCs w:val="28"/>
          <w:rtl w:val="true"/>
          <w:lang w:bidi="fa-IR"/>
        </w:rPr>
        <w:t xml:space="preserve">أ نّه دویبة بحریّة ذات أربع تشبه الثعلب، وکأ نّها الیوم مجهولة، أو مغیَّرة الاسم أو موهومته، وقد کانت فی مبدأ الإسلام إلی وسطه کثیرة جدّاً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والفَنَک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بفتح الفاء والنون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دابّة یتّخذ منها الفرو </w:t>
      </w:r>
      <w:r>
        <w:rPr>
          <w:rStyle w:val="FootnoteAnchor"/>
          <w:rtl w:val="true"/>
        </w:rPr>
        <w:footnoteReference w:id="4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السین وضمّ المیم المشدّدة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والسنجاب والعظاءة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بالظاء المشالة ممدودة مهموزة، وقد تقلب الهمزة یاء، قال فی الصحاح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دویبة أکبر من الوزغة والجمع العظاء ممدودة </w:t>
      </w:r>
      <w:r>
        <w:rPr>
          <w:rStyle w:val="FootnoteAnchor"/>
          <w:rtl w:val="true"/>
        </w:rPr>
        <w:footnoteReference w:id="4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واللُحَکة</w:t>
      </w:r>
      <w:r>
        <w:rPr>
          <w:rFonts w:eastAsia="Amiri" w:cs="Amiri" w:ascii="Amiri" w:hAnsi="Amiri"/>
          <w:color w:val="111111"/>
          <w:sz w:val="28"/>
          <w:szCs w:val="28"/>
          <w:rtl w:val="true"/>
          <w:lang w:bidi="ar-SA"/>
        </w:rPr>
        <w:t>»</w:t>
      </w:r>
      <w:bookmarkStart w:id="177" w:name="pg19815_253105"/>
    </w:p>
    <w:p>
      <w:pPr>
        <w:pStyle w:val="BookText"/>
        <w:rPr/>
      </w:pPr>
      <w:bookmarkEnd w:id="177"/>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بضمّ اللام ففتح الحاء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الجوهری عن ابن السکّیت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نّها دویبة شبیهة بالعظاءة تبرق زرقاء، ولیس لها ذَ نَب طویل مثل ذَنَب العظاءة، وقوائمها خفیّة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8" w:name="__RefHeading___Toc2227809_2314609296"/>
      <w:bookmarkStart w:id="179" w:name="_Toc67"/>
      <w:bookmarkEnd w:id="178"/>
      <w:r>
        <w:rPr>
          <w:rtl w:val="true"/>
        </w:rPr>
        <w:t>[</w:t>
      </w:r>
      <w:r>
        <w:rPr>
          <w:rtl w:val="true"/>
        </w:rPr>
        <w:t xml:space="preserve">فی الطیر </w:t>
      </w:r>
      <w:r>
        <w:rPr>
          <w:rtl w:val="true"/>
        </w:rPr>
        <w:t>]</w:t>
      </w:r>
      <w:bookmarkEnd w:id="17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الطیر ما له مخلاب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بکسر المیم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کالبازی والعقاب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بضمّ العین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والصقر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بالصاد، وتقلب سیناً، قاعدة فی کلمة فیها قاف أو طاء أو راء أو غین أو خاء، کالبصاق والصراط والصدغ والصماخ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والشاهین والنسر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والرُخم </w:t>
      </w:r>
      <w:r>
        <w:rPr>
          <w:rStyle w:val="FootnoteAnchor"/>
          <w:rtl w:val="true"/>
        </w:rPr>
        <w:footnoteReference w:id="427"/>
      </w:r>
      <w:r>
        <w:rPr>
          <w:rFonts w:ascii="IRNazanin" w:hAnsi="IRNazanin" w:eastAsia="IRNazanin"/>
          <w:color w:val="111111"/>
          <w:sz w:val="28"/>
          <w:sz w:val="28"/>
          <w:szCs w:val="28"/>
          <w:rtl w:val="true"/>
          <w:lang w:bidi="fa-IR"/>
        </w:rPr>
        <w:t>والبَغاث</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بفتح الموحّدة وبالمعجمة والمثلّثة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بغاثة کذلک، طائر أبیض بطیء الطیران أصغر من الحدأة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بکسر الحاء والهمز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الدروس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البَغاث ما عظم من الطیر ولیس له مخلال معقَّف،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وربما جُعل النسر من البغاث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مثلَّث الباء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الفرّاء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بغاث الطیر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شرارها، وما لا یصید منها </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والغراب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الأسود الذی یسکن الجبال والخربان ویأکل الجیف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والأبقع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المشتمل علی بیاض وسواد، مثل الأبلق فی الحیوان</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والمشهور أ نّه صنف واحد، وهو المعروف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العقعق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بفتح عینیه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المهذّب جعله صنفین </w:t>
      </w:r>
      <w:r>
        <w:rPr>
          <w:rStyle w:val="FootnoteAnchor"/>
          <w:rtl w:val="true"/>
        </w:rPr>
        <w:footnoteReference w:id="4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المشهور، والآخر أکبر منه حجماً وأصغر ذَ نَباً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ومستند التحریم فیهما صحیحة علیّ بن جعفر عن أخیه موسی علیهما السلام بتحریم الغراب مطلقاً </w:t>
      </w:r>
      <w:r>
        <w:rPr>
          <w:rStyle w:val="FootnoteAnchor"/>
          <w:rtl w:val="true"/>
        </w:rPr>
        <w:footnoteReference w:id="430"/>
      </w:r>
      <w:r>
        <w:rPr>
          <w:rFonts w:ascii="IRNazanin" w:hAnsi="IRNazanin" w:eastAsia="IRNazanin"/>
          <w:color w:val="111111"/>
          <w:sz w:val="28"/>
          <w:sz w:val="28"/>
          <w:szCs w:val="28"/>
          <w:rtl w:val="true"/>
          <w:lang w:bidi="fa-IR"/>
        </w:rPr>
        <w:t>وروایة أبی یحیی الواسطی أ نّه سأل الرضا علیه السلام عن الغراب الأبقع،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یؤکل، ومَن أحلّ لک الأسود؟</w:t>
      </w:r>
      <w:r>
        <w:rPr>
          <w:rFonts w:eastAsia="IRNazanin" w:cs="IRNazanin"/>
          <w:color w:val="111111"/>
          <w:sz w:val="28"/>
          <w:szCs w:val="28"/>
          <w:rtl w:val="true"/>
          <w:lang w:bidi="fa-IR"/>
        </w:rPr>
        <w:t xml:space="preserve">» </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ویحلّ غراب الزرع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المعروف بالزاغ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المشهور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الغُداف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أصغر منه، إلی الغبرة ما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یمیل یسیراً، ویُعرف بالرمادی لذلک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ونَسَب القول بحلّ الأوّل إلی الشهرة؛ لعدم دلیل صریح یخصّصه، بل الأخبار منها مطلق فی تحریم الغراب بجمیع أصنافه، کصحیحة علیّ بن جعفر عن أخیه موسی علیهما السلام أ 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یحلّ شیء من الغربان زاغ ولا غیره</w:t>
      </w:r>
      <w:r>
        <w:rPr>
          <w:rFonts w:eastAsia="IRNazanin" w:cs="IRNazanin"/>
          <w:color w:val="111111"/>
          <w:sz w:val="28"/>
          <w:szCs w:val="28"/>
          <w:rtl w:val="true"/>
          <w:lang w:bidi="fa-IR"/>
        </w:rPr>
        <w:t xml:space="preserve">» </w:t>
      </w:r>
      <w:r>
        <w:rPr>
          <w:rStyle w:val="FootnoteAnchor"/>
          <w:rtl w:val="true"/>
        </w:rPr>
        <w:footnoteReference w:id="432"/>
      </w:r>
      <w:r>
        <w:rPr>
          <w:rFonts w:ascii="IRNazanin" w:hAnsi="IRNazanin" w:eastAsia="IRNazanin"/>
          <w:color w:val="111111"/>
          <w:sz w:val="28"/>
          <w:sz w:val="28"/>
          <w:szCs w:val="28"/>
          <w:rtl w:val="true"/>
          <w:lang w:bidi="fa-IR"/>
        </w:rPr>
        <w:t>وهو 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مطلق فی الإباحة، کروایة زرارة عن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 </w:t>
      </w:r>
      <w:r>
        <w:rPr>
          <w:rStyle w:val="FootnoteAnchor"/>
          <w:rtl w:val="true"/>
        </w:rPr>
        <w:footnoteReference w:id="433"/>
      </w:r>
      <w:r>
        <w:rPr>
          <w:rFonts w:ascii="IRNazanin" w:hAnsi="IRNazanin" w:eastAsia="IRNazanin"/>
          <w:color w:val="111111"/>
          <w:sz w:val="28"/>
          <w:sz w:val="28"/>
          <w:szCs w:val="28"/>
          <w:rtl w:val="true"/>
          <w:lang w:bidi="fa-IR"/>
        </w:rPr>
        <w:t>الغراب لیس بحرام إنّما الحرام ما حرّم اللّٰه فی کتابه</w:t>
      </w:r>
      <w:r>
        <w:rPr>
          <w:rFonts w:eastAsia="IRNazanin" w:cs="IRNazanin"/>
          <w:color w:val="111111"/>
          <w:sz w:val="28"/>
          <w:szCs w:val="28"/>
          <w:rtl w:val="true"/>
          <w:lang w:bidi="fa-IR"/>
        </w:rPr>
        <w:t xml:space="preserve">» </w:t>
      </w:r>
      <w:r>
        <w:rPr>
          <w:rStyle w:val="FootnoteAnchor"/>
          <w:rtl w:val="true"/>
        </w:rPr>
        <w:footnoteReference w:id="434"/>
      </w:r>
      <w:r>
        <w:rPr>
          <w:rFonts w:ascii="IRNazanin" w:hAnsi="IRNazanin" w:eastAsia="IRNazanin"/>
          <w:color w:val="111111"/>
          <w:sz w:val="28"/>
          <w:sz w:val="28"/>
          <w:szCs w:val="28"/>
          <w:rtl w:val="true"/>
          <w:lang w:bidi="fa-IR"/>
        </w:rPr>
        <w:t>لکن لیس فی الباب حدیث صحیح غیر ما دلّ علی التحریم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فالقول به متعیّن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 المخصّص استند إلی مفهوم حدیث أبی یحیی لکنّه ضعیف </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ویُفهم من المصنّف القطع بحلّ الغُداف الأغبر؛ لأنّه أخّره عن حکایة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ومستنده غیر واضح مع الاتّفاق علی أ نّه من أقسام الغراب</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الطیر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 صفیفه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طیرانه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أن یطیر</w:t>
      </w:r>
    </w:p>
    <w:p>
      <w:pPr>
        <w:pStyle w:val="BookText"/>
        <w:rPr/>
      </w:pPr>
      <w:r>
        <w:rPr>
          <w:rFonts w:ascii="IRNazanin" w:hAnsi="IRNazanin" w:eastAsia="IRNazanin"/>
          <w:color w:val="111111"/>
          <w:sz w:val="28"/>
          <w:sz w:val="28"/>
          <w:szCs w:val="28"/>
          <w:rtl w:val="true"/>
          <w:lang w:bidi="fa-IR"/>
        </w:rPr>
        <w:t>مبسوط الجناحین من غیر أن یحرّکهما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أکثر من دفیفه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یحرّکهما حالته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ما انعکس، أو تساویا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فی الصفیف والدفیف، والمنصوص تحریماً وتحلیلاً داخل فیه، إلّاالخُطّاف </w:t>
      </w:r>
      <w:r>
        <w:rPr>
          <w:rStyle w:val="FootnoteAnchor"/>
          <w:rtl w:val="true"/>
        </w:rPr>
        <w:footnoteReference w:id="436"/>
      </w:r>
      <w:r>
        <w:rPr>
          <w:rFonts w:ascii="IRNazanin" w:hAnsi="IRNazanin" w:eastAsia="IRNazanin"/>
          <w:color w:val="111111"/>
          <w:sz w:val="28"/>
          <w:sz w:val="28"/>
          <w:szCs w:val="28"/>
          <w:rtl w:val="true"/>
          <w:lang w:bidi="fa-IR"/>
        </w:rPr>
        <w:t xml:space="preserve">فقد قیل بتحریمه </w:t>
      </w:r>
      <w:r>
        <w:rPr>
          <w:rStyle w:val="FootnoteAnchor"/>
          <w:rtl w:val="true"/>
        </w:rPr>
        <w:footnoteReference w:id="437"/>
      </w:r>
      <w:r>
        <w:rPr>
          <w:rFonts w:ascii="IRNazanin" w:hAnsi="IRNazanin" w:eastAsia="IRNazanin"/>
          <w:color w:val="111111"/>
          <w:sz w:val="28"/>
          <w:sz w:val="28"/>
          <w:szCs w:val="28"/>
          <w:rtl w:val="true"/>
          <w:lang w:bidi="fa-IR"/>
        </w:rPr>
        <w:t>مع أ نّه یدفّ، فلذلک ضعف القول بتحریمه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یحرم ما لیس له قانصة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للطیر بمنزلة المَصارین لغیرها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حوصلة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بالتشدید والتخفیف، وهی ما یجمع فیها الحبّ وغیره من المأکول عند الحلق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صیصیة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بکسر أوّله وثالثه مخفّفاً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وهی الشوکة التی فی رجله موضع العقب، وأصلها شوکة الحائک التی یُسوّی بها السداة واللُحمة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والظاهر أنّ العلامات متلازمة فیکتفی بظهور 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صحیحة عبد اللّٰه ابن سنان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 أبی أبا عبد اللّٰه علیه السلام وأنا أسمع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فی الحباری؟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کانت له قانصة فکل،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وسألته عن طیر الماء، فقال مثل ذلک</w:t>
      </w:r>
      <w:r>
        <w:rPr>
          <w:rFonts w:eastAsia="IRNazanin" w:cs="IRNazanin"/>
          <w:color w:val="111111"/>
          <w:sz w:val="28"/>
          <w:szCs w:val="28"/>
          <w:rtl w:val="true"/>
          <w:lang w:bidi="fa-IR"/>
        </w:rPr>
        <w:t xml:space="preserve">» </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روایة زرارة عن أبی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ما دفّ، ولا تأکل ما صفّ</w:t>
      </w:r>
      <w:r>
        <w:rPr>
          <w:rFonts w:eastAsia="IRNazanin" w:cs="IRNazanin"/>
          <w:color w:val="111111"/>
          <w:sz w:val="28"/>
          <w:szCs w:val="28"/>
          <w:rtl w:val="true"/>
          <w:lang w:bidi="fa-IR"/>
        </w:rPr>
        <w:t xml:space="preserve">» </w:t>
      </w:r>
      <w:r>
        <w:rPr>
          <w:rStyle w:val="FootnoteAnchor"/>
          <w:rtl w:val="true"/>
        </w:rPr>
        <w:footnoteReference w:id="439"/>
      </w:r>
      <w:r>
        <w:rPr>
          <w:rFonts w:ascii="IRNazanin" w:hAnsi="IRNazanin" w:eastAsia="IRNazanin"/>
          <w:color w:val="111111"/>
          <w:sz w:val="28"/>
          <w:sz w:val="28"/>
          <w:szCs w:val="28"/>
          <w:rtl w:val="true"/>
          <w:lang w:bidi="fa-IR"/>
        </w:rPr>
        <w:t>فلم یعتبر أحدهما الجمیع</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روایة سماعة عن الرضا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من طیر البرّ ما کان له حوصلة، ومن طیر الماء ما کانت له قانصة کقانصة الحمام، لا معدة کمعدة الإنسان، وکلّ ما صفّ فهو ذو مخلب وهو حرام، وکلّ ما دفّ فهو حلال، والقانصة والحوصلة</w:t>
      </w:r>
    </w:p>
    <w:p>
      <w:pPr>
        <w:pStyle w:val="BookText"/>
        <w:rPr/>
      </w:pPr>
      <w:r>
        <w:rPr>
          <w:rFonts w:ascii="Amiri" w:hAnsi="Amiri" w:eastAsia="Amiri" w:cs="Amiri"/>
          <w:color w:val="111111"/>
          <w:sz w:val="28"/>
          <w:sz w:val="28"/>
          <w:szCs w:val="28"/>
          <w:rtl w:val="true"/>
          <w:lang w:bidi="ar-SA"/>
        </w:rPr>
        <w:t xml:space="preserve">یُمتحن بها </w:t>
      </w:r>
      <w:r>
        <w:rPr>
          <w:rStyle w:val="FootnoteAnchor"/>
          <w:rtl w:val="true"/>
        </w:rPr>
        <w:footnoteReference w:id="440"/>
      </w:r>
      <w:r>
        <w:rPr>
          <w:rFonts w:ascii="IRNazanin" w:hAnsi="IRNazanin" w:eastAsia="IRNazanin"/>
          <w:color w:val="111111"/>
          <w:sz w:val="28"/>
          <w:sz w:val="28"/>
          <w:szCs w:val="28"/>
          <w:rtl w:val="true"/>
          <w:lang w:bidi="fa-IR"/>
        </w:rPr>
        <w:t>من الطیر ما لا یُعرف طیرانه وکلّ طیر مجهول</w:t>
      </w:r>
      <w:r>
        <w:rPr>
          <w:rFonts w:eastAsia="IRNazanin" w:cs="IRNazanin"/>
          <w:color w:val="111111"/>
          <w:sz w:val="28"/>
          <w:szCs w:val="28"/>
          <w:rtl w:val="true"/>
          <w:lang w:bidi="fa-IR"/>
        </w:rPr>
        <w:t xml:space="preserve">» </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هذه الروایة أیضاً دلالة علی عدم اعتبار الجمیع، وعلی أنّ العلامة لغیر المنصوص علی تحریمه وتحلیله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والخشّاف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ویقال له </w:t>
      </w:r>
      <w:r>
        <w:rPr>
          <w:rStyle w:val="FootnoteAnchor"/>
          <w:rtl w:val="true"/>
        </w:rPr>
        <w:footnoteReference w:id="4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الخفّاش والوطواط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والطاووس</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ویکره الهُدهُد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لقول الرضا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نهی رسول اللّٰه صلی الله علیه و آله عن قتل الهُدهُد والصُرَد </w:t>
      </w:r>
      <w:r>
        <w:rPr>
          <w:rStyle w:val="FootnoteAnchor"/>
          <w:rtl w:val="true"/>
        </w:rPr>
        <w:footnoteReference w:id="443"/>
      </w:r>
      <w:r>
        <w:rPr>
          <w:rFonts w:ascii="Amiri" w:hAnsi="Amiri" w:eastAsia="Amiri" w:cs="Amiri"/>
          <w:color w:val="111111"/>
          <w:sz w:val="28"/>
          <w:sz w:val="28"/>
          <w:szCs w:val="28"/>
          <w:rtl w:val="true"/>
          <w:lang w:bidi="ar-SA"/>
        </w:rPr>
        <w:t xml:space="preserve">والصُوّام </w:t>
      </w:r>
      <w:r>
        <w:rPr>
          <w:rStyle w:val="FootnoteAnchor"/>
          <w:rtl w:val="true"/>
        </w:rPr>
        <w:footnoteReference w:id="444"/>
      </w:r>
      <w:r>
        <w:rPr>
          <w:rFonts w:ascii="Amiri" w:hAnsi="Amiri" w:eastAsia="Amiri" w:cs="Amiri"/>
          <w:color w:val="111111"/>
          <w:sz w:val="28"/>
          <w:sz w:val="28"/>
          <w:szCs w:val="28"/>
          <w:rtl w:val="true"/>
          <w:lang w:bidi="ar-SA"/>
        </w:rPr>
        <w:t>والنحلة</w:t>
      </w:r>
      <w:r>
        <w:rPr>
          <w:rFonts w:eastAsia="Amiri" w:cs="Amiri" w:ascii="Amiri" w:hAnsi="Amiri"/>
          <w:color w:val="111111"/>
          <w:sz w:val="28"/>
          <w:szCs w:val="28"/>
          <w:rtl w:val="true"/>
          <w:lang w:bidi="ar-SA"/>
        </w:rPr>
        <w:t xml:space="preserve">» </w:t>
      </w:r>
      <w:r>
        <w:rPr>
          <w:rStyle w:val="FootnoteAnchor"/>
          <w:rtl w:val="true"/>
        </w:rPr>
        <w:footnoteReference w:id="445"/>
      </w:r>
      <w:r>
        <w:rPr>
          <w:rFonts w:ascii="IRNazanin" w:hAnsi="IRNazanin" w:eastAsia="IRNazanin"/>
          <w:color w:val="111111"/>
          <w:sz w:val="28"/>
          <w:sz w:val="28"/>
          <w:szCs w:val="28"/>
          <w:rtl w:val="true"/>
          <w:lang w:bidi="fa-IR"/>
        </w:rPr>
        <w:t>وروی علیّ بن جعفر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أخی موسی علیه السلام عن الهُدهُد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یُؤذی ولا یُذبح، فنعم الطیر هو</w:t>
      </w:r>
      <w:r>
        <w:rPr>
          <w:rFonts w:eastAsia="IRNazanin" w:cs="IRNazanin"/>
          <w:color w:val="111111"/>
          <w:sz w:val="28"/>
          <w:szCs w:val="28"/>
          <w:rtl w:val="true"/>
          <w:lang w:bidi="fa-IR"/>
        </w:rPr>
        <w:t xml:space="preserve">» </w:t>
      </w:r>
      <w:r>
        <w:rPr>
          <w:rStyle w:val="FootnoteAnchor"/>
          <w:rtl w:val="true"/>
        </w:rPr>
        <w:footnoteReference w:id="446"/>
      </w:r>
      <w:r>
        <w:rPr>
          <w:rFonts w:ascii="IRNazanin" w:hAnsi="IRNazanin" w:eastAsia="IRNazanin"/>
          <w:color w:val="111111"/>
          <w:sz w:val="28"/>
          <w:sz w:val="28"/>
          <w:szCs w:val="28"/>
          <w:rtl w:val="true"/>
          <w:lang w:bidi="fa-IR"/>
        </w:rPr>
        <w:t>وعن الرضا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کلّ جناح هُدهُد مکتوب بالسریانیّة آل محمّد خیر البریّة</w:t>
      </w:r>
      <w:r>
        <w:rPr>
          <w:rFonts w:eastAsia="IRNazanin" w:cs="IRNazanin"/>
          <w:color w:val="111111"/>
          <w:sz w:val="28"/>
          <w:szCs w:val="28"/>
          <w:rtl w:val="true"/>
          <w:lang w:bidi="fa-IR"/>
        </w:rPr>
        <w:t xml:space="preserve">» </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والخُطّاف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بضمّ الخاء وتشدید الطاء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وهو الصنونو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أشدّ کراهیة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الهُدهُد؛ لما رُوی عن النبیّ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استوصوا بالصنینات خیراً، یعنی الخُطّاف فإنّهنّ آنس طیر بالناس</w:t>
      </w:r>
      <w:r>
        <w:rPr>
          <w:rFonts w:eastAsia="IRNazanin" w:cs="IRNazanin"/>
          <w:color w:val="111111"/>
          <w:sz w:val="28"/>
          <w:szCs w:val="28"/>
          <w:rtl w:val="true"/>
          <w:lang w:bidi="fa-IR"/>
        </w:rPr>
        <w:t xml:space="preserve">» </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قیل بتحریمه </w:t>
      </w:r>
      <w:r>
        <w:rPr>
          <w:rStyle w:val="FootnoteAnchor"/>
          <w:rtl w:val="true"/>
        </w:rPr>
        <w:footnoteReference w:id="449"/>
      </w:r>
      <w:r>
        <w:rPr>
          <w:rFonts w:ascii="IRNazanin" w:hAnsi="IRNazanin" w:eastAsia="IRNazanin"/>
          <w:color w:val="111111"/>
          <w:sz w:val="28"/>
          <w:sz w:val="28"/>
          <w:szCs w:val="28"/>
          <w:rtl w:val="true"/>
          <w:lang w:bidi="fa-IR"/>
        </w:rPr>
        <w:t>لروایة داود الرقّی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بینا نحن قعود عند أبی عبد اللّٰه علیه السلام؛ إذ مرّ رجل بیده خُطّاف مذبوح فوثب إلیه أبو عبد اللّٰه علیه السلام، حتّی أخذه من یده ثمّ دحا به الأرض، ثمّ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أعالمکم أمرکم بهذا أم فقیهکم؟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أبی عن جدّی أنّ رسول اللّٰه صلی الله علیه و آله نهی عن قتل الستّة، منها الخُطّاف</w:t>
      </w:r>
      <w:r>
        <w:rPr>
          <w:rFonts w:eastAsia="IRNazanin" w:cs="IRNazanin"/>
          <w:color w:val="111111"/>
          <w:sz w:val="28"/>
          <w:szCs w:val="28"/>
          <w:rtl w:val="true"/>
          <w:lang w:bidi="fa-IR"/>
        </w:rPr>
        <w:t xml:space="preserve">» </w:t>
      </w:r>
      <w:r>
        <w:rPr>
          <w:rStyle w:val="FootnoteAnchor"/>
          <w:rtl w:val="true"/>
        </w:rPr>
        <w:footnoteReference w:id="450"/>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تسبیحه قراءة الحمد للّٰه‌ربّ العالمین، ألا ترونه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الضالّین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والخبر مع سلامة سنده لا یدلّ علی تحریم لحمه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ووجه الحکم بحلّه حینئذٍ أ نّه یدفّ، فیدخل فی العموم، وقد رُوی حِلّه أیضاً بطریق ضعیف </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ویکره الفاختة والقُبّرة </w:t>
      </w:r>
      <w:r>
        <w:rPr>
          <w:rStyle w:val="FootnoteAnchor"/>
          <w:rtl w:val="true"/>
        </w:rPr>
        <w:footnoteReference w:id="4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بضمّ القاف وتشدید الباء مفتوحة من غیر نون بینهما، فإنّه لحن من کلام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القنبراء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مع الألف بعد الراء ممدودة، وهی فی بعض نسخ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وکراهة القبّرة منضمّة إلی برکة، بخلاف الفاختة</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سلیمان الجعفری عن الرضا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تأکلوا القُبّرة ولا تسبّوها</w:t>
      </w:r>
    </w:p>
    <w:p>
      <w:pPr>
        <w:pStyle w:val="BookText"/>
        <w:rPr/>
      </w:pPr>
      <w:r>
        <w:rPr>
          <w:rFonts w:ascii="IRNazanin" w:hAnsi="IRNazanin" w:eastAsia="IRNazanin"/>
          <w:color w:val="111111"/>
          <w:sz w:val="28"/>
          <w:sz w:val="28"/>
          <w:szCs w:val="28"/>
          <w:rtl w:val="true"/>
          <w:lang w:bidi="fa-IR"/>
        </w:rPr>
        <w:t>ولا تعطوها الصبیان یلعبون بها، فإنّها کثیرة التسبیح، وتسبیحها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اللّٰه مبغضی آل محمّد</w:t>
      </w:r>
      <w:r>
        <w:rPr>
          <w:rFonts w:eastAsia="IRNazanin" w:cs="IRNazanin"/>
          <w:color w:val="111111"/>
          <w:sz w:val="28"/>
          <w:szCs w:val="28"/>
          <w:rtl w:val="true"/>
          <w:lang w:bidi="fa-IR"/>
        </w:rPr>
        <w:t xml:space="preserve">» </w:t>
      </w:r>
      <w:r>
        <w:rPr>
          <w:rStyle w:val="FootnoteAnchor"/>
          <w:rtl w:val="true"/>
        </w:rPr>
        <w:footnoteReference w:id="453"/>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القُنْزَعَة التی علی رأس القُبّرة من مسحة سلیمان بن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خبر طویل </w:t>
      </w:r>
      <w:r>
        <w:rPr>
          <w:rStyle w:val="FootnoteAnchor"/>
          <w:rtl w:val="true"/>
        </w:rPr>
        <w:footnoteReference w:id="454"/>
      </w:r>
      <w:r>
        <w:rPr>
          <w:rFonts w:ascii="IRNazanin" w:hAnsi="IRNazanin" w:eastAsia="IRNazanin"/>
          <w:color w:val="111111"/>
          <w:sz w:val="28"/>
          <w:sz w:val="28"/>
          <w:szCs w:val="28"/>
          <w:rtl w:val="true"/>
          <w:lang w:bidi="fa-IR"/>
        </w:rPr>
        <w:t>وروی أبو بصیر أنّ أبا عبد اللّٰه علیه السلام قال لابنه إسماعیل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رأی فی بیته فاختة فی قفص تصیح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بُنیَّ ما یدعوک إلی إمساک هذه الفاختة؟ أما علمت أ نّها مشومة؟ وما تدری ما تقول، إنّما تدعو علی أربابها، فتقول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فقدتکم فقدتکم</w:t>
      </w:r>
      <w:r>
        <w:rPr>
          <w:rFonts w:eastAsia="IRNazanin" w:cs="IRNazanin"/>
          <w:color w:val="111111"/>
          <w:sz w:val="28"/>
          <w:szCs w:val="28"/>
          <w:rtl w:val="true"/>
          <w:lang w:bidi="fa-IR"/>
        </w:rPr>
        <w:t xml:space="preserve">» </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والحُباری </w:t>
      </w:r>
      <w:r>
        <w:rPr>
          <w:rStyle w:val="FootnoteAnchor"/>
          <w:rtl w:val="true"/>
        </w:rPr>
        <w:footnoteReference w:id="456"/>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بضمّ الحاء وفتح الراء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وهو اسم یقع علی الذکر والاُنثی، واحدها وجمعها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أشدّ کراهیة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ووجه الأشدّیّة غیر واضح، والمشهور فی عبارة المصنّف </w:t>
      </w:r>
      <w:r>
        <w:rPr>
          <w:rStyle w:val="FootnoteAnchor"/>
          <w:rtl w:val="true"/>
        </w:rPr>
        <w:footnoteReference w:id="457"/>
      </w:r>
      <w:r>
        <w:rPr>
          <w:rFonts w:ascii="IRNazanin" w:hAnsi="IRNazanin" w:eastAsia="IRNazanin"/>
          <w:color w:val="111111"/>
          <w:sz w:val="28"/>
          <w:sz w:val="28"/>
          <w:szCs w:val="28"/>
          <w:rtl w:val="true"/>
          <w:lang w:bidi="fa-IR"/>
        </w:rPr>
        <w:t xml:space="preserve">وغیره </w:t>
      </w:r>
      <w:r>
        <w:rPr>
          <w:rStyle w:val="FootnoteAnchor"/>
          <w:rtl w:val="true"/>
        </w:rPr>
        <w:footnoteReference w:id="458"/>
      </w:r>
      <w:r>
        <w:rPr>
          <w:rFonts w:ascii="IRNazanin" w:hAnsi="IRNazanin" w:eastAsia="IRNazanin"/>
          <w:color w:val="111111"/>
          <w:sz w:val="28"/>
          <w:sz w:val="28"/>
          <w:szCs w:val="28"/>
          <w:rtl w:val="true"/>
          <w:lang w:bidi="fa-IR"/>
        </w:rPr>
        <w:t>أصل الاشتراک فیها، وقد روی المسمعی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الحُباری،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فوددت أنّ عندی منه فآکل حتّی أتملّأ </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یکره أیضاً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الصاد وفتح الراء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والصُوّام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بضمّ الصاد وتشدید الواو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التحریر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طائر أغبر اللون، طویل الرقبة، أکثر ما یبیت فی النخل </w:t>
      </w:r>
      <w:r>
        <w:rPr>
          <w:rStyle w:val="FootnoteAnchor"/>
          <w:rtl w:val="true"/>
        </w:rPr>
        <w:footnoteReference w:id="460"/>
      </w:r>
      <w:r>
        <w:rPr>
          <w:rFonts w:ascii="IRNazanin" w:hAnsi="IRNazanin" w:eastAsia="IRNazanin"/>
          <w:color w:val="111111"/>
          <w:sz w:val="28"/>
          <w:sz w:val="28"/>
          <w:szCs w:val="28"/>
          <w:rtl w:val="true"/>
          <w:lang w:bidi="fa-IR"/>
        </w:rPr>
        <w:t xml:space="preserve">وفی الأخبار النهی عن قتلهما فی جملة ستّة </w:t>
      </w:r>
      <w:r>
        <w:rPr>
          <w:rStyle w:val="FootnoteAnchor"/>
          <w:rtl w:val="true"/>
        </w:rPr>
        <w:footnoteReference w:id="461"/>
      </w:r>
      <w:r>
        <w:rPr>
          <w:rFonts w:ascii="IRNazanin" w:hAnsi="IRNazanin" w:eastAsia="IRNazanin"/>
          <w:color w:val="111111"/>
          <w:sz w:val="28"/>
          <w:sz w:val="28"/>
          <w:szCs w:val="28"/>
          <w:rtl w:val="true"/>
          <w:lang w:bidi="fa-IR"/>
        </w:rPr>
        <w:t xml:space="preserve">وقد تقدّم بعضها </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والشَقِرّاق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بفتح الشین وکسر القاف وتشدید الراء، وبکسر الشین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الشِقْراق کقرطاس، والشرقراق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 والکسر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والشرقرق کسفرجل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طائر مرقَّط بخضرة وحمرة وبیاض، ذکر ذلک کلّه فی القاموس </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أبی عبد اللّٰه علیه السلام تعلیل کراهته بقتله الحیّات،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وکان رسول اللّٰه صلی الله علیه و آله یوماً یمشی فإذا شِقراق قد انقضّ فاستخرج من خفّه حیّة</w:t>
      </w:r>
      <w:r>
        <w:rPr>
          <w:rFonts w:eastAsia="IRNazanin" w:cs="IRNazanin"/>
          <w:color w:val="111111"/>
          <w:sz w:val="28"/>
          <w:szCs w:val="28"/>
          <w:rtl w:val="true"/>
          <w:lang w:bidi="fa-IR"/>
        </w:rPr>
        <w:t xml:space="preserve">» </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ویحلّ الحمام کلّه کالقَماری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بفتح القاف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الحمام الأزرق جمع قُمری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منسوب إلی طیر قُمر </w:t>
      </w:r>
      <w:r>
        <w:rPr>
          <w:rStyle w:val="FootnoteAnchor"/>
          <w:rtl w:val="true"/>
        </w:rPr>
        <w:footnoteReference w:id="4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والدُباسی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بضمّ الدال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جمع دُبسی بالضمّ منسوب إلی طیر دُبس </w:t>
      </w:r>
      <w:r>
        <w:rPr>
          <w:rStyle w:val="FootnoteAnchor"/>
          <w:rtl w:val="true"/>
        </w:rPr>
        <w:footnoteReference w:id="466"/>
      </w:r>
      <w:r>
        <w:rPr>
          <w:rFonts w:ascii="Amiri" w:hAnsi="Amiri" w:eastAsia="Amiri" w:cs="Amiri"/>
          <w:color w:val="111111"/>
          <w:sz w:val="28"/>
          <w:sz w:val="28"/>
          <w:szCs w:val="28"/>
          <w:rtl w:val="true"/>
          <w:lang w:bidi="ar-SA"/>
        </w:rPr>
        <w:t>بضمّها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دِبس الرُطب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بکسرها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وإنّما ضُمّت الدال مع کسرها فی المنسوب إلیه فی الثانی؛ لأنّهم یُغیّرون فی النسب کالدُهری بالضمّ مع نسبته إلی الدَهر 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المصنّف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نّه الحمام الأحمر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والوَرَشان </w:t>
      </w:r>
      <w:r>
        <w:rPr>
          <w:rStyle w:val="FootnoteAnchor"/>
          <w:rtl w:val="true"/>
        </w:rPr>
        <w:footnoteReference w:id="4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بفتح الواو والراء وعن المصنّف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نّه الحمام الأبیض </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ویحلّ الحَجَل </w:t>
      </w:r>
      <w:r>
        <w:rPr>
          <w:rStyle w:val="FootnoteAnchor"/>
          <w:rtl w:val="true"/>
        </w:rPr>
        <w:footnoteReference w:id="469"/>
      </w:r>
      <w:r>
        <w:rPr>
          <w:rFonts w:ascii="Amiri" w:hAnsi="Amiri" w:eastAsia="Amiri" w:cs="Amiri"/>
          <w:color w:val="111111"/>
          <w:sz w:val="28"/>
          <w:sz w:val="28"/>
          <w:szCs w:val="28"/>
          <w:rtl w:val="true"/>
          <w:lang w:bidi="ar-SA"/>
        </w:rPr>
        <w:t>والدُرّاج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الدال وتشدید الراء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والقَطا </w:t>
      </w:r>
      <w:r>
        <w:rPr>
          <w:rStyle w:val="FootnoteAnchor"/>
          <w:rtl w:val="true"/>
        </w:rPr>
        <w:footnoteReference w:id="470"/>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بالقصر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 قطاة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والطیهوج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طائر طویل الرجلین والرقبة من طیور الماء </w:t>
      </w:r>
      <w:r>
        <w:rPr>
          <w:rStyle w:val="FootnoteAnchor"/>
          <w:rtl w:val="true"/>
        </w:rPr>
        <w:footnoteReference w:id="4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والدجاج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مثلّث الدال، والفتح أشهر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والکَرَوَان </w:t>
      </w:r>
      <w:r>
        <w:rPr>
          <w:rStyle w:val="FootnoteAnchor"/>
          <w:rtl w:val="true"/>
        </w:rPr>
        <w:footnoteReference w:id="4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حروفه الاُوَل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والکُرکی </w:t>
      </w:r>
      <w:r>
        <w:rPr>
          <w:rStyle w:val="FootnoteAnchor"/>
          <w:rtl w:val="true"/>
        </w:rPr>
        <w:footnoteReference w:id="473"/>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بضمّ الکاف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واحد الکراکی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والصَعْو </w:t>
      </w:r>
      <w:r>
        <w:rPr>
          <w:rStyle w:val="FootnoteAnchor"/>
          <w:rtl w:val="true"/>
        </w:rPr>
        <w:footnoteReference w:id="474"/>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بفتح الصاد وسکون العین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 صعوة بهما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والعصفور الأهلی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یسکن الدور</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ویعتبر فی طیر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الذی یبیض ویفرخ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یعتبر فی البرّی</w:t>
      </w:r>
      <w:r>
        <w:rPr>
          <w:rFonts w:eastAsia="IRNazanin" w:cs="IRNazanin"/>
          <w:color w:val="111111"/>
          <w:sz w:val="28"/>
          <w:szCs w:val="28"/>
          <w:rtl w:val="true"/>
          <w:lang w:bidi="fa-IR"/>
        </w:rPr>
        <w:t>:</w:t>
      </w:r>
      <w:bookmarkStart w:id="180" w:name="pg19815_253113"/>
    </w:p>
    <w:p>
      <w:pPr>
        <w:pStyle w:val="BookText"/>
        <w:rPr/>
      </w:pPr>
      <w:bookmarkEnd w:id="180"/>
      <w:r>
        <w:rPr>
          <w:rFonts w:ascii="IRNazanin" w:hAnsi="IRNazanin" w:eastAsia="IRNazanin"/>
          <w:color w:val="111111"/>
          <w:sz w:val="28"/>
          <w:sz w:val="28"/>
          <w:szCs w:val="28"/>
          <w:rtl w:val="true"/>
          <w:lang w:bidi="fa-IR"/>
        </w:rPr>
        <w:t>من الصفیف والدفیف والقانصة والحوصلة والصیصیة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تقدّم ما یدلّ علیه </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والبیض تابع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للطیر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الحلّ والحرمة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فکلّ طائر یحلّ أکله یؤکل بیضه، وما لا 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اشتبه اُکل ما اختلف طرفاه واجتنب ما اتّفق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وتحرم الزنابیر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زنبور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بضمّ الزاء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الأحمر والأصفر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والبقّ والذُباب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بضمّ الذال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واحده ذبابة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بالضمّ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والکثیر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بکسر الذال والنون أخیراً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والمجثِّمة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بتشدید المثلّثة مکسورة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وهی التی تجعل غرضاً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للرمی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وتُرمی بالنُشّاب حتّی تموت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والمصبورة وهی التی تُجرَح وتُحبس حتّی تموت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صبراً، وتحریمهما واضح؛ لعدم التذکیة مع إمکانها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وکلاهما فعل الجاهلیّة وقد ورد النهی عن الفعلین مع تحریم اللحم </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1" w:name="__RefHeading___Toc2227811_2314609296"/>
      <w:bookmarkStart w:id="182" w:name="_Toc68"/>
      <w:bookmarkEnd w:id="181"/>
      <w:r>
        <w:rPr>
          <w:rtl w:val="true"/>
        </w:rPr>
        <w:t>[</w:t>
      </w:r>
      <w:r>
        <w:rPr>
          <w:rtl w:val="true"/>
        </w:rPr>
        <w:t>فی الجلال و استبراؤه</w:t>
      </w:r>
      <w:r>
        <w:rPr>
          <w:rtl w:val="true"/>
        </w:rPr>
        <w:t>]</w:t>
      </w:r>
      <w:bookmarkEnd w:id="182"/>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والجلّال وهو الذی یغتذی عذرة الإنسان محضاً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یخلط غیرها إلی أن ینبت علیها لحمه ویشتدّ عظمه عرفاً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 حتّی یستبرأ علی الأقوی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لحسنة هشام بن سالم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تأکلوا لحوم الجلّالة، وهی التی تأکل العذرة، فإن أصابک من عَرَقها فاغسله</w:t>
      </w:r>
      <w:r>
        <w:rPr>
          <w:rFonts w:eastAsia="IRNazanin" w:cs="IRNazanin"/>
          <w:color w:val="111111"/>
          <w:sz w:val="28"/>
          <w:szCs w:val="28"/>
          <w:rtl w:val="true"/>
          <w:lang w:bidi="fa-IR"/>
        </w:rPr>
        <w:t xml:space="preserve">» </w:t>
      </w:r>
      <w:r>
        <w:rPr>
          <w:rStyle w:val="FootnoteAnchor"/>
          <w:rtl w:val="true"/>
        </w:rPr>
        <w:footnoteReference w:id="477"/>
      </w:r>
      <w:r>
        <w:rPr>
          <w:rFonts w:ascii="IRNazanin" w:hAnsi="IRNazanin" w:eastAsia="IRNazanin"/>
          <w:color w:val="111111"/>
          <w:sz w:val="28"/>
          <w:sz w:val="28"/>
          <w:szCs w:val="28"/>
          <w:rtl w:val="true"/>
          <w:lang w:bidi="fa-IR"/>
        </w:rPr>
        <w:t>وقریب منها حسنة</w:t>
      </w:r>
    </w:p>
    <w:p>
      <w:pPr>
        <w:pStyle w:val="BookText"/>
        <w:rPr/>
      </w:pPr>
      <w:r>
        <w:rPr>
          <w:rFonts w:ascii="IRNazanin" w:hAnsi="IRNazanin" w:eastAsia="IRNazanin"/>
          <w:color w:val="111111"/>
          <w:sz w:val="28"/>
          <w:sz w:val="28"/>
          <w:szCs w:val="28"/>
          <w:rtl w:val="true"/>
          <w:lang w:bidi="fa-IR"/>
        </w:rPr>
        <w:t xml:space="preserve">حفص </w:t>
      </w:r>
      <w:r>
        <w:rPr>
          <w:rStyle w:val="FootnoteAnchor"/>
          <w:rtl w:val="true"/>
        </w:rPr>
        <w:footnoteReference w:id="478"/>
      </w:r>
      <w:r>
        <w:rPr>
          <w:rFonts w:ascii="IRNazanin" w:hAnsi="IRNazanin" w:eastAsia="IRNazanin"/>
          <w:color w:val="111111"/>
          <w:sz w:val="28"/>
          <w:sz w:val="28"/>
          <w:szCs w:val="28"/>
          <w:rtl w:val="true"/>
          <w:lang w:bidi="fa-IR"/>
        </w:rPr>
        <w:t xml:space="preserve">وفی معناهما روایات اُخر </w:t>
      </w:r>
      <w:r>
        <w:rPr>
          <w:rStyle w:val="FootnoteAnchor"/>
          <w:rtl w:val="true"/>
        </w:rPr>
        <w:footnoteReference w:id="479"/>
      </w:r>
      <w:r>
        <w:rPr>
          <w:rFonts w:ascii="IRNazanin" w:hAnsi="IRNazanin" w:eastAsia="IRNazanin"/>
          <w:color w:val="111111"/>
          <w:sz w:val="28"/>
          <w:sz w:val="28"/>
          <w:szCs w:val="28"/>
          <w:rtl w:val="true"/>
          <w:lang w:bidi="fa-IR"/>
        </w:rPr>
        <w:t>ضعیفة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والقائل ابن الجنید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لحمها وألبانها خاصّة </w:t>
      </w:r>
      <w:r>
        <w:rPr>
          <w:rStyle w:val="FootnoteAnchor"/>
          <w:rtl w:val="true"/>
        </w:rPr>
        <w:footnoteReference w:id="480"/>
      </w:r>
      <w:r>
        <w:rPr>
          <w:rFonts w:ascii="IRNazanin" w:hAnsi="IRNazanin" w:eastAsia="IRNazanin"/>
          <w:color w:val="111111"/>
          <w:sz w:val="28"/>
          <w:sz w:val="28"/>
          <w:szCs w:val="28"/>
          <w:rtl w:val="true"/>
          <w:lang w:bidi="fa-IR"/>
        </w:rPr>
        <w:t>استضعافاً للمستند أو حملاً لها علی الکراهة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جمعاً بینها وبین ما ظاهره الحلّ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القولین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فتستبرأ الناقة بأربعین یوماً، والبقرة بعشرین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کالناقة </w:t>
      </w:r>
      <w:r>
        <w:rPr>
          <w:rStyle w:val="FootnoteAnchor"/>
          <w:rtl w:val="true"/>
        </w:rPr>
        <w:footnoteReference w:id="4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والشاة بعشرة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بسبعة </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ومستند هذه التقدیرات </w:t>
      </w:r>
      <w:r>
        <w:rPr>
          <w:rStyle w:val="FootnoteAnchor"/>
          <w:rtl w:val="true"/>
        </w:rPr>
        <w:footnoteReference w:id="483"/>
      </w:r>
      <w:r>
        <w:rPr>
          <w:rFonts w:ascii="IRNazanin" w:hAnsi="IRNazanin" w:eastAsia="IRNazanin"/>
          <w:color w:val="111111"/>
          <w:sz w:val="28"/>
          <w:sz w:val="28"/>
          <w:szCs w:val="28"/>
          <w:rtl w:val="true"/>
          <w:lang w:bidi="fa-IR"/>
        </w:rPr>
        <w:t>کلّها ضعیف، والمشهور منها ما ذکره المصنّف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وینبغی القول بوجوب الأکثر؛ للإجماع علی عدم اعتبار أزید منه فلا تجب الزیادة، والشکّ فیما دونه فلا یتیقّن زوال التحریم، مع أصالة بقائه حیث ضعف المستند، فیکون ما ذکرناه طریقاً للحکم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وکیفیّة الاستبراء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یُربَط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الحیوان، والمراد أن یضبط علی وجه یؤمن أکله النجس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ویُطعَم علفاً طاهراً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النجاسة الأصلیّة والعرضیّة طول المدّة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وتستبرأ البطّة ونحوها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طیور الماء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بخمسة أیّام، والدجاجة وشبهها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فی حجمها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والمستند ضعیف کما تقدّم، ومع ذلک فهو خالٍ عن ذکر الشبیه لهما</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عدا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الحیوان الجلّال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یستبرأ بما یغلب علی الظنّ</w:t>
      </w:r>
      <w:r>
        <w:rPr>
          <w:rFonts w:eastAsia="IRNazanin" w:cs="IRNazanin"/>
          <w:color w:val="111111"/>
          <w:sz w:val="28"/>
          <w:szCs w:val="28"/>
          <w:rtl w:val="true"/>
          <w:lang w:bidi="fa-IR"/>
        </w:rPr>
        <w:t>»</w:t>
      </w:r>
      <w:bookmarkStart w:id="183" w:name="pg19815_253115"/>
    </w:p>
    <w:p>
      <w:pPr>
        <w:pStyle w:val="BookText"/>
        <w:rPr/>
      </w:pPr>
      <w:bookmarkEnd w:id="183"/>
      <w:r>
        <w:rPr>
          <w:rFonts w:ascii="IRNazanin" w:hAnsi="IRNazanin" w:eastAsia="IRNazanin"/>
          <w:color w:val="111111"/>
          <w:sz w:val="28"/>
          <w:sz w:val="28"/>
          <w:szCs w:val="28"/>
          <w:rtl w:val="true"/>
          <w:lang w:bidi="fa-IR"/>
        </w:rPr>
        <w:t>زوال الجلل به عرفاً؛ لعدم ورود مقدّرٍ له شرعاً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طرحنا تلک التقدیرات لضعف مستندها کان حکم الجمیع کذلک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شرب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الحیوان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المحلَّل لبن خنزیرة واشتدّ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زادت قوّته وقوی عظمه ونبت لحمه بسببه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لحمه ولحم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ذکراً کان أم اُنثی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لم یشتدّ کره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هذا هو المشهور، ولا نعلم فیه مخالفاً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والمستند أخبار کثیرة </w:t>
      </w:r>
      <w:r>
        <w:rPr>
          <w:rStyle w:val="FootnoteAnchor"/>
          <w:rtl w:val="true"/>
        </w:rPr>
        <w:footnoteReference w:id="484"/>
      </w:r>
      <w:r>
        <w:rPr>
          <w:rFonts w:ascii="IRNazanin" w:hAnsi="IRNazanin" w:eastAsia="IRNazanin"/>
          <w:color w:val="111111"/>
          <w:sz w:val="28"/>
          <w:sz w:val="28"/>
          <w:szCs w:val="28"/>
          <w:rtl w:val="true"/>
          <w:lang w:bidi="fa-IR"/>
        </w:rPr>
        <w:t>لا تخلو من ضعف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یتعدّی الحکم إلی غیر الخنزیر، عملاً بالأصل وإن ساواه فی الحکم، کالکلب، مع احتماله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أ 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شرب لبن آدمیّة حتّی اشتدّ کره لحمه</w:t>
      </w:r>
      <w:r>
        <w:rPr>
          <w:rFonts w:eastAsia="IRNazanin" w:cs="IRNazanin"/>
          <w:color w:val="111111"/>
          <w:sz w:val="28"/>
          <w:szCs w:val="28"/>
          <w:rtl w:val="true"/>
          <w:lang w:bidi="fa-IR"/>
        </w:rPr>
        <w:t xml:space="preserve">» </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ویستحبّ استبراؤه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تقدیر کراهته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بسبعة أیّام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بعلف إن کان یأکله، أو بشرب لبن طاهر</w:t>
      </w:r>
      <w:r>
        <w:rPr>
          <w:rFonts w:eastAsia="IRNazanin" w:cs="IRNazanin"/>
          <w:color w:val="111111"/>
          <w:sz w:val="28"/>
          <w:szCs w:val="28"/>
          <w:rtl w:val="true"/>
          <w:lang w:bidi="fa-IR"/>
        </w:rPr>
        <w:t>.</w:t>
      </w:r>
    </w:p>
    <w:p>
      <w:pPr>
        <w:pStyle w:val="Heading3"/>
        <w:numPr>
          <w:ilvl w:val="2"/>
          <w:numId w:val="1"/>
        </w:numPr>
        <w:rPr/>
      </w:pPr>
      <w:bookmarkStart w:id="184" w:name="__RefHeading___Toc2227813_2314609296"/>
      <w:bookmarkStart w:id="185" w:name="_Toc69"/>
      <w:bookmarkEnd w:id="184"/>
      <w:r>
        <w:rPr>
          <w:rtl w:val="true"/>
        </w:rPr>
        <w:t>[</w:t>
      </w:r>
      <w:r>
        <w:rPr>
          <w:rtl w:val="true"/>
        </w:rPr>
        <w:t>فی الموطوءة</w:t>
      </w:r>
      <w:r>
        <w:rPr>
          <w:rtl w:val="true"/>
        </w:rPr>
        <w:t>]</w:t>
      </w:r>
      <w:bookmarkEnd w:id="185"/>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الحیوان ذوات الأربع وغیرها علی الأقوی الذکور والاُناث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موطوء الإنسان ونسله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المتجدّد بعد الوطء؛ لقول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أمیر المؤمنین علیه السلام سُئل عن البهیمة التی تُنکح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لحمها ولبنها</w:t>
      </w:r>
      <w:r>
        <w:rPr>
          <w:rFonts w:eastAsia="IRNazanin" w:cs="IRNazanin"/>
          <w:color w:val="111111"/>
          <w:sz w:val="28"/>
          <w:szCs w:val="28"/>
          <w:rtl w:val="true"/>
          <w:lang w:bidi="fa-IR"/>
        </w:rPr>
        <w:t xml:space="preserve">» </w:t>
      </w:r>
      <w:r>
        <w:rPr>
          <w:rStyle w:val="FootnoteAnchor"/>
          <w:rtl w:val="true"/>
        </w:rPr>
        <w:footnoteReference w:id="486"/>
      </w:r>
      <w:r>
        <w:rPr>
          <w:rFonts w:ascii="Amiri" w:hAnsi="Amiri" w:eastAsia="Amiri" w:cs="Amiri"/>
          <w:color w:val="111111"/>
          <w:sz w:val="28"/>
          <w:sz w:val="28"/>
          <w:szCs w:val="28"/>
          <w:rtl w:val="true"/>
          <w:lang w:bidi="ar-SA"/>
        </w:rPr>
        <w:t xml:space="preserve">وخصّه العلّامة بذوات الأربع </w:t>
      </w:r>
      <w:r>
        <w:rPr>
          <w:rStyle w:val="FootnoteAnchor"/>
          <w:rtl w:val="true"/>
        </w:rPr>
        <w:footnoteReference w:id="487"/>
      </w:r>
      <w:r>
        <w:rPr>
          <w:rFonts w:ascii="IRNazanin" w:hAnsi="IRNazanin" w:eastAsia="IRNazanin"/>
          <w:color w:val="111111"/>
          <w:sz w:val="28"/>
          <w:sz w:val="28"/>
          <w:szCs w:val="28"/>
          <w:rtl w:val="true"/>
          <w:lang w:bidi="fa-IR"/>
        </w:rPr>
        <w:t>اقتصاراً فیما خالف الأصل علی المتیقّن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ویجب ذبحه وإحراقه بالنار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لم یکن المقصود منه ظهره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وشمل إطلاق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الکبیر والصغیر والعاقل والمجنون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وإطلاق النصّ یتناوله أیضاً</w:t>
      </w:r>
      <w:r>
        <w:rPr>
          <w:rFonts w:eastAsia="IRNazanin" w:cs="IRNazanin"/>
          <w:color w:val="111111"/>
          <w:sz w:val="28"/>
          <w:szCs w:val="28"/>
          <w:rtl w:val="true"/>
          <w:lang w:bidi="fa-IR"/>
        </w:rPr>
        <w:t>.</w:t>
      </w:r>
      <w:bookmarkStart w:id="186" w:name="pg19815_253116"/>
    </w:p>
    <w:p>
      <w:pPr>
        <w:pStyle w:val="BookText"/>
        <w:rPr/>
      </w:pPr>
      <w:bookmarkEnd w:id="186"/>
      <w:r>
        <w:rPr>
          <w:rFonts w:ascii="IRNazanin" w:hAnsi="IRNazanin" w:eastAsia="IRNazanin"/>
          <w:color w:val="111111"/>
          <w:sz w:val="28"/>
          <w:sz w:val="28"/>
          <w:szCs w:val="28"/>
          <w:rtl w:val="true"/>
          <w:lang w:bidi="fa-IR"/>
        </w:rPr>
        <w:t>أمّا بقیّة الأحکام غیر التحریم، فیختصّ البالغ العاقل کما سیأتی إن شاء اللّٰه تعالی مع بقیّة الأحکام فی الحدود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ویستثنی من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الخنثی فلا یحرم موطوؤه </w:t>
      </w:r>
      <w:r>
        <w:rPr>
          <w:rStyle w:val="FootnoteAnchor"/>
          <w:rtl w:val="true"/>
        </w:rPr>
        <w:footnoteReference w:id="488"/>
      </w:r>
      <w:r>
        <w:rPr>
          <w:rFonts w:ascii="IRNazanin" w:hAnsi="IRNazanin" w:eastAsia="IRNazanin"/>
          <w:color w:val="111111"/>
          <w:sz w:val="28"/>
          <w:sz w:val="28"/>
          <w:szCs w:val="28"/>
          <w:rtl w:val="true"/>
          <w:lang w:bidi="fa-IR"/>
        </w:rPr>
        <w:t>لاحتمال الزیادة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اشتبه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بمحصور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بینهما، بأن تکتب رقعتان فی کلّ واحدة اسم نصف منهما، ثمّ یخرج علی ما فیه المحرَّم، فإذا خرج فی أحد النصفین قُسّم کذلک واُقرع وهکذا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تبقی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فیُعمل بها ما عمل بالمعلومة ابتداءً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والروایة تضمّنت قسمتها نصفین أبداً </w:t>
      </w:r>
      <w:r>
        <w:rPr>
          <w:rStyle w:val="FootnoteAnchor"/>
          <w:rtl w:val="true"/>
        </w:rPr>
        <w:footnoteReference w:id="489"/>
      </w:r>
      <w:r>
        <w:rPr>
          <w:rFonts w:ascii="IRNazanin" w:hAnsi="IRNazanin" w:eastAsia="IRNazanin"/>
          <w:color w:val="111111"/>
          <w:sz w:val="28"/>
          <w:sz w:val="28"/>
          <w:szCs w:val="28"/>
          <w:rtl w:val="true"/>
          <w:lang w:bidi="fa-IR"/>
        </w:rPr>
        <w:t xml:space="preserve">کما ذکرنا، وأکثر العبارات خالیة منه حتّی عبارة المصنّف هنا وفی الدروس </w:t>
      </w:r>
      <w:r>
        <w:rPr>
          <w:rStyle w:val="FootnoteAnchor"/>
          <w:rtl w:val="true"/>
        </w:rPr>
        <w:footnoteReference w:id="490"/>
      </w:r>
      <w:r>
        <w:rPr>
          <w:rFonts w:ascii="IRNazanin" w:hAnsi="IRNazanin" w:eastAsia="IRNazanin"/>
          <w:color w:val="111111"/>
          <w:sz w:val="28"/>
          <w:sz w:val="28"/>
          <w:szCs w:val="28"/>
          <w:rtl w:val="true"/>
          <w:lang w:bidi="fa-IR"/>
        </w:rPr>
        <w:t>وفی 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قسمین </w:t>
      </w:r>
      <w:r>
        <w:rPr>
          <w:rStyle w:val="FootnoteAnchor"/>
          <w:rtl w:val="true"/>
        </w:rPr>
        <w:footnoteReference w:id="491"/>
      </w:r>
      <w:r>
        <w:rPr>
          <w:rFonts w:ascii="IRNazanin" w:hAnsi="IRNazanin" w:eastAsia="IRNazanin"/>
          <w:color w:val="111111"/>
          <w:sz w:val="28"/>
          <w:sz w:val="28"/>
          <w:szCs w:val="28"/>
          <w:rtl w:val="true"/>
          <w:lang w:bidi="fa-IR"/>
        </w:rPr>
        <w:t>وهو مع الإطلاق أعمّ من التنصیف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ویشکل التنصیف أیضاً لو کان العدد فرداً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الروایة یجب التنصیف ما أمکن، والمعتبر منه العدد، لا القیمة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کان فرداً جعلت الزائدة مع أحد القسمین</w:t>
      </w:r>
      <w:r>
        <w:rPr>
          <w:rFonts w:eastAsia="IRNazanin" w:cs="IRNazanin"/>
          <w:color w:val="111111"/>
          <w:sz w:val="28"/>
          <w:szCs w:val="28"/>
          <w:rtl w:val="true"/>
          <w:lang w:bidi="fa-IR"/>
        </w:rPr>
        <w:t>.</w:t>
      </w:r>
    </w:p>
    <w:p>
      <w:pPr>
        <w:pStyle w:val="Heading3"/>
        <w:numPr>
          <w:ilvl w:val="2"/>
          <w:numId w:val="1"/>
        </w:numPr>
        <w:rPr/>
      </w:pPr>
      <w:bookmarkStart w:id="187" w:name="__RefHeading___Toc2227815_2314609296"/>
      <w:bookmarkStart w:id="188" w:name="_Toc70"/>
      <w:bookmarkEnd w:id="187"/>
      <w:r>
        <w:rPr>
          <w:rtl w:val="true"/>
        </w:rPr>
        <w:t>[</w:t>
      </w:r>
      <w:r>
        <w:rPr>
          <w:rtl w:val="true"/>
        </w:rPr>
        <w:t xml:space="preserve">فی الحیوان الذی شرب الخمر او البول </w:t>
      </w:r>
      <w:r>
        <w:rPr>
          <w:rtl w:val="true"/>
        </w:rPr>
        <w:t>]</w:t>
      </w:r>
      <w:bookmarkEnd w:id="188"/>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شرب المحلَّل خمراً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ذبح عقیبه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یُؤکل ما فی جوفه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الأمعاء والقلب والکبد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ویجب غسل باقیه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اللحم علی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والمستند ضعیف </w:t>
      </w:r>
      <w:r>
        <w:rPr>
          <w:rStyle w:val="FootnoteAnchor"/>
          <w:rtl w:val="true"/>
        </w:rPr>
        <w:footnoteReference w:id="492"/>
      </w:r>
      <w:r>
        <w:rPr>
          <w:rFonts w:ascii="Amiri" w:hAnsi="Amiri" w:eastAsia="Amiri" w:cs="Amiri"/>
          <w:color w:val="111111"/>
          <w:sz w:val="28"/>
          <w:sz w:val="28"/>
          <w:szCs w:val="28"/>
          <w:rtl w:val="true"/>
          <w:lang w:bidi="ar-SA"/>
        </w:rPr>
        <w:t xml:space="preserve">ومن ثمّ کرّهه ابن إدریس خاصّة </w:t>
      </w:r>
      <w:r>
        <w:rPr>
          <w:rStyle w:val="FootnoteAnchor"/>
          <w:rtl w:val="true"/>
        </w:rPr>
        <w:footnoteReference w:id="493"/>
      </w:r>
      <w:r>
        <w:rPr>
          <w:rFonts w:ascii="IRNazanin" w:hAnsi="IRNazanin" w:eastAsia="IRNazanin"/>
          <w:color w:val="111111"/>
          <w:sz w:val="28"/>
          <w:sz w:val="28"/>
          <w:szCs w:val="28"/>
          <w:rtl w:val="true"/>
          <w:lang w:bidi="fa-IR"/>
        </w:rPr>
        <w:t>وقیّدنا ذبحه بکونه عقیب</w:t>
      </w:r>
      <w:bookmarkStart w:id="189" w:name="pg19815_253117"/>
    </w:p>
    <w:p>
      <w:pPr>
        <w:pStyle w:val="BookText"/>
        <w:rPr/>
      </w:pPr>
      <w:bookmarkEnd w:id="189"/>
      <w:r>
        <w:rPr>
          <w:rFonts w:ascii="IRNazanin" w:hAnsi="IRNazanin" w:eastAsia="IRNazanin"/>
          <w:color w:val="111111"/>
          <w:sz w:val="28"/>
          <w:sz w:val="28"/>
          <w:szCs w:val="28"/>
          <w:rtl w:val="true"/>
          <w:lang w:bidi="fa-IR"/>
        </w:rPr>
        <w:t xml:space="preserve">الشرب تبعاً للروایة وعبارات الأصحاب </w:t>
      </w:r>
      <w:r>
        <w:rPr>
          <w:rStyle w:val="FootnoteAnchor"/>
          <w:rtl w:val="true"/>
        </w:rPr>
        <w:footnoteReference w:id="494"/>
      </w:r>
      <w:r>
        <w:rPr>
          <w:rFonts w:ascii="Amiri" w:hAnsi="Amiri" w:eastAsia="Amiri" w:cs="Amiri"/>
          <w:color w:val="111111"/>
          <w:sz w:val="28"/>
          <w:sz w:val="28"/>
          <w:szCs w:val="28"/>
          <w:rtl w:val="true"/>
          <w:lang w:bidi="ar-SA"/>
        </w:rPr>
        <w:t>مطلقة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شرب بولاً غُسل ما فی بطنه واُکل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غیر تحریم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والمستند مرسل </w:t>
      </w:r>
      <w:r>
        <w:rPr>
          <w:rStyle w:val="FootnoteAnchor"/>
          <w:rtl w:val="true"/>
        </w:rPr>
        <w:footnoteReference w:id="495"/>
      </w:r>
      <w:r>
        <w:rPr>
          <w:rFonts w:ascii="IRNazanin" w:hAnsi="IRNazanin" w:eastAsia="IRNazanin"/>
          <w:color w:val="111111"/>
          <w:sz w:val="28"/>
          <w:sz w:val="28"/>
          <w:szCs w:val="28"/>
          <w:rtl w:val="true"/>
          <w:lang w:bidi="fa-IR"/>
        </w:rPr>
        <w:t>ولکن لا رادّ له، وإلّا لأمکن القول بالطهارة فیهما نظراً إلی الانتقال کغیرهما من النجاسات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النصّ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بین الخمر والبول بأنّ الخمر لطیف تشربه الأمعاء فلا یطهر بالغَسل وتحرم، بخلاف البول فإنّه لا یصلح للغذاء ولا تقبله الطبیعة </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غَسل اللحم إن کان لنفوذ الخمر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الظاهر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یتمّ الفرق بینه وبین ما فی الجوف، وإن لم تصل إلیه لم یجب تطهیره، مع أنّ ظاهر الحکم غَسلُ ظاهر اللحم الملاصق للجلد، وباطِنه المجاور للأمعاء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والروایة خالیة عن غَسل اللحم</w:t>
      </w:r>
      <w:r>
        <w:rPr>
          <w:rFonts w:eastAsia="IRNazanin" w:cs="IRNazanin"/>
          <w:color w:val="111111"/>
          <w:sz w:val="28"/>
          <w:szCs w:val="28"/>
          <w:rtl w:val="true"/>
          <w:lang w:bidi="fa-IR"/>
        </w:rPr>
        <w:t>.</w:t>
      </w:r>
    </w:p>
    <w:p>
      <w:pPr>
        <w:pStyle w:val="Heading3"/>
        <w:numPr>
          <w:ilvl w:val="2"/>
          <w:numId w:val="1"/>
        </w:numPr>
        <w:rPr/>
      </w:pPr>
      <w:bookmarkStart w:id="190" w:name="__RefHeading___Toc2227817_2314609296"/>
      <w:bookmarkStart w:id="191" w:name="_Toc71"/>
      <w:bookmarkEnd w:id="190"/>
      <w:r>
        <w:rPr>
          <w:rtl w:val="true"/>
        </w:rPr>
        <w:t>[«</w:t>
      </w:r>
      <w:r>
        <w:rPr>
          <w:rtl w:val="true"/>
        </w:rPr>
        <w:t>وهنا مسائل</w:t>
      </w:r>
      <w:r>
        <w:rPr>
          <w:rtl w:val="true"/>
        </w:rPr>
        <w:t>»]</w:t>
      </w:r>
      <w:bookmarkEnd w:id="191"/>
    </w:p>
    <w:p>
      <w:pPr>
        <w:pStyle w:val="Heading4"/>
        <w:numPr>
          <w:ilvl w:val="3"/>
          <w:numId w:val="1"/>
        </w:numPr>
        <w:rPr/>
      </w:pPr>
      <w:bookmarkStart w:id="192" w:name="__RefHeading___Toc2227819_2314609296"/>
      <w:bookmarkStart w:id="193" w:name="_Toc72"/>
      <w:bookmarkEnd w:id="192"/>
      <w:r>
        <w:rPr>
          <w:rtl w:val="true"/>
        </w:rPr>
        <w:t xml:space="preserve">الاُولی </w:t>
      </w:r>
      <w:r>
        <w:rPr>
          <w:rtl w:val="true"/>
        </w:rPr>
        <w:t>[</w:t>
      </w:r>
      <w:r>
        <w:rPr>
          <w:rtl w:val="true"/>
        </w:rPr>
        <w:t>تحل من المیتة عشرة اشیاء</w:t>
      </w:r>
      <w:r>
        <w:rPr>
          <w:rtl w:val="true"/>
        </w:rPr>
        <w:t>]</w:t>
      </w:r>
      <w:bookmarkEnd w:id="193"/>
    </w:p>
    <w:p>
      <w:pPr>
        <w:pStyle w:val="Heading5"/>
        <w:numPr>
          <w:ilvl w:val="4"/>
          <w:numId w:val="1"/>
        </w:numPr>
        <w:rPr/>
      </w:pPr>
      <w:bookmarkStart w:id="194" w:name="__RefHeading___Toc2227821_2314609296"/>
      <w:bookmarkStart w:id="195" w:name="_Toc73"/>
      <w:bookmarkEnd w:id="194"/>
      <w:r>
        <w:rPr>
          <w:rtl w:val="true"/>
        </w:rPr>
        <w:t>اشارة</w:t>
      </w:r>
      <w:bookmarkEnd w:id="195"/>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97"/>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تحرم المیتة أکلاً واستعمالاً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إجماعاً، وتحلّ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عشرة أشیاء متَّفقٍ علیها، وحادی عشر مختلفٍ فیه 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الصوف والشعر والوبر والریش، فإن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فهو طاهر، وإن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قُلع غُسِل أصله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المتّصل بالمیتة؛ لاتّصاله برطوبتها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والقَرَن </w:t>
      </w:r>
      <w:r>
        <w:rPr>
          <w:rStyle w:val="FootnoteAnchor"/>
          <w:rtl w:val="true"/>
        </w:rPr>
        <w:footnoteReference w:id="498"/>
      </w:r>
      <w:r>
        <w:rPr>
          <w:rFonts w:ascii="IRNazanin" w:hAnsi="IRNazanin" w:eastAsia="IRNazanin"/>
          <w:color w:val="111111"/>
          <w:sz w:val="28"/>
          <w:sz w:val="28"/>
          <w:szCs w:val="28"/>
          <w:rtl w:val="true"/>
          <w:lang w:bidi="fa-IR"/>
        </w:rPr>
        <w:t>والظِلف والسنّ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والعظم، ولم یذکره المصنّف ولا بدّ منه، ولو أبدله بالسنّ کان أولی؛ لأنّه أعمّ منه إن لم یُجمع بینهما کغیره </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وهذه مستثناة من جهة الاستعمال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الأکل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فالظاهر جواز ما لا یضرّ منها بالبدن؛ للأصل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ویمکن دلالة إطلاق العبارة علیه، وبقرینة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والبیض إذا اکتسی القشر الأعلی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الصَلِب، وإلّا کان بحکمها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والإنفَحَة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بکسر الهمزة وفتح الفاء والحاء المهملة، وقد تکسر الفاء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شیء یُستخرج من بطن الجدی الراضع، أصفر، فیُعصَر فی صوفة فیغلظ کالجُبن، فإذا أکل الجدی فهو کَرِش </w:t>
      </w:r>
      <w:r>
        <w:rPr>
          <w:rStyle w:val="FootnoteAnchor"/>
          <w:rtl w:val="true"/>
        </w:rPr>
        <w:footnoteReference w:id="500"/>
      </w:r>
      <w:r>
        <w:rPr>
          <w:rFonts w:ascii="IRNazanin" w:hAnsi="IRNazanin" w:eastAsia="IRNazanin"/>
          <w:color w:val="111111"/>
          <w:sz w:val="28"/>
          <w:sz w:val="28"/>
          <w:szCs w:val="28"/>
          <w:rtl w:val="true"/>
          <w:lang w:bidi="fa-IR"/>
        </w:rPr>
        <w:t>وظاهر أوّل التفسیر یقتضی کون الإنفَحَة هی اللبن المستحیل فی جوف السخلة، فتکون من جملة ما لا تحلّه الحیاة</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الصحاح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الإنفحة کَرِش الحِمَل أو الجدی ما لم یأکل، فإذا أکل فهی کرش </w:t>
      </w:r>
      <w:r>
        <w:rPr>
          <w:rStyle w:val="FootnoteAnchor"/>
          <w:rtl w:val="true"/>
        </w:rPr>
        <w:footnoteReference w:id="501"/>
      </w:r>
      <w:r>
        <w:rPr>
          <w:rFonts w:ascii="IRNazanin" w:hAnsi="IRNazanin" w:eastAsia="IRNazanin"/>
          <w:color w:val="111111"/>
          <w:sz w:val="28"/>
          <w:sz w:val="28"/>
          <w:szCs w:val="28"/>
          <w:rtl w:val="true"/>
          <w:lang w:bidi="fa-IR"/>
        </w:rPr>
        <w:t xml:space="preserve">وقریب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Style w:val="FootnoteAnchor"/>
          <w:rtl w:val="true"/>
        </w:rPr>
        <w:footnoteReference w:id="502"/>
      </w:r>
      <w:r>
        <w:rPr>
          <w:rFonts w:ascii="IRNazanin" w:hAnsi="IRNazanin" w:eastAsia="IRNazanin"/>
          <w:color w:val="111111"/>
          <w:sz w:val="28"/>
          <w:sz w:val="28"/>
          <w:szCs w:val="28"/>
          <w:rtl w:val="true"/>
          <w:lang w:bidi="fa-IR"/>
        </w:rPr>
        <w:t xml:space="preserve">فی الجمهرة </w:t>
      </w:r>
      <w:r>
        <w:rPr>
          <w:rStyle w:val="FootnoteAnchor"/>
          <w:rtl w:val="true"/>
        </w:rPr>
        <w:footnoteReference w:id="503"/>
      </w:r>
      <w:r>
        <w:rPr>
          <w:rFonts w:ascii="IRNazanin" w:hAnsi="IRNazanin" w:eastAsia="IRNazanin"/>
          <w:color w:val="111111"/>
          <w:sz w:val="28"/>
          <w:sz w:val="28"/>
          <w:szCs w:val="28"/>
          <w:rtl w:val="true"/>
          <w:lang w:bidi="fa-IR"/>
        </w:rPr>
        <w:t>وعلی هذا فهی مستثناة ممّا تحلّه الحیاة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الأوّل فهو طاهر وإن لاصق الجلد المیّت؛ للنصّ </w:t>
      </w:r>
      <w:r>
        <w:rPr>
          <w:rStyle w:val="FootnoteAnchor"/>
          <w:rtl w:val="true"/>
        </w:rPr>
        <w:footnoteReference w:id="504"/>
      </w:r>
      <w:r>
        <w:rPr>
          <w:rFonts w:ascii="IRNazanin" w:hAnsi="IRNazanin" w:eastAsia="IRNazanin"/>
          <w:color w:val="111111"/>
          <w:sz w:val="28"/>
          <w:sz w:val="28"/>
          <w:szCs w:val="28"/>
          <w:rtl w:val="true"/>
          <w:lang w:bidi="fa-IR"/>
        </w:rPr>
        <w:t>وعلی الثانی فما فی داخله طاهر قطعاً، وکذا ظاهره بالأصالة، وهل ینجس بالعرض بملاصقة</w:t>
      </w:r>
    </w:p>
    <w:p>
      <w:pPr>
        <w:pStyle w:val="BookText"/>
        <w:rPr/>
      </w:pPr>
      <w:r>
        <w:rPr>
          <w:rFonts w:ascii="IRNazanin" w:hAnsi="IRNazanin" w:eastAsia="IRNazanin"/>
          <w:color w:val="111111"/>
          <w:sz w:val="28"/>
          <w:sz w:val="28"/>
          <w:szCs w:val="28"/>
          <w:rtl w:val="true"/>
          <w:lang w:bidi="fa-IR"/>
        </w:rPr>
        <w:t>المیّت؟ 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تطهیر ظاهرها </w:t>
      </w:r>
      <w:r>
        <w:rPr>
          <w:rStyle w:val="FootnoteAnchor"/>
          <w:rtl w:val="true"/>
        </w:rPr>
        <w:footnoteReference w:id="505"/>
      </w:r>
      <w:r>
        <w:rPr>
          <w:rFonts w:ascii="IRNazanin" w:hAnsi="IRNazanin" w:eastAsia="IRNazanin"/>
          <w:color w:val="111111"/>
          <w:sz w:val="28"/>
          <w:sz w:val="28"/>
          <w:szCs w:val="28"/>
          <w:rtl w:val="true"/>
          <w:lang w:bidi="fa-IR"/>
        </w:rPr>
        <w:t>وإطلاق النصّ یقتضی الطهارة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یبقی الشکّ فی کون الإنفَحَة المستثناة هل هی اللبن المستحیل أم الکَرِش؟ بسبب اختلاف أهل اللغة، والمتیقّن منه ما فی داخله؛ لأنّه متّفق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ضرع المیتة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قول 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الأصحاب </w:t>
      </w:r>
      <w:r>
        <w:rPr>
          <w:rStyle w:val="FootnoteAnchor"/>
          <w:rtl w:val="true"/>
        </w:rPr>
        <w:footnoteReference w:id="506"/>
      </w:r>
      <w:r>
        <w:rPr>
          <w:rFonts w:ascii="IRNazanin" w:hAnsi="IRNazanin" w:eastAsia="IRNazanin"/>
          <w:color w:val="111111"/>
          <w:sz w:val="28"/>
          <w:sz w:val="28"/>
          <w:szCs w:val="28"/>
          <w:rtl w:val="true"/>
          <w:lang w:bidi="fa-IR"/>
        </w:rPr>
        <w:t>ومستنده 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زرارة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الإنفَحَة تُخرَج من الجدی المیّت،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اللبن یکون فی ضرع الشاة وقد ماتت؟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 xml:space="preserve">» </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رُوی نجاسته صریحاً فی خبر آخر </w:t>
      </w:r>
      <w:r>
        <w:rPr>
          <w:rStyle w:val="FootnoteAnchor"/>
          <w:rtl w:val="true"/>
        </w:rPr>
        <w:footnoteReference w:id="508"/>
      </w:r>
      <w:r>
        <w:rPr>
          <w:rFonts w:ascii="IRNazanin" w:hAnsi="IRNazanin" w:eastAsia="IRNazanin"/>
          <w:color w:val="111111"/>
          <w:sz w:val="28"/>
          <w:sz w:val="28"/>
          <w:szCs w:val="28"/>
          <w:rtl w:val="true"/>
          <w:lang w:bidi="fa-IR"/>
        </w:rPr>
        <w:t xml:space="preserve">لکنّه ضعیف السند </w:t>
      </w:r>
      <w:r>
        <w:rPr>
          <w:rStyle w:val="FootnoteAnchor"/>
          <w:rtl w:val="true"/>
        </w:rPr>
        <w:footnoteReference w:id="509"/>
      </w:r>
      <w:r>
        <w:rPr>
          <w:rFonts w:ascii="IRNazanin" w:hAnsi="IRNazanin" w:eastAsia="IRNazanin"/>
          <w:color w:val="111111"/>
          <w:sz w:val="28"/>
          <w:sz w:val="28"/>
          <w:szCs w:val="28"/>
          <w:rtl w:val="true"/>
          <w:lang w:bidi="fa-IR"/>
        </w:rPr>
        <w:t>إلّاأ نّه موافق للأصل من نجاسة المائع بملاقاة النجاسة، وکلّ نجس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ونسبة القول بالحلّ إلی الشهرة تشعر بتوقّفه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الدروس جعله أصحّ وضعّف روایة</w:t>
      </w:r>
      <w:bookmarkStart w:id="196" w:name="pg19815_253120"/>
    </w:p>
    <w:p>
      <w:pPr>
        <w:pStyle w:val="BookText"/>
        <w:rPr/>
      </w:pPr>
      <w:bookmarkEnd w:id="196"/>
      <w:r>
        <w:rPr>
          <w:rFonts w:ascii="IRNazanin" w:hAnsi="IRNazanin" w:eastAsia="IRNazanin"/>
          <w:color w:val="111111"/>
          <w:sz w:val="28"/>
          <w:sz w:val="28"/>
          <w:szCs w:val="28"/>
          <w:rtl w:val="true"/>
          <w:lang w:bidi="fa-IR"/>
        </w:rPr>
        <w:t xml:space="preserve">التحریم، وجعل القائل بها </w:t>
      </w:r>
      <w:r>
        <w:rPr>
          <w:rStyle w:val="FootnoteAnchor"/>
          <w:rtl w:val="true"/>
        </w:rPr>
        <w:footnoteReference w:id="510"/>
      </w:r>
      <w:r>
        <w:rPr>
          <w:rFonts w:ascii="IRNazanin" w:hAnsi="IRNazanin" w:eastAsia="IRNazanin"/>
          <w:color w:val="111111"/>
          <w:sz w:val="28"/>
          <w:sz w:val="28"/>
          <w:szCs w:val="28"/>
          <w:rtl w:val="true"/>
          <w:lang w:bidi="fa-IR"/>
        </w:rPr>
        <w:t xml:space="preserve">نادراً، وحملها علی التقیّة </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7" w:name="__RefHeading___Toc2227823_2314609296"/>
      <w:bookmarkStart w:id="198" w:name="_Toc74"/>
      <w:bookmarkEnd w:id="197"/>
      <w:r>
        <w:rPr>
          <w:rtl w:val="true"/>
        </w:rPr>
        <w:t>[</w:t>
      </w:r>
      <w:r>
        <w:rPr>
          <w:rtl w:val="true"/>
        </w:rPr>
        <w:t>اختلاط الذکی بالمیت</w:t>
      </w:r>
      <w:r>
        <w:rPr>
          <w:rtl w:val="true"/>
        </w:rPr>
        <w:t>]</w:t>
      </w:r>
      <w:bookmarkEnd w:id="19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اختلط الذکیّ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اللحم وشبهه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سبیل إلی تمییزه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اجتنب الجمیع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لوجوب اجتناب المیّت ولا یتمّ إلّابه، فیجب</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جواز بیعه علی مستحلّ المیتة قول </w:t>
      </w:r>
      <w:r>
        <w:rPr>
          <w:rStyle w:val="FootnoteAnchor"/>
          <w:rtl w:val="true"/>
        </w:rPr>
        <w:footnoteReference w:id="512"/>
      </w:r>
      <w:r>
        <w:rPr>
          <w:rFonts w:ascii="IRNazanin" w:hAnsi="IRNazanin" w:eastAsia="IRNazanin"/>
          <w:color w:val="111111"/>
          <w:sz w:val="28"/>
          <w:sz w:val="28"/>
          <w:szCs w:val="28"/>
          <w:rtl w:val="true"/>
          <w:lang w:bidi="fa-IR"/>
        </w:rPr>
        <w:t xml:space="preserve">مستنده صحیحة الحلبی وحسنته عن الصادق علیه السلام </w:t>
      </w:r>
      <w:r>
        <w:rPr>
          <w:rStyle w:val="FootnoteAnchor"/>
          <w:rtl w:val="true"/>
        </w:rPr>
        <w:footnoteReference w:id="513"/>
      </w:r>
      <w:r>
        <w:rPr>
          <w:rFonts w:ascii="Amiri" w:hAnsi="Amiri" w:eastAsia="Amiri" w:cs="Amiri"/>
          <w:color w:val="111111"/>
          <w:sz w:val="28"/>
          <w:sz w:val="28"/>
          <w:szCs w:val="28"/>
          <w:rtl w:val="true"/>
          <w:lang w:bidi="ar-SA"/>
        </w:rPr>
        <w:t xml:space="preserve">وردّه قوم </w:t>
      </w:r>
      <w:r>
        <w:rPr>
          <w:rStyle w:val="FootnoteAnchor"/>
          <w:rtl w:val="true"/>
        </w:rPr>
        <w:footnoteReference w:id="514"/>
      </w:r>
      <w:r>
        <w:rPr>
          <w:rFonts w:ascii="IRNazanin" w:hAnsi="IRNazanin" w:eastAsia="IRNazanin"/>
          <w:color w:val="111111"/>
          <w:sz w:val="28"/>
          <w:sz w:val="28"/>
          <w:szCs w:val="28"/>
          <w:rtl w:val="true"/>
          <w:lang w:bidi="fa-IR"/>
        </w:rPr>
        <w:t xml:space="preserve">نظراً إلی إطلاق النصوص بتحریم بیع المیتة وتحریم ثمنها </w:t>
      </w:r>
      <w:r>
        <w:rPr>
          <w:rStyle w:val="FootnoteAnchor"/>
          <w:rtl w:val="true"/>
        </w:rPr>
        <w:footnoteReference w:id="515"/>
      </w:r>
      <w:r>
        <w:rPr>
          <w:rFonts w:ascii="IRNazanin" w:hAnsi="IRNazanin" w:eastAsia="IRNazanin"/>
          <w:color w:val="111111"/>
          <w:sz w:val="28"/>
          <w:sz w:val="28"/>
          <w:szCs w:val="28"/>
          <w:rtl w:val="true"/>
          <w:lang w:bidi="fa-IR"/>
        </w:rPr>
        <w:t xml:space="preserve">واعتذر العلّامة عنه بأ نّه لیس ببیع فی الحقیقة وإنّما هو استنقاذ مال الکافر برضاه </w:t>
      </w:r>
      <w:r>
        <w:rPr>
          <w:rStyle w:val="FootnoteAnchor"/>
          <w:rtl w:val="true"/>
        </w:rPr>
        <w:footnoteReference w:id="516"/>
      </w:r>
      <w:r>
        <w:rPr>
          <w:rFonts w:ascii="Amiri" w:hAnsi="Amiri" w:eastAsia="Amiri" w:cs="Amiri"/>
          <w:color w:val="111111"/>
          <w:sz w:val="28"/>
          <w:sz w:val="28"/>
          <w:szCs w:val="28"/>
          <w:rtl w:val="true"/>
          <w:lang w:bidi="ar-SA"/>
        </w:rPr>
        <w:t>ویُشکل بأنّ مِن مستحلّه من الکفّار من لا یحلّ مالُه کالذمّی</w:t>
      </w:r>
      <w:r>
        <w:rPr>
          <w:rFonts w:eastAsia="Amiri" w:cs="Amiri" w:ascii="Amiri" w:hAnsi="Amiri"/>
          <w:color w:val="111111"/>
          <w:sz w:val="28"/>
          <w:szCs w:val="28"/>
          <w:rtl w:val="true"/>
          <w:lang w:bidi="ar-SA"/>
        </w:rPr>
        <w:t>.</w:t>
      </w:r>
      <w:bookmarkStart w:id="199" w:name="pg19815_253121"/>
    </w:p>
    <w:p>
      <w:pPr>
        <w:pStyle w:val="BookText"/>
        <w:rPr/>
      </w:pPr>
      <w:bookmarkEnd w:id="199"/>
      <w:r>
        <w:rPr>
          <w:rFonts w:ascii="Amiri" w:hAnsi="Amiri" w:eastAsia="Amiri" w:cs="Amiri"/>
          <w:color w:val="111111"/>
          <w:sz w:val="28"/>
          <w:sz w:val="28"/>
          <w:szCs w:val="28"/>
          <w:rtl w:val="true"/>
          <w:lang w:bidi="ar-SA"/>
        </w:rPr>
        <w:t xml:space="preserve">وحسّنه المحقّق مع قصد بیع الذکیّ حسبُ </w:t>
      </w:r>
      <w:r>
        <w:rPr>
          <w:rStyle w:val="FootnoteAnchor"/>
          <w:rtl w:val="true"/>
        </w:rPr>
        <w:footnoteReference w:id="517"/>
      </w:r>
      <w:r>
        <w:rPr>
          <w:rFonts w:ascii="Amiri" w:hAnsi="Amiri" w:eastAsia="Amiri" w:cs="Amiri"/>
          <w:color w:val="111111"/>
          <w:sz w:val="28"/>
          <w:sz w:val="28"/>
          <w:szCs w:val="28"/>
          <w:rtl w:val="true"/>
          <w:lang w:bidi="ar-SA"/>
        </w:rPr>
        <w:t xml:space="preserve">وتبعه العلّامة أیضاً </w:t>
      </w:r>
      <w:r>
        <w:rPr>
          <w:rStyle w:val="FootnoteAnchor"/>
          <w:rtl w:val="true"/>
        </w:rPr>
        <w:footnoteReference w:id="518"/>
      </w:r>
      <w:r>
        <w:rPr>
          <w:rFonts w:ascii="IRNazanin" w:hAnsi="IRNazanin" w:eastAsia="IRNazanin"/>
          <w:color w:val="111111"/>
          <w:sz w:val="28"/>
          <w:sz w:val="28"/>
          <w:szCs w:val="28"/>
          <w:rtl w:val="true"/>
          <w:lang w:bidi="fa-IR"/>
        </w:rPr>
        <w:t xml:space="preserve">ویشکل بجهالته وعدم إمکان تسلیمه متمیّزاً، فإمّا أن یعمل بالروایة </w:t>
      </w:r>
      <w:r>
        <w:rPr>
          <w:rStyle w:val="FootnoteAnchor"/>
          <w:rtl w:val="true"/>
        </w:rPr>
        <w:footnoteReference w:id="519"/>
      </w:r>
      <w:r>
        <w:rPr>
          <w:rFonts w:ascii="IRNazanin" w:hAnsi="IRNazanin" w:eastAsia="IRNazanin"/>
          <w:color w:val="111111"/>
          <w:sz w:val="28"/>
          <w:sz w:val="28"/>
          <w:szCs w:val="28"/>
          <w:rtl w:val="true"/>
          <w:lang w:bidi="fa-IR"/>
        </w:rPr>
        <w:t>لصحّتها من غیر تعلیل، أو یحکم بالبطلان</w:t>
      </w:r>
      <w:r>
        <w:rPr>
          <w:rFonts w:eastAsia="IRNazanin" w:cs="IRNazanin"/>
          <w:color w:val="111111"/>
          <w:sz w:val="28"/>
          <w:szCs w:val="28"/>
          <w:rtl w:val="true"/>
          <w:lang w:bidi="fa-IR"/>
        </w:rPr>
        <w:t>.</w:t>
      </w:r>
    </w:p>
    <w:p>
      <w:pPr>
        <w:pStyle w:val="Heading5"/>
        <w:numPr>
          <w:ilvl w:val="4"/>
          <w:numId w:val="1"/>
        </w:numPr>
        <w:rPr/>
      </w:pPr>
      <w:bookmarkStart w:id="200" w:name="__RefHeading___Toc2227825_2314609296"/>
      <w:bookmarkStart w:id="201" w:name="_Toc75"/>
      <w:bookmarkEnd w:id="200"/>
      <w:r>
        <w:rPr>
          <w:rtl w:val="true"/>
        </w:rPr>
        <w:t>[</w:t>
      </w:r>
      <w:r>
        <w:rPr>
          <w:rtl w:val="true"/>
        </w:rPr>
        <w:t xml:space="preserve">حکم ما ابین من حی </w:t>
      </w:r>
      <w:r>
        <w:rPr>
          <w:rtl w:val="true"/>
        </w:rPr>
        <w:t>]</w:t>
      </w:r>
      <w:bookmarkEnd w:id="20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اُبین من حیّ یحرم أکله واستعماله کألیات الغنم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لأنّها بحکم المیتة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یجوز الاستصباح بها تحت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لتحریم الانتفاع بالمیتة مطلقاً، وإنّما یجوز الاستصباح بما عرض له النجاسة من الأدهان، لا بما نجاسته ذاتیّة</w:t>
      </w:r>
      <w:r>
        <w:rPr>
          <w:rFonts w:eastAsia="IRNazanin" w:cs="IRNazanin"/>
          <w:color w:val="111111"/>
          <w:sz w:val="28"/>
          <w:szCs w:val="28"/>
          <w:rtl w:val="true"/>
          <w:lang w:bidi="fa-IR"/>
        </w:rPr>
        <w:t>.</w:t>
      </w:r>
    </w:p>
    <w:p>
      <w:pPr>
        <w:pStyle w:val="Heading4"/>
        <w:numPr>
          <w:ilvl w:val="3"/>
          <w:numId w:val="1"/>
        </w:numPr>
        <w:rPr/>
      </w:pPr>
      <w:bookmarkStart w:id="202" w:name="__RefHeading___Toc2227827_2314609296"/>
      <w:bookmarkStart w:id="203" w:name="_Toc76"/>
      <w:bookmarkEnd w:id="202"/>
      <w:r>
        <w:rPr>
          <w:rtl w:val="true"/>
        </w:rPr>
        <w:t>«</w:t>
      </w:r>
      <w:r>
        <w:rPr>
          <w:rtl w:val="true"/>
        </w:rPr>
        <w:t>الثانیة</w:t>
      </w:r>
      <w:r>
        <w:rPr>
          <w:rtl w:val="true"/>
        </w:rPr>
        <w:t>» : «</w:t>
      </w:r>
      <w:r>
        <w:rPr>
          <w:rtl w:val="true"/>
        </w:rPr>
        <w:t>تحرم من الذبیحة خمسةَ عشر</w:t>
      </w:r>
      <w:r>
        <w:rPr>
          <w:rtl w:val="true"/>
        </w:rPr>
        <w:t xml:space="preserve">» </w:t>
      </w:r>
      <w:r>
        <w:rPr>
          <w:rtl w:val="true"/>
        </w:rPr>
        <w:t>شیئاً</w:t>
      </w:r>
      <w:r>
        <w:rPr>
          <w:rtl w:val="true"/>
        </w:rPr>
        <w:t>:</w:t>
      </w:r>
      <w:bookmarkEnd w:id="203"/>
    </w:p>
    <w:p>
      <w:pPr>
        <w:pStyle w:val="Heading5"/>
        <w:numPr>
          <w:ilvl w:val="4"/>
          <w:numId w:val="1"/>
        </w:numPr>
        <w:rPr/>
      </w:pPr>
      <w:bookmarkStart w:id="204" w:name="__RefHeading___Toc2227829_2314609296"/>
      <w:bookmarkStart w:id="205" w:name="_Toc77"/>
      <w:bookmarkEnd w:id="204"/>
      <w:r>
        <w:rPr>
          <w:rtl w:val="true"/>
        </w:rPr>
        <w:t>اشارة</w:t>
      </w:r>
      <w:bookmarkEnd w:id="205"/>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الدم والطِحال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بکسر الطاء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والقضیب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والاُنثیان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وهما البیضتان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والفرث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الروث فی جوفها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والمَثانة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بفتح المیم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وهو مجمع البول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والمرارة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بفتح المیم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تجمع المِرّة الصفراء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بکسرها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معلّقةً مع الکبد کالکیس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والمشیمة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بفتح المیم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الولد وتسمّی الغِرْس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بکسر الغین المعجمة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وأصلها مَفعِلة فسکنت الیاء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الحیاء، ظاهره وباطنه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والعِلْباء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بالمهملة المکسورة فاللام الساکنة فالباء الموحّدة فالألف ممدودةً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عصبتان عریضتان ممدودتان من الرقبة إلی عَجْب الذَ 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والنخاع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مُثلَّث النون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الخیط الأبیض فی وسط الظهر ینظّم </w:t>
      </w:r>
      <w:r>
        <w:rPr>
          <w:rStyle w:val="FootnoteAnchor"/>
          <w:rtl w:val="true"/>
        </w:rPr>
        <w:footnoteReference w:id="520"/>
      </w:r>
      <w:r>
        <w:rPr>
          <w:rFonts w:ascii="IRNazanin" w:hAnsi="IRNazanin" w:eastAsia="IRNazanin"/>
          <w:color w:val="111111"/>
          <w:sz w:val="28"/>
          <w:sz w:val="28"/>
          <w:szCs w:val="28"/>
          <w:rtl w:val="true"/>
          <w:lang w:bidi="fa-IR"/>
        </w:rPr>
        <w:t>خَرَز السلسلة فی وسطها، وهو الوتین</w:t>
      </w:r>
    </w:p>
    <w:p>
      <w:pPr>
        <w:pStyle w:val="BookText"/>
        <w:rPr/>
      </w:pPr>
      <w:r>
        <w:rPr>
          <w:rFonts w:ascii="IRNazanin" w:hAnsi="IRNazanin" w:eastAsia="IRNazanin"/>
          <w:color w:val="111111"/>
          <w:sz w:val="28"/>
          <w:sz w:val="28"/>
          <w:szCs w:val="28"/>
          <w:rtl w:val="true"/>
          <w:lang w:bidi="fa-IR"/>
        </w:rPr>
        <w:t xml:space="preserve">الذی لا قوام للحیوان بدونه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والغُدد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بضمّ الغین المعجمة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التی فی اللحم وتکثر فی الشحم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وذات الأشاجع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اُصول الأصابع التی یتّصل بعَصَب ظاهر الکفّ، وفی الصحاح جعلها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الأشاجع</w:t>
      </w:r>
      <w:r>
        <w:rPr>
          <w:rFonts w:eastAsia="IRNazanin" w:cs="IRNazanin"/>
          <w:color w:val="111111"/>
          <w:sz w:val="28"/>
          <w:szCs w:val="28"/>
          <w:rtl w:val="true"/>
          <w:lang w:bidi="fa-IR"/>
        </w:rPr>
        <w:t xml:space="preserve">» </w:t>
      </w:r>
      <w:r>
        <w:rPr>
          <w:rStyle w:val="FootnoteAnchor"/>
          <w:rtl w:val="true"/>
        </w:rPr>
        <w:footnoteReference w:id="521"/>
      </w:r>
      <w:r>
        <w:rPr>
          <w:rFonts w:ascii="IRNazanin" w:hAnsi="IRNazanin" w:eastAsia="IRNazanin"/>
          <w:color w:val="111111"/>
          <w:sz w:val="28"/>
          <w:sz w:val="28"/>
          <w:szCs w:val="28"/>
          <w:rtl w:val="true"/>
          <w:lang w:bidi="fa-IR"/>
        </w:rPr>
        <w:t xml:space="preserve">بغیر مضاف والواحد أشجع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وخرزة الدماغ</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بکسر الدال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وهی المُخّ الکائن فی وسط الدماغ شبه الدودة بقدر الحِمِّصة تقریباً یخالف لونُها لونَه، وهی تمیل إلی الغبرة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حبّة الحدقة وهو الناظر من العین لا جسم العین کلّه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وتحریم هذه الأشیاء أجمع ذکره الشیخ غیر المثانة </w:t>
      </w:r>
      <w:r>
        <w:rPr>
          <w:rStyle w:val="FootnoteAnchor"/>
          <w:rtl w:val="true"/>
        </w:rPr>
        <w:footnoteReference w:id="522"/>
      </w:r>
      <w:r>
        <w:rPr>
          <w:rFonts w:ascii="IRNazanin" w:hAnsi="IRNazanin" w:eastAsia="IRNazanin"/>
          <w:color w:val="111111"/>
          <w:sz w:val="28"/>
          <w:sz w:val="28"/>
          <w:szCs w:val="28"/>
          <w:rtl w:val="true"/>
          <w:lang w:bidi="fa-IR"/>
        </w:rPr>
        <w:t xml:space="preserve">فزادها ابن إدریس </w:t>
      </w:r>
      <w:r>
        <w:rPr>
          <w:rStyle w:val="FootnoteAnchor"/>
          <w:rtl w:val="true"/>
        </w:rPr>
        <w:footnoteReference w:id="523"/>
      </w:r>
      <w:r>
        <w:rPr>
          <w:rFonts w:ascii="Amiri" w:hAnsi="Amiri" w:eastAsia="Amiri" w:cs="Amiri"/>
          <w:color w:val="111111"/>
          <w:sz w:val="28"/>
          <w:sz w:val="28"/>
          <w:szCs w:val="28"/>
          <w:rtl w:val="true"/>
          <w:lang w:bidi="ar-SA"/>
        </w:rPr>
        <w:t xml:space="preserve">وتبعه جماعة منهم المصنّف </w:t>
      </w:r>
      <w:r>
        <w:rPr>
          <w:rStyle w:val="FootnoteAnchor"/>
          <w:rtl w:val="true"/>
        </w:rPr>
        <w:footnoteReference w:id="524"/>
      </w:r>
      <w:r>
        <w:rPr>
          <w:rFonts w:ascii="IRNazanin" w:hAnsi="IRNazanin" w:eastAsia="IRNazanin"/>
          <w:color w:val="111111"/>
          <w:sz w:val="28"/>
          <w:sz w:val="28"/>
          <w:szCs w:val="28"/>
          <w:rtl w:val="true"/>
          <w:lang w:bidi="fa-IR"/>
        </w:rPr>
        <w:t xml:space="preserve">ومستند الجمیع غیر واضح؛ لأنّه روایات </w:t>
      </w:r>
      <w:r>
        <w:rPr>
          <w:rStyle w:val="FootnoteAnchor"/>
          <w:rtl w:val="true"/>
        </w:rPr>
        <w:footnoteReference w:id="525"/>
      </w:r>
      <w:r>
        <w:rPr>
          <w:rFonts w:ascii="IRNazanin" w:hAnsi="IRNazanin" w:eastAsia="IRNazanin"/>
          <w:color w:val="111111"/>
          <w:sz w:val="28"/>
          <w:sz w:val="28"/>
          <w:szCs w:val="28"/>
          <w:rtl w:val="true"/>
          <w:lang w:bidi="fa-IR"/>
        </w:rPr>
        <w:t>یتلفّق من جمیعها ذلک، بعض رجالها ضعیف وبعضها مجهول</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والمتیقّن منها تحریم ما دلّ علیه دلیل خارج کالدم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معناه الطِحال، وتحریمهما ظاهر من الآیة </w:t>
      </w:r>
      <w:r>
        <w:rPr>
          <w:rStyle w:val="FootnoteAnchor"/>
          <w:rtl w:val="true"/>
        </w:rPr>
        <w:footnoteReference w:id="526"/>
      </w:r>
      <w:r>
        <w:rPr>
          <w:rFonts w:ascii="IRNazanin" w:hAnsi="IRNazanin" w:eastAsia="IRNazanin"/>
          <w:color w:val="111111"/>
          <w:sz w:val="28"/>
          <w:sz w:val="28"/>
          <w:szCs w:val="28"/>
          <w:rtl w:val="true"/>
          <w:lang w:bidi="fa-IR"/>
        </w:rPr>
        <w:t>وکذا ما استخبث منها، کالفرث والفرج والقضیب والاُنثیین والمثانة والمِرارة والمشیمة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وتحریم الباقی یحتاج إلی دلیل، والأصل یقتضی 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والروایات یمکن الاستدلال بها علی الکراهة؛ لسهولة خطبها، إلّا أن یدّعی استخباث الجمیع </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bookmarkStart w:id="206" w:name="pg19815_253123"/>
    </w:p>
    <w:p>
      <w:pPr>
        <w:pStyle w:val="BookText"/>
        <w:rPr/>
      </w:pPr>
      <w:bookmarkEnd w:id="206"/>
      <w:r>
        <w:rPr>
          <w:rFonts w:ascii="IRNazanin" w:hAnsi="IRNazanin" w:eastAsia="IRNazanin"/>
          <w:color w:val="111111"/>
          <w:sz w:val="28"/>
          <w:sz w:val="28"/>
          <w:szCs w:val="28"/>
          <w:rtl w:val="true"/>
          <w:lang w:bidi="fa-IR"/>
        </w:rPr>
        <w:t xml:space="preserve">وهذا </w:t>
      </w:r>
      <w:r>
        <w:rPr>
          <w:rStyle w:val="FootnoteAnchor"/>
          <w:rtl w:val="true"/>
        </w:rPr>
        <w:footnoteReference w:id="528"/>
      </w:r>
      <w:r>
        <w:rPr>
          <w:rFonts w:ascii="IRNazanin" w:hAnsi="IRNazanin" w:eastAsia="IRNazanin"/>
          <w:color w:val="111111"/>
          <w:sz w:val="28"/>
          <w:sz w:val="28"/>
          <w:szCs w:val="28"/>
          <w:rtl w:val="true"/>
          <w:lang w:bidi="fa-IR"/>
        </w:rPr>
        <w:t xml:space="preserve">مختار العلّامة فی المختلف </w:t>
      </w:r>
      <w:r>
        <w:rPr>
          <w:rStyle w:val="FootnoteAnchor"/>
          <w:rtl w:val="true"/>
        </w:rPr>
        <w:footnoteReference w:id="529"/>
      </w:r>
      <w:r>
        <w:rPr>
          <w:rFonts w:ascii="IRNazanin" w:hAnsi="IRNazanin" w:eastAsia="IRNazanin"/>
          <w:color w:val="111111"/>
          <w:sz w:val="28"/>
          <w:sz w:val="28"/>
          <w:szCs w:val="28"/>
          <w:rtl w:val="true"/>
          <w:lang w:bidi="fa-IR"/>
        </w:rPr>
        <w:t xml:space="preserve">وابن الجنید أطلق کراهیة بعض هذه المذکورات ولم ینصّ علی تحریم شیء </w:t>
      </w:r>
      <w:r>
        <w:rPr>
          <w:rStyle w:val="FootnoteAnchor"/>
          <w:rtl w:val="true"/>
        </w:rPr>
        <w:footnoteReference w:id="530"/>
      </w:r>
      <w:r>
        <w:rPr>
          <w:rFonts w:ascii="IRNazanin" w:hAnsi="IRNazanin" w:eastAsia="IRNazanin"/>
          <w:color w:val="111111"/>
          <w:sz w:val="28"/>
          <w:sz w:val="28"/>
          <w:szCs w:val="28"/>
          <w:rtl w:val="true"/>
          <w:lang w:bidi="fa-IR"/>
        </w:rPr>
        <w:t>نظراً إلی ما ذکرناه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واحترز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الذبیحة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نحو السمک والجراد، فلا یحرم منه شیء من المذکورات؛ للأصل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وشمل ذلک کبیر الحیوان المذبوح کالجزور، وصغیره کالعصفور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ویشکل الحکم بتحریم جمیع ما ذکر مع عدم تمییزه </w:t>
      </w:r>
      <w:r>
        <w:rPr>
          <w:rStyle w:val="FootnoteAnchor"/>
          <w:rtl w:val="true"/>
        </w:rPr>
        <w:footnoteReference w:id="531"/>
      </w:r>
      <w:r>
        <w:rPr>
          <w:rFonts w:ascii="IRNazanin" w:hAnsi="IRNazanin" w:eastAsia="IRNazanin"/>
          <w:color w:val="111111"/>
          <w:sz w:val="28"/>
          <w:sz w:val="28"/>
          <w:szCs w:val="28"/>
          <w:rtl w:val="true"/>
          <w:lang w:bidi="fa-IR"/>
        </w:rPr>
        <w:t>لاستلزامه تحریم جمیعه أو أکثره؛ للاشتباه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والأجود اختصاص الحکم بالنَعَم ونحوها من الحیوان الوحشی، دون العصفور وما أشبهه</w:t>
      </w:r>
      <w:r>
        <w:rPr>
          <w:rFonts w:eastAsia="IRNazanin" w:cs="IRNazanin"/>
          <w:color w:val="111111"/>
          <w:sz w:val="28"/>
          <w:szCs w:val="28"/>
          <w:rtl w:val="true"/>
          <w:lang w:bidi="fa-IR"/>
        </w:rPr>
        <w:t>.</w:t>
      </w:r>
    </w:p>
    <w:p>
      <w:pPr>
        <w:pStyle w:val="Heading5"/>
        <w:numPr>
          <w:ilvl w:val="4"/>
          <w:numId w:val="1"/>
        </w:numPr>
        <w:rPr/>
      </w:pPr>
      <w:bookmarkStart w:id="207" w:name="__RefHeading___Toc2227831_2314609296"/>
      <w:bookmarkStart w:id="208" w:name="_Toc78"/>
      <w:bookmarkEnd w:id="207"/>
      <w:r>
        <w:rPr>
          <w:rtl w:val="true"/>
        </w:rPr>
        <w:t>[</w:t>
      </w:r>
      <w:r>
        <w:rPr>
          <w:rtl w:val="true"/>
        </w:rPr>
        <w:t>ما تکره من الذبیحة</w:t>
      </w:r>
      <w:r>
        <w:rPr>
          <w:rtl w:val="true"/>
        </w:rPr>
        <w:t>]</w:t>
      </w:r>
      <w:bookmarkEnd w:id="208"/>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بضمّ الکاف وقصر الألف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 کُلیة وکُلوة بالضمّ فیهما، والکسر لحن عن ابن السکّیت </w:t>
      </w:r>
      <w:r>
        <w:rPr>
          <w:rStyle w:val="FootnoteAnchor"/>
          <w:rtl w:val="true"/>
        </w:rPr>
        <w:footnoteReference w:id="5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واُذنا القلب والعروق ولو ثُقِب الطِحال مع اللحم وشُوی حرم ما تحته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لحم وغیره، دون ما فوقه أو مساویه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لم یکن مثقوباً لم یحرم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معه مطلقاً </w:t>
      </w:r>
      <w:r>
        <w:rPr>
          <w:rStyle w:val="FootnoteAnchor"/>
          <w:rtl w:val="true"/>
        </w:rPr>
        <w:footnoteReference w:id="533"/>
      </w:r>
      <w:r>
        <w:rPr>
          <w:rFonts w:ascii="IRNazanin" w:hAnsi="IRNazanin" w:eastAsia="IRNazanin"/>
          <w:color w:val="111111"/>
          <w:sz w:val="28"/>
          <w:sz w:val="28"/>
          <w:szCs w:val="28"/>
          <w:rtl w:val="true"/>
          <w:lang w:bidi="fa-IR"/>
        </w:rPr>
        <w:t xml:space="preserve">هذا هو المشهور، ومستنده روایة عمّار الساباطی عن أبی عبد اللّٰه علیه السلام </w:t>
      </w:r>
      <w:r>
        <w:rPr>
          <w:rStyle w:val="FootnoteAnchor"/>
          <w:rtl w:val="true"/>
        </w:rPr>
        <w:footnoteReference w:id="534"/>
      </w:r>
      <w:r>
        <w:rPr>
          <w:rFonts w:ascii="IRNazanin" w:hAnsi="IRNazanin" w:eastAsia="IRNazanin"/>
          <w:color w:val="111111"/>
          <w:sz w:val="28"/>
          <w:sz w:val="28"/>
          <w:szCs w:val="28"/>
          <w:rtl w:val="true"/>
          <w:lang w:bidi="fa-IR"/>
        </w:rPr>
        <w:t>وعُلّل فیها بأ نّه مع الثقب یسیل الدم من</w:t>
      </w:r>
      <w:bookmarkStart w:id="209" w:name="pg19815_253124"/>
    </w:p>
    <w:p>
      <w:pPr>
        <w:pStyle w:val="BookText"/>
        <w:rPr/>
      </w:pPr>
      <w:bookmarkEnd w:id="209"/>
      <w:r>
        <w:rPr>
          <w:rFonts w:ascii="IRNazanin" w:hAnsi="IRNazanin" w:eastAsia="IRNazanin"/>
          <w:color w:val="111111"/>
          <w:sz w:val="28"/>
          <w:sz w:val="28"/>
          <w:szCs w:val="28"/>
          <w:rtl w:val="true"/>
          <w:lang w:bidi="fa-IR"/>
        </w:rPr>
        <w:t>الطحال إلی ما تحته فیحرم، بخلاف غیر المثقوب؛ لأنّه فی حجاب لا یسیل منه</w:t>
      </w:r>
      <w:r>
        <w:rPr>
          <w:rFonts w:eastAsia="IRNazanin" w:cs="IRNazanin"/>
          <w:color w:val="111111"/>
          <w:sz w:val="28"/>
          <w:szCs w:val="28"/>
          <w:rtl w:val="true"/>
          <w:lang w:bidi="fa-IR"/>
        </w:rPr>
        <w:t>.</w:t>
      </w:r>
    </w:p>
    <w:p>
      <w:pPr>
        <w:pStyle w:val="Heading4"/>
        <w:numPr>
          <w:ilvl w:val="3"/>
          <w:numId w:val="1"/>
        </w:numPr>
        <w:rPr/>
      </w:pPr>
      <w:bookmarkStart w:id="210" w:name="__RefHeading___Toc2227833_2314609296"/>
      <w:bookmarkStart w:id="211" w:name="_Toc79"/>
      <w:bookmarkEnd w:id="210"/>
      <w:r>
        <w:rPr>
          <w:rtl w:val="true"/>
        </w:rPr>
        <w:t>«</w:t>
      </w:r>
      <w:r>
        <w:rPr>
          <w:rtl w:val="true"/>
        </w:rPr>
        <w:t>الثالثة</w:t>
      </w:r>
      <w:r>
        <w:rPr>
          <w:rtl w:val="true"/>
        </w:rPr>
        <w:t>» : «</w:t>
      </w:r>
      <w:r>
        <w:rPr>
          <w:rtl w:val="true"/>
        </w:rPr>
        <w:t>یحرم تناول الأعیان النجسة</w:t>
      </w:r>
      <w:r>
        <w:rPr>
          <w:rtl w:val="true"/>
        </w:rPr>
        <w:t>»</w:t>
      </w:r>
      <w:bookmarkEnd w:id="211"/>
    </w:p>
    <w:p>
      <w:pPr>
        <w:pStyle w:val="BookText"/>
        <w:rPr/>
      </w:pPr>
      <w:r>
        <w:rPr>
          <w:rFonts w:ascii="IRNazanin" w:hAnsi="IRNazanin" w:eastAsia="IRNazanin"/>
          <w:color w:val="111111"/>
          <w:sz w:val="28"/>
          <w:sz w:val="28"/>
          <w:szCs w:val="28"/>
          <w:rtl w:val="true"/>
          <w:lang w:bidi="fa-IR"/>
        </w:rPr>
        <w:t xml:space="preserve">بالأصالة کالنجاسات، وأمّا بالعرض فإنّه وإن کان کذلک إلّاأ نّه یأتی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یحرم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المسکر </w:t>
      </w:r>
      <w:r>
        <w:rPr>
          <w:rStyle w:val="FootnoteAnchor"/>
          <w:rtl w:val="true"/>
        </w:rPr>
        <w:footnoteReference w:id="5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مائعاً کان أم جامداً وإن اختصّت النجاسة بالمائع بالأصالة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ویمکن أن یرید هنا بالمسکر المائع بقرینة الأمثلة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والتعرّضُ فی هذه المسألة للنجاسات وذکرُه تخصیص بعد تعمیم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المتّخذ من العنب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والنبیذ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المسکر من التمر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والبِتع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بکسر الباء وسکون التاء المثنّاة أو فتحها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نبیذ العسل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والفضیخ</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بالمعجمتین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التمر والبسر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والنقیع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الزبیب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والمِزْر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بکسر المیم فالزاء المعجمة الساکنة فالمهملة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نبیذ الذُرة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والجِعة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بکسر الجیم وفتح العین المهملة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نبیذ الشعیر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یختصّ التحریم فی هذه بما أسکر، بل یحرم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قلّ</w:t>
      </w:r>
      <w:r>
        <w:rPr>
          <w:rFonts w:eastAsia="IRNazanin" w:cs="IRNazanin"/>
          <w:color w:val="111111"/>
          <w:sz w:val="28"/>
          <w:szCs w:val="28"/>
          <w:rtl w:val="true"/>
          <w:lang w:bidi="fa-IR"/>
        </w:rPr>
        <w:t>» .</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العصیر العنبی إذا غلی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بالنار وغیرها بأن صار أعلاه أسفله، ویستمرّ تحریمه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یذهب ثلثاه أو ینقلب خلّاً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خلاف فی تحریمه، والنصوص متظافرة به </w:t>
      </w:r>
      <w:r>
        <w:rPr>
          <w:rStyle w:val="FootnoteAnchor"/>
          <w:rtl w:val="true"/>
        </w:rPr>
        <w:footnoteReference w:id="536"/>
      </w:r>
      <w:r>
        <w:rPr>
          <w:rFonts w:ascii="IRNazanin" w:hAnsi="IRNazanin" w:eastAsia="IRNazanin"/>
          <w:color w:val="111111"/>
          <w:sz w:val="28"/>
          <w:sz w:val="28"/>
          <w:szCs w:val="28"/>
          <w:rtl w:val="true"/>
          <w:lang w:bidi="fa-IR"/>
        </w:rPr>
        <w:t xml:space="preserve">وإنّما الکلام فی نجاسته فإنّ النصوص خالیة منها، لکنّها مشهورة بین المتأخّرین </w:t>
      </w:r>
      <w:r>
        <w:rPr>
          <w:rStyle w:val="FootnoteAnchor"/>
          <w:rtl w:val="true"/>
        </w:rPr>
        <w:footnoteReference w:id="5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الزبیب وإن غلی علی الأقوی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لخروجه عن مسمّی العنب، وأصالة الحلّ واستصحابه، خرج منه عصیر العنب إذا غلی بالنصّ، فیبقی غیره علی 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وذهب بعض الأصحاب إلی تحریمه </w:t>
      </w:r>
      <w:r>
        <w:rPr>
          <w:rStyle w:val="FootnoteAnchor"/>
          <w:rtl w:val="true"/>
        </w:rPr>
        <w:footnoteReference w:id="538"/>
      </w:r>
      <w:r>
        <w:rPr>
          <w:rFonts w:ascii="IRNazanin" w:hAnsi="IRNazanin" w:eastAsia="IRNazanin"/>
          <w:color w:val="111111"/>
          <w:sz w:val="28"/>
          <w:sz w:val="28"/>
          <w:szCs w:val="28"/>
          <w:rtl w:val="true"/>
          <w:lang w:bidi="fa-IR"/>
        </w:rPr>
        <w:t xml:space="preserve">لمفهوم روایة علیّ بن جعفر عن أخیه موسی علیه السلام حیث 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الزبیب یؤخذ ماؤه فیُطبخ حتّی یذهب ثلثاه،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 xml:space="preserve">» </w:t>
      </w:r>
      <w:r>
        <w:rPr>
          <w:rStyle w:val="FootnoteAnchor"/>
          <w:rtl w:val="true"/>
        </w:rPr>
        <w:footnoteReference w:id="539"/>
      </w:r>
      <w:r>
        <w:rPr>
          <w:rFonts w:ascii="IRNazanin" w:hAnsi="IRNazanin" w:eastAsia="IRNazanin"/>
          <w:color w:val="111111"/>
          <w:sz w:val="28"/>
          <w:sz w:val="28"/>
          <w:szCs w:val="28"/>
          <w:rtl w:val="true"/>
          <w:lang w:bidi="fa-IR"/>
        </w:rPr>
        <w:t>فإنّ مفهومه التحریم قبل ذهاب الثلثین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وسند الروایة والمفهوم ضعیفان </w:t>
      </w:r>
      <w:r>
        <w:rPr>
          <w:rStyle w:val="FootnoteAnchor"/>
          <w:rtl w:val="true"/>
        </w:rPr>
        <w:footnoteReference w:id="540"/>
      </w:r>
      <w:r>
        <w:rPr>
          <w:rFonts w:ascii="IRNazanin" w:hAnsi="IRNazanin" w:eastAsia="IRNazanin"/>
          <w:color w:val="111111"/>
          <w:sz w:val="28"/>
          <w:sz w:val="28"/>
          <w:szCs w:val="28"/>
          <w:rtl w:val="true"/>
          <w:lang w:bidi="fa-IR"/>
        </w:rPr>
        <w:t>فالقول بالتحریم أضعف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النجاسة فلا شبهة فی نفیها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ویحرم الفقّاع </w:t>
      </w:r>
      <w:r>
        <w:rPr>
          <w:rStyle w:val="FootnoteAnchor"/>
          <w:rtl w:val="true"/>
        </w:rPr>
        <w:footnoteReference w:id="5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ما اتّخذ من الزبیب أو الشعیر حتّی وُجد فیه النشیش والحرکة، أو اُطلق علیه عرفاً، ما لم یُعلم انتفاء خاصیّته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وجد فی الأسواق ما یُسمّی فُقّاعاً حکم بتحریمه وإن جُهل أصله، نظراً إلی الاسم، وقد روی علیّ بن یقطین فی الصحیح عن الکاظم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شرب الفقّاع الذی یُعمل فی السوق ویباع ولا أدری کیف عُمل، ولا متی عُمل، أیحلّ أن أشربه؟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اُحبّه</w:t>
      </w:r>
      <w:r>
        <w:rPr>
          <w:rFonts w:eastAsia="IRNazanin" w:cs="IRNazanin"/>
          <w:color w:val="111111"/>
          <w:sz w:val="28"/>
          <w:szCs w:val="28"/>
          <w:rtl w:val="true"/>
          <w:lang w:bidi="fa-IR"/>
        </w:rPr>
        <w:t xml:space="preserve">» </w:t>
      </w:r>
      <w:r>
        <w:rPr>
          <w:rStyle w:val="FootnoteAnchor"/>
          <w:rtl w:val="true"/>
        </w:rPr>
        <w:footnoteReference w:id="542"/>
      </w:r>
      <w:r>
        <w:rPr>
          <w:rFonts w:ascii="IRNazanin" w:hAnsi="IRNazanin" w:eastAsia="IRNazanin"/>
          <w:color w:val="111111"/>
          <w:sz w:val="28"/>
          <w:sz w:val="28"/>
          <w:szCs w:val="28"/>
          <w:rtl w:val="true"/>
          <w:lang w:bidi="fa-IR"/>
        </w:rPr>
        <w:t xml:space="preserve">وأمّا ما ورد فی الفقّاع بقول مطلق وأ نّه بمنزلة الخمر فکثیر </w:t>
      </w:r>
      <w:r>
        <w:rPr>
          <w:rStyle w:val="FootnoteAnchor"/>
          <w:rtl w:val="true"/>
        </w:rPr>
        <w:footnoteReference w:id="543"/>
      </w:r>
      <w:r>
        <w:rPr>
          <w:rFonts w:ascii="Amiri" w:hAnsi="Amiri" w:eastAsia="Amiri" w:cs="Amiri"/>
          <w:color w:val="111111"/>
          <w:sz w:val="28"/>
          <w:sz w:val="28"/>
          <w:szCs w:val="28"/>
          <w:rtl w:val="true"/>
          <w:lang w:bidi="ar-SA"/>
        </w:rPr>
        <w:t>لا یُحصی</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والعذرات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المهملة فکسر المعجمة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والأبوال النجسة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صفة للعذرات والأبوال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شبهة فی تحریمها نجسة کمطلق النجس، لکن مفهوم العبارة عدم تحریم الطاهر منها کعذرة وبول ما یؤکل لحمه، وقد نقل فی الدروس تحلیل</w:t>
      </w:r>
      <w:bookmarkStart w:id="212" w:name="pg19815_253126"/>
    </w:p>
    <w:p>
      <w:pPr>
        <w:pStyle w:val="BookText"/>
        <w:rPr/>
      </w:pPr>
      <w:bookmarkEnd w:id="212"/>
      <w:r>
        <w:rPr>
          <w:rFonts w:ascii="IRNazanin" w:hAnsi="IRNazanin" w:eastAsia="IRNazanin"/>
          <w:color w:val="111111"/>
          <w:sz w:val="28"/>
          <w:sz w:val="28"/>
          <w:szCs w:val="28"/>
          <w:rtl w:val="true"/>
          <w:lang w:bidi="fa-IR"/>
        </w:rPr>
        <w:t xml:space="preserve">بول المحلَّل عن ابن الجنید وظاهر ابن إدریس، ثمّ قوّی التحریم للاستخباث </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والأقوی جواز ما تدعو الحاجة إلیه منه إن فُرض له نفع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وربما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تحلیل بول الإبل للاستشفاء إجماعیّ </w:t>
      </w:r>
      <w:r>
        <w:rPr>
          <w:rStyle w:val="FootnoteAnchor"/>
          <w:rtl w:val="true"/>
        </w:rPr>
        <w:footnoteReference w:id="545"/>
      </w:r>
      <w:r>
        <w:rPr>
          <w:rFonts w:ascii="IRNazanin" w:hAnsi="IRNazanin" w:eastAsia="IRNazanin"/>
          <w:color w:val="111111"/>
          <w:sz w:val="28"/>
          <w:sz w:val="28"/>
          <w:szCs w:val="28"/>
          <w:rtl w:val="true"/>
          <w:lang w:bidi="fa-IR"/>
        </w:rPr>
        <w:t xml:space="preserve">وقد تقدّم حکمه بتحریم الفرث من المحلَّل </w:t>
      </w:r>
      <w:r>
        <w:rPr>
          <w:rStyle w:val="FootnoteAnchor"/>
          <w:rtl w:val="true"/>
        </w:rPr>
        <w:footnoteReference w:id="546"/>
      </w:r>
      <w:r>
        <w:rPr>
          <w:rFonts w:ascii="IRNazanin" w:hAnsi="IRNazanin" w:eastAsia="IRNazanin"/>
          <w:color w:val="111111"/>
          <w:sz w:val="28"/>
          <w:sz w:val="28"/>
          <w:szCs w:val="28"/>
          <w:rtl w:val="true"/>
          <w:lang w:bidi="fa-IR"/>
        </w:rPr>
        <w:t xml:space="preserve">والنقل عن ابن الجنید الکراهیة </w:t>
      </w:r>
      <w:r>
        <w:rPr>
          <w:rStyle w:val="FootnoteAnchor"/>
          <w:rtl w:val="true"/>
        </w:rPr>
        <w:footnoteReference w:id="547"/>
      </w:r>
      <w:r>
        <w:rPr>
          <w:rFonts w:ascii="IRNazanin" w:hAnsi="IRNazanin" w:eastAsia="IRNazanin"/>
          <w:color w:val="111111"/>
          <w:sz w:val="28"/>
          <w:sz w:val="28"/>
          <w:szCs w:val="28"/>
          <w:rtl w:val="true"/>
          <w:lang w:bidi="fa-IR"/>
        </w:rPr>
        <w:t>کغیره من المذکورات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ویمکن أن تکون النجسة صفة للأبوال خاصّة، حملاً للعذرة المطلقة علی المعروف منها لغةً وعرفاً، وهی عذرة الإنسان، فیزول الإشکال عنها ویبقی الکلام فی البول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یقع فیه 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النجاسات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المائعات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لنجاستها بقلیلها وإن کثرت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الجامدات، إلّابعد 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استثناء من الجامدات، نظراً إلی أنّ المائعات لا تقبل التطهیر کما سیأتی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باشره الکفّار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المائعات أو الجامدات برطوبة وإن کانوا ذِمّة </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3" w:name="__RefHeading___Toc2227835_2314609296"/>
      <w:bookmarkStart w:id="214" w:name="_Toc80"/>
      <w:bookmarkEnd w:id="213"/>
      <w:r>
        <w:rPr>
          <w:rtl w:val="true"/>
        </w:rPr>
        <w:t>«</w:t>
      </w:r>
      <w:r>
        <w:rPr>
          <w:rtl w:val="true"/>
        </w:rPr>
        <w:t>الرابعة</w:t>
      </w:r>
      <w:r>
        <w:rPr>
          <w:rtl w:val="true"/>
        </w:rPr>
        <w:t>» : «</w:t>
      </w:r>
      <w:r>
        <w:rPr>
          <w:rtl w:val="true"/>
        </w:rPr>
        <w:t>یحرم الطین</w:t>
      </w:r>
      <w:r>
        <w:rPr>
          <w:rtl w:val="true"/>
        </w:rPr>
        <w:t xml:space="preserve">» </w:t>
      </w:r>
      <w:r>
        <w:rPr>
          <w:rtl w:val="true"/>
        </w:rPr>
        <w:t>بجمیع أصنافه، فعن النبیّ صلی الله علیه و آله</w:t>
      </w:r>
      <w:r>
        <w:rPr>
          <w:rtl w:val="true"/>
        </w:rPr>
        <w:t>: «</w:t>
      </w:r>
      <w:r>
        <w:rPr>
          <w:rtl w:val="true"/>
        </w:rPr>
        <w:t>من أکل الطین فمات‌فقد أعان علی نفسه</w:t>
      </w:r>
      <w:r>
        <w:rPr>
          <w:rtl w:val="true"/>
        </w:rPr>
        <w:t>»</w:t>
      </w:r>
      <w:bookmarkEnd w:id="214"/>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5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الکاظم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أکل الطین حرام مثل المیتة والدم ولحم الخنزیر إلّاطین قبر الحسین علیه السلام فإنّ فیه شفاءً من کلّ داء وأمناً من کلّ</w:t>
      </w:r>
    </w:p>
    <w:p>
      <w:pPr>
        <w:pStyle w:val="BookText"/>
        <w:rPr/>
      </w:pPr>
      <w:r>
        <w:rPr>
          <w:rFonts w:ascii="IRNazanin" w:hAnsi="IRNazanin" w:eastAsia="IRNazanin"/>
          <w:color w:val="111111"/>
          <w:sz w:val="28"/>
          <w:sz w:val="28"/>
          <w:szCs w:val="28"/>
          <w:rtl w:val="true"/>
          <w:lang w:bidi="fa-IR"/>
        </w:rPr>
        <w:t>خوف</w:t>
      </w:r>
      <w:r>
        <w:rPr>
          <w:rFonts w:eastAsia="IRNazanin" w:cs="IRNazanin"/>
          <w:color w:val="111111"/>
          <w:sz w:val="28"/>
          <w:szCs w:val="28"/>
          <w:rtl w:val="true"/>
          <w:lang w:bidi="fa-IR"/>
        </w:rPr>
        <w:t xml:space="preserve">» </w:t>
      </w:r>
      <w:r>
        <w:rPr>
          <w:rStyle w:val="FootnoteAnchor"/>
          <w:rtl w:val="true"/>
        </w:rPr>
        <w:footnoteReference w:id="550"/>
      </w:r>
      <w:r>
        <w:rPr>
          <w:rFonts w:ascii="IRNazanin" w:hAnsi="IRNazanin" w:eastAsia="IRNazanin"/>
          <w:color w:val="111111"/>
          <w:sz w:val="28"/>
          <w:sz w:val="28"/>
          <w:szCs w:val="28"/>
          <w:rtl w:val="true"/>
          <w:lang w:bidi="fa-IR"/>
        </w:rPr>
        <w:t>فلذا قال المصنّف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إلّاطین قبر الحسین علیه السلام فیجوز الاستشفاء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 لدفع الأمراض الحاصلة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بقدر الحمّصة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المعهودة المتوسّطة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یشترط فی جواز تناولها أخذها بالدعاء وتناولها به؛ لإطلاق النصوص </w:t>
      </w:r>
      <w:r>
        <w:rPr>
          <w:rStyle w:val="FootnoteAnchor"/>
          <w:rtl w:val="true"/>
        </w:rPr>
        <w:footnoteReference w:id="551"/>
      </w:r>
      <w:r>
        <w:rPr>
          <w:rFonts w:ascii="IRNazanin" w:hAnsi="IRNazanin" w:eastAsia="IRNazanin"/>
          <w:color w:val="111111"/>
          <w:sz w:val="28"/>
          <w:sz w:val="28"/>
          <w:szCs w:val="28"/>
          <w:rtl w:val="true"/>
          <w:lang w:bidi="fa-IR"/>
        </w:rPr>
        <w:t>وإن کان أفضل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والمراد بطین القبر الشریف تربة ما جاوره من الأرض عرفاً، ورُوی إلی أربعة فراسخ </w:t>
      </w:r>
      <w:r>
        <w:rPr>
          <w:rStyle w:val="FootnoteAnchor"/>
          <w:rtl w:val="true"/>
        </w:rPr>
        <w:footnoteReference w:id="552"/>
      </w:r>
      <w:r>
        <w:rPr>
          <w:rFonts w:ascii="IRNazanin" w:hAnsi="IRNazanin" w:eastAsia="IRNazanin"/>
          <w:color w:val="111111"/>
          <w:sz w:val="28"/>
          <w:sz w:val="28"/>
          <w:szCs w:val="28"/>
          <w:rtl w:val="true"/>
          <w:lang w:bidi="fa-IR"/>
        </w:rPr>
        <w:t xml:space="preserve">ورُوی ثمانیة </w:t>
      </w:r>
      <w:r>
        <w:rPr>
          <w:rStyle w:val="FootnoteAnchor"/>
          <w:rtl w:val="true"/>
        </w:rPr>
        <w:footnoteReference w:id="553"/>
      </w:r>
      <w:r>
        <w:rPr>
          <w:rFonts w:ascii="IRNazanin" w:hAnsi="IRNazanin" w:eastAsia="IRNazanin"/>
          <w:color w:val="111111"/>
          <w:sz w:val="28"/>
          <w:sz w:val="28"/>
          <w:szCs w:val="28"/>
          <w:rtl w:val="true"/>
          <w:lang w:bidi="fa-IR"/>
        </w:rPr>
        <w:t>وکلّما قرب منه کان أفضل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کذلک التربة المحترمة منها، فإنّها مشروطة بأخذها من الضریح المقدّس أو خارجه کما مرّ مع وضعها علیه، أو أخذها بالدعاء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وجد تربة منسوبة إلیه علیه السلام حُکِم باحترامها حملاً علی المعهود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یجوز تناول الطین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لدفع الأمراض المقرّر عند الأطبّاء نفعه منها مقتصراً منه علی ما تدعو الحاجة إلیه بحسب قولهم المفید للظنّ؛ لما فیه من دفع الضرر المظنون، وبه روایة حسنة </w:t>
      </w:r>
      <w:r>
        <w:rPr>
          <w:rStyle w:val="FootnoteAnchor"/>
          <w:rtl w:val="true"/>
        </w:rPr>
        <w:footnoteReference w:id="554"/>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طین معروف یُجلب من إرمینیّة یضرب لونه إلی الصفرة، ینسحق بسهولة، یحبس الطبع والدم، وینفع البثور والطواعین شرباً وطَلاءً، وینفع فی الوباء إذا بُلّ بالخَلّ واستنشق رائحته، وغیر ذلک من منافعه المعروفة فی کتب الطبّ</w:t>
      </w:r>
      <w:r>
        <w:rPr>
          <w:rFonts w:eastAsia="IRNazanin" w:cs="IRNazanin"/>
          <w:color w:val="111111"/>
          <w:sz w:val="28"/>
          <w:szCs w:val="28"/>
          <w:rtl w:val="true"/>
          <w:lang w:bidi="fa-IR"/>
        </w:rPr>
        <w:t>.</w:t>
      </w:r>
      <w:bookmarkStart w:id="215" w:name="pg19815_253128"/>
    </w:p>
    <w:p>
      <w:pPr>
        <w:pStyle w:val="Heading4"/>
        <w:numPr>
          <w:ilvl w:val="3"/>
          <w:numId w:val="1"/>
        </w:numPr>
        <w:rPr/>
      </w:pPr>
      <w:bookmarkStart w:id="216" w:name="__RefHeading___Toc2227837_2314609296"/>
      <w:bookmarkStart w:id="217" w:name="_Toc81"/>
      <w:bookmarkEnd w:id="215"/>
      <w:bookmarkEnd w:id="216"/>
      <w:r>
        <w:rPr>
          <w:rtl w:val="true"/>
        </w:rPr>
        <w:t>«</w:t>
      </w:r>
      <w:r>
        <w:rPr>
          <w:rtl w:val="true"/>
        </w:rPr>
        <w:t>الخامسة</w:t>
      </w:r>
      <w:r>
        <w:rPr>
          <w:rtl w:val="true"/>
        </w:rPr>
        <w:t>» : «</w:t>
      </w:r>
      <w:r>
        <w:rPr>
          <w:rtl w:val="true"/>
        </w:rPr>
        <w:t>یحرم السُمّ</w:t>
      </w:r>
      <w:r>
        <w:rPr>
          <w:rtl w:val="true"/>
        </w:rPr>
        <w:t>»</w:t>
      </w:r>
      <w:bookmarkEnd w:id="217"/>
    </w:p>
    <w:p>
      <w:pPr>
        <w:pStyle w:val="BookText"/>
        <w:rPr/>
      </w:pPr>
      <w:r>
        <w:rPr>
          <w:rFonts w:ascii="IRNazanin" w:hAnsi="IRNazanin" w:eastAsia="IRNazanin"/>
          <w:color w:val="111111"/>
          <w:sz w:val="28"/>
          <w:sz w:val="28"/>
          <w:szCs w:val="28"/>
          <w:rtl w:val="true"/>
          <w:lang w:bidi="fa-IR"/>
        </w:rPr>
        <w:t xml:space="preserve">بضمّ السین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بجمیع أصنافه جامداً کان أم مائعاً إن کان یقتل قلیله وکثیره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کان کثیره یقتل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 قلیله کالأفیون والسَقْمونیا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الکثیر القاتل أو الضارّ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دون القلیل </w:t>
      </w:r>
      <w:r>
        <w:rPr>
          <w:rStyle w:val="FootnoteAnchor"/>
          <w:rtl w:val="true"/>
        </w:rPr>
        <w:footnoteReference w:id="5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اُخذ منفرداً، أمّا لو اُضیف إلی غیره فقد لا یضرّ منه الکثیر، کما هو معروف عند الأطبّاء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وضابط المحرّم ما یحصل به الضرر علی البدن وإفساد المزاج</w:t>
      </w:r>
      <w:r>
        <w:rPr>
          <w:rFonts w:eastAsia="IRNazanin" w:cs="IRNazanin"/>
          <w:color w:val="111111"/>
          <w:sz w:val="28"/>
          <w:szCs w:val="28"/>
          <w:rtl w:val="true"/>
          <w:lang w:bidi="fa-IR"/>
        </w:rPr>
        <w:t>.</w:t>
      </w:r>
    </w:p>
    <w:p>
      <w:pPr>
        <w:pStyle w:val="Heading4"/>
        <w:numPr>
          <w:ilvl w:val="3"/>
          <w:numId w:val="1"/>
        </w:numPr>
        <w:rPr/>
      </w:pPr>
      <w:bookmarkStart w:id="218" w:name="__RefHeading___Toc2227839_2314609296"/>
      <w:bookmarkStart w:id="219" w:name="_Toc82"/>
      <w:bookmarkEnd w:id="218"/>
      <w:r>
        <w:rPr>
          <w:rtl w:val="true"/>
        </w:rPr>
        <w:t>«</w:t>
      </w:r>
      <w:r>
        <w:rPr>
          <w:rtl w:val="true"/>
        </w:rPr>
        <w:t>السادسة</w:t>
      </w:r>
      <w:r>
        <w:rPr>
          <w:rtl w:val="true"/>
        </w:rPr>
        <w:t>» : «</w:t>
      </w:r>
      <w:r>
        <w:rPr>
          <w:rtl w:val="true"/>
        </w:rPr>
        <w:t>یحرم الدم المسفوح</w:t>
      </w:r>
      <w:r>
        <w:rPr>
          <w:rtl w:val="true"/>
        </w:rPr>
        <w:t>»</w:t>
      </w:r>
      <w:bookmarkEnd w:id="219"/>
    </w:p>
    <w:p>
      <w:pPr>
        <w:pStyle w:val="BookText"/>
        <w:rPr/>
      </w:pPr>
      <w:r>
        <w:rPr>
          <w:rFonts w:ascii="IRNazanin" w:hAnsi="IRNazanin" w:eastAsia="IRNazanin"/>
          <w:color w:val="111111"/>
          <w:sz w:val="28"/>
          <w:sz w:val="28"/>
          <w:szCs w:val="28"/>
          <w:rtl w:val="true"/>
          <w:lang w:bidi="fa-IR"/>
        </w:rPr>
        <w:t xml:space="preserve">أی المُنصبّ من عِرق بکثرة، من سفحت الماء إذا أهرقته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وغیره کدم القُراد </w:t>
      </w:r>
      <w:r>
        <w:rPr>
          <w:rStyle w:val="FootnoteAnchor"/>
          <w:rtl w:val="true"/>
        </w:rPr>
        <w:footnoteReference w:id="556"/>
      </w:r>
      <w:r>
        <w:rPr>
          <w:rFonts w:ascii="Amiri" w:hAnsi="Amiri" w:eastAsia="Amiri" w:cs="Amiri"/>
          <w:color w:val="111111"/>
          <w:sz w:val="28"/>
          <w:sz w:val="28"/>
          <w:szCs w:val="28"/>
          <w:rtl w:val="true"/>
          <w:lang w:bidi="ar-SA"/>
        </w:rPr>
        <w:t>وإن لم یکن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حُرِّمَتْ عَلَیْکُمُ اَلْمَیْتَةُ وَ اَلدَّمُ</w:t>
      </w:r>
      <w:r>
        <w:rPr>
          <w:rFonts w:eastAsia="Amiri" w:cs="Amiri" w:ascii="Amiri" w:hAnsi="Amiri"/>
          <w:color w:val="111111"/>
          <w:sz w:val="28"/>
          <w:szCs w:val="28"/>
          <w:rtl w:val="true"/>
          <w:lang w:bidi="ar-SA"/>
        </w:rPr>
        <w:t xml:space="preserve">) </w:t>
      </w:r>
      <w:r>
        <w:rPr>
          <w:rStyle w:val="FootnoteAnchor"/>
          <w:rtl w:val="true"/>
        </w:rPr>
        <w:footnoteReference w:id="557"/>
      </w:r>
      <w:r>
        <w:rPr>
          <w:rFonts w:ascii="IRNazanin" w:hAnsi="IRNazanin" w:eastAsia="IRNazanin"/>
          <w:color w:val="111111"/>
          <w:sz w:val="28"/>
          <w:sz w:val="28"/>
          <w:szCs w:val="28"/>
          <w:rtl w:val="true"/>
          <w:lang w:bidi="fa-IR"/>
        </w:rPr>
        <w:t xml:space="preserve">ولاستخباثه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ما یتخلّف فی اللحم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لا یقذفه المذبوح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فطاهر من المذبوح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وکان علیه أن یذکر الحلّ؛ لأنّ البحث إنّما هو فیه، ویلزمه الطهارة إن لم یذکرها 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واحترز بالمتخلّف فی اللحم عمّا یجذبه النَفَس إلی باطن الذبیحة، فإنّه حرام 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یتخلّف فی الکبد والقلب طاهر أیضاً، وهل هو حلال کالمتخلّف فی اللحم؟ 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قیل بتحریمه کان حسناً؛ للعموم</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فرق فی طهارة المتخلّف فی اللحم بین کون رأس الذبیحة منخفضاً عن جسدها وعدمه؛ للعموم خصوصاً بعد استثناء ما یتخلّف فی باطنها فی غیر اللحم</w:t>
      </w:r>
      <w:r>
        <w:rPr>
          <w:rFonts w:eastAsia="IRNazanin" w:cs="IRNazanin"/>
          <w:color w:val="111111"/>
          <w:sz w:val="28"/>
          <w:szCs w:val="28"/>
          <w:rtl w:val="true"/>
          <w:lang w:bidi="fa-IR"/>
        </w:rPr>
        <w:t>.</w:t>
      </w:r>
      <w:bookmarkStart w:id="220" w:name="pg19815_253129"/>
    </w:p>
    <w:p>
      <w:pPr>
        <w:pStyle w:val="Heading4"/>
        <w:numPr>
          <w:ilvl w:val="3"/>
          <w:numId w:val="1"/>
        </w:numPr>
        <w:rPr/>
      </w:pPr>
      <w:bookmarkStart w:id="221" w:name="__RefHeading___Toc2227841_2314609296"/>
      <w:bookmarkStart w:id="222" w:name="_Toc83"/>
      <w:bookmarkEnd w:id="220"/>
      <w:bookmarkEnd w:id="221"/>
      <w:r>
        <w:rPr>
          <w:rtl w:val="true"/>
        </w:rPr>
        <w:t>«</w:t>
      </w:r>
      <w:r>
        <w:rPr>
          <w:rtl w:val="true"/>
        </w:rPr>
        <w:t>السابعة</w:t>
      </w:r>
      <w:r>
        <w:rPr>
          <w:rtl w:val="true"/>
        </w:rPr>
        <w:t>» : «</w:t>
      </w:r>
      <w:r>
        <w:rPr>
          <w:rtl w:val="true"/>
        </w:rPr>
        <w:t>الظاهر أنّ المائعات النجسة غیر الماء</w:t>
      </w:r>
      <w:r>
        <w:rPr>
          <w:rtl w:val="true"/>
        </w:rPr>
        <w:t>»</w:t>
      </w:r>
      <w:bookmarkEnd w:id="222"/>
    </w:p>
    <w:p>
      <w:pPr>
        <w:pStyle w:val="BookText"/>
        <w:rPr/>
      </w:pPr>
      <w:r>
        <w:rPr>
          <w:rFonts w:ascii="IRNazanin" w:hAnsi="IRNazanin" w:eastAsia="IRNazanin"/>
          <w:color w:val="111111"/>
          <w:sz w:val="28"/>
          <w:sz w:val="28"/>
          <w:szCs w:val="28"/>
          <w:rtl w:val="true"/>
          <w:lang w:bidi="fa-IR"/>
        </w:rPr>
        <w:t xml:space="preserve">کالدِبس وعصیره واللبن والأدهان وغیرها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بالماء وإن کان کثیراً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دامت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باقیة علی حقیقتها بحیث لا تصیر باختلاطها بالماء الکثیر ماءً مطلقاً؛ لأنّ الذی یطهر بالماء شرطه وصول الماء إلی کلّ جزء من النجس، وما دامت متمیّزة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کلّها </w:t>
      </w:r>
      <w:r>
        <w:rPr>
          <w:rFonts w:eastAsia="IRNazanin" w:cs="IRNazanin"/>
          <w:color w:val="111111"/>
          <w:sz w:val="28"/>
          <w:szCs w:val="28"/>
          <w:rtl w:val="true"/>
          <w:lang w:bidi="fa-IR"/>
        </w:rPr>
        <w:t xml:space="preserve">] </w:t>
      </w:r>
      <w:r>
        <w:rPr>
          <w:rStyle w:val="FootnoteAnchor"/>
          <w:rtl w:val="true"/>
        </w:rPr>
        <w:footnoteReference w:id="558"/>
      </w:r>
      <w:r>
        <w:rPr>
          <w:rFonts w:ascii="IRNazanin" w:hAnsi="IRNazanin" w:eastAsia="IRNazanin"/>
          <w:color w:val="111111"/>
          <w:sz w:val="28"/>
          <w:sz w:val="28"/>
          <w:szCs w:val="28"/>
          <w:rtl w:val="true"/>
          <w:lang w:bidi="fa-IR"/>
        </w:rPr>
        <w:t>أو بعضها لا یتصوّر وصول الماء إلی کلّ جزء نجس، وإلّا لما بقیت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إذا وضعت فی الماء الکثیر، أمّا لو وصل الماء بها وهی فی محلّها، فأظهر فی عدم الطهارة قبل أن یستولی علیها أجمع؛ لأنّ أقلّ ما هناک أنّ محلّها نجس؛ لعدم إصابة الماء المطلق له أجمع، فینجس ما اتّصل به منها وإن کثر؛ لأنّ شأنها أن تنجس بإصابة النجاسة </w:t>
      </w:r>
      <w:r>
        <w:rPr>
          <w:rStyle w:val="FootnoteAnchor"/>
          <w:rtl w:val="true"/>
        </w:rPr>
        <w:footnoteReference w:id="559"/>
      </w:r>
      <w:r>
        <w:rPr>
          <w:rFonts w:ascii="Amiri" w:hAnsi="Amiri" w:eastAsia="Amiri" w:cs="Amiri"/>
          <w:color w:val="111111"/>
          <w:sz w:val="28"/>
          <w:sz w:val="28"/>
          <w:szCs w:val="28"/>
          <w:rtl w:val="true"/>
          <w:lang w:bidi="ar-SA"/>
        </w:rPr>
        <w:t>لها مطلقاً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وتوهّم طهارة محلّها وما لا یصیبه الماء منها بسبب إصابته لبعضها فی غایة البُعد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والعلّامة فی أحد قولیه أطلق الحکم بطهارتها؛ لممازجتها المطلق وإن خرج عن إطلاقه أو بقی اسمها </w:t>
      </w:r>
      <w:r>
        <w:rPr>
          <w:rStyle w:val="FootnoteAnchor"/>
          <w:rtl w:val="true"/>
        </w:rPr>
        <w:footnoteReference w:id="560"/>
      </w:r>
      <w:r>
        <w:rPr>
          <w:rFonts w:ascii="IRNazanin" w:hAnsi="IRNazanin" w:eastAsia="IRNazanin"/>
          <w:color w:val="111111"/>
          <w:sz w:val="28"/>
          <w:sz w:val="28"/>
          <w:szCs w:val="28"/>
          <w:rtl w:val="true"/>
          <w:lang w:bidi="fa-IR"/>
        </w:rPr>
        <w:t xml:space="preserve">وله قول آخر بطهارة الدهن خاصّة إذا صُبّ فی الکثیر وضُرِب فیه حتّی اختلطت أجزاؤه به </w:t>
      </w:r>
      <w:r>
        <w:rPr>
          <w:rStyle w:val="FootnoteAnchor"/>
          <w:rtl w:val="true"/>
        </w:rPr>
        <w:footnoteReference w:id="561"/>
      </w:r>
      <w:r>
        <w:rPr>
          <w:rFonts w:ascii="IRNazanin" w:hAnsi="IRNazanin" w:eastAsia="IRNazanin"/>
          <w:color w:val="111111"/>
          <w:sz w:val="28"/>
          <w:sz w:val="28"/>
          <w:szCs w:val="28"/>
          <w:rtl w:val="true"/>
          <w:lang w:bidi="fa-IR"/>
        </w:rPr>
        <w:t>وإن اجتمعت بعد ذلک علی وجهه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القول متّجه علی تقدیر فرض اختلاط جمیع أجزائه بالضرب ولم یخرج الماء المطلق عن إطلاقه</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الماء فإنّه یطهر باتّصاله بالکثیر ممازجاً له عند المصنّف </w:t>
      </w:r>
      <w:r>
        <w:rPr>
          <w:rStyle w:val="FootnoteAnchor"/>
          <w:rtl w:val="true"/>
        </w:rPr>
        <w:footnoteReference w:id="562"/>
      </w:r>
      <w:r>
        <w:rPr>
          <w:rFonts w:ascii="IRNazanin" w:hAnsi="IRNazanin" w:eastAsia="IRNazanin"/>
          <w:color w:val="111111"/>
          <w:sz w:val="28"/>
          <w:sz w:val="28"/>
          <w:szCs w:val="28"/>
          <w:rtl w:val="true"/>
          <w:lang w:bidi="fa-IR"/>
        </w:rPr>
        <w:t>أو غیر</w:t>
      </w:r>
      <w:bookmarkStart w:id="223" w:name="pg19815_253130"/>
    </w:p>
    <w:p>
      <w:pPr>
        <w:pStyle w:val="BookText"/>
        <w:rPr/>
      </w:pPr>
      <w:bookmarkEnd w:id="223"/>
      <w:r>
        <w:rPr>
          <w:rFonts w:ascii="IRNazanin" w:hAnsi="IRNazanin" w:eastAsia="IRNazanin"/>
          <w:color w:val="111111"/>
          <w:sz w:val="28"/>
          <w:sz w:val="28"/>
          <w:szCs w:val="28"/>
          <w:rtl w:val="true"/>
          <w:lang w:bidi="fa-IR"/>
        </w:rPr>
        <w:t>ممازج علی الظاهر سواء صُبّ فی الکثیر، أو وصل الکثیر به ولو فی آنیة ضیّقة الرأس مع اتّحادهما عرفاً، أو عُلوّ الکثیر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وتُلقی النجاسة وما یکتنفها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ویلاصقها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کالسمن، والدبس فی بعض الأحوال، والعجین، والباقی طاهر علی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اختلفت أحوال المائع کالسمن فی الصیف والشتاء فلکلّ حالةٍ حکمها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والمرجع فی الجمود والمیعان إلی العرف؛ لعدم تحدیده شرعاً</w:t>
      </w:r>
      <w:r>
        <w:rPr>
          <w:rFonts w:eastAsia="IRNazanin" w:cs="IRNazanin"/>
          <w:color w:val="111111"/>
          <w:sz w:val="28"/>
          <w:szCs w:val="28"/>
          <w:rtl w:val="true"/>
          <w:lang w:bidi="fa-IR"/>
        </w:rPr>
        <w:t>.</w:t>
      </w:r>
    </w:p>
    <w:p>
      <w:pPr>
        <w:pStyle w:val="Heading4"/>
        <w:numPr>
          <w:ilvl w:val="3"/>
          <w:numId w:val="1"/>
        </w:numPr>
        <w:rPr/>
      </w:pPr>
      <w:bookmarkStart w:id="224" w:name="__RefHeading___Toc2227843_2314609296"/>
      <w:bookmarkStart w:id="225" w:name="_Toc84"/>
      <w:bookmarkEnd w:id="224"/>
      <w:r>
        <w:rPr>
          <w:rtl w:val="true"/>
        </w:rPr>
        <w:t>«</w:t>
      </w:r>
      <w:r>
        <w:rPr>
          <w:rtl w:val="true"/>
        </w:rPr>
        <w:t>الثامنة</w:t>
      </w:r>
      <w:r>
        <w:rPr>
          <w:rtl w:val="true"/>
        </w:rPr>
        <w:t>» : «</w:t>
      </w:r>
      <w:r>
        <w:rPr>
          <w:rtl w:val="true"/>
        </w:rPr>
        <w:t>تحرم ألبان الحیوان المحرَّم لحمه</w:t>
      </w:r>
      <w:r>
        <w:rPr>
          <w:rtl w:val="true"/>
        </w:rPr>
        <w:t>»</w:t>
      </w:r>
      <w:bookmarkEnd w:id="225"/>
    </w:p>
    <w:p>
      <w:pPr>
        <w:pStyle w:val="BookText"/>
        <w:rPr/>
      </w:pPr>
      <w:r>
        <w:rPr>
          <w:rFonts w:ascii="IRNazanin" w:hAnsi="IRNazanin" w:eastAsia="IRNazanin"/>
          <w:color w:val="111111"/>
          <w:sz w:val="28"/>
          <w:sz w:val="28"/>
          <w:szCs w:val="28"/>
          <w:rtl w:val="true"/>
          <w:lang w:bidi="fa-IR"/>
        </w:rPr>
        <w:t xml:space="preserve">کالهرّة والذئبة واللبوة </w:t>
      </w:r>
      <w:r>
        <w:rPr>
          <w:rStyle w:val="FootnoteAnchor"/>
          <w:rtl w:val="true"/>
        </w:rPr>
        <w:footnoteReference w:id="5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ویُکره لبن المکروه لحمه کالاُتُن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بضمّ الهمزة والتاء وبسکونها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أتان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الحمارة ذکراً أو اُنثی، ولا یقال فی الاُنثی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أتانة</w:t>
      </w:r>
      <w:r>
        <w:rPr>
          <w:rFonts w:eastAsia="IRNazanin" w:cs="IRNazanin"/>
          <w:color w:val="111111"/>
          <w:sz w:val="28"/>
          <w:szCs w:val="28"/>
          <w:rtl w:val="true"/>
          <w:lang w:bidi="fa-IR"/>
        </w:rPr>
        <w:t>.</w:t>
      </w:r>
    </w:p>
    <w:p>
      <w:pPr>
        <w:pStyle w:val="Heading4"/>
        <w:numPr>
          <w:ilvl w:val="3"/>
          <w:numId w:val="1"/>
        </w:numPr>
        <w:rPr/>
      </w:pPr>
      <w:bookmarkStart w:id="226" w:name="__RefHeading___Toc2227845_2314609296"/>
      <w:bookmarkStart w:id="227" w:name="_Toc85"/>
      <w:bookmarkEnd w:id="226"/>
      <w:r>
        <w:rPr>
          <w:rtl w:val="true"/>
        </w:rPr>
        <w:t>«</w:t>
      </w:r>
      <w:r>
        <w:rPr>
          <w:rtl w:val="true"/>
        </w:rPr>
        <w:t>التاسعة</w:t>
      </w:r>
      <w:r>
        <w:rPr>
          <w:rtl w:val="true"/>
        </w:rPr>
        <w:t>» : «</w:t>
      </w:r>
      <w:r>
        <w:rPr>
          <w:rtl w:val="true"/>
        </w:rPr>
        <w:t>استبراء اللحم المجهول ذکاته</w:t>
      </w:r>
      <w:r>
        <w:rPr>
          <w:rtl w:val="true"/>
        </w:rPr>
        <w:t>» «</w:t>
      </w:r>
      <w:r>
        <w:rPr>
          <w:rtl w:val="true"/>
        </w:rPr>
        <w:t>المشهور</w:t>
      </w:r>
      <w:r>
        <w:rPr>
          <w:rtl w:val="true"/>
        </w:rPr>
        <w:t>»</w:t>
      </w:r>
      <w:bookmarkEnd w:id="227"/>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بین الأصحاب بل قال فی الدروس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کاد أن یکون إجماعاً </w:t>
      </w:r>
      <w:r>
        <w:rPr>
          <w:rStyle w:val="FootnoteAnchor"/>
          <w:rtl w:val="true"/>
        </w:rPr>
        <w:footnoteReference w:id="564"/>
      </w:r>
      <w:r>
        <w:rPr>
          <w:rFonts w:ascii="IRNazanin" w:hAnsi="IRNazanin" w:eastAsia="IRNazanin"/>
          <w:color w:val="111111"/>
          <w:sz w:val="28"/>
          <w:sz w:val="28"/>
          <w:szCs w:val="28"/>
          <w:rtl w:val="true"/>
          <w:lang w:bidi="fa-IR"/>
        </w:rPr>
        <w:t xml:space="preserve">لوجدانه مطروحاً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بانقباضه بالنار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طرحه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مذکّی، وإلّا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ینقبض بل انبسط واتّسع وبقی علی حاله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فمیتة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والمستند روایة شعیب عن الصادق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رجل دخل قریة فأصاب بها لحماً لم یدرِ أذکیّ هو أم میّت؟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فاطرحه علی النار فکلّما انقبض فهو ذکیّ، وکلّما انبسط فهو میت</w:t>
      </w:r>
      <w:r>
        <w:rPr>
          <w:rFonts w:eastAsia="IRNazanin" w:cs="IRNazanin"/>
          <w:color w:val="111111"/>
          <w:sz w:val="28"/>
          <w:szCs w:val="28"/>
          <w:rtl w:val="true"/>
          <w:lang w:bidi="fa-IR"/>
        </w:rPr>
        <w:t xml:space="preserve">» </w:t>
      </w:r>
      <w:r>
        <w:rPr>
          <w:rStyle w:val="FootnoteAnchor"/>
          <w:rtl w:val="true"/>
        </w:rPr>
        <w:footnoteReference w:id="565"/>
      </w:r>
      <w:r>
        <w:rPr>
          <w:rFonts w:ascii="IRNazanin" w:hAnsi="IRNazanin" w:eastAsia="IRNazanin"/>
          <w:color w:val="111111"/>
          <w:sz w:val="28"/>
          <w:sz w:val="28"/>
          <w:szCs w:val="28"/>
          <w:rtl w:val="true"/>
          <w:lang w:bidi="fa-IR"/>
        </w:rPr>
        <w:t>وعمل بمضمونها المصنّف فی</w:t>
      </w:r>
    </w:p>
    <w:p>
      <w:pPr>
        <w:pStyle w:val="BookText"/>
        <w:rPr/>
      </w:pPr>
      <w:r>
        <w:rPr>
          <w:rFonts w:ascii="IRNazanin" w:hAnsi="IRNazanin" w:eastAsia="IRNazanin"/>
          <w:color w:val="111111"/>
          <w:sz w:val="28"/>
          <w:sz w:val="28"/>
          <w:szCs w:val="28"/>
          <w:rtl w:val="true"/>
          <w:lang w:bidi="fa-IR"/>
        </w:rPr>
        <w:t xml:space="preserve">الدروس </w:t>
      </w:r>
      <w:r>
        <w:rPr>
          <w:rStyle w:val="FootnoteAnchor"/>
          <w:rtl w:val="true"/>
        </w:rPr>
        <w:footnoteReference w:id="566"/>
      </w:r>
      <w:r>
        <w:rPr>
          <w:rFonts w:ascii="Amiri" w:hAnsi="Amiri" w:eastAsia="Amiri" w:cs="Amiri"/>
          <w:color w:val="111111"/>
          <w:sz w:val="28"/>
          <w:sz w:val="28"/>
          <w:szCs w:val="28"/>
          <w:rtl w:val="true"/>
          <w:lang w:bidi="ar-SA"/>
        </w:rPr>
        <w:t xml:space="preserve">وردّها العلّامة </w:t>
      </w:r>
      <w:r>
        <w:rPr>
          <w:rStyle w:val="FootnoteAnchor"/>
          <w:rtl w:val="true"/>
        </w:rPr>
        <w:footnoteReference w:id="567"/>
      </w:r>
      <w:r>
        <w:rPr>
          <w:rFonts w:ascii="IRNazanin" w:hAnsi="IRNazanin" w:eastAsia="IRNazanin"/>
          <w:color w:val="111111"/>
          <w:sz w:val="28"/>
          <w:sz w:val="28"/>
          <w:szCs w:val="28"/>
          <w:rtl w:val="true"/>
          <w:lang w:bidi="fa-IR"/>
        </w:rPr>
        <w:t xml:space="preserve">والمحقّق فی أحد قولیه </w:t>
      </w:r>
      <w:r>
        <w:rPr>
          <w:rStyle w:val="FootnoteAnchor"/>
          <w:rtl w:val="true"/>
        </w:rPr>
        <w:footnoteReference w:id="568"/>
      </w:r>
      <w:r>
        <w:rPr>
          <w:rFonts w:ascii="IRNazanin" w:hAnsi="IRNazanin" w:eastAsia="IRNazanin"/>
          <w:color w:val="111111"/>
          <w:sz w:val="28"/>
          <w:sz w:val="28"/>
          <w:szCs w:val="28"/>
          <w:rtl w:val="true"/>
          <w:lang w:bidi="fa-IR"/>
        </w:rPr>
        <w:t xml:space="preserve">لمخالفتها للأصل، وهو عدم التذکیة، مع أنّ فی طریق الروایة ضعفاً </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والأقوی تحریمه مطلقاً، قال فی الدروس تفریعاً علی 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ویمکن اعتبار المختلط بذلک، إلّاأنّ الأصحاب والأخبار أهملت ذلک </w:t>
      </w:r>
      <w:r>
        <w:rPr>
          <w:rStyle w:val="FootnoteAnchor"/>
          <w:rtl w:val="true"/>
        </w:rPr>
        <w:footnoteReference w:id="570"/>
      </w:r>
      <w:r>
        <w:rPr>
          <w:rFonts w:ascii="IRNazanin" w:hAnsi="IRNazanin" w:eastAsia="IRNazanin"/>
          <w:color w:val="111111"/>
          <w:sz w:val="28"/>
          <w:sz w:val="28"/>
          <w:szCs w:val="28"/>
          <w:rtl w:val="true"/>
          <w:lang w:bidi="fa-IR"/>
        </w:rPr>
        <w:t>وهذا الاحتمال ضعیف؛ لأنّ المختلط یُعلم أنّ فیه میتاً یقیناً مع کونه محصوراً، فاجتناب الجمیع متعیّن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ما یحتمل کونه بأجمعه مذکّی، فلا یصحّ حمله علیه مع وجود الفارق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المشهور لو کان اللحم قِطَعاً متعدّدة، فلا بدّ من اعتبار کلّ قطعة علی حدة لإمکان کونه من حیوان متعدّد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فرض العلم بکونه متّحداً جاز اختلاف حکمه، بأن یکون قد قطع بعضه منه قبلَ التذکیة</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فرق علی القولین بین وجود محلّ التذکیة ورؤیته مذبوحاً أو منحوراً، وعدمه؛ لأنّ الذبح والنحر بمجرّدهما لا یستلزمان الحلّ؛ لجواز تخلّف بعض الشروط، وکذا لو وُجِد الحیوان غیر مذبوح ولا منحور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لکنّه مضروب بالحدید فی بعض جسده؛ لجواز کونه قد استعصی فذُکِّی کیف اتّفق حیث یجوز فی حقّه</w:t>
      </w:r>
      <w:bookmarkStart w:id="228" w:name="pg19815_253132"/>
    </w:p>
    <w:p>
      <w:pPr>
        <w:pStyle w:val="BookText"/>
        <w:rPr/>
      </w:pPr>
      <w:bookmarkEnd w:id="228"/>
      <w:r>
        <w:rPr>
          <w:rFonts w:ascii="IRNazanin" w:hAnsi="IRNazanin" w:eastAsia="IRNazanin"/>
          <w:color w:val="111111"/>
          <w:sz w:val="28"/>
          <w:sz w:val="28"/>
          <w:szCs w:val="28"/>
          <w:rtl w:val="true"/>
          <w:lang w:bidi="fa-IR"/>
        </w:rPr>
        <w:t>ذلک، وبالجملة فالشرط إمکان کونه مذکّی علی وجه یبیح لحمه</w:t>
      </w:r>
      <w:r>
        <w:rPr>
          <w:rFonts w:eastAsia="IRNazanin" w:cs="IRNazanin"/>
          <w:color w:val="111111"/>
          <w:sz w:val="28"/>
          <w:szCs w:val="28"/>
          <w:rtl w:val="true"/>
          <w:lang w:bidi="fa-IR"/>
        </w:rPr>
        <w:t>.</w:t>
      </w:r>
    </w:p>
    <w:p>
      <w:pPr>
        <w:pStyle w:val="Heading4"/>
        <w:numPr>
          <w:ilvl w:val="3"/>
          <w:numId w:val="1"/>
        </w:numPr>
        <w:rPr/>
      </w:pPr>
      <w:bookmarkStart w:id="229" w:name="__RefHeading___Toc2227847_2314609296"/>
      <w:bookmarkStart w:id="230" w:name="_Toc86"/>
      <w:bookmarkEnd w:id="229"/>
      <w:r>
        <w:rPr>
          <w:rtl w:val="true"/>
        </w:rPr>
        <w:t>«</w:t>
      </w:r>
      <w:r>
        <w:rPr>
          <w:rtl w:val="true"/>
        </w:rPr>
        <w:t>العاشرة</w:t>
      </w:r>
      <w:r>
        <w:rPr>
          <w:rtl w:val="true"/>
        </w:rPr>
        <w:t>» : «</w:t>
      </w:r>
      <w:r>
        <w:rPr>
          <w:rtl w:val="true"/>
        </w:rPr>
        <w:t>لا یجوز استعمال شعر الخنزیر</w:t>
      </w:r>
      <w:r>
        <w:rPr>
          <w:rtl w:val="true"/>
        </w:rPr>
        <w:t>»</w:t>
      </w:r>
      <w:bookmarkEnd w:id="230"/>
    </w:p>
    <w:p>
      <w:pPr>
        <w:pStyle w:val="BookText"/>
        <w:rPr/>
      </w:pPr>
      <w:r>
        <w:rPr>
          <w:rFonts w:ascii="IRNazanin" w:hAnsi="IRNazanin" w:eastAsia="IRNazanin"/>
          <w:color w:val="111111"/>
          <w:sz w:val="28"/>
          <w:sz w:val="28"/>
          <w:szCs w:val="28"/>
          <w:rtl w:val="true"/>
          <w:lang w:bidi="fa-IR"/>
        </w:rPr>
        <w:t xml:space="preserve">کغیره من أجزائه مطلقاً وإن حلّت من المیتة غیره، ومثله الکلب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اضطرّ إلی استعمال شعر الخنزیر استعمل ما لا دَسَم فیه وغسل 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الاستعمال، ویزول عنه الدَسَم بأن یُلقی فی فخّار </w:t>
      </w:r>
      <w:r>
        <w:rPr>
          <w:rStyle w:val="FootnoteAnchor"/>
          <w:rtl w:val="true"/>
        </w:rPr>
        <w:footnoteReference w:id="571"/>
      </w:r>
      <w:r>
        <w:rPr>
          <w:rFonts w:ascii="IRNazanin" w:hAnsi="IRNazanin" w:eastAsia="IRNazanin"/>
          <w:color w:val="111111"/>
          <w:sz w:val="28"/>
          <w:sz w:val="28"/>
          <w:szCs w:val="28"/>
          <w:rtl w:val="true"/>
          <w:lang w:bidi="fa-IR"/>
        </w:rPr>
        <w:t>ویجعل فی النار حتّی یذهب دسمه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بُرد الإسکاف عن الصادق علیه السلام </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وقیل </w:t>
      </w:r>
      <w:r>
        <w:rPr>
          <w:rStyle w:val="FootnoteAnchor"/>
          <w:rtl w:val="true"/>
        </w:rPr>
        <w:footnoteReference w:id="5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یجوز استعماله مطلقاً </w:t>
      </w:r>
      <w:r>
        <w:rPr>
          <w:rStyle w:val="FootnoteAnchor"/>
          <w:rtl w:val="true"/>
        </w:rPr>
        <w:footnoteReference w:id="574"/>
      </w:r>
      <w:r>
        <w:rPr>
          <w:rFonts w:ascii="IRNazanin" w:hAnsi="IRNazanin" w:eastAsia="IRNazanin"/>
          <w:color w:val="111111"/>
          <w:sz w:val="28"/>
          <w:sz w:val="28"/>
          <w:szCs w:val="28"/>
          <w:rtl w:val="true"/>
          <w:lang w:bidi="fa-IR"/>
        </w:rPr>
        <w:t>لإطلاق روایة سلیمان الإسکاف، لکن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نّه یغسل یده إذا أراد أن یصلّی</w:t>
      </w:r>
      <w:r>
        <w:rPr>
          <w:rFonts w:eastAsia="IRNazanin" w:cs="IRNazanin"/>
          <w:color w:val="111111"/>
          <w:sz w:val="28"/>
          <w:szCs w:val="28"/>
          <w:rtl w:val="true"/>
          <w:lang w:bidi="fa-IR"/>
        </w:rPr>
        <w:t xml:space="preserve">» </w:t>
      </w:r>
      <w:r>
        <w:rPr>
          <w:rStyle w:val="FootnoteAnchor"/>
          <w:rtl w:val="true"/>
        </w:rPr>
        <w:footnoteReference w:id="575"/>
      </w:r>
      <w:r>
        <w:rPr>
          <w:rFonts w:ascii="IRNazanin" w:hAnsi="IRNazanin" w:eastAsia="IRNazanin"/>
          <w:color w:val="111111"/>
          <w:sz w:val="28"/>
          <w:sz w:val="28"/>
          <w:szCs w:val="28"/>
          <w:rtl w:val="true"/>
          <w:lang w:bidi="fa-IR"/>
        </w:rPr>
        <w:t>والإسکافان مجهولان، فالقول بالجواز مع الضرورة حسن وبدونها ممتنع؛ لإطلاق تحریم الخنزیر الشامل لموضع النزاع، وإنّما یجب غَسل یده مع مباشرته برطوبة کغیره من النجاسات</w:t>
      </w:r>
      <w:r>
        <w:rPr>
          <w:rFonts w:eastAsia="IRNazanin" w:cs="IRNazanin"/>
          <w:color w:val="111111"/>
          <w:sz w:val="28"/>
          <w:szCs w:val="28"/>
          <w:rtl w:val="true"/>
          <w:lang w:bidi="fa-IR"/>
        </w:rPr>
        <w:t>.</w:t>
      </w:r>
    </w:p>
    <w:p>
      <w:pPr>
        <w:pStyle w:val="Heading4"/>
        <w:numPr>
          <w:ilvl w:val="3"/>
          <w:numId w:val="1"/>
        </w:numPr>
        <w:rPr/>
      </w:pPr>
      <w:bookmarkStart w:id="231" w:name="__RefHeading___Toc2227849_2314609296"/>
      <w:bookmarkStart w:id="232" w:name="_Toc87"/>
      <w:bookmarkEnd w:id="231"/>
      <w:r>
        <w:rPr>
          <w:rtl w:val="true"/>
        </w:rPr>
        <w:t>«</w:t>
      </w:r>
      <w:r>
        <w:rPr>
          <w:rtl w:val="true"/>
        </w:rPr>
        <w:t>الحادیة عشرة</w:t>
      </w:r>
      <w:r>
        <w:rPr>
          <w:rtl w:val="true"/>
        </w:rPr>
        <w:t>» : «</w:t>
      </w:r>
      <w:r>
        <w:rPr>
          <w:rtl w:val="true"/>
        </w:rPr>
        <w:t>لا یجوز</w:t>
      </w:r>
      <w:r>
        <w:rPr>
          <w:rtl w:val="true"/>
        </w:rPr>
        <w:t xml:space="preserve">» </w:t>
      </w:r>
      <w:r>
        <w:rPr>
          <w:rtl w:val="true"/>
        </w:rPr>
        <w:t xml:space="preserve">لأحد </w:t>
      </w:r>
      <w:r>
        <w:rPr>
          <w:rtl w:val="true"/>
        </w:rPr>
        <w:t>«</w:t>
      </w:r>
      <w:r>
        <w:rPr>
          <w:rtl w:val="true"/>
        </w:rPr>
        <w:t>الأکل من مال غیره</w:t>
      </w:r>
      <w:r>
        <w:rPr>
          <w:rtl w:val="true"/>
        </w:rPr>
        <w:t>»</w:t>
      </w:r>
      <w:bookmarkEnd w:id="232"/>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ممّن یُحترم مالُه وإن کان کافراً أو ناصبیّاً، أو غیره من الفرق بغیر إذنه؛ لقبح التصرّف فی مال الغیر کذلک، ولأ نّه أکل مال بالباطل، ولقوله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المسلم علی المسلم حرام دمه وماله وعِرضه</w:t>
      </w:r>
      <w:r>
        <w:rPr>
          <w:rFonts w:eastAsia="IRNazanin" w:cs="IRNazanin"/>
          <w:color w:val="111111"/>
          <w:sz w:val="28"/>
          <w:szCs w:val="28"/>
          <w:rtl w:val="true"/>
          <w:lang w:bidi="fa-IR"/>
        </w:rPr>
        <w:t xml:space="preserve">» </w:t>
      </w:r>
      <w:r>
        <w:rPr>
          <w:rStyle w:val="FootnoteAnchor"/>
          <w:rtl w:val="true"/>
        </w:rPr>
        <w:footnoteReference w:id="5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من بیوت من تضمّنته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عَلَی</w:t>
      </w:r>
    </w:p>
    <w:p>
      <w:pPr>
        <w:pStyle w:val="BookText"/>
        <w:rPr/>
      </w:pPr>
      <w:r>
        <w:rPr>
          <w:rFonts w:ascii="Amiri" w:hAnsi="Amiri" w:eastAsia="Amiri" w:cs="Amiri"/>
          <w:color w:val="111111"/>
          <w:sz w:val="28"/>
          <w:sz w:val="28"/>
          <w:szCs w:val="28"/>
          <w:rtl w:val="true"/>
          <w:lang w:bidi="ar-SA"/>
        </w:rPr>
        <w:t>أَنْفُسِکُمْ أَنْ تَأْکُلُوا مِنْ بُیُوتِکُمْ أَوْ بُیُوتِ آبٰائِکُمْ أَوْ بُیُوتِ أُمَّهٰاتِکُمْ أَوْ بُیُوتِ إِخْوٰانِکُمْ أَوْ بُیُوتِ أَخَوٰاتِکُمْ أَوْ بُیُوتِ أَعْمٰامِکُمْ أَوْ بُیُوتِ عَمّٰاتِکُمْ أَوْ بُیُوتِ أَخْوٰالِکُمْ أَوْ بُیُوتِ خٰالاٰتِکُمْ أَوْ مٰا مَلَکْتُمْ مَفٰاتِحَهُ أَوْ صَدِیقِکُمْ</w:t>
      </w:r>
      <w:r>
        <w:rPr>
          <w:rFonts w:eastAsia="Amiri" w:cs="Amiri" w:ascii="Amiri" w:hAnsi="Amiri"/>
          <w:color w:val="111111"/>
          <w:sz w:val="28"/>
          <w:szCs w:val="28"/>
          <w:rtl w:val="true"/>
          <w:lang w:bidi="ar-SA"/>
        </w:rPr>
        <w:t xml:space="preserve">) </w:t>
      </w:r>
      <w:r>
        <w:rPr>
          <w:rStyle w:val="FootnoteAnchor"/>
          <w:rtl w:val="true"/>
        </w:rPr>
        <w:footnoteReference w:id="577"/>
      </w:r>
      <w:r>
        <w:rPr>
          <w:rFonts w:ascii="IRNazanin" w:hAnsi="IRNazanin" w:eastAsia="IRNazanin"/>
          <w:color w:val="111111"/>
          <w:sz w:val="28"/>
          <w:sz w:val="28"/>
          <w:szCs w:val="28"/>
          <w:rtl w:val="true"/>
          <w:lang w:bidi="fa-IR"/>
        </w:rPr>
        <w:t xml:space="preserve">فیجوز الأکل من بیوت المذکورین مع حضورهم وغیبتهم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إلّامع علم الکراهة </w:t>
      </w:r>
      <w:r>
        <w:rPr>
          <w:rStyle w:val="FootnoteAnchor"/>
          <w:rtl w:val="true"/>
        </w:rPr>
        <w:footnoteReference w:id="5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بالقرائن الحالیّة بحیث تثمر الظنّ الغالب بالکراهة، فإنّ ذلک کافٍ فی هذا ونظائره، ویطلق علیه العلم کثیراً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فرق بین ما یُخشی فساده فی هذه البیوت وغیره، ولا بین دخوله بإذنه وعدمه، عملاً بإطلاق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خلافاً لابن إدریس فیهما </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ویجب الاقتصار علی مجرّد الأکل، فلا یجوز الحمل، ولا إطعام الغیر، ولا الإفساد، بشهادة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یتعدّی الحکم إلی غیر البیوت من أموالهم، اقتصاراً فیما خالف الأصل علی مورده، ولا إلی تناول غیر المأکول، إلّاأن یدلّ علیه الأکل بمفهوم الموافقة کالشرب من مائه والوضوء به، أو یدلّ علیه بالالتزام کالکون بها حالتَه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وهل یجوز دخولها لغیره، أو الکون بها بعده وقبله؟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تحریم التصرّف فی مال الغیر إلّاما استثنی، ومن دلالة القرائن علی تجویز مثل ذلک من المنافع التی لا یذهب من المال بسببها شیء حیث جاز إتلافه بما ذکر</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والمراد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بُیُوتِکُمْ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یملکه الآکل؛ لأنّه حقیقة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ویمکن أن تکون</w:t>
      </w:r>
    </w:p>
    <w:p>
      <w:pPr>
        <w:pStyle w:val="BookText"/>
        <w:rPr/>
      </w:pPr>
      <w:r>
        <w:rPr>
          <w:rFonts w:ascii="IRNazanin" w:hAnsi="IRNazanin" w:eastAsia="IRNazanin"/>
          <w:color w:val="111111"/>
          <w:sz w:val="28"/>
          <w:sz w:val="28"/>
          <w:szCs w:val="28"/>
          <w:rtl w:val="true"/>
          <w:lang w:bidi="fa-IR"/>
        </w:rPr>
        <w:t>النکتة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ظهور إباحته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الإشارة إلی مساواة ما ذکر له فی الإباحة، والتنبیه علی أنّ الأقارب المذکورین والصدیق ینبغی جعلهم کالنفس فی أن یحبّ لهم ما یحبّ لها، ویکره لهم ما یکره لها، کما جعل بیوتهم کبیته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بیت الأزواج والعیال </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الأولاد </w:t>
      </w:r>
      <w:r>
        <w:rPr>
          <w:rStyle w:val="FootnoteAnchor"/>
          <w:rtl w:val="true"/>
        </w:rPr>
        <w:footnoteReference w:id="581"/>
      </w:r>
      <w:r>
        <w:rPr>
          <w:rFonts w:ascii="IRNazanin" w:hAnsi="IRNazanin" w:eastAsia="IRNazanin"/>
          <w:color w:val="111111"/>
          <w:sz w:val="28"/>
          <w:sz w:val="28"/>
          <w:szCs w:val="28"/>
          <w:rtl w:val="true"/>
          <w:lang w:bidi="fa-IR"/>
        </w:rPr>
        <w:t xml:space="preserve">لأنّهم لم یُذکروا فی الأقارب مع أ نّهم أولی منهم بالمودّة والموافقة، ولأنّ ولد الرجل بعضه وحکمه حکم نفسه وهو وماله لأبیه </w:t>
      </w:r>
      <w:r>
        <w:rPr>
          <w:rStyle w:val="FootnoteAnchor"/>
          <w:rtl w:val="true"/>
        </w:rPr>
        <w:footnoteReference w:id="582"/>
      </w:r>
      <w:r>
        <w:rPr>
          <w:rFonts w:ascii="IRNazanin" w:hAnsi="IRNazanin" w:eastAsia="IRNazanin"/>
          <w:color w:val="111111"/>
          <w:sz w:val="28"/>
          <w:sz w:val="28"/>
          <w:szCs w:val="28"/>
          <w:rtl w:val="true"/>
          <w:lang w:bidi="fa-IR"/>
        </w:rPr>
        <w:t>فجاز نسبة بیته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أطیب ما یأکل الرجل من کسبه، وإنّ ولده من کسبه</w:t>
      </w:r>
      <w:r>
        <w:rPr>
          <w:rFonts w:eastAsia="IRNazanin" w:cs="IRNazanin"/>
          <w:color w:val="111111"/>
          <w:sz w:val="28"/>
          <w:szCs w:val="28"/>
          <w:rtl w:val="true"/>
          <w:lang w:bidi="fa-IR"/>
        </w:rPr>
        <w:t xml:space="preserve">» </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والمراد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مَلَکْتُمْ مَفٰاتِحَهُ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یکون علیها وکیلاً أو قیّماً یحفظها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واُطلق علی ذلک ملک المفاتح؛ لکونها فی یده وحفظه، روی ذلک ابن أبی عمیر مرسلاً عن الصادق علیه السلام </w:t>
      </w:r>
      <w:r>
        <w:rPr>
          <w:rStyle w:val="FootnoteAnchor"/>
          <w:rtl w:val="true"/>
        </w:rPr>
        <w:footnoteReference w:id="584"/>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بیت المملوک </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والمعنیّ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صَدِیقِکُمْ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بیوت صدیقکم علی حذف المضاف، والصدیق یکون واحداً وجمعاً، فلذلک جمع البیوت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ومثله الخلیط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والمرجع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العرف؛ لعدم تحدیده شرعاً، وفی صحیحة الحلبی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عبد اللّٰه علیه السلام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یعنی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صدیقکم؟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واللّٰه الرجل یدخل بیت صدیقه فیأکل بغیر إذنه</w:t>
      </w:r>
      <w:r>
        <w:rPr>
          <w:rFonts w:eastAsia="IRNazanin" w:cs="IRNazanin"/>
          <w:color w:val="111111"/>
          <w:sz w:val="28"/>
          <w:szCs w:val="28"/>
          <w:rtl w:val="true"/>
          <w:lang w:bidi="fa-IR"/>
        </w:rPr>
        <w:t xml:space="preserve">» </w:t>
      </w:r>
      <w:r>
        <w:rPr>
          <w:rStyle w:val="FootnoteAnchor"/>
          <w:rtl w:val="true"/>
        </w:rPr>
        <w:footnoteReference w:id="586"/>
      </w:r>
      <w:r>
        <w:rPr>
          <w:rFonts w:ascii="IRNazanin" w:hAnsi="IRNazanin" w:eastAsia="IRNazanin"/>
          <w:color w:val="111111"/>
          <w:sz w:val="28"/>
          <w:sz w:val="28"/>
          <w:szCs w:val="28"/>
          <w:rtl w:val="true"/>
          <w:lang w:bidi="fa-IR"/>
        </w:rPr>
        <w:t>وعنه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عِظَم حرمة الصدیق أن جُعل له من الاُنس والتفقّد والانبساط وطرح الحِشمة بمنزلة النفس والأب والأخ والابن</w:t>
      </w:r>
      <w:r>
        <w:rPr>
          <w:rFonts w:eastAsia="IRNazanin" w:cs="IRNazanin"/>
          <w:color w:val="111111"/>
          <w:sz w:val="28"/>
          <w:szCs w:val="28"/>
          <w:rtl w:val="true"/>
          <w:lang w:bidi="fa-IR"/>
        </w:rPr>
        <w:t xml:space="preserve">» </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والمتبادر من المذکورین کونهم کذلک بالنسب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إلحاق من کان منهم کذلک بالرضاع 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حیث 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الرضاع لُحمة کلُحمة النسب</w:t>
      </w:r>
      <w:r>
        <w:rPr>
          <w:rFonts w:eastAsia="IRNazanin" w:cs="IRNazanin"/>
          <w:color w:val="111111"/>
          <w:sz w:val="28"/>
          <w:szCs w:val="28"/>
          <w:rtl w:val="true"/>
          <w:lang w:bidi="fa-IR"/>
        </w:rPr>
        <w:t xml:space="preserve">» </w:t>
      </w:r>
      <w:r>
        <w:rPr>
          <w:rStyle w:val="FootnoteAnchor"/>
          <w:rtl w:val="true"/>
        </w:rPr>
        <w:footnoteReference w:id="588"/>
      </w:r>
      <w:r>
        <w:rPr>
          <w:rFonts w:ascii="IRNazanin" w:hAnsi="IRNazanin" w:eastAsia="IRNazanin"/>
          <w:color w:val="111111"/>
          <w:sz w:val="28"/>
          <w:sz w:val="28"/>
          <w:szCs w:val="28"/>
          <w:rtl w:val="true"/>
          <w:lang w:bidi="fa-IR"/>
        </w:rPr>
        <w:t>ولمساواته له فی کثیر من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ووجه العدم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المتبادر النَسَبی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أقف فیه علی شیء نفیاً وإثباتاً، والاحتیاط التمسّک بأصالة الحرمة فی موضع الشکّ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وألحق بعض الأصحاب الشریک فی الشجر والزرع والمباطخ </w:t>
      </w:r>
      <w:r>
        <w:rPr>
          <w:rStyle w:val="FootnoteAnchor"/>
          <w:rtl w:val="true"/>
        </w:rPr>
        <w:footnoteReference w:id="589"/>
      </w:r>
      <w:r>
        <w:rPr>
          <w:rFonts w:ascii="Amiri" w:hAnsi="Amiri" w:eastAsia="Amiri" w:cs="Amiri"/>
          <w:color w:val="111111"/>
          <w:sz w:val="28"/>
          <w:sz w:val="28"/>
          <w:szCs w:val="28"/>
          <w:rtl w:val="true"/>
          <w:lang w:bidi="ar-SA"/>
        </w:rPr>
        <w:t>فإنّ له الأکل من المشترک بدون إذن شریکه مع عدم علم الکراهة، محتجّاً بقوله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تَکُونَ تِجٰارَةً عَنْ تَرٰاضٍ مِنْکُمْ</w:t>
      </w:r>
      <w:r>
        <w:rPr>
          <w:rFonts w:eastAsia="Amiri" w:cs="Amiri" w:ascii="Amiri" w:hAnsi="Amiri"/>
          <w:color w:val="111111"/>
          <w:sz w:val="28"/>
          <w:szCs w:val="28"/>
          <w:rtl w:val="true"/>
          <w:lang w:bidi="ar-SA"/>
        </w:rPr>
        <w:t xml:space="preserve">) </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وفیه نظر؛ لمنع تحقّق التراضی مطلقاً، وجعلها صفة للتجارة یقتضی جواز الأکل من کلّ تجارة وقع فیها التراضی بینهما، وهو معلوم البطلان</w:t>
      </w:r>
      <w:r>
        <w:rPr>
          <w:rFonts w:eastAsia="IRNazanin" w:cs="IRNazanin"/>
          <w:color w:val="111111"/>
          <w:sz w:val="28"/>
          <w:szCs w:val="28"/>
          <w:rtl w:val="true"/>
          <w:lang w:bidi="fa-IR"/>
        </w:rPr>
        <w:t>.</w:t>
      </w:r>
      <w:bookmarkStart w:id="233" w:name="pg19815_253136"/>
    </w:p>
    <w:p>
      <w:pPr>
        <w:pStyle w:val="BookText"/>
        <w:rPr/>
      </w:pPr>
      <w:bookmarkEnd w:id="233"/>
      <w:r>
        <w:rPr>
          <w:rFonts w:ascii="IRNazanin" w:hAnsi="IRNazanin" w:eastAsia="IRNazanin"/>
          <w:color w:val="111111"/>
          <w:sz w:val="28"/>
          <w:sz w:val="28"/>
          <w:szCs w:val="28"/>
          <w:rtl w:val="true"/>
          <w:lang w:bidi="fa-IR"/>
        </w:rPr>
        <w:t xml:space="preserve">وألحق المصنّف </w:t>
      </w:r>
      <w:r>
        <w:rPr>
          <w:rStyle w:val="FootnoteAnchor"/>
          <w:rtl w:val="true"/>
        </w:rPr>
        <w:footnoteReference w:id="591"/>
      </w:r>
      <w:r>
        <w:rPr>
          <w:rFonts w:ascii="IRNazanin" w:hAnsi="IRNazanin" w:eastAsia="IRNazanin"/>
          <w:color w:val="111111"/>
          <w:sz w:val="28"/>
          <w:sz w:val="28"/>
          <w:szCs w:val="28"/>
          <w:rtl w:val="true"/>
          <w:lang w:bidi="fa-IR"/>
        </w:rPr>
        <w:t xml:space="preserve">وغیره </w:t>
      </w:r>
      <w:r>
        <w:rPr>
          <w:rStyle w:val="FootnoteAnchor"/>
          <w:rtl w:val="true"/>
        </w:rPr>
        <w:footnoteReference w:id="592"/>
      </w:r>
      <w:r>
        <w:rPr>
          <w:rFonts w:ascii="IRNazanin" w:hAnsi="IRNazanin" w:eastAsia="IRNazanin"/>
          <w:color w:val="111111"/>
          <w:sz w:val="28"/>
          <w:sz w:val="28"/>
          <w:szCs w:val="28"/>
          <w:rtl w:val="true"/>
          <w:lang w:bidi="fa-IR"/>
        </w:rPr>
        <w:t>الشرب من القناة المملوکة والدالیة والدولاب والوضوء والغسل، عملاً بشاهد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حسن إلّاأن یغلب علی الظنّ الکراهة</w:t>
      </w:r>
      <w:r>
        <w:rPr>
          <w:rFonts w:eastAsia="IRNazanin" w:cs="IRNazanin"/>
          <w:color w:val="111111"/>
          <w:sz w:val="28"/>
          <w:szCs w:val="28"/>
          <w:rtl w:val="true"/>
          <w:lang w:bidi="fa-IR"/>
        </w:rPr>
        <w:t>.</w:t>
      </w:r>
    </w:p>
    <w:p>
      <w:pPr>
        <w:pStyle w:val="Heading4"/>
        <w:numPr>
          <w:ilvl w:val="3"/>
          <w:numId w:val="1"/>
        </w:numPr>
        <w:rPr/>
      </w:pPr>
      <w:bookmarkStart w:id="234" w:name="__RefHeading___Toc2227851_2314609296"/>
      <w:bookmarkStart w:id="235" w:name="_Toc88"/>
      <w:bookmarkEnd w:id="234"/>
      <w:r>
        <w:rPr>
          <w:rtl w:val="true"/>
        </w:rPr>
        <w:t>«</w:t>
      </w:r>
      <w:r>
        <w:rPr>
          <w:rtl w:val="true"/>
        </w:rPr>
        <w:t>الثانیة عشرة</w:t>
      </w:r>
      <w:r>
        <w:rPr>
          <w:rtl w:val="true"/>
        </w:rPr>
        <w:t>» : «</w:t>
      </w:r>
      <w:r>
        <w:rPr>
          <w:rtl w:val="true"/>
        </w:rPr>
        <w:t>إذا انقلب الخمر خَلّاً حَلّ</w:t>
      </w:r>
      <w:r>
        <w:rPr>
          <w:rtl w:val="true"/>
        </w:rPr>
        <w:t>»</w:t>
      </w:r>
      <w:bookmarkEnd w:id="235"/>
    </w:p>
    <w:p>
      <w:pPr>
        <w:pStyle w:val="BookText"/>
        <w:rPr/>
      </w:pPr>
      <w:r>
        <w:rPr>
          <w:rFonts w:ascii="IRNazanin" w:hAnsi="IRNazanin" w:eastAsia="IRNazanin"/>
          <w:color w:val="111111"/>
          <w:sz w:val="28"/>
          <w:sz w:val="28"/>
          <w:szCs w:val="28"/>
          <w:rtl w:val="true"/>
          <w:lang w:bidi="fa-IR"/>
        </w:rPr>
        <w:t xml:space="preserve">لزوال المعنی المحرّم وللنصّ </w:t>
      </w:r>
      <w:r>
        <w:rPr>
          <w:rStyle w:val="FootnoteAnchor"/>
          <w:rtl w:val="true"/>
        </w:rPr>
        <w:footnoteReference w:id="5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انقلابه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بعلاج أو من قبل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وسواء کانت عین المعالج به باقیة فیه أم لا؛ لإطلاق النصّ </w:t>
      </w:r>
      <w:r>
        <w:rPr>
          <w:rStyle w:val="FootnoteAnchor"/>
          <w:rtl w:val="true"/>
        </w:rPr>
        <w:footnoteReference w:id="594"/>
      </w:r>
      <w:r>
        <w:rPr>
          <w:rFonts w:ascii="IRNazanin" w:hAnsi="IRNazanin" w:eastAsia="IRNazanin"/>
          <w:color w:val="111111"/>
          <w:sz w:val="28"/>
          <w:sz w:val="28"/>
          <w:szCs w:val="28"/>
          <w:rtl w:val="true"/>
          <w:lang w:bidi="fa-IR"/>
        </w:rPr>
        <w:t xml:space="preserve">والفتوی </w:t>
      </w:r>
      <w:r>
        <w:rPr>
          <w:rStyle w:val="FootnoteAnchor"/>
          <w:rtl w:val="true"/>
        </w:rPr>
        <w:footnoteReference w:id="595"/>
      </w:r>
      <w:r>
        <w:rPr>
          <w:rFonts w:ascii="IRNazanin" w:hAnsi="IRNazanin" w:eastAsia="IRNazanin"/>
          <w:color w:val="111111"/>
          <w:sz w:val="28"/>
          <w:sz w:val="28"/>
          <w:szCs w:val="28"/>
          <w:rtl w:val="true"/>
          <w:lang w:bidi="fa-IR"/>
        </w:rPr>
        <w:t>بجواز علاجه بغیره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وبطهره یطهر ما فیه من الأعیان وآلته</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لکن یکره علاجه بغیره </w:t>
      </w:r>
      <w:r>
        <w:rPr>
          <w:rStyle w:val="FootnoteAnchor"/>
          <w:rtl w:val="true"/>
        </w:rPr>
        <w:footnoteReference w:id="596"/>
      </w:r>
      <w:r>
        <w:rPr>
          <w:rFonts w:ascii="IRNazanin" w:hAnsi="IRNazanin" w:eastAsia="IRNazanin"/>
          <w:color w:val="111111"/>
          <w:sz w:val="28"/>
          <w:sz w:val="28"/>
          <w:szCs w:val="28"/>
          <w:rtl w:val="true"/>
          <w:lang w:bidi="fa-IR"/>
        </w:rPr>
        <w:t xml:space="preserve">للنهی عنه فی روایة أبی بصیر عن أبی عبد اللّٰه علیه السلام </w:t>
      </w:r>
      <w:r>
        <w:rPr>
          <w:rStyle w:val="FootnoteAnchor"/>
          <w:rtl w:val="true"/>
        </w:rPr>
        <w:footnoteReference w:id="597"/>
      </w:r>
      <w:r>
        <w:rPr>
          <w:rFonts w:ascii="IRNazanin" w:hAnsi="IRNazanin" w:eastAsia="IRNazanin"/>
          <w:color w:val="111111"/>
          <w:sz w:val="28"/>
          <w:sz w:val="28"/>
          <w:szCs w:val="28"/>
          <w:rtl w:val="true"/>
          <w:lang w:bidi="fa-IR"/>
        </w:rPr>
        <w:t xml:space="preserve">ولا أعلم لأصحابنا خلافاً فی ذلک </w:t>
      </w:r>
      <w:r>
        <w:rPr>
          <w:rStyle w:val="FootnoteAnchor"/>
          <w:rtl w:val="true"/>
        </w:rPr>
        <w:footnoteReference w:id="598"/>
      </w:r>
      <w:r>
        <w:rPr>
          <w:rFonts w:ascii="IRNazanin" w:hAnsi="IRNazanin" w:eastAsia="IRNazanin"/>
          <w:color w:val="111111"/>
          <w:sz w:val="28"/>
          <w:sz w:val="28"/>
          <w:szCs w:val="28"/>
          <w:rtl w:val="true"/>
          <w:lang w:bidi="fa-IR"/>
        </w:rPr>
        <w:t xml:space="preserve">فی الجملة وإن اختلفوا فی بعض أفراده </w:t>
      </w:r>
      <w:r>
        <w:rPr>
          <w:rStyle w:val="FootnoteAnchor"/>
          <w:rtl w:val="true"/>
        </w:rPr>
        <w:footnoteReference w:id="599"/>
      </w:r>
      <w:r>
        <w:rPr>
          <w:rFonts w:ascii="IRNazanin" w:hAnsi="IRNazanin" w:eastAsia="IRNazanin"/>
          <w:color w:val="111111"/>
          <w:sz w:val="28"/>
          <w:sz w:val="28"/>
          <w:szCs w:val="28"/>
          <w:rtl w:val="true"/>
          <w:lang w:bidi="fa-IR"/>
        </w:rPr>
        <w:t xml:space="preserve">ولولا ذلک أمکن استفادة عدم طهارته بالعلاج من بعض النصوص </w:t>
      </w:r>
      <w:r>
        <w:rPr>
          <w:rStyle w:val="FootnoteAnchor"/>
          <w:rtl w:val="true"/>
        </w:rPr>
        <w:footnoteReference w:id="600"/>
      </w:r>
      <w:bookmarkStart w:id="236" w:name="pg19815_253137"/>
    </w:p>
    <w:p>
      <w:pPr>
        <w:pStyle w:val="BookText"/>
        <w:rPr/>
      </w:pPr>
      <w:bookmarkEnd w:id="236"/>
      <w:r>
        <w:rPr>
          <w:rFonts w:ascii="IRNazanin" w:hAnsi="IRNazanin" w:eastAsia="IRNazanin"/>
          <w:color w:val="111111"/>
          <w:sz w:val="28"/>
          <w:sz w:val="28"/>
          <w:szCs w:val="28"/>
          <w:rtl w:val="true"/>
          <w:lang w:bidi="fa-IR"/>
        </w:rPr>
        <w:t xml:space="preserve">کما یقوله بعض العامّة </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وإنّما تطهر النجاسة الخمریّة، فلو کان نجساً بغیرها ولو بعلاجه بنجس کمباشرة الکافر له لم یطهر بالخَلّیّة، وکذا لو اُلقی فی الخلّ خمر حتّی استهلکه الخلّ، أو بالعکس علی الأشهر</w:t>
      </w:r>
      <w:r>
        <w:rPr>
          <w:rFonts w:eastAsia="IRNazanin" w:cs="IRNazanin"/>
          <w:color w:val="111111"/>
          <w:sz w:val="28"/>
          <w:szCs w:val="28"/>
          <w:rtl w:val="true"/>
          <w:lang w:bidi="fa-IR"/>
        </w:rPr>
        <w:t>.</w:t>
      </w:r>
    </w:p>
    <w:p>
      <w:pPr>
        <w:pStyle w:val="Heading4"/>
        <w:numPr>
          <w:ilvl w:val="3"/>
          <w:numId w:val="1"/>
        </w:numPr>
        <w:rPr/>
      </w:pPr>
      <w:bookmarkStart w:id="237" w:name="__RefHeading___Toc2227853_2314609296"/>
      <w:bookmarkStart w:id="238" w:name="_Toc89"/>
      <w:bookmarkEnd w:id="237"/>
      <w:r>
        <w:rPr>
          <w:rtl w:val="true"/>
        </w:rPr>
        <w:t>«</w:t>
      </w:r>
      <w:r>
        <w:rPr>
          <w:rtl w:val="true"/>
        </w:rPr>
        <w:t>الثالثة عشرة</w:t>
      </w:r>
      <w:r>
        <w:rPr>
          <w:rtl w:val="true"/>
        </w:rPr>
        <w:t>» : «</w:t>
      </w:r>
      <w:r>
        <w:rPr>
          <w:rtl w:val="true"/>
        </w:rPr>
        <w:t>لا یحرم شرب الربوبات وإن شُمّ منها ریح المسکر کربّ التُفّاح</w:t>
      </w:r>
      <w:r>
        <w:rPr>
          <w:rtl w:val="true"/>
        </w:rPr>
        <w:t>»</w:t>
      </w:r>
      <w:bookmarkEnd w:id="238"/>
    </w:p>
    <w:p>
      <w:pPr>
        <w:pStyle w:val="BookText"/>
        <w:rPr/>
      </w:pPr>
      <w:r>
        <w:rPr>
          <w:rFonts w:ascii="IRNazanin" w:hAnsi="IRNazanin" w:eastAsia="IRNazanin"/>
          <w:color w:val="111111"/>
          <w:sz w:val="28"/>
          <w:sz w:val="28"/>
          <w:szCs w:val="28"/>
          <w:rtl w:val="true"/>
          <w:lang w:bidi="fa-IR"/>
        </w:rPr>
        <w:t xml:space="preserve">ورُبّ السفرجل والاُتُرج والسکنجبین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وشبهه؛ لعدم إسکاره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قلیله وکثیره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وأصالة 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روی الشیخ وغیره عن جعفر بن أحمد المکفوف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کتبت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أبا الحسن الأوّل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أسأله عن السکنجبین والجلّاب ورُبّ التوت ورُبّ التُفّاح ورُبّ الرُمّان؟ فکتب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w:t>
      </w:r>
      <w:r>
        <w:rPr>
          <w:rFonts w:eastAsia="IRNazanin" w:cs="IRNazanin"/>
          <w:color w:val="111111"/>
          <w:sz w:val="28"/>
          <w:szCs w:val="28"/>
          <w:rtl w:val="true"/>
          <w:lang w:bidi="fa-IR"/>
        </w:rPr>
        <w:t xml:space="preserve">» </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9" w:name="__RefHeading___Toc2227855_2314609296"/>
      <w:bookmarkStart w:id="240" w:name="_Toc90"/>
      <w:bookmarkEnd w:id="239"/>
      <w:r>
        <w:rPr>
          <w:rtl w:val="true"/>
        </w:rPr>
        <w:t>«</w:t>
      </w:r>
      <w:r>
        <w:rPr>
          <w:rtl w:val="true"/>
        </w:rPr>
        <w:t>الرابعة عشرة</w:t>
      </w:r>
      <w:r>
        <w:rPr>
          <w:rtl w:val="true"/>
        </w:rPr>
        <w:t>» : «</w:t>
      </w:r>
      <w:r>
        <w:rPr>
          <w:rtl w:val="true"/>
        </w:rPr>
        <w:t>یجوز عند الاضطرار تناول المحرَّم</w:t>
      </w:r>
      <w:r>
        <w:rPr>
          <w:rtl w:val="true"/>
        </w:rPr>
        <w:t>»</w:t>
      </w:r>
      <w:bookmarkEnd w:id="240"/>
    </w:p>
    <w:p>
      <w:pPr>
        <w:pStyle w:val="BookText"/>
        <w:rPr/>
      </w:pPr>
      <w:r>
        <w:rPr>
          <w:rFonts w:ascii="IRNazanin" w:hAnsi="IRNazanin" w:eastAsia="IRNazanin"/>
          <w:color w:val="111111"/>
          <w:sz w:val="28"/>
          <w:sz w:val="28"/>
          <w:szCs w:val="28"/>
          <w:rtl w:val="true"/>
          <w:lang w:bidi="fa-IR"/>
        </w:rPr>
        <w:t xml:space="preserve">من المیتة والخمر وغیرهما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خوف التلف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التناول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زیادته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الضعف المؤدّی إلی التخلّف عن الرفقة مع ظهور أمارة العطب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تقدیر التخلّف</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ومقتضی هذا الإطلاق عدم الفرق بین الخمر وغیره من المحرَّمات فی جواز تناولها عند الاضطرار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فی غیر الخمر موضع وفاق، أمّا فیها فقد قیل</w:t>
      </w:r>
    </w:p>
    <w:p>
      <w:pPr>
        <w:pStyle w:val="BookText"/>
        <w:rPr/>
      </w:pPr>
      <w:r>
        <w:rPr>
          <w:rFonts w:ascii="IRNazanin" w:hAnsi="IRNazanin" w:eastAsia="IRNazanin"/>
          <w:color w:val="111111"/>
          <w:sz w:val="28"/>
          <w:sz w:val="28"/>
          <w:szCs w:val="28"/>
          <w:rtl w:val="true"/>
          <w:lang w:bidi="fa-IR"/>
        </w:rPr>
        <w:t xml:space="preserve">بالمنع مطلقاً </w:t>
      </w:r>
      <w:r>
        <w:rPr>
          <w:rStyle w:val="FootnoteAnchor"/>
          <w:rtl w:val="true"/>
        </w:rPr>
        <w:footnoteReference w:id="603"/>
      </w:r>
      <w:r>
        <w:rPr>
          <w:rFonts w:ascii="IRNazanin" w:hAnsi="IRNazanin" w:eastAsia="IRNazanin"/>
          <w:color w:val="111111"/>
          <w:sz w:val="28"/>
          <w:sz w:val="28"/>
          <w:szCs w:val="28"/>
          <w:rtl w:val="true"/>
          <w:lang w:bidi="fa-IR"/>
        </w:rPr>
        <w:t xml:space="preserve">وبالجواز مع عدم قیام غیرها مقامها </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وظاهر العبارة ومصرَّح الدروس </w:t>
      </w:r>
      <w:r>
        <w:rPr>
          <w:rStyle w:val="FootnoteAnchor"/>
          <w:rtl w:val="true"/>
        </w:rPr>
        <w:footnoteReference w:id="605"/>
      </w:r>
      <w:r>
        <w:rPr>
          <w:rFonts w:ascii="IRNazanin" w:hAnsi="IRNazanin" w:eastAsia="IRNazanin"/>
          <w:color w:val="111111"/>
          <w:sz w:val="28"/>
          <w:sz w:val="28"/>
          <w:szCs w:val="28"/>
          <w:rtl w:val="true"/>
          <w:lang w:bidi="fa-IR"/>
        </w:rPr>
        <w:t xml:space="preserve">جواز استعمالها للضرورة مطلقاً حتّی للدواء کالتریاق، والاکتحال؛ لعموم الآیة </w:t>
      </w:r>
      <w:r>
        <w:rPr>
          <w:rStyle w:val="FootnoteAnchor"/>
          <w:rtl w:val="true"/>
        </w:rPr>
        <w:footnoteReference w:id="606"/>
      </w:r>
      <w:r>
        <w:rPr>
          <w:rFonts w:ascii="IRNazanin" w:hAnsi="IRNazanin" w:eastAsia="IRNazanin"/>
          <w:color w:val="111111"/>
          <w:sz w:val="28"/>
          <w:sz w:val="28"/>
          <w:szCs w:val="28"/>
          <w:rtl w:val="true"/>
          <w:lang w:bidi="fa-IR"/>
        </w:rPr>
        <w:t>الدالّة علی جواز تناول المضطرّ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والأخبار کثیرة فی المنع من استعمالها مطلقاً </w:t>
      </w:r>
      <w:r>
        <w:rPr>
          <w:rStyle w:val="FootnoteAnchor"/>
          <w:rtl w:val="true"/>
        </w:rPr>
        <w:footnoteReference w:id="607"/>
      </w:r>
      <w:r>
        <w:rPr>
          <w:rFonts w:ascii="IRNazanin" w:hAnsi="IRNazanin" w:eastAsia="IRNazanin"/>
          <w:color w:val="111111"/>
          <w:sz w:val="28"/>
          <w:sz w:val="28"/>
          <w:szCs w:val="28"/>
          <w:rtl w:val="true"/>
          <w:lang w:bidi="fa-IR"/>
        </w:rPr>
        <w:t>حتّی الاکتحال، وفی بعضها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تعالی لم یجعل فی شیء ممّا حرّم دواء ولا شفاء</w:t>
      </w:r>
      <w:r>
        <w:rPr>
          <w:rFonts w:eastAsia="IRNazanin" w:cs="IRNazanin"/>
          <w:color w:val="111111"/>
          <w:sz w:val="28"/>
          <w:szCs w:val="28"/>
          <w:rtl w:val="true"/>
          <w:lang w:bidi="fa-IR"/>
        </w:rPr>
        <w:t xml:space="preserve">» </w:t>
      </w:r>
      <w:r>
        <w:rPr>
          <w:rStyle w:val="FootnoteAnchor"/>
          <w:rtl w:val="true"/>
        </w:rPr>
        <w:footnoteReference w:id="608"/>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من اکتحل بمیل من مسکر کحّله اللّٰه بمیل من نار</w:t>
      </w:r>
      <w:r>
        <w:rPr>
          <w:rFonts w:eastAsia="IRNazanin" w:cs="IRNazanin"/>
          <w:color w:val="111111"/>
          <w:sz w:val="28"/>
          <w:szCs w:val="28"/>
          <w:rtl w:val="true"/>
          <w:lang w:bidi="fa-IR"/>
        </w:rPr>
        <w:t xml:space="preserve">» </w:t>
      </w:r>
      <w:r>
        <w:rPr>
          <w:rStyle w:val="FootnoteAnchor"/>
          <w:rtl w:val="true"/>
        </w:rPr>
        <w:footnoteReference w:id="609"/>
      </w:r>
      <w:r>
        <w:rPr>
          <w:rFonts w:ascii="IRNazanin" w:hAnsi="IRNazanin" w:eastAsia="IRNazanin"/>
          <w:color w:val="111111"/>
          <w:sz w:val="28"/>
          <w:sz w:val="28"/>
          <w:szCs w:val="28"/>
          <w:rtl w:val="true"/>
          <w:lang w:bidi="fa-IR"/>
        </w:rPr>
        <w:t xml:space="preserve">والمصنّف حملها علی الاختیار </w:t>
      </w:r>
      <w:r>
        <w:rPr>
          <w:rStyle w:val="FootnoteAnchor"/>
          <w:rtl w:val="true"/>
        </w:rPr>
        <w:footnoteReference w:id="610"/>
      </w:r>
      <w:r>
        <w:rPr>
          <w:rFonts w:ascii="IRNazanin" w:hAnsi="IRNazanin" w:eastAsia="IRNazanin"/>
          <w:color w:val="111111"/>
          <w:sz w:val="28"/>
          <w:sz w:val="28"/>
          <w:szCs w:val="28"/>
          <w:rtl w:val="true"/>
          <w:lang w:bidi="fa-IR"/>
        </w:rPr>
        <w:t xml:space="preserve">والعلّامة علی طلب الصحّة لا طلب السلامة من التلف </w:t>
      </w:r>
      <w:r>
        <w:rPr>
          <w:rStyle w:val="FootnoteAnchor"/>
          <w:rtl w:val="true"/>
        </w:rPr>
        <w:footnoteReference w:id="611"/>
      </w:r>
      <w:r>
        <w:rPr>
          <w:rFonts w:ascii="IRNazanin" w:hAnsi="IRNazanin" w:eastAsia="IRNazanin"/>
          <w:color w:val="111111"/>
          <w:sz w:val="28"/>
          <w:sz w:val="28"/>
          <w:szCs w:val="28"/>
          <w:rtl w:val="true"/>
          <w:lang w:bidi="fa-IR"/>
        </w:rPr>
        <w:t>وعلی ما سیأتی من وجوب الاقتصار علی حفظ الرمق هما متساویان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قام غیرها مقامها وإن کان محرّماً قُدّم علیها؛ لإطلاق النهی الکثیر عنها فی الأخبار </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یُرخَّص الباغی، وهو الخارج علی الإمام العادل،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یبغی</w:t>
      </w:r>
    </w:p>
    <w:p>
      <w:pPr>
        <w:pStyle w:val="BookText"/>
        <w:rPr/>
      </w:pPr>
      <w:r>
        <w:rPr>
          <w:rFonts w:ascii="IRNazanin" w:hAnsi="IRNazanin" w:eastAsia="IRNazanin"/>
          <w:color w:val="111111"/>
          <w:sz w:val="28"/>
          <w:sz w:val="28"/>
          <w:szCs w:val="28"/>
          <w:rtl w:val="true"/>
          <w:lang w:bidi="fa-IR"/>
        </w:rPr>
        <w:t xml:space="preserve">المیتة </w:t>
      </w:r>
      <w:r>
        <w:rPr>
          <w:rStyle w:val="FootnoteAnchor"/>
          <w:rtl w:val="true"/>
        </w:rPr>
        <w:footnoteReference w:id="6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یرغب فی أکلها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والأوّل أظهر؛ لأنّه معناه شرعاً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العادی وهو قاطع الطریق،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یعدو شبَعَه </w:t>
      </w:r>
      <w:r>
        <w:rPr>
          <w:rStyle w:val="FootnoteAnchor"/>
          <w:rtl w:val="true"/>
        </w:rPr>
        <w:footnoteReference w:id="6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یتجاوزه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والأوّل هو الأشهر والمرویّ، لکن بطریق ضعیف مرسل </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ویمکن ترجیحه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الثانی </w:t>
      </w:r>
      <w:r>
        <w:rPr>
          <w:rFonts w:eastAsia="IRNazanin" w:cs="IRNazanin"/>
          <w:color w:val="111111"/>
          <w:sz w:val="28"/>
          <w:szCs w:val="28"/>
          <w:rtl w:val="true"/>
          <w:lang w:bidi="fa-IR"/>
        </w:rPr>
        <w:t xml:space="preserve">] </w:t>
      </w:r>
      <w:r>
        <w:rPr>
          <w:rStyle w:val="FootnoteAnchor"/>
          <w:rtl w:val="true"/>
        </w:rPr>
        <w:footnoteReference w:id="616"/>
      </w:r>
      <w:r>
        <w:rPr>
          <w:rFonts w:ascii="IRNazanin" w:hAnsi="IRNazanin" w:eastAsia="IRNazanin"/>
          <w:color w:val="111111"/>
          <w:sz w:val="28"/>
          <w:sz w:val="28"/>
          <w:szCs w:val="28"/>
          <w:rtl w:val="true"/>
          <w:lang w:bidi="fa-IR"/>
        </w:rPr>
        <w:t>بأنّ تخصیص آیة الاضطرار علی خلاف الأصل، فیُقتصر فیه علی موضع الیقین، وقاطع الطریق عادٍ فی المعصیة فی الجملة، فیختصّ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ونقل الطبرسی أ نّه باغی اللذّة وعادی سدّ الجوعة، أو عادٍ بالمعصیة، أو باغٍ فی الإفراط وعادٍ فی التقصیر </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وإنّما یجوز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تناول المحرَّم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یحفظ الرَمَق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بقیّة الروح، والمراد وجوب الاقتصار علی حفظ النفس من التلف، ولا یجوز التجاوز إلی الشَبَع مع الغنی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احتاج إلیه للمشی أو العَدْو أو إلی التزوّد منه لوقت آخر جاز، وهو حینئذٍ من جملة ما یسدّ الرمق</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وعلی هذا فیختصّ خوف المرض السابق </w:t>
      </w:r>
      <w:r>
        <w:rPr>
          <w:rStyle w:val="FootnoteAnchor"/>
          <w:rtl w:val="true"/>
        </w:rPr>
        <w:footnoteReference w:id="618"/>
      </w:r>
      <w:r>
        <w:rPr>
          <w:rFonts w:ascii="Amiri" w:hAnsi="Amiri" w:eastAsia="Amiri" w:cs="Amiri"/>
          <w:color w:val="111111"/>
          <w:sz w:val="28"/>
          <w:sz w:val="28"/>
          <w:szCs w:val="28"/>
          <w:rtl w:val="true"/>
          <w:lang w:bidi="ar-SA"/>
        </w:rPr>
        <w:t>بما یؤدّی إلی التلف ولو ظنّاً،</w:t>
      </w:r>
    </w:p>
    <w:p>
      <w:pPr>
        <w:pStyle w:val="BookText"/>
        <w:rPr/>
      </w:pPr>
      <w:r>
        <w:rPr>
          <w:rFonts w:ascii="IRNazanin" w:hAnsi="IRNazanin" w:eastAsia="IRNazanin"/>
          <w:color w:val="111111"/>
          <w:sz w:val="28"/>
          <w:sz w:val="28"/>
          <w:szCs w:val="28"/>
          <w:rtl w:val="true"/>
          <w:lang w:bidi="fa-IR"/>
        </w:rPr>
        <w:t>لا مطلق المرض، أو یخصّ هذا بتناوله للغذاء الضروری، لا للمرض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أولی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وجد میتة وطعامَ الغیر، فطعام الغیر أولی إن بذله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بغیر عوض أو بعوض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المضطرّ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قادر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الحال أو فی وقت طلبه، سواء کان بقدر ثمن مثله أم أزید علی ما یقتضیه الإطلاق، وهو أحد القولین </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یجب بذل الزائد عن ثمن مثله </w:t>
      </w:r>
      <w:r>
        <w:rPr>
          <w:rStyle w:val="FootnoteAnchor"/>
          <w:rtl w:val="true"/>
        </w:rPr>
        <w:footnoteReference w:id="620"/>
      </w:r>
      <w:r>
        <w:rPr>
          <w:rFonts w:ascii="IRNazanin" w:hAnsi="IRNazanin" w:eastAsia="IRNazanin"/>
          <w:color w:val="111111"/>
          <w:sz w:val="28"/>
          <w:sz w:val="28"/>
          <w:szCs w:val="28"/>
          <w:rtl w:val="true"/>
          <w:lang w:bidi="fa-IR"/>
        </w:rPr>
        <w:t>وإن اشتراه به کراهةً للفتنة، ولأ نّه کالمکرَه علی الشراء بل له قتاله لو امتنع من بذله، ولو قُتل اُهدر دمه، وکذا لو تعذّر علیه الثمن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والأقوی وجوب دفع الزائد مع القدرة؛ لأنّه غیر مضطرّ حینئذٍ والناس مسلَّطون علی أموالهم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یکن کذلک بأن لم یبذله مالکه أصلاً، أو بذله بعوض یعجز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أکل المیتة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وجدها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وهل هو علی سبیل الحتم أو التخییر بینه وبین أکل طعام الغیر علی تقدیر قدرته علی قهره علیه؟ ظاهر العبارة الأوّل</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وقیل بالثانی </w:t>
      </w:r>
      <w:r>
        <w:rPr>
          <w:rStyle w:val="FootnoteAnchor"/>
          <w:rtl w:val="true"/>
        </w:rPr>
        <w:footnoteReference w:id="621"/>
      </w:r>
      <w:r>
        <w:rPr>
          <w:rFonts w:ascii="IRNazanin" w:hAnsi="IRNazanin" w:eastAsia="IRNazanin"/>
          <w:color w:val="111111"/>
          <w:sz w:val="28"/>
          <w:sz w:val="28"/>
          <w:szCs w:val="28"/>
          <w:rtl w:val="true"/>
          <w:lang w:bidi="fa-IR"/>
        </w:rPr>
        <w:t>لاشتراکهما حینئذٍ فی التحریم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الدروس إنّه مع قدرته علی قهر الغیر علی طعامه بالثمن أو بدونه مع تعذّره لا یجوز له أکل المیتة، بل یأکل الطعام ویضمنه لمالکه، فإن تعذّر علیه قهره أکل المیتة </w:t>
      </w:r>
      <w:r>
        <w:rPr>
          <w:rStyle w:val="FootnoteAnchor"/>
          <w:rtl w:val="true"/>
        </w:rPr>
        <w:footnoteReference w:id="622"/>
      </w:r>
      <w:r>
        <w:rPr>
          <w:rFonts w:ascii="IRNazanin" w:hAnsi="IRNazanin" w:eastAsia="IRNazanin"/>
          <w:color w:val="111111"/>
          <w:sz w:val="28"/>
          <w:sz w:val="28"/>
          <w:szCs w:val="28"/>
          <w:rtl w:val="true"/>
          <w:lang w:bidi="fa-IR"/>
        </w:rPr>
        <w:t>وهو حسن؛ لأنّ تحریم مال الغیر عرضیّ، بخلاف المیتة وقد زال بالاضطرار</w:t>
      </w:r>
      <w:bookmarkStart w:id="241" w:name="pg19815_253141"/>
    </w:p>
    <w:p>
      <w:pPr>
        <w:pStyle w:val="BookText"/>
        <w:rPr/>
      </w:pPr>
      <w:bookmarkEnd w:id="241"/>
      <w:r>
        <w:rPr>
          <w:rFonts w:ascii="IRNazanin" w:hAnsi="IRNazanin" w:eastAsia="IRNazanin"/>
          <w:color w:val="111111"/>
          <w:sz w:val="28"/>
          <w:sz w:val="28"/>
          <w:szCs w:val="28"/>
          <w:rtl w:val="true"/>
          <w:lang w:bidi="fa-IR"/>
        </w:rPr>
        <w:t>فیکون أولی من المیتة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حینئذٍ لا یضمن الطعام </w:t>
      </w:r>
      <w:r>
        <w:rPr>
          <w:rStyle w:val="FootnoteAnchor"/>
          <w:rtl w:val="true"/>
        </w:rPr>
        <w:footnoteReference w:id="623"/>
      </w:r>
      <w:r>
        <w:rPr>
          <w:rFonts w:ascii="IRNazanin" w:hAnsi="IRNazanin" w:eastAsia="IRNazanin"/>
          <w:color w:val="111111"/>
          <w:sz w:val="28"/>
          <w:sz w:val="28"/>
          <w:szCs w:val="28"/>
          <w:rtl w:val="true"/>
          <w:lang w:bidi="fa-IR"/>
        </w:rPr>
        <w:t>للإذن فی تناوله شرعاً بغیر عوض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والأوّل أقوی جمعاً بین الحقّین، وحینئذٍ فاللازم مثله أو قیمته، وإن کان یجب بذل أزید لو سمح به المالک </w:t>
      </w:r>
      <w:r>
        <w:rPr>
          <w:rStyle w:val="FootnoteAnchor"/>
          <w:rtl w:val="true"/>
        </w:rPr>
        <w:footnoteReference w:id="6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والفرق أنّ ذلک </w:t>
      </w:r>
      <w:r>
        <w:rPr>
          <w:rStyle w:val="FootnoteAnchor"/>
          <w:rtl w:val="true"/>
        </w:rPr>
        <w:footnoteReference w:id="625"/>
      </w:r>
      <w:r>
        <w:rPr>
          <w:rFonts w:ascii="IRNazanin" w:hAnsi="IRNazanin" w:eastAsia="IRNazanin"/>
          <w:color w:val="111111"/>
          <w:sz w:val="28"/>
          <w:sz w:val="28"/>
          <w:szCs w:val="28"/>
          <w:rtl w:val="true"/>
          <w:lang w:bidi="fa-IR"/>
        </w:rPr>
        <w:t xml:space="preserve">کان علی وجه المعاوضة الاختیاریّة، وهذا </w:t>
      </w:r>
      <w:r>
        <w:rPr>
          <w:rStyle w:val="FootnoteAnchor"/>
          <w:rtl w:val="true"/>
        </w:rPr>
        <w:footnoteReference w:id="626"/>
      </w:r>
      <w:r>
        <w:rPr>
          <w:rFonts w:ascii="IRNazanin" w:hAnsi="IRNazanin" w:eastAsia="IRNazanin"/>
          <w:color w:val="111111"/>
          <w:sz w:val="28"/>
          <w:sz w:val="28"/>
          <w:szCs w:val="28"/>
          <w:rtl w:val="true"/>
          <w:lang w:bidi="fa-IR"/>
        </w:rPr>
        <w:t>علی وجه إتلاف مال الغیر بغیر إذنه، وموجبه شرعاً هو المثل أو القیمة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وحیث تباح له المیتة فمیتة المأکول أولی من غیره، ومذبوح ما یقع علیه الذکاة أولی منهما، ومذبوح الکافر والناصب أولی من الجمیع</w:t>
      </w:r>
      <w:r>
        <w:rPr>
          <w:rFonts w:eastAsia="IRNazanin" w:cs="IRNazanin"/>
          <w:color w:val="111111"/>
          <w:sz w:val="28"/>
          <w:szCs w:val="28"/>
          <w:rtl w:val="true"/>
          <w:lang w:bidi="fa-IR"/>
        </w:rPr>
        <w:t>.</w:t>
      </w:r>
    </w:p>
    <w:p>
      <w:pPr>
        <w:pStyle w:val="Heading4"/>
        <w:numPr>
          <w:ilvl w:val="3"/>
          <w:numId w:val="1"/>
        </w:numPr>
        <w:rPr/>
      </w:pPr>
      <w:bookmarkStart w:id="242" w:name="__RefHeading___Toc2227857_2314609296"/>
      <w:bookmarkStart w:id="243" w:name="_Toc91"/>
      <w:bookmarkEnd w:id="242"/>
      <w:r>
        <w:rPr>
          <w:rtl w:val="true"/>
        </w:rPr>
        <w:t>«</w:t>
      </w:r>
      <w:r>
        <w:rPr>
          <w:rtl w:val="true"/>
        </w:rPr>
        <w:t>الخامسة عشرة</w:t>
      </w:r>
      <w:r>
        <w:rPr>
          <w:rtl w:val="true"/>
        </w:rPr>
        <w:t>» : «</w:t>
      </w:r>
      <w:r>
        <w:rPr>
          <w:rtl w:val="true"/>
        </w:rPr>
        <w:t>یستحبّ غسل الیدین</w:t>
      </w:r>
      <w:bookmarkEnd w:id="24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الخامسة عشرة</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یستحبّ غسل الیدین </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 وإن کان الأکل بإحداهما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الطعام وبعده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 النبیّ صلی الله علیه و آله و سلم أ 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أوّله ینفی الفقر وآخره ینفی الهمّ</w:t>
      </w:r>
      <w:r>
        <w:rPr>
          <w:rFonts w:eastAsia="IRNazanin" w:cs="IRNazanin"/>
          <w:color w:val="111111"/>
          <w:sz w:val="28"/>
          <w:szCs w:val="28"/>
          <w:rtl w:val="true"/>
          <w:lang w:bidi="fa-IR"/>
        </w:rPr>
        <w:t xml:space="preserve">» </w:t>
      </w:r>
      <w:r>
        <w:rPr>
          <w:rStyle w:val="FootnoteAnchor"/>
          <w:rtl w:val="true"/>
        </w:rPr>
        <w:footnoteReference w:id="628"/>
      </w:r>
      <w:r>
        <w:rPr>
          <w:rFonts w:ascii="IRNazanin" w:hAnsi="IRNazanin" w:eastAsia="IRNazanin"/>
          <w:color w:val="111111"/>
          <w:sz w:val="28"/>
          <w:sz w:val="28"/>
          <w:szCs w:val="28"/>
          <w:rtl w:val="true"/>
          <w:lang w:bidi="fa-IR"/>
        </w:rPr>
        <w:t>وقال 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غسل الیدین قبل الطعام وبعده زیادة فی العمر، وإماطة للغَمَر عن الثیاب، ویجلو فی البصر</w:t>
      </w:r>
      <w:r>
        <w:rPr>
          <w:rFonts w:eastAsia="IRNazanin" w:cs="IRNazanin"/>
          <w:color w:val="111111"/>
          <w:sz w:val="28"/>
          <w:szCs w:val="28"/>
          <w:rtl w:val="true"/>
          <w:lang w:bidi="fa-IR"/>
        </w:rPr>
        <w:t xml:space="preserve">» </w:t>
      </w:r>
      <w:r>
        <w:rPr>
          <w:rStyle w:val="FootnoteAnchor"/>
          <w:rtl w:val="true"/>
        </w:rPr>
        <w:footnoteReference w:id="629"/>
      </w:r>
      <w:r>
        <w:rPr>
          <w:rFonts w:ascii="IRNazanin" w:hAnsi="IRNazanin" w:eastAsia="IRNazanin"/>
          <w:color w:val="111111"/>
          <w:sz w:val="28"/>
          <w:sz w:val="28"/>
          <w:szCs w:val="28"/>
          <w:rtl w:val="true"/>
          <w:lang w:bidi="fa-IR"/>
        </w:rPr>
        <w:t>وقال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غسل یده قبل الطعام وبعده عاش فی سعة، وعُوفی من بلوی جسده</w:t>
      </w:r>
      <w:r>
        <w:rPr>
          <w:rFonts w:eastAsia="IRNazanin" w:cs="IRNazanin"/>
          <w:color w:val="111111"/>
          <w:sz w:val="28"/>
          <w:szCs w:val="28"/>
          <w:rtl w:val="true"/>
          <w:lang w:bidi="fa-IR"/>
        </w:rPr>
        <w:t xml:space="preserve">» </w:t>
      </w:r>
      <w:r>
        <w:rPr>
          <w:rStyle w:val="FootnoteAnchor"/>
          <w:rtl w:val="true"/>
        </w:rPr>
        <w:footnoteReference w:id="6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ومسحُهما بالمندیل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ونحوه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الغَسل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ما بعد الطعام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لا تزال البرکة فی الطعام ما دامت النداوة فی الید </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والتسمیة عند الشروع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الأکل، فعن النبیّ صلی الله علیه و آله أ 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وضعت المائدة حفّها أربعة آلاف ملک، فإذا قال العبد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قالت الملائکة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بارک اللّٰه علیکم فی طعامکم، ثمّ یقولون للشیطان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اخرج یا فاسق لا سلطان لک علیهم، فإذا فرغوا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قالت الملائکة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أنعم اللّٰه علیهم فأدّوا شکر ربّهم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لم یسمّ </w:t>
      </w:r>
      <w:r>
        <w:rPr>
          <w:rStyle w:val="FootnoteAnchor"/>
          <w:rtl w:val="true"/>
        </w:rPr>
        <w:footnoteReference w:id="632"/>
      </w:r>
      <w:r>
        <w:rPr>
          <w:rFonts w:ascii="IRNazanin" w:hAnsi="IRNazanin" w:eastAsia="IRNazanin"/>
          <w:color w:val="111111"/>
          <w:sz w:val="28"/>
          <w:sz w:val="28"/>
          <w:szCs w:val="28"/>
          <w:rtl w:val="true"/>
          <w:lang w:bidi="fa-IR"/>
        </w:rPr>
        <w:t>قالت الملائکة للشیطان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ادْنُ یا فاسق فکل معهم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رفعت المائدة ولم یذکروا اللّٰه قالت الملائکة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أنعم اللّٰه علیهم فنسوا ربّهم</w:t>
      </w:r>
      <w:r>
        <w:rPr>
          <w:rFonts w:eastAsia="IRNazanin" w:cs="IRNazanin"/>
          <w:color w:val="111111"/>
          <w:sz w:val="28"/>
          <w:szCs w:val="28"/>
          <w:rtl w:val="true"/>
          <w:lang w:bidi="fa-IR"/>
        </w:rPr>
        <w:t xml:space="preserve">» </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تعدّدت ألوان المائدة 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کلّ 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رُوی ذلک عن علیّ علیه السلام وواقعته مع ابن الکوّاء مشهورة </w:t>
      </w:r>
      <w:r>
        <w:rPr>
          <w:rStyle w:val="FootnoteAnchor"/>
          <w:rtl w:val="true"/>
        </w:rPr>
        <w:footnoteReference w:id="634"/>
      </w:r>
      <w:r>
        <w:rPr>
          <w:rFonts w:ascii="IRNazanin" w:hAnsi="IRNazanin" w:eastAsia="IRNazanin"/>
          <w:color w:val="111111"/>
          <w:sz w:val="28"/>
          <w:sz w:val="28"/>
          <w:szCs w:val="28"/>
          <w:rtl w:val="true"/>
          <w:lang w:bidi="fa-IR"/>
        </w:rPr>
        <w:t xml:space="preserve">ورُوی التسمیة علی کلّ إناء </w:t>
      </w:r>
      <w:r>
        <w:rPr>
          <w:rStyle w:val="FootnoteAnchor"/>
          <w:rtl w:val="true"/>
        </w:rPr>
        <w:footnoteReference w:id="635"/>
      </w:r>
      <w:r>
        <w:rPr>
          <w:rFonts w:ascii="IRNazanin" w:hAnsi="IRNazanin" w:eastAsia="IRNazanin"/>
          <w:color w:val="111111"/>
          <w:sz w:val="28"/>
          <w:sz w:val="28"/>
          <w:szCs w:val="28"/>
          <w:rtl w:val="true"/>
          <w:lang w:bidi="fa-IR"/>
        </w:rPr>
        <w:t xml:space="preserve">علی المائدة وإن اتّحدت الألوان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نسیها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التسمیة فی الابتداء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تدارکها فی الأثناء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ذکرها، ورُوی أنّ الناسی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Style w:val="FootnoteAnchor"/>
          <w:rtl w:val="true"/>
        </w:rPr>
        <w:footnoteReference w:id="636"/>
      </w:r>
      <w:r>
        <w:rPr>
          <w:rFonts w:ascii="Amiri" w:hAnsi="Amiri" w:eastAsia="Amiri" w:cs="Amiri"/>
          <w:color w:val="111111"/>
          <w:sz w:val="28"/>
          <w:sz w:val="28"/>
          <w:szCs w:val="28"/>
          <w:rtl w:val="true"/>
          <w:lang w:bidi="ar-SA"/>
        </w:rPr>
        <w:t xml:space="preserve">أوّله وآخره </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الابتداء مع تعدّد الألوان والأوانی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علی أوّله وآخره أجزأ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التسمیة علی کلّ لون وآنیة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إجزاء تسمیة واحدٍ من</w:t>
      </w:r>
    </w:p>
    <w:p>
      <w:pPr>
        <w:pStyle w:val="BookText"/>
        <w:rPr/>
      </w:pPr>
      <w:r>
        <w:rPr>
          <w:rFonts w:ascii="IRNazanin" w:hAnsi="IRNazanin" w:eastAsia="IRNazanin"/>
          <w:color w:val="111111"/>
          <w:sz w:val="28"/>
          <w:sz w:val="28"/>
          <w:szCs w:val="28"/>
          <w:rtl w:val="true"/>
          <w:lang w:bidi="fa-IR"/>
        </w:rPr>
        <w:t xml:space="preserve">الحاضرین علی المائدة عن الباقین عن الصادق علیه السلام رخصةً </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ویستحبّ الأکل بالیمین اختیاراً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بأس بالیسری مع الاضطرار، فعن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تأکل بالیسری وأنت تستطیع</w:t>
      </w:r>
      <w:r>
        <w:rPr>
          <w:rFonts w:eastAsia="IRNazanin" w:cs="IRNazanin"/>
          <w:color w:val="111111"/>
          <w:sz w:val="28"/>
          <w:szCs w:val="28"/>
          <w:rtl w:val="true"/>
          <w:lang w:bidi="fa-IR"/>
        </w:rPr>
        <w:t xml:space="preserve">» </w:t>
      </w:r>
      <w:r>
        <w:rPr>
          <w:rStyle w:val="FootnoteAnchor"/>
          <w:rtl w:val="true"/>
        </w:rPr>
        <w:footnoteReference w:id="639"/>
      </w:r>
      <w:r>
        <w:rPr>
          <w:rFonts w:ascii="IRNazanin" w:hAnsi="IRNazanin" w:eastAsia="IRNazanin"/>
          <w:color w:val="111111"/>
          <w:sz w:val="28"/>
          <w:sz w:val="28"/>
          <w:szCs w:val="28"/>
          <w:rtl w:val="true"/>
          <w:lang w:bidi="fa-IR"/>
        </w:rPr>
        <w:t>وفی روایة اُخری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یأکل بشماله ولا یشرب بها ولا یتناول بها شیئاً</w:t>
      </w:r>
      <w:r>
        <w:rPr>
          <w:rFonts w:eastAsia="IRNazanin" w:cs="IRNazanin"/>
          <w:color w:val="111111"/>
          <w:sz w:val="28"/>
          <w:szCs w:val="28"/>
          <w:rtl w:val="true"/>
          <w:lang w:bidi="fa-IR"/>
        </w:rPr>
        <w:t xml:space="preserve">» </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وبدأة صاحب الطعام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بالأکل لو کان معه 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 یکون آخِرَ من یأکل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لیأنس القوم ویأکلوا، رُوی ذلک من فعل النبیّ صلی الله علیه و آله معلّلاً بذلک </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ویبدأ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الطعام إذا أراد غسل أیدیهم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 بنفسه ثمّ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بمن علی یمینه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 إلی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الغَسل الثانی بعد رفع الطعام یبدأ بمن علی یساره، ثمّ یغسل هو أخیراً، رُوی ذلک عن الصادق علیه السلام معلّلاً ابتداءه أوّلاً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لئلّا یحتشمه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وتأخیرَه آخراً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نّه أولی بالصبر علی الغَمَر</w:t>
      </w:r>
      <w:r>
        <w:rPr>
          <w:rFonts w:eastAsia="IRNazanin" w:cs="IRNazanin"/>
          <w:color w:val="111111"/>
          <w:sz w:val="28"/>
          <w:szCs w:val="28"/>
          <w:rtl w:val="true"/>
          <w:lang w:bidi="fa-IR"/>
        </w:rPr>
        <w:t xml:space="preserve">» </w:t>
      </w:r>
      <w:r>
        <w:rPr>
          <w:rStyle w:val="FootnoteAnchor"/>
          <w:rtl w:val="true"/>
        </w:rPr>
        <w:footnoteReference w:id="642"/>
      </w:r>
      <w:r>
        <w:rPr>
          <w:rFonts w:ascii="IRNazanin" w:hAnsi="IRNazanin" w:eastAsia="IRNazanin"/>
          <w:color w:val="111111"/>
          <w:sz w:val="28"/>
          <w:sz w:val="28"/>
          <w:szCs w:val="28"/>
          <w:rtl w:val="true"/>
          <w:lang w:bidi="fa-IR"/>
        </w:rPr>
        <w:t>وهو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بالتحریک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علی الید من سهک </w:t>
      </w:r>
      <w:r>
        <w:rPr>
          <w:rStyle w:val="FootnoteAnchor"/>
          <w:rtl w:val="true"/>
        </w:rPr>
        <w:footnoteReference w:id="643"/>
      </w:r>
      <w:r>
        <w:rPr>
          <w:rFonts w:ascii="IRNazanin" w:hAnsi="IRNazanin" w:eastAsia="IRNazanin"/>
          <w:color w:val="111111"/>
          <w:sz w:val="28"/>
          <w:sz w:val="28"/>
          <w:szCs w:val="28"/>
          <w:rtl w:val="true"/>
          <w:lang w:bidi="fa-IR"/>
        </w:rPr>
        <w:t xml:space="preserve">الطعام وزُهمته </w:t>
      </w:r>
      <w:r>
        <w:rPr>
          <w:rStyle w:val="FootnoteAnchor"/>
          <w:rtl w:val="true"/>
        </w:rPr>
        <w:footnoteReference w:id="644"/>
      </w:r>
      <w:r>
        <w:rPr>
          <w:rFonts w:ascii="IRNazanin" w:hAnsi="IRNazanin" w:eastAsia="IRNazanin"/>
          <w:color w:val="111111"/>
          <w:sz w:val="28"/>
          <w:sz w:val="28"/>
          <w:szCs w:val="28"/>
          <w:rtl w:val="true"/>
          <w:lang w:bidi="fa-IR"/>
        </w:rPr>
        <w:t>وفی روایةٍ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نّه یبدأ بعد الفراغ بمن علی یمین الباب حرّاً کان أو عبداً</w:t>
      </w:r>
      <w:r>
        <w:rPr>
          <w:rFonts w:eastAsia="IRNazanin" w:cs="IRNazanin"/>
          <w:color w:val="111111"/>
          <w:sz w:val="28"/>
          <w:szCs w:val="28"/>
          <w:rtl w:val="true"/>
          <w:lang w:bidi="fa-IR"/>
        </w:rPr>
        <w:t xml:space="preserve">» </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ویجمع غسالة الأیدی فی إناء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یورث حسن أخلاق الغاسلین، والمروی عن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اغسلوا أیدیکم فی إناء واحد تحسن</w:t>
      </w:r>
    </w:p>
    <w:p>
      <w:pPr>
        <w:pStyle w:val="BookText"/>
        <w:rPr/>
      </w:pPr>
      <w:r>
        <w:rPr>
          <w:rFonts w:ascii="IRNazanin" w:hAnsi="IRNazanin" w:eastAsia="IRNazanin"/>
          <w:color w:val="111111"/>
          <w:sz w:val="28"/>
          <w:sz w:val="28"/>
          <w:szCs w:val="28"/>
          <w:rtl w:val="true"/>
          <w:lang w:bidi="fa-IR"/>
        </w:rPr>
        <w:t>أخلاقکم</w:t>
      </w:r>
      <w:r>
        <w:rPr>
          <w:rFonts w:eastAsia="IRNazanin" w:cs="IRNazanin"/>
          <w:color w:val="111111"/>
          <w:sz w:val="28"/>
          <w:szCs w:val="28"/>
          <w:rtl w:val="true"/>
          <w:lang w:bidi="fa-IR"/>
        </w:rPr>
        <w:t xml:space="preserve">» </w:t>
      </w:r>
      <w:r>
        <w:rPr>
          <w:rStyle w:val="FootnoteAnchor"/>
          <w:rtl w:val="true"/>
        </w:rPr>
        <w:footnoteReference w:id="646"/>
      </w:r>
      <w:r>
        <w:rPr>
          <w:rFonts w:ascii="IRNazanin" w:hAnsi="IRNazanin" w:eastAsia="IRNazanin"/>
          <w:color w:val="111111"/>
          <w:sz w:val="28"/>
          <w:sz w:val="28"/>
          <w:szCs w:val="28"/>
          <w:rtl w:val="true"/>
          <w:lang w:bidi="fa-IR"/>
        </w:rPr>
        <w:t>ویمکن أن یدلّ علی ما هو أعمّ من جمع الغسالة فیه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 یستلقی بعد الأکل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ظهره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ویجعل رجلَه الیمنی علی رجلِه الیسری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البزنطی عن الرضا علیه السلام </w:t>
      </w:r>
      <w:r>
        <w:rPr>
          <w:rStyle w:val="FootnoteAnchor"/>
          <w:rtl w:val="true"/>
        </w:rPr>
        <w:footnoteReference w:id="647"/>
      </w:r>
      <w:r>
        <w:rPr>
          <w:rFonts w:ascii="IRNazanin" w:hAnsi="IRNazanin" w:eastAsia="IRNazanin"/>
          <w:color w:val="111111"/>
          <w:sz w:val="28"/>
          <w:sz w:val="28"/>
          <w:szCs w:val="28"/>
          <w:rtl w:val="true"/>
          <w:lang w:bidi="fa-IR"/>
        </w:rPr>
        <w:t xml:space="preserve">وروایة العامّة بخلافه من الخلاف </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ویکره الأکل متّکئاً ولو علی کفّه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النبیّ صلی الله علیه و آله لم یأکل متّکئاً منذ بعثه اللّٰه تعالی إلی أن قبضه، رُوی ذلک عن الصادق علیه السلام </w:t>
      </w:r>
      <w:r>
        <w:rPr>
          <w:rStyle w:val="FootnoteAnchor"/>
          <w:rtl w:val="true"/>
        </w:rPr>
        <w:footnoteReference w:id="6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الفضیل بن یسار عن الصادق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کراهة الاتّکاء علی 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حدیث طویل آخره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واللّٰه ما نهی رسول اللّٰه صلی الله علیه و آله عن هذا قطّ</w:t>
      </w:r>
      <w:r>
        <w:rPr>
          <w:rFonts w:eastAsia="IRNazanin" w:cs="IRNazanin"/>
          <w:color w:val="111111"/>
          <w:sz w:val="28"/>
          <w:szCs w:val="28"/>
          <w:rtl w:val="true"/>
          <w:lang w:bidi="fa-IR"/>
        </w:rPr>
        <w:t xml:space="preserve">» </w:t>
      </w:r>
      <w:r>
        <w:rPr>
          <w:rStyle w:val="FootnoteAnchor"/>
          <w:rtl w:val="true"/>
        </w:rPr>
        <w:footnoteReference w:id="6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الاتّکاء علی الید حالةَ الأکل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وحُمل علی أ نّه لم ینه عنه لفظاً </w:t>
      </w:r>
      <w:r>
        <w:rPr>
          <w:rStyle w:val="FootnoteAnchor"/>
          <w:rtl w:val="true"/>
        </w:rPr>
        <w:footnoteReference w:id="651"/>
      </w:r>
      <w:r>
        <w:rPr>
          <w:rFonts w:ascii="IRNazanin" w:hAnsi="IRNazanin" w:eastAsia="IRNazanin"/>
          <w:color w:val="111111"/>
          <w:sz w:val="28"/>
          <w:sz w:val="28"/>
          <w:szCs w:val="28"/>
          <w:rtl w:val="true"/>
          <w:lang w:bidi="fa-IR"/>
        </w:rPr>
        <w:t>وإلّا فقد رُوی عنه علیه السلام أنّ رسول اللّٰه صلی الله علیه و آله لم یفعله کما سلف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وحُمل فعل الصادق علیه السلام علی بیان جوازه </w:t>
      </w:r>
      <w:r>
        <w:rPr>
          <w:rStyle w:val="FootnoteAnchor"/>
          <w:rtl w:val="true"/>
        </w:rPr>
        <w:footnoteReference w:id="6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یکره التربّع حالَتَه بل فی جمیع الأحوال، قال أمیر المؤمنین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جلس أحدکم علی الطعام فلیجلس جلسة العبد، ولا یضعنّ أحدکم إحدی رجلیه علی الاُخری ویتربّع، فإنّها جلسة یبغضها اللّٰه ویمقت صاحبها</w:t>
      </w:r>
      <w:r>
        <w:rPr>
          <w:rFonts w:eastAsia="IRNazanin" w:cs="IRNazanin"/>
          <w:color w:val="111111"/>
          <w:sz w:val="28"/>
          <w:szCs w:val="28"/>
          <w:rtl w:val="true"/>
          <w:lang w:bidi="fa-IR"/>
        </w:rPr>
        <w:t xml:space="preserve">» </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یکره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التملّی من المأکل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البطن لیطغی من أکلة، وأقرب ما یکون العبد من اللّٰه تعالی إذا خفّ بطنه، وأبغض ما یکون العبد من </w:t>
      </w:r>
      <w:r>
        <w:rPr>
          <w:rStyle w:val="FootnoteAnchor"/>
          <w:rtl w:val="true"/>
        </w:rPr>
        <w:footnoteReference w:id="654"/>
      </w:r>
      <w:r>
        <w:rPr>
          <w:rFonts w:ascii="Amiri" w:hAnsi="Amiri" w:eastAsia="Amiri" w:cs="Amiri"/>
          <w:color w:val="111111"/>
          <w:sz w:val="28"/>
          <w:sz w:val="28"/>
          <w:szCs w:val="28"/>
          <w:rtl w:val="true"/>
          <w:lang w:bidi="ar-SA"/>
        </w:rPr>
        <w:t>اللّٰه إذا امتلأ بطنه</w:t>
      </w:r>
      <w:r>
        <w:rPr>
          <w:rFonts w:eastAsia="Amiri" w:cs="Amiri" w:ascii="Amiri" w:hAnsi="Amiri"/>
          <w:color w:val="111111"/>
          <w:sz w:val="28"/>
          <w:szCs w:val="28"/>
          <w:rtl w:val="true"/>
          <w:lang w:bidi="ar-SA"/>
        </w:rPr>
        <w:t xml:space="preserve">» </w:t>
      </w:r>
      <w:r>
        <w:rPr>
          <w:rStyle w:val="FootnoteAnchor"/>
          <w:rtl w:val="true"/>
        </w:rPr>
        <w:footnoteReference w:id="6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وربما کان الإفراط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التملّی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أدّی إلی الضرر، فإنّ الأکل علی الشَبَع یورث البرص، وامتلاءُ المعدة رأس الداء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والأکل علی الشبع وبالیسار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اختیاراً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مکروهان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والجمع بین کراهة الامتلاء والشَبَع تأکید للنهی عن کلٍّ منهما بخصوصه فی الأخبار </w:t>
      </w:r>
      <w:r>
        <w:rPr>
          <w:rStyle w:val="FootnoteAnchor"/>
          <w:rtl w:val="true"/>
        </w:rPr>
        <w:footnoteReference w:id="656"/>
      </w:r>
      <w:r>
        <w:rPr>
          <w:rFonts w:ascii="IRNazanin" w:hAnsi="IRNazanin" w:eastAsia="IRNazanin"/>
          <w:color w:val="111111"/>
          <w:sz w:val="28"/>
          <w:sz w:val="28"/>
          <w:szCs w:val="28"/>
          <w:rtl w:val="true"/>
          <w:lang w:bidi="fa-IR"/>
        </w:rPr>
        <w:t>أو یکون الامتلاء أقوی، ومن ثَمّ أردفه بالتحریم علی وجه، دون الشَبَع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ویمکن أن یکون بینهما عموم وخصوص من وجه بتحقّق الشبع خاصّة بانصراف نفسه وشهوته عن الأکل وإن لم یمتلئ بطنه من الطعام، والامتلاء دونه بأن یمتلئ بطنه ویبقی له شهوة إلیه، ویجتمعان فیما إذا امتلأ وانصرفت شهوته عن الطعام حینئذٍ</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إذا کان الآکل صحیحاً، أمّا المریض ونحوه، فیمکن انصراف شهوته عن الطعام ولا یصدق علیه أ نّه حینئذٍ شبعان،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ویؤیّد ما ذکرناه من الفرق ما یروی </w:t>
      </w:r>
      <w:r>
        <w:rPr>
          <w:rStyle w:val="FootnoteAnchor"/>
          <w:rtl w:val="true"/>
        </w:rPr>
        <w:footnoteReference w:id="657"/>
      </w:r>
      <w:r>
        <w:rPr>
          <w:rFonts w:ascii="IRNazanin" w:hAnsi="IRNazanin" w:eastAsia="IRNazanin"/>
          <w:color w:val="111111"/>
          <w:sz w:val="28"/>
          <w:sz w:val="28"/>
          <w:szCs w:val="28"/>
          <w:rtl w:val="true"/>
          <w:lang w:bidi="fa-IR"/>
        </w:rPr>
        <w:t>من قوله صلی الله علیه و آله و سلم عن معاویة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أشبع اللّٰه له بطناً</w:t>
      </w:r>
      <w:r>
        <w:rPr>
          <w:rFonts w:eastAsia="IRNazanin" w:cs="IRNazanin"/>
          <w:color w:val="111111"/>
          <w:sz w:val="28"/>
          <w:szCs w:val="28"/>
          <w:rtl w:val="true"/>
          <w:lang w:bidi="fa-IR"/>
        </w:rPr>
        <w:t xml:space="preserve">» </w:t>
      </w:r>
      <w:r>
        <w:rPr>
          <w:rStyle w:val="FootnoteAnchor"/>
          <w:rtl w:val="true"/>
        </w:rPr>
        <w:footnoteReference w:id="658"/>
      </w:r>
      <w:r>
        <w:rPr>
          <w:rFonts w:ascii="Amiri" w:hAnsi="Amiri" w:eastAsia="Amiri" w:cs="Amiri"/>
          <w:color w:val="111111"/>
          <w:sz w:val="28"/>
          <w:sz w:val="28"/>
          <w:szCs w:val="28"/>
          <w:rtl w:val="true"/>
          <w:lang w:bidi="ar-SA"/>
        </w:rPr>
        <w:t>مع أنّ</w:t>
      </w:r>
    </w:p>
    <w:p>
      <w:pPr>
        <w:pStyle w:val="BookText"/>
        <w:rPr/>
      </w:pPr>
      <w:r>
        <w:rPr>
          <w:rFonts w:ascii="IRNazanin" w:hAnsi="IRNazanin" w:eastAsia="IRNazanin"/>
          <w:color w:val="111111"/>
          <w:sz w:val="28"/>
          <w:sz w:val="28"/>
          <w:szCs w:val="28"/>
          <w:rtl w:val="true"/>
          <w:lang w:bidi="fa-IR"/>
        </w:rPr>
        <w:t>امتلاءه ممکن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رُوی عنه أ نّه کان </w:t>
      </w:r>
      <w:r>
        <w:rPr>
          <w:rStyle w:val="FootnoteAnchor"/>
          <w:rtl w:val="true"/>
        </w:rPr>
        <w:footnoteReference w:id="659"/>
      </w:r>
      <w:r>
        <w:rPr>
          <w:rFonts w:ascii="IRNazanin" w:hAnsi="IRNazanin" w:eastAsia="IRNazanin"/>
          <w:color w:val="111111"/>
          <w:sz w:val="28"/>
          <w:sz w:val="28"/>
          <w:szCs w:val="28"/>
          <w:rtl w:val="true"/>
          <w:lang w:bidi="fa-IR"/>
        </w:rPr>
        <w:t>یأکل بعد ذلک ما یأکل ثمّ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شبعت ولکن عییت </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ویحرم الأکل علی مائدة یُشرب علیها شیء من المسکرات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خمراً وغیره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الفقّاع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لقول النبیّ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ملعون من جلس علی مائدة یُشرَب علیها الخمر</w:t>
      </w:r>
      <w:r>
        <w:rPr>
          <w:rFonts w:eastAsia="IRNazanin" w:cs="IRNazanin"/>
          <w:color w:val="111111"/>
          <w:sz w:val="28"/>
          <w:szCs w:val="28"/>
          <w:rtl w:val="true"/>
          <w:lang w:bidi="fa-IR"/>
        </w:rPr>
        <w:t xml:space="preserve">» </w:t>
      </w:r>
      <w:r>
        <w:rPr>
          <w:rStyle w:val="FootnoteAnchor"/>
          <w:rtl w:val="true"/>
        </w:rPr>
        <w:footnoteReference w:id="661"/>
      </w:r>
      <w:r>
        <w:rPr>
          <w:rFonts w:ascii="IRNazanin" w:hAnsi="IRNazanin" w:eastAsia="IRNazanin"/>
          <w:color w:val="111111"/>
          <w:sz w:val="28"/>
          <w:sz w:val="28"/>
          <w:szCs w:val="28"/>
          <w:rtl w:val="true"/>
          <w:lang w:bidi="fa-IR"/>
        </w:rPr>
        <w:t xml:space="preserve">وفی خبر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طائعاً</w:t>
      </w:r>
      <w:r>
        <w:rPr>
          <w:rFonts w:eastAsia="IRNazanin" w:cs="IRNazanin"/>
          <w:color w:val="111111"/>
          <w:sz w:val="28"/>
          <w:szCs w:val="28"/>
          <w:rtl w:val="true"/>
          <w:lang w:bidi="fa-IR"/>
        </w:rPr>
        <w:t xml:space="preserve">» </w:t>
      </w:r>
      <w:r>
        <w:rPr>
          <w:rStyle w:val="FootnoteAnchor"/>
          <w:rtl w:val="true"/>
        </w:rPr>
        <w:footnoteReference w:id="662"/>
      </w:r>
      <w:r>
        <w:rPr>
          <w:rFonts w:ascii="IRNazanin" w:hAnsi="IRNazanin" w:eastAsia="IRNazanin"/>
          <w:color w:val="111111"/>
          <w:sz w:val="28"/>
          <w:sz w:val="28"/>
          <w:szCs w:val="28"/>
          <w:rtl w:val="true"/>
          <w:lang w:bidi="fa-IR"/>
        </w:rPr>
        <w:t xml:space="preserve">وباقی المسکرات بحکمه، وفی بعض الأخبار تسمیتها خمراً </w:t>
      </w:r>
      <w:r>
        <w:rPr>
          <w:rStyle w:val="FootnoteAnchor"/>
          <w:rtl w:val="true"/>
        </w:rPr>
        <w:footnoteReference w:id="663"/>
      </w:r>
      <w:r>
        <w:rPr>
          <w:rFonts w:ascii="IRNazanin" w:hAnsi="IRNazanin" w:eastAsia="IRNazanin"/>
          <w:color w:val="111111"/>
          <w:sz w:val="28"/>
          <w:sz w:val="28"/>
          <w:szCs w:val="28"/>
          <w:rtl w:val="true"/>
          <w:lang w:bidi="fa-IR"/>
        </w:rPr>
        <w:t xml:space="preserve">وکذا الفقّاع </w:t>
      </w:r>
      <w:r>
        <w:rPr>
          <w:rStyle w:val="FootnoteAnchor"/>
          <w:rtl w:val="true"/>
        </w:rPr>
        <w:footnoteReference w:id="6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وباقی المحرّمات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غیبة مؤمن علی المائدة ونحوها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یمکن إلحاقها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ذهب إلیه العلّامة </w:t>
      </w:r>
      <w:r>
        <w:rPr>
          <w:rStyle w:val="FootnoteAnchor"/>
          <w:rtl w:val="true"/>
        </w:rPr>
        <w:footnoteReference w:id="665"/>
      </w:r>
      <w:r>
        <w:rPr>
          <w:rFonts w:ascii="IRNazanin" w:hAnsi="IRNazanin" w:eastAsia="IRNazanin"/>
          <w:color w:val="111111"/>
          <w:sz w:val="28"/>
          <w:sz w:val="28"/>
          <w:szCs w:val="28"/>
          <w:rtl w:val="true"/>
          <w:lang w:bidi="fa-IR"/>
        </w:rPr>
        <w:t>لمشارکتها لها فی معصیة اللّٰه تعالی، ولما فی القیام عنها من النهی عن المنکر، فإنّه یقتضی الإعراض عن فاعله، وهو ضرب من النهی الواجب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وحرّم ابن إدریس الأکل من طعام یُعصی اللّٰه به أو علیه </w:t>
      </w:r>
      <w:r>
        <w:rPr>
          <w:rStyle w:val="FootnoteAnchor"/>
          <w:rtl w:val="true"/>
        </w:rPr>
        <w:footnoteReference w:id="666"/>
      </w:r>
      <w:r>
        <w:rPr>
          <w:rFonts w:ascii="IRNazanin" w:hAnsi="IRNazanin" w:eastAsia="IRNazanin"/>
          <w:color w:val="111111"/>
          <w:sz w:val="28"/>
          <w:sz w:val="28"/>
          <w:szCs w:val="28"/>
          <w:rtl w:val="true"/>
          <w:lang w:bidi="fa-IR"/>
        </w:rPr>
        <w:t>ولا ریب أ نّه أحوط</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النهی بالقیام فإنّما یتمّ مع تجویزه التأثیر به واجتماع باقی الشروط </w:t>
      </w:r>
      <w:r>
        <w:rPr>
          <w:rStyle w:val="FootnoteAnchor"/>
          <w:rtl w:val="true"/>
        </w:rPr>
        <w:footnoteReference w:id="667"/>
      </w:r>
    </w:p>
    <w:p>
      <w:pPr>
        <w:pStyle w:val="BookText"/>
        <w:rPr/>
      </w:pPr>
      <w:r>
        <w:rPr>
          <w:rFonts w:ascii="IRNazanin" w:hAnsi="IRNazanin" w:eastAsia="IRNazanin"/>
          <w:color w:val="111111"/>
          <w:sz w:val="28"/>
          <w:sz w:val="28"/>
          <w:szCs w:val="28"/>
          <w:rtl w:val="true"/>
          <w:lang w:bidi="fa-IR"/>
        </w:rPr>
        <w:t>ووجوبه حینئذٍ من هذه الحیثیّة حسن، إلّاأنّ إثبات الحکم مطلقاً مشکل؛ إذ لا یتمّ وجوب الإنکار مطلقاً فلا یحرم الأکل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وإلحاق غیر المنصوص به قیاس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فرق بین وضع المحرَّم أو فعله علی المائدة فی ابتدائها واستدامتها، فمتی عرض المحرَّم فی الأثناء وجب القیام حینئذٍ کما أ نّه لو کان ابتداءً حَرُم الجلوس علیها وابتداء الأکل منها</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والأقوی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کلّ واحد من الأکل منها والجلوس علیها محرَّم برأسه وإن انفکّ عن الآخر</w:t>
      </w:r>
      <w:r>
        <w:rPr>
          <w:rFonts w:eastAsia="IRNazanin" w:cs="IRNazanin"/>
          <w:color w:val="111111"/>
          <w:sz w:val="28"/>
          <w:szCs w:val="28"/>
          <w:rtl w:val="true"/>
          <w:lang w:bidi="fa-IR"/>
        </w:rPr>
        <w:t>.</w:t>
      </w:r>
      <w:bookmarkStart w:id="244" w:name="pg19815_253148"/>
    </w:p>
    <w:p>
      <w:pPr>
        <w:pStyle w:val="Heading3"/>
        <w:numPr>
          <w:ilvl w:val="2"/>
          <w:numId w:val="1"/>
        </w:numPr>
        <w:rPr/>
      </w:pPr>
      <w:bookmarkStart w:id="245" w:name="__RefHeading___Toc2227859_2314609296"/>
      <w:bookmarkStart w:id="246" w:name="_Toc92"/>
      <w:bookmarkEnd w:id="244"/>
      <w:bookmarkEnd w:id="245"/>
      <w:r>
        <w:rPr>
          <w:rtl w:val="true"/>
        </w:rPr>
        <w:t>کتاب المیراث</w:t>
      </w:r>
      <w:bookmarkEnd w:id="246"/>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47" w:name="__RefHeading___Toc2227861_2314609296"/>
      <w:bookmarkStart w:id="248" w:name="_Toc93"/>
      <w:bookmarkEnd w:id="247"/>
      <w:r>
        <w:rPr>
          <w:rtl w:val="true"/>
        </w:rPr>
        <w:t>اشارة</w:t>
      </w:r>
      <w:bookmarkEnd w:id="24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المیراث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وهو مِفْعال من الإرث ویاؤه منقلبة عن الواو </w:t>
      </w:r>
      <w:r>
        <w:rPr>
          <w:rStyle w:val="FootnoteAnchor"/>
          <w:rtl w:val="true"/>
        </w:rPr>
        <w:footnoteReference w:id="668"/>
      </w:r>
      <w:r>
        <w:rPr>
          <w:rFonts w:ascii="IRNazanin" w:hAnsi="IRNazanin" w:eastAsia="IRNazanin"/>
          <w:color w:val="111111"/>
          <w:sz w:val="28"/>
          <w:sz w:val="28"/>
          <w:szCs w:val="28"/>
          <w:rtl w:val="true"/>
          <w:lang w:bidi="fa-IR"/>
        </w:rPr>
        <w:t xml:space="preserve">أو من الموروث </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وهو علی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استحقاق إنسان بموت آخر بنسب أو سبب شیئاً بالأصالة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وعلی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یستحقّه إنسان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إلی آخره، بحذف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الشیء</w:t>
      </w:r>
      <w:r>
        <w:rPr>
          <w:rFonts w:eastAsia="IRNazanin" w:cs="IRNazanin"/>
          <w:color w:val="111111"/>
          <w:sz w:val="28"/>
          <w:szCs w:val="28"/>
          <w:rtl w:val="true"/>
          <w:lang w:bidi="fa-IR"/>
        </w:rPr>
        <w:t xml:space="preserve">» </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وهو أعمّ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الفرائض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مطلقاً إن اُرید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المفروض بالتفصیل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اُرید بها ما یعمّ الإجمال کإرث اُولی الأرحام، فهو بمعناه </w:t>
      </w:r>
      <w:r>
        <w:rPr>
          <w:rStyle w:val="FootnoteAnchor"/>
          <w:rtl w:val="true"/>
        </w:rPr>
        <w:footnoteReference w:id="671"/>
      </w:r>
      <w:r>
        <w:rPr>
          <w:rFonts w:ascii="Amiri" w:hAnsi="Amiri" w:eastAsia="Amiri" w:cs="Amiri"/>
          <w:color w:val="111111"/>
          <w:sz w:val="28"/>
          <w:sz w:val="28"/>
          <w:szCs w:val="28"/>
          <w:rtl w:val="true"/>
          <w:lang w:bidi="ar-SA"/>
        </w:rPr>
        <w:t>ومن ثَمَّ کان التعبیر بالمیراث أولی</w:t>
      </w:r>
      <w:r>
        <w:rPr>
          <w:rFonts w:eastAsia="Amiri" w:cs="Amiri" w:ascii="Amiri" w:hAnsi="Amiri"/>
          <w:color w:val="111111"/>
          <w:sz w:val="28"/>
          <w:szCs w:val="28"/>
          <w:rtl w:val="true"/>
          <w:lang w:bidi="ar-SA"/>
        </w:rPr>
        <w:t>.</w:t>
      </w:r>
      <w:bookmarkStart w:id="249" w:name="pg19815_253152"/>
    </w:p>
    <w:p>
      <w:pPr>
        <w:pStyle w:val="BookText"/>
        <w:rPr/>
      </w:pPr>
      <w:bookmarkEnd w:id="24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وفیه فصول</w:t>
      </w:r>
      <w:r>
        <w:rPr>
          <w:rFonts w:eastAsia="IRNazanin" w:cs="IRNazanin"/>
          <w:color w:val="111111"/>
          <w:sz w:val="28"/>
          <w:szCs w:val="28"/>
          <w:rtl w:val="true"/>
          <w:lang w:bidi="fa-IR"/>
        </w:rPr>
        <w:t>» :</w:t>
      </w:r>
    </w:p>
    <w:p>
      <w:pPr>
        <w:pStyle w:val="Heading4"/>
        <w:numPr>
          <w:ilvl w:val="3"/>
          <w:numId w:val="1"/>
        </w:numPr>
        <w:rPr/>
      </w:pPr>
      <w:bookmarkStart w:id="250" w:name="__RefHeading___Toc2227863_2314609296"/>
      <w:bookmarkStart w:id="251" w:name="_Toc94"/>
      <w:bookmarkEnd w:id="250"/>
      <w:r>
        <w:rPr>
          <w:rtl w:val="true"/>
        </w:rPr>
        <w:t xml:space="preserve">الفصل </w:t>
      </w:r>
      <w:r>
        <w:rPr>
          <w:rtl w:val="true"/>
        </w:rPr>
        <w:t>«</w:t>
      </w:r>
      <w:r>
        <w:rPr>
          <w:rtl w:val="true"/>
        </w:rPr>
        <w:t>الأوّل</w:t>
      </w:r>
      <w:r>
        <w:rPr>
          <w:rtl w:val="true"/>
        </w:rPr>
        <w:t xml:space="preserve">» </w:t>
      </w:r>
      <w:r>
        <w:rPr>
          <w:rtl w:val="true"/>
        </w:rPr>
        <w:t xml:space="preserve">البحث فی </w:t>
      </w:r>
      <w:r>
        <w:rPr>
          <w:rtl w:val="true"/>
        </w:rPr>
        <w:t>«</w:t>
      </w:r>
      <w:r>
        <w:rPr>
          <w:rtl w:val="true"/>
        </w:rPr>
        <w:t>الموجبات</w:t>
      </w:r>
      <w:r>
        <w:rPr>
          <w:rtl w:val="true"/>
        </w:rPr>
        <w:t xml:space="preserve">» </w:t>
      </w:r>
      <w:r>
        <w:rPr>
          <w:rtl w:val="true"/>
        </w:rPr>
        <w:t xml:space="preserve">للإرث </w:t>
      </w:r>
      <w:r>
        <w:rPr>
          <w:rtl w:val="true"/>
        </w:rPr>
        <w:t>«</w:t>
      </w:r>
      <w:r>
        <w:rPr>
          <w:rtl w:val="true"/>
        </w:rPr>
        <w:t>والموانع</w:t>
      </w:r>
      <w:r>
        <w:rPr>
          <w:rtl w:val="true"/>
        </w:rPr>
        <w:t>»</w:t>
      </w:r>
      <w:bookmarkEnd w:id="251"/>
    </w:p>
    <w:p>
      <w:pPr>
        <w:pStyle w:val="Heading5"/>
        <w:numPr>
          <w:ilvl w:val="4"/>
          <w:numId w:val="1"/>
        </w:numPr>
        <w:rPr/>
      </w:pPr>
      <w:bookmarkStart w:id="252" w:name="__RefHeading___Toc2227865_2314609296"/>
      <w:bookmarkStart w:id="253" w:name="_Toc95"/>
      <w:bookmarkEnd w:id="252"/>
      <w:r>
        <w:rPr>
          <w:rtl w:val="true"/>
        </w:rPr>
        <w:t>اشارة</w:t>
      </w:r>
      <w:bookmarkEnd w:id="253"/>
    </w:p>
    <w:p>
      <w:pPr>
        <w:pStyle w:val="BookText"/>
        <w:rPr/>
      </w:pP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p>
    <w:p>
      <w:pPr>
        <w:pStyle w:val="Heading5"/>
        <w:numPr>
          <w:ilvl w:val="4"/>
          <w:numId w:val="1"/>
        </w:numPr>
        <w:rPr/>
      </w:pPr>
      <w:bookmarkStart w:id="254" w:name="__RefHeading___Toc2227867_2314609296"/>
      <w:bookmarkStart w:id="255" w:name="_Toc96"/>
      <w:bookmarkEnd w:id="254"/>
      <w:r>
        <w:rPr>
          <w:rtl w:val="true"/>
        </w:rPr>
        <w:t>[</w:t>
      </w:r>
      <w:r>
        <w:rPr>
          <w:rtl w:val="true"/>
        </w:rPr>
        <w:t>الموجبات</w:t>
      </w:r>
      <w:r>
        <w:rPr>
          <w:rtl w:val="true"/>
        </w:rPr>
        <w:t>]</w:t>
      </w:r>
      <w:bookmarkEnd w:id="255"/>
    </w:p>
    <w:p>
      <w:pPr>
        <w:pStyle w:val="Heading6"/>
        <w:numPr>
          <w:ilvl w:val="5"/>
          <w:numId w:val="1"/>
        </w:numPr>
        <w:rPr/>
      </w:pPr>
      <w:bookmarkStart w:id="256" w:name="__RefHeading___Toc2227869_2314609296"/>
      <w:bookmarkStart w:id="257" w:name="_Toc97"/>
      <w:bookmarkEnd w:id="256"/>
      <w:r>
        <w:rPr>
          <w:rtl w:val="true"/>
        </w:rPr>
        <w:t>اشارة</w:t>
      </w:r>
      <w:bookmarkEnd w:id="25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یوجب الإرث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یثبته شیئان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النسب والسبب، فالنسب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الاتّصال بالولادة بانتهاء أحدهما إلی الآخر، کالأب والابن، أو بانتهائهما إلی ثالثٍ مع صدق اسم النسب عرفاً، علی الوجه الشرعی </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وهو ثلاث مراتب، لا یرث أحدٌ من المرتبة التالیة مع وجود واحدٍ من المرتبة السابقة خالٍ من الموانع</w:t>
      </w:r>
      <w:r>
        <w:rPr>
          <w:rFonts w:eastAsia="IRNazanin" w:cs="IRNazanin"/>
          <w:color w:val="111111"/>
          <w:sz w:val="28"/>
          <w:szCs w:val="28"/>
          <w:rtl w:val="true"/>
          <w:lang w:bidi="fa-IR"/>
        </w:rPr>
        <w:t>.</w:t>
      </w:r>
    </w:p>
    <w:p>
      <w:pPr>
        <w:pStyle w:val="Heading6"/>
        <w:numPr>
          <w:ilvl w:val="5"/>
          <w:numId w:val="1"/>
        </w:numPr>
        <w:rPr/>
      </w:pPr>
      <w:bookmarkStart w:id="258" w:name="__RefHeading___Toc2227871_2314609296"/>
      <w:bookmarkStart w:id="259" w:name="_Toc98"/>
      <w:bookmarkEnd w:id="258"/>
      <w:r>
        <w:rPr>
          <w:rtl w:val="true"/>
        </w:rPr>
        <w:t>[</w:t>
      </w:r>
      <w:r>
        <w:rPr>
          <w:rtl w:val="true"/>
        </w:rPr>
        <w:t>النسب</w:t>
      </w:r>
      <w:r>
        <w:rPr>
          <w:rtl w:val="true"/>
        </w:rPr>
        <w:t>]</w:t>
      </w:r>
      <w:bookmarkEnd w:id="259"/>
    </w:p>
    <w:p>
      <w:pPr>
        <w:pStyle w:val="BookText"/>
        <w:rPr/>
      </w:pPr>
      <w:r>
        <w:rPr>
          <w:rFonts w:ascii="IRNazanin" w:hAnsi="IRNazanin" w:eastAsia="IRNazanin"/>
          <w:color w:val="111111"/>
          <w:sz w:val="28"/>
          <w:sz w:val="28"/>
          <w:szCs w:val="28"/>
          <w:rtl w:val="true"/>
          <w:lang w:bidi="fa-IR"/>
        </w:rPr>
        <w:t>فالاُولی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 آبائهم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والأولاد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نزلوا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الإخوة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والمراد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یشمل الأخوات للأبوین أو 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والأجداد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والمراد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یشمل الجدّات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فصاعداً، وأولاد الإخوة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والأخوات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فنازلاً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ذکوراً وإناثاً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وأفردهم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الإخوة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لعدم إطلاق اسم الإخوة علیهم، فلا یدخلون ولو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نزلوا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الأجداد والأولاد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الأعمام والأخوال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للأبوین أو أحدهما وإن علوا</w:t>
      </w:r>
      <w:bookmarkStart w:id="260" w:name="pg19815_253153"/>
    </w:p>
    <w:p>
      <w:pPr>
        <w:pStyle w:val="BookText"/>
        <w:rPr/>
      </w:pPr>
      <w:bookmarkEnd w:id="260"/>
      <w:r>
        <w:rPr>
          <w:rFonts w:ascii="IRNazanin" w:hAnsi="IRNazanin" w:eastAsia="IRNazanin"/>
          <w:color w:val="111111"/>
          <w:sz w:val="28"/>
          <w:sz w:val="28"/>
          <w:szCs w:val="28"/>
          <w:rtl w:val="true"/>
          <w:lang w:bidi="fa-IR"/>
        </w:rPr>
        <w:t>کأعمام الأب والاُمّ وأعمام الأجداد، وأولادهم فنازلاً ذکوراً وإناثاً</w:t>
      </w:r>
      <w:r>
        <w:rPr>
          <w:rFonts w:eastAsia="IRNazanin" w:cs="IRNazanin"/>
          <w:color w:val="111111"/>
          <w:sz w:val="28"/>
          <w:szCs w:val="28"/>
          <w:rtl w:val="true"/>
          <w:lang w:bidi="fa-IR"/>
        </w:rPr>
        <w:t>.</w:t>
      </w:r>
    </w:p>
    <w:p>
      <w:pPr>
        <w:pStyle w:val="Heading6"/>
        <w:numPr>
          <w:ilvl w:val="5"/>
          <w:numId w:val="1"/>
        </w:numPr>
        <w:rPr/>
      </w:pPr>
      <w:bookmarkStart w:id="261" w:name="__RefHeading___Toc2227873_2314609296"/>
      <w:bookmarkStart w:id="262" w:name="_Toc99"/>
      <w:bookmarkEnd w:id="261"/>
      <w:r>
        <w:rPr>
          <w:rtl w:val="true"/>
        </w:rPr>
        <w:t>[«</w:t>
      </w:r>
      <w:r>
        <w:rPr>
          <w:rtl w:val="true"/>
        </w:rPr>
        <w:t>والسبب</w:t>
      </w:r>
      <w:r>
        <w:rPr>
          <w:rtl w:val="true"/>
        </w:rPr>
        <w:t>»]</w:t>
      </w:r>
      <w:bookmarkEnd w:id="262"/>
    </w:p>
    <w:p>
      <w:pPr>
        <w:pStyle w:val="BookText"/>
        <w:rPr/>
      </w:pPr>
      <w:r>
        <w:rPr>
          <w:rFonts w:ascii="IRNazanin" w:hAnsi="IRNazanin" w:eastAsia="IRNazanin"/>
          <w:color w:val="111111"/>
          <w:sz w:val="28"/>
          <w:sz w:val="28"/>
          <w:szCs w:val="28"/>
          <w:rtl w:val="true"/>
          <w:lang w:bidi="fa-IR"/>
        </w:rPr>
        <w:t>هو الاتّصال بالزوجیّة، أو الولاء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وجملته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الزوجیّة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الجانبین مع دوام العقد، أو شرط الإرث علی الخلاف </w:t>
      </w:r>
      <w:r>
        <w:rPr>
          <w:rStyle w:val="FootnoteAnchor"/>
          <w:rtl w:val="true"/>
        </w:rPr>
        <w:footnoteReference w:id="6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الإعتاق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ضمان الجریرة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والزوجیّة من هذه الأسباب تجامع جمیع الوُرّاث، والإعتاق لا یجامع النسب، ویقدّم علی ضمان الجریرة المقدَّم علی ولاء الإمامة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اُصول موجبات الإرث</w:t>
      </w:r>
      <w:r>
        <w:rPr>
          <w:rFonts w:eastAsia="IRNazanin" w:cs="IRNazanin"/>
          <w:color w:val="111111"/>
          <w:sz w:val="28"/>
          <w:szCs w:val="28"/>
          <w:rtl w:val="true"/>
          <w:lang w:bidi="fa-IR"/>
        </w:rPr>
        <w:t>.</w:t>
      </w:r>
    </w:p>
    <w:p>
      <w:pPr>
        <w:pStyle w:val="Heading5"/>
        <w:numPr>
          <w:ilvl w:val="4"/>
          <w:numId w:val="1"/>
        </w:numPr>
        <w:rPr/>
      </w:pPr>
      <w:bookmarkStart w:id="263" w:name="__RefHeading___Toc2227875_2314609296"/>
      <w:bookmarkStart w:id="264" w:name="_Toc100"/>
      <w:bookmarkEnd w:id="263"/>
      <w:r>
        <w:rPr>
          <w:rtl w:val="true"/>
        </w:rPr>
        <w:t>[</w:t>
      </w:r>
      <w:r>
        <w:rPr>
          <w:rtl w:val="true"/>
        </w:rPr>
        <w:t>وأمّا الموانع</w:t>
      </w:r>
      <w:r>
        <w:rPr>
          <w:rtl w:val="true"/>
        </w:rPr>
        <w:t>:]</w:t>
      </w:r>
      <w:bookmarkEnd w:id="264"/>
    </w:p>
    <w:p>
      <w:pPr>
        <w:pStyle w:val="Heading6"/>
        <w:numPr>
          <w:ilvl w:val="5"/>
          <w:numId w:val="1"/>
        </w:numPr>
        <w:rPr/>
      </w:pPr>
      <w:bookmarkStart w:id="265" w:name="__RefHeading___Toc2227877_2314609296"/>
      <w:bookmarkStart w:id="266" w:name="_Toc101"/>
      <w:bookmarkEnd w:id="265"/>
      <w:r>
        <w:rPr>
          <w:rtl w:val="true"/>
        </w:rPr>
        <w:t>اشارة</w:t>
      </w:r>
      <w:bookmarkEnd w:id="266"/>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فکثیرة قد سبق بعضها ویذکر بعضها فی تضاعیف الکتاب، وغیره </w:t>
      </w:r>
      <w:r>
        <w:rPr>
          <w:rStyle w:val="FootnoteAnchor"/>
          <w:rtl w:val="true"/>
        </w:rPr>
        <w:footnoteReference w:id="674"/>
      </w:r>
      <w:r>
        <w:rPr>
          <w:rFonts w:ascii="IRNazanin" w:hAnsi="IRNazanin" w:eastAsia="IRNazanin"/>
          <w:color w:val="111111"/>
          <w:sz w:val="28"/>
          <w:sz w:val="28"/>
          <w:szCs w:val="28"/>
          <w:rtl w:val="true"/>
          <w:lang w:bidi="fa-IR"/>
        </w:rPr>
        <w:t xml:space="preserve">وقد جمعها </w:t>
      </w:r>
      <w:r>
        <w:rPr>
          <w:rStyle w:val="FootnoteAnchor"/>
          <w:rtl w:val="true"/>
        </w:rPr>
        <w:footnoteReference w:id="675"/>
      </w:r>
      <w:r>
        <w:rPr>
          <w:rFonts w:ascii="IRNazanin" w:hAnsi="IRNazanin" w:eastAsia="IRNazanin"/>
          <w:color w:val="111111"/>
          <w:sz w:val="28"/>
          <w:sz w:val="28"/>
          <w:szCs w:val="28"/>
          <w:rtl w:val="true"/>
          <w:lang w:bidi="fa-IR"/>
        </w:rPr>
        <w:t xml:space="preserve">المصنّف فی الدروس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rtl w:val="true"/>
          <w:lang w:bidi="fa-IR"/>
        </w:rPr>
        <w:t xml:space="preserve">] </w:t>
      </w:r>
      <w:r>
        <w:rPr>
          <w:rStyle w:val="FootnoteAnchor"/>
          <w:rtl w:val="true"/>
        </w:rPr>
        <w:footnoteReference w:id="676"/>
      </w:r>
      <w:r>
        <w:rPr>
          <w:rFonts w:ascii="IRNazanin" w:hAnsi="IRNazanin" w:eastAsia="IRNazanin"/>
          <w:color w:val="111111"/>
          <w:sz w:val="28"/>
          <w:sz w:val="28"/>
          <w:szCs w:val="28"/>
          <w:rtl w:val="true"/>
          <w:lang w:bidi="fa-IR"/>
        </w:rPr>
        <w:t xml:space="preserve">عشرین </w:t>
      </w:r>
      <w:r>
        <w:rPr>
          <w:rStyle w:val="FootnoteAnchor"/>
          <w:rtl w:val="true"/>
        </w:rPr>
        <w:footnoteReference w:id="677"/>
      </w:r>
      <w:r>
        <w:rPr>
          <w:rFonts w:ascii="IRNazanin" w:hAnsi="IRNazanin" w:eastAsia="IRNazanin"/>
          <w:color w:val="111111"/>
          <w:sz w:val="28"/>
          <w:sz w:val="28"/>
          <w:szCs w:val="28"/>
          <w:rtl w:val="true"/>
          <w:lang w:bidi="fa-IR"/>
        </w:rPr>
        <w:t>وذکر هنا ستّة</w:t>
      </w:r>
      <w:r>
        <w:rPr>
          <w:rFonts w:eastAsia="IRNazanin" w:cs="IRNazanin"/>
          <w:color w:val="111111"/>
          <w:sz w:val="28"/>
          <w:szCs w:val="28"/>
          <w:rtl w:val="true"/>
          <w:lang w:bidi="fa-IR"/>
        </w:rPr>
        <w:t>:</w:t>
      </w:r>
      <w:bookmarkStart w:id="267" w:name="pg19815_253154"/>
    </w:p>
    <w:p>
      <w:pPr>
        <w:pStyle w:val="Heading6"/>
        <w:numPr>
          <w:ilvl w:val="5"/>
          <w:numId w:val="1"/>
        </w:numPr>
        <w:rPr/>
      </w:pPr>
      <w:bookmarkStart w:id="268" w:name="__RefHeading___Toc2227879_2314609296"/>
      <w:bookmarkStart w:id="269" w:name="_Toc102"/>
      <w:bookmarkEnd w:id="267"/>
      <w:bookmarkEnd w:id="268"/>
      <w:r>
        <w:rPr>
          <w:rtl w:val="true"/>
        </w:rPr>
        <w:t>[</w:t>
      </w:r>
      <w:r>
        <w:rPr/>
        <w:t>1</w:t>
      </w:r>
      <w:r>
        <w:rPr>
          <w:rtl w:val="true"/>
        </w:rPr>
        <w:t>-</w:t>
      </w:r>
      <w:r>
        <w:rPr>
          <w:rtl w:val="true"/>
        </w:rPr>
        <w:t xml:space="preserve">الکفر </w:t>
      </w:r>
      <w:r>
        <w:rPr>
          <w:rtl w:val="true"/>
        </w:rPr>
        <w:t>]</w:t>
      </w:r>
      <w:bookmarkEnd w:id="269"/>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ویمنع الإرثَ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بجمیع أصنافه، وإن انتحل معه الإسلام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یرث الکافر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حربیّاً کان أم ذمّیاً أم </w:t>
      </w:r>
      <w:r>
        <w:rPr>
          <w:rStyle w:val="FootnoteAnchor"/>
          <w:rtl w:val="true"/>
        </w:rPr>
        <w:footnoteReference w:id="678"/>
      </w:r>
      <w:r>
        <w:rPr>
          <w:rFonts w:ascii="Amiri" w:hAnsi="Amiri" w:eastAsia="Amiri" w:cs="Amiri"/>
          <w:color w:val="111111"/>
          <w:sz w:val="28"/>
          <w:sz w:val="28"/>
          <w:szCs w:val="28"/>
          <w:rtl w:val="true"/>
          <w:lang w:bidi="ar-SA"/>
        </w:rPr>
        <w:t xml:space="preserve">خارجیّاً </w:t>
      </w:r>
      <w:r>
        <w:rPr>
          <w:rStyle w:val="FootnoteAnchor"/>
          <w:rtl w:val="true"/>
        </w:rPr>
        <w:footnoteReference w:id="679"/>
      </w:r>
      <w:r>
        <w:rPr>
          <w:rFonts w:ascii="Amiri" w:hAnsi="Amiri" w:eastAsia="Amiri" w:cs="Amiri"/>
          <w:color w:val="111111"/>
          <w:sz w:val="28"/>
          <w:sz w:val="28"/>
          <w:szCs w:val="28"/>
          <w:rtl w:val="true"/>
          <w:lang w:bidi="ar-SA"/>
        </w:rPr>
        <w:t xml:space="preserve">أم ناصبیّاً أم غالیاً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یکن مؤمناً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والمسلمُ یرث الکافرَ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ویمنع ورثتَه الکُفّارَ وإن قربوا وبَعُد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یرث المبتدعُ من المسلمین لأهل الحقّ ولمثله، ویرثونه علی الأشهر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یرثه المحقُّ دون العکس </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لم یُخلّف المسلمُ قریباً مسلماً کان میراثُه للمعتِق، ثمّ ضامِن الجریرة، ثمّ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یرثه الکافرُ بحالٍ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الکافر، فإنّ الکفّار یرثونه مع فقد الوارثِ المسلِم، وإن بعد کضامن الجریرة ویُقدَّمون علی الإمام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وإذا أسلم الکافرُ علی میراثٍ قبلَ قسمته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الورثة حیث یکونون متعدّدین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الإرث بحسب حاله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مساویاً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لهم فی المرتبة کما لو کان الکافر ابناً والورثةُ إخوته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بالإرث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منهم کما لو کانوا إخوة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 کان الموروث </w:t>
      </w:r>
      <w:r>
        <w:rPr>
          <w:rStyle w:val="FootnoteAnchor"/>
          <w:rtl w:val="true"/>
        </w:rPr>
        <w:footnoteReference w:id="681"/>
      </w:r>
      <w:r>
        <w:rPr>
          <w:rFonts w:ascii="IRNazanin" w:hAnsi="IRNazanin" w:eastAsia="IRNazanin"/>
          <w:color w:val="111111"/>
          <w:sz w:val="28"/>
          <w:sz w:val="28"/>
          <w:szCs w:val="28"/>
          <w:rtl w:val="true"/>
          <w:lang w:bidi="fa-IR"/>
        </w:rPr>
        <w:t>أم کافراً، ونماء الترکة کالأصل</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أسلم بعد القسمة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الوارث واحداً فلا مشارکة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کان الوارثُ الإمامَ حیث یکون الموروث </w:t>
      </w:r>
      <w:r>
        <w:rPr>
          <w:rStyle w:val="FootnoteAnchor"/>
          <w:rtl w:val="true"/>
        </w:rPr>
        <w:footnoteReference w:id="682"/>
      </w:r>
      <w:r>
        <w:rPr>
          <w:rFonts w:ascii="IRNazanin" w:hAnsi="IRNazanin" w:eastAsia="IRNazanin"/>
          <w:color w:val="111111"/>
          <w:sz w:val="28"/>
          <w:sz w:val="28"/>
          <w:szCs w:val="28"/>
          <w:rtl w:val="true"/>
          <w:lang w:bidi="fa-IR"/>
        </w:rPr>
        <w:t>مسلماً، ففی تنزیله منزلة الوارث</w:t>
      </w:r>
    </w:p>
    <w:p>
      <w:pPr>
        <w:pStyle w:val="BookText"/>
        <w:rPr/>
      </w:pPr>
      <w:r>
        <w:rPr>
          <w:rFonts w:ascii="IRNazanin" w:hAnsi="IRNazanin" w:eastAsia="IRNazanin"/>
          <w:color w:val="111111"/>
          <w:sz w:val="28"/>
          <w:sz w:val="28"/>
          <w:szCs w:val="28"/>
          <w:rtl w:val="true"/>
          <w:lang w:bidi="fa-IR"/>
        </w:rPr>
        <w:t xml:space="preserve">الواحد </w:t>
      </w:r>
      <w:r>
        <w:rPr>
          <w:rStyle w:val="FootnoteAnchor"/>
          <w:rtl w:val="true"/>
        </w:rPr>
        <w:footnoteReference w:id="683"/>
      </w:r>
      <w:r>
        <w:rPr>
          <w:rFonts w:ascii="IRNazanin" w:hAnsi="IRNazanin" w:eastAsia="IRNazanin"/>
          <w:color w:val="111111"/>
          <w:sz w:val="28"/>
          <w:sz w:val="28"/>
          <w:szCs w:val="28"/>
          <w:rtl w:val="true"/>
          <w:lang w:bidi="fa-IR"/>
        </w:rPr>
        <w:t xml:space="preserve">أو اعتبار نقل الترکة إلی بیت المال </w:t>
      </w:r>
      <w:r>
        <w:rPr>
          <w:rStyle w:val="FootnoteAnchor"/>
          <w:rtl w:val="true"/>
        </w:rPr>
        <w:footnoteReference w:id="684"/>
      </w:r>
      <w:r>
        <w:rPr>
          <w:rFonts w:ascii="IRNazanin" w:hAnsi="IRNazanin" w:eastAsia="IRNazanin"/>
          <w:color w:val="111111"/>
          <w:sz w:val="28"/>
          <w:sz w:val="28"/>
          <w:szCs w:val="28"/>
          <w:rtl w:val="true"/>
          <w:lang w:bidi="fa-IR"/>
        </w:rPr>
        <w:t xml:space="preserve">أو توریث المسلم مطلقاً </w:t>
      </w:r>
      <w:r>
        <w:rPr>
          <w:rStyle w:val="FootnoteAnchor"/>
          <w:rtl w:val="true"/>
        </w:rPr>
        <w:footnoteReference w:id="685"/>
      </w:r>
      <w:r>
        <w:rPr>
          <w:rFonts w:ascii="IRNazanin" w:hAnsi="IRNazanin" w:eastAsia="IRNazanin"/>
          <w:color w:val="111111"/>
          <w:sz w:val="28"/>
          <w:sz w:val="28"/>
          <w:szCs w:val="28"/>
          <w:rtl w:val="true"/>
          <w:lang w:bidi="fa-IR"/>
        </w:rPr>
        <w:t>أقوال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ووجه الأوّل واضح، دون الثانی، والأخیر مرویّ </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ولو کان الوارثُ أحدَ الزوجین، فالأقوی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الزوج کالوارث المتّحد والزوجة کالمتعدّد؛ لمشارکة الإمام لها دونه وإن کان غائباً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کان الإسلام بعد قسمة البعض، ففی مشارکته فی الجمیع أو فی الباقی أو المنع منهما، أوجُهٌ أوسطها </w:t>
      </w:r>
      <w:r>
        <w:rPr>
          <w:rStyle w:val="FootnoteAnchor"/>
          <w:rtl w:val="true"/>
        </w:rPr>
        <w:footnoteReference w:id="687"/>
      </w:r>
      <w:r>
        <w:rPr>
          <w:rFonts w:ascii="IRNazanin" w:hAnsi="IRNazanin" w:eastAsia="IRNazanin"/>
          <w:color w:val="111111"/>
          <w:sz w:val="28"/>
          <w:sz w:val="28"/>
          <w:szCs w:val="28"/>
          <w:rtl w:val="true"/>
          <w:lang w:bidi="fa-IR"/>
        </w:rPr>
        <w:t>الوسط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والمرتدّ عن فطرة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الذی انعقد وأحدُ أبویه مسلم لا تقبل توبته ظاهراً وإن قُبلت باطناً علی الأقوی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تقسَّم ترکته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ورثته بعد قضاء دیونه منها إن کان علیه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لم یُقتل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فات السلطان أو لم تکن ید المستوفی مبسوطة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ویرثه المسلمون لا 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لتنزیله منزلة المسلم فی کثیر من الأحکام کقضاء عبادته الفائتة زمن الردّة</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غیر فطرة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الذی انعقد ولم یکن أحد أبویه</w:t>
      </w:r>
      <w:bookmarkStart w:id="270" w:name="pg19815_253156"/>
    </w:p>
    <w:p>
      <w:pPr>
        <w:pStyle w:val="BookText"/>
        <w:rPr/>
      </w:pPr>
      <w:bookmarkEnd w:id="270"/>
      <w:r>
        <w:rPr>
          <w:rFonts w:ascii="Amiri" w:hAnsi="Amiri" w:eastAsia="Amiri" w:cs="Amiri"/>
          <w:color w:val="111111"/>
          <w:sz w:val="28"/>
          <w:sz w:val="28"/>
          <w:szCs w:val="28"/>
          <w:rtl w:val="true"/>
          <w:lang w:bidi="ar-SA"/>
        </w:rPr>
        <w:t xml:space="preserve">مسلماً لا یُقتل معجَّلاً، 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یستتاب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الذنب الذی ارتدّ بسببه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تاب، وإلّا قُتل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 یُقسَّم مالُه حتّی یُقتل أو یموت، وسیأتی بقیّة حکمه فی باب الحدود إن شاء اللّٰه تعالی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والمرأة لا تُقتل بالارتداد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لقصور عقلها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ولکن تُحبس وتُضرب أوقات الصلوات </w:t>
      </w:r>
      <w:r>
        <w:rPr>
          <w:rStyle w:val="FootnoteAnchor"/>
          <w:rtl w:val="true"/>
        </w:rPr>
        <w:footnoteReference w:id="688"/>
      </w:r>
      <w:r>
        <w:rPr>
          <w:rFonts w:ascii="IRNazanin" w:hAnsi="IRNazanin" w:eastAsia="IRNazanin"/>
          <w:color w:val="111111"/>
          <w:sz w:val="28"/>
          <w:sz w:val="28"/>
          <w:szCs w:val="28"/>
          <w:rtl w:val="true"/>
          <w:lang w:bidi="fa-IR"/>
        </w:rPr>
        <w:t>حتّی تتوب أو تموت، وکذلک الخنثی</w:t>
      </w:r>
      <w:r>
        <w:rPr>
          <w:rFonts w:eastAsia="IRNazanin" w:cs="IRNazanin"/>
          <w:color w:val="111111"/>
          <w:sz w:val="28"/>
          <w:szCs w:val="28"/>
          <w:rtl w:val="true"/>
          <w:lang w:bidi="fa-IR"/>
        </w:rPr>
        <w:t xml:space="preserve">» </w:t>
      </w:r>
      <w:r>
        <w:rPr>
          <w:rStyle w:val="FootnoteAnchor"/>
          <w:rtl w:val="true"/>
        </w:rPr>
        <w:footnoteReference w:id="689"/>
      </w:r>
      <w:r>
        <w:rPr>
          <w:rFonts w:ascii="Amiri" w:hAnsi="Amiri" w:eastAsia="Amiri" w:cs="Amiri"/>
          <w:color w:val="111111"/>
          <w:sz w:val="28"/>
          <w:sz w:val="28"/>
          <w:szCs w:val="28"/>
          <w:rtl w:val="true"/>
          <w:lang w:bidi="ar-SA"/>
        </w:rPr>
        <w:t>للشکّ فی ذکوریّته المسلِّطة علی 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ویُحتمل </w:t>
      </w:r>
      <w:r>
        <w:rPr>
          <w:rStyle w:val="FootnoteAnchor"/>
          <w:rtl w:val="true"/>
        </w:rPr>
        <w:footnoteReference w:id="690"/>
      </w:r>
      <w:r>
        <w:rPr>
          <w:rFonts w:ascii="IRNazanin" w:hAnsi="IRNazanin" w:eastAsia="IRNazanin"/>
          <w:color w:val="111111"/>
          <w:sz w:val="28"/>
          <w:sz w:val="28"/>
          <w:szCs w:val="28"/>
          <w:rtl w:val="true"/>
          <w:lang w:bidi="fa-IR"/>
        </w:rPr>
        <w:t>أن یلحقه حکم الرجل؛ لعموم قوله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بدّل دینه فاقتلوه</w:t>
      </w:r>
      <w:r>
        <w:rPr>
          <w:rFonts w:eastAsia="IRNazanin" w:cs="IRNazanin"/>
          <w:color w:val="111111"/>
          <w:sz w:val="28"/>
          <w:szCs w:val="28"/>
          <w:rtl w:val="true"/>
          <w:lang w:bidi="fa-IR"/>
        </w:rPr>
        <w:t xml:space="preserve">» </w:t>
      </w:r>
      <w:r>
        <w:rPr>
          <w:rStyle w:val="FootnoteAnchor"/>
          <w:rtl w:val="true"/>
        </w:rPr>
        <w:footnoteReference w:id="691"/>
      </w:r>
      <w:r>
        <w:rPr>
          <w:rFonts w:ascii="IRNazanin" w:hAnsi="IRNazanin" w:eastAsia="IRNazanin"/>
          <w:color w:val="111111"/>
          <w:sz w:val="28"/>
          <w:sz w:val="28"/>
          <w:szCs w:val="28"/>
          <w:rtl w:val="true"/>
          <w:lang w:bidi="fa-IR"/>
        </w:rPr>
        <w:t>خرج منه المرأة فیبقی الباقی داخلاً فی العموم؛ إذ لا نصّ علی الخنثی بخصوصه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متّجه لولا أنّ الحدود تُدرأ بالشبهات </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71" w:name="__RefHeading___Toc2227881_2314609296"/>
      <w:bookmarkStart w:id="272" w:name="_Toc103"/>
      <w:bookmarkEnd w:id="271"/>
      <w:r>
        <w:rPr>
          <w:rtl w:val="true"/>
        </w:rPr>
        <w:t>[</w:t>
      </w:r>
      <w:r>
        <w:rPr/>
        <w:t>2</w:t>
      </w:r>
      <w:r>
        <w:rPr>
          <w:rtl w:val="true"/>
        </w:rPr>
        <w:t>-</w:t>
      </w:r>
      <w:r>
        <w:rPr>
          <w:rtl w:val="true"/>
        </w:rPr>
        <w:t xml:space="preserve">القتل </w:t>
      </w:r>
      <w:r>
        <w:rPr>
          <w:rtl w:val="true"/>
        </w:rPr>
        <w:t>]</w:t>
      </w:r>
      <w:bookmarkEnd w:id="27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قتلُ الوارثِ لولاه </w:t>
      </w:r>
      <w:r>
        <w:rPr>
          <w:rStyle w:val="FootnoteAnchor"/>
          <w:rtl w:val="true"/>
        </w:rPr>
        <w:footnoteReference w:id="693"/>
      </w:r>
      <w:r>
        <w:rPr>
          <w:rFonts w:ascii="Amiri" w:hAnsi="Amiri" w:eastAsia="Amiri" w:cs="Amiri"/>
          <w:color w:val="111111"/>
          <w:sz w:val="28"/>
          <w:sz w:val="28"/>
          <w:szCs w:val="28"/>
          <w:rtl w:val="true"/>
          <w:lang w:bidi="ar-SA"/>
        </w:rPr>
        <w:t xml:space="preserve">المورِّثَ </w:t>
      </w:r>
      <w:r>
        <w:rPr>
          <w:rStyle w:val="FootnoteAnchor"/>
          <w:rtl w:val="true"/>
        </w:rPr>
        <w:footnoteReference w:id="694"/>
      </w:r>
      <w:r>
        <w:rPr>
          <w:rFonts w:ascii="IRNazanin" w:hAnsi="IRNazanin" w:eastAsia="IRNazanin"/>
          <w:color w:val="111111"/>
          <w:sz w:val="28"/>
          <w:sz w:val="28"/>
          <w:szCs w:val="28"/>
          <w:rtl w:val="true"/>
          <w:lang w:bidi="fa-IR"/>
        </w:rPr>
        <w:t xml:space="preserve">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الإرث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عمداً ظلماً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إجماعاً، مقابلةً له بنقیض مقصوده، ولقوله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میراث للقاتل</w:t>
      </w:r>
      <w:r>
        <w:rPr>
          <w:rFonts w:eastAsia="IRNazanin" w:cs="IRNazanin"/>
          <w:color w:val="111111"/>
          <w:sz w:val="28"/>
          <w:szCs w:val="28"/>
          <w:rtl w:val="true"/>
          <w:lang w:bidi="fa-IR"/>
        </w:rPr>
        <w:t xml:space="preserve">» </w:t>
      </w:r>
      <w:r>
        <w:rPr>
          <w:rStyle w:val="FootnoteAnchor"/>
          <w:rtl w:val="true"/>
        </w:rPr>
        <w:footnoteReference w:id="695"/>
      </w:r>
      <w:r>
        <w:rPr>
          <w:rFonts w:ascii="IRNazanin" w:hAnsi="IRNazanin" w:eastAsia="IRNazanin"/>
          <w:color w:val="111111"/>
          <w:sz w:val="28"/>
          <w:sz w:val="28"/>
          <w:szCs w:val="28"/>
          <w:rtl w:val="true"/>
          <w:lang w:bidi="fa-IR"/>
        </w:rPr>
        <w:t>واحترزنا بالظلم عمّا لو قتله حدّاً أو قصاصاً ونحوهما من القتل بحقّ، فإنّه لا یمنع</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 من الدیة 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أظهر</w:t>
      </w:r>
    </w:p>
    <w:p>
      <w:pPr>
        <w:pStyle w:val="BookText"/>
        <w:rPr/>
      </w:pPr>
      <w:r>
        <w:rPr>
          <w:rFonts w:ascii="IRNazanin" w:hAnsi="IRNazanin" w:eastAsia="IRNazanin"/>
          <w:color w:val="111111"/>
          <w:sz w:val="28"/>
          <w:sz w:val="28"/>
          <w:szCs w:val="28"/>
          <w:rtl w:val="true"/>
          <w:lang w:bidi="fa-IR"/>
        </w:rPr>
        <w:t xml:space="preserve">الأقوال </w:t>
      </w:r>
      <w:r>
        <w:rPr>
          <w:rStyle w:val="FootnoteAnchor"/>
          <w:rtl w:val="true"/>
        </w:rPr>
        <w:footnoteReference w:id="696"/>
      </w:r>
      <w:r>
        <w:rPr>
          <w:rFonts w:ascii="Amiri" w:hAnsi="Amiri" w:eastAsia="Amiri" w:cs="Amiri"/>
          <w:color w:val="111111"/>
          <w:sz w:val="28"/>
          <w:sz w:val="28"/>
          <w:szCs w:val="28"/>
          <w:rtl w:val="true"/>
          <w:lang w:bidi="ar-SA"/>
        </w:rPr>
        <w:t xml:space="preserve">لأنّه جامع بین النصّین </w:t>
      </w:r>
      <w:r>
        <w:rPr>
          <w:rStyle w:val="FootnoteAnchor"/>
          <w:rtl w:val="true"/>
        </w:rPr>
        <w:footnoteReference w:id="6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ولأنّ الدیة یجب علیه دفعها إلی الوارث؛ للآیة </w:t>
      </w:r>
      <w:r>
        <w:rPr>
          <w:rStyle w:val="FootnoteAnchor"/>
          <w:rtl w:val="true"/>
        </w:rPr>
        <w:footnoteReference w:id="698"/>
      </w:r>
      <w:r>
        <w:rPr>
          <w:rFonts w:ascii="IRNazanin" w:hAnsi="IRNazanin" w:eastAsia="IRNazanin"/>
          <w:color w:val="111111"/>
          <w:sz w:val="28"/>
          <w:sz w:val="28"/>
          <w:szCs w:val="28"/>
          <w:rtl w:val="true"/>
          <w:lang w:bidi="fa-IR"/>
        </w:rPr>
        <w:t xml:space="preserve">ولا شیء من الموروث </w:t>
      </w:r>
      <w:r>
        <w:rPr>
          <w:rStyle w:val="FootnoteAnchor"/>
          <w:rtl w:val="true"/>
        </w:rPr>
        <w:footnoteReference w:id="699"/>
      </w:r>
      <w:r>
        <w:rPr>
          <w:rFonts w:ascii="IRNazanin" w:hAnsi="IRNazanin" w:eastAsia="IRNazanin"/>
          <w:color w:val="111111"/>
          <w:sz w:val="28"/>
          <w:sz w:val="28"/>
          <w:szCs w:val="28"/>
          <w:rtl w:val="true"/>
          <w:lang w:bidi="fa-IR"/>
        </w:rPr>
        <w:t xml:space="preserve">للقاتل یُدفع إلیه، والدفع إلی نفسه لا یعقل </w:t>
      </w:r>
      <w:r>
        <w:rPr>
          <w:rFonts w:eastAsia="IRNazanin" w:cs="IRNazanin"/>
          <w:color w:val="111111"/>
          <w:sz w:val="28"/>
          <w:szCs w:val="28"/>
          <w:rtl w:val="true"/>
          <w:lang w:bidi="fa-IR"/>
        </w:rPr>
        <w:t xml:space="preserve">] </w:t>
      </w:r>
      <w:r>
        <w:rPr>
          <w:rStyle w:val="FootnoteAnchor"/>
          <w:rtl w:val="true"/>
        </w:rPr>
        <w:footnoteReference w:id="700"/>
      </w:r>
      <w:r>
        <w:rPr>
          <w:rFonts w:ascii="Amiri" w:hAnsi="Amiri" w:eastAsia="Amiri" w:cs="Amiri"/>
          <w:color w:val="111111"/>
          <w:sz w:val="28"/>
          <w:sz w:val="28"/>
          <w:szCs w:val="28"/>
          <w:rtl w:val="true"/>
          <w:lang w:bidi="ar-SA"/>
        </w:rPr>
        <w:t xml:space="preserve">وبه صریحاً روایة عامّیّة </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یُمنَع مطلقاً </w:t>
      </w:r>
      <w:r>
        <w:rPr>
          <w:rStyle w:val="FootnoteAnchor"/>
          <w:rtl w:val="true"/>
        </w:rPr>
        <w:footnoteReference w:id="702"/>
      </w:r>
      <w:r>
        <w:rPr>
          <w:rFonts w:ascii="IRNazanin" w:hAnsi="IRNazanin" w:eastAsia="IRNazanin"/>
          <w:color w:val="111111"/>
          <w:sz w:val="28"/>
          <w:sz w:val="28"/>
          <w:szCs w:val="28"/>
          <w:rtl w:val="true"/>
          <w:lang w:bidi="fa-IR"/>
        </w:rPr>
        <w:t>لروایة الفضیل بن یسار عن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یرث الرجلُ الرجلَ إذا قتله، وإن کان خطأً</w:t>
      </w:r>
      <w:r>
        <w:rPr>
          <w:rFonts w:eastAsia="IRNazanin" w:cs="IRNazanin"/>
          <w:color w:val="111111"/>
          <w:sz w:val="28"/>
          <w:szCs w:val="28"/>
          <w:rtl w:val="true"/>
          <w:lang w:bidi="fa-IR"/>
        </w:rPr>
        <w:t xml:space="preserve">» </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یرث مطلقاً </w:t>
      </w:r>
      <w:r>
        <w:rPr>
          <w:rStyle w:val="FootnoteAnchor"/>
          <w:rtl w:val="true"/>
        </w:rPr>
        <w:footnoteReference w:id="704"/>
      </w:r>
      <w:r>
        <w:rPr>
          <w:rFonts w:ascii="IRNazanin" w:hAnsi="IRNazanin" w:eastAsia="IRNazanin"/>
          <w:color w:val="111111"/>
          <w:sz w:val="28"/>
          <w:sz w:val="28"/>
          <w:szCs w:val="28"/>
          <w:rtl w:val="true"/>
          <w:lang w:bidi="fa-IR"/>
        </w:rPr>
        <w:t xml:space="preserve">لصحیحة عبد اللّٰه بن سنان عنه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رجل قتل اُمّه أیرثها؟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خطأ وَرِثها، وإن کان عمداً لم یرثها</w:t>
      </w:r>
      <w:r>
        <w:rPr>
          <w:rFonts w:eastAsia="IRNazanin" w:cs="IRNazanin"/>
          <w:color w:val="111111"/>
          <w:sz w:val="28"/>
          <w:szCs w:val="28"/>
          <w:rtl w:val="true"/>
          <w:lang w:bidi="fa-IR"/>
        </w:rPr>
        <w:t xml:space="preserve">» </w:t>
      </w:r>
      <w:r>
        <w:rPr>
          <w:rStyle w:val="FootnoteAnchor"/>
          <w:rtl w:val="true"/>
        </w:rPr>
        <w:footnoteReference w:id="705"/>
      </w:r>
      <w:r>
        <w:rPr>
          <w:rFonts w:ascii="IRNazanin" w:hAnsi="IRNazanin" w:eastAsia="IRNazanin"/>
          <w:color w:val="111111"/>
          <w:sz w:val="28"/>
          <w:sz w:val="28"/>
          <w:szCs w:val="28"/>
          <w:rtl w:val="true"/>
          <w:lang w:bidi="fa-IR"/>
        </w:rPr>
        <w:t>وترک الاستفصال دلیل العموم فیما ترکته مطلقاً، ومنه 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وروایة الفضیل مرسلة فلا تعارض الصحیح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إلحاق شبیه العمد به أو بالخطأ قولان </w:t>
      </w:r>
      <w:r>
        <w:rPr>
          <w:rStyle w:val="FootnoteAnchor"/>
          <w:rtl w:val="true"/>
        </w:rPr>
        <w:footnoteReference w:id="706"/>
      </w:r>
      <w:r>
        <w:rPr>
          <w:rFonts w:ascii="IRNazanin" w:hAnsi="IRNazanin" w:eastAsia="IRNazanin"/>
          <w:color w:val="111111"/>
          <w:sz w:val="28"/>
          <w:sz w:val="28"/>
          <w:szCs w:val="28"/>
          <w:rtl w:val="true"/>
          <w:lang w:bidi="fa-IR"/>
        </w:rPr>
        <w:t>أجودهما الأوّل؛ لأنّه عامد فی الجملة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ووجه العدم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کونه خاطئاً کذلک؛ ولأنّ التعلیل بمقابلته بنقیض مقصوده لا یجری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فرق بین الصبیّ والمجنون وغیرهما، لکن فی إلحاقهما بالخاطئ أو العامد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الأوّل أوجَه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بین المباشر والسبب فی ظاهر المذهب؛ للعموم </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ویرث الدیةَ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دیةَ المقتول سواءٌ وجبت أصالة کالخطأ وشبهه، أم صلحاً کالعمد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مناسبٍ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للمقتول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ومساببٍ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کغیرها من أمواله؛ لعموم آیة أُولُوا اَلْأَرْحٰامِ </w:t>
      </w:r>
      <w:r>
        <w:rPr>
          <w:rStyle w:val="FootnoteAnchor"/>
          <w:rtl w:val="true"/>
        </w:rPr>
        <w:footnoteReference w:id="708"/>
      </w:r>
      <w:r>
        <w:rPr>
          <w:rFonts w:ascii="IRNazanin" w:hAnsi="IRNazanin" w:eastAsia="IRNazanin"/>
          <w:color w:val="111111"/>
          <w:sz w:val="28"/>
          <w:sz w:val="28"/>
          <w:szCs w:val="28"/>
          <w:rtl w:val="true"/>
          <w:lang w:bidi="fa-IR"/>
        </w:rPr>
        <w:t>فإنّهم جمع مضاف</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المتقرّب بالاُمّ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قولان</w:t>
      </w:r>
      <w:r>
        <w:rPr>
          <w:rFonts w:eastAsia="Amiri" w:cs="Amiri" w:ascii="Amiri" w:hAnsi="Amiri"/>
          <w:color w:val="111111"/>
          <w:sz w:val="28"/>
          <w:szCs w:val="28"/>
          <w:rtl w:val="true"/>
          <w:lang w:bidi="ar-SA"/>
        </w:rPr>
        <w:t xml:space="preserve">» </w:t>
      </w:r>
      <w:r>
        <w:rPr>
          <w:rStyle w:val="FootnoteAnchor"/>
          <w:rtl w:val="true"/>
        </w:rPr>
        <w:footnoteReference w:id="709"/>
      </w:r>
      <w:r>
        <w:rPr>
          <w:rFonts w:ascii="IRNazanin" w:hAnsi="IRNazanin" w:eastAsia="IRNazanin"/>
          <w:color w:val="111111"/>
          <w:sz w:val="28"/>
          <w:sz w:val="28"/>
          <w:szCs w:val="28"/>
          <w:rtl w:val="true"/>
          <w:lang w:bidi="fa-IR"/>
        </w:rPr>
        <w:t>مأخذهما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سلف، ودلالة روایة محمّد بن قیس </w:t>
      </w:r>
      <w:r>
        <w:rPr>
          <w:rStyle w:val="FootnoteAnchor"/>
          <w:rtl w:val="true"/>
        </w:rPr>
        <w:footnoteReference w:id="710"/>
      </w:r>
      <w:r>
        <w:rPr>
          <w:rFonts w:ascii="IRNazanin" w:hAnsi="IRNazanin" w:eastAsia="IRNazanin"/>
          <w:color w:val="111111"/>
          <w:sz w:val="28"/>
          <w:sz w:val="28"/>
          <w:szCs w:val="28"/>
          <w:rtl w:val="true"/>
          <w:lang w:bidi="fa-IR"/>
        </w:rPr>
        <w:t xml:space="preserve">وعبد اللّٰه بن سنان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وعبید بن زرارة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الباقر والصادق علیهما السلام بحرمان الإخوة من الاُمّ، واُلحِق غیرُهم من المتقرّب بها</w:t>
      </w:r>
      <w:bookmarkStart w:id="273" w:name="pg19815_253159"/>
    </w:p>
    <w:p>
      <w:pPr>
        <w:pStyle w:val="BookText"/>
        <w:rPr/>
      </w:pPr>
      <w:bookmarkEnd w:id="273"/>
      <w:r>
        <w:rPr>
          <w:rFonts w:ascii="IRNazanin" w:hAnsi="IRNazanin" w:eastAsia="IRNazanin"/>
          <w:color w:val="111111"/>
          <w:sz w:val="28"/>
          <w:sz w:val="28"/>
          <w:szCs w:val="28"/>
          <w:rtl w:val="true"/>
          <w:lang w:bidi="fa-IR"/>
        </w:rPr>
        <w:t xml:space="preserve">بهم؛ لمفهوم الموافقة، واستقربه المصنّف فی الدروس </w:t>
      </w:r>
      <w:r>
        <w:rPr>
          <w:rStyle w:val="FootnoteAnchor"/>
          <w:rtl w:val="true"/>
        </w:rPr>
        <w:footnoteReference w:id="711"/>
      </w:r>
      <w:r>
        <w:rPr>
          <w:rFonts w:ascii="IRNazanin" w:hAnsi="IRNazanin" w:eastAsia="IRNazanin"/>
          <w:color w:val="111111"/>
          <w:sz w:val="28"/>
          <w:sz w:val="28"/>
          <w:szCs w:val="28"/>
          <w:rtl w:val="true"/>
          <w:lang w:bidi="fa-IR"/>
        </w:rPr>
        <w:t>بعد حکمه بقصر المنع علی موضع النصّ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ویرثها الزوجُ والزوجةُ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وروایة السکونی بمنعهما </w:t>
      </w:r>
      <w:r>
        <w:rPr>
          <w:rStyle w:val="FootnoteAnchor"/>
          <w:rtl w:val="true"/>
        </w:rPr>
        <w:footnoteReference w:id="712"/>
      </w:r>
      <w:r>
        <w:rPr>
          <w:rFonts w:ascii="IRNazanin" w:hAnsi="IRNazanin" w:eastAsia="IRNazanin"/>
          <w:color w:val="111111"/>
          <w:sz w:val="28"/>
          <w:sz w:val="28"/>
          <w:szCs w:val="28"/>
          <w:rtl w:val="true"/>
          <w:lang w:bidi="fa-IR"/>
        </w:rPr>
        <w:t xml:space="preserve">ضعیفة، أو محمولة علی التقیّة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یرثان القصاص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صُولح علی 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العمد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ورثا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کغیرها من الأموال وغیرهما من الورّاث؛ للعموم</w:t>
      </w:r>
      <w:r>
        <w:rPr>
          <w:rFonts w:eastAsia="IRNazanin" w:cs="IRNazanin"/>
          <w:color w:val="111111"/>
          <w:sz w:val="28"/>
          <w:szCs w:val="28"/>
          <w:rtl w:val="true"/>
          <w:lang w:bidi="fa-IR"/>
        </w:rPr>
        <w:t>.</w:t>
      </w:r>
    </w:p>
    <w:p>
      <w:pPr>
        <w:pStyle w:val="Heading6"/>
        <w:numPr>
          <w:ilvl w:val="5"/>
          <w:numId w:val="1"/>
        </w:numPr>
        <w:rPr/>
      </w:pPr>
      <w:bookmarkStart w:id="274" w:name="__RefHeading___Toc2227883_2314609296"/>
      <w:bookmarkStart w:id="275" w:name="_Toc104"/>
      <w:bookmarkEnd w:id="274"/>
      <w:r>
        <w:rPr>
          <w:rtl w:val="true"/>
        </w:rPr>
        <w:t>[</w:t>
      </w:r>
      <w:r>
        <w:rPr/>
        <w:t>3</w:t>
      </w:r>
      <w:r>
        <w:rPr>
          <w:rtl w:val="true"/>
        </w:rPr>
        <w:t>-</w:t>
      </w:r>
      <w:r>
        <w:rPr>
          <w:rtl w:val="true"/>
        </w:rPr>
        <w:t xml:space="preserve">الرقّ </w:t>
      </w:r>
      <w:r>
        <w:rPr>
          <w:rtl w:val="true"/>
        </w:rPr>
        <w:t>]</w:t>
      </w:r>
      <w:bookmarkEnd w:id="27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الإرث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الوارث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کان الموروثُ مثلَه، بل یرثه الحرّ وإن کان ضامنَ جریرة دون الرقّ وإن کان ولداً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الموروث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یرث الرقَّ قریبُه الحرّ وإن قلنا بملکه، بل ماله لمولاه بحقّ الملک لا بالإرث، مطلقاً </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کان للرقیق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المیّت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ورث جدَّه، دون الأب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لوجود المانع فیه دونه، ولا یُمنع برقّ أبیه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وکذا الکافر والقاتل لا یَمنعان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الإرث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یتقرّب بهما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لانتفاء المانع منه دونهما</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من تحرّر بعضُه وبقی بعضُه رقّاً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یرث بقَدَر ما فیه من الحرّیّة، ویُمنع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الإرث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بقدر الرقّیّة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کان للمیّت ولدٌ نصفه حرّ وأخٌ حرٌّ فالمال بینهما نصفان، ولو کان نصف الآخر حرّاً أیضاً فللابن النصف، وللأخ الربع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والباقی للعمّ الحرّ إن کان، فلو کان نصفه حرّاً فله الثمن والباقی</w:t>
      </w:r>
    </w:p>
    <w:p>
      <w:pPr>
        <w:pStyle w:val="BookText"/>
        <w:rPr/>
      </w:pPr>
      <w:r>
        <w:rPr>
          <w:rFonts w:ascii="IRNazanin" w:hAnsi="IRNazanin" w:eastAsia="IRNazanin"/>
          <w:color w:val="111111"/>
          <w:sz w:val="28"/>
          <w:sz w:val="28"/>
          <w:szCs w:val="28"/>
          <w:rtl w:val="true"/>
          <w:lang w:bidi="fa-IR"/>
        </w:rPr>
        <w:t>لغیره من المراتب المتأخّرة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ویُورَث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المبعَّض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کان نصفه حرّاً فلمولاه نصف ترکته، ولوارثه الحرّ النصف، وهکذا</w:t>
      </w:r>
      <w:r>
        <w:rPr>
          <w:rFonts w:eastAsia="IRNazanin" w:cs="IRNazanin"/>
          <w:color w:val="111111"/>
          <w:sz w:val="28"/>
          <w:szCs w:val="28"/>
          <w:rtl w:val="true"/>
          <w:lang w:bidi="fa-IR"/>
        </w:rPr>
        <w:t>.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وإذا اُعتق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میراث قبل قسمته فکالإسلام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القسمة یرث إن کان الوارث متعدّداً ولم یقتسموا الترکة، ویُمنع مع اتّحاده أو سبق القسمة علی عتقه، إلی آخر ما ذکر </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وإذا لم یکن للمیّت وارث سوی المملوک اشتری من الترکة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قهراً علی مولاه، والمتولّی له الحاکم الشرعی، فإن تعذّر تولّاه غیره کفایة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واُعتق وورث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باقی الترکة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أباً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الرقّ للمیّت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ولداً أو غیرهما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الأنساب علی الأشهر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الأبوان والأولاد فموضع وفاق، وبه نصوص کثیرة </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وربما قیل بعدم فکّ الأولاد </w:t>
      </w:r>
      <w:r>
        <w:rPr>
          <w:rStyle w:val="FootnoteAnchor"/>
          <w:rtl w:val="true"/>
        </w:rPr>
        <w:footnoteReference w:id="716"/>
      </w:r>
      <w:r>
        <w:rPr>
          <w:rFonts w:ascii="IRNazanin" w:hAnsi="IRNazanin" w:eastAsia="IRNazanin"/>
          <w:color w:val="111111"/>
          <w:sz w:val="28"/>
          <w:sz w:val="28"/>
          <w:szCs w:val="28"/>
          <w:rtl w:val="true"/>
          <w:lang w:bidi="fa-IR"/>
        </w:rPr>
        <w:t>والأوّل هو المذهب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غیرهما من الأرحام فببعضه نصوص غیر نقیّة السند </w:t>
      </w:r>
      <w:r>
        <w:rPr>
          <w:rStyle w:val="FootnoteAnchor"/>
          <w:rtl w:val="true"/>
        </w:rPr>
        <w:footnoteReference w:id="717"/>
      </w:r>
      <w:r>
        <w:rPr>
          <w:rFonts w:ascii="IRNazanin" w:hAnsi="IRNazanin" w:eastAsia="IRNazanin"/>
          <w:color w:val="111111"/>
          <w:sz w:val="28"/>
          <w:sz w:val="28"/>
          <w:szCs w:val="28"/>
          <w:rtl w:val="true"/>
          <w:lang w:bidi="fa-IR"/>
        </w:rPr>
        <w:t>ولم یفرّق أحد بینهم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فحکم الأکثر بفکّ الجمیع، وتوقّف العلّامة فی المختلف </w:t>
      </w:r>
      <w:r>
        <w:rPr>
          <w:rStyle w:val="FootnoteAnchor"/>
          <w:rtl w:val="true"/>
        </w:rPr>
        <w:footnoteReference w:id="718"/>
      </w:r>
      <w:r>
        <w:rPr>
          <w:rFonts w:ascii="IRNazanin" w:hAnsi="IRNazanin" w:eastAsia="IRNazanin"/>
          <w:color w:val="111111"/>
          <w:sz w:val="28"/>
          <w:sz w:val="28"/>
          <w:szCs w:val="28"/>
          <w:rtl w:val="true"/>
          <w:lang w:bidi="fa-IR"/>
        </w:rPr>
        <w:t>لذلک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 وجه</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شراء الزوجة روایة صحیحة </w:t>
      </w:r>
      <w:r>
        <w:rPr>
          <w:rStyle w:val="FootnoteAnchor"/>
          <w:rtl w:val="true"/>
        </w:rPr>
        <w:footnoteReference w:id="719"/>
      </w:r>
      <w:r>
        <w:rPr>
          <w:rFonts w:ascii="IRNazanin" w:hAnsi="IRNazanin" w:eastAsia="IRNazanin"/>
          <w:color w:val="111111"/>
          <w:sz w:val="28"/>
          <w:sz w:val="28"/>
          <w:szCs w:val="28"/>
          <w:rtl w:val="true"/>
          <w:lang w:bidi="fa-IR"/>
        </w:rPr>
        <w:t>وحُمل علیها الزوج بطریق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قصر المال عن قیمته ففی فکّه قولان </w:t>
      </w:r>
      <w:r>
        <w:rPr>
          <w:rStyle w:val="FootnoteAnchor"/>
          <w:rtl w:val="true"/>
        </w:rPr>
        <w:footnoteReference w:id="720"/>
      </w:r>
      <w:r>
        <w:rPr>
          <w:rFonts w:ascii="IRNazanin" w:hAnsi="IRNazanin" w:eastAsia="IRNazanin"/>
          <w:color w:val="111111"/>
          <w:sz w:val="28"/>
          <w:sz w:val="28"/>
          <w:szCs w:val="28"/>
          <w:rtl w:val="true"/>
          <w:lang w:bidi="fa-IR"/>
        </w:rPr>
        <w:t>أشهرهما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العدم، وقوفاً فیما خالف الأصل علی موضع الوفاق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یتّجه فی غیر من اتّفق علی فکّه، وفیه یتّجه شراء الجزء وإن قَلّ، عملاً بمقتضی الأمر بحسب الإمکان، ولحصول الغرض به فی الجملة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المشهور لو تعدّد الرقیق وقصُر المال عن فکّ الجمیع وأمکن أن یُفکّ به البعض ففی فکّه بالقرعة، أو التخییر، أو عدمه، أوجُهٌ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الإشکال لو وفت حصّة بعضهم بقیمته وقصر البعض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فکّ الموفی هنا أوجَه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وظاهر النصوص توقّف عتقه بعد الشراء علی الإعتاق کما یظهر من العبارة، فیتولّاه من یتولّی الشراء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فرق بین اُمّ الولد والمدبَّر والمکاتب المشروط والمطلَق الذی لم یؤدّ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شیئاً من مال الکتابة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وبین القنّ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لاشتراک الجمیع فی أصل الرقّیّة، وإن تشبَّث بعضهم بالحرّیة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والنهی عن بیع اُمّ الولد مخصوص بغیر ما فیه تعجیل لعتقها؛ لأنّه زیادة فی مصلحتها التی نشأ منها المنع، فیصحّ بطریق أولی</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کان المُطلَق قد أدّی شیئاً وعُتِق منه بحسابه فُکَّ الباقی وإن کان یرث بجزئه الحرّ؛ لأنّ ما قابل جزءَه الرقّ من الإرث بمنزلة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Style w:val="FootnoteAnchor"/>
          <w:rtl w:val="true"/>
        </w:rPr>
        <w:footnoteReference w:id="721"/>
      </w:r>
      <w:r>
        <w:rPr>
          <w:rFonts w:ascii="IRNazanin" w:hAnsi="IRNazanin" w:eastAsia="IRNazanin"/>
          <w:color w:val="111111"/>
          <w:sz w:val="28"/>
          <w:sz w:val="28"/>
          <w:szCs w:val="28"/>
          <w:rtl w:val="true"/>
          <w:lang w:bidi="fa-IR"/>
        </w:rPr>
        <w:t>لا وارث له</w:t>
      </w:r>
      <w:bookmarkStart w:id="276" w:name="pg19815_253162"/>
    </w:p>
    <w:p>
      <w:pPr>
        <w:pStyle w:val="Heading6"/>
        <w:numPr>
          <w:ilvl w:val="5"/>
          <w:numId w:val="1"/>
        </w:numPr>
        <w:rPr/>
      </w:pPr>
      <w:bookmarkStart w:id="277" w:name="__RefHeading___Toc2227885_2314609296"/>
      <w:bookmarkStart w:id="278" w:name="_Toc105"/>
      <w:bookmarkEnd w:id="276"/>
      <w:bookmarkEnd w:id="277"/>
      <w:r>
        <w:rPr>
          <w:rtl w:val="true"/>
        </w:rPr>
        <w:t>[</w:t>
      </w:r>
      <w:r>
        <w:rPr/>
        <w:t>4</w:t>
      </w:r>
      <w:r>
        <w:rPr>
          <w:rtl w:val="true"/>
        </w:rPr>
        <w:t>-</w:t>
      </w:r>
      <w:r>
        <w:rPr>
          <w:rtl w:val="true"/>
        </w:rPr>
        <w:t>اللعان</w:t>
      </w:r>
      <w:r>
        <w:rPr>
          <w:rtl w:val="true"/>
        </w:rPr>
        <w:t>]</w:t>
      </w:r>
      <w:bookmarkEnd w:id="27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رابعها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مانع من الإرث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الزوجین وبین الزوج والولد المنفیّ به من جانب الأب والولد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إلّاأن یکذّب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نفیه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فیرثه الولد من غیر عکس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وهل یرثه حینئذٍ أقاربُ الأب مع اعترافهم به، أو مطلقاً، أو عدمه مطلقاً، أوجُهٌ، أشهرها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الأخیر؛ لحکم الشرع بانقطاع النسب فلا یعود، وإنّما ورثه الولدُ بالتکذیب بدلیل 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اتّفق للولد قَرابة من الأبوین، واُخری من الاُمّ کالإخوة اقتسموا بالسویّة؛ لسقوط نسب الأب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 المنفیّ توأمین توارثا بالاُمومة</w:t>
      </w:r>
      <w:r>
        <w:rPr>
          <w:rFonts w:eastAsia="IRNazanin" w:cs="IRNazanin"/>
          <w:color w:val="111111"/>
          <w:sz w:val="28"/>
          <w:szCs w:val="28"/>
          <w:rtl w:val="true"/>
          <w:lang w:bidi="fa-IR"/>
        </w:rPr>
        <w:t>.</w:t>
      </w:r>
    </w:p>
    <w:p>
      <w:pPr>
        <w:pStyle w:val="Heading6"/>
        <w:numPr>
          <w:ilvl w:val="5"/>
          <w:numId w:val="1"/>
        </w:numPr>
        <w:rPr/>
      </w:pPr>
      <w:bookmarkStart w:id="279" w:name="__RefHeading___Toc2227887_2314609296"/>
      <w:bookmarkStart w:id="280" w:name="_Toc106"/>
      <w:bookmarkEnd w:id="279"/>
      <w:r>
        <w:rPr>
          <w:rtl w:val="true"/>
        </w:rPr>
        <w:t>[</w:t>
      </w:r>
      <w:r>
        <w:rPr/>
        <w:t>5</w:t>
      </w:r>
      <w:r>
        <w:rPr>
          <w:rtl w:val="true"/>
        </w:rPr>
        <w:t>-</w:t>
      </w:r>
      <w:r>
        <w:rPr>
          <w:rtl w:val="true"/>
        </w:rPr>
        <w:t xml:space="preserve">الحمل </w:t>
      </w:r>
      <w:r>
        <w:rPr>
          <w:rtl w:val="true"/>
        </w:rPr>
        <w:t>]</w:t>
      </w:r>
      <w:bookmarkEnd w:id="28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خامسها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مانع من الإرث، إلّاأن ینفصل حیّاً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سقط میّتاً لم یرث؛ لقوله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السقط لا یرث ولا یُورث</w:t>
      </w:r>
      <w:r>
        <w:rPr>
          <w:rFonts w:eastAsia="IRNazanin" w:cs="IRNazanin"/>
          <w:color w:val="111111"/>
          <w:sz w:val="28"/>
          <w:szCs w:val="28"/>
          <w:rtl w:val="true"/>
          <w:lang w:bidi="fa-IR"/>
        </w:rPr>
        <w:t xml:space="preserve">» </w:t>
      </w:r>
      <w:r>
        <w:rPr>
          <w:rStyle w:val="FootnoteAnchor"/>
          <w:rtl w:val="true"/>
        </w:rPr>
        <w:footnoteReference w:id="722"/>
      </w:r>
      <w:r>
        <w:rPr>
          <w:rFonts w:ascii="IRNazanin" w:hAnsi="IRNazanin" w:eastAsia="IRNazanin"/>
          <w:color w:val="111111"/>
          <w:sz w:val="28"/>
          <w:sz w:val="28"/>
          <w:szCs w:val="28"/>
          <w:rtl w:val="true"/>
          <w:lang w:bidi="fa-IR"/>
        </w:rPr>
        <w:t xml:space="preserve">ولا تشترط حیاته عند موت المورث </w:t>
      </w:r>
      <w:r>
        <w:rPr>
          <w:rStyle w:val="FootnoteAnchor"/>
          <w:rtl w:val="true"/>
        </w:rPr>
        <w:footnoteReference w:id="723"/>
      </w:r>
      <w:r>
        <w:rPr>
          <w:rFonts w:ascii="IRNazanin" w:hAnsi="IRNazanin" w:eastAsia="IRNazanin"/>
          <w:color w:val="111111"/>
          <w:sz w:val="28"/>
          <w:sz w:val="28"/>
          <w:szCs w:val="28"/>
          <w:rtl w:val="true"/>
          <w:lang w:bidi="fa-IR"/>
        </w:rPr>
        <w:t xml:space="preserve">بل لو کان نطفة ورث إذا انفصل حیّاً، ولا یشترط استقرار حیاته بعد انفصاله ولا استهلاله </w:t>
      </w:r>
      <w:r>
        <w:rPr>
          <w:rStyle w:val="FootnoteAnchor"/>
          <w:rtl w:val="true"/>
        </w:rPr>
        <w:footnoteReference w:id="724"/>
      </w:r>
      <w:r>
        <w:rPr>
          <w:rFonts w:ascii="IRNazanin" w:hAnsi="IRNazanin" w:eastAsia="IRNazanin"/>
          <w:color w:val="111111"/>
          <w:sz w:val="28"/>
          <w:sz w:val="28"/>
          <w:szCs w:val="28"/>
          <w:rtl w:val="true"/>
          <w:lang w:bidi="fa-IR"/>
        </w:rPr>
        <w:t>لجواز کونه أخرس، بل مطلق الحیاة المعتبرة بالحرکة البیّنة، لا بنحو التقلّص الطبیعی کما لو خرج بعضه حیّاً وبعضه میتّاً</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وکما یُحَجب الحمل عن الإرث إلی أن ینفصل حیّاً یَحجُب غیرَه ممّن هو دونه لیستبین أمرُه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لو کان للمیّت امرأة أو أمة حامل وله إخوة فیُترک الإرث</w:t>
      </w:r>
      <w:bookmarkStart w:id="281" w:name="pg19815_253163"/>
    </w:p>
    <w:p>
      <w:pPr>
        <w:pStyle w:val="BookText"/>
        <w:rPr/>
      </w:pPr>
      <w:bookmarkEnd w:id="281"/>
      <w:r>
        <w:rPr>
          <w:rFonts w:ascii="Amiri" w:hAnsi="Amiri" w:eastAsia="Amiri" w:cs="Amiri"/>
          <w:color w:val="111111"/>
          <w:sz w:val="28"/>
          <w:sz w:val="28"/>
          <w:szCs w:val="28"/>
          <w:rtl w:val="true"/>
          <w:lang w:bidi="ar-SA"/>
        </w:rPr>
        <w:t>حتّی تضع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 لو طلبت الزوجة الإرث اُعطیت حصّةَ ذات الولد؛ لأنّه المتیقّن، بخلاف الإخوة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کان هناک أبوان اُعطیا السدسین، أو أولاد اُرجئ سهم ذکرین؛ لندور الزائد، فإن انکشف الحال بخلافه استُدرک زیادة ونقصاناً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ویُعلم وجود الحمل حال موت المورث بأن یُوضَع حیّاً لدون ستّة أشهر منذ موته، أو لأقصی الحمل إن لم توطأ الاُمّ وطأً یصلح استناده إلیه، فلو وطئت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بشبهة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یرث؛ لاحتمال تجدّده مع أصالة عدم تقدّمه</w:t>
      </w:r>
      <w:r>
        <w:rPr>
          <w:rFonts w:eastAsia="IRNazanin" w:cs="IRNazanin"/>
          <w:color w:val="111111"/>
          <w:sz w:val="28"/>
          <w:szCs w:val="28"/>
          <w:rtl w:val="true"/>
          <w:lang w:bidi="fa-IR"/>
        </w:rPr>
        <w:t>.</w:t>
      </w:r>
    </w:p>
    <w:p>
      <w:pPr>
        <w:pStyle w:val="Heading6"/>
        <w:numPr>
          <w:ilvl w:val="5"/>
          <w:numId w:val="1"/>
        </w:numPr>
        <w:rPr/>
      </w:pPr>
      <w:bookmarkStart w:id="282" w:name="__RefHeading___Toc2227889_2314609296"/>
      <w:bookmarkStart w:id="283" w:name="_Toc107"/>
      <w:bookmarkEnd w:id="282"/>
      <w:r>
        <w:rPr>
          <w:rtl w:val="true"/>
        </w:rPr>
        <w:t>[</w:t>
      </w:r>
      <w:r>
        <w:rPr/>
        <w:t>6</w:t>
      </w:r>
      <w:r>
        <w:rPr>
          <w:rtl w:val="true"/>
        </w:rPr>
        <w:t xml:space="preserve">- </w:t>
      </w:r>
      <w:r>
        <w:rPr>
          <w:rtl w:val="true"/>
        </w:rPr>
        <w:t>الغیبة المنقطعة</w:t>
      </w:r>
      <w:r>
        <w:rPr>
          <w:rtl w:val="true"/>
        </w:rPr>
        <w:t>]</w:t>
      </w:r>
      <w:bookmarkEnd w:id="283"/>
    </w:p>
    <w:p>
      <w:pPr>
        <w:pStyle w:val="BookText"/>
        <w:rPr/>
      </w:pPr>
      <w:r>
        <w:rPr>
          <w:rFonts w:ascii="IRNazanin" w:hAnsi="IRNazanin" w:eastAsia="IRNazanin"/>
          <w:color w:val="111111"/>
          <w:sz w:val="28"/>
          <w:sz w:val="28"/>
          <w:szCs w:val="28"/>
          <w:rtl w:val="true"/>
          <w:lang w:bidi="fa-IR"/>
        </w:rPr>
        <w:t>وسادسها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الغیبة المنقطعة وهی مانعة من نفوذ الإرث ظاهراً حتّی یثبت الموت شرعاً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نبّه علیه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والغائب غیبة منقطعة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بحیث لا یُعلم خبره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یُورث حتّی تمضی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من حین ولادته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مدّةً لا یعیش مثلُه إلیها 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عبرة بالنادر، وهی فی زماننا مئة وعشرون سنة، ولا یبعد الآن الاکتفاء بالمئة؛ لندور التعمیر إلیها فی هذه البلاد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مضت للغائب المدّةُ المعتبرة حُکم بتوریث من هو موجود حالَ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مات له قریب فی تلک المدّة عُزِل له نصیبه منه وکان بحکم 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والحکم بالتربّص بمیراث الغائب المدّةَ المذکورة هو المشهور بین الأصحاب، وهو مناسب للأصل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لیس به روایة صریحة، وما ادّعی له من النصوص </w:t>
      </w:r>
      <w:r>
        <w:rPr>
          <w:rStyle w:val="FootnoteAnchor"/>
          <w:rtl w:val="true"/>
        </w:rPr>
        <w:footnoteReference w:id="725"/>
      </w:r>
      <w:r>
        <w:rPr>
          <w:rFonts w:ascii="Amiri" w:hAnsi="Amiri" w:eastAsia="Amiri" w:cs="Amiri"/>
          <w:color w:val="111111"/>
          <w:sz w:val="28"/>
          <w:sz w:val="28"/>
          <w:szCs w:val="28"/>
          <w:rtl w:val="true"/>
          <w:lang w:bidi="ar-SA"/>
        </w:rPr>
        <w:t>لیس دالّاً علیه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وفی المسألة أقوال اُخر مستندة إلی روایات بعضها صحیح</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یُطلب أربع سنین فی الأرض، فإن لم یُوجد قُسّم ماله بین ورثته،</w:t>
      </w:r>
      <w:bookmarkStart w:id="284" w:name="pg19815_253164"/>
    </w:p>
    <w:p>
      <w:pPr>
        <w:pStyle w:val="BookText"/>
        <w:rPr/>
      </w:pPr>
      <w:bookmarkEnd w:id="284"/>
      <w:r>
        <w:rPr>
          <w:rFonts w:ascii="IRNazanin" w:hAnsi="IRNazanin" w:eastAsia="IRNazanin"/>
          <w:color w:val="111111"/>
          <w:sz w:val="28"/>
          <w:sz w:val="28"/>
          <w:szCs w:val="28"/>
          <w:rtl w:val="true"/>
          <w:lang w:bidi="fa-IR"/>
        </w:rPr>
        <w:t xml:space="preserve">ذهب إلیه المرتضی </w:t>
      </w:r>
      <w:r>
        <w:rPr>
          <w:rStyle w:val="FootnoteAnchor"/>
          <w:rtl w:val="true"/>
        </w:rPr>
        <w:footnoteReference w:id="726"/>
      </w:r>
      <w:r>
        <w:rPr>
          <w:rFonts w:ascii="IRNazanin" w:hAnsi="IRNazanin" w:eastAsia="IRNazanin"/>
          <w:color w:val="111111"/>
          <w:sz w:val="28"/>
          <w:sz w:val="28"/>
          <w:szCs w:val="28"/>
          <w:rtl w:val="true"/>
          <w:lang w:bidi="fa-IR"/>
        </w:rPr>
        <w:t xml:space="preserve">والصدوق </w:t>
      </w:r>
      <w:r>
        <w:rPr>
          <w:rStyle w:val="FootnoteAnchor"/>
          <w:rtl w:val="true"/>
        </w:rPr>
        <w:footnoteReference w:id="727"/>
      </w:r>
      <w:r>
        <w:rPr>
          <w:rFonts w:ascii="IRNazanin" w:hAnsi="IRNazanin" w:eastAsia="IRNazanin"/>
          <w:color w:val="111111"/>
          <w:sz w:val="28"/>
          <w:sz w:val="28"/>
          <w:szCs w:val="28"/>
          <w:rtl w:val="true"/>
          <w:lang w:bidi="fa-IR"/>
        </w:rPr>
        <w:t xml:space="preserve">وقوّاه المصنّف فی الدروس </w:t>
      </w:r>
      <w:r>
        <w:rPr>
          <w:rStyle w:val="FootnoteAnchor"/>
          <w:rtl w:val="true"/>
        </w:rPr>
        <w:footnoteReference w:id="728"/>
      </w:r>
      <w:r>
        <w:rPr>
          <w:rFonts w:ascii="IRNazanin" w:hAnsi="IRNazanin" w:eastAsia="IRNazanin"/>
          <w:color w:val="111111"/>
          <w:sz w:val="28"/>
          <w:sz w:val="28"/>
          <w:szCs w:val="28"/>
          <w:rtl w:val="true"/>
          <w:lang w:bidi="fa-IR"/>
        </w:rPr>
        <w:t xml:space="preserve">وجنح إلیه العلّامة </w:t>
      </w:r>
      <w:r>
        <w:rPr>
          <w:rStyle w:val="FootnoteAnchor"/>
          <w:rtl w:val="true"/>
        </w:rPr>
        <w:footnoteReference w:id="729"/>
      </w:r>
      <w:r>
        <w:rPr>
          <w:rFonts w:ascii="Amiri" w:hAnsi="Amiri" w:eastAsia="Amiri" w:cs="Amiri"/>
          <w:color w:val="111111"/>
          <w:sz w:val="28"/>
          <w:sz w:val="28"/>
          <w:szCs w:val="28"/>
          <w:rtl w:val="true"/>
          <w:lang w:bidi="ar-SA"/>
        </w:rPr>
        <w:t xml:space="preserve">وهو قویّ مرویّ </w:t>
      </w:r>
      <w:r>
        <w:rPr>
          <w:rStyle w:val="FootnoteAnchor"/>
          <w:rtl w:val="true"/>
        </w:rPr>
        <w:footnoteReference w:id="730"/>
      </w:r>
      <w:r>
        <w:rPr>
          <w:rFonts w:ascii="IRNazanin" w:hAnsi="IRNazanin" w:eastAsia="IRNazanin"/>
          <w:color w:val="111111"/>
          <w:sz w:val="28"/>
          <w:sz w:val="28"/>
          <w:szCs w:val="28"/>
          <w:rtl w:val="true"/>
          <w:lang w:bidi="fa-IR"/>
        </w:rPr>
        <w:t xml:space="preserve">ویؤیّده الحکم السابق باعتداد زوجته عدّة الوفاة وجواز تزویجها بعدها </w:t>
      </w:r>
      <w:r>
        <w:rPr>
          <w:rStyle w:val="FootnoteAnchor"/>
          <w:rtl w:val="true"/>
        </w:rPr>
        <w:footnoteReference w:id="731"/>
      </w:r>
      <w:r>
        <w:rPr>
          <w:rFonts w:ascii="IRNazanin" w:hAnsi="IRNazanin" w:eastAsia="IRNazanin"/>
          <w:color w:val="111111"/>
          <w:sz w:val="28"/>
          <w:sz w:val="28"/>
          <w:szCs w:val="28"/>
          <w:rtl w:val="true"/>
          <w:lang w:bidi="fa-IR"/>
        </w:rPr>
        <w:t>ولو لم یُطلب کذلک فالعمل علی القول المشهور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یکفی انتظاره عشرَ سنین من غیر طلب </w:t>
      </w:r>
      <w:r>
        <w:rPr>
          <w:rStyle w:val="FootnoteAnchor"/>
          <w:rtl w:val="true"/>
        </w:rPr>
        <w:footnoteReference w:id="732"/>
      </w:r>
      <w:r>
        <w:rPr>
          <w:rFonts w:ascii="Amiri" w:hAnsi="Amiri" w:eastAsia="Amiri" w:cs="Amiri"/>
          <w:color w:val="111111"/>
          <w:sz w:val="28"/>
          <w:sz w:val="28"/>
          <w:szCs w:val="28"/>
          <w:rtl w:val="true"/>
          <w:lang w:bidi="ar-SA"/>
        </w:rPr>
        <w:t xml:space="preserve">وهو مرویّ أیضاً </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85" w:name="__RefHeading___Toc2227891_2314609296"/>
      <w:bookmarkStart w:id="286" w:name="_Toc108"/>
      <w:bookmarkEnd w:id="285"/>
      <w:r>
        <w:rPr>
          <w:rtl w:val="true"/>
        </w:rPr>
        <w:t>[</w:t>
      </w:r>
      <w:r>
        <w:rPr>
          <w:rtl w:val="true"/>
        </w:rPr>
        <w:t>الحجب</w:t>
      </w:r>
      <w:r>
        <w:rPr>
          <w:rtl w:val="true"/>
        </w:rPr>
        <w:t>]</w:t>
      </w:r>
      <w:bookmarkEnd w:id="286"/>
    </w:p>
    <w:p>
      <w:pPr>
        <w:pStyle w:val="Heading6"/>
        <w:numPr>
          <w:ilvl w:val="5"/>
          <w:numId w:val="1"/>
        </w:numPr>
        <w:rPr/>
      </w:pPr>
      <w:bookmarkStart w:id="287" w:name="__RefHeading___Toc2227893_2314609296"/>
      <w:bookmarkStart w:id="288" w:name="_Toc109"/>
      <w:bookmarkEnd w:id="287"/>
      <w:r>
        <w:rPr>
          <w:rtl w:val="true"/>
        </w:rPr>
        <w:t>اشارة</w:t>
      </w:r>
      <w:bookmarkEnd w:id="28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ویلحق بذلک الحجب ،</w:t>
      </w:r>
    </w:p>
    <w:p>
      <w:pPr>
        <w:pStyle w:val="Heading6"/>
        <w:numPr>
          <w:ilvl w:val="5"/>
          <w:numId w:val="1"/>
        </w:numPr>
        <w:rPr/>
      </w:pPr>
      <w:bookmarkStart w:id="289" w:name="__RefHeading___Toc2227895_2314609296"/>
      <w:bookmarkStart w:id="290" w:name="_Toc110"/>
      <w:bookmarkEnd w:id="289"/>
      <w:r>
        <w:rPr>
          <w:rtl w:val="true"/>
        </w:rPr>
        <w:t>[«</w:t>
      </w:r>
      <w:r>
        <w:rPr>
          <w:rtl w:val="true"/>
        </w:rPr>
        <w:t>وأمّا الحجب عن اصل الإرث</w:t>
      </w:r>
      <w:r>
        <w:rPr>
          <w:rtl w:val="true"/>
        </w:rPr>
        <w:t>»]</w:t>
      </w:r>
      <w:bookmarkEnd w:id="290"/>
    </w:p>
    <w:p>
      <w:pPr>
        <w:pStyle w:val="BookText"/>
        <w:rPr/>
      </w:pPr>
      <w:r>
        <w:rPr>
          <w:rFonts w:ascii="IRNazanin" w:hAnsi="IRNazanin" w:eastAsia="IRNazanin"/>
          <w:color w:val="111111"/>
          <w:sz w:val="28"/>
          <w:sz w:val="28"/>
          <w:szCs w:val="28"/>
          <w:rtl w:val="true"/>
          <w:lang w:bidi="fa-IR"/>
        </w:rPr>
        <w:t>و هو تارةً عن أصل الإرث کما فی حَجْب القریب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کلّ مرتبة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عنها وإن کان قریباً فی الجملة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فالأبوان والأولاد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أهل المرتبة الاُولی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یحجبون الإخوة والأجداد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أهلَ المرتبة الثانیة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الإخوة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وأولادهم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والأجداد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علوا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یحجبون الأعمام والأخوال، ثمّ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الأعمام والأخوال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یحجبون أبناءهم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أبناؤهم للصلب یحجبون أبناءهم أیضاً، وهکذا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وکذا الأولاد للصلب والإخوة یحجبون أبناءهم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ینبغی التعرّض لهم، لکن ما ذکره علی وجه بیان حکم الحجب لا للحصر</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ولو اُعید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المذکورین فی کلّ مرتبة لدخل الأولاد والإخوة، وتبیّن أ نّهم یحجبون أولادهم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یشکل بالأجداد، فإنّه یستلزم أن یحجبوا الآباء، والجدّ البعید یحجب القریبَ، وهو فاسد، وإن صحّ حجب الأجداد</w:t>
      </w:r>
    </w:p>
    <w:p>
      <w:pPr>
        <w:pStyle w:val="BookText"/>
        <w:rPr/>
      </w:pPr>
      <w:r>
        <w:rPr>
          <w:rFonts w:ascii="IRNazanin" w:hAnsi="IRNazanin" w:eastAsia="IRNazanin"/>
          <w:color w:val="111111"/>
          <w:sz w:val="28"/>
          <w:sz w:val="28"/>
          <w:szCs w:val="28"/>
          <w:rtl w:val="true"/>
          <w:lang w:bidi="fa-IR"/>
        </w:rPr>
        <w:t>لأولادهم الذین هم الأعمام والأخوال، إلّاأ نّه مستغنی عنهم بالتصریح بذکرهم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والضابط أ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 اجتمع فی المرتبة الواحدة طبقات ورث الأقرب إلی المیّت فیها فالأقرب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القریب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w:t>
      </w:r>
      <w:r>
        <w:rPr>
          <w:rStyle w:val="FootnoteAnchor"/>
          <w:rtl w:val="true"/>
        </w:rPr>
        <w:footnoteReference w:id="7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یحجب المُعتِقَ، والمُعتِقُ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قام مقامَه یحجب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ضامِنَ الجریرة، والضامنُ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والمتقرّبُ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بالأبوین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کلّ مرتبة من مراتب القرابة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یحجب المتقرّب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بالأب مع تساوی الدرج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کإخوة من أبویه مع إخوة من أب، لا مع اختلاف الدرج کأخ لأب مع ابن أخ لأب واُمّ، فإنّ الأقرب أولی من الأبعد وإن مَتّ </w:t>
      </w:r>
      <w:r>
        <w:rPr>
          <w:rStyle w:val="FootnoteAnchor"/>
          <w:rtl w:val="true"/>
        </w:rPr>
        <w:footnoteReference w:id="735"/>
      </w:r>
      <w:r>
        <w:rPr>
          <w:rFonts w:ascii="IRNazanin" w:hAnsi="IRNazanin" w:eastAsia="IRNazanin"/>
          <w:color w:val="111111"/>
          <w:sz w:val="28"/>
          <w:sz w:val="28"/>
          <w:szCs w:val="28"/>
          <w:rtl w:val="true"/>
          <w:lang w:bidi="fa-IR"/>
        </w:rPr>
        <w:t>الأبعد بالطرفین، دونه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إلّافی ابن عمّ للأب والاُمّ، فإنّه یمنع العمّ للأب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کان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منه، وهی مسألة إجماعیّة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منصوصة </w:t>
      </w:r>
      <w:r>
        <w:rPr>
          <w:rStyle w:val="FootnoteAnchor"/>
          <w:rtl w:val="true"/>
        </w:rPr>
        <w:footnoteReference w:id="736"/>
      </w:r>
      <w:r>
        <w:rPr>
          <w:rFonts w:ascii="IRNazanin" w:hAnsi="IRNazanin" w:eastAsia="IRNazanin"/>
          <w:color w:val="111111"/>
          <w:sz w:val="28"/>
          <w:sz w:val="28"/>
          <w:szCs w:val="28"/>
          <w:rtl w:val="true"/>
          <w:lang w:bidi="fa-IR"/>
        </w:rPr>
        <w:t>خرجت بذلک عن حکم القاعدة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یتغیّر الحکم بتعدّد أحدهما أو تعدّدهما، ولا بالزوج والزوجة المجامعین لهما؛ لصدق الفرض فی ذلک کلّه</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تغیّره بالذکورة والاُنوثة قولان، أجودهما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w:t>
      </w:r>
      <w:r>
        <w:rPr>
          <w:rStyle w:val="FootnoteAnchor"/>
          <w:rtl w:val="true"/>
        </w:rPr>
        <w:footnoteReference w:id="737"/>
      </w:r>
      <w:r>
        <w:rPr>
          <w:rFonts w:ascii="IRNazanin" w:hAnsi="IRNazanin" w:eastAsia="IRNazanin"/>
          <w:color w:val="111111"/>
          <w:sz w:val="28"/>
          <w:sz w:val="28"/>
          <w:szCs w:val="28"/>
          <w:rtl w:val="true"/>
          <w:lang w:bidi="fa-IR"/>
        </w:rPr>
        <w:t>لکونه خلافَ الفرضِ المخالف للأصل، فیقتصر علی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ووجه العدم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اشتراک الذکر والاُنثی</w:t>
      </w:r>
    </w:p>
    <w:p>
      <w:pPr>
        <w:pStyle w:val="BookText"/>
        <w:rPr/>
      </w:pPr>
      <w:r>
        <w:rPr>
          <w:rFonts w:ascii="IRNazanin" w:hAnsi="IRNazanin" w:eastAsia="IRNazanin"/>
          <w:color w:val="111111"/>
          <w:sz w:val="28"/>
          <w:sz w:val="28"/>
          <w:szCs w:val="28"/>
          <w:rtl w:val="true"/>
          <w:lang w:bidi="fa-IR"/>
        </w:rPr>
        <w:t>فی الإرث والمرتبة والحجب فی 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مذهب الشیخ، فألحق العمّة بالعمّ </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وکذا الخلاف فی تغیّره بمجامعة الخال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یتغیّر فیکون المال بین العمّ والخال </w:t>
      </w:r>
      <w:r>
        <w:rPr>
          <w:rStyle w:val="FootnoteAnchor"/>
          <w:rtl w:val="true"/>
        </w:rPr>
        <w:footnoteReference w:id="739"/>
      </w:r>
      <w:r>
        <w:rPr>
          <w:rFonts w:ascii="IRNazanin" w:hAnsi="IRNazanin" w:eastAsia="IRNazanin"/>
          <w:color w:val="111111"/>
          <w:sz w:val="28"/>
          <w:sz w:val="28"/>
          <w:szCs w:val="28"/>
          <w:rtl w:val="true"/>
          <w:lang w:bidi="fa-IR"/>
        </w:rPr>
        <w:t>لأنّه أقرب من ابن العمّ، ولا مانع له من الإرث بنصّ ولا إجماع، فیسقط ابن العمّ به رأساً، ویبقی فی الطبقة عمّ وخال، فیشترکان؛ لانتفاء مانع العمّ 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 إلی ذلک عمادُ الدین ابنُ حمزة </w:t>
      </w:r>
      <w:r>
        <w:rPr>
          <w:rStyle w:val="FootnoteAnchor"/>
          <w:rtl w:val="true"/>
        </w:rPr>
        <w:footnoteReference w:id="740"/>
      </w:r>
      <w:r>
        <w:rPr>
          <w:rFonts w:ascii="IRNazanin" w:hAnsi="IRNazanin" w:eastAsia="IRNazanin"/>
          <w:color w:val="111111"/>
          <w:sz w:val="28"/>
          <w:sz w:val="28"/>
          <w:szCs w:val="28"/>
          <w:rtl w:val="true"/>
          <w:lang w:bidi="fa-IR"/>
        </w:rPr>
        <w:t xml:space="preserve">ورجّحه المصنّف فی الدروس </w:t>
      </w:r>
      <w:r>
        <w:rPr>
          <w:rStyle w:val="FootnoteAnchor"/>
          <w:rtl w:val="true"/>
        </w:rPr>
        <w:footnoteReference w:id="741"/>
      </w:r>
      <w:r>
        <w:rPr>
          <w:rFonts w:ascii="Amiri" w:hAnsi="Amiri" w:eastAsia="Amiri" w:cs="Amiri"/>
          <w:color w:val="111111"/>
          <w:sz w:val="28"/>
          <w:sz w:val="28"/>
          <w:szCs w:val="28"/>
          <w:rtl w:val="true"/>
          <w:lang w:bidi="ar-SA"/>
        </w:rPr>
        <w:t xml:space="preserve">وقَبِله المحقّق فی الشرائع </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قطب الدین الراوندی ومعین الدین المصری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المال للخال وابن العمّ؛ لأنّ الخال لا یمنع العمّ، فلأن لا یمنع ابن العمّ الذی هو أقرب أولی </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المحقّق الفاضلُ سدیدُ الدین محمود الحمصی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المال للخال؛ لأنّ العمّ محجوب بابن العمّ وابن العمّ محجوب بالخال </w:t>
      </w:r>
      <w:r>
        <w:rPr>
          <w:rStyle w:val="FootnoteAnchor"/>
          <w:rtl w:val="true"/>
        </w:rPr>
        <w:footnoteReference w:id="744"/>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ولکلّ واحد من هذه الأقوال وجه وجیه، وإن کان أقواها الأوّل </w:t>
      </w:r>
      <w:r>
        <w:rPr>
          <w:rStyle w:val="FootnoteAnchor"/>
          <w:rtl w:val="true"/>
        </w:rPr>
        <w:footnoteReference w:id="745"/>
      </w:r>
      <w:r>
        <w:rPr>
          <w:rFonts w:ascii="Amiri" w:hAnsi="Amiri" w:eastAsia="Amiri" w:cs="Amiri"/>
          <w:color w:val="111111"/>
          <w:sz w:val="28"/>
          <w:sz w:val="28"/>
          <w:szCs w:val="28"/>
          <w:rtl w:val="true"/>
          <w:lang w:bidi="ar-SA"/>
        </w:rPr>
        <w:t>وقوفاً فیما خالف الأصل علی موضع النصّ والوفاق، فیبقی عموم آیة أُولُوا اَلْأَرْحٰامِ التی استدلّ بها الجمیع علی تقدیم الأقرب خالیاً عن المعارض</w:t>
      </w:r>
      <w:r>
        <w:rPr>
          <w:rFonts w:eastAsia="Amiri" w:cs="Amiri" w:ascii="Amiri" w:hAnsi="Amiri"/>
          <w:color w:val="111111"/>
          <w:sz w:val="28"/>
          <w:szCs w:val="28"/>
          <w:rtl w:val="true"/>
          <w:lang w:bidi="ar-SA"/>
        </w:rPr>
        <w:t>.</w:t>
      </w:r>
      <w:bookmarkStart w:id="291" w:name="pg19815_253167"/>
    </w:p>
    <w:p>
      <w:pPr>
        <w:pStyle w:val="BookText"/>
        <w:rPr/>
      </w:pPr>
      <w:bookmarkEnd w:id="291"/>
      <w:r>
        <w:rPr>
          <w:rFonts w:ascii="IRNazanin" w:hAnsi="IRNazanin" w:eastAsia="IRNazanin"/>
          <w:color w:val="111111"/>
          <w:sz w:val="28"/>
          <w:sz w:val="28"/>
          <w:szCs w:val="28"/>
          <w:rtl w:val="true"/>
          <w:lang w:bidi="fa-IR"/>
        </w:rPr>
        <w:t xml:space="preserve">وتوقّف العلّامة فی المختلف </w:t>
      </w:r>
      <w:r>
        <w:rPr>
          <w:rStyle w:val="FootnoteAnchor"/>
          <w:rtl w:val="true"/>
        </w:rPr>
        <w:footnoteReference w:id="746"/>
      </w:r>
      <w:r>
        <w:rPr>
          <w:rFonts w:ascii="IRNazanin" w:hAnsi="IRNazanin" w:eastAsia="IRNazanin"/>
          <w:color w:val="111111"/>
          <w:sz w:val="28"/>
          <w:sz w:val="28"/>
          <w:szCs w:val="28"/>
          <w:rtl w:val="true"/>
          <w:lang w:bidi="fa-IR"/>
        </w:rPr>
        <w:t xml:space="preserve">لذلک </w:t>
      </w:r>
      <w:r>
        <w:rPr>
          <w:rStyle w:val="FootnoteAnchor"/>
          <w:rtl w:val="true"/>
        </w:rPr>
        <w:footnoteReference w:id="747"/>
      </w:r>
      <w:r>
        <w:rPr>
          <w:rFonts w:ascii="IRNazanin" w:hAnsi="IRNazanin" w:eastAsia="IRNazanin"/>
          <w:color w:val="111111"/>
          <w:sz w:val="28"/>
          <w:sz w:val="28"/>
          <w:szCs w:val="28"/>
          <w:rtl w:val="true"/>
          <w:lang w:bidi="fa-IR"/>
        </w:rPr>
        <w:t xml:space="preserve">وقد صنّف هؤلاء الفضلاء علی المسألة رسائل </w:t>
      </w:r>
      <w:r>
        <w:rPr>
          <w:rStyle w:val="FootnoteAnchor"/>
          <w:rtl w:val="true"/>
        </w:rPr>
        <w:footnoteReference w:id="748"/>
      </w:r>
      <w:r>
        <w:rPr>
          <w:rFonts w:ascii="IRNazanin" w:hAnsi="IRNazanin" w:eastAsia="IRNazanin"/>
          <w:color w:val="111111"/>
          <w:sz w:val="28"/>
          <w:sz w:val="28"/>
          <w:szCs w:val="28"/>
          <w:rtl w:val="true"/>
          <w:lang w:bidi="fa-IR"/>
        </w:rPr>
        <w:t>تشتمل علی مباحث طویلة وفوائد جلیلة</w:t>
      </w:r>
      <w:r>
        <w:rPr>
          <w:rFonts w:eastAsia="IRNazanin" w:cs="IRNazanin"/>
          <w:color w:val="111111"/>
          <w:sz w:val="28"/>
          <w:szCs w:val="28"/>
          <w:rtl w:val="true"/>
          <w:lang w:bidi="fa-IR"/>
        </w:rPr>
        <w:t>.</w:t>
      </w:r>
    </w:p>
    <w:p>
      <w:pPr>
        <w:pStyle w:val="Heading6"/>
        <w:numPr>
          <w:ilvl w:val="5"/>
          <w:numId w:val="1"/>
        </w:numPr>
        <w:rPr/>
      </w:pPr>
      <w:bookmarkStart w:id="292" w:name="__RefHeading___Toc2227897_2314609296"/>
      <w:bookmarkStart w:id="293" w:name="_Toc111"/>
      <w:bookmarkEnd w:id="292"/>
      <w:r>
        <w:rPr>
          <w:rtl w:val="true"/>
        </w:rPr>
        <w:t>[«</w:t>
      </w:r>
      <w:r>
        <w:rPr>
          <w:rtl w:val="true"/>
        </w:rPr>
        <w:t>وأمّا الحجب عن بعض الإرث</w:t>
      </w:r>
      <w:r>
        <w:rPr>
          <w:rtl w:val="true"/>
        </w:rPr>
        <w:t>»]</w:t>
      </w:r>
      <w:bookmarkEnd w:id="293"/>
    </w:p>
    <w:p>
      <w:pPr>
        <w:pStyle w:val="BookText"/>
        <w:rPr/>
      </w:pPr>
      <w:r>
        <w:rPr>
          <w:rFonts w:ascii="IRNazanin" w:hAnsi="IRNazanin" w:eastAsia="IRNazanin"/>
          <w:color w:val="111111"/>
          <w:sz w:val="28"/>
          <w:sz w:val="28"/>
          <w:szCs w:val="28"/>
          <w:rtl w:val="true"/>
          <w:lang w:bidi="fa-IR"/>
        </w:rPr>
        <w:t xml:space="preserve">دون بعض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ذکراً واُنثی فإنّه یحصل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للزوجین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نصیب الزوجیّة الأعلی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الأدنی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الأبوین عمّا زاد عن السدسین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وأحدَهما عمّا زاد عن السدس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یکونا أو 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البنت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الواحدة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سواء کان معها الأبوان أم أحدهما، فإنّهما لا یُحجَبان ولا أحدهما عن الزیادة عن السدس، بل یشارکانها فیما زاد عن نصفها وسدسیهما بالنسبة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البنات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البنتین فصاعداً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أحد الأبوین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فإنّهنّ لا یمنعنه عمّا زاد أیضاً، بل یُردّ علیهنّ وعلیه ما بقی من المفروض بالنسبة کما سیأتی تفصیله </w:t>
      </w:r>
      <w:r>
        <w:rPr>
          <w:rStyle w:val="FootnoteAnchor"/>
          <w:rtl w:val="true"/>
        </w:rPr>
        <w:footnoteReference w:id="749"/>
      </w:r>
      <w:r>
        <w:rPr>
          <w:rFonts w:ascii="Amiri" w:hAnsi="Amiri" w:eastAsia="Amiri" w:cs="Amiri"/>
          <w:color w:val="111111"/>
          <w:sz w:val="28"/>
          <w:sz w:val="28"/>
          <w:szCs w:val="28"/>
          <w:rtl w:val="true"/>
          <w:lang w:bidi="ar-SA"/>
        </w:rPr>
        <w:t>ولو کان معهنّ أبوان استغرقت سهامُهم الفریضةَ، فلا ردّ فمِن ثَمّ أدخلهما فی قسم الحَجب</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المسألة قول نادر بحجب البنتین فصاعداً أحد الأبوین عمّا زاد عن السدس </w:t>
      </w:r>
      <w:r>
        <w:rPr>
          <w:rStyle w:val="FootnoteAnchor"/>
          <w:rtl w:val="true"/>
        </w:rPr>
        <w:footnoteReference w:id="750"/>
      </w:r>
      <w:r>
        <w:rPr>
          <w:rFonts w:ascii="IRNazanin" w:hAnsi="IRNazanin" w:eastAsia="IRNazanin"/>
          <w:color w:val="111111"/>
          <w:sz w:val="28"/>
          <w:sz w:val="28"/>
          <w:szCs w:val="28"/>
          <w:rtl w:val="true"/>
          <w:lang w:bidi="fa-IR"/>
        </w:rPr>
        <w:t xml:space="preserve">لروایة أبی بصیر عن الصادق علیه السلام </w:t>
      </w:r>
      <w:r>
        <w:rPr>
          <w:rStyle w:val="FootnoteAnchor"/>
          <w:rtl w:val="true"/>
        </w:rPr>
        <w:footnoteReference w:id="751"/>
      </w:r>
      <w:r>
        <w:rPr>
          <w:rFonts w:ascii="IRNazanin" w:hAnsi="IRNazanin" w:eastAsia="IRNazanin"/>
          <w:color w:val="111111"/>
          <w:sz w:val="28"/>
          <w:sz w:val="28"/>
          <w:szCs w:val="28"/>
          <w:rtl w:val="true"/>
          <w:lang w:bidi="fa-IR"/>
        </w:rPr>
        <w:t xml:space="preserve">وهو متروک </w:t>
      </w:r>
      <w:r>
        <w:rPr>
          <w:rStyle w:val="FootnoteAnchor"/>
          <w:rtl w:val="true"/>
        </w:rPr>
        <w:footnoteReference w:id="7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الإخوة تحجب الاُمّ عن الثلث إلی السدس بشروط </w:t>
      </w:r>
      <w:r>
        <w:rPr>
          <w:rStyle w:val="FootnoteAnchor"/>
          <w:rtl w:val="true"/>
        </w:rPr>
        <w:footnoteReference w:id="7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وجود الأب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لیوفّروا علیه ما حجبوها عنه وإن لم یحصل لهم منه شیء، فلو کان معدوماً لم یحجبوها عن الثلث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کونهم رجلین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ذکرین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فصاعداً، أو أربع نساء، أو رجلاً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ذکراً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وامرأتین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اُنثیین وإن لم یبلغا، والخنثی هنا کالاُنثی؛ للشکّ فی الذکوریّة الموجب للشکّ فی الحَجب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واستقرب المصنّف فی الدروس هنا القرعة </w:t>
      </w:r>
      <w:r>
        <w:rPr>
          <w:rStyle w:val="FootnoteAnchor"/>
          <w:rtl w:val="true"/>
        </w:rPr>
        <w:footnoteReference w:id="7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إخوة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للأب، والاُمّ، أو للأب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بالتفریق، فلا تحجب کلالةُ الاُمّ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موانع الإرث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القتل والکفر والرقّ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اللعان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ویُحجب الغائبُ ما لم یُقضَ بموته شرعاً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کونهم منفصلین بالولادة، لا حملاً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یحجب الحمل ولو بکونه متمّماً للعدد المعتبر فیه علی المشهور، إمّا لعدم إطلاق اسم الإخوة علیه حینئذٍ، أو لکونه لا ینفق علیه الأب وهو علّة التوفیر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الثانی منع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والعلّة غیر متحقّقة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الدروس جعل عدم حجبه قولاً </w:t>
      </w:r>
      <w:r>
        <w:rPr>
          <w:rStyle w:val="FootnoteAnchor"/>
          <w:rtl w:val="true"/>
        </w:rPr>
        <w:footnoteReference w:id="755"/>
      </w:r>
      <w:r>
        <w:rPr>
          <w:rFonts w:ascii="IRNazanin" w:hAnsi="IRNazanin" w:eastAsia="IRNazanin"/>
          <w:color w:val="111111"/>
          <w:sz w:val="28"/>
          <w:sz w:val="28"/>
          <w:szCs w:val="28"/>
          <w:rtl w:val="true"/>
          <w:lang w:bidi="fa-IR"/>
        </w:rPr>
        <w:t>مؤذناً بتمریضه</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ویشترط 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کونهم أحیاء عند موت الموروث، فلو کان بعضهم</w:t>
      </w:r>
    </w:p>
    <w:p>
      <w:pPr>
        <w:pStyle w:val="BookText"/>
        <w:rPr/>
      </w:pPr>
      <w:r>
        <w:rPr>
          <w:rFonts w:ascii="IRNazanin" w:hAnsi="IRNazanin" w:eastAsia="IRNazanin"/>
          <w:color w:val="111111"/>
          <w:sz w:val="28"/>
          <w:sz w:val="28"/>
          <w:szCs w:val="28"/>
          <w:rtl w:val="true"/>
          <w:lang w:bidi="fa-IR"/>
        </w:rPr>
        <w:t>میّتاً أو کلّهم عنده لم یحجب؛ وکذا لو اقترن موتاهما أو اشتبه التقدّم والتأخّر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وتوقّف المصنّف فی الدروس لو کانوا غرقی من حیث إنّ فرض موت کلّ واحد منهما یستدعی کون الآخر حیّاً فیتحقّق الحجب، ومن عدم القطع بوجوده والإرث حکم شرعیّ، فلا یلزم منه اطّراد الحکم بالحیاة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أجد فی هذا کلاماً لمن سبق </w:t>
      </w:r>
      <w:r>
        <w:rPr>
          <w:rStyle w:val="FootnoteAnchor"/>
          <w:rtl w:val="true"/>
        </w:rPr>
        <w:footnoteReference w:id="7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والأقوی عدم الحجب؛ للشکّ، والوقوف فی ما خالف الأصل علی مورده</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المغایرة بین الحاجب والمحجوب، فلو کانت الاُمّ اُختاً لأب فلا حَجب کما یتّفق ذلک فی المجوس، أو الشبهة بوطء الرجل ابنته، فولدها أخوها لأبیها</w:t>
      </w:r>
      <w:r>
        <w:rPr>
          <w:rFonts w:eastAsia="IRNazanin" w:cs="IRNazanin"/>
          <w:color w:val="111111"/>
          <w:sz w:val="28"/>
          <w:szCs w:val="28"/>
          <w:rtl w:val="true"/>
          <w:lang w:bidi="fa-IR"/>
        </w:rPr>
        <w:t>.</w:t>
      </w:r>
      <w:bookmarkStart w:id="294" w:name="pg19815_253170"/>
    </w:p>
    <w:p>
      <w:pPr>
        <w:pStyle w:val="Heading4"/>
        <w:numPr>
          <w:ilvl w:val="3"/>
          <w:numId w:val="1"/>
        </w:numPr>
        <w:rPr/>
      </w:pPr>
      <w:bookmarkStart w:id="295" w:name="__RefHeading___Toc2227899_2314609296"/>
      <w:bookmarkStart w:id="296" w:name="_Toc112"/>
      <w:bookmarkEnd w:id="294"/>
      <w:bookmarkEnd w:id="295"/>
      <w:r>
        <w:rPr>
          <w:rtl w:val="true"/>
        </w:rPr>
        <w:t>«</w:t>
      </w:r>
      <w:r>
        <w:rPr>
          <w:rtl w:val="true"/>
        </w:rPr>
        <w:t>الفصل الثانی</w:t>
      </w:r>
      <w:r>
        <w:rPr>
          <w:rtl w:val="true"/>
        </w:rPr>
        <w:t>» «</w:t>
      </w:r>
      <w:r>
        <w:rPr>
          <w:rtl w:val="true"/>
        </w:rPr>
        <w:t>فی</w:t>
      </w:r>
      <w:r>
        <w:rPr>
          <w:rtl w:val="true"/>
        </w:rPr>
        <w:t xml:space="preserve">» </w:t>
      </w:r>
      <w:r>
        <w:rPr>
          <w:rtl w:val="true"/>
        </w:rPr>
        <w:t xml:space="preserve">بیان </w:t>
      </w:r>
      <w:r>
        <w:rPr>
          <w:rtl w:val="true"/>
        </w:rPr>
        <w:t>«</w:t>
      </w:r>
      <w:r>
        <w:rPr>
          <w:rtl w:val="true"/>
        </w:rPr>
        <w:t>السهام</w:t>
      </w:r>
      <w:r>
        <w:rPr>
          <w:rtl w:val="true"/>
        </w:rPr>
        <w:t xml:space="preserve">» </w:t>
      </w:r>
      <w:r>
        <w:rPr>
          <w:rtl w:val="true"/>
        </w:rPr>
        <w:t xml:space="preserve">المقدّرة </w:t>
      </w:r>
      <w:r>
        <w:rPr>
          <w:rtl w:val="true"/>
        </w:rPr>
        <w:t>«</w:t>
      </w:r>
      <w:r>
        <w:rPr>
          <w:rtl w:val="true"/>
        </w:rPr>
        <w:t>و</w:t>
      </w:r>
      <w:r>
        <w:rPr>
          <w:rtl w:val="true"/>
        </w:rPr>
        <w:t xml:space="preserve">» </w:t>
      </w:r>
      <w:r>
        <w:rPr>
          <w:rtl w:val="true"/>
        </w:rPr>
        <w:t xml:space="preserve">بیان </w:t>
      </w:r>
      <w:r>
        <w:rPr>
          <w:rtl w:val="true"/>
        </w:rPr>
        <w:t>«</w:t>
      </w:r>
      <w:r>
        <w:rPr>
          <w:rtl w:val="true"/>
        </w:rPr>
        <w:t>أهلها</w:t>
      </w:r>
      <w:r>
        <w:rPr>
          <w:rtl w:val="true"/>
        </w:rPr>
        <w:t>»</w:t>
      </w:r>
      <w:bookmarkEnd w:id="296"/>
    </w:p>
    <w:p>
      <w:pPr>
        <w:pStyle w:val="Heading5"/>
        <w:numPr>
          <w:ilvl w:val="4"/>
          <w:numId w:val="1"/>
        </w:numPr>
        <w:rPr/>
      </w:pPr>
      <w:bookmarkStart w:id="297" w:name="__RefHeading___Toc2227901_2314609296"/>
      <w:bookmarkStart w:id="298" w:name="_Toc113"/>
      <w:bookmarkEnd w:id="297"/>
      <w:r>
        <w:rPr>
          <w:rtl w:val="true"/>
        </w:rPr>
        <w:t>اشارة</w:t>
      </w:r>
      <w:bookmarkEnd w:id="29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وهی فی کتاب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w:t>
      </w:r>
      <w:r>
        <w:rPr>
          <w:rFonts w:eastAsia="Amiri" w:cs="Amiri" w:ascii="Amiri" w:hAnsi="Amiri"/>
          <w:color w:val="111111"/>
          <w:sz w:val="28"/>
          <w:szCs w:val="28"/>
          <w:rtl w:val="true"/>
          <w:lang w:bidi="ar-SA"/>
        </w:rPr>
        <w:t>:</w:t>
      </w:r>
    </w:p>
    <w:p>
      <w:pPr>
        <w:pStyle w:val="Heading5"/>
        <w:numPr>
          <w:ilvl w:val="4"/>
          <w:numId w:val="1"/>
        </w:numPr>
        <w:rPr/>
      </w:pPr>
      <w:bookmarkStart w:id="299" w:name="__RefHeading___Toc2227903_2314609296"/>
      <w:bookmarkStart w:id="300" w:name="_Toc114"/>
      <w:bookmarkEnd w:id="299"/>
      <w:r>
        <w:rPr>
          <w:rtl w:val="true"/>
        </w:rPr>
        <w:t>[</w:t>
      </w:r>
      <w:r>
        <w:rPr>
          <w:rtl w:val="true"/>
        </w:rPr>
        <w:t>السهام</w:t>
      </w:r>
      <w:r>
        <w:rPr>
          <w:rtl w:val="true"/>
        </w:rPr>
        <w:t>]</w:t>
      </w:r>
      <w:bookmarkEnd w:id="300"/>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ذُکر فی ثلاثة مواضع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إِنْ کٰانَتْ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البنت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وٰاحِدَةً فَلَهَا اَلنِّصْفُ </w:t>
      </w:r>
      <w:r>
        <w:rPr>
          <w:rStyle w:val="FootnoteAnchor"/>
          <w:rtl w:val="true"/>
        </w:rPr>
        <w:footnoteReference w:id="7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لکم نصف ما ترک أزواجکم </w:t>
      </w:r>
      <w:r>
        <w:rPr>
          <w:rStyle w:val="FootnoteAnchor"/>
          <w:rtl w:val="true"/>
        </w:rPr>
        <w:footnoteReference w:id="758"/>
      </w:r>
      <w:r>
        <w:rPr>
          <w:rFonts w:ascii="IRNazanin" w:hAnsi="IRNazanin" w:eastAsia="IRNazanin"/>
          <w:color w:val="111111"/>
          <w:sz w:val="28"/>
          <w:sz w:val="28"/>
          <w:szCs w:val="28"/>
          <w:rtl w:val="true"/>
          <w:lang w:bidi="fa-IR"/>
        </w:rPr>
        <w:t>و له اُخت فلها نصف ما ترک</w:t>
      </w:r>
      <w:r>
        <w:rPr>
          <w:rFonts w:eastAsia="IRNazanin" w:cs="IRNazanin"/>
          <w:color w:val="111111"/>
          <w:sz w:val="28"/>
          <w:szCs w:val="28"/>
          <w:rtl w:val="true"/>
          <w:lang w:bidi="fa-IR"/>
        </w:rPr>
        <w:t xml:space="preserve">) </w:t>
      </w:r>
      <w:r>
        <w:rPr>
          <w:rStyle w:val="FootnoteAnchor"/>
          <w:rtl w:val="true"/>
        </w:rPr>
        <w:footnoteReference w:id="75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نصف النصف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مذکور فیه فی موضعین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فَلَکُمُ اَلرُّبُعُ مِمّٰا تَرَکْنَ</w:t>
      </w:r>
      <w:r>
        <w:rPr>
          <w:rFonts w:eastAsia="Amiri" w:cs="Amiri" w:ascii="Amiri" w:hAnsi="Amiri"/>
          <w:color w:val="111111"/>
          <w:sz w:val="28"/>
          <w:szCs w:val="28"/>
          <w:rtl w:val="true"/>
          <w:lang w:bidi="ar-SA"/>
        </w:rPr>
        <w:t xml:space="preserve">) </w:t>
      </w:r>
      <w:r>
        <w:rPr>
          <w:rStyle w:val="FootnoteAnchor"/>
          <w:rtl w:val="true"/>
        </w:rPr>
        <w:footnoteReference w:id="760"/>
      </w:r>
      <w:r>
        <w:rPr>
          <w:rFonts w:ascii="Amiri" w:hAnsi="Amiri" w:eastAsia="Amiri" w:cs="Amiri"/>
          <w:color w:val="111111"/>
          <w:sz w:val="28"/>
          <w:sz w:val="28"/>
          <w:szCs w:val="28"/>
          <w:rtl w:val="true"/>
          <w:lang w:bidi="ar-SA"/>
        </w:rPr>
        <w:t>وثانیهما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لَهُنَّ اَلرُّبُعُ مِمّٰا تَرَکْتُمْ</w:t>
      </w:r>
      <w:r>
        <w:rPr>
          <w:rFonts w:eastAsia="Amiri" w:cs="Amiri" w:ascii="Amiri" w:hAnsi="Amiri"/>
          <w:color w:val="111111"/>
          <w:sz w:val="28"/>
          <w:szCs w:val="28"/>
          <w:rtl w:val="true"/>
          <w:lang w:bidi="ar-SA"/>
        </w:rPr>
        <w:t xml:space="preserve">) </w:t>
      </w:r>
      <w:r>
        <w:rPr>
          <w:rStyle w:val="FootnoteAnchor"/>
          <w:rtl w:val="true"/>
        </w:rPr>
        <w:footnoteReference w:id="7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نصفه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ذکره اللّٰه تعالی مرّة واحدة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فَلَهُنَّ اَلثُّمُنُ مِمّٰا تَرَکْتُمْ</w:t>
      </w:r>
      <w:r>
        <w:rPr>
          <w:rFonts w:eastAsia="Amiri" w:cs="Amiri" w:ascii="Amiri" w:hAnsi="Amiri"/>
          <w:color w:val="111111"/>
          <w:sz w:val="28"/>
          <w:szCs w:val="28"/>
          <w:rtl w:val="true"/>
          <w:lang w:bidi="ar-SA"/>
        </w:rPr>
        <w:t xml:space="preserve">) </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الثلثان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اللّٰه تعالی فی موضعین</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 فی البنات،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کُنَّ نِسٰاءً فَوْقَ اِثْنَتَیْنِ فَلَهُنَّ ثُلُثٰا مٰا تَرَکَ</w:t>
      </w:r>
      <w:r>
        <w:rPr>
          <w:rFonts w:eastAsia="Amiri" w:cs="Amiri" w:ascii="Amiri" w:hAnsi="Amiri"/>
          <w:color w:val="111111"/>
          <w:sz w:val="28"/>
          <w:szCs w:val="28"/>
          <w:rtl w:val="true"/>
          <w:lang w:bidi="ar-SA"/>
        </w:rPr>
        <w:t xml:space="preserve">) </w:t>
      </w:r>
      <w:r>
        <w:rPr>
          <w:rStyle w:val="FootnoteAnchor"/>
          <w:rtl w:val="true"/>
        </w:rPr>
        <w:footnoteReference w:id="763"/>
      </w:r>
      <w:bookmarkStart w:id="301" w:name="pg19815_253171"/>
    </w:p>
    <w:p>
      <w:pPr>
        <w:pStyle w:val="BookText"/>
        <w:rPr/>
      </w:pPr>
      <w:bookmarkEnd w:id="301"/>
      <w:r>
        <w:rPr>
          <w:rFonts w:ascii="Amiri" w:hAnsi="Amiri" w:eastAsia="Amiri" w:cs="Amiri"/>
          <w:color w:val="111111"/>
          <w:sz w:val="28"/>
          <w:sz w:val="28"/>
          <w:szCs w:val="28"/>
          <w:rtl w:val="true"/>
          <w:lang w:bidi="ar-SA"/>
        </w:rPr>
        <w:t>وثانیهما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الأخوات،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کٰانَتَا اِثْنَتَیْنِ فَلَهُمَا اَلثُّلُثٰانِ مِمّٰا تَرَکَ</w:t>
      </w:r>
      <w:r>
        <w:rPr>
          <w:rFonts w:eastAsia="Amiri" w:cs="Amiri" w:ascii="Amiri" w:hAnsi="Amiri"/>
          <w:color w:val="111111"/>
          <w:sz w:val="28"/>
          <w:szCs w:val="28"/>
          <w:rtl w:val="true"/>
          <w:lang w:bidi="ar-SA"/>
        </w:rPr>
        <w:t xml:space="preserve">) </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نصفه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ذکره اللّٰه تعالی فی موضعین أیضاً،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فَلِأُمِّهِ اَلثُّلُثُ </w:t>
      </w:r>
      <w:r>
        <w:rPr>
          <w:rStyle w:val="FootnoteAnchor"/>
          <w:rtl w:val="true"/>
        </w:rPr>
        <w:footnoteReference w:id="765"/>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کٰانُوا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أولاد الاُمّ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أَکْثَرَ مِنْ ذٰلِکَ فَهُمْ شُرَکٰاءُ فِی اَلثُّلُثِ</w:t>
      </w:r>
      <w:r>
        <w:rPr>
          <w:rFonts w:eastAsia="Amiri" w:cs="Amiri" w:ascii="Amiri" w:hAnsi="Amiri"/>
          <w:color w:val="111111"/>
          <w:sz w:val="28"/>
          <w:szCs w:val="28"/>
          <w:rtl w:val="true"/>
          <w:lang w:bidi="ar-SA"/>
        </w:rPr>
        <w:t xml:space="preserve">) </w:t>
      </w:r>
      <w:r>
        <w:rPr>
          <w:rStyle w:val="FootnoteAnchor"/>
          <w:rtl w:val="true"/>
        </w:rPr>
        <w:footnoteReference w:id="7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نصف نصفه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ذکره اللّٰه تعالی فی ثلاثة مواضع،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لِأَبَوَیْهِ لِکُلِّ وٰاحِدٍ مِنْهُمَا اَلسُّدُسُ </w:t>
      </w:r>
      <w:r>
        <w:rPr>
          <w:rStyle w:val="FootnoteAnchor"/>
          <w:rtl w:val="true"/>
        </w:rPr>
        <w:footnoteReference w:id="767"/>
      </w:r>
      <w:r>
        <w:rPr>
          <w:rFonts w:ascii="Amiri" w:hAnsi="Amiri" w:eastAsia="Amiri" w:cs="Amiri"/>
          <w:color w:val="111111"/>
          <w:sz w:val="28"/>
          <w:sz w:val="28"/>
          <w:szCs w:val="28"/>
          <w:rtl w:val="true"/>
          <w:lang w:bidi="ar-SA"/>
        </w:rPr>
        <w:t>فَإِنْ کٰانَ لَهُ إِخْوَةٌ فَلِأُمِّهِ اَلسُّدُسُ</w:t>
      </w:r>
      <w:r>
        <w:rPr>
          <w:rFonts w:eastAsia="Amiri" w:cs="Amiri" w:ascii="Amiri" w:hAnsi="Amiri"/>
          <w:color w:val="111111"/>
          <w:sz w:val="28"/>
          <w:szCs w:val="28"/>
          <w:rtl w:val="true"/>
          <w:lang w:bidi="ar-SA"/>
        </w:rPr>
        <w:t xml:space="preserve">) </w:t>
      </w:r>
      <w:r>
        <w:rPr>
          <w:rStyle w:val="FootnoteAnchor"/>
          <w:rtl w:val="true"/>
        </w:rPr>
        <w:footnoteReference w:id="768"/>
      </w:r>
      <w:r>
        <w:rPr>
          <w:rFonts w:ascii="Amiri" w:hAnsi="Amiri" w:eastAsia="Amiri" w:cs="Amiri"/>
          <w:color w:val="111111"/>
          <w:sz w:val="28"/>
          <w:sz w:val="28"/>
          <w:szCs w:val="28"/>
          <w:rtl w:val="true"/>
          <w:lang w:bidi="ar-SA"/>
        </w:rPr>
        <w:t>، وقال فی حقّ أولاد الاُمّ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لَهُ أَخٌ أَوْ أُخْتٌ فَلِکُلِّ وٰاحِدٍ مِنْهُمَا اَلسُّدُسُ</w:t>
      </w:r>
      <w:r>
        <w:rPr>
          <w:rFonts w:eastAsia="Amiri" w:cs="Amiri" w:ascii="Amiri" w:hAnsi="Amiri"/>
          <w:color w:val="111111"/>
          <w:sz w:val="28"/>
          <w:szCs w:val="28"/>
          <w:rtl w:val="true"/>
          <w:lang w:bidi="ar-SA"/>
        </w:rPr>
        <w:t xml:space="preserve">) </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2" w:name="__RefHeading___Toc2227905_2314609296"/>
      <w:bookmarkStart w:id="303" w:name="_Toc115"/>
      <w:bookmarkEnd w:id="302"/>
      <w:r>
        <w:rPr>
          <w:rtl w:val="true"/>
        </w:rPr>
        <w:t>[</w:t>
      </w:r>
      <w:r>
        <w:rPr>
          <w:rtl w:val="true"/>
        </w:rPr>
        <w:t>اهل السهام</w:t>
      </w:r>
      <w:r>
        <w:rPr>
          <w:rtl w:val="true"/>
        </w:rPr>
        <w:t>]</w:t>
      </w:r>
      <w:bookmarkEnd w:id="303"/>
    </w:p>
    <w:p>
      <w:pPr>
        <w:pStyle w:val="BookText"/>
        <w:rPr/>
      </w:pPr>
      <w:r>
        <w:rPr>
          <w:rFonts w:ascii="Amiri" w:hAnsi="Amiri" w:eastAsia="Amiri" w:cs="Amiri"/>
          <w:color w:val="111111"/>
          <w:sz w:val="28"/>
          <w:sz w:val="28"/>
          <w:szCs w:val="28"/>
          <w:rtl w:val="true"/>
          <w:lang w:bidi="ar-SA"/>
        </w:rPr>
        <w:t>وأمّا أهل هذه السهام فخمسة عشر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فالنصف لأربعة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الزوج مع عدم الولد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للزوجة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کان منه أم من 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والبنت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الواحدة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والاُخت للأبوین، والاُخت للأب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فقد اُخت الأبوین إذا لم یکن ذَکَر فی الموضعین</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والربع لاثنین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الزوج مع الولد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للزوجة وإن 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والزوجة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تعدّدت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للزوج</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والثُمن لقبیل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الزوجة وإن تعدّدت مع الولد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نزل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والثلثان 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البنتین فصاعداً، والاُختین للأبوین فصاعداً، والاُختین للأب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 فقد المتقرّب بالأبوین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فصاعداً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یکن ذَکرٌ فی الموضعین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والثلث لقبیلین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للاُمّ مع عدم من یحجبها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الولد والإخوة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وللأخوین أو الاُختین، أو للأخ والاُخت فصاعداً من جهتها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للاثنین فصاعداً من ولد الاُمّ ذکوراً أم إناثاً أم بالتفریق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أجمع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والسدس 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للأب مع الولد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ذکراً کان أم اُنثی وإن حصل له مع ذلک زیادة بالردّ، فإنّها بالقرابة لا بالفرض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وللاُمّ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مع الولد، وکذا مع الحاجب من الإخوة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وللواحد من کلالة الاُمّ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أولادها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سُمّی الإخوة کلالة من الکَلّ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الثقل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لکونها ثقلاً علی الرجل؛ لقیامه بمصالحهم مع عدم التولّد الذی یوجب مزید الإقبال والخفّة علی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من الإکلیل، وهو ما یُزَیَّن بالجوهر </w:t>
      </w:r>
      <w:r>
        <w:rPr>
          <w:rStyle w:val="FootnoteAnchor"/>
          <w:rtl w:val="true"/>
        </w:rPr>
        <w:footnoteReference w:id="770"/>
      </w:r>
      <w:r>
        <w:rPr>
          <w:rFonts w:ascii="IRNazanin" w:hAnsi="IRNazanin" w:eastAsia="IRNazanin"/>
          <w:color w:val="111111"/>
          <w:sz w:val="28"/>
          <w:sz w:val="28"/>
          <w:szCs w:val="28"/>
          <w:rtl w:val="true"/>
          <w:lang w:bidi="fa-IR"/>
        </w:rPr>
        <w:t>شبه العصابة؛ لإحاطتهم بالرَجُل کإحاطته بالرأس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حکم السهام المقدّرة منفردةً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منضمّةً بعضها إلی بعض فبعضها یمکن، وبعضها یمتنع</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وصور اجتماعها الثنائی مطلقاً </w:t>
      </w:r>
      <w:r>
        <w:rPr>
          <w:rStyle w:val="FootnoteAnchor"/>
          <w:rtl w:val="true"/>
        </w:rPr>
        <w:footnoteReference w:id="7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إحدی وعشرون، حاصلة من ضرب السهام الستّة فی مثلها ثمّ حذف المکرَّر منها </w:t>
      </w:r>
      <w:r>
        <w:rPr>
          <w:rStyle w:val="FootnoteAnchor"/>
          <w:rtl w:val="true"/>
        </w:rPr>
        <w:footnoteReference w:id="772"/>
      </w:r>
      <w:r>
        <w:rPr>
          <w:rFonts w:ascii="Amiri" w:hAnsi="Amiri" w:eastAsia="Amiri" w:cs="Amiri"/>
          <w:color w:val="111111"/>
          <w:sz w:val="28"/>
          <w:sz w:val="28"/>
          <w:szCs w:val="28"/>
          <w:rtl w:val="true"/>
          <w:lang w:bidi="ar-SA"/>
        </w:rPr>
        <w:t>وهو خمسة عشر، منها ثمان ممتنعة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واحدة من صور اجتماع النصف مع غیره،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اجتماعه مع الثلثین؛ لاستلزامه العول، وإلّا فأصله واقع کزوج مع اُختین فصاعداً لأب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یدخل النقص علیهما، فلم یتحقّق الاجتماع مطلقاً </w:t>
      </w:r>
      <w:r>
        <w:rPr>
          <w:rStyle w:val="FootnoteAnchor"/>
          <w:rtl w:val="true"/>
        </w:rPr>
        <w:footnoteReference w:id="7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واثنتان من صور اجتماع الربع مع غیره، وهما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اجتماعه مع مثله؛ لأنّه سهم الزوج مع الولد والزوجة لا معه فلا یجتمعان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واجتماعه مع الثمن؛ لأنّه نصیبها مع الولد وعدمه </w:t>
      </w:r>
      <w:r>
        <w:rPr>
          <w:rStyle w:val="FootnoteAnchor"/>
          <w:rtl w:val="true"/>
        </w:rPr>
        <w:footnoteReference w:id="774"/>
      </w:r>
      <w:r>
        <w:rPr>
          <w:rFonts w:ascii="IRNazanin" w:hAnsi="IRNazanin" w:eastAsia="IRNazanin"/>
          <w:color w:val="111111"/>
          <w:sz w:val="28"/>
          <w:sz w:val="28"/>
          <w:szCs w:val="28"/>
          <w:rtl w:val="true"/>
          <w:lang w:bidi="fa-IR"/>
        </w:rPr>
        <w:t>أو نصیب الزوج 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واثنتان من صور الثمن مع غیره، وهما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مع مثله؛ لأنّه نصیب الزوجة وإن تعدّدت 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مع الثلث؛ لأنّه نصیب الزوجة مع الولد، والثلث نصیب الاُمّ لا معه، أو الاثنین من أولادها لا معهما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وواحدة من صور الثُلُثین، 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 مع مثلهما؛ لعدم اجتماع مستحقّهما متعدّداً فی مرتبة واحدة مع بطلان العول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واثنتان من صور الثلث، وهما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اجتماعه مع مثله، وإن فرض فی البنتین والاُختین حیث إنّ لکلّ واحدة ثلثاً، إلّاأنّ السهم هنا هو جملة الثلثین، لا بعضهما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مع السدس؛ لأنّه نصیب الاُمّ مع عدم الحاجب والسدس نصیبها معه أو مع الولد، فلا یجامعه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ویبقی من الصور ثلاث عشرة، فرضها واقع صحیح، قد أشار المصنّف منها إلی تسع بقوله</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ویجتمع النصف مع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کزوج واُخت لأب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ومع الربع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کزوجة واُخت کذلک، وکزوج وبنت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کزوجة وبنت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تقدّم أ نّه</w:t>
      </w:r>
      <w:bookmarkStart w:id="304" w:name="pg19815_253174"/>
    </w:p>
    <w:p>
      <w:pPr>
        <w:pStyle w:val="BookText"/>
        <w:rPr/>
      </w:pPr>
      <w:bookmarkEnd w:id="304"/>
      <w:r>
        <w:rPr>
          <w:rFonts w:ascii="IRNazanin" w:hAnsi="IRNazanin" w:eastAsia="IRNazanin"/>
          <w:color w:val="111111"/>
          <w:sz w:val="28"/>
          <w:sz w:val="28"/>
          <w:szCs w:val="28"/>
          <w:rtl w:val="true"/>
          <w:lang w:bidi="fa-IR"/>
        </w:rPr>
        <w:t>لا یجتمع مع الثلثین؛ لاستلزامه العول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یجتمع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الثلث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کزوج واُمّ، وککلالة الاُمّ المتعدّدة مع اُختٍ لأب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کزوج وواحد من کلالة الاُمّ، وکبنت مع اُمّ، وکاُخت لأب مع واحد من کلالة الاُمّ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ویجتمع الربعُ والثمن مع الثلثین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فالأوّل کزوج وابنتین وکزوجة واُختین لأب والثانی کزوجة وابنتین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ویجتمع الربعُ مع الثلث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کزوجة 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وزوجةٍ مع متعدّد من کلالة الاُمّ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السدس کزوجة وواحد من کلالة الاُمّ، وکزوج وأحدِ الأبوین مع ابن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ویجتمع الثمنُ مع السدس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کزوجة وابن وأحد الأبوین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ویجتمع الثلثان مع الثلث، کإخوة لاُمّ مع اُختین فصاعداً لأب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السدس کبنتین وأحد الأبوین، وکاُختین لأب مع واحد من کلالة الاُمّ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ویجتمع السدس مع السدس کأبوین مع الولد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فهذه جملة الصور التی یمکن اجتماعها بالفرض ثنائیّاً، وهی ثلاث عشرة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الاجتماع لا بحسب الفرض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بالقرابة اتّفاقاً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حصر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لاختلافه باختلاف الوارث کثرةً وقلّةً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ویمکن معه فرض ما امتنع لغیر العول، فیجتمع الربع مع مثله فی بنتین وابن، ومع الثمن فی زوجة وبنت وثلاث بنین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والثلث مع السدس فی زوج وأبوین، وعلی هذا</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وإذا خلَّف المیّت ذا فرض أخذ فرضه، فإن تعدّد فی طبقة </w:t>
      </w:r>
      <w:r>
        <w:rPr>
          <w:rStyle w:val="FootnoteAnchor"/>
          <w:rtl w:val="true"/>
        </w:rPr>
        <w:footnoteReference w:id="775"/>
      </w:r>
      <w:r>
        <w:rPr>
          <w:rFonts w:ascii="IRNazanin" w:hAnsi="IRNazanin" w:eastAsia="IRNazanin"/>
          <w:color w:val="111111"/>
          <w:sz w:val="28"/>
          <w:sz w:val="28"/>
          <w:szCs w:val="28"/>
          <w:rtl w:val="true"/>
          <w:lang w:bidi="fa-IR"/>
        </w:rPr>
        <w:t>أخذ کلٌّ فرضه، فإن فضل من الترکة شیء عن فروضهم رُدَّ علیهم علی نسبة الفروض مع تساویهم فی الوصلة، عدا الزوج والزوجة والمحجوب عن الزیادة</w:t>
      </w:r>
      <w:r>
        <w:rPr>
          <w:rFonts w:eastAsia="IRNazanin" w:cs="IRNazanin"/>
          <w:color w:val="111111"/>
          <w:sz w:val="28"/>
          <w:szCs w:val="28"/>
          <w:rtl w:val="true"/>
          <w:lang w:bidi="fa-IR"/>
        </w:rPr>
        <w:t>.</w:t>
      </w:r>
    </w:p>
    <w:p>
      <w:pPr>
        <w:pStyle w:val="Heading5"/>
        <w:numPr>
          <w:ilvl w:val="4"/>
          <w:numId w:val="1"/>
        </w:numPr>
        <w:rPr/>
      </w:pPr>
      <w:bookmarkStart w:id="305" w:name="__RefHeading___Toc2227907_2314609296"/>
      <w:bookmarkStart w:id="306" w:name="_Toc116"/>
      <w:bookmarkEnd w:id="305"/>
      <w:r>
        <w:rPr>
          <w:rtl w:val="true"/>
        </w:rPr>
        <w:t>[</w:t>
      </w:r>
      <w:r>
        <w:rPr>
          <w:rtl w:val="true"/>
        </w:rPr>
        <w:t>لا میراث للعصبة الا مع عدم القریب</w:t>
      </w:r>
      <w:r>
        <w:rPr>
          <w:rtl w:val="true"/>
        </w:rPr>
        <w:t>]</w:t>
      </w:r>
      <w:bookmarkEnd w:id="306"/>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میراث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للعَصبَة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تقدیر زیادة الفریضة عن السهام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إلّامع عدم القریب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الأقرب منهم؛ لعموم 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أُولُوا اَلْأَرْحٰامِ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وإجماع أهل البیت علیهم السلام وتواترِ أخبارهم بذلک </w:t>
      </w:r>
      <w:r>
        <w:rPr>
          <w:rStyle w:val="FootnoteAnchor"/>
          <w:rtl w:val="true"/>
        </w:rPr>
        <w:footnoteReference w:id="7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فاضل الفریضة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البنت والبنات، والاُخت والأخوات للأب والاُمّ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للأب مع فقدهم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وعلی الاُمّ، وعلی کلالة الاُمّ مع عدم وارث فی درجتهم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وإلّا اختصّ غیرهم من الإخوة للأبوین أو للأب بالردّ، دونهم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یُردّ علی الزوج والزوجة إلّامع عدم کلّ وارثٍ عدا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الفاضل عن نصیبهما لغیرهما من الورّاث ولو ضامن الجریرة</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ولو فُقد مَن عدا الإمام من الوارث ففی الردّ علیهما مطلقاً </w:t>
      </w:r>
      <w:r>
        <w:rPr>
          <w:rStyle w:val="FootnoteAnchor"/>
          <w:rtl w:val="true"/>
        </w:rPr>
        <w:footnoteReference w:id="777"/>
      </w:r>
      <w:r>
        <w:rPr>
          <w:rFonts w:ascii="IRNazanin" w:hAnsi="IRNazanin" w:eastAsia="IRNazanin"/>
          <w:color w:val="111111"/>
          <w:sz w:val="28"/>
          <w:sz w:val="28"/>
          <w:szCs w:val="28"/>
          <w:rtl w:val="true"/>
          <w:lang w:bidi="fa-IR"/>
        </w:rPr>
        <w:t xml:space="preserve">أو عدمه مطلقاً </w:t>
      </w:r>
      <w:r>
        <w:rPr>
          <w:rStyle w:val="FootnoteAnchor"/>
          <w:rtl w:val="true"/>
        </w:rPr>
        <w:footnoteReference w:id="778"/>
      </w:r>
      <w:r>
        <w:rPr>
          <w:rFonts w:ascii="IRNazanin" w:hAnsi="IRNazanin" w:eastAsia="IRNazanin"/>
          <w:color w:val="111111"/>
          <w:sz w:val="28"/>
          <w:sz w:val="28"/>
          <w:szCs w:val="28"/>
          <w:rtl w:val="true"/>
          <w:lang w:bidi="fa-IR"/>
        </w:rPr>
        <w:t xml:space="preserve">أو علیه مطلقاً دونها مطلقاً </w:t>
      </w:r>
      <w:r>
        <w:rPr>
          <w:rStyle w:val="FootnoteAnchor"/>
          <w:rtl w:val="true"/>
        </w:rPr>
        <w:footnoteReference w:id="779"/>
      </w:r>
      <w:r>
        <w:rPr>
          <w:rFonts w:ascii="IRNazanin" w:hAnsi="IRNazanin" w:eastAsia="IRNazanin"/>
          <w:color w:val="111111"/>
          <w:sz w:val="28"/>
          <w:sz w:val="28"/>
          <w:szCs w:val="28"/>
          <w:rtl w:val="true"/>
          <w:lang w:bidi="fa-IR"/>
        </w:rPr>
        <w:t xml:space="preserve">أو علیهما إلّاحال حضور الإمام علیه السلام فلا یردّ علیها خاصّة </w:t>
      </w:r>
      <w:r>
        <w:rPr>
          <w:rStyle w:val="FootnoteAnchor"/>
          <w:rtl w:val="true"/>
        </w:rPr>
        <w:footnoteReference w:id="780"/>
      </w:r>
      <w:r>
        <w:rPr>
          <w:rFonts w:ascii="IRNazanin" w:hAnsi="IRNazanin" w:eastAsia="IRNazanin"/>
          <w:color w:val="111111"/>
          <w:sz w:val="28"/>
          <w:sz w:val="28"/>
          <w:szCs w:val="28"/>
          <w:rtl w:val="true"/>
          <w:lang w:bidi="fa-IR"/>
        </w:rPr>
        <w:t>أقوال، مستندها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ظواهر أخبار </w:t>
      </w:r>
      <w:r>
        <w:rPr>
          <w:rStyle w:val="FootnoteAnchor"/>
          <w:rtl w:val="true"/>
        </w:rPr>
        <w:footnoteReference w:id="781"/>
      </w:r>
      <w:r>
        <w:rPr>
          <w:rFonts w:ascii="Amiri" w:hAnsi="Amiri" w:eastAsia="Amiri" w:cs="Amiri"/>
          <w:color w:val="111111"/>
          <w:sz w:val="28"/>
          <w:sz w:val="28"/>
          <w:szCs w:val="28"/>
          <w:rtl w:val="true"/>
          <w:lang w:bidi="ar-SA"/>
        </w:rPr>
        <w:t xml:space="preserve">المختلفة ظاهراً و </w:t>
      </w:r>
      <w:r>
        <w:rPr>
          <w:rStyle w:val="FootnoteAnchor"/>
          <w:rtl w:val="true"/>
        </w:rPr>
        <w:footnoteReference w:id="782"/>
      </w:r>
      <w:r>
        <w:rPr>
          <w:rFonts w:ascii="IRNazanin" w:hAnsi="IRNazanin" w:eastAsia="IRNazanin"/>
          <w:color w:val="111111"/>
          <w:sz w:val="28"/>
          <w:sz w:val="28"/>
          <w:szCs w:val="28"/>
          <w:rtl w:val="true"/>
          <w:lang w:bidi="fa-IR"/>
        </w:rPr>
        <w:t>الجمع بینها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والمصنّف اختار هنا القولَ الأخیر کما یستفاد من استثنائه من المنفیّ المقتضی لإثبات الردّ علیهما دون الإمام مع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والأقرب إرثه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الزوجة إن کان حاضراً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أمّا الردّ علی الزوج مطلقاً فهو المشهور، بل ادّعی جماعة علیه الإجماع </w:t>
      </w:r>
      <w:r>
        <w:rPr>
          <w:rStyle w:val="FootnoteAnchor"/>
          <w:rtl w:val="true"/>
        </w:rPr>
        <w:footnoteReference w:id="783"/>
      </w:r>
      <w:r>
        <w:rPr>
          <w:rFonts w:ascii="IRNazanin" w:hAnsi="IRNazanin" w:eastAsia="IRNazanin"/>
          <w:color w:val="111111"/>
          <w:sz w:val="28"/>
          <w:sz w:val="28"/>
          <w:szCs w:val="28"/>
          <w:rtl w:val="true"/>
          <w:lang w:bidi="fa-IR"/>
        </w:rPr>
        <w:t>وبه أخبار کثیرة، کصحیحة أبی بصیر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نّه </w:t>
      </w:r>
      <w:r>
        <w:rPr>
          <w:rStyle w:val="FootnoteAnchor"/>
          <w:rtl w:val="true"/>
        </w:rPr>
        <w:footnoteReference w:id="784"/>
      </w:r>
      <w:r>
        <w:rPr>
          <w:rFonts w:ascii="IRNazanin" w:hAnsi="IRNazanin" w:eastAsia="IRNazanin"/>
          <w:color w:val="111111"/>
          <w:sz w:val="28"/>
          <w:sz w:val="28"/>
          <w:szCs w:val="28"/>
          <w:rtl w:val="true"/>
          <w:lang w:bidi="fa-IR"/>
        </w:rPr>
        <w:t>قرأ علیه فرائضَ علیّ علیه السلام فإذا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الزوج یحوز المال کلّه إذا لم یکن غیره</w:t>
      </w:r>
      <w:r>
        <w:rPr>
          <w:rFonts w:eastAsia="IRNazanin" w:cs="IRNazanin"/>
          <w:color w:val="111111"/>
          <w:sz w:val="28"/>
          <w:szCs w:val="28"/>
          <w:rtl w:val="true"/>
          <w:lang w:bidi="fa-IR"/>
        </w:rPr>
        <w:t xml:space="preserve">» </w:t>
      </w:r>
      <w:r>
        <w:rPr>
          <w:rStyle w:val="FootnoteAnchor"/>
          <w:rtl w:val="true"/>
        </w:rPr>
        <w:footnoteReference w:id="785"/>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التفصیل فی الزوجة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فللجمع بین روایة أبی بصیر عن الباقر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نّه سأله عن امرأة ماتت وترکت زوجها ولا وارث لها غیره،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یکن غیره فله المال، والمرأة لها الربع، وما بقی فللإمام</w:t>
      </w:r>
      <w:r>
        <w:rPr>
          <w:rFonts w:eastAsia="IRNazanin" w:cs="IRNazanin"/>
          <w:color w:val="111111"/>
          <w:sz w:val="28"/>
          <w:szCs w:val="28"/>
          <w:rtl w:val="true"/>
          <w:lang w:bidi="fa-IR"/>
        </w:rPr>
        <w:t xml:space="preserve">» </w:t>
      </w:r>
      <w:r>
        <w:rPr>
          <w:rStyle w:val="FootnoteAnchor"/>
          <w:rtl w:val="true"/>
        </w:rPr>
        <w:footnoteReference w:id="786"/>
      </w:r>
      <w:r>
        <w:rPr>
          <w:rFonts w:ascii="IRNazanin" w:hAnsi="IRNazanin" w:eastAsia="IRNazanin"/>
          <w:color w:val="111111"/>
          <w:sz w:val="28"/>
          <w:sz w:val="28"/>
          <w:szCs w:val="28"/>
          <w:rtl w:val="true"/>
          <w:lang w:bidi="fa-IR"/>
        </w:rPr>
        <w:t xml:space="preserve">ومثلها روایة محمّد بن مروان عن الباقر علیه السلام </w:t>
      </w:r>
      <w:r>
        <w:rPr>
          <w:rStyle w:val="FootnoteAnchor"/>
          <w:rtl w:val="true"/>
        </w:rPr>
        <w:footnoteReference w:id="787"/>
      </w:r>
      <w:r>
        <w:rPr>
          <w:rFonts w:ascii="IRNazanin" w:hAnsi="IRNazanin" w:eastAsia="IRNazanin"/>
          <w:color w:val="111111"/>
          <w:sz w:val="28"/>
          <w:sz w:val="28"/>
          <w:szCs w:val="28"/>
          <w:rtl w:val="true"/>
          <w:lang w:bidi="fa-IR"/>
        </w:rPr>
        <w:t>وبین صحیحة أبی بصیر عن الباقر علیه السلام أ نّه 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رجل مات وترک امرأته؟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المال لها</w:t>
      </w:r>
      <w:r>
        <w:rPr>
          <w:rFonts w:eastAsia="IRNazanin" w:cs="IRNazanin"/>
          <w:color w:val="111111"/>
          <w:sz w:val="28"/>
          <w:szCs w:val="28"/>
          <w:rtl w:val="true"/>
          <w:lang w:bidi="fa-IR"/>
        </w:rPr>
        <w:t xml:space="preserve">» </w:t>
      </w:r>
      <w:r>
        <w:rPr>
          <w:rStyle w:val="FootnoteAnchor"/>
          <w:rtl w:val="true"/>
        </w:rPr>
        <w:footnoteReference w:id="788"/>
      </w:r>
      <w:r>
        <w:rPr>
          <w:rFonts w:ascii="IRNazanin" w:hAnsi="IRNazanin" w:eastAsia="IRNazanin"/>
          <w:color w:val="111111"/>
          <w:sz w:val="28"/>
          <w:sz w:val="28"/>
          <w:szCs w:val="28"/>
          <w:rtl w:val="true"/>
          <w:lang w:bidi="fa-IR"/>
        </w:rPr>
        <w:t xml:space="preserve">بحمل هذه علی حالة </w:t>
      </w:r>
      <w:r>
        <w:rPr>
          <w:rStyle w:val="FootnoteAnchor"/>
          <w:rtl w:val="true"/>
        </w:rPr>
        <w:footnoteReference w:id="789"/>
      </w:r>
      <w:r>
        <w:rPr>
          <w:rFonts w:ascii="IRNazanin" w:hAnsi="IRNazanin" w:eastAsia="IRNazanin"/>
          <w:color w:val="111111"/>
          <w:sz w:val="28"/>
          <w:sz w:val="28"/>
          <w:szCs w:val="28"/>
          <w:rtl w:val="true"/>
          <w:lang w:bidi="fa-IR"/>
        </w:rPr>
        <w:t xml:space="preserve">الغیبة وذینک علی حالة </w:t>
      </w:r>
      <w:r>
        <w:rPr>
          <w:rStyle w:val="FootnoteAnchor"/>
          <w:rtl w:val="true"/>
        </w:rPr>
        <w:footnoteReference w:id="790"/>
      </w:r>
      <w:r>
        <w:rPr>
          <w:rFonts w:ascii="IRNazanin" w:hAnsi="IRNazanin" w:eastAsia="IRNazanin"/>
          <w:color w:val="111111"/>
          <w:sz w:val="28"/>
          <w:sz w:val="28"/>
          <w:szCs w:val="28"/>
          <w:rtl w:val="true"/>
          <w:lang w:bidi="fa-IR"/>
        </w:rPr>
        <w:t>الحضور، حذراً من التناقض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والمصنّف فی الشرح اختار القول الثالث </w:t>
      </w:r>
      <w:r>
        <w:rPr>
          <w:rStyle w:val="FootnoteAnchor"/>
          <w:rtl w:val="true"/>
        </w:rPr>
        <w:footnoteReference w:id="791"/>
      </w:r>
      <w:r>
        <w:rPr>
          <w:rFonts w:ascii="IRNazanin" w:hAnsi="IRNazanin" w:eastAsia="IRNazanin"/>
          <w:color w:val="111111"/>
          <w:sz w:val="28"/>
          <w:sz w:val="28"/>
          <w:szCs w:val="28"/>
          <w:rtl w:val="true"/>
          <w:lang w:bidi="fa-IR"/>
        </w:rPr>
        <w:t>المشتمل علی عدم الردّ علیها</w:t>
      </w:r>
    </w:p>
    <w:p>
      <w:pPr>
        <w:pStyle w:val="BookText"/>
        <w:rPr/>
      </w:pPr>
      <w:r>
        <w:rPr>
          <w:rFonts w:ascii="Amiri" w:hAnsi="Amiri" w:eastAsia="Amiri" w:cs="Amiri"/>
          <w:color w:val="111111"/>
          <w:sz w:val="28"/>
          <w:sz w:val="28"/>
          <w:szCs w:val="28"/>
          <w:rtl w:val="true"/>
          <w:lang w:bidi="ar-SA"/>
        </w:rPr>
        <w:t xml:space="preserve">مطلقاً محتجّاً بما سبق </w:t>
      </w:r>
      <w:r>
        <w:rPr>
          <w:rStyle w:val="FootnoteAnchor"/>
          <w:rtl w:val="true"/>
        </w:rPr>
        <w:footnoteReference w:id="792"/>
      </w:r>
      <w:r>
        <w:rPr>
          <w:rFonts w:ascii="IRNazanin" w:hAnsi="IRNazanin" w:eastAsia="IRNazanin"/>
          <w:color w:val="111111"/>
          <w:sz w:val="28"/>
          <w:sz w:val="28"/>
          <w:szCs w:val="28"/>
          <w:rtl w:val="true"/>
          <w:lang w:bidi="fa-IR"/>
        </w:rPr>
        <w:t>فإنّ ترک الاستفصال دلیل العموم، وللأصل الدالّ علی عدم الزیادة علی المفروض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وخبر الردّ علیها مطلقاً </w:t>
      </w:r>
      <w:r>
        <w:rPr>
          <w:rStyle w:val="FootnoteAnchor"/>
          <w:rtl w:val="true"/>
        </w:rPr>
        <w:footnoteReference w:id="793"/>
      </w:r>
      <w:r>
        <w:rPr>
          <w:rFonts w:ascii="IRNazanin" w:hAnsi="IRNazanin" w:eastAsia="IRNazanin"/>
          <w:color w:val="111111"/>
          <w:sz w:val="28"/>
          <w:sz w:val="28"/>
          <w:szCs w:val="28"/>
          <w:rtl w:val="true"/>
          <w:lang w:bidi="fa-IR"/>
        </w:rPr>
        <w:t xml:space="preserve">وإن کان صحیحاً إلّاأنّ فی العمل به مطلقاً إطراحاً لتلک الأخبار، والقائل به نادر جدّاً </w:t>
      </w:r>
      <w:r>
        <w:rPr>
          <w:rStyle w:val="FootnoteAnchor"/>
          <w:rtl w:val="true"/>
        </w:rPr>
        <w:footnoteReference w:id="794"/>
      </w:r>
      <w:r>
        <w:rPr>
          <w:rFonts w:ascii="IRNazanin" w:hAnsi="IRNazanin" w:eastAsia="IRNazanin"/>
          <w:color w:val="111111"/>
          <w:sz w:val="28"/>
          <w:sz w:val="28"/>
          <w:szCs w:val="28"/>
          <w:rtl w:val="true"/>
          <w:lang w:bidi="fa-IR"/>
        </w:rPr>
        <w:t xml:space="preserve">وتخصیصه بحالة الغیبة بعید جدّاً؛ لأنّ السؤال فیه للباقر علیه السلام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بصیغة الماضی وأمرهم علیهم السلام حینئذٍ ظاهر، والدفع إلیهم ممکن، فحمله علی حالة الغیبة المتأخّرة عن زمن السؤال عن میّت بالفعل بأزید من مئة وخمسین سنة أبعد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قال ابن إدریس </w:t>
      </w:r>
      <w:r>
        <w:rPr>
          <w:rStyle w:val="FootnoteAnchor"/>
          <w:rtl w:val="true"/>
        </w:rPr>
        <w:footnoteReference w:id="7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بین المشرق والمغرب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وربما حُمل علی کون المرأة قریبة للزوج </w:t>
      </w:r>
      <w:r>
        <w:rPr>
          <w:rStyle w:val="FootnoteAnchor"/>
          <w:rtl w:val="true"/>
        </w:rPr>
        <w:footnoteReference w:id="796"/>
      </w:r>
      <w:r>
        <w:rPr>
          <w:rFonts w:ascii="IRNazanin" w:hAnsi="IRNazanin" w:eastAsia="IRNazanin"/>
          <w:color w:val="111111"/>
          <w:sz w:val="28"/>
          <w:sz w:val="28"/>
          <w:szCs w:val="28"/>
          <w:rtl w:val="true"/>
          <w:lang w:bidi="fa-IR"/>
        </w:rPr>
        <w:t>وهو بعید عن الإطلاق، إلّاأ نّه وجه فی الجمع</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هذه الأخبار ظهر وجه القول بالردّ علیهما مطلقاً کما هو ظاهر المفید </w:t>
      </w:r>
      <w:r>
        <w:rPr>
          <w:rStyle w:val="FootnoteAnchor"/>
          <w:rtl w:val="true"/>
        </w:rPr>
        <w:footnoteReference w:id="797"/>
      </w:r>
      <w:r>
        <w:rPr>
          <w:rFonts w:ascii="IRNazanin" w:hAnsi="IRNazanin" w:eastAsia="IRNazanin"/>
          <w:color w:val="111111"/>
          <w:sz w:val="28"/>
          <w:sz w:val="28"/>
          <w:szCs w:val="28"/>
          <w:rtl w:val="true"/>
          <w:lang w:bidi="fa-IR"/>
        </w:rPr>
        <w:t>وروی جمیل فی الموثّق عن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یکون الردّ علی زوج ولا زوجة</w:t>
      </w:r>
      <w:r>
        <w:rPr>
          <w:rFonts w:eastAsia="IRNazanin" w:cs="IRNazanin"/>
          <w:color w:val="111111"/>
          <w:sz w:val="28"/>
          <w:szCs w:val="28"/>
          <w:rtl w:val="true"/>
          <w:lang w:bidi="fa-IR"/>
        </w:rPr>
        <w:t xml:space="preserve">» </w:t>
      </w:r>
      <w:r>
        <w:rPr>
          <w:rStyle w:val="FootnoteAnchor"/>
          <w:rtl w:val="true"/>
        </w:rPr>
        <w:footnoteReference w:id="798"/>
      </w:r>
      <w:r>
        <w:rPr>
          <w:rFonts w:ascii="IRNazanin" w:hAnsi="IRNazanin" w:eastAsia="IRNazanin"/>
          <w:color w:val="111111"/>
          <w:sz w:val="28"/>
          <w:sz w:val="28"/>
          <w:szCs w:val="28"/>
          <w:rtl w:val="true"/>
          <w:lang w:bidi="fa-IR"/>
        </w:rPr>
        <w:t xml:space="preserve">وهو دلیل القول الثانی </w:t>
      </w:r>
      <w:r>
        <w:rPr>
          <w:rStyle w:val="FootnoteAnchor"/>
          <w:rtl w:val="true"/>
        </w:rPr>
        <w:footnoteReference w:id="799"/>
      </w:r>
      <w:r>
        <w:rPr>
          <w:rFonts w:ascii="IRNazanin" w:hAnsi="IRNazanin" w:eastAsia="IRNazanin"/>
          <w:color w:val="111111"/>
          <w:sz w:val="28"/>
          <w:sz w:val="28"/>
          <w:szCs w:val="28"/>
          <w:rtl w:val="true"/>
          <w:lang w:bidi="fa-IR"/>
        </w:rPr>
        <w:t xml:space="preserve">وأشهرها الثالث </w:t>
      </w:r>
      <w:r>
        <w:rPr>
          <w:rStyle w:val="FootnoteAnchor"/>
          <w:rtl w:val="true"/>
        </w:rPr>
        <w:footnoteReference w:id="800"/>
      </w:r>
      <w:r>
        <w:rPr>
          <w:rFonts w:eastAsia="Times New Roman" w:cs="Times New Roman" w:ascii="Times New Roman" w:hAnsi="Times New Roman"/>
          <w:color w:val="111111"/>
          <w:sz w:val="28"/>
          <w:szCs w:val="28"/>
          <w:rtl w:val="true"/>
          <w:lang w:val="en-US" w:bidi="en-US"/>
        </w:rPr>
        <w:t>.</w:t>
      </w:r>
      <w:bookmarkStart w:id="307" w:name="pg19815_253178"/>
    </w:p>
    <w:p>
      <w:pPr>
        <w:pStyle w:val="Heading5"/>
        <w:numPr>
          <w:ilvl w:val="4"/>
          <w:numId w:val="1"/>
        </w:numPr>
        <w:rPr/>
      </w:pPr>
      <w:bookmarkStart w:id="308" w:name="__RefHeading___Toc2227909_2314609296"/>
      <w:bookmarkStart w:id="309" w:name="_Toc117"/>
      <w:bookmarkEnd w:id="307"/>
      <w:bookmarkEnd w:id="308"/>
      <w:r>
        <w:rPr>
          <w:rtl w:val="true"/>
        </w:rPr>
        <w:t>[</w:t>
      </w:r>
      <w:r>
        <w:rPr>
          <w:rtl w:val="true"/>
        </w:rPr>
        <w:t>لا عول فی الفرایض</w:t>
      </w:r>
      <w:r>
        <w:rPr>
          <w:rtl w:val="true"/>
        </w:rPr>
        <w:t>]</w:t>
      </w:r>
      <w:bookmarkEnd w:id="30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عول فی الفرائض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لا زیادة فی السهام علیها علی وجهٍ یحصل النقص علی الجمیع بالنسبة، وذلک بدخول الزوج والزوجة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تقدیر الزیادة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یدخل النقص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الأب والبنت والبنات، والأخوات للأب والاُمّ، أو للأب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خلافاً للجمهور، حیث جعلوه موزّعاً علی الجمیع بإلحاق السهم الزائد للفریضة وقسمتها علی الجمیع </w:t>
      </w:r>
      <w:r>
        <w:rPr>
          <w:rStyle w:val="FootnoteAnchor"/>
          <w:rtl w:val="true"/>
        </w:rPr>
        <w:footnoteReference w:id="801"/>
      </w:r>
      <w:r>
        <w:rPr>
          <w:rFonts w:ascii="Amiri" w:hAnsi="Amiri" w:eastAsia="Amiri" w:cs="Amiri"/>
          <w:color w:val="111111"/>
          <w:sz w:val="28"/>
          <w:sz w:val="28"/>
          <w:szCs w:val="28"/>
          <w:rtl w:val="true"/>
          <w:lang w:bidi="ar-SA"/>
        </w:rPr>
        <w:t xml:space="preserve">سُمّی هذا القسم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من المیل، ومنه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أَدْنیٰ أَلاّٰ تَعُولُوا </w:t>
      </w:r>
      <w:r>
        <w:rPr>
          <w:rStyle w:val="FootnoteAnchor"/>
          <w:rtl w:val="true"/>
        </w:rPr>
        <w:footnoteReference w:id="802"/>
      </w:r>
      <w:r>
        <w:rPr>
          <w:rFonts w:ascii="IRNazanin" w:hAnsi="IRNazanin" w:eastAsia="IRNazanin"/>
          <w:color w:val="111111"/>
          <w:sz w:val="28"/>
          <w:sz w:val="28"/>
          <w:szCs w:val="28"/>
          <w:rtl w:val="true"/>
          <w:lang w:bidi="fa-IR"/>
        </w:rPr>
        <w:t>وسُمّیت الفریضة عائلة علی أهلها؛ لمیلها بالجور علیهم بنقصان سهامهم، أو من عالَ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کثر عیاله؛ لکثرة السهام فیها، أو من 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غلب؛ لغلبة أهل السهام بالنقص، أو من عالت الناقة ذَنبها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رفعته؛ لارتفاع الفرائض علی أصلها بزیادة السهام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ما ذکرناه إجماع أهل البیت علیهم السلام وأخبارهم به متظافرة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الباقر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أمیر المؤمنین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الذی أحصی رمل عالج </w:t>
      </w:r>
      <w:r>
        <w:rPr>
          <w:rStyle w:val="FootnoteAnchor"/>
          <w:rtl w:val="true"/>
        </w:rPr>
        <w:footnoteReference w:id="803"/>
      </w:r>
      <w:r>
        <w:rPr>
          <w:rFonts w:ascii="IRNazanin" w:hAnsi="IRNazanin" w:eastAsia="IRNazanin"/>
          <w:color w:val="111111"/>
          <w:sz w:val="28"/>
          <w:sz w:val="28"/>
          <w:szCs w:val="28"/>
          <w:rtl w:val="true"/>
          <w:lang w:bidi="fa-IR"/>
        </w:rPr>
        <w:t>لیعلم أنّ السهام لا تعول علی ستّة لو یبصرون وجهها لم تجز ستّة</w:t>
      </w:r>
      <w:r>
        <w:rPr>
          <w:rFonts w:eastAsia="IRNazanin" w:cs="IRNazanin"/>
          <w:color w:val="111111"/>
          <w:sz w:val="28"/>
          <w:szCs w:val="28"/>
          <w:rtl w:val="true"/>
          <w:lang w:bidi="fa-IR"/>
        </w:rPr>
        <w:t xml:space="preserve">» </w:t>
      </w:r>
      <w:r>
        <w:rPr>
          <w:rStyle w:val="FootnoteAnchor"/>
          <w:rtl w:val="true"/>
        </w:rPr>
        <w:footnoteReference w:id="8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وکان ابن عبّاس رضی الله عنه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شاء باهلته عند الحجر الأسود، إنّ اللّٰه لم یذکر فی کتابه نصفین وثلثاً</w:t>
      </w:r>
      <w:r>
        <w:rPr>
          <w:rFonts w:eastAsia="IRNazanin" w:cs="IRNazanin"/>
          <w:color w:val="111111"/>
          <w:sz w:val="28"/>
          <w:szCs w:val="28"/>
          <w:rtl w:val="true"/>
          <w:lang w:bidi="fa-IR"/>
        </w:rPr>
        <w:t xml:space="preserve">» </w:t>
      </w:r>
      <w:r>
        <w:rPr>
          <w:rStyle w:val="FootnoteAnchor"/>
          <w:rtl w:val="true"/>
        </w:rPr>
        <w:footnoteReference w:id="805"/>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أترون أنّ الذی أحصی رمل عالج عدداً</w:t>
      </w:r>
    </w:p>
    <w:p>
      <w:pPr>
        <w:pStyle w:val="BookText"/>
        <w:rPr/>
      </w:pPr>
      <w:r>
        <w:rPr>
          <w:rFonts w:ascii="Amiri" w:hAnsi="Amiri" w:eastAsia="Amiri" w:cs="Amiri"/>
          <w:color w:val="111111"/>
          <w:sz w:val="28"/>
          <w:sz w:val="28"/>
          <w:szCs w:val="28"/>
          <w:rtl w:val="true"/>
          <w:lang w:bidi="ar-SA"/>
        </w:rPr>
        <w:t>جعل فی مالٍ نصفاً ونصفاً وثلثاً؟ فهذان النصفان قد ذهبا بالمال فأین موضع الثلث؟ فقال له زُفَر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 العبّاس فمن أوّل من أعال الفرائض؟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لمّا التفّت الفرائض عنده ودفع بعضها بعضاً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أدری أ یّکم قدّم اللّٰه وأ یّکم 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أجد شیئاً هو أوسع من أن اُقسّم علیکم هذا المال بالحصص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وأیم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قدّمتم من قدّم اللّٰه وأخّرتم من أخّر اللّٰه ما عالت الفریضة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زُفر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 یّها قُدّم وأ یّها اُخّر؟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فریضة لم یُهبِطها اللّٰه إلّا إلی فریضة فهذا ما قدّم اللّٰه، وأمّا ما أخّر فکلّ فریضة إذا زالت عن فرضها ولم یکن لها إلّاما بقی فتلک التی 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التی قدّم فالزوج له النصف، فإذا دخل علیه ما یزیله عنه رجع إلی الربع لا یزیله عنه شیء؛ ومثله الزوجة والاُمّ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التی أخّر ففریضة البنات والأخوات، لها النصف والثلثان فإذا أزالتهنّ الفرائض عن ذلک لم یکن لهنّ إلّاما بقی، فإذا اجتمع ما قدّم اللّٰه وما أخّر بُدِئ بما قدّم واُعطی حقّه کاملاً، فإن بقی شیء کان لمن </w:t>
      </w:r>
      <w:r>
        <w:rPr>
          <w:rStyle w:val="FootnoteAnchor"/>
          <w:rtl w:val="true"/>
        </w:rPr>
        <w:footnoteReference w:id="806"/>
      </w:r>
      <w:r>
        <w:rPr>
          <w:rFonts w:ascii="Amiri" w:hAnsi="Amiri" w:eastAsia="Amiri" w:cs="Amiri"/>
          <w:color w:val="111111"/>
          <w:sz w:val="28"/>
          <w:sz w:val="28"/>
          <w:szCs w:val="28"/>
          <w:rtl w:val="true"/>
          <w:lang w:bidi="ar-SA"/>
        </w:rPr>
        <w:t>أخّر</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الحدیث </w:t>
      </w:r>
      <w:r>
        <w:rPr>
          <w:rStyle w:val="FootnoteAnchor"/>
          <w:rtl w:val="true"/>
        </w:rPr>
        <w:footnoteReference w:id="8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وإنّما ذکرناه مع طوله؛ لاشتماله علی اُمور مهمّة،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علّة حدوث النقص علی من ذُکر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واعلم أنّ الوارث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أن یرث بالفرض خاصّة وهو من سمّی اللّٰه تعالی له فی کتابه سهماً بخصوصه، وهو الاُمّ والإخوة من قِبَلها، والزوج والزوجة حیث لا 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 بالقرابة خاصّة، وهو من دخل فی الإرث بعموم الکتاب فی آیة اُولی الأرحام کالأخوال والأعمام</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یرث بالفرض تارةً وبالقرابة اُخری، وهو الأب والبنت وإن تعدّدت</w:t>
      </w:r>
      <w:bookmarkStart w:id="310" w:name="pg19815_253180"/>
    </w:p>
    <w:p>
      <w:pPr>
        <w:pStyle w:val="BookText"/>
        <w:rPr/>
      </w:pPr>
      <w:bookmarkEnd w:id="310"/>
      <w:r>
        <w:rPr>
          <w:rFonts w:ascii="IRNazanin" w:hAnsi="IRNazanin" w:eastAsia="IRNazanin"/>
          <w:color w:val="111111"/>
          <w:sz w:val="28"/>
          <w:sz w:val="28"/>
          <w:szCs w:val="28"/>
          <w:rtl w:val="true"/>
          <w:lang w:bidi="fa-IR"/>
        </w:rPr>
        <w:t>والاُخت للأب کذلک، فالأب مع الولد یرث بالفرض، ومع غیره أو منفرداً بالقرابة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والبنات یرثن مع الولد بالقرابة، ومع الأبوین بالفرض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والأخوات یرثن مع الإخوة بالقرابة، ومع کلالة الاُمّ بالفرض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یرث بالفرض والقرابة معاً، وهو ذو الفرض علی تقدیر الردّ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هذا التقسیم یظهر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ذکر المصنّف الأب مع من یدخل النقص علیهم من ذوی الفروض </w:t>
      </w:r>
      <w:r>
        <w:rPr>
          <w:rStyle w:val="FootnoteAnchor"/>
          <w:rtl w:val="true"/>
        </w:rPr>
        <w:footnoteReference w:id="808"/>
      </w:r>
      <w:r>
        <w:rPr>
          <w:rFonts w:ascii="IRNazanin" w:hAnsi="IRNazanin" w:eastAsia="IRNazanin"/>
          <w:color w:val="111111"/>
          <w:sz w:val="28"/>
          <w:sz w:val="28"/>
          <w:szCs w:val="28"/>
          <w:rtl w:val="true"/>
          <w:lang w:bidi="fa-IR"/>
        </w:rPr>
        <w:t>لیس بجیّد؛ لأنّه مع الولد لا ینقص عن السدس ومع عدمه لیس من ذوی الفروض، ومسألة العول مختصّة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تنبّه </w:t>
      </w:r>
      <w:r>
        <w:rPr>
          <w:rStyle w:val="FootnoteAnchor"/>
          <w:rtl w:val="true"/>
        </w:rPr>
        <w:footnoteReference w:id="809"/>
      </w:r>
      <w:r>
        <w:rPr>
          <w:rFonts w:ascii="IRNazanin" w:hAnsi="IRNazanin" w:eastAsia="IRNazanin"/>
          <w:color w:val="111111"/>
          <w:sz w:val="28"/>
          <w:sz w:val="28"/>
          <w:szCs w:val="28"/>
          <w:rtl w:val="true"/>
          <w:lang w:bidi="fa-IR"/>
        </w:rPr>
        <w:t xml:space="preserve">لذلک المصنّف فی الدروس </w:t>
      </w:r>
      <w:r>
        <w:rPr>
          <w:rStyle w:val="FootnoteAnchor"/>
          <w:rtl w:val="true"/>
        </w:rPr>
        <w:footnoteReference w:id="810"/>
      </w:r>
      <w:r>
        <w:rPr>
          <w:rFonts w:ascii="IRNazanin" w:hAnsi="IRNazanin" w:eastAsia="IRNazanin"/>
          <w:color w:val="111111"/>
          <w:sz w:val="28"/>
          <w:sz w:val="28"/>
          <w:szCs w:val="28"/>
          <w:rtl w:val="true"/>
          <w:lang w:bidi="fa-IR"/>
        </w:rPr>
        <w:t xml:space="preserve">فترک ذکره، وقبْلَه العلّامة فی القواعد </w:t>
      </w:r>
      <w:r>
        <w:rPr>
          <w:rStyle w:val="FootnoteAnchor"/>
          <w:rtl w:val="true"/>
        </w:rPr>
        <w:footnoteReference w:id="811"/>
      </w:r>
      <w:r>
        <w:rPr>
          <w:rFonts w:ascii="IRNazanin" w:hAnsi="IRNazanin" w:eastAsia="IRNazanin"/>
          <w:color w:val="111111"/>
          <w:sz w:val="28"/>
          <w:sz w:val="28"/>
          <w:szCs w:val="28"/>
          <w:rtl w:val="true"/>
          <w:lang w:bidi="fa-IR"/>
        </w:rPr>
        <w:t xml:space="preserve">وذکره فی غیرها </w:t>
      </w:r>
      <w:r>
        <w:rPr>
          <w:rStyle w:val="FootnoteAnchor"/>
          <w:rtl w:val="true"/>
        </w:rPr>
        <w:footnoteReference w:id="812"/>
      </w:r>
      <w:r>
        <w:rPr>
          <w:rFonts w:ascii="IRNazanin" w:hAnsi="IRNazanin" w:eastAsia="IRNazanin"/>
          <w:color w:val="111111"/>
          <w:sz w:val="28"/>
          <w:sz w:val="28"/>
          <w:szCs w:val="28"/>
          <w:rtl w:val="true"/>
          <w:lang w:bidi="fa-IR"/>
        </w:rPr>
        <w:t xml:space="preserve">والمحقّق فی کتابیه </w:t>
      </w:r>
      <w:r>
        <w:rPr>
          <w:rStyle w:val="FootnoteAnchor"/>
          <w:rtl w:val="true"/>
        </w:rPr>
        <w:footnoteReference w:id="8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والصواب ترکه</w:t>
      </w:r>
      <w:r>
        <w:rPr>
          <w:rFonts w:eastAsia="IRNazanin" w:cs="IRNazanin"/>
          <w:color w:val="111111"/>
          <w:sz w:val="28"/>
          <w:szCs w:val="28"/>
          <w:rtl w:val="true"/>
          <w:lang w:bidi="fa-IR"/>
        </w:rPr>
        <w:t>.</w:t>
      </w:r>
    </w:p>
    <w:p>
      <w:pPr>
        <w:pStyle w:val="Heading5"/>
        <w:numPr>
          <w:ilvl w:val="4"/>
          <w:numId w:val="1"/>
        </w:numPr>
        <w:rPr/>
      </w:pPr>
      <w:bookmarkStart w:id="311" w:name="__RefHeading___Toc2227911_2314609296"/>
      <w:bookmarkStart w:id="312" w:name="_Toc118"/>
      <w:bookmarkEnd w:id="311"/>
      <w:r>
        <w:rPr>
          <w:rtl w:val="true"/>
        </w:rPr>
        <w:t>[«</w:t>
      </w:r>
      <w:r>
        <w:rPr>
          <w:rtl w:val="true"/>
        </w:rPr>
        <w:t>مسائل</w:t>
      </w:r>
      <w:r>
        <w:rPr>
          <w:rtl w:val="true"/>
        </w:rPr>
        <w:t xml:space="preserve">» </w:t>
      </w:r>
      <w:r>
        <w:rPr>
          <w:rtl w:val="true"/>
        </w:rPr>
        <w:t xml:space="preserve">خمس </w:t>
      </w:r>
      <w:r>
        <w:rPr>
          <w:rtl w:val="true"/>
        </w:rPr>
        <w:t>]</w:t>
      </w:r>
      <w:bookmarkEnd w:id="312"/>
    </w:p>
    <w:p>
      <w:pPr>
        <w:pStyle w:val="Heading6"/>
        <w:numPr>
          <w:ilvl w:val="5"/>
          <w:numId w:val="1"/>
        </w:numPr>
        <w:rPr/>
      </w:pPr>
      <w:bookmarkStart w:id="313" w:name="__RefHeading___Toc2227913_2314609296"/>
      <w:bookmarkStart w:id="314" w:name="_Toc119"/>
      <w:bookmarkEnd w:id="313"/>
      <w:r>
        <w:rPr>
          <w:rtl w:val="true"/>
        </w:rPr>
        <w:t>«</w:t>
      </w:r>
      <w:r>
        <w:rPr>
          <w:rtl w:val="true"/>
        </w:rPr>
        <w:t xml:space="preserve">الاُولی </w:t>
      </w:r>
      <w:r>
        <w:rPr>
          <w:rtl w:val="true"/>
        </w:rPr>
        <w:t>[</w:t>
      </w:r>
      <w:r>
        <w:rPr>
          <w:rtl w:val="true"/>
        </w:rPr>
        <w:t xml:space="preserve">حکم ارث الابوین </w:t>
      </w:r>
      <w:r>
        <w:rPr>
          <w:rtl w:val="true"/>
        </w:rPr>
        <w:t>] » :</w:t>
      </w:r>
      <w:bookmarkEnd w:id="314"/>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انفرد 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الأبوین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یترک المیّت قریباً فی مرتبته سواه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لکن للاُمّ ثلث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بالتسمیة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فرضها حینئذٍ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والباقی بالردّ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 الأب فإرثه للجمیع بالقرابة؛ إذ لا فرض له حینئذٍ</w:t>
      </w:r>
      <w:bookmarkStart w:id="315" w:name="pg19815_253181"/>
    </w:p>
    <w:p>
      <w:pPr>
        <w:pStyle w:val="BookText"/>
        <w:rPr/>
      </w:pPr>
      <w:bookmarkEnd w:id="315"/>
      <w:r>
        <w:rPr>
          <w:rFonts w:ascii="IRNazanin" w:hAnsi="IRNazanin" w:eastAsia="IRNazanin"/>
          <w:color w:val="111111"/>
          <w:sz w:val="28"/>
          <w:sz w:val="28"/>
          <w:szCs w:val="28"/>
          <w:rtl w:val="true"/>
          <w:lang w:bidi="fa-IR"/>
        </w:rPr>
        <w:t xml:space="preserve">کما 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اجتمعا فللاُمّ الثلث مع عدم الحاجب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الإخوة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والسدس مع الحاجب، والباقی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الترکة عن الثلث أو السدس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للأب</w:t>
      </w:r>
      <w:r>
        <w:rPr>
          <w:rFonts w:eastAsia="IRNazanin" w:cs="IRNazanin"/>
          <w:color w:val="111111"/>
          <w:sz w:val="28"/>
          <w:szCs w:val="28"/>
          <w:rtl w:val="true"/>
          <w:lang w:bidi="fa-IR"/>
        </w:rPr>
        <w:t>» .</w:t>
      </w:r>
    </w:p>
    <w:p>
      <w:pPr>
        <w:pStyle w:val="Heading6"/>
        <w:numPr>
          <w:ilvl w:val="5"/>
          <w:numId w:val="1"/>
        </w:numPr>
        <w:rPr/>
      </w:pPr>
      <w:bookmarkStart w:id="316" w:name="__RefHeading___Toc2227915_2314609296"/>
      <w:bookmarkStart w:id="317" w:name="_Toc120"/>
      <w:bookmarkEnd w:id="316"/>
      <w:r>
        <w:rPr>
          <w:rtl w:val="true"/>
        </w:rPr>
        <w:t>«</w:t>
      </w:r>
      <w:r>
        <w:rPr>
          <w:rtl w:val="true"/>
        </w:rPr>
        <w:t xml:space="preserve">الثانیة </w:t>
      </w:r>
      <w:r>
        <w:rPr>
          <w:rtl w:val="true"/>
        </w:rPr>
        <w:t>[</w:t>
      </w:r>
      <w:r>
        <w:rPr>
          <w:rtl w:val="true"/>
        </w:rPr>
        <w:t>حکم ارث الاولاد</w:t>
      </w:r>
      <w:r>
        <w:rPr>
          <w:rtl w:val="true"/>
        </w:rPr>
        <w:t>] » :</w:t>
      </w:r>
      <w:bookmarkEnd w:id="31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للابن المنفرد المال، وکذا للزائد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الواحد من الأبناء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بینهم بالسویّة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وللبنت المنفردة النصف تسمیة والباقی ردّاً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وللبنتین فصاعداً الثلثان تسمیة والباقی ردّاً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اجتمع الذکور والإناث فللذکر مثل حظّ الاُنثیین</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اجتمع مع الولد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ذکراً کان أم اُنثی متّحداً أم متعدّداً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الأبوان فلکلّ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 منهما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السدس، والباقی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 الولد المفروض ابناً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البنتین، أو الذکور والإناث علی ما قلناه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للذکر منهم مثل حظّ الاُنثیین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الأبوین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البنت الواحدة السدسان ولها النصف، والباقی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السدس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الأبوین والبنت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أخماساً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نسبة الفریضة، فیکون جمیع الترکة بینهم أخماساً، للبنت ثلاثة أخماس، ولکلّ واحد منهما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والفریضة حینئذٍ من ثلاثین؛ لأنّ أصلها ستّة مخرج النصف والسدس، ثمّ یرتقی بالضرب فی مخرج الکسر إلی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إذا لم یکن للاُمّ حاجب عن الزیادة علی السدس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ومع الحاجب 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البنت والأب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خاصّة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والفریضة حینئذٍ من أربعة وعشرین، للاُمّ سدسها أربعة، وللبنت اثنا عشر بالأصل وثلاثة بالردّ، وللأب أربعة بالأصل وواحد بالردّ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کان بنتان فصاعداً مع الأبوین فلا 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الفریضة حینئذٍ بقدر السهام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 البنتان فصاعداً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أحد الأبوین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خاصّة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یردّ</w:t>
      </w:r>
      <w:bookmarkStart w:id="318" w:name="pg19815_253182"/>
    </w:p>
    <w:p>
      <w:pPr>
        <w:pStyle w:val="BookText"/>
        <w:rPr/>
      </w:pPr>
      <w:bookmarkEnd w:id="318"/>
      <w:r>
        <w:rPr>
          <w:rFonts w:ascii="IRNazanin" w:hAnsi="IRNazanin" w:eastAsia="IRNazanin"/>
          <w:color w:val="111111"/>
          <w:sz w:val="28"/>
          <w:sz w:val="28"/>
          <w:szCs w:val="28"/>
          <w:rtl w:val="true"/>
          <w:lang w:bidi="fa-IR"/>
        </w:rPr>
        <w:t>السدس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الفاضل عن سهامهم علیهم جمیعاً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أخماساً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نسبة السهام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الأبوین أو أحدهما والبنت أو البنتین فصاعداً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 أو زوجة 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واحد من الزوج والزوجة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نصیبه الأدنی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الربع أو الثمن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وللأبوین السدسان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ولأحدهما السدس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والباقی للأولاد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وحیث یفضل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الفریضة شیء، بأن کان الوارث بنتاً واحدة وأبوین وزوجة، أو بنتین وأحد الأبوین وزوجة، أو بنتاً وأحدهما وزوجاً أو زوجة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البنت أو البنتین فصاعداً، وعلی الأبوین أو أحدهما مع عدم الحاجب، أو علی الأب خاصّة 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بالنسبة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الزوج والزوجة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دخل نقص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کان الوارث أبوین وبنتین مع الزوج أو الزوجة، أو بنتاً وأبوین مع الزوج، أو بنتین وأحد الأبوین 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النقص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البنتین فصاعداً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البنت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الأبوین والزوج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تقدّم </w:t>
      </w:r>
      <w:r>
        <w:rPr>
          <w:rStyle w:val="FootnoteAnchor"/>
          <w:rtl w:val="true"/>
        </w:rPr>
        <w:footnoteReference w:id="8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کان مع الأبوین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خاصّة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 أو زوجة فله نصیبه الأعلی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لفقد الولد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وللاُمّ ثلث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عدم الحاجب وسدسه 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والباقی للأب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یصدق اسم النقص علیه هنا؛ لأنّه حینئذٍ لا تسمیة له، وهذا هو الذی أوجب إدخال الأب فیمن ینقص علیه کما سلف </w:t>
      </w:r>
      <w:r>
        <w:rPr>
          <w:rStyle w:val="FootnoteAnchor"/>
          <w:rtl w:val="true"/>
        </w:rPr>
        <w:footnoteReference w:id="81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19" w:name="__RefHeading___Toc2227917_2314609296"/>
      <w:bookmarkStart w:id="320" w:name="_Toc121"/>
      <w:bookmarkEnd w:id="319"/>
      <w:r>
        <w:rPr>
          <w:rtl w:val="true"/>
        </w:rPr>
        <w:t>«</w:t>
      </w:r>
      <w:r>
        <w:rPr>
          <w:rtl w:val="true"/>
        </w:rPr>
        <w:t xml:space="preserve">الثالثة </w:t>
      </w:r>
      <w:r>
        <w:rPr>
          <w:rtl w:val="true"/>
        </w:rPr>
        <w:t>[</w:t>
      </w:r>
      <w:r>
        <w:rPr>
          <w:rtl w:val="true"/>
        </w:rPr>
        <w:t xml:space="preserve">حکم ارث اولاد الاولاد </w:t>
      </w:r>
      <w:r>
        <w:rPr>
          <w:rtl w:val="true"/>
        </w:rPr>
        <w:t>] » :</w:t>
      </w:r>
      <w:bookmarkEnd w:id="320"/>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أولاد الأولاد یقومون مقام آبائهم عند عدمهم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کان الأبوان موجودین أم أحدهما أم لا علی أصحّ القولین، خلافاً للصدوق حیث شرط فی</w:t>
      </w:r>
    </w:p>
    <w:p>
      <w:pPr>
        <w:pStyle w:val="BookText"/>
        <w:rPr/>
      </w:pPr>
      <w:r>
        <w:rPr>
          <w:rFonts w:ascii="IRNazanin" w:hAnsi="IRNazanin" w:eastAsia="IRNazanin"/>
          <w:color w:val="111111"/>
          <w:sz w:val="28"/>
          <w:sz w:val="28"/>
          <w:szCs w:val="28"/>
          <w:rtl w:val="true"/>
          <w:lang w:bidi="fa-IR"/>
        </w:rPr>
        <w:t xml:space="preserve">توریثهم عدم الأبوین </w:t>
      </w:r>
      <w:r>
        <w:rPr>
          <w:rStyle w:val="FootnoteAnchor"/>
          <w:rtl w:val="true"/>
        </w:rPr>
        <w:footnoteReference w:id="816"/>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یأخذ کلّ منهم نصیب من یتقرّب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فلابن البنت ثلث، ولبنت الابن ثلثان؛ وکذا مع التعدّد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هو المشهور بین الأصحاب روایة </w:t>
      </w:r>
      <w:r>
        <w:rPr>
          <w:rStyle w:val="FootnoteAnchor"/>
          <w:rtl w:val="true"/>
        </w:rPr>
        <w:footnoteReference w:id="817"/>
      </w:r>
      <w:r>
        <w:rPr>
          <w:rFonts w:ascii="Amiri" w:hAnsi="Amiri" w:eastAsia="Amiri" w:cs="Amiri"/>
          <w:color w:val="111111"/>
          <w:sz w:val="28"/>
          <w:sz w:val="28"/>
          <w:szCs w:val="28"/>
          <w:rtl w:val="true"/>
          <w:lang w:bidi="ar-SA"/>
        </w:rPr>
        <w:t xml:space="preserve">وفتویً </w:t>
      </w:r>
      <w:r>
        <w:rPr>
          <w:rStyle w:val="FootnoteAnchor"/>
          <w:rtl w:val="true"/>
        </w:rPr>
        <w:footnoteReference w:id="818"/>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المرتضی </w:t>
      </w:r>
      <w:r>
        <w:rPr>
          <w:rStyle w:val="FootnoteAnchor"/>
          <w:rtl w:val="true"/>
        </w:rPr>
        <w:footnoteReference w:id="819"/>
      </w:r>
      <w:r>
        <w:rPr>
          <w:rFonts w:ascii="Amiri" w:hAnsi="Amiri" w:eastAsia="Amiri" w:cs="Amiri"/>
          <w:color w:val="111111"/>
          <w:sz w:val="28"/>
          <w:sz w:val="28"/>
          <w:szCs w:val="28"/>
          <w:rtl w:val="true"/>
          <w:lang w:bidi="ar-SA"/>
        </w:rPr>
        <w:t xml:space="preserve">وجماعة </w:t>
      </w:r>
      <w:r>
        <w:rPr>
          <w:rStyle w:val="FootnoteAnchor"/>
          <w:rtl w:val="true"/>
        </w:rPr>
        <w:footnoteReference w:id="8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یعتبر أولاد الأولاد بأنفسهم، فللذکر ضعف الاُنثی وإن کان یتقرّب باُمّه وتتقرّب الاُنثی بأبیها؛ لأنّهم أولاد حقیقة، فیدخلون فی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یُوصِیکُمُ اَللّٰهُ فِی أَوْلاٰدِکُمْ لِلذَّکَرِ مِثْلُ حَظِّ اَلْأُنْثَیَیْنِ</w:t>
      </w:r>
      <w:r>
        <w:rPr>
          <w:rFonts w:eastAsia="Amiri" w:cs="Amiri" w:ascii="Amiri" w:hAnsi="Amiri"/>
          <w:color w:val="111111"/>
          <w:sz w:val="28"/>
          <w:szCs w:val="28"/>
          <w:rtl w:val="true"/>
          <w:lang w:bidi="ar-SA"/>
        </w:rPr>
        <w:t xml:space="preserve">) </w:t>
      </w:r>
      <w:r>
        <w:rPr>
          <w:rStyle w:val="FootnoteAnchor"/>
          <w:rtl w:val="true"/>
        </w:rPr>
        <w:footnoteReference w:id="821"/>
      </w:r>
      <w:r>
        <w:rPr>
          <w:rFonts w:ascii="Amiri" w:hAnsi="Amiri" w:eastAsia="Amiri" w:cs="Amiri"/>
          <w:color w:val="111111"/>
          <w:sz w:val="28"/>
          <w:sz w:val="28"/>
          <w:szCs w:val="28"/>
          <w:rtl w:val="true"/>
          <w:lang w:bidi="ar-SA"/>
        </w:rPr>
        <w:t>إذ لا شبهة فی کون أولاد الأولاد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کنّ إناثاً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أولاداً، ولهذا حرّمت حلائلُهم بآیة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حَلاٰئِلُ أَبْنٰائِکُمُ</w:t>
      </w:r>
      <w:r>
        <w:rPr>
          <w:rFonts w:eastAsia="Amiri" w:cs="Amiri" w:ascii="Amiri" w:hAnsi="Amiri"/>
          <w:color w:val="111111"/>
          <w:sz w:val="28"/>
          <w:szCs w:val="28"/>
          <w:rtl w:val="true"/>
          <w:lang w:bidi="ar-SA"/>
        </w:rPr>
        <w:t xml:space="preserve">) </w:t>
      </w:r>
      <w:r>
        <w:rPr>
          <w:rStyle w:val="FootnoteAnchor"/>
          <w:rtl w:val="true"/>
        </w:rPr>
        <w:footnoteReference w:id="822"/>
      </w:r>
      <w:r>
        <w:rPr>
          <w:rFonts w:ascii="Amiri" w:hAnsi="Amiri" w:eastAsia="Amiri" w:cs="Amiri"/>
          <w:color w:val="111111"/>
          <w:sz w:val="28"/>
          <w:sz w:val="28"/>
          <w:szCs w:val="28"/>
          <w:rtl w:val="true"/>
          <w:lang w:bidi="ar-SA"/>
        </w:rPr>
        <w:t>وحُرّمت بنات الابن والبنت بقوله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بَنٰاتُکُمْ</w:t>
      </w:r>
      <w:r>
        <w:rPr>
          <w:rFonts w:eastAsia="Amiri" w:cs="Amiri" w:ascii="Amiri" w:hAnsi="Amiri"/>
          <w:color w:val="111111"/>
          <w:sz w:val="28"/>
          <w:szCs w:val="28"/>
          <w:rtl w:val="true"/>
          <w:lang w:bidi="ar-SA"/>
        </w:rPr>
        <w:t xml:space="preserve">) </w:t>
      </w:r>
      <w:r>
        <w:rPr>
          <w:rStyle w:val="FootnoteAnchor"/>
          <w:rtl w:val="true"/>
        </w:rPr>
        <w:footnoteReference w:id="823"/>
      </w:r>
      <w:r>
        <w:rPr>
          <w:rFonts w:ascii="Amiri" w:hAnsi="Amiri" w:eastAsia="Amiri" w:cs="Amiri"/>
          <w:color w:val="111111"/>
          <w:sz w:val="28"/>
          <w:sz w:val="28"/>
          <w:szCs w:val="28"/>
          <w:rtl w:val="true"/>
          <w:lang w:bidi="ar-SA"/>
        </w:rPr>
        <w:t>واُحلّ رؤیة زینتهنّ لأبناء أولادهنّ مطلقاً بقوله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أَبْنٰائِهِنَّ أَوْ أَبْنٰاءِ بُعُولَتِهِنَّ</w:t>
      </w:r>
      <w:r>
        <w:rPr>
          <w:rFonts w:eastAsia="Amiri" w:cs="Amiri" w:ascii="Amiri" w:hAnsi="Amiri"/>
          <w:color w:val="111111"/>
          <w:sz w:val="28"/>
          <w:szCs w:val="28"/>
          <w:rtl w:val="true"/>
          <w:lang w:bidi="ar-SA"/>
        </w:rPr>
        <w:t xml:space="preserve">) </w:t>
      </w:r>
      <w:r>
        <w:rPr>
          <w:rStyle w:val="FootnoteAnchor"/>
          <w:rtl w:val="true"/>
        </w:rPr>
        <w:footnoteReference w:id="824"/>
      </w:r>
      <w:r>
        <w:rPr>
          <w:rFonts w:ascii="IRNazanin" w:hAnsi="IRNazanin" w:eastAsia="IRNazanin"/>
          <w:color w:val="111111"/>
          <w:sz w:val="28"/>
          <w:sz w:val="28"/>
          <w:szCs w:val="28"/>
          <w:rtl w:val="true"/>
          <w:lang w:bidi="fa-IR"/>
        </w:rPr>
        <w:t xml:space="preserve">کذلک، إلی غیر ذلک من الأدلّة </w:t>
      </w:r>
      <w:r>
        <w:rPr>
          <w:rStyle w:val="FootnoteAnchor"/>
          <w:rtl w:val="true"/>
        </w:rPr>
        <w:footnoteReference w:id="8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کلّه حقّ لولا دلالة الأخبار الصحیحة علی خلافه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کصحیحة عبد الرحمن بن الحجّاج عن الصادق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بنات البنات یقمن مقام البنت إذا لم یکن للمیّت ولد ولا وارث غیرهنّ</w:t>
      </w:r>
      <w:r>
        <w:rPr>
          <w:rFonts w:eastAsia="IRNazanin" w:cs="IRNazanin"/>
          <w:color w:val="111111"/>
          <w:sz w:val="28"/>
          <w:szCs w:val="28"/>
          <w:rtl w:val="true"/>
          <w:lang w:bidi="fa-IR"/>
        </w:rPr>
        <w:t xml:space="preserve">» </w:t>
      </w:r>
      <w:r>
        <w:rPr>
          <w:rStyle w:val="FootnoteAnchor"/>
          <w:rtl w:val="true"/>
        </w:rPr>
        <w:footnoteReference w:id="8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وصحیحة سعد بن أبی خلف عن الکاظم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بنات البنت یقمن مقام البنات إذا لم یکن للمیّت بنات ولا وارث غیرهنّ، وبنات الابن یقمن مقام الابن إذا لم یکن للمیّت ولد ولا وارث غیرهنّ</w:t>
      </w:r>
      <w:r>
        <w:rPr>
          <w:rFonts w:eastAsia="IRNazanin" w:cs="IRNazanin"/>
          <w:color w:val="111111"/>
          <w:sz w:val="28"/>
          <w:szCs w:val="28"/>
          <w:rtl w:val="true"/>
          <w:lang w:bidi="fa-IR"/>
        </w:rPr>
        <w:t xml:space="preserve">» </w:t>
      </w:r>
      <w:r>
        <w:rPr>
          <w:rStyle w:val="FootnoteAnchor"/>
          <w:rtl w:val="true"/>
        </w:rPr>
        <w:footnoteReference w:id="827"/>
      </w:r>
      <w:r>
        <w:rPr>
          <w:rFonts w:ascii="IRNazanin" w:hAnsi="IRNazanin" w:eastAsia="IRNazanin"/>
          <w:color w:val="111111"/>
          <w:sz w:val="28"/>
          <w:sz w:val="28"/>
          <w:szCs w:val="28"/>
          <w:rtl w:val="true"/>
          <w:lang w:bidi="fa-IR"/>
        </w:rPr>
        <w:t xml:space="preserve">وغیرهما </w:t>
      </w:r>
      <w:r>
        <w:rPr>
          <w:rStyle w:val="FootnoteAnchor"/>
          <w:rtl w:val="true"/>
        </w:rPr>
        <w:footnoteReference w:id="828"/>
      </w:r>
      <w:r>
        <w:rPr>
          <w:rFonts w:ascii="IRNazanin" w:hAnsi="IRNazanin" w:eastAsia="IRNazanin"/>
          <w:color w:val="111111"/>
          <w:sz w:val="28"/>
          <w:sz w:val="28"/>
          <w:szCs w:val="28"/>
          <w:rtl w:val="true"/>
          <w:lang w:bidi="fa-IR"/>
        </w:rPr>
        <w:t>وهذا هو المخصّص لآیة الإرث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دلالة للروایات علی المشهور؛ لأنّ قیامهنّ مقامهم ثابت علی کلّ حال فی أصل الإرث، ولا یلزم منه القیام فی کیفیّته وإن احتمله، وإذا قام الاحتمال لم یصلح لمعارضة الآیة الدالّة بالقطع علی أنّ للذکر مثل حظّ الاُنثیین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من قیام الأولاد مقام الآباء والاُمّهات تنزیلهم منزلتهم لو کانوا موجودین مطلقاً </w:t>
      </w:r>
      <w:r>
        <w:rPr>
          <w:rStyle w:val="FootnoteAnchor"/>
          <w:rtl w:val="true"/>
        </w:rPr>
        <w:footnoteReference w:id="829"/>
      </w:r>
      <w:r>
        <w:rPr>
          <w:rFonts w:ascii="IRNazanin" w:hAnsi="IRNazanin" w:eastAsia="IRNazanin"/>
          <w:color w:val="111111"/>
          <w:sz w:val="28"/>
          <w:sz w:val="28"/>
          <w:szCs w:val="28"/>
          <w:rtl w:val="true"/>
          <w:lang w:bidi="fa-IR"/>
        </w:rPr>
        <w:t>وذلک یدلّ علی المطلوب؛ مضافاً إلی عمل الأکثر</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ولو تعدّد أولاد الأولاد فی کلّ مرتبة أو فی بعضها فسهم کلّ فریق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یقتسمونه بینهم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اقتسم آباؤهم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للذکر مثلُ حظّ الاُنثیین وإن کانوا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الأولاد المتعدّدون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أولاد بنت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أصحّ القولین </w:t>
      </w:r>
      <w:r>
        <w:rPr>
          <w:rStyle w:val="FootnoteAnchor"/>
          <w:rtl w:val="true"/>
        </w:rPr>
        <w:footnoteReference w:id="830"/>
      </w:r>
      <w:r>
        <w:rPr>
          <w:rFonts w:ascii="IRNazanin" w:hAnsi="IRNazanin" w:eastAsia="IRNazanin"/>
          <w:color w:val="111111"/>
          <w:sz w:val="28"/>
          <w:sz w:val="28"/>
          <w:szCs w:val="28"/>
          <w:rtl w:val="true"/>
          <w:lang w:bidi="fa-IR"/>
        </w:rPr>
        <w:t>لعموم قوله تعالی</w:t>
      </w:r>
      <w:r>
        <w:rPr>
          <w:rFonts w:eastAsia="IRNazanin" w:cs="IRNazanin"/>
          <w:color w:val="111111"/>
          <w:sz w:val="28"/>
          <w:szCs w:val="28"/>
          <w:rtl w:val="true"/>
          <w:lang w:bidi="fa-IR"/>
        </w:rPr>
        <w:t>:</w:t>
      </w:r>
      <w:bookmarkStart w:id="321" w:name="pg19815_253185"/>
    </w:p>
    <w:p>
      <w:pPr>
        <w:pStyle w:val="BookText"/>
        <w:rPr/>
      </w:pPr>
      <w:bookmarkEnd w:id="32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لِلذَّکَرِ مِثْلُ حَظِّ اَلْأُنْثَیَیْنِ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 معارض لها هنا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یقتسم أولاد البنت بالسویّة کاقتسام من ینتسب إلی الاُمّ کالخالة والإخوة للاُمّ </w:t>
      </w:r>
      <w:r>
        <w:rPr>
          <w:rStyle w:val="FootnoteAnchor"/>
          <w:rtl w:val="true"/>
        </w:rPr>
        <w:footnoteReference w:id="831"/>
      </w:r>
      <w:r>
        <w:rPr>
          <w:rFonts w:ascii="IRNazanin" w:hAnsi="IRNazanin" w:eastAsia="IRNazanin"/>
          <w:color w:val="111111"/>
          <w:sz w:val="28"/>
          <w:sz w:val="28"/>
          <w:szCs w:val="28"/>
          <w:rtl w:val="true"/>
          <w:lang w:bidi="fa-IR"/>
        </w:rPr>
        <w:t>ویعارض بحکمهم باقتسام أولاد الاُخت للأب متفاوتین</w:t>
      </w:r>
      <w:r>
        <w:rPr>
          <w:rFonts w:eastAsia="IRNazanin" w:cs="IRNazanin"/>
          <w:color w:val="111111"/>
          <w:sz w:val="28"/>
          <w:szCs w:val="28"/>
          <w:rtl w:val="true"/>
          <w:lang w:bidi="fa-IR"/>
        </w:rPr>
        <w:t>.</w:t>
      </w:r>
    </w:p>
    <w:p>
      <w:pPr>
        <w:pStyle w:val="Heading6"/>
        <w:numPr>
          <w:ilvl w:val="5"/>
          <w:numId w:val="1"/>
        </w:numPr>
        <w:rPr/>
      </w:pPr>
      <w:bookmarkStart w:id="322" w:name="__RefHeading___Toc2227919_2314609296"/>
      <w:bookmarkStart w:id="323" w:name="_Toc122"/>
      <w:bookmarkEnd w:id="322"/>
      <w:r>
        <w:rPr>
          <w:rtl w:val="true"/>
        </w:rPr>
        <w:t>«</w:t>
      </w:r>
      <w:r>
        <w:rPr>
          <w:rtl w:val="true"/>
        </w:rPr>
        <w:t xml:space="preserve">الرابعة </w:t>
      </w:r>
      <w:r>
        <w:rPr>
          <w:rtl w:val="true"/>
        </w:rPr>
        <w:t>[</w:t>
      </w:r>
      <w:r>
        <w:rPr>
          <w:rtl w:val="true"/>
        </w:rPr>
        <w:t>الحبوة</w:t>
      </w:r>
      <w:r>
        <w:rPr>
          <w:rtl w:val="true"/>
        </w:rPr>
        <w:t>] » :</w:t>
      </w:r>
      <w:bookmarkEnd w:id="32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یُعطی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الولد الأکبر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أکبر الذکور إن تعدّدوا وإلّا فالذکر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ترکة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زیادةً علی غیره من الورّاث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بثیابه وخاتمه وسیفه ومُصحفه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وهذا الحباء من متفرّدات علمائنا، ومستنده روایات کثیرة عن أئمّة الهدی </w:t>
      </w:r>
      <w:r>
        <w:rPr>
          <w:rStyle w:val="FootnoteAnchor"/>
          <w:rtl w:val="true"/>
        </w:rPr>
        <w:footnoteReference w:id="8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نّه علی سبیل الاستحقاق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سبیل </w:t>
      </w:r>
      <w:r>
        <w:rPr>
          <w:rStyle w:val="FootnoteAnchor"/>
          <w:rtl w:val="true"/>
        </w:rPr>
        <w:footnoteReference w:id="833"/>
      </w:r>
      <w:r>
        <w:rPr>
          <w:rFonts w:ascii="IRNazanin" w:hAnsi="IRNazanin" w:eastAsia="IRNazanin"/>
          <w:color w:val="111111"/>
          <w:sz w:val="28"/>
          <w:sz w:val="28"/>
          <w:szCs w:val="28"/>
          <w:rtl w:val="true"/>
          <w:lang w:bidi="fa-IR"/>
        </w:rPr>
        <w:t xml:space="preserve">الاستحباب </w:t>
      </w:r>
      <w:r>
        <w:rPr>
          <w:rStyle w:val="FootnoteAnchor"/>
          <w:rtl w:val="true"/>
        </w:rPr>
        <w:footnoteReference w:id="834"/>
      </w:r>
      <w:r>
        <w:rPr>
          <w:rFonts w:ascii="IRNazanin" w:hAnsi="IRNazanin" w:eastAsia="IRNazanin"/>
          <w:color w:val="111111"/>
          <w:sz w:val="28"/>
          <w:sz w:val="28"/>
          <w:szCs w:val="28"/>
          <w:rtl w:val="true"/>
          <w:lang w:bidi="fa-IR"/>
        </w:rPr>
        <w:t xml:space="preserve">وفی الروایات ما یدلّ علی الأوّل؛ لأنّه جعلها فیها له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المفیدة للملک أو الاختصاص أو الاستحقاق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اختصاصه بها مجّاناً؛ لإطلاق النصوص به</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بالقیمة </w:t>
      </w:r>
      <w:r>
        <w:rPr>
          <w:rStyle w:val="FootnoteAnchor"/>
          <w:rtl w:val="true"/>
        </w:rPr>
        <w:footnoteReference w:id="835"/>
      </w:r>
      <w:r>
        <w:rPr>
          <w:rFonts w:ascii="IRNazanin" w:hAnsi="IRNazanin" w:eastAsia="IRNazanin"/>
          <w:color w:val="111111"/>
          <w:sz w:val="28"/>
          <w:sz w:val="28"/>
          <w:szCs w:val="28"/>
          <w:rtl w:val="true"/>
          <w:lang w:bidi="fa-IR"/>
        </w:rPr>
        <w:t xml:space="preserve">اقتصاراً فیما خالف الأصل ونصّ الکتاب </w:t>
      </w:r>
      <w:r>
        <w:rPr>
          <w:rStyle w:val="FootnoteAnchor"/>
          <w:rtl w:val="true"/>
        </w:rPr>
        <w:footnoteReference w:id="836"/>
      </w:r>
      <w:r>
        <w:rPr>
          <w:rFonts w:ascii="IRNazanin" w:hAnsi="IRNazanin" w:eastAsia="IRNazanin"/>
          <w:color w:val="111111"/>
          <w:sz w:val="28"/>
          <w:sz w:val="28"/>
          <w:szCs w:val="28"/>
          <w:rtl w:val="true"/>
          <w:lang w:bidi="fa-IR"/>
        </w:rPr>
        <w:t>علی موضع الوفاق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والمراد بثیابه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یلبسها أو أعدّها للّبس وإن لم یکن لبسها؛ لدلالة العرف علی کونها ثیابه ولباسه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وثیاب جلده </w:t>
      </w:r>
      <w:r>
        <w:rPr>
          <w:rStyle w:val="FootnoteAnchor"/>
          <w:rtl w:val="true"/>
        </w:rPr>
        <w:footnoteReference w:id="837"/>
      </w:r>
      <w:r>
        <w:rPr>
          <w:rFonts w:ascii="IRNazanin" w:hAnsi="IRNazanin" w:eastAsia="IRNazanin"/>
          <w:color w:val="111111"/>
          <w:sz w:val="28"/>
          <w:sz w:val="28"/>
          <w:szCs w:val="28"/>
          <w:rtl w:val="true"/>
          <w:lang w:bidi="fa-IR"/>
        </w:rPr>
        <w:t xml:space="preserve">علی ما ورد فی الأخبار </w:t>
      </w:r>
      <w:r>
        <w:rPr>
          <w:rStyle w:val="FootnoteAnchor"/>
          <w:rtl w:val="true"/>
        </w:rPr>
        <w:footnoteReference w:id="838"/>
      </w:r>
      <w:r>
        <w:rPr>
          <w:rFonts w:ascii="IRNazanin" w:hAnsi="IRNazanin" w:eastAsia="IRNazanin"/>
          <w:color w:val="111111"/>
          <w:sz w:val="28"/>
          <w:sz w:val="28"/>
          <w:szCs w:val="28"/>
          <w:rtl w:val="true"/>
          <w:lang w:bidi="fa-IR"/>
        </w:rPr>
        <w:t>ولو فُصّلت ولم تکمل خیاطتها ففی دخولها 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إضافتها إلیه بذلک، ومن عدم صدق کونها ثیاباً بالإضافات المذکورة عرفاً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العمامة منها وإن تعدّدت أو لم تُلبس إذا اتّخذها له؛ وکذا السراویل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دخول شدّ الوسط 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الحذاء ونحوه ممّا یتّخذ للرجل فلا، وکذا لو کان المتّخذ لشدّ الوسط غیر ثوب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بعض الأخبار إضافة السلاح والدرع والکُتُب والرحل والراحلة </w:t>
      </w:r>
      <w:r>
        <w:rPr>
          <w:rStyle w:val="FootnoteAnchor"/>
          <w:rtl w:val="true"/>
        </w:rPr>
        <w:footnoteReference w:id="8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الأصحاب أعرضوا عنه وخصّوها بالأربعة </w:t>
      </w:r>
      <w:r>
        <w:rPr>
          <w:rStyle w:val="FootnoteAnchor"/>
          <w:rtl w:val="true"/>
        </w:rPr>
        <w:footnoteReference w:id="840"/>
      </w:r>
      <w:r>
        <w:rPr>
          <w:rFonts w:ascii="IRNazanin" w:hAnsi="IRNazanin" w:eastAsia="IRNazanin"/>
          <w:color w:val="111111"/>
          <w:sz w:val="28"/>
          <w:sz w:val="28"/>
          <w:szCs w:val="28"/>
          <w:rtl w:val="true"/>
          <w:lang w:bidi="fa-IR"/>
        </w:rPr>
        <w:t xml:space="preserve">مع أ نّها لم تذکر فی خبر مجتمعة، وإنّما اجتمعت فی أخبار والروایة الجامعة لهذه الأشیاء </w:t>
      </w:r>
      <w:r>
        <w:rPr>
          <w:rStyle w:val="FootnoteAnchor"/>
          <w:rtl w:val="true"/>
        </w:rPr>
        <w:footnoteReference w:id="841"/>
      </w:r>
      <w:r>
        <w:rPr>
          <w:rFonts w:ascii="IRNazanin" w:hAnsi="IRNazanin" w:eastAsia="IRNazanin"/>
          <w:color w:val="111111"/>
          <w:sz w:val="28"/>
          <w:sz w:val="28"/>
          <w:szCs w:val="28"/>
          <w:rtl w:val="true"/>
          <w:lang w:bidi="fa-IR"/>
        </w:rPr>
        <w:t>صحیحة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وظاهر الصدوق اختیارها؛ لأنّه ذکرها فی الفقیه </w:t>
      </w:r>
      <w:r>
        <w:rPr>
          <w:rStyle w:val="FootnoteAnchor"/>
          <w:rtl w:val="true"/>
        </w:rPr>
        <w:footnoteReference w:id="842"/>
      </w:r>
      <w:r>
        <w:rPr>
          <w:rFonts w:ascii="IRNazanin" w:hAnsi="IRNazanin" w:eastAsia="IRNazanin"/>
          <w:color w:val="111111"/>
          <w:sz w:val="28"/>
          <w:sz w:val="28"/>
          <w:szCs w:val="28"/>
          <w:rtl w:val="true"/>
          <w:lang w:bidi="fa-IR"/>
        </w:rPr>
        <w:t>مع التزامه أن لا یروی فیه إلّاما یَعمل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یذکر الأصحاب الدرع، مع أ نّه ذُکر فی عدّة أخبار </w:t>
      </w:r>
      <w:r>
        <w:rPr>
          <w:rStyle w:val="FootnoteAnchor"/>
          <w:rtl w:val="true"/>
        </w:rPr>
        <w:footnoteReference w:id="843"/>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والاقتصار علی ما ذکروه أولی إن لم یناف الأولویّة أمرٌ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غیر الدرع من آلات الحرب کالبیضة فلا یدخل قطعاً؛ لعدم دخوله فی مفهوم شیء ممّا 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دخول القلنسوة والثوب من اللبد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عدم دخولهما فی مفهوم الثیاب، وتناول الکسوة المذکورة فی بعض الأخبار </w:t>
      </w:r>
      <w:r>
        <w:rPr>
          <w:rStyle w:val="FootnoteAnchor"/>
          <w:rtl w:val="true"/>
        </w:rPr>
        <w:footnoteReference w:id="844"/>
      </w:r>
      <w:r>
        <w:rPr>
          <w:rFonts w:ascii="IRNazanin" w:hAnsi="IRNazanin" w:eastAsia="IRNazanin"/>
          <w:color w:val="111111"/>
          <w:sz w:val="28"/>
          <w:sz w:val="28"/>
          <w:szCs w:val="28"/>
          <w:rtl w:val="true"/>
          <w:lang w:bidi="fa-IR"/>
        </w:rPr>
        <w:t>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ویمکن الفرق ودخول الثانی دون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بمنع </w:t>
      </w:r>
      <w:r>
        <w:rPr>
          <w:rFonts w:eastAsia="IRNazanin" w:cs="IRNazanin"/>
          <w:color w:val="111111"/>
          <w:sz w:val="28"/>
          <w:szCs w:val="28"/>
          <w:rtl w:val="true"/>
          <w:lang w:bidi="fa-IR"/>
        </w:rPr>
        <w:t xml:space="preserve">] </w:t>
      </w:r>
      <w:r>
        <w:rPr>
          <w:rStyle w:val="FootnoteAnchor"/>
          <w:rtl w:val="true"/>
        </w:rPr>
        <w:footnoteReference w:id="845"/>
      </w:r>
      <w:r>
        <w:rPr>
          <w:rFonts w:ascii="Amiri" w:hAnsi="Amiri" w:eastAsia="Amiri" w:cs="Amiri"/>
          <w:color w:val="111111"/>
          <w:sz w:val="28"/>
          <w:sz w:val="28"/>
          <w:szCs w:val="28"/>
          <w:rtl w:val="true"/>
          <w:lang w:bidi="ar-SA"/>
        </w:rPr>
        <w:t>کون القلنسوة من الکسوة، ومن ثَمّ لم یُجزِ فی کفّارة الیمین المُجزی فیها ما یُعدّ کسوة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ولو تعدّدت هذه الأجناس فما کان منها بلفظ الجمع کالثیاب تدخل أجمع وما کان بلفظ الوحدة کالسیف والمصحف یتناول واحداً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ویختصّ ما کان یغلب نسبته إلیه، فإن تساوت تخیّر الوارث واحداً منها علی الأقوی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ویحتمل القرعة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والعمامة من جملة الثیاب، فتدخل المتعدّدة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دخول حلیة السیف وجفنه وسیوره، وبیت المُصحف 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تبعیّتها لهما عرفاً، وانتفائها عنهما 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والأقوی دخولها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یشترط بلوغ الولد؛ للإطلاق، وعدم ظهور الملازمة بین الحبوة والقضاء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اشتراط انفصاله حال موت أبیه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عدم صدق الولد الذکر حینئذٍ، ومن تحقّقه فی نفس الأمر وإن لم یکن ظاهراً، ومن ثَمّ عُزل له نصیبه من المیراث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الفرق بین کونه جنیناً تامّاً متحقّق الذکوریّة فی الواقع حین الموت، وبین کونه علقة أو مضغة أو غیرهما</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والأقوی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 </w:t>
      </w:r>
      <w:r>
        <w:rPr>
          <w:rStyle w:val="FootnoteAnchor"/>
          <w:rtl w:val="true"/>
        </w:rPr>
        <w:footnoteReference w:id="846"/>
      </w:r>
      <w:r>
        <w:rPr>
          <w:rFonts w:ascii="IRNazanin" w:hAnsi="IRNazanin" w:eastAsia="IRNazanin"/>
          <w:color w:val="111111"/>
          <w:sz w:val="28"/>
          <w:sz w:val="28"/>
          <w:szCs w:val="28"/>
          <w:rtl w:val="true"/>
          <w:lang w:bidi="fa-IR"/>
        </w:rPr>
        <w:t>وعدم اشتراط انتفاء قصور نصیب کلّ وارث عن قدرها</w:t>
      </w:r>
    </w:p>
    <w:p>
      <w:pPr>
        <w:pStyle w:val="BookText"/>
        <w:rPr/>
      </w:pPr>
      <w:r>
        <w:rPr>
          <w:rFonts w:ascii="IRNazanin" w:hAnsi="IRNazanin" w:eastAsia="IRNazanin"/>
          <w:color w:val="111111"/>
          <w:sz w:val="28"/>
          <w:sz w:val="28"/>
          <w:szCs w:val="28"/>
          <w:rtl w:val="true"/>
          <w:lang w:bidi="fa-IR"/>
        </w:rPr>
        <w:t>وزیادتها عن الثلث؛ للعموم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اشتراط خلوّ المیّت عن دین أو عن دین مستغرق للترکة 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انتفاء الإرث علی تقدیر الاستغراق، وتوزیع الدین علی جمیع الترکة؛ لعدم الترجیح فیخصّها منه شیء وتبطل بنسبته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إطلاق النصّ والقول بانتقال الترکة إلی الوارث وإن لزم المحبوّ ما قابلها من الدین إن أراد فکّها، ویلزم علی المنع من مقابل الدین إن لم یفکّه المنعُ من مقابل الوصیّة النافذة إذا لم تکن بعین مخصوصة خارجة عنها، ومن مقابل الکفن الواجب وما فی معناه، لعین ما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ویُبعَّد ذلک بإطلاق النصّ والفتوی بثبوتها، مع عدم انفکاک المیّت عن ذلک غالباً، وعن الکفن حتماً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والموافق للاُصول الشرعیّة البطلان فی مقابلة ذلک کلّه إن لم یفکّه المحبوّ بما یخصّه؛ لأنّ الحبوة نوع من الإرث واختصاص فیه، والدین والوصیّة والکفن ونحوها تخرج من جمیع الترکة، ونسبة الورثة إلیه علی السواء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کانت الوصیّة بعین من أعیان الترکة خارجة عن الحبوة فلا منع کما لو کانت تلک العین معدومة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کانت الوصیّة ببعض الحبوة اعتبرت من الثلث کغیرها من ضروب الإرث، إلّاأ نّها تتوقّف علی إجازة المحبوّ خاصّة</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ویفهم من الدروس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الدین غیر المستغرق غیر مانع؛ لتخصیصه المنع بالمستغرق، واستقرب ثبوتها حینئذٍ لو قضی الورثة الدین من غیر الترکة </w:t>
      </w:r>
      <w:r>
        <w:rPr>
          <w:rStyle w:val="FootnoteAnchor"/>
          <w:rtl w:val="true"/>
        </w:rPr>
        <w:footnoteReference w:id="847"/>
      </w:r>
      <w:r>
        <w:rPr>
          <w:rFonts w:ascii="IRNazanin" w:hAnsi="IRNazanin" w:eastAsia="IRNazanin"/>
          <w:color w:val="111111"/>
          <w:sz w:val="28"/>
          <w:sz w:val="28"/>
          <w:szCs w:val="28"/>
          <w:rtl w:val="true"/>
          <w:lang w:bidi="fa-IR"/>
        </w:rPr>
        <w:t>لثبوت الإرث حینئذٍ، ویلزم مثله فی غیر المستغرق بطریق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وکذا الحکم لو تبرّع متبرّع بقضاء الدین أو أبرأه المدین، مع احتمال انتفائها حینئذٍ مطلقاً </w:t>
      </w:r>
      <w:r>
        <w:rPr>
          <w:rStyle w:val="FootnoteAnchor"/>
          <w:rtl w:val="true"/>
        </w:rPr>
        <w:footnoteReference w:id="848"/>
      </w:r>
      <w:r>
        <w:rPr>
          <w:rFonts w:ascii="IRNazanin" w:hAnsi="IRNazanin" w:eastAsia="IRNazanin"/>
          <w:color w:val="111111"/>
          <w:sz w:val="28"/>
          <w:sz w:val="28"/>
          <w:szCs w:val="28"/>
          <w:rtl w:val="true"/>
          <w:lang w:bidi="fa-IR"/>
        </w:rPr>
        <w:t>لبطلانها حین الوفاة بسبب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نّه بطلان مراعی، لا مطلقاً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علی المحبوّ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قضاء ما فاته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فات المیّت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صلاة وصیام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تقدّم تفصیله وشرائطه فی بابه </w:t>
      </w:r>
      <w:r>
        <w:rPr>
          <w:rStyle w:val="FootnoteAnchor"/>
          <w:rtl w:val="true"/>
        </w:rPr>
        <w:footnoteReference w:id="8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المشهور أ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یشترط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المحبوّ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یکون سفیهاً ولا فاسد الرأی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الاعتقاد بأن یکون مخالفاً للحقّ، ذکر ذلک ابن إدریس </w:t>
      </w:r>
      <w:r>
        <w:rPr>
          <w:rStyle w:val="FootnoteAnchor"/>
          <w:rtl w:val="true"/>
        </w:rPr>
        <w:footnoteReference w:id="850"/>
      </w:r>
      <w:r>
        <w:rPr>
          <w:rFonts w:ascii="Amiri" w:hAnsi="Amiri" w:eastAsia="Amiri" w:cs="Amiri"/>
          <w:color w:val="111111"/>
          <w:sz w:val="28"/>
          <w:sz w:val="28"/>
          <w:szCs w:val="28"/>
          <w:rtl w:val="true"/>
          <w:lang w:bidi="ar-SA"/>
        </w:rPr>
        <w:t xml:space="preserve">وابن حمزة </w:t>
      </w:r>
      <w:r>
        <w:rPr>
          <w:rStyle w:val="FootnoteAnchor"/>
          <w:rtl w:val="true"/>
        </w:rPr>
        <w:footnoteReference w:id="851"/>
      </w:r>
      <w:r>
        <w:rPr>
          <w:rFonts w:ascii="Amiri" w:hAnsi="Amiri" w:eastAsia="Amiri" w:cs="Amiri"/>
          <w:color w:val="111111"/>
          <w:sz w:val="28"/>
          <w:sz w:val="28"/>
          <w:szCs w:val="28"/>
          <w:rtl w:val="true"/>
          <w:lang w:bidi="ar-SA"/>
        </w:rPr>
        <w:t xml:space="preserve">وتبعهما الجماعة </w:t>
      </w:r>
      <w:r>
        <w:rPr>
          <w:rStyle w:val="FootnoteAnchor"/>
          <w:rtl w:val="true"/>
        </w:rPr>
        <w:footnoteReference w:id="852"/>
      </w:r>
      <w:r>
        <w:rPr>
          <w:rFonts w:ascii="IRNazanin" w:hAnsi="IRNazanin" w:eastAsia="IRNazanin"/>
          <w:color w:val="111111"/>
          <w:sz w:val="28"/>
          <w:sz w:val="28"/>
          <w:szCs w:val="28"/>
          <w:rtl w:val="true"/>
          <w:lang w:bidi="fa-IR"/>
        </w:rPr>
        <w:t>ولم نقف له علی مستند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الدروس نسب الشرط إلی قائله </w:t>
      </w:r>
      <w:r>
        <w:rPr>
          <w:rStyle w:val="FootnoteAnchor"/>
          <w:rtl w:val="true"/>
        </w:rPr>
        <w:footnoteReference w:id="853"/>
      </w:r>
      <w:r>
        <w:rPr>
          <w:rFonts w:ascii="IRNazanin" w:hAnsi="IRNazanin" w:eastAsia="IRNazanin"/>
          <w:color w:val="111111"/>
          <w:sz w:val="28"/>
          <w:sz w:val="28"/>
          <w:szCs w:val="28"/>
          <w:rtl w:val="true"/>
          <w:lang w:bidi="fa-IR"/>
        </w:rPr>
        <w:t>مشعراً بتمریضه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وإطلاق النصوص یدفعه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إثبات الشرط الثانی خاصّة إلزاماً للمخالف بمعتقده، کما یُلزم بغیره من الأحکام التی تثبت عنده لا عندنا، کأخذ سهم العصبة منه وحِلّ مطلّقته ثلاثاً لنا، وغیرهما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حسن</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المختلف اختار استحباب الحبوة کمذهب ابن الجنید وجماعة، ومال إلی قول السیّد باحتسابها بالقیمة </w:t>
      </w:r>
      <w:r>
        <w:rPr>
          <w:rStyle w:val="FootnoteAnchor"/>
          <w:rtl w:val="true"/>
        </w:rPr>
        <w:footnoteReference w:id="854"/>
      </w:r>
      <w:r>
        <w:rPr>
          <w:rFonts w:ascii="IRNazanin" w:hAnsi="IRNazanin" w:eastAsia="IRNazanin"/>
          <w:color w:val="111111"/>
          <w:sz w:val="28"/>
          <w:sz w:val="28"/>
          <w:szCs w:val="28"/>
          <w:rtl w:val="true"/>
          <w:lang w:bidi="fa-IR"/>
        </w:rPr>
        <w:t xml:space="preserve">واختاره فی غیره الاستحقاق مجّاناً </w:t>
      </w:r>
      <w:r>
        <w:rPr>
          <w:rStyle w:val="FootnoteAnchor"/>
          <w:rtl w:val="true"/>
        </w:rPr>
        <w:footnoteReference w:id="855"/>
      </w:r>
      <w:r>
        <w:rPr>
          <w:rFonts w:eastAsia="Times New Roman" w:cs="Times New Roman" w:ascii="Times New Roman" w:hAnsi="Times New Roman"/>
          <w:color w:val="111111"/>
          <w:sz w:val="28"/>
          <w:szCs w:val="28"/>
          <w:rtl w:val="true"/>
          <w:lang w:val="en-US" w:bidi="en-US"/>
        </w:rPr>
        <w:t>.</w:t>
      </w:r>
      <w:bookmarkStart w:id="324" w:name="pg19815_253190"/>
    </w:p>
    <w:p>
      <w:pPr>
        <w:pStyle w:val="BookText"/>
        <w:rPr/>
      </w:pPr>
      <w:bookmarkEnd w:id="32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یشترط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یخلف المیّت مالاً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قلّ؛ لئلّا یلزم الإجحاف بالورثة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والنصوص خالیة عن هذا القید، إلّاأن یُدّعی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بظاهره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کان الأکبر اُنثی اُعطی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الحبوة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أکبر الذکور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تعدّدوا، وإلّا فالذکر وإن کان أصغر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مصرَّح فی صحیحة ربعی عن الصادق علیه السلام </w:t>
      </w:r>
      <w:r>
        <w:rPr>
          <w:rStyle w:val="FootnoteAnchor"/>
          <w:rtl w:val="true"/>
        </w:rPr>
        <w:footnoteReference w:id="85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25" w:name="__RefHeading___Toc2227921_2314609296"/>
      <w:bookmarkStart w:id="326" w:name="_Toc123"/>
      <w:bookmarkEnd w:id="325"/>
      <w:r>
        <w:rPr>
          <w:rtl w:val="true"/>
        </w:rPr>
        <w:t>«</w:t>
      </w:r>
      <w:r>
        <w:rPr>
          <w:rtl w:val="true"/>
        </w:rPr>
        <w:t xml:space="preserve">الخامسة </w:t>
      </w:r>
      <w:r>
        <w:rPr>
          <w:rtl w:val="true"/>
        </w:rPr>
        <w:t>[</w:t>
      </w:r>
      <w:r>
        <w:rPr>
          <w:rtl w:val="true"/>
        </w:rPr>
        <w:t xml:space="preserve">حکم ارث الاجداد مع الابوین </w:t>
      </w:r>
      <w:r>
        <w:rPr>
          <w:rtl w:val="true"/>
        </w:rPr>
        <w:t>] » :</w:t>
      </w:r>
      <w:bookmarkEnd w:id="32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یرث الأجداد مع الأبوین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مع أحدهما، ولا مع من هو فی مرتبتهما، وهو موضع وفاق إلّامن ابن الجنید فی بعض الموارد </w:t>
      </w:r>
      <w:r>
        <w:rPr>
          <w:rStyle w:val="FootnoteAnchor"/>
          <w:rtl w:val="true"/>
        </w:rPr>
        <w:footnoteReference w:id="8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یستحبّ لهما الطعمة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لأبویهما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یفضل لأحدهما سدسٌ فصاعداً فوق السدس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المعیّن لهما علی تقدیر مجامعتهما للولد، فیستحبّ لهما إطعام هذا السدس الزائد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زاد نصیبهما عنه فالمستحبّ إطعام السدس خاصّة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وربما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والقائل ابن الجنید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یستحبّ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یطعم حیث یزید نصیبه عن السدس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لم تبلغ الزیادة سدساً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والأشهر الأوّل</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وتظهر الفائدة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القولین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اجتماعهما مع البنت أو أحدهما مع البنتین، فإنّ الفاضل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نصیب أحد الأبوین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ینقص عن سدس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الطعمة علی القول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الأوّل؛ لفقد الشرط وهو زیادة نصیبه عن السدس بسدس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والمشهور أنّ قدر الطعمة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یستحبّ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سدس 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سدس ما حصل للولد الذی تقرّب به </w:t>
      </w:r>
      <w:r>
        <w:rPr>
          <w:rStyle w:val="FootnoteAnchor"/>
          <w:rtl w:val="true"/>
        </w:rPr>
        <w:footnoteReference w:id="8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مع زیادة النصیب عن السدس إطعام أقلّ الأمرین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سدس الأصل والزیادة </w:t>
      </w:r>
      <w:r>
        <w:rPr>
          <w:rStyle w:val="FootnoteAnchor"/>
          <w:rtl w:val="true"/>
        </w:rPr>
        <w:footnoteReference w:id="859"/>
      </w:r>
      <w:r>
        <w:rPr>
          <w:rFonts w:ascii="IRNazanin" w:hAnsi="IRNazanin" w:eastAsia="IRNazanin"/>
          <w:color w:val="111111"/>
          <w:sz w:val="28"/>
          <w:sz w:val="28"/>
          <w:szCs w:val="28"/>
          <w:rtl w:val="true"/>
          <w:lang w:bidi="fa-IR"/>
        </w:rPr>
        <w:t>بناءً علی عدم اشتراط بلوغ الزیادة سدساً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والأخبار </w:t>
      </w:r>
      <w:r>
        <w:rPr>
          <w:rStyle w:val="FootnoteAnchor"/>
          <w:rtl w:val="true"/>
        </w:rPr>
        <w:footnoteReference w:id="860"/>
      </w:r>
      <w:r>
        <w:rPr>
          <w:rFonts w:ascii="IRNazanin" w:hAnsi="IRNazanin" w:eastAsia="IRNazanin"/>
          <w:color w:val="111111"/>
          <w:sz w:val="28"/>
          <w:sz w:val="28"/>
          <w:szCs w:val="28"/>
          <w:rtl w:val="true"/>
          <w:lang w:bidi="fa-IR"/>
        </w:rPr>
        <w:t>ناطقة باستحباب طعمة السدس وهی تنافی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والاستحباب مختصّ بمن یزید نصیبه کذلک لأبویه دون أبوی الآخر، فلو کانت الاُمّ محجوبة بالإخوة فالمستحبّ إطعام الأب 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 معهما زوج من غیر حاجب فالمستحبّ لها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لم یکن سواهما ولا حاجب استحبّ لهما</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وإنّما یستحبّ طعمة الأجداد من الأبوین، فلا یستحبّ للأولاد طعمة الأجداد؛ للأصل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 أحد الجدّین مفقوداً فالطعمة للآخر، فإن وجدا فهی بینهما بالسویّة</w:t>
      </w:r>
      <w:r>
        <w:rPr>
          <w:rFonts w:eastAsia="IRNazanin" w:cs="IRNazanin"/>
          <w:color w:val="111111"/>
          <w:sz w:val="28"/>
          <w:szCs w:val="28"/>
          <w:rtl w:val="true"/>
          <w:lang w:bidi="fa-IR"/>
        </w:rPr>
        <w:t>.</w:t>
      </w:r>
      <w:bookmarkStart w:id="327" w:name="pg19815_253192"/>
    </w:p>
    <w:p>
      <w:pPr>
        <w:pStyle w:val="Heading5"/>
        <w:numPr>
          <w:ilvl w:val="4"/>
          <w:numId w:val="1"/>
        </w:numPr>
        <w:rPr/>
      </w:pPr>
      <w:bookmarkStart w:id="328" w:name="__RefHeading___Toc2227923_2314609296"/>
      <w:bookmarkStart w:id="329" w:name="_Toc124"/>
      <w:bookmarkEnd w:id="327"/>
      <w:bookmarkEnd w:id="328"/>
      <w:r>
        <w:rPr>
          <w:rtl w:val="true"/>
        </w:rPr>
        <w:t>«</w:t>
      </w:r>
      <w:r>
        <w:rPr>
          <w:rtl w:val="true"/>
        </w:rPr>
        <w:t>القول فی میراث الأجداد والإخوة</w:t>
      </w:r>
      <w:r>
        <w:rPr>
          <w:rtl w:val="true"/>
        </w:rPr>
        <w:t>» «</w:t>
      </w:r>
      <w:r>
        <w:rPr>
          <w:rtl w:val="true"/>
        </w:rPr>
        <w:t>وفیه مسائل</w:t>
      </w:r>
      <w:r>
        <w:rPr>
          <w:rtl w:val="true"/>
        </w:rPr>
        <w:t>»</w:t>
      </w:r>
      <w:bookmarkEnd w:id="32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الاُولی</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انفرد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وحدَه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لاُمّ، وکذا الأخ للأب والاُمّ، أو للأب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تقدیر انفراده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اجتمعا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الأخ والجدّ وکانا معاً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للأب فالمال بینهما نصفان وللجدّة المنفردة لأب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لاُمّ المالُ</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کان جدّاً أو جدّةً أو کلیهما لأب مع 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جدّةٍ أو کلیهما لاُمّ، فللمتقرّب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الأجداد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بالأب الثلثان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اتّحد أم تعدّد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للذکر مثل حظّ الاُنثیین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تقدیر التعدّد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وللمتقرّب بالاُمّ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الأجداد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اتّحد أم تعدّد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بالسویّة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تقدیر التعدّد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هو المشهور بین الأصحاب، وفی المسألة أقوال نادرة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للجدّ من الاُمّ مع الجدّ للأب أو الأخ للأب السدس، والباقی للجدّ للأب أو الأخ </w:t>
      </w:r>
      <w:r>
        <w:rPr>
          <w:rStyle w:val="FootnoteAnchor"/>
          <w:rtl w:val="true"/>
        </w:rPr>
        <w:footnoteReference w:id="861"/>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لو ترک جدّته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 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واُختَه للأبوین، فللجدّة السدس </w:t>
      </w:r>
      <w:r>
        <w:rPr>
          <w:rStyle w:val="FootnoteAnchor"/>
          <w:rtl w:val="true"/>
        </w:rPr>
        <w:footnoteReference w:id="8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لو ترک جدّته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 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 أبیه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فلاُمّ الاُمّ السدس، ولاُمّ الأب النصف، والباقی یردّ علیهما بالنسبة </w:t>
      </w:r>
      <w:r>
        <w:rPr>
          <w:rStyle w:val="FootnoteAnchor"/>
          <w:rtl w:val="true"/>
        </w:rPr>
        <w:footnoteReference w:id="8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والأظهر الأوّل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للاُخت للأبوین أو للأب منفردة النصف تسمیة والباقی ردّاً، وللاُختین فصاعداً الثلثان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والباقی ردّاً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تقدّم </w:t>
      </w:r>
      <w:r>
        <w:rPr>
          <w:rStyle w:val="FootnoteAnchor"/>
          <w:rtl w:val="true"/>
        </w:rPr>
        <w:footnoteReference w:id="8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وللإخوة والأخوات من الأبوین أو من الأب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عدم المتقرّب بالأبوین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للذکر الضعف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الاُنثی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للواحد من الإخوة أو الأخوات للاُمّ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تقدیر انفراده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وللأکثر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الثلثُ بالسویّة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ذکوراً کانوا أم إناثاً أم متفرّقین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والباقی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السدس فی الواحد، وعن الثلث فی الأزید یُردّ علیهم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ردّاً</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اجتمع الإخوة من الکلالات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الثلاث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سقط کلالة الأب وحده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بکلالة الأبوین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ولکلالة الاُمّ السدس إن کان واحداً، والثلث إن کان </w:t>
      </w:r>
      <w:r>
        <w:rPr>
          <w:rStyle w:val="FootnoteAnchor"/>
          <w:rtl w:val="true"/>
        </w:rPr>
        <w:footnoteReference w:id="865"/>
      </w:r>
      <w:r>
        <w:rPr>
          <w:rFonts w:ascii="IRNazanin" w:hAnsi="IRNazanin" w:eastAsia="IRNazanin"/>
          <w:color w:val="111111"/>
          <w:sz w:val="28"/>
          <w:sz w:val="28"/>
          <w:szCs w:val="28"/>
          <w:rtl w:val="true"/>
          <w:lang w:bidi="fa-IR"/>
        </w:rPr>
        <w:t>أکثر</w:t>
      </w:r>
    </w:p>
    <w:p>
      <w:pPr>
        <w:pStyle w:val="BookText"/>
        <w:rPr/>
      </w:pPr>
      <w:r>
        <w:rPr>
          <w:rFonts w:ascii="IRNazanin" w:hAnsi="IRNazanin" w:eastAsia="IRNazanin"/>
          <w:color w:val="111111"/>
          <w:sz w:val="28"/>
          <w:sz w:val="28"/>
          <w:szCs w:val="28"/>
          <w:rtl w:val="true"/>
          <w:lang w:bidi="fa-IR"/>
        </w:rPr>
        <w:t>بالسویّة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ولکلالة الأبوین الباقی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اتّحدت أم تعدّدت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بالتفاوت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للذکر مثل حظّ الاُنثیین علی تقدیر التعدّد مختلفاً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اجتمع اُختٌ للأبوین مع واحدٍ من کلالة الاُمّ أو جماعةٍ أو اُختان للأبوین مع واحدٍ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 فالمردود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الفاضل عن الفروض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قرابة الأبوین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الاُخت أو الاُختان علی الأشهر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وتفرّد الحسن ابن أبی عقیل </w:t>
      </w:r>
      <w:r>
        <w:rPr>
          <w:rStyle w:val="FootnoteAnchor"/>
          <w:rtl w:val="true"/>
        </w:rPr>
        <w:footnoteReference w:id="866"/>
      </w:r>
      <w:r>
        <w:rPr>
          <w:rFonts w:ascii="IRNazanin" w:hAnsi="IRNazanin" w:eastAsia="IRNazanin"/>
          <w:color w:val="111111"/>
          <w:sz w:val="28"/>
          <w:sz w:val="28"/>
          <w:szCs w:val="28"/>
          <w:rtl w:val="true"/>
          <w:lang w:bidi="fa-IR"/>
        </w:rPr>
        <w:t xml:space="preserve">والفضل بن شاذان </w:t>
      </w:r>
      <w:r>
        <w:rPr>
          <w:rStyle w:val="FootnoteAnchor"/>
          <w:rtl w:val="true"/>
        </w:rPr>
        <w:footnoteReference w:id="867"/>
      </w:r>
      <w:r>
        <w:rPr>
          <w:rFonts w:ascii="IRNazanin" w:hAnsi="IRNazanin" w:eastAsia="IRNazanin"/>
          <w:color w:val="111111"/>
          <w:sz w:val="28"/>
          <w:sz w:val="28"/>
          <w:szCs w:val="28"/>
          <w:rtl w:val="true"/>
          <w:lang w:bidi="fa-IR"/>
        </w:rPr>
        <w:t>بأنّ الباقی یردّ علی الجمیع بالنسبة أرباعاً أو أخماساً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الصورة بحالها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اجتمع کلالة الاُمّ مع الاُخت، أو الاُختین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کان الاُخت، أو الأخوات للأب وحده، ففی الردّ علی قرابة الأب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خاصّة، أو علیهما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مشهوران</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الشیخین </w:t>
      </w:r>
      <w:r>
        <w:rPr>
          <w:rStyle w:val="FootnoteAnchor"/>
          <w:rtl w:val="true"/>
        </w:rPr>
        <w:footnoteReference w:id="868"/>
      </w:r>
      <w:r>
        <w:rPr>
          <w:rFonts w:ascii="IRNazanin" w:hAnsi="IRNazanin" w:eastAsia="IRNazanin"/>
          <w:color w:val="111111"/>
          <w:sz w:val="28"/>
          <w:sz w:val="28"/>
          <w:szCs w:val="28"/>
          <w:rtl w:val="true"/>
          <w:lang w:bidi="fa-IR"/>
        </w:rPr>
        <w:t xml:space="preserve">وأتباعهما </w:t>
      </w:r>
      <w:r>
        <w:rPr>
          <w:rStyle w:val="FootnoteAnchor"/>
          <w:rtl w:val="true"/>
        </w:rPr>
        <w:footnoteReference w:id="8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یختصّ به کلالة الأب؛ لروایة محمّد بن مسلم عن الباقر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ابن اُخت لأب، وابن اُخت 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الاُخت للاُمّ السدس، ولابن الاُخت للأب الباقی</w:t>
      </w:r>
      <w:r>
        <w:rPr>
          <w:rFonts w:eastAsia="IRNazanin" w:cs="IRNazanin"/>
          <w:color w:val="111111"/>
          <w:sz w:val="28"/>
          <w:szCs w:val="28"/>
          <w:rtl w:val="true"/>
          <w:lang w:bidi="fa-IR"/>
        </w:rPr>
        <w:t xml:space="preserve">» </w:t>
      </w:r>
      <w:r>
        <w:rPr>
          <w:rStyle w:val="FootnoteAnchor"/>
          <w:rtl w:val="true"/>
        </w:rPr>
        <w:footnoteReference w:id="870"/>
      </w:r>
      <w:r>
        <w:rPr>
          <w:rFonts w:ascii="Amiri" w:hAnsi="Amiri" w:eastAsia="Amiri" w:cs="Amiri"/>
          <w:color w:val="111111"/>
          <w:sz w:val="28"/>
          <w:sz w:val="28"/>
          <w:szCs w:val="28"/>
          <w:rtl w:val="true"/>
          <w:lang w:bidi="ar-SA"/>
        </w:rPr>
        <w:t>وهو یستلزم کون الاُمّ</w:t>
      </w:r>
    </w:p>
    <w:p>
      <w:pPr>
        <w:pStyle w:val="BookText"/>
        <w:rPr/>
      </w:pPr>
      <w:r>
        <w:rPr>
          <w:rFonts w:ascii="IRNazanin" w:hAnsi="IRNazanin" w:eastAsia="IRNazanin"/>
          <w:color w:val="111111"/>
          <w:sz w:val="28"/>
          <w:sz w:val="28"/>
          <w:szCs w:val="28"/>
          <w:rtl w:val="true"/>
          <w:lang w:bidi="fa-IR"/>
        </w:rPr>
        <w:t xml:space="preserve">کذلک؛ لأنّ الولد إنّما یرث بواسطتها، ولأنّ النقص یدخل علی قرابة الأب دون الاُخری، ومن کان علیه الغُرم فله الغُنم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وثبوته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ثبوت الردّ علی قرابة الأب خاصّة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للروایة والاعتبار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الشیخ أیضاً </w:t>
      </w:r>
      <w:r>
        <w:rPr>
          <w:rStyle w:val="FootnoteAnchor"/>
          <w:rtl w:val="true"/>
        </w:rPr>
        <w:footnoteReference w:id="871"/>
      </w:r>
      <w:r>
        <w:rPr>
          <w:rFonts w:ascii="IRNazanin" w:hAnsi="IRNazanin" w:eastAsia="IRNazanin"/>
          <w:color w:val="111111"/>
          <w:sz w:val="28"/>
          <w:sz w:val="28"/>
          <w:szCs w:val="28"/>
          <w:rtl w:val="true"/>
          <w:lang w:bidi="fa-IR"/>
        </w:rPr>
        <w:t xml:space="preserve">وابن إدریس </w:t>
      </w:r>
      <w:r>
        <w:rPr>
          <w:rStyle w:val="FootnoteAnchor"/>
          <w:rtl w:val="true"/>
        </w:rPr>
        <w:footnoteReference w:id="872"/>
      </w:r>
      <w:r>
        <w:rPr>
          <w:rFonts w:ascii="Amiri" w:hAnsi="Amiri" w:eastAsia="Amiri" w:cs="Amiri"/>
          <w:color w:val="111111"/>
          <w:sz w:val="28"/>
          <w:sz w:val="28"/>
          <w:szCs w:val="28"/>
          <w:rtl w:val="true"/>
          <w:lang w:bidi="ar-SA"/>
        </w:rPr>
        <w:t xml:space="preserve">والمحقّق </w:t>
      </w:r>
      <w:r>
        <w:rPr>
          <w:rStyle w:val="FootnoteAnchor"/>
          <w:rtl w:val="true"/>
        </w:rPr>
        <w:footnoteReference w:id="873"/>
      </w:r>
      <w:r>
        <w:rPr>
          <w:rFonts w:ascii="IRNazanin" w:hAnsi="IRNazanin" w:eastAsia="IRNazanin"/>
          <w:color w:val="111111"/>
          <w:sz w:val="28"/>
          <w:sz w:val="28"/>
          <w:szCs w:val="28"/>
          <w:rtl w:val="true"/>
          <w:lang w:bidi="fa-IR"/>
        </w:rPr>
        <w:t xml:space="preserve">وأحد قولی العلّامة </w:t>
      </w:r>
      <w:r>
        <w:rPr>
          <w:rStyle w:val="FootnoteAnchor"/>
          <w:rtl w:val="true"/>
        </w:rPr>
        <w:footnoteReference w:id="8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یردّ علیهما؛ لتساویهما فی المرتبة وفَقد المخصّص، استضعافاً للروایة </w:t>
      </w:r>
      <w:r>
        <w:rPr>
          <w:rStyle w:val="FootnoteAnchor"/>
          <w:rtl w:val="true"/>
        </w:rPr>
        <w:footnoteReference w:id="875"/>
      </w:r>
      <w:r>
        <w:rPr>
          <w:rFonts w:ascii="IRNazanin" w:hAnsi="IRNazanin" w:eastAsia="IRNazanin"/>
          <w:color w:val="111111"/>
          <w:sz w:val="28"/>
          <w:sz w:val="28"/>
          <w:szCs w:val="28"/>
          <w:rtl w:val="true"/>
          <w:lang w:bidi="fa-IR"/>
        </w:rPr>
        <w:t>فإنّ فی طریقها علیّ بن فضّال وهو فطحیٌّ، ومنع اقتضاء دخول النقص الاختصاصَ؛ لتخلّفه فی البنت مع الأبوین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وأجاب المصنّف عنهما بأنّ ابن فضّال ثقة وإن کان فاسد العقیدة، وتخلّف الحکم فی البنت لمانعٍ </w:t>
      </w:r>
      <w:r>
        <w:rPr>
          <w:rStyle w:val="FootnoteAnchor"/>
          <w:rtl w:val="true"/>
        </w:rPr>
        <w:footnoteReference w:id="876"/>
      </w:r>
      <w:r>
        <w:rPr>
          <w:rFonts w:ascii="IRNazanin" w:hAnsi="IRNazanin" w:eastAsia="IRNazanin"/>
          <w:color w:val="111111"/>
          <w:sz w:val="28"/>
          <w:sz w:val="28"/>
          <w:szCs w:val="28"/>
          <w:rtl w:val="true"/>
          <w:lang w:bidi="fa-IR"/>
        </w:rPr>
        <w:t>وهو وجود معارض یدخل النقص علیه، أعنی الأبوین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 :</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تقوم کلالة الأب مقام کلالة الأبوین عند عدمهم فی کلّ موضع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انفردت أو جامعت کلالة الاُمّ أو الأجداد أو هما، فلها مع کلالة الاُمّ ما زاد عن السدس أو الثلث، ومع الأجداد ما فصّل فی کلالة الأبوین من المساواة والتفضیل والاستحقاق بالقرابة، إلّاأن تکون إناثاً فتستحقّ النصف، أو الثلثین تسمیةً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والباقی ردّاً إلی آخر ما ذکر فی کلالة الأبوین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الثامنة</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اجتمع الإخوة والأجداد، فلقرابة الاُمّ من الإخوة والأجداد الثلث بینهم بالسویّة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ذکوراً کانوا أم إناثاً، أم ذکوراً وإناثاً، متعدّدین فی الطرفین أم متّحدین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ولقرابة الأب من الإخوة والأجداد الثلثان، بینهم للذکر ضِعف الاُنثی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کان المجتمعون فیهما جدّاً وجدّة للاُمّ وأخاً واُختاً لها، وجدّاً وجدّة للأب وأخاً واُختاً له فلأقرباء الاُمّ الثلثُ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واحد من ثلاثة أصل الفریضة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وسهامهم أربعة، ولأقرباء الأب اثنان منها، وسهامهم ستّة، فیطرح المتداخل والعددان یتوافقان بالنصف، فیضرب الوفق وهو اثنان فی ستّة ثمّ المرتفع فی أصل الفریضة یبلغ ستّةً وثلاثین، ثلثها لأقرباء الاُمّ الأربعة لکلٍّ ثلاثة، وثلثاها لأقرباء الأب الأربعة بالتفاوت، فلکلّ اُنثی أربعة ولکلّ ذکر ثمانیة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الحکم لو کان من طرف الاُمّ أخ وجدّ، ومثلهما من طرف الأب وإن اختلفت الفریضة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کان المجتمع من طرف الجدودة للاُمّ جدّاً واحداً أو جدّة، مع الأجداد والإخوة المتعدّدین من طرف الأب، فللجدّ أو الجدّة للاُمّ الثلث، والباقی للإخوة والأجداد للأب بالسویّة مع تساویهم ذکوریّة واُنوثیّة وبالاختلاف مع الاختلاف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ولو فُرض جدّة لاُمّ وجدّ لأب وأخ لأب، فلکلّ واحد منهم الثلث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ولو کان بدل الجدّ للأب جدّة فلها ثلث الثلثین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اثنان من تسعة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وکذا لو کان بدل الأخ اُختاً، فلها ثلثهما</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خلّف أخاً أو اُختاً لاُمّ مع الأجداد مطلقاً </w:t>
      </w:r>
      <w:r>
        <w:rPr>
          <w:rStyle w:val="FootnoteAnchor"/>
          <w:rtl w:val="true"/>
        </w:rPr>
        <w:footnoteReference w:id="877"/>
      </w:r>
      <w:r>
        <w:rPr>
          <w:rFonts w:ascii="IRNazanin" w:hAnsi="IRNazanin" w:eastAsia="IRNazanin"/>
          <w:color w:val="111111"/>
          <w:sz w:val="28"/>
          <w:sz w:val="28"/>
          <w:szCs w:val="28"/>
          <w:rtl w:val="true"/>
          <w:lang w:bidi="fa-IR"/>
        </w:rPr>
        <w:t>للأب، فللأخ أو الاُخت</w:t>
      </w:r>
    </w:p>
    <w:p>
      <w:pPr>
        <w:pStyle w:val="BookText"/>
        <w:rPr/>
      </w:pPr>
      <w:r>
        <w:rPr>
          <w:rFonts w:ascii="IRNazanin" w:hAnsi="IRNazanin" w:eastAsia="IRNazanin"/>
          <w:color w:val="111111"/>
          <w:sz w:val="28"/>
          <w:sz w:val="28"/>
          <w:szCs w:val="28"/>
          <w:rtl w:val="true"/>
          <w:lang w:bidi="fa-IR"/>
        </w:rPr>
        <w:t>السدس، والباقی للأجداد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تعدّد الإخوة للاُمّ فلهم الثلث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بخلاف الجدّ والجدّة للاُمّ فإنّ له الثلث وإن اتّحد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خلّف الجدّین للاُمّ أو أحدهما مع الإخوة للاُمّ وجدّاً أو جدّة للأب، فللمتقرّب بالاُمّ من الجدودة والإخوة الثلث وللجدّة للأب الثلثان، وعلی هذا قس ما یرد علیک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التاسعة</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الجدّ وإن علا یقاسم الإخوة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یمنع بُعدُ الجدّ الأعلی بالنسبة إلی الجدّ الأسفل المساوی للإخوة؛ لإطلاق النصوص بتساوی الإخوة والأجداد </w:t>
      </w:r>
      <w:r>
        <w:rPr>
          <w:rStyle w:val="FootnoteAnchor"/>
          <w:rtl w:val="true"/>
        </w:rPr>
        <w:footnoteReference w:id="878"/>
      </w:r>
      <w:r>
        <w:rPr>
          <w:rFonts w:ascii="IRNazanin" w:hAnsi="IRNazanin" w:eastAsia="IRNazanin"/>
          <w:color w:val="111111"/>
          <w:sz w:val="28"/>
          <w:sz w:val="28"/>
          <w:szCs w:val="28"/>
          <w:rtl w:val="true"/>
          <w:lang w:bidi="fa-IR"/>
        </w:rPr>
        <w:t xml:space="preserve">الصادق بذلک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الأخ وإن نزل یقاسم الأجداد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الدنیا وإن کانوا مساوین للإخوة المتقدّمین رتبةً علی أولادهم؛ لما ذکر </w:t>
      </w:r>
      <w:r>
        <w:rPr>
          <w:rStyle w:val="FootnoteAnchor"/>
          <w:rtl w:val="true"/>
        </w:rPr>
        <w:footnoteReference w:id="8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وإنّما یَمنعُ الجدُّ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الأدنی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والجدّةُ وإن کانا للاُمّ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کان للأب، دون أولاد الإخوة مطلقاً </w:t>
      </w:r>
      <w:r>
        <w:rPr>
          <w:rStyle w:val="FootnoteAnchor"/>
          <w:rtl w:val="true"/>
        </w:rPr>
        <w:footnoteReference w:id="880"/>
      </w:r>
      <w:r>
        <w:rPr>
          <w:rFonts w:ascii="IRNazanin" w:hAnsi="IRNazanin" w:eastAsia="IRNazanin"/>
          <w:color w:val="111111"/>
          <w:sz w:val="28"/>
          <w:sz w:val="28"/>
          <w:szCs w:val="28"/>
          <w:rtl w:val="true"/>
          <w:lang w:bidi="fa-IR"/>
        </w:rPr>
        <w:t>وکذا یمنع کلّ طبقة من الأجداد من فوقَها ولا یمنعهم الإخوة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ویمنع الأخُ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کان للاُمّ ومثله الاُخت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الأخ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للأبوین؛ لأنّهما جهة واحدة یمنع الأقربُ منها الأبعدَ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یمنع ابنُ الأخ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وعلی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القیاس یمنع کلّ أقرب بمرتبة وإن کان للاُمّ الأبعدَ وإن کان للأبوین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خلافاً للفضل ابن شاذان من قدمائنا، حیث جعل للأخ من الاُمّ السدس والباقی لابن الأخ للأبوین کأبیه، وکذا الحکم فی الأولاد المترتّبین، محتجّاً باجتماع السببین </w:t>
      </w:r>
      <w:r>
        <w:rPr>
          <w:rStyle w:val="FootnoteAnchor"/>
          <w:rtl w:val="true"/>
        </w:rPr>
        <w:footnoteReference w:id="8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ویُضعّف بتفاوت الدرجتین المسقط لاعتبار السبب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العاشرة</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الزوج والزوجة مع الإخوة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وأولادهم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والأجداد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w:t>
      </w:r>
      <w:r>
        <w:rPr>
          <w:rStyle w:val="FootnoteAnchor"/>
          <w:rtl w:val="true"/>
        </w:rPr>
        <w:footnoteReference w:id="8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یأخذان نصیبهما الأعلی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النصف والربع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ولأجداد الاُمّ أو الإخوة للاُمّ أو القبیلتین ثلث الأصل، والباقی لقرابة الأبوین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الأجداد والإخوة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لإخوة </w:t>
      </w:r>
      <w:r>
        <w:rPr>
          <w:rStyle w:val="FootnoteAnchor"/>
          <w:rtl w:val="true"/>
        </w:rPr>
        <w:footnoteReference w:id="8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الأب </w:t>
      </w:r>
      <w:r>
        <w:rPr>
          <w:rStyle w:val="FootnoteAnchor"/>
          <w:rtl w:val="true"/>
        </w:rPr>
        <w:footnoteReference w:id="884"/>
      </w:r>
      <w:r>
        <w:rPr>
          <w:rFonts w:ascii="IRNazanin" w:hAnsi="IRNazanin" w:eastAsia="IRNazanin"/>
          <w:color w:val="111111"/>
          <w:sz w:val="28"/>
          <w:sz w:val="28"/>
          <w:szCs w:val="28"/>
          <w:rtl w:val="true"/>
          <w:lang w:bidi="fa-IR"/>
        </w:rPr>
        <w:t>مع عدمهم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فرض أنّ قرابة الاُمّ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 وجدّة وأخ واُخت، وقرابة الأب کذلک مع الزوج، فللزوج النصف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ثلاثةٌ من ستّة أصلِ الفریضة؛ لأنّها المجتمع من ضرب أحد مخرجی النصف والثلث فی 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ولقرابة الاُمّ الثلث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وعددهم أربعة، ولقرابة الأب واحد وعددهم ستّة، ینکسر علی الفریقین ویدخل النصیب فی السهام وتتوافق فیضرب وفق أحدهما فی الآخر، ثمّ المجتمع فی أصل الفریضة تبلغ اثنین وسبعین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الحادیة عشرة</w:t>
      </w:r>
      <w:r>
        <w:rPr>
          <w:rFonts w:eastAsia="IRNazanin" w:cs="IRNazanin"/>
          <w:color w:val="111111"/>
          <w:sz w:val="28"/>
          <w:szCs w:val="28"/>
          <w:rtl w:val="true"/>
          <w:lang w:bidi="fa-IR"/>
        </w:rPr>
        <w:t>» :</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ثمانیة أجداد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الأجداد الأربعة لأبیه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جدّ أبیه وجدّته لأبیه، وجدّه وجدّته 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ومثلهم 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الثمانیة أجدادُ المیّت فی</w:t>
      </w:r>
    </w:p>
    <w:p>
      <w:pPr>
        <w:pStyle w:val="BookText"/>
        <w:rPr/>
      </w:pPr>
      <w:r>
        <w:rPr>
          <w:rFonts w:ascii="IRNazanin" w:hAnsi="IRNazanin" w:eastAsia="IRNazanin"/>
          <w:color w:val="111111"/>
          <w:sz w:val="28"/>
          <w:sz w:val="28"/>
          <w:szCs w:val="28"/>
          <w:rtl w:val="true"/>
          <w:lang w:bidi="fa-IR"/>
        </w:rPr>
        <w:t>المرتبة الثانیة، فإنّ کلّ مرتبة تزید عن السابقة بمثلها، فکما أنّ له فی الاُولی أربعة، ففی الثانیة ثمانیة، وفی الثالثة ستّة عشر، وهکذا</w:t>
      </w:r>
      <w:r>
        <w:rPr>
          <w:rFonts w:eastAsia="IRNazanin" w:cs="IRNazanin"/>
          <w:color w:val="111111"/>
          <w:sz w:val="28"/>
          <w:szCs w:val="28"/>
          <w:rtl w:val="true"/>
          <w:lang w:bidi="fa-IR"/>
        </w:rPr>
        <w:t>. . . «</w:t>
      </w:r>
      <w:r>
        <w:rPr>
          <w:rFonts w:ascii="IRNazanin" w:hAnsi="IRNazanin" w:eastAsia="IRNazanin"/>
          <w:color w:val="111111"/>
          <w:sz w:val="28"/>
          <w:sz w:val="28"/>
          <w:szCs w:val="28"/>
          <w:rtl w:val="true"/>
          <w:lang w:bidi="fa-IR"/>
        </w:rPr>
        <w:t>فالمسألة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أصل مسألة </w:t>
      </w:r>
      <w:r>
        <w:rPr>
          <w:rStyle w:val="FootnoteAnchor"/>
          <w:rtl w:val="true"/>
        </w:rPr>
        <w:footnoteReference w:id="885"/>
      </w:r>
      <w:r>
        <w:rPr>
          <w:rFonts w:ascii="IRNazanin" w:hAnsi="IRNazanin" w:eastAsia="IRNazanin"/>
          <w:color w:val="111111"/>
          <w:sz w:val="28"/>
          <w:sz w:val="28"/>
          <w:szCs w:val="28"/>
          <w:rtl w:val="true"/>
          <w:lang w:bidi="fa-IR"/>
        </w:rPr>
        <w:t xml:space="preserve">الأجداد الثمانیة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ثلاثة أسهم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مخرج ما فیها من الفروض وهو الثلث </w:t>
      </w:r>
      <w:r>
        <w:rPr>
          <w:rStyle w:val="FootnoteAnchor"/>
          <w:rtl w:val="true"/>
        </w:rPr>
        <w:footnoteReference w:id="886"/>
      </w:r>
      <w:r>
        <w:rPr>
          <w:rFonts w:ascii="IRNazanin" w:hAnsi="IRNazanin" w:eastAsia="IRNazanin"/>
          <w:color w:val="111111"/>
          <w:sz w:val="28"/>
          <w:sz w:val="28"/>
          <w:szCs w:val="28"/>
          <w:rtl w:val="true"/>
          <w:lang w:bidi="fa-IR"/>
        </w:rPr>
        <w:t>وذلک هو ضابط أصل کلّ مسألة فی هذا الباب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الثلاثة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لأقرباء الاُمّ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ثلثها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ینقسم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عددهم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أربعة، وسهمان لأقرباء الأب لا ینقسم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سهامهم 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ثلثی الثلثین لجدّ أبیه وجدّته لأبیه بینهما أثلاثاً، وثلثه لجدّ أبیه وجدّته لاُمّه أثلاثاً أیضاً، فترتقی سهام الأربعة إلی تسعة، فقد انکسرت علی الفریقین، وبین عدد کلّ فریق ونصیبه مباینة، وکذا بین العددین، فیطرح النصیب ویضرب أحد العددین فی الآخر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ومضروبهما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مضروب الأربعة فی التسعة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 وثلاثون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یضرب المرتفع فی أصل الفریضة وهو الثلاثة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ومضروبها فی الأصل مئة وثمانیة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 وثلاثون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ینقسم </w:t>
      </w:r>
      <w:r>
        <w:rPr>
          <w:rStyle w:val="FootnoteAnchor"/>
          <w:rtl w:val="true"/>
        </w:rPr>
        <w:footnoteReference w:id="887"/>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أجداد اُمّه 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بالسویّة، لکلّ واحد تسعة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وثلثاها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اثنان وسبعون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ینقسم </w:t>
      </w:r>
      <w:r>
        <w:rPr>
          <w:rStyle w:val="FootnoteAnchor"/>
          <w:rtl w:val="true"/>
        </w:rPr>
        <w:footnoteReference w:id="888"/>
      </w:r>
      <w:r>
        <w:rPr>
          <w:rFonts w:ascii="IRNazanin" w:hAnsi="IRNazanin" w:eastAsia="IRNazanin"/>
          <w:color w:val="111111"/>
          <w:sz w:val="28"/>
          <w:sz w:val="28"/>
          <w:szCs w:val="28"/>
          <w:rtl w:val="true"/>
          <w:lang w:bidi="fa-IR"/>
        </w:rPr>
        <w:t>علی تسعة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لکلّ سهم ثمانیة، فلجدّ الأب وجدّته لأبیه ثلثا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ثمانیة وأربعون، ثلثه للجدّة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ستّة عشر، وثلثاه للجدّ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اثنان وثلاثون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ولجدّ الأب وجدّته لاُمّه أربعة وعشرون، ثلثا ذلک للجدّ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ستّة عشر، وثلثه للجدّة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ثمانیة</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هو المشهور بین الأصحاب، ذهب إلیه الشیخ </w:t>
      </w:r>
      <w:r>
        <w:rPr>
          <w:rStyle w:val="FootnoteAnchor"/>
          <w:rtl w:val="true"/>
        </w:rPr>
        <w:footnoteReference w:id="889"/>
      </w:r>
      <w:r>
        <w:rPr>
          <w:rFonts w:ascii="IRNazanin" w:hAnsi="IRNazanin" w:eastAsia="IRNazanin"/>
          <w:color w:val="111111"/>
          <w:sz w:val="28"/>
          <w:sz w:val="28"/>
          <w:szCs w:val="28"/>
          <w:rtl w:val="true"/>
          <w:lang w:bidi="fa-IR"/>
        </w:rPr>
        <w:t>وتبعه الأکثر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المسألة قولان آخران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أحدهما للشیخ معین الدین المصری </w:t>
      </w:r>
      <w:r>
        <w:rPr>
          <w:rStyle w:val="FootnoteAnchor"/>
          <w:rtl w:val="true"/>
        </w:rPr>
        <w:footnoteReference w:id="8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ثلث الثلث لأبوی اُمّ الاُمّ بالسویّة وثلثاه لأبوی أبیها بالسویّة أیضاً، وثلث الثلثین لأبوی اُمّ الأب بالسویّة وثلثاهما لأبوی أبیه أثلاثاً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فسهام قرابة الاُمّ ستّة وسهام قرابة الأب ثمانیة عشر فیجتزأ بها؛ لدخول الاُخری فیها، وتُضرب فی أصل المسألة یبلغ أربعةً وخمسین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ثلثها ثمانیة عشر لأجداد الاُمّ، منها اثنا عشر لأبوی أبیها بالسویّة، وستّة لأبوی اُمّها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وستّة وثلاثون لأجداد الأب، منها اثنا عشر لأبوی اُمّه بالسویّة، وأربعة وعشرون لأبوی أبیه أثلاثاً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للشیخ زین الدین محمّد بن القاسم </w:t>
      </w:r>
      <w:r>
        <w:rPr>
          <w:rStyle w:val="FootnoteAnchor"/>
          <w:rtl w:val="true"/>
        </w:rPr>
        <w:footnoteReference w:id="891"/>
      </w:r>
      <w:r>
        <w:rPr>
          <w:rFonts w:ascii="Amiri" w:hAnsi="Amiri" w:eastAsia="Amiri" w:cs="Amiri"/>
          <w:color w:val="111111"/>
          <w:sz w:val="28"/>
          <w:sz w:val="28"/>
          <w:szCs w:val="28"/>
          <w:rtl w:val="true"/>
          <w:lang w:bidi="ar-SA"/>
        </w:rPr>
        <w:t xml:space="preserve">البُرْزُهی </w:t>
      </w:r>
      <w:r>
        <w:rPr>
          <w:rStyle w:val="FootnoteAnchor"/>
          <w:rtl w:val="true"/>
        </w:rPr>
        <w:footnoteReference w:id="8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ثلث الثلث لأبوی اُمّ الاُمّ بالسویّة، وثلثیه لأبوی أبیها أثلاثاً، وقسمة أجداد الأب کما ذکره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وصحّتها أیضاً من أربعة وخمسین، لکن یختلف وجه الارتفاع، فإنّ سهام أقرباء الاُمّ هنا ثمانیة عشر وأقرباء الأب تسعة تُداخِلها، فیُجتزی بضرب الثمانیة عشر فی الثلاثة أصل الفریضة</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ومنشأ الاختلاف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النظرُ إلی أنّ قسمة المنتسب إلی الاُمّ بالسویّة، فمنهم من لاحظ الاُمومة فی جمیع أجداد الاُمّ </w:t>
      </w:r>
      <w:r>
        <w:rPr>
          <w:rStyle w:val="FootnoteAnchor"/>
          <w:rtl w:val="true"/>
        </w:rPr>
        <w:footnoteReference w:id="893"/>
      </w:r>
      <w:r>
        <w:rPr>
          <w:rFonts w:ascii="IRNazanin" w:hAnsi="IRNazanin" w:eastAsia="IRNazanin"/>
          <w:color w:val="111111"/>
          <w:sz w:val="28"/>
          <w:sz w:val="28"/>
          <w:szCs w:val="28"/>
          <w:rtl w:val="true"/>
          <w:lang w:bidi="fa-IR"/>
        </w:rPr>
        <w:t xml:space="preserve">ومنهم من لاحظ الأصل </w:t>
      </w:r>
      <w:r>
        <w:rPr>
          <w:rStyle w:val="FootnoteAnchor"/>
          <w:rtl w:val="true"/>
        </w:rPr>
        <w:footnoteReference w:id="894"/>
      </w:r>
      <w:r>
        <w:rPr>
          <w:rFonts w:ascii="IRNazanin" w:hAnsi="IRNazanin" w:eastAsia="IRNazanin"/>
          <w:color w:val="111111"/>
          <w:sz w:val="28"/>
          <w:sz w:val="28"/>
          <w:szCs w:val="28"/>
          <w:rtl w:val="true"/>
          <w:lang w:bidi="fa-IR"/>
        </w:rPr>
        <w:t xml:space="preserve">ومنهم من لاحظ الجهتین </w:t>
      </w:r>
      <w:r>
        <w:rPr>
          <w:rStyle w:val="FootnoteAnchor"/>
          <w:rtl w:val="true"/>
        </w:rPr>
        <w:footnoteReference w:id="89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الثانیة عشرة</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أولاد الإخوة یقومون مقام آبائهم عند عدمهم، ویأخذ 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 من الأولاد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نصیبَ من یتقرّب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فلأولاد الاُختِ المنفردةِ للأبوین أو الأبِ النصفُ تسمیةً والباقی ردّاً وإن کانوا ذکوراً، ولأولاد الأخِ للأب المنفردِ المالُ وإن کان اُنثی قرابةً، ولولد الأخ أو الاُخت للاُمّ السدسُ وإن تعدّد الولد، ولأولاد الإخوة المتعدّدین لها الثلثُ، والباقی لأولاد المتقرّب بالأبوین إن وُجدوا، وإلّا فللمتقرّب بالأب، وإلّا رُدّ الباقی علی ولد الأخ للاُمّ، وعلی هذا القیاس باقی الأقسام</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واقتسام الأولاد مع تعدّدهم واختلافهم ذکوریّة واُنوثیّة کآبائهم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کانوا أولاد کلالة الاُمّ فبالسویّة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الذکر والاُنثی سواء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کانوا أولاد کلالة الأبوین أو الأب فبالتفاوت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للذکر مثل حظّ الاُنثیین</w:t>
      </w:r>
      <w:r>
        <w:rPr>
          <w:rFonts w:eastAsia="IRNazanin" w:cs="IRNazanin"/>
          <w:color w:val="111111"/>
          <w:sz w:val="28"/>
          <w:szCs w:val="28"/>
          <w:rtl w:val="true"/>
          <w:lang w:bidi="fa-IR"/>
        </w:rPr>
        <w:t>.</w:t>
      </w:r>
      <w:bookmarkStart w:id="330" w:name="pg19815_253202"/>
    </w:p>
    <w:p>
      <w:pPr>
        <w:pStyle w:val="Heading5"/>
        <w:numPr>
          <w:ilvl w:val="4"/>
          <w:numId w:val="1"/>
        </w:numPr>
        <w:rPr/>
      </w:pPr>
      <w:bookmarkStart w:id="331" w:name="__RefHeading___Toc2227925_2314609296"/>
      <w:bookmarkStart w:id="332" w:name="_Toc125"/>
      <w:bookmarkEnd w:id="330"/>
      <w:bookmarkEnd w:id="331"/>
      <w:r>
        <w:rPr>
          <w:rtl w:val="true"/>
        </w:rPr>
        <w:t>«</w:t>
      </w:r>
      <w:r>
        <w:rPr>
          <w:rtl w:val="true"/>
        </w:rPr>
        <w:t>القول فی میراث الأعمام والأخوال</w:t>
      </w:r>
      <w:r>
        <w:rPr>
          <w:rtl w:val="true"/>
        </w:rPr>
        <w:t xml:space="preserve">» </w:t>
      </w:r>
      <w:r>
        <w:rPr>
          <w:rtl w:val="true"/>
        </w:rPr>
        <w:t>وأولادهم</w:t>
      </w:r>
      <w:bookmarkEnd w:id="332"/>
    </w:p>
    <w:p>
      <w:pPr>
        <w:pStyle w:val="BookText"/>
        <w:rPr/>
      </w:pPr>
      <w:r>
        <w:rPr>
          <w:rFonts w:ascii="Amiri" w:hAnsi="Amiri" w:eastAsia="Amiri" w:cs="Amiri"/>
          <w:color w:val="111111"/>
          <w:sz w:val="28"/>
          <w:sz w:val="28"/>
          <w:szCs w:val="28"/>
          <w:rtl w:val="true"/>
          <w:lang w:bidi="ar-SA"/>
        </w:rPr>
        <w:t xml:space="preserve">وهم اُولوا الأرحام؛ إذ لم یرد علی إرثهم فی القرآن نصّ بخصوصهم وإنّما دخلوا فی آیة أُولُوا اَلْأَرْحٰامِ </w:t>
      </w:r>
      <w:r>
        <w:rPr>
          <w:rStyle w:val="FootnoteAnchor"/>
          <w:rtl w:val="true"/>
        </w:rPr>
        <w:footnoteReference w:id="896"/>
      </w:r>
      <w:r>
        <w:rPr>
          <w:rFonts w:ascii="IRNazanin" w:hAnsi="IRNazanin" w:eastAsia="IRNazanin"/>
          <w:color w:val="111111"/>
          <w:sz w:val="28"/>
          <w:sz w:val="28"/>
          <w:szCs w:val="28"/>
          <w:rtl w:val="true"/>
          <w:lang w:bidi="fa-IR"/>
        </w:rPr>
        <w:t>وإنّما یرثون مع فقد الإخوة وبنیهم، والأجداد فصاعداً علی الأشهر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ونقل عن الفضل أ نّه لو خلّف خالاً وجدّة لاُمّ اقتسما المال نصفین </w:t>
      </w:r>
      <w:r>
        <w:rPr>
          <w:rStyle w:val="FootnoteAnchor"/>
          <w:rtl w:val="true"/>
        </w:rPr>
        <w:footnoteReference w:id="89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وفیه مسائل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الاُولی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یرث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أجمع لأبٍ کان أم 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وکذا العمّة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المنفردة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وللأعمام </w:t>
      </w:r>
      <w:r>
        <w:rPr>
          <w:rStyle w:val="FootnoteAnchor"/>
          <w:rtl w:val="true"/>
        </w:rPr>
        <w:footnoteReference w:id="8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العمّین فصاعداً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بالسویّة، وکذا العمّات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w:t>
      </w:r>
      <w:r>
        <w:rPr>
          <w:rStyle w:val="FootnoteAnchor"/>
          <w:rtl w:val="true"/>
        </w:rPr>
        <w:footnoteReference w:id="899"/>
      </w:r>
      <w:r>
        <w:rPr>
          <w:rFonts w:ascii="IRNazanin" w:hAnsi="IRNazanin" w:eastAsia="IRNazanin"/>
          <w:color w:val="111111"/>
          <w:sz w:val="28"/>
          <w:sz w:val="28"/>
          <w:szCs w:val="28"/>
          <w:rtl w:val="true"/>
          <w:lang w:bidi="fa-IR"/>
        </w:rPr>
        <w:t xml:space="preserve">فیهما </w:t>
      </w:r>
      <w:r>
        <w:rPr>
          <w:rStyle w:val="FootnoteAnchor"/>
          <w:rtl w:val="true"/>
        </w:rPr>
        <w:footnoteReference w:id="900"/>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اجتمعوا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الأعمام والعمّات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اقتسموه بالسویّة إن کانوا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جمیعاً</w:t>
      </w:r>
    </w:p>
    <w:p>
      <w:pPr>
        <w:pStyle w:val="BookText"/>
        <w:rPr/>
      </w:pPr>
      <w:r>
        <w:rPr>
          <w:rFonts w:ascii="Amiri" w:hAnsi="Amiri" w:eastAsia="Amiri" w:cs="Amiri"/>
          <w:color w:val="111111"/>
          <w:sz w:val="28"/>
          <w:sz w:val="28"/>
          <w:szCs w:val="28"/>
          <w:rtl w:val="true"/>
          <w:lang w:bidi="ar-SA"/>
        </w:rPr>
        <w:t xml:space="preserve">أعماماً أو عمّاتٍ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إخوة أب المیّت من اُمّه خاصّة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یکونوا لاُمّ خاصّة، بل للأبوین أو للأب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فبالتفاوت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للذکر مثل حظّ الاُنثیین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والکلام فی قرابة الأب وحده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الأعمام والأخوال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سلف فی الإخوة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أ نّها لا ترث إلّامع فقد قرابة الأبوین مع تساویهما فی الدرجة، واستحقاق الفاضل عن حقّ قرابة الاُمّ من السدس والثلث وغیر 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للعمّ الواحد للاُمّ أو العمّة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الواحدة 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قرابة الأب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العمّ أو العمّة للأب الشامل للأبوین وللأب وحده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السدس، وللزائد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الواحد مطلقاً </w:t>
      </w:r>
      <w:r>
        <w:rPr>
          <w:rStyle w:val="FootnoteAnchor"/>
          <w:rtl w:val="true"/>
        </w:rPr>
        <w:footnoteReference w:id="9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بالسویّة کما فی الإخوة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والباقی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السدس والثلث من المال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لقرابة الأب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والاُمّ أو الأب مع فقده </w:t>
      </w:r>
      <w:r>
        <w:rPr>
          <w:rStyle w:val="FootnoteAnchor"/>
          <w:rtl w:val="true"/>
        </w:rPr>
        <w:footnoteReference w:id="9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کان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قرابةُ الأب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ذکراً أو </w:t>
      </w:r>
      <w:r>
        <w:rPr>
          <w:rStyle w:val="FootnoteAnchor"/>
          <w:rtl w:val="true"/>
        </w:rPr>
        <w:footnoteReference w:id="903"/>
      </w:r>
      <w:r>
        <w:rPr>
          <w:rFonts w:ascii="Amiri" w:hAnsi="Amiri" w:eastAsia="Amiri" w:cs="Amiri"/>
          <w:color w:val="111111"/>
          <w:sz w:val="28"/>
          <w:sz w:val="28"/>
          <w:szCs w:val="28"/>
          <w:rtl w:val="true"/>
          <w:lang w:bidi="ar-SA"/>
        </w:rPr>
        <w:t>اُنثی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تعدّد واختلف بالذکورة والاُنوثة فللذکر مثل حظّ الاُنثیین کما 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للخال أو الخالة أو هما أو الأخوال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الخالات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الانفراد المالُ بالسویّة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لأبٍ کانوا أم لاُمّ أم لهما</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اجتمعوا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تفرّقوا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خلّف خالاً لأبیه أی أخا اُمّه لأبیها،</w:t>
      </w:r>
    </w:p>
    <w:p>
      <w:pPr>
        <w:pStyle w:val="BookText"/>
        <w:rPr/>
      </w:pPr>
      <w:r>
        <w:rPr>
          <w:rFonts w:ascii="IRNazanin" w:hAnsi="IRNazanin" w:eastAsia="IRNazanin"/>
          <w:color w:val="111111"/>
          <w:sz w:val="28"/>
          <w:sz w:val="28"/>
          <w:szCs w:val="28"/>
          <w:rtl w:val="true"/>
          <w:lang w:bidi="fa-IR"/>
        </w:rPr>
        <w:t xml:space="preserve">وخالاً لاُمّه أی أخاها لاُمّها خاصّة، وخالاً لأبویه أی أخاها لأبویها، أو خالات کذلک أو مجتمعین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سقط کلالة الأب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وحدها بکلالة الأبوین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 لکلالة الاُمّ السدس إن کان واحداً، والثلث إن کان أکثر بالسویّة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اختلفوا فی الذکورة والاُنوثة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ولکلالة الأب الباقی بالسویّة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علی الأظهر؛ لاشتراک الجمیع فی التقرّب بالاُمّ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ونقل الشیخ فی الخلاف عن بعض الأصحاب أ نّهم یقتسمونه للذکر ضِعف الاُنثی </w:t>
      </w:r>
      <w:r>
        <w:rPr>
          <w:rStyle w:val="FootnoteAnchor"/>
          <w:rtl w:val="true"/>
        </w:rPr>
        <w:footnoteReference w:id="904"/>
      </w:r>
      <w:r>
        <w:rPr>
          <w:rFonts w:ascii="IRNazanin" w:hAnsi="IRNazanin" w:eastAsia="IRNazanin"/>
          <w:color w:val="111111"/>
          <w:sz w:val="28"/>
          <w:sz w:val="28"/>
          <w:szCs w:val="28"/>
          <w:rtl w:val="true"/>
          <w:lang w:bidi="fa-IR"/>
        </w:rPr>
        <w:t>وهو نادر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اجتمع الأعمام والأخوال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الجنسان لیشمل الواحد منهما والمتعدّد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فللأخوال الثلث وإن کان واحداً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الأصحّ، وللأعمام الثلثان وإن کان واحداً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الأخوال یرثون نصیب من تقرّبوا به وهو الاُخت ونصیبها الثلث، والأعمام یرثون نصیب من یتقرّبون به وهو الأخ ونصیبه الثلثان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 یظهر عدم الفرق بین اتّحاد الخال وتعدّده وذکوریّته واُنوثیّته، والأخبار مع ذلک متظافرة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صحیحة أبی بصیر عن أبی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فی کتاب علیّ علیه السلام رجل مات وترک عمّة وخالة؟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للعمّة الثلثان وللخالة الثلث</w:t>
      </w:r>
      <w:r>
        <w:rPr>
          <w:rFonts w:eastAsia="IRNazanin" w:cs="IRNazanin"/>
          <w:color w:val="111111"/>
          <w:sz w:val="28"/>
          <w:szCs w:val="28"/>
          <w:rtl w:val="true"/>
          <w:lang w:bidi="fa-IR"/>
        </w:rPr>
        <w:t xml:space="preserve">» </w:t>
      </w:r>
      <w:r>
        <w:rPr>
          <w:rStyle w:val="FootnoteAnchor"/>
          <w:rtl w:val="true"/>
        </w:rPr>
        <w:footnoteReference w:id="905"/>
      </w: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فیه </w:t>
      </w:r>
      <w:r>
        <w:rPr>
          <w:rStyle w:val="FootnoteAnchor"/>
          <w:rtl w:val="true"/>
        </w:rPr>
        <w:footnoteReference w:id="906"/>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العمّة بمنزلة الأب والخالة بمنزلة الاُمّ، وبنت الأخ</w:t>
      </w:r>
    </w:p>
    <w:p>
      <w:pPr>
        <w:pStyle w:val="BookText"/>
        <w:rPr/>
      </w:pPr>
      <w:r>
        <w:rPr>
          <w:rFonts w:ascii="IRNazanin" w:hAnsi="IRNazanin" w:eastAsia="IRNazanin"/>
          <w:color w:val="111111"/>
          <w:sz w:val="28"/>
          <w:sz w:val="28"/>
          <w:szCs w:val="28"/>
          <w:rtl w:val="true"/>
          <w:lang w:bidi="fa-IR"/>
        </w:rPr>
        <w:t>بمنزلة الأخ، وکلّ ذی رحم بمنزلة الرحم الذی یجرّ به، إلّاأن یکون وارثٌ أقربَ إلی المیّت منه فیحجبه</w:t>
      </w:r>
      <w:r>
        <w:rPr>
          <w:rFonts w:eastAsia="IRNazanin" w:cs="IRNazanin"/>
          <w:color w:val="111111"/>
          <w:sz w:val="28"/>
          <w:szCs w:val="28"/>
          <w:rtl w:val="true"/>
          <w:lang w:bidi="fa-IR"/>
        </w:rPr>
        <w:t xml:space="preserve">» </w:t>
      </w:r>
      <w:r>
        <w:rPr>
          <w:rStyle w:val="FootnoteAnchor"/>
          <w:rtl w:val="true"/>
        </w:rPr>
        <w:footnoteReference w:id="9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ومقابل الأصحّ قول ابن أبی عقیل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للخال المتّحد السدس وللعمّ النصف حیث یجتمع العمّ والخال، والباقی یردّ علیهما بقَدَر سهامهما، وکذلک لو ترک عمّة وخالة، للعمّة النصف وللخالة السدس والباقی یردّ علیهما بالنسبة </w:t>
      </w:r>
      <w:r>
        <w:rPr>
          <w:rStyle w:val="FootnoteAnchor"/>
          <w:rtl w:val="true"/>
        </w:rPr>
        <w:footnoteReference w:id="908"/>
      </w:r>
      <w:r>
        <w:rPr>
          <w:rFonts w:ascii="IRNazanin" w:hAnsi="IRNazanin" w:eastAsia="IRNazanin"/>
          <w:color w:val="111111"/>
          <w:sz w:val="28"/>
          <w:sz w:val="28"/>
          <w:szCs w:val="28"/>
          <w:rtl w:val="true"/>
          <w:lang w:bidi="fa-IR"/>
        </w:rPr>
        <w:t>وهو نادر ومستنده غیر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تقدّم ما یدلّ علی قدر الاستحقاق وکیفیّةِ القسمة لو تعدّدوا </w:t>
      </w:r>
      <w:r>
        <w:rPr>
          <w:rStyle w:val="FootnoteAnchor"/>
          <w:rtl w:val="true"/>
        </w:rPr>
        <w:footnoteReference w:id="909"/>
      </w:r>
      <w:r>
        <w:rPr>
          <w:rFonts w:ascii="IRNazanin" w:hAnsi="IRNazanin" w:eastAsia="IRNazanin"/>
          <w:color w:val="111111"/>
          <w:sz w:val="28"/>
          <w:sz w:val="28"/>
          <w:szCs w:val="28"/>
          <w:rtl w:val="true"/>
          <w:lang w:bidi="fa-IR"/>
        </w:rPr>
        <w:t>فلو کانوا متفرّقین فللأخوال من جهة الاُمّ ثلث الثلث، ومع الاتّحاد سدسه، والباقی من الثلث للأخوال من جهة الأب وإن کان واحداً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والثلثان للأعمام، سدسهما للمتقرّب منهم بالاُمّ إن کان واحداً، وثلثهما إن کان أکثر بالسویّة وإن اختلفوا فی الذکوریّة والاُنوثیّة، والباقی للأعمام المتقرّبین بالأب بالتفاوت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للزوج أو الزوجة مع الأعمام والأخوال نصیبه الأعلی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النصف أو الربع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وللأخوال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اتّحدوا أو کانوا لاُمّ کما مرّ </w:t>
      </w:r>
      <w:r>
        <w:rPr>
          <w:rStyle w:val="FootnoteAnchor"/>
          <w:rtl w:val="true"/>
        </w:rPr>
        <w:footnoteReference w:id="9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الثلث من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من الباقی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وللأعمام الباقی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السدس علی تقدیر الزوج، وهو مع الربع علی</w:t>
      </w:r>
    </w:p>
    <w:p>
      <w:pPr>
        <w:pStyle w:val="BookText"/>
        <w:rPr/>
      </w:pPr>
      <w:r>
        <w:rPr>
          <w:rFonts w:ascii="IRNazanin" w:hAnsi="IRNazanin" w:eastAsia="IRNazanin"/>
          <w:color w:val="111111"/>
          <w:sz w:val="28"/>
          <w:sz w:val="28"/>
          <w:szCs w:val="28"/>
          <w:rtl w:val="true"/>
          <w:lang w:bidi="fa-IR"/>
        </w:rPr>
        <w:t>تقدیر الزوجة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تفرّق الأعمام والأخوال مع أحد الزوجین أخذ نصیبَه الأعلی، وللأخوال الثلث، سدسُه لمن تقرّب بالاُمّ منهم إن کان واحداً وثلثه إن کان أکثر، والباقی من الثلث للأخوال من قبل الأبوین أو الأب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والباقی بعد نصیب أحد الزوجین والأخوال للأعمام، سدسُه للمتقرّب منهم بالاُمّ إن کان واحداً، وثلثه إن کان أکثر بالسویّة، والباقی للمتقرّب منهم بالأبوین أو بالأب بالتفاوت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اجتمع الزوجان مع الأعمام خاصّة، أو الأخوال فلکلّ منهما نصیبُه الأعلی کذلک، والباقی للأعمام أو للأخوال وإن اتّحدوا، ومع التعدّد واتّفاق الجهة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کالأعمام من الأب خاصّة أو من الاُمّ، أو الأخوال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یقتسمون الباقی کما فُصّل </w:t>
      </w:r>
      <w:r>
        <w:rPr>
          <w:rStyle w:val="FootnoteAnchor"/>
          <w:rtl w:val="true"/>
        </w:rPr>
        <w:footnoteReference w:id="9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ولو اختلفت کما لو خلّفت زوجاً وخالاً من الاُمّ وخالاً من الأبوین أو الأب، فللزوج النصف وللخال من الاُمّ سدسُ الأصل، کما نقله المصنّف فی الدروس عن ظاهر کلام الأصحاب </w:t>
      </w:r>
      <w:r>
        <w:rPr>
          <w:rStyle w:val="FootnoteAnchor"/>
          <w:rtl w:val="true"/>
        </w:rPr>
        <w:footnoteReference w:id="912"/>
      </w:r>
      <w:r>
        <w:rPr>
          <w:rFonts w:ascii="IRNazanin" w:hAnsi="IRNazanin" w:eastAsia="IRNazanin"/>
          <w:color w:val="111111"/>
          <w:sz w:val="28"/>
          <w:sz w:val="28"/>
          <w:szCs w:val="28"/>
          <w:rtl w:val="true"/>
          <w:lang w:bidi="fa-IR"/>
        </w:rPr>
        <w:t>کما لو لم یکن هناک زوج؛ لأنّ الزوج لا یزاحم المتقرّب بالاُمّ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وأشار إلیه هنا بقوله</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للخال من الاُمّ مع الخال من الأب والزوج ثلثُ الباقی</w:t>
      </w:r>
      <w:r>
        <w:rPr>
          <w:rFonts w:eastAsia="IRNazanin" w:cs="IRNazanin"/>
          <w:color w:val="111111"/>
          <w:sz w:val="28"/>
          <w:szCs w:val="28"/>
          <w:rtl w:val="true"/>
          <w:lang w:bidi="fa-IR"/>
        </w:rPr>
        <w:t xml:space="preserve">» </w:t>
      </w:r>
      <w:r>
        <w:rPr>
          <w:rStyle w:val="FootnoteAnchor"/>
          <w:rtl w:val="true"/>
        </w:rPr>
        <w:footnoteReference w:id="9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تنزیلاً لخال الاُمّ منزلة الخؤولة حیث تقرّب بالاُمّ، وخال الأب منزلة العمومة حیث تقرّب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القول لم یذکره المصنّف فی الدروس، ولا العلّامة حیث</w:t>
      </w:r>
    </w:p>
    <w:p>
      <w:pPr>
        <w:pStyle w:val="BookText"/>
        <w:rPr/>
      </w:pPr>
      <w:r>
        <w:rPr>
          <w:rFonts w:ascii="IRNazanin" w:hAnsi="IRNazanin" w:eastAsia="IRNazanin"/>
          <w:color w:val="111111"/>
          <w:sz w:val="28"/>
          <w:sz w:val="28"/>
          <w:szCs w:val="28"/>
          <w:rtl w:val="true"/>
          <w:lang w:bidi="fa-IR"/>
        </w:rPr>
        <w:t xml:space="preserve">نقل الخلاف </w:t>
      </w:r>
      <w:r>
        <w:rPr>
          <w:rFonts w:eastAsia="IRNazanin" w:cs="IRNazanin"/>
          <w:color w:val="111111"/>
          <w:sz w:val="28"/>
          <w:szCs w:val="28"/>
          <w:rtl w:val="true"/>
          <w:lang w:bidi="fa-IR"/>
        </w:rPr>
        <w:t xml:space="preserve">] </w:t>
      </w:r>
      <w:r>
        <w:rPr>
          <w:rStyle w:val="FootnoteAnchor"/>
          <w:rtl w:val="true"/>
        </w:rPr>
        <w:footnoteReference w:id="9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سدس الباقی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القول نقله المصنّف فی الدروس </w:t>
      </w:r>
      <w:r>
        <w:rPr>
          <w:rStyle w:val="FootnoteAnchor"/>
          <w:rtl w:val="true"/>
        </w:rPr>
        <w:footnoteReference w:id="915"/>
      </w:r>
      <w:r>
        <w:rPr>
          <w:rFonts w:ascii="IRNazanin" w:hAnsi="IRNazanin" w:eastAsia="IRNazanin"/>
          <w:color w:val="111111"/>
          <w:sz w:val="28"/>
          <w:sz w:val="28"/>
          <w:szCs w:val="28"/>
          <w:rtl w:val="true"/>
          <w:lang w:bidi="fa-IR"/>
        </w:rPr>
        <w:t xml:space="preserve">والعلّامة فی القواعد والتحریر </w:t>
      </w:r>
      <w:r>
        <w:rPr>
          <w:rStyle w:val="FootnoteAnchor"/>
          <w:rtl w:val="true"/>
        </w:rPr>
        <w:footnoteReference w:id="916"/>
      </w:r>
      <w:r>
        <w:rPr>
          <w:rFonts w:ascii="IRNazanin" w:hAnsi="IRNazanin" w:eastAsia="IRNazanin"/>
          <w:color w:val="111111"/>
          <w:sz w:val="28"/>
          <w:sz w:val="28"/>
          <w:szCs w:val="28"/>
          <w:rtl w:val="true"/>
          <w:lang w:bidi="fa-IR"/>
        </w:rPr>
        <w:t>عن بعض الأصحاب، ولم یعیّنوا قائله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واختار المصنّف فی الدروس </w:t>
      </w:r>
      <w:r>
        <w:rPr>
          <w:rStyle w:val="FootnoteAnchor"/>
          <w:rtl w:val="true"/>
        </w:rPr>
        <w:footnoteReference w:id="917"/>
      </w:r>
      <w:r>
        <w:rPr>
          <w:rFonts w:ascii="Amiri" w:hAnsi="Amiri" w:eastAsia="Amiri" w:cs="Amiri"/>
          <w:color w:val="111111"/>
          <w:sz w:val="28"/>
          <w:sz w:val="28"/>
          <w:szCs w:val="28"/>
          <w:rtl w:val="true"/>
          <w:lang w:bidi="ar-SA"/>
        </w:rPr>
        <w:t xml:space="preserve">والعلّامة </w:t>
      </w:r>
      <w:r>
        <w:rPr>
          <w:rStyle w:val="FootnoteAnchor"/>
          <w:rtl w:val="true"/>
        </w:rPr>
        <w:footnoteReference w:id="918"/>
      </w:r>
      <w:r>
        <w:rPr>
          <w:rFonts w:ascii="IRNazanin" w:hAnsi="IRNazanin" w:eastAsia="IRNazanin"/>
          <w:color w:val="111111"/>
          <w:sz w:val="28"/>
          <w:sz w:val="28"/>
          <w:szCs w:val="28"/>
          <w:rtl w:val="true"/>
          <w:lang w:bidi="fa-IR"/>
        </w:rPr>
        <w:t xml:space="preserve">وولده السعید </w:t>
      </w:r>
      <w:r>
        <w:rPr>
          <w:rStyle w:val="FootnoteAnchor"/>
          <w:rtl w:val="true"/>
        </w:rPr>
        <w:footnoteReference w:id="919"/>
      </w:r>
      <w:r>
        <w:rPr>
          <w:rFonts w:ascii="IRNazanin" w:hAnsi="IRNazanin" w:eastAsia="IRNazanin"/>
          <w:color w:val="111111"/>
          <w:sz w:val="28"/>
          <w:sz w:val="28"/>
          <w:szCs w:val="28"/>
          <w:rtl w:val="true"/>
          <w:lang w:bidi="fa-IR"/>
        </w:rPr>
        <w:t>أنّ له سدسَ الثلث؛ لأنّ الثلث نصیب الخؤولة، فللمتقرّب بالاُمّ منهم سدسه مع اتّحاده، وثلثه مع تعدّده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ویشکل بأنّ الثلث إنّما یکون نصیبهم مع مجامعة الأعمام، وإلّا فجمیع المال لهم، فإذا زاحمهم أحد الزوجین زاحم المتقرّبَ منهم بالأب، وبقیت حصّة المتقرّب بالاُمّ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السدس مع وحدته، والثلث مع تعدّده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خالیة عن المعارض</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ولو کان مع أحد الزوجین أعمامٌ متفرّقون فلمن تقرّب منهم بالاُمّ سدسُ الأصل أو ثلثُه، بلا خلاف علی ما یظهر منهم </w:t>
      </w:r>
      <w:r>
        <w:rPr>
          <w:rStyle w:val="FootnoteAnchor"/>
          <w:rtl w:val="true"/>
        </w:rPr>
        <w:footnoteReference w:id="920"/>
      </w:r>
      <w:r>
        <w:rPr>
          <w:rFonts w:ascii="IRNazanin" w:hAnsi="IRNazanin" w:eastAsia="IRNazanin"/>
          <w:color w:val="111111"/>
          <w:sz w:val="28"/>
          <w:sz w:val="28"/>
          <w:szCs w:val="28"/>
          <w:rtl w:val="true"/>
          <w:lang w:bidi="fa-IR"/>
        </w:rPr>
        <w:t>والباقی للمتقرّب بالأب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ویحتمل علی ما ذکروه فی الخؤولة أن یکون للعمّ للاُمّ سُدس الباقی خاصّة أو ثلثه أو</w:t>
      </w:r>
    </w:p>
    <w:p>
      <w:pPr>
        <w:pStyle w:val="BookText"/>
        <w:rPr/>
      </w:pPr>
      <w:r>
        <w:rPr>
          <w:rFonts w:ascii="IRNazanin" w:hAnsi="IRNazanin" w:eastAsia="IRNazanin"/>
          <w:color w:val="111111"/>
          <w:sz w:val="28"/>
          <w:sz w:val="28"/>
          <w:szCs w:val="28"/>
          <w:rtl w:val="true"/>
          <w:lang w:bidi="fa-IR"/>
        </w:rPr>
        <w:t>سدس الثلثین خاصّة أو ثلثهما، بتقریب ما سبق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عمومة المیّت وعمّاته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 واُمّ أو لأحدهما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وخؤولته وخالاته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کذلک وأولادهم وإن نزلوا عند عدمهم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 من عمومة أبیه وعمّاته وخؤولته وخالاته، ومن عمومة اُمّه وعمّاتها وخؤولتها وخالاتها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لأنّهم أقرب منهم بدرجة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ویقومون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عمومة الأب والاُمّ وخؤولتهما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مقامَهم عند عدمهم وعدم أولادهم وإن نزلوا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ویقدّم الأقرب منهم إلی المیّت وأولاده فالأقرب، فابن العمّ مطلقاً أولی من عمّ الأب، وابن عمّ الأب أولی من عمّ الجدّ، وعمّ الجدّ أولی من عمّ أب الجدّ، وهکذا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وکذا الخؤولة، وکذلک الخال للاُمّ أولی من عمّ الأب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ویقاسم کلّ منهم الآخر مع تساویهم فی الدرجة، فلو ترک المیّت عمّ أبیه وعمّته وخالَه وخالتَه، وعمَّ اُمّه وعمَّتها وخالَها وخالتَها ورثوا جمیعاً؛ لاستواء درجتهم، فالثلث لقرابة الاُمّ بالسویّة علی المشهور، والثلثان لقرابة الأب عمومةً وخؤولةً، ثلثهما للخال والخالة بالسویّة، وثلثاهما للعمّ والعمّة أثلاثاً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وصحّتها من مئة وثمانیة کمسألة الأجداد الثمانیة، إلّاأنّ الطریق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سهام أقرباء الأب ثمانیة عشر توافق سهام أقرباء الاُمّ الأربعة بالنصف، فیُضرب نصف أحدهما فی الآخر، ثمّ المجتمع فی أصل الفریضة وهو ثلاثة</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لخال الاُمّ وخالتها ثلث الثلث بالسویّة، وثلثاه لعمّها وعمّتها بالسویّة </w:t>
      </w:r>
      <w:r>
        <w:rPr>
          <w:rStyle w:val="FootnoteAnchor"/>
          <w:rtl w:val="true"/>
        </w:rPr>
        <w:footnoteReference w:id="921"/>
      </w:r>
    </w:p>
    <w:p>
      <w:pPr>
        <w:pStyle w:val="BookText"/>
        <w:rPr/>
      </w:pPr>
      <w:r>
        <w:rPr>
          <w:rFonts w:ascii="IRNazanin" w:hAnsi="IRNazanin" w:eastAsia="IRNazanin"/>
          <w:color w:val="111111"/>
          <w:sz w:val="28"/>
          <w:sz w:val="28"/>
          <w:szCs w:val="28"/>
          <w:rtl w:val="true"/>
          <w:lang w:bidi="fa-IR"/>
        </w:rPr>
        <w:t xml:space="preserve">فهی کمسألة الأجداد علی مذهب معین الدین المصری </w:t>
      </w:r>
      <w:r>
        <w:rPr>
          <w:rStyle w:val="FootnoteAnchor"/>
          <w:rtl w:val="true"/>
        </w:rPr>
        <w:footnoteReference w:id="9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للأخوال الأربعة الثلث بالسویّة، وللأعمام الثلثان، ثلثه لعمّ الاُمّ وعمّتها بالسویّة أیضاً، وثلثاه لعمّ الأب وعمّته أثلاثاً، وصحّتها من مئة وثمانیة کالأوّل </w:t>
      </w:r>
      <w:r>
        <w:rPr>
          <w:rStyle w:val="FootnoteAnchor"/>
          <w:rtl w:val="true"/>
        </w:rPr>
        <w:footnoteReference w:id="9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أولاد العمومة والخؤولة یقومون مقام آبائهم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واُمّهاتِهم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عدمهم، ویأخذ کلّ منهم نصیب من یتقرّب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فیأخذ ولد العمّة وإن کان اُنثی الثلثین، وولدُ الخال وإن کان ذکراً الثلثَ، وابنُ العمّة مع بنت العمّ الثلثَ کذلک، ویتساوی ابن الخال وابن الخالة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ویأخذ أولاد العمّ للاُمّ السدسَ إن کان واحداً والثلث إن کان أکثر، والباقی لأولاد العمّ للأبوین أو للأب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القول فی أولاد الخؤولة المتفرّقین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اجتمعوا جمیعاً، فلأولاد الخال الواحد أو الخالة للاُمّ سدس الثلث، ولأولاد الخالین أو الخالتین أو هما ثلث الثلث، وباقیه للمتقرّب منهم بالأب، وکذا القول فی أولاد العمومة المتفرّقین بالنظر إلی الثلثین، وهکذا</w:t>
      </w:r>
      <w:r>
        <w:rPr>
          <w:rFonts w:eastAsia="IRNazanin" w:cs="IRNazanin"/>
          <w:color w:val="111111"/>
          <w:sz w:val="28"/>
          <w:szCs w:val="28"/>
          <w:rtl w:val="true"/>
          <w:lang w:bidi="fa-IR"/>
        </w:rPr>
        <w:t>.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ویقتسم أولاد العمومة من الأبوین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کانوا إخوة مختلفین بالذکوریّة والاُنوثیّة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بالتفاوت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للذکر مثل حظّ الاُنثیین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أولاد العمومة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یرثون مع فقد المتقرّب بالأبوین</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یقتسم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أولاد العمومة من الاُمّ بالتساوی، وکذا أولاد الخؤولة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مطلقاً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ولو جامعهم زوج أو زوجة فکمجامعته لآبائهم، فیأخذ النصفَ أو الربعَ، ومَن تقرّب بالاُمّ نصیبَه الأصلی من أصل الترکة، والباقی لقرابة الأبوین أو الأب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الثامنة</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یرث الأبعد مع الأقرب فی الأعمام والأخوال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لم یکن من صنفه، فلا یرث ابن الخال ولو للأبوین مع الخال ولو للاُمّ، ولا مع العمّ مطلقاً ولا ابن العمّ مطلقاً مع العمّة کذلک، ولا مع الخال مطلقاً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یرث الأبعد منهم عن المیّت مع الأقرب إلیه کابن ابن العمّ مع ابن العمّ أو ابن الخال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إلّافی مسألة ابن العمّ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للأبوین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للأب فإنّها خارجة من القاعدة بالإجماع وقد تقدّمت </w:t>
      </w:r>
      <w:r>
        <w:rPr>
          <w:rStyle w:val="FootnoteAnchor"/>
          <w:rtl w:val="true"/>
        </w:rPr>
        <w:footnoteReference w:id="924"/>
      </w:r>
      <w:r>
        <w:rPr>
          <w:rFonts w:ascii="IRNazanin" w:hAnsi="IRNazanin" w:eastAsia="IRNazanin"/>
          <w:color w:val="111111"/>
          <w:sz w:val="28"/>
          <w:sz w:val="28"/>
          <w:szCs w:val="28"/>
          <w:rtl w:val="true"/>
          <w:lang w:bidi="fa-IR"/>
        </w:rPr>
        <w:t xml:space="preserve">وهذا بخلاف ما تقدّم فی الإخوة والأجداد </w:t>
      </w:r>
      <w:r>
        <w:rPr>
          <w:rStyle w:val="FootnoteAnchor"/>
          <w:rtl w:val="true"/>
        </w:rPr>
        <w:footnoteReference w:id="925"/>
      </w:r>
      <w:r>
        <w:rPr>
          <w:rFonts w:ascii="IRNazanin" w:hAnsi="IRNazanin" w:eastAsia="IRNazanin"/>
          <w:color w:val="111111"/>
          <w:sz w:val="28"/>
          <w:sz w:val="28"/>
          <w:szCs w:val="28"/>
          <w:rtl w:val="true"/>
          <w:lang w:bidi="fa-IR"/>
        </w:rPr>
        <w:t>فإنّ قریب کلّ من الصنفین لا یمنع بعید الآخر</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میراث الأعمام والأخوال ثبت بعموم آیة أُولُوا اَلْأَرْحٰامِ وقاعدتها تقدیم الأقرب فالأقرب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الإخوة والأجداد، فإنّ کلّ واحد ثبت بخصوصه من غیر اعتبار الآخر، فیشارک البعیدُ القریبَ، مضافاً إلی النصوص الدالّة علیه، فروی سلمة بن مُحرِز عن أبی عبد اللّٰه علیه السلام قال فی ابن عمّ وخالّة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المال للخالة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ابن عمّ وخال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المالُ للخال</w:t>
      </w:r>
      <w:r>
        <w:rPr>
          <w:rFonts w:eastAsia="IRNazanin" w:cs="IRNazanin"/>
          <w:color w:val="111111"/>
          <w:sz w:val="28"/>
          <w:szCs w:val="28"/>
          <w:rtl w:val="true"/>
          <w:lang w:bidi="fa-IR"/>
        </w:rPr>
        <w:t xml:space="preserve">» </w:t>
      </w:r>
      <w:r>
        <w:rPr>
          <w:rStyle w:val="FootnoteAnchor"/>
          <w:rtl w:val="true"/>
        </w:rPr>
        <w:footnoteReference w:id="9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النصوص الدالّة علی مشارکة الأبعد من أولاد الإخوة للأقرب من الأجداد فکثیرة جدّاً، ففی صحیحة محمّد بن مسلم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نظرت إلی صحیفة ینظر فیها أبو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وقرأت فیها مکتوباً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أخ وجدّ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المالُ بینهما سواء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لأبی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عندنا لا یقضی بهذا القضاء، لا یجعلون لابن الأخ مع الجدّ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إملاء رسول اللّٰه صلی الله علیه و آله وخطّ علیّ علیه السلام</w:t>
      </w:r>
      <w:r>
        <w:rPr>
          <w:rFonts w:eastAsia="IRNazanin" w:cs="IRNazanin"/>
          <w:color w:val="111111"/>
          <w:sz w:val="28"/>
          <w:szCs w:val="28"/>
          <w:rtl w:val="true"/>
          <w:lang w:bidi="fa-IR"/>
        </w:rPr>
        <w:t xml:space="preserve">» </w:t>
      </w:r>
      <w:r>
        <w:rPr>
          <w:rStyle w:val="FootnoteAnchor"/>
          <w:rtl w:val="true"/>
        </w:rPr>
        <w:footnoteReference w:id="9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محمّد بن مسلم عن أبی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حدّثنی جابر عن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 یکن یکذب جابر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ابن الأخ یقاسم الجدّ</w:t>
      </w:r>
      <w:r>
        <w:rPr>
          <w:rFonts w:eastAsia="IRNazanin" w:cs="IRNazanin"/>
          <w:color w:val="111111"/>
          <w:sz w:val="28"/>
          <w:szCs w:val="28"/>
          <w:rtl w:val="true"/>
          <w:lang w:bidi="fa-IR"/>
        </w:rPr>
        <w:t xml:space="preserve">» </w:t>
      </w:r>
      <w:r>
        <w:rPr>
          <w:rStyle w:val="FootnoteAnchor"/>
          <w:rtl w:val="true"/>
        </w:rPr>
        <w:footnoteReference w:id="9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التاسعة</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له سببان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موجبان للإرث، أعمّ من السبب السابق </w:t>
      </w:r>
      <w:r>
        <w:rPr>
          <w:rStyle w:val="FootnoteAnchor"/>
          <w:rtl w:val="true"/>
        </w:rPr>
        <w:footnoteReference w:id="929"/>
      </w:r>
      <w:r>
        <w:rPr>
          <w:rFonts w:ascii="IRNazanin" w:hAnsi="IRNazanin" w:eastAsia="IRNazanin"/>
          <w:color w:val="111111"/>
          <w:sz w:val="28"/>
          <w:sz w:val="28"/>
          <w:szCs w:val="28"/>
          <w:rtl w:val="true"/>
          <w:lang w:bidi="fa-IR"/>
        </w:rPr>
        <w:t xml:space="preserve">فإنّ هذا یشمل النسب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یرث بهما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تساویا فی المرتبة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کعمّ هو خالٌ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إذا تزوّج أخوه لأبیه اُختَه لاُمّه، فإنّه یصیر عمّاً لولدهما للأب خالاً للاُمّ، فیرث نصیبهما لو جامعه غیره کعمّ آخر أو خال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مثال للنسبین</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السببان بالمعنی الأخصّ فیتّفقان کذلک فی زوج هو معتِق أو ضامن الجریرة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کان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السببان بالمعنی الأعمّ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یحجب الآخر ورث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جَمَعهما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السبب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خاصّة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کابن عمّ هو أخ 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فیرث بالاُخوّة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فی النسبین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فی السببین اللذین یحجب أحدهما الآخر کالإمام إذا مات عتیقه، فإنّه یرث بالعتق لا بالإمامة، وکمعتق هو ضامن جریرة </w:t>
      </w:r>
      <w:r>
        <w:rPr>
          <w:rStyle w:val="FootnoteAnchor"/>
          <w:rtl w:val="true"/>
        </w:rPr>
        <w:footnoteReference w:id="930"/>
      </w: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ویمکن فرض أنساب متعدّدة لا یحجب أحدها الباقی، کابن ابن عمّ لأب، هو ابن ابن خال لاُمّ، هو ابن بنت عمّة، هو ابن بنت خالة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یتعدّد کذلک مع حَجب بعضها لبعض، کأخ لاُمّ هو ابن عمّ وابن خال</w:t>
      </w:r>
      <w:r>
        <w:rPr>
          <w:rFonts w:eastAsia="IRNazanin" w:cs="IRNazanin"/>
          <w:color w:val="111111"/>
          <w:sz w:val="28"/>
          <w:szCs w:val="28"/>
          <w:rtl w:val="true"/>
          <w:lang w:bidi="fa-IR"/>
        </w:rPr>
        <w:t>.</w:t>
      </w:r>
      <w:bookmarkStart w:id="333" w:name="pg19815_253213"/>
    </w:p>
    <w:p>
      <w:pPr>
        <w:pStyle w:val="Heading5"/>
        <w:numPr>
          <w:ilvl w:val="4"/>
          <w:numId w:val="1"/>
        </w:numPr>
        <w:rPr/>
      </w:pPr>
      <w:bookmarkStart w:id="334" w:name="__RefHeading___Toc2227927_2314609296"/>
      <w:bookmarkStart w:id="335" w:name="_Toc126"/>
      <w:bookmarkEnd w:id="333"/>
      <w:bookmarkEnd w:id="334"/>
      <w:r>
        <w:rPr>
          <w:rtl w:val="true"/>
        </w:rPr>
        <w:t>«</w:t>
      </w:r>
      <w:r>
        <w:rPr>
          <w:rtl w:val="true"/>
        </w:rPr>
        <w:t>القول فی میراث الأزواج</w:t>
      </w:r>
      <w:r>
        <w:rPr>
          <w:rtl w:val="true"/>
        </w:rPr>
        <w:t>»</w:t>
      </w:r>
      <w:bookmarkEnd w:id="335"/>
    </w:p>
    <w:p>
      <w:pPr>
        <w:pStyle w:val="BookText"/>
        <w:rPr/>
      </w:pPr>
      <w:r>
        <w:rPr>
          <w:rFonts w:ascii="IRNazanin" w:hAnsi="IRNazanin" w:eastAsia="IRNazanin"/>
          <w:color w:val="111111"/>
          <w:sz w:val="28"/>
          <w:sz w:val="28"/>
          <w:szCs w:val="28"/>
          <w:rtl w:val="true"/>
          <w:lang w:bidi="fa-IR"/>
        </w:rPr>
        <w:t xml:space="preserve">الزوجان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یتوارثان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ویصاحبان جمیع الورثة مع خلوّهما من الموانع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لم یدخل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إلّافی المریض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یتزوّج فی مرضه، فإنّه لا یرثها ولا ترثه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یدخل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مرضه فیتوارثان بعده وإن مات قبل الدخول، ولو کانت المریضة هی الزوجة توارثا وإن لم یدخل علی الأقرب کالصحیحة، عملاً بالأصل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وتخلُّفه فی الزوج لدلیل خارج </w:t>
      </w:r>
      <w:r>
        <w:rPr>
          <w:rStyle w:val="FootnoteAnchor"/>
          <w:rtl w:val="true"/>
        </w:rPr>
        <w:footnoteReference w:id="931"/>
      </w:r>
      <w:r>
        <w:rPr>
          <w:rFonts w:ascii="IRNazanin" w:hAnsi="IRNazanin" w:eastAsia="IRNazanin"/>
          <w:color w:val="111111"/>
          <w:sz w:val="28"/>
          <w:sz w:val="28"/>
          <w:szCs w:val="28"/>
          <w:rtl w:val="true"/>
          <w:lang w:bidi="fa-IR"/>
        </w:rPr>
        <w:t>لا یوجب إلحاقها به؛ لأنّه قیاس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والطلاق الرجعی لا یمنع من الإرث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الطرفین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مات أحدهما فی العدّة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الرجعیّة؛ لأنّ المطلّقة رجعیّة بحکم الزوجة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بخلاف البائن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لا یقع بعده توارث فی عدّته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یطلّق وهو </w:t>
      </w:r>
      <w:r>
        <w:rPr>
          <w:rFonts w:eastAsia="IRNazanin" w:cs="IRNazanin"/>
          <w:color w:val="111111"/>
          <w:sz w:val="28"/>
          <w:szCs w:val="28"/>
          <w:rtl w:val="true"/>
          <w:lang w:bidi="fa-IR"/>
        </w:rPr>
        <w:t xml:space="preserve">] </w:t>
      </w:r>
      <w:r>
        <w:rPr>
          <w:rStyle w:val="FootnoteAnchor"/>
          <w:rtl w:val="true"/>
        </w:rPr>
        <w:footnoteReference w:id="9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المرض </w:t>
      </w:r>
      <w:r>
        <w:rPr>
          <w:rStyle w:val="FootnoteAnchor"/>
          <w:rtl w:val="true"/>
        </w:rPr>
        <w:footnoteReference w:id="9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فإنّها ترثه إلی سنة، ولا یرثها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سلف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کتاب الطلاق </w:t>
      </w:r>
      <w:r>
        <w:rPr>
          <w:rStyle w:val="FootnoteAnchor"/>
          <w:rtl w:val="true"/>
        </w:rPr>
        <w:footnoteReference w:id="934"/>
      </w: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الزوجة إن کانت ذات ولد من الزوج ورثت من جمیع ما ترکه کغیرها من الورثة علی المشهور، خصوصاً بین المتأخّرین </w:t>
      </w:r>
      <w:r>
        <w:rPr>
          <w:rStyle w:val="FootnoteAnchor"/>
          <w:rtl w:val="true"/>
        </w:rPr>
        <w:footnoteReference w:id="935"/>
      </w:r>
      <w:r>
        <w:rPr>
          <w:rFonts w:ascii="IRNazanin" w:hAnsi="IRNazanin" w:eastAsia="IRNazanin"/>
          <w:color w:val="111111"/>
          <w:sz w:val="28"/>
          <w:sz w:val="28"/>
          <w:szCs w:val="28"/>
          <w:rtl w:val="true"/>
          <w:lang w:bidi="fa-IR"/>
        </w:rPr>
        <w:t>وکذا یرثها الزوج مطلقاً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وتُمنع الزوجة غیر ذات الولد من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عیناً وقیمة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الآلات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آلات البناء من الأخشاب والأبواب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والأبنیة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الأحجار والطوب وغیرها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عیناً لا قیمةً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فیقوَّم البناء والدُور فی أرض المتوفّی خالیة عن الأرض باقیة فیها إلی أن تفنی بغیر عوض علی الأظهر، وتعطی من القیمة الربع أو الثُمن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ویظهر من العبارة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نّها ترث من عین الأشجار المثمرة وغیرها؛ لعدم استثنائها، فتدخل فی عموم الإرث؛ لأنّ کلّ ما خرج عن المستثنی ترث من عینه کغیرها، وهو أحد الأقوال فی المسألة </w:t>
      </w:r>
      <w:r>
        <w:rPr>
          <w:rStyle w:val="FootnoteAnchor"/>
          <w:rtl w:val="true"/>
        </w:rPr>
        <w:footnoteReference w:id="936"/>
      </w:r>
      <w:r>
        <w:rPr>
          <w:rFonts w:ascii="IRNazanin" w:hAnsi="IRNazanin" w:eastAsia="IRNazanin"/>
          <w:color w:val="111111"/>
          <w:sz w:val="28"/>
          <w:sz w:val="28"/>
          <w:szCs w:val="28"/>
          <w:rtl w:val="true"/>
          <w:lang w:bidi="fa-IR"/>
        </w:rPr>
        <w:t>إلّاأنّ المصنّف لا یُعهد ذلک من مذهبه، وإنّما المعروف منه ومن المتأخّرین حرمانها من عین الأشجار کالأبنیة دون قیمتها</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ویمکن حمل الآلات علی ما یشمل الأشجار کما حمل هو </w:t>
      </w:r>
      <w:r>
        <w:rPr>
          <w:rStyle w:val="FootnoteAnchor"/>
          <w:rtl w:val="true"/>
        </w:rPr>
        <w:footnoteReference w:id="937"/>
      </w:r>
      <w:r>
        <w:rPr>
          <w:rFonts w:ascii="IRNazanin" w:hAnsi="IRNazanin" w:eastAsia="IRNazanin"/>
          <w:color w:val="111111"/>
          <w:sz w:val="28"/>
          <w:sz w:val="28"/>
          <w:szCs w:val="28"/>
          <w:rtl w:val="true"/>
          <w:lang w:bidi="fa-IR"/>
        </w:rPr>
        <w:t xml:space="preserve">وغیره </w:t>
      </w:r>
      <w:r>
        <w:rPr>
          <w:rStyle w:val="FootnoteAnchor"/>
          <w:rtl w:val="true"/>
        </w:rPr>
        <w:footnoteReference w:id="938"/>
      </w:r>
      <w:r>
        <w:rPr>
          <w:rFonts w:ascii="IRNazanin" w:hAnsi="IRNazanin" w:eastAsia="IRNazanin"/>
          <w:color w:val="111111"/>
          <w:sz w:val="28"/>
          <w:sz w:val="28"/>
          <w:szCs w:val="28"/>
          <w:rtl w:val="true"/>
          <w:lang w:bidi="fa-IR"/>
        </w:rPr>
        <w:t xml:space="preserve">کلامَ الشیخ فی النهایة </w:t>
      </w:r>
      <w:r>
        <w:rPr>
          <w:rStyle w:val="FootnoteAnchor"/>
          <w:rtl w:val="true"/>
        </w:rPr>
        <w:footnoteReference w:id="939"/>
      </w:r>
      <w:r>
        <w:rPr>
          <w:rFonts w:ascii="IRNazanin" w:hAnsi="IRNazanin" w:eastAsia="IRNazanin"/>
          <w:color w:val="111111"/>
          <w:sz w:val="28"/>
          <w:sz w:val="28"/>
          <w:szCs w:val="28"/>
          <w:rtl w:val="true"/>
          <w:lang w:bidi="fa-IR"/>
        </w:rPr>
        <w:t>علی ذلک، مع أ نّه لم یتعرّض للأشجار، وجعلوا کلامه کقول المتأخّرین فی حرمانها من عین الأشجار حیث ذکر الآلات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حمل بعید علی</w:t>
      </w:r>
    </w:p>
    <w:p>
      <w:pPr>
        <w:pStyle w:val="BookText"/>
        <w:rPr/>
      </w:pPr>
      <w:r>
        <w:rPr>
          <w:rFonts w:ascii="IRNazanin" w:hAnsi="IRNazanin" w:eastAsia="IRNazanin"/>
          <w:color w:val="111111"/>
          <w:sz w:val="28"/>
          <w:sz w:val="28"/>
          <w:szCs w:val="28"/>
          <w:rtl w:val="true"/>
          <w:lang w:bidi="fa-IR"/>
        </w:rPr>
        <w:t>خلاف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 ذلک یبقی فرق بین الآلات هنا وبینها فی عبارته فی الدروس </w:t>
      </w:r>
      <w:r>
        <w:rPr>
          <w:rStyle w:val="FootnoteAnchor"/>
          <w:rtl w:val="true"/>
        </w:rPr>
        <w:footnoteReference w:id="940"/>
      </w:r>
      <w:r>
        <w:rPr>
          <w:rFonts w:ascii="IRNazanin" w:hAnsi="IRNazanin" w:eastAsia="IRNazanin"/>
          <w:color w:val="111111"/>
          <w:sz w:val="28"/>
          <w:sz w:val="28"/>
          <w:szCs w:val="28"/>
          <w:rtl w:val="true"/>
          <w:lang w:bidi="fa-IR"/>
        </w:rPr>
        <w:t xml:space="preserve">وعبارة المتأخّرین حیث ضمّوا إلیها ذکر الأشجار </w:t>
      </w:r>
      <w:r>
        <w:rPr>
          <w:rStyle w:val="FootnoteAnchor"/>
          <w:rtl w:val="true"/>
        </w:rPr>
        <w:footnoteReference w:id="941"/>
      </w:r>
      <w:r>
        <w:rPr>
          <w:rFonts w:ascii="IRNazanin" w:hAnsi="IRNazanin" w:eastAsia="IRNazanin"/>
          <w:color w:val="111111"/>
          <w:sz w:val="28"/>
          <w:sz w:val="28"/>
          <w:szCs w:val="28"/>
          <w:rtl w:val="true"/>
          <w:lang w:bidi="fa-IR"/>
        </w:rPr>
        <w:t>فإنّ المراد بالآلات فی کلامهم ما هو الظاهر منها، وهی آلات البناء والدُور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حُمل کلام المصنّف هنا وکلام الشیخ ومن تبعه علی ما یظهر من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ویجعل قولاً برأسه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حرمانها من الأرض مطلقاً، ومن آلات البناء عیناً لا قیمة، وإرثها من الشجر کغیره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أجود، بل النصوص الصحیحة وغیرها </w:t>
      </w:r>
      <w:r>
        <w:rPr>
          <w:rStyle w:val="FootnoteAnchor"/>
          <w:rtl w:val="true"/>
        </w:rPr>
        <w:footnoteReference w:id="942"/>
      </w:r>
      <w:r>
        <w:rPr>
          <w:rFonts w:ascii="IRNazanin" w:hAnsi="IRNazanin" w:eastAsia="IRNazanin"/>
          <w:color w:val="111111"/>
          <w:sz w:val="28"/>
          <w:sz w:val="28"/>
          <w:szCs w:val="28"/>
          <w:rtl w:val="true"/>
          <w:lang w:bidi="fa-IR"/>
        </w:rPr>
        <w:t>دالّة علیه أکثر من دلالتها علی القول المشهور بین المتأخّرین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والظاهر عدم الفرق فی الأبنیة بین ما اتّخذ للسکنی وغیرها من المصالح، کالرحی والحمام ومِعصرة الزیت والسمسم والعنب والاصطبل والمراح، وغیرها؛ لشمول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الأبنیة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لذلک کلّه وإن لم یدخل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الرباع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المعبّر به فی کثیر من الأخبار </w:t>
      </w:r>
      <w:r>
        <w:rPr>
          <w:rStyle w:val="FootnoteAnchor"/>
          <w:rtl w:val="true"/>
        </w:rPr>
        <w:footnoteReference w:id="943"/>
      </w:r>
      <w:r>
        <w:rPr>
          <w:rFonts w:ascii="Amiri" w:hAnsi="Amiri" w:eastAsia="Amiri" w:cs="Amiri"/>
          <w:color w:val="111111"/>
          <w:sz w:val="28"/>
          <w:sz w:val="28"/>
          <w:szCs w:val="28"/>
          <w:rtl w:val="true"/>
          <w:lang w:bidi="ar-SA"/>
        </w:rPr>
        <w:t xml:space="preserve">لأنّه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الدار</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ولو اجتمع ذات الولد والخالیة عنه فالأقوی اختصاص ذات الولد بثُمن الأرض أجمع وثُمن ما حرمت الاُخری من عینه، واختصاصها بدفع القیمة دون سائر الورثة؛ لأنّ سهم الزوجیّة منحصر فیهما فإذا حرمت إحداهما من بعضه اختصّ بالاُخری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دفع القیمة علی وجه القهر لا الاختیار، فهو کالدین لا یفرق فیه بین بذل الوارث العین وعدمه، ولا بین امتناعه من القیمة وعدمه، فیبقی فی ذمّته إلی أن یمکن الحاکم إجباره علی أدائها، أو البیع علیه قهراً کغیره من</w:t>
      </w:r>
    </w:p>
    <w:p>
      <w:pPr>
        <w:pStyle w:val="BookText"/>
        <w:rPr/>
      </w:pPr>
      <w:r>
        <w:rPr>
          <w:rFonts w:ascii="IRNazanin" w:hAnsi="IRNazanin" w:eastAsia="IRNazanin"/>
          <w:color w:val="111111"/>
          <w:sz w:val="28"/>
          <w:sz w:val="28"/>
          <w:szCs w:val="28"/>
          <w:rtl w:val="true"/>
          <w:lang w:bidi="fa-IR"/>
        </w:rPr>
        <w:t>الممتنعین من أداء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تعذّر ذلک کلّه بقی فی ذمّته إلی أن یمکن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للزوجة </w:t>
      </w:r>
      <w:r>
        <w:rPr>
          <w:rFonts w:eastAsia="IRNazanin" w:cs="IRNazanin"/>
          <w:color w:val="111111"/>
          <w:sz w:val="28"/>
          <w:szCs w:val="28"/>
          <w:rtl w:val="true"/>
          <w:lang w:bidi="fa-IR"/>
        </w:rPr>
        <w:t xml:space="preserve">] </w:t>
      </w:r>
      <w:r>
        <w:rPr>
          <w:rStyle w:val="FootnoteAnchor"/>
          <w:rtl w:val="true"/>
        </w:rPr>
        <w:footnoteReference w:id="944"/>
      </w:r>
      <w:r>
        <w:rPr>
          <w:rFonts w:ascii="IRNazanin" w:hAnsi="IRNazanin" w:eastAsia="IRNazanin"/>
          <w:color w:val="111111"/>
          <w:sz w:val="28"/>
          <w:sz w:val="28"/>
          <w:szCs w:val="28"/>
          <w:rtl w:val="true"/>
          <w:lang w:bidi="fa-IR"/>
        </w:rPr>
        <w:t xml:space="preserve">تخلیصه ولو مقاصّةً، سواء فی ذلک الحصّة </w:t>
      </w:r>
      <w:r>
        <w:rPr>
          <w:rStyle w:val="FootnoteAnchor"/>
          <w:rtl w:val="true"/>
        </w:rPr>
        <w:footnoteReference w:id="945"/>
      </w:r>
      <w:r>
        <w:rPr>
          <w:rFonts w:ascii="IRNazanin" w:hAnsi="IRNazanin" w:eastAsia="IRNazanin"/>
          <w:color w:val="111111"/>
          <w:sz w:val="28"/>
          <w:sz w:val="28"/>
          <w:szCs w:val="28"/>
          <w:rtl w:val="true"/>
          <w:lang w:bidi="fa-IR"/>
        </w:rPr>
        <w:t>وغیرها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واعلم أنّ النصوص مع کثرتها فی هذا الباب </w:t>
      </w:r>
      <w:r>
        <w:rPr>
          <w:rStyle w:val="FootnoteAnchor"/>
          <w:rtl w:val="true"/>
        </w:rPr>
        <w:footnoteReference w:id="946"/>
      </w:r>
      <w:r>
        <w:rPr>
          <w:rFonts w:ascii="IRNazanin" w:hAnsi="IRNazanin" w:eastAsia="IRNazanin"/>
          <w:color w:val="111111"/>
          <w:sz w:val="28"/>
          <w:sz w:val="28"/>
          <w:szCs w:val="28"/>
          <w:rtl w:val="true"/>
          <w:lang w:bidi="fa-IR"/>
        </w:rPr>
        <w:t xml:space="preserve">خالیة عن الفرق بین الزوجتین، بل تدلّ علی اشتراکهما فی الحرمان، وعلیه جماعة من الأصحاب </w:t>
      </w:r>
      <w:r>
        <w:rPr>
          <w:rStyle w:val="FootnoteAnchor"/>
          <w:rtl w:val="true"/>
        </w:rPr>
        <w:footnoteReference w:id="9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والتعلیل الوارد فیها له </w:t>
      </w:r>
      <w:r>
        <w:rPr>
          <w:rStyle w:val="FootnoteAnchor"/>
          <w:rtl w:val="true"/>
        </w:rPr>
        <w:footnoteReference w:id="9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الخوف من إدخال المرأة علی الورثة من یکرهون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 لهما أیضاً، وإن کان فی الخالیة من الولد أقوی</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ووجهُ فرقِ المصنّف وغیره بینهما ورودُه فی روایة ابن اُذینة </w:t>
      </w:r>
      <w:r>
        <w:rPr>
          <w:rStyle w:val="FootnoteAnchor"/>
          <w:rtl w:val="true"/>
        </w:rPr>
        <w:footnoteReference w:id="949"/>
      </w:r>
      <w:r>
        <w:rPr>
          <w:rFonts w:ascii="IRNazanin" w:hAnsi="IRNazanin" w:eastAsia="IRNazanin"/>
          <w:color w:val="111111"/>
          <w:sz w:val="28"/>
          <w:sz w:val="28"/>
          <w:szCs w:val="28"/>
          <w:rtl w:val="true"/>
          <w:lang w:bidi="fa-IR"/>
        </w:rPr>
        <w:t xml:space="preserve">وهی مقطوعة تقصر عن تخصیص تلک الأخبار الکثیرة، وفیها الصحیح </w:t>
      </w:r>
      <w:r>
        <w:rPr>
          <w:rStyle w:val="FootnoteAnchor"/>
          <w:rtl w:val="true"/>
        </w:rPr>
        <w:footnoteReference w:id="950"/>
      </w:r>
      <w:r>
        <w:rPr>
          <w:rFonts w:ascii="IRNazanin" w:hAnsi="IRNazanin" w:eastAsia="IRNazanin"/>
          <w:color w:val="111111"/>
          <w:sz w:val="28"/>
          <w:sz w:val="28"/>
          <w:szCs w:val="28"/>
          <w:rtl w:val="true"/>
          <w:lang w:bidi="fa-IR"/>
        </w:rPr>
        <w:t xml:space="preserve">والحسن </w:t>
      </w:r>
      <w:r>
        <w:rPr>
          <w:rStyle w:val="FootnoteAnchor"/>
          <w:rtl w:val="true"/>
        </w:rPr>
        <w:footnoteReference w:id="951"/>
      </w:r>
      <w:r>
        <w:rPr>
          <w:rFonts w:ascii="IRNazanin" w:hAnsi="IRNazanin" w:eastAsia="IRNazanin"/>
          <w:color w:val="111111"/>
          <w:sz w:val="28"/>
          <w:sz w:val="28"/>
          <w:szCs w:val="28"/>
          <w:rtl w:val="true"/>
          <w:lang w:bidi="fa-IR"/>
        </w:rPr>
        <w:t xml:space="preserve">إلّا أنّ فی الفرق تقلیلاً لتخصیص آیة إرث الزوجة </w:t>
      </w:r>
      <w:r>
        <w:rPr>
          <w:rStyle w:val="FootnoteAnchor"/>
          <w:rtl w:val="true"/>
        </w:rPr>
        <w:footnoteReference w:id="952"/>
      </w:r>
      <w:r>
        <w:rPr>
          <w:rFonts w:ascii="IRNazanin" w:hAnsi="IRNazanin" w:eastAsia="IRNazanin"/>
          <w:color w:val="111111"/>
          <w:sz w:val="28"/>
          <w:sz w:val="28"/>
          <w:szCs w:val="28"/>
          <w:rtl w:val="true"/>
          <w:lang w:bidi="fa-IR"/>
        </w:rPr>
        <w:t>مع وقوع الشبهة بما ذکر فی عموم الأخبار، فلعلّه أولی من تقلیل تخصیص الأخبار؛ مضافاً إلی</w:t>
      </w:r>
    </w:p>
    <w:p>
      <w:pPr>
        <w:pStyle w:val="BookText"/>
        <w:rPr/>
      </w:pPr>
      <w:r>
        <w:rPr>
          <w:rFonts w:ascii="IRNazanin" w:hAnsi="IRNazanin" w:eastAsia="IRNazanin"/>
          <w:color w:val="111111"/>
          <w:sz w:val="28"/>
          <w:sz w:val="28"/>
          <w:szCs w:val="28"/>
          <w:rtl w:val="true"/>
          <w:lang w:bidi="fa-IR"/>
        </w:rPr>
        <w:t xml:space="preserve">ذهاب الأکثر إلیه </w:t>
      </w:r>
      <w:r>
        <w:rPr>
          <w:rStyle w:val="FootnoteAnchor"/>
          <w:rtl w:val="true"/>
        </w:rPr>
        <w:footnoteReference w:id="9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المسألة أقوال اُخر ومباحث طویلة حقّقناها فی رسالة مفردة </w:t>
      </w:r>
      <w:r>
        <w:rPr>
          <w:rStyle w:val="FootnoteAnchor"/>
          <w:rtl w:val="true"/>
        </w:rPr>
        <w:footnoteReference w:id="954"/>
      </w:r>
      <w:r>
        <w:rPr>
          <w:rFonts w:ascii="IRNazanin" w:hAnsi="IRNazanin" w:eastAsia="IRNazanin"/>
          <w:color w:val="111111"/>
          <w:sz w:val="28"/>
          <w:sz w:val="28"/>
          <w:szCs w:val="28"/>
          <w:rtl w:val="true"/>
          <w:lang w:bidi="fa-IR"/>
        </w:rPr>
        <w:t>تشتمل علی فوائد مهمّة، فمن أراد تحقیق الحال فلیقف علیها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 الأربع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إحدی الأربع وتزوّج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بخامسة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تعیین المطلَّقة أو بعده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اشتبهت المطلَّقة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الأربع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فللمعلومة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بالزوجیّة وهی التی تزوّج بها أخیراً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ربع النصیب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الثابت للزوجات وهو الربع أو الثمن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وثلاثة أرباعه 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الأربع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الباقیات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اشتبهت المطلّقة فیهنّ بحیث احتمل أن یکون کلّ واحدة هی المطلَّقة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بالسویّة</w:t>
      </w:r>
      <w:r>
        <w:rPr>
          <w:rFonts w:eastAsia="IRNazanin" w:cs="IRNazanin"/>
          <w:color w:val="111111"/>
          <w:sz w:val="28"/>
          <w:szCs w:val="28"/>
          <w:rtl w:val="true"/>
          <w:lang w:bidi="fa-IR"/>
        </w:rPr>
        <w:t>» .</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هو المشهور بین الأصحاب لا نعلم فیه مخالفاً غیر ابن إدریس </w:t>
      </w:r>
      <w:r>
        <w:rPr>
          <w:rStyle w:val="FootnoteAnchor"/>
          <w:rtl w:val="true"/>
        </w:rPr>
        <w:footnoteReference w:id="955"/>
      </w:r>
      <w:r>
        <w:rPr>
          <w:rFonts w:ascii="IRNazanin" w:hAnsi="IRNazanin" w:eastAsia="IRNazanin"/>
          <w:color w:val="111111"/>
          <w:sz w:val="28"/>
          <w:sz w:val="28"/>
          <w:szCs w:val="28"/>
          <w:rtl w:val="true"/>
          <w:lang w:bidi="fa-IR"/>
        </w:rPr>
        <w:t xml:space="preserve">ومستنده </w:t>
      </w:r>
      <w:r>
        <w:rPr>
          <w:rStyle w:val="FootnoteAnchor"/>
          <w:rtl w:val="true"/>
        </w:rPr>
        <w:footnoteReference w:id="956"/>
      </w:r>
      <w:r>
        <w:rPr>
          <w:rFonts w:ascii="IRNazanin" w:hAnsi="IRNazanin" w:eastAsia="IRNazanin"/>
          <w:color w:val="111111"/>
          <w:sz w:val="28"/>
          <w:sz w:val="28"/>
          <w:szCs w:val="28"/>
          <w:rtl w:val="true"/>
          <w:lang w:bidi="fa-IR"/>
        </w:rPr>
        <w:t xml:space="preserve">روایة أبی بصیر عن الباقر علیه السلام </w:t>
      </w:r>
      <w:r>
        <w:rPr>
          <w:rStyle w:val="FootnoteAnchor"/>
          <w:rtl w:val="true"/>
        </w:rPr>
        <w:footnoteReference w:id="957"/>
      </w:r>
      <w:r>
        <w:rPr>
          <w:rFonts w:ascii="IRNazanin" w:hAnsi="IRNazanin" w:eastAsia="IRNazanin"/>
          <w:color w:val="111111"/>
          <w:sz w:val="28"/>
          <w:sz w:val="28"/>
          <w:szCs w:val="28"/>
          <w:rtl w:val="true"/>
          <w:lang w:bidi="fa-IR"/>
        </w:rPr>
        <w:t>ومحصولها ما ذکرناه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طریق الروایة علیّ بن فضّال، وحاله مشهور </w:t>
      </w:r>
      <w:r>
        <w:rPr>
          <w:rStyle w:val="FootnoteAnchor"/>
          <w:rtl w:val="true"/>
        </w:rPr>
        <w:footnoteReference w:id="958"/>
      </w:r>
      <w:r>
        <w:rPr>
          <w:rFonts w:ascii="IRNazanin" w:hAnsi="IRNazanin" w:eastAsia="IRNazanin"/>
          <w:color w:val="111111"/>
          <w:sz w:val="28"/>
          <w:sz w:val="28"/>
          <w:szCs w:val="28"/>
          <w:rtl w:val="true"/>
          <w:lang w:bidi="fa-IR"/>
        </w:rPr>
        <w:t>ومع ذلک فی الحکم مخالفة للأصل من توریث من یُعلَم عدم إرثه؛ للقطع بأنّ إحدی الأربع غیر وارثة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ثَمّ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والقائل ابن إدریس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بالقرعة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لأنّها لکلّ أمر مشتبه أو مشتبه فی الظاهر مع تعیّنه فی نفس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هنا کذلک؛ لأنّ إحدی الأربع فی نفس الأمر لیست وارثة، فمن أخرجتها القرعة بالطلاق مُنعت من الإرث، وحکم بالنصیب للباقیات بالسویّة، وسقط عنها الاعتداد أیضاً؛ لأنّ المفروض انقضاء عدّتها قبل الموت من حیث إنّه قد تزوّج بالخامسة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المشهور هل یتعدّی الحکم إلی غیر المنصوص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لو اشتبهت المطلّقة فی اثنتین، أو ثلاث خاصّة، أو فی جملة الخمس، أو کان للمطلّق دون أربع زوجات فطلّق واحدة وتزوّج باُخری وحصل الاشتباه بواحدة أو بأکثر، أو لم یتزوّج واشتبهت المطلّقة بالباقیات أو ببعضهنّ، أو طلّق أزید من واحدة وتزوّج کذلک حتّی لو طلّق الأربع وتزوّج بأربع واشتبهن، أو فسخ نکاح واحدة لعیب وغیره، أو أزید وتزوّج غیرها أو لم یتزوّج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القرعة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ذهب إلیه ابن إدریس فی المنصوص </w:t>
      </w:r>
      <w:r>
        <w:rPr>
          <w:rStyle w:val="FootnoteAnchor"/>
          <w:rtl w:val="true"/>
        </w:rPr>
        <w:footnoteReference w:id="9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غیر منصوص، مع عموم أ نّها لکلّ أمر مشتبه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وانسحاب الحکم السابق فی جمیع هذه الفروع؛ لمشارکتها للمنصوص فی المقتضی وهو اشتباه المطلّقة بغیرها من الزوجات، وتساوی الکلّ فی الاستحقاق فلا ترجیح؛ ولأ نّه لا خصوصیّة ظاهرة فی قلّة الاشتباه وکثرته، فالنصّ علی عین لا یفید التخصیص بالحکم، بل التنبیه علی مأخذ الحکم وإلحاقه بکلّ ما حصل فیه الاشتباه</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فعلی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استخرجت المطلّقة قُسِّم النصیب بین الأربع أو ما اُلحق</w:t>
      </w:r>
    </w:p>
    <w:p>
      <w:pPr>
        <w:pStyle w:val="BookText"/>
        <w:rPr/>
      </w:pPr>
      <w:r>
        <w:rPr>
          <w:rFonts w:ascii="IRNazanin" w:hAnsi="IRNazanin" w:eastAsia="IRNazanin"/>
          <w:color w:val="111111"/>
          <w:sz w:val="28"/>
          <w:sz w:val="28"/>
          <w:szCs w:val="28"/>
          <w:rtl w:val="true"/>
          <w:lang w:bidi="fa-IR"/>
        </w:rPr>
        <w:t>بها بالسویّة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یُقسَّم نصیب المشتبهة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ربع النصیب إن اشتبهت بواحدة، ونصفه إن اشتبهت باثنتین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الاثنتین أو الثلاث بالسویّة، ویکون للمعیّنتین نصف النصیب، وللثلاث ثلاثة أرباعه، وهکذا</w:t>
      </w:r>
      <w:r>
        <w:rPr>
          <w:rFonts w:eastAsia="IRNazanin" w:cs="IRNazanin"/>
          <w:color w:val="111111"/>
          <w:sz w:val="28"/>
          <w:szCs w:val="28"/>
          <w:rtl w:val="true"/>
          <w:lang w:bidi="fa-IR"/>
        </w:rPr>
        <w:t>. . .</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القول بالقرعة فی غیر موضع النصّ هو الأقوی، بل فیه إن لم یحصل الإجماع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والصلح فی الکلّ خیر</w:t>
      </w:r>
      <w:r>
        <w:rPr>
          <w:rFonts w:eastAsia="IRNazanin" w:cs="IRNazanin"/>
          <w:color w:val="111111"/>
          <w:sz w:val="28"/>
          <w:szCs w:val="28"/>
          <w:rtl w:val="true"/>
          <w:lang w:bidi="fa-IR"/>
        </w:rPr>
        <w:t>.</w:t>
      </w:r>
      <w:bookmarkStart w:id="336" w:name="pg19815_253220"/>
    </w:p>
    <w:p>
      <w:pPr>
        <w:pStyle w:val="Heading4"/>
        <w:numPr>
          <w:ilvl w:val="3"/>
          <w:numId w:val="1"/>
        </w:numPr>
        <w:rPr/>
      </w:pPr>
      <w:bookmarkStart w:id="337" w:name="__RefHeading___Toc2227929_2314609296"/>
      <w:bookmarkStart w:id="338" w:name="_Toc127"/>
      <w:bookmarkEnd w:id="336"/>
      <w:bookmarkEnd w:id="337"/>
      <w:r>
        <w:rPr>
          <w:rtl w:val="true"/>
        </w:rPr>
        <w:t>«</w:t>
      </w:r>
      <w:r>
        <w:rPr>
          <w:rtl w:val="true"/>
        </w:rPr>
        <w:t>الفصل الثالث</w:t>
      </w:r>
      <w:r>
        <w:rPr>
          <w:rtl w:val="true"/>
        </w:rPr>
        <w:t>» «</w:t>
      </w:r>
      <w:r>
        <w:rPr>
          <w:rtl w:val="true"/>
        </w:rPr>
        <w:t>فی الوَلاء</w:t>
      </w:r>
      <w:r>
        <w:rPr>
          <w:rtl w:val="true"/>
        </w:rPr>
        <w:t>»</w:t>
      </w:r>
      <w:bookmarkEnd w:id="338"/>
    </w:p>
    <w:p>
      <w:pPr>
        <w:pStyle w:val="Heading5"/>
        <w:numPr>
          <w:ilvl w:val="4"/>
          <w:numId w:val="1"/>
        </w:numPr>
        <w:rPr/>
      </w:pPr>
      <w:bookmarkStart w:id="339" w:name="__RefHeading___Toc2227931_2314609296"/>
      <w:bookmarkStart w:id="340" w:name="_Toc128"/>
      <w:bookmarkEnd w:id="339"/>
      <w:r>
        <w:rPr>
          <w:rtl w:val="true"/>
        </w:rPr>
        <w:t>اشارة</w:t>
      </w:r>
      <w:bookmarkEnd w:id="340"/>
    </w:p>
    <w:p>
      <w:pPr>
        <w:pStyle w:val="BookText"/>
        <w:rPr/>
      </w:pPr>
      <w:r>
        <w:rPr>
          <w:rFonts w:ascii="IRNazanin" w:hAnsi="IRNazanin" w:eastAsia="IRNazanin"/>
          <w:color w:val="111111"/>
          <w:sz w:val="28"/>
          <w:sz w:val="28"/>
          <w:szCs w:val="28"/>
          <w:rtl w:val="true"/>
          <w:lang w:bidi="fa-IR"/>
        </w:rPr>
        <w:t>بفتح الواو، وأصله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القرب والدنوّ، والمراد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أحد شخصین </w:t>
      </w:r>
      <w:r>
        <w:rPr>
          <w:rStyle w:val="FootnoteAnchor"/>
          <w:rtl w:val="true"/>
        </w:rPr>
        <w:footnoteReference w:id="960"/>
      </w:r>
      <w:r>
        <w:rPr>
          <w:rFonts w:ascii="IRNazanin" w:hAnsi="IRNazanin" w:eastAsia="IRNazanin"/>
          <w:color w:val="111111"/>
          <w:sz w:val="28"/>
          <w:sz w:val="28"/>
          <w:szCs w:val="28"/>
          <w:rtl w:val="true"/>
          <w:lang w:bidi="fa-IR"/>
        </w:rPr>
        <w:t>فصاعداً إلی آخَر علی وجهٍ یوجب الإرث بغیر نسب ولا زوجیّة</w:t>
      </w:r>
      <w:r>
        <w:rPr>
          <w:rFonts w:eastAsia="IRNazanin" w:cs="IRNazanin"/>
          <w:color w:val="111111"/>
          <w:sz w:val="28"/>
          <w:szCs w:val="28"/>
          <w:rtl w:val="true"/>
          <w:lang w:bidi="fa-IR"/>
        </w:rPr>
        <w:t>.</w:t>
      </w:r>
    </w:p>
    <w:p>
      <w:pPr>
        <w:pStyle w:val="Heading5"/>
        <w:numPr>
          <w:ilvl w:val="4"/>
          <w:numId w:val="1"/>
        </w:numPr>
        <w:rPr/>
      </w:pPr>
      <w:bookmarkStart w:id="341" w:name="__RefHeading___Toc2227933_2314609296"/>
      <w:bookmarkStart w:id="342" w:name="_Toc129"/>
      <w:bookmarkEnd w:id="341"/>
      <w:r>
        <w:rPr>
          <w:rtl w:val="true"/>
        </w:rPr>
        <w:t>[</w:t>
      </w:r>
      <w:r>
        <w:rPr>
          <w:rtl w:val="true"/>
        </w:rPr>
        <w:t>اقسامه</w:t>
      </w:r>
      <w:r>
        <w:rPr>
          <w:rtl w:val="true"/>
        </w:rPr>
        <w:t>]</w:t>
      </w:r>
      <w:bookmarkEnd w:id="342"/>
    </w:p>
    <w:p>
      <w:pPr>
        <w:pStyle w:val="Heading6"/>
        <w:numPr>
          <w:ilvl w:val="5"/>
          <w:numId w:val="1"/>
        </w:numPr>
        <w:rPr/>
      </w:pPr>
      <w:bookmarkStart w:id="343" w:name="__RefHeading___Toc2227935_2314609296"/>
      <w:bookmarkStart w:id="344" w:name="_Toc130"/>
      <w:bookmarkEnd w:id="343"/>
      <w:r>
        <w:rPr>
          <w:rtl w:val="true"/>
        </w:rPr>
        <w:t>اشارة</w:t>
      </w:r>
      <w:bookmarkEnd w:id="344"/>
    </w:p>
    <w:p>
      <w:pPr>
        <w:pStyle w:val="BookText"/>
        <w:rPr/>
      </w:pPr>
      <w:r>
        <w:rPr>
          <w:rFonts w:ascii="IRNazanin" w:hAnsi="IRNazanin" w:eastAsia="IRNazanin"/>
          <w:color w:val="111111"/>
          <w:sz w:val="28"/>
          <w:sz w:val="28"/>
          <w:szCs w:val="28"/>
          <w:rtl w:val="true"/>
          <w:lang w:bidi="fa-IR"/>
        </w:rPr>
        <w:t xml:space="preserve">وأقسامه ثلاثة کما سبق </w:t>
      </w:r>
      <w:r>
        <w:rPr>
          <w:rStyle w:val="FootnoteAnchor"/>
          <w:rtl w:val="true"/>
        </w:rPr>
        <w:footnoteReference w:id="961"/>
      </w:r>
      <w:r>
        <w:rPr>
          <w:rFonts w:ascii="IRNazanin" w:hAnsi="IRNazanin" w:eastAsia="IRNazanin"/>
          <w:color w:val="111111"/>
          <w:sz w:val="28"/>
          <w:sz w:val="28"/>
          <w:szCs w:val="28"/>
          <w:rtl w:val="true"/>
          <w:lang w:bidi="fa-IR"/>
        </w:rPr>
        <w:t>ولاء العتق، وضَمان الجریرة، والإمامة</w:t>
      </w:r>
      <w:r>
        <w:rPr>
          <w:rFonts w:eastAsia="IRNazanin" w:cs="IRNazanin"/>
          <w:color w:val="111111"/>
          <w:sz w:val="28"/>
          <w:szCs w:val="28"/>
          <w:rtl w:val="true"/>
          <w:lang w:bidi="fa-IR"/>
        </w:rPr>
        <w:t>.</w:t>
      </w:r>
    </w:p>
    <w:p>
      <w:pPr>
        <w:pStyle w:val="Heading6"/>
        <w:numPr>
          <w:ilvl w:val="5"/>
          <w:numId w:val="1"/>
        </w:numPr>
        <w:rPr/>
      </w:pPr>
      <w:bookmarkStart w:id="345" w:name="__RefHeading___Toc2227937_2314609296"/>
      <w:bookmarkStart w:id="346" w:name="_Toc131"/>
      <w:bookmarkEnd w:id="345"/>
      <w:r>
        <w:rPr>
          <w:rtl w:val="true"/>
        </w:rPr>
        <w:t>[</w:t>
      </w:r>
      <w:r>
        <w:rPr/>
        <w:t>1</w:t>
      </w:r>
      <w:r>
        <w:rPr>
          <w:rtl w:val="true"/>
        </w:rPr>
        <w:t>-</w:t>
      </w:r>
      <w:r>
        <w:rPr>
          <w:rtl w:val="true"/>
        </w:rPr>
        <w:t xml:space="preserve">ولاء العتق </w:t>
      </w:r>
      <w:r>
        <w:rPr>
          <w:rtl w:val="true"/>
        </w:rPr>
        <w:t>]</w:t>
      </w:r>
      <w:bookmarkEnd w:id="34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ویرث المعتِقُ عتیقَه إذا تبرّع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بعتقه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یتبرّأ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المعتِق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ضَمان جریرته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العتق مقارناً له، لا بعده علی الأقوی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یُخلِّف العتیقُ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وارثاً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مناسباً</w:t>
      </w:r>
      <w:r>
        <w:rPr>
          <w:rFonts w:eastAsia="Amiri" w:cs="Amiri" w:ascii="Amiri" w:hAnsi="Amiri"/>
          <w:color w:val="111111"/>
          <w:sz w:val="28"/>
          <w:szCs w:val="28"/>
          <w:rtl w:val="true"/>
          <w:lang w:bidi="ar-SA"/>
        </w:rPr>
        <w:t xml:space="preserve">» </w:t>
      </w:r>
      <w:r>
        <w:rPr>
          <w:rStyle w:val="FootnoteAnchor"/>
          <w:rtl w:val="true"/>
        </w:rPr>
        <w:footnoteReference w:id="9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فالمعتَق فی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کالکفّارة والنذر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سائبة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لا عَقْل بینه وبین معتقه ولا میراث</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الأثیر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تکرّر فی الحدیث ذکر السائبة والسوائب، کان الرجل إذا أعتق عبداً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سائبة، فلا عَقْلَ بینهما ولا میراث </w:t>
      </w:r>
      <w:r>
        <w:rPr>
          <w:rStyle w:val="FootnoteAnchor"/>
          <w:rtl w:val="true"/>
        </w:rPr>
        <w:footnoteReference w:id="9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إلحاق انعتاق اُمّ الولد بالاستیلاد وانعتاق القرابة وشراء العبد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أجزناه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بالعتق الواجب أو التبرّع، قولان </w:t>
      </w:r>
      <w:r>
        <w:rPr>
          <w:rStyle w:val="FootnoteAnchor"/>
          <w:rtl w:val="true"/>
        </w:rPr>
        <w:footnoteReference w:id="9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أجودهما الأوّل؛ لعدم تحقّق الإعتاق الذی هو شرط ثبوت الولاء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وکذا لو تبرّأ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المعتِق تبرّعاً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ضمان الجریرة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حالةَ الإعتاق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لم یُشهد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التبرّی شاهدین علی أصحّ القولین </w:t>
      </w:r>
      <w:r>
        <w:rPr>
          <w:rStyle w:val="FootnoteAnchor"/>
          <w:rtl w:val="true"/>
        </w:rPr>
        <w:footnoteReference w:id="965"/>
      </w:r>
      <w:r>
        <w:rPr>
          <w:rFonts w:ascii="IRNazanin" w:hAnsi="IRNazanin" w:eastAsia="IRNazanin"/>
          <w:color w:val="111111"/>
          <w:sz w:val="28"/>
          <w:sz w:val="28"/>
          <w:szCs w:val="28"/>
          <w:rtl w:val="true"/>
          <w:lang w:bidi="fa-IR"/>
        </w:rPr>
        <w:t>للأصل ولأنّ المراد من الإشهاد الإثبات عند الحاکم، لا الثبوت فی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وذهب الشیخ </w:t>
      </w:r>
      <w:r>
        <w:rPr>
          <w:rStyle w:val="FootnoteAnchor"/>
          <w:rtl w:val="true"/>
        </w:rPr>
        <w:footnoteReference w:id="966"/>
      </w:r>
      <w:r>
        <w:rPr>
          <w:rFonts w:ascii="Amiri" w:hAnsi="Amiri" w:eastAsia="Amiri" w:cs="Amiri"/>
          <w:color w:val="111111"/>
          <w:sz w:val="28"/>
          <w:sz w:val="28"/>
          <w:szCs w:val="28"/>
          <w:rtl w:val="true"/>
          <w:lang w:bidi="ar-SA"/>
        </w:rPr>
        <w:t xml:space="preserve">وجماعة </w:t>
      </w:r>
      <w:r>
        <w:rPr>
          <w:rStyle w:val="FootnoteAnchor"/>
          <w:rtl w:val="true"/>
        </w:rPr>
        <w:footnoteReference w:id="967"/>
      </w:r>
      <w:r>
        <w:rPr>
          <w:rFonts w:ascii="IRNazanin" w:hAnsi="IRNazanin" w:eastAsia="IRNazanin"/>
          <w:color w:val="111111"/>
          <w:sz w:val="28"/>
          <w:sz w:val="28"/>
          <w:szCs w:val="28"/>
          <w:rtl w:val="true"/>
          <w:lang w:bidi="fa-IR"/>
        </w:rPr>
        <w:t>إلی اشتراطه؛ لصحیحة ابن سنان عن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أعتق رجلاً سائبة فلیس علیه من جریرته شیء، ولیس له من المیراث شیء، ولیُشهِد علی ذلک</w:t>
      </w:r>
      <w:r>
        <w:rPr>
          <w:rFonts w:eastAsia="IRNazanin" w:cs="IRNazanin"/>
          <w:color w:val="111111"/>
          <w:sz w:val="28"/>
          <w:szCs w:val="28"/>
          <w:rtl w:val="true"/>
          <w:lang w:bidi="fa-IR"/>
        </w:rPr>
        <w:t xml:space="preserve">» </w:t>
      </w:r>
      <w:r>
        <w:rPr>
          <w:rStyle w:val="FootnoteAnchor"/>
          <w:rtl w:val="true"/>
        </w:rPr>
        <w:footnoteReference w:id="968"/>
      </w:r>
      <w:r>
        <w:rPr>
          <w:rFonts w:ascii="IRNazanin" w:hAnsi="IRNazanin" w:eastAsia="IRNazanin"/>
          <w:color w:val="111111"/>
          <w:sz w:val="28"/>
          <w:sz w:val="28"/>
          <w:szCs w:val="28"/>
          <w:rtl w:val="true"/>
          <w:lang w:bidi="fa-IR"/>
        </w:rPr>
        <w:t>ولا دلالة لها علی الاشتراط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روایة أبی الربیع عنه علیه السلام </w:t>
      </w:r>
      <w:r>
        <w:rPr>
          <w:rStyle w:val="FootnoteAnchor"/>
          <w:rtl w:val="true"/>
        </w:rPr>
        <w:footnoteReference w:id="969"/>
      </w:r>
      <w:r>
        <w:rPr>
          <w:rFonts w:ascii="IRNazanin" w:hAnsi="IRNazanin" w:eastAsia="IRNazanin"/>
          <w:color w:val="111111"/>
          <w:sz w:val="28"/>
          <w:sz w:val="28"/>
          <w:szCs w:val="28"/>
          <w:rtl w:val="true"/>
          <w:lang w:bidi="fa-IR"/>
        </w:rPr>
        <w:t>ما یؤذن بالاشتراط وهو قاصر من حیث السند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والمنکَّل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مولاه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 سائبة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ولاء له علیه؛ لأنّه لم یعتقه، وإنّما أعتقه اللّٰه تعالی قهراً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ومثله </w:t>
      </w:r>
      <w:r>
        <w:rPr>
          <w:rStyle w:val="FootnoteAnchor"/>
          <w:rtl w:val="true"/>
        </w:rPr>
        <w:footnoteReference w:id="970"/>
      </w:r>
      <w:r>
        <w:rPr>
          <w:rFonts w:ascii="IRNazanin" w:hAnsi="IRNazanin" w:eastAsia="IRNazanin"/>
          <w:color w:val="111111"/>
          <w:sz w:val="28"/>
          <w:sz w:val="28"/>
          <w:szCs w:val="28"/>
          <w:rtl w:val="true"/>
          <w:lang w:bidi="fa-IR"/>
        </w:rPr>
        <w:t>من انعتق بإقعاد أو عمی أو جذام</w:t>
      </w:r>
    </w:p>
    <w:p>
      <w:pPr>
        <w:pStyle w:val="BookText"/>
        <w:rPr/>
      </w:pPr>
      <w:r>
        <w:rPr>
          <w:rFonts w:ascii="IRNazanin" w:hAnsi="IRNazanin" w:eastAsia="IRNazanin"/>
          <w:color w:val="111111"/>
          <w:sz w:val="28"/>
          <w:sz w:val="28"/>
          <w:szCs w:val="28"/>
          <w:rtl w:val="true"/>
          <w:lang w:bidi="fa-IR"/>
        </w:rPr>
        <w:t xml:space="preserve">أو برص عند القائل به </w:t>
      </w:r>
      <w:r>
        <w:rPr>
          <w:rStyle w:val="FootnoteAnchor"/>
          <w:rtl w:val="true"/>
        </w:rPr>
        <w:footnoteReference w:id="971"/>
      </w:r>
      <w:r>
        <w:rPr>
          <w:rFonts w:ascii="IRNazanin" w:hAnsi="IRNazanin" w:eastAsia="IRNazanin"/>
          <w:color w:val="111111"/>
          <w:sz w:val="28"/>
          <w:sz w:val="28"/>
          <w:szCs w:val="28"/>
          <w:rtl w:val="true"/>
          <w:lang w:bidi="fa-IR"/>
        </w:rPr>
        <w:t>لاشتراک الجمیع فی العلّة، وهی عدم إعتاق المولی وقد قال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الولاء لمن أعتق</w:t>
      </w:r>
      <w:r>
        <w:rPr>
          <w:rFonts w:eastAsia="IRNazanin" w:cs="IRNazanin"/>
          <w:color w:val="111111"/>
          <w:sz w:val="28"/>
          <w:szCs w:val="28"/>
          <w:rtl w:val="true"/>
          <w:lang w:bidi="fa-IR"/>
        </w:rPr>
        <w:t xml:space="preserve">» </w:t>
      </w:r>
      <w:r>
        <w:rPr>
          <w:rStyle w:val="FootnoteAnchor"/>
          <w:rtl w:val="true"/>
        </w:rPr>
        <w:footnoteReference w:id="9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وللزوج والزوجة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المعتِق ومن بحکمه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نصیبُهما الأعلی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النصف، أو الربع والباقی للمنعِم أو من بحکمه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ومع عدم المنعم فالوَلاء للأولاد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أولاد المنعم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الذکور والإناث علی المشهور بین الأصحاب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لقوله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الوَلاء لُحمَة کلحمة النسب</w:t>
      </w:r>
      <w:r>
        <w:rPr>
          <w:rFonts w:eastAsia="IRNazanin" w:cs="IRNazanin"/>
          <w:color w:val="111111"/>
          <w:sz w:val="28"/>
          <w:szCs w:val="28"/>
          <w:rtl w:val="true"/>
          <w:lang w:bidi="fa-IR"/>
        </w:rPr>
        <w:t xml:space="preserve">» </w:t>
      </w:r>
      <w:r>
        <w:rPr>
          <w:rStyle w:val="FootnoteAnchor"/>
          <w:rtl w:val="true"/>
        </w:rPr>
        <w:footnoteReference w:id="973"/>
      </w:r>
      <w:r>
        <w:rPr>
          <w:rFonts w:ascii="IRNazanin" w:hAnsi="IRNazanin" w:eastAsia="IRNazanin"/>
          <w:color w:val="111111"/>
          <w:sz w:val="28"/>
          <w:sz w:val="28"/>
          <w:szCs w:val="28"/>
          <w:rtl w:val="true"/>
          <w:lang w:bidi="fa-IR"/>
        </w:rPr>
        <w:t>والذکور والإناث یشترکون فی إرث النسب، فیکون کذلک فی الوَلاء، سواء کان المعتق رجلاً أم امرأة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جعل المصنّف هذا القول هو المشهور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صرّح به هو فی شرح 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هذا قولُ المفید واستحسنه المحقّقُ وفیهما معاً نظر </w:t>
      </w:r>
      <w:r>
        <w:rPr>
          <w:rStyle w:val="FootnoteAnchor"/>
          <w:rtl w:val="true"/>
        </w:rPr>
        <w:footnoteReference w:id="974"/>
      </w:r>
      <w:r>
        <w:rPr>
          <w:rFonts w:ascii="Amiri" w:hAnsi="Amiri" w:eastAsia="Amiri" w:cs="Amiri"/>
          <w:color w:val="111111"/>
          <w:sz w:val="28"/>
          <w:sz w:val="28"/>
          <w:szCs w:val="28"/>
          <w:rtl w:val="true"/>
          <w:lang w:bidi="ar-SA"/>
        </w:rPr>
        <w:t xml:space="preserve">والحقّ أ نّه قول الصدوق خاصّة </w:t>
      </w:r>
      <w:r>
        <w:rPr>
          <w:rStyle w:val="FootnoteAnchor"/>
          <w:rtl w:val="true"/>
        </w:rPr>
        <w:footnoteReference w:id="975"/>
      </w:r>
      <w:r>
        <w:rPr>
          <w:rFonts w:ascii="IRNazanin" w:hAnsi="IRNazanin" w:eastAsia="IRNazanin"/>
          <w:color w:val="111111"/>
          <w:sz w:val="28"/>
          <w:sz w:val="28"/>
          <w:szCs w:val="28"/>
          <w:rtl w:val="true"/>
          <w:lang w:bidi="fa-IR"/>
        </w:rPr>
        <w:t>وکیف کان فلیس بمشهور</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المسألة أقوال کثیرة أجودها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وهو الذی دلّت علیه الروایات الصحیحة </w:t>
      </w:r>
      <w:r>
        <w:rPr>
          <w:rStyle w:val="FootnoteAnchor"/>
          <w:rtl w:val="true"/>
        </w:rPr>
        <w:footnoteReference w:id="9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اختاره الشیخ فی النهایة </w:t>
      </w:r>
      <w:r>
        <w:rPr>
          <w:rStyle w:val="FootnoteAnchor"/>
          <w:rtl w:val="true"/>
        </w:rPr>
        <w:footnoteReference w:id="977"/>
      </w:r>
      <w:r>
        <w:rPr>
          <w:rFonts w:ascii="Amiri" w:hAnsi="Amiri" w:eastAsia="Amiri" w:cs="Amiri"/>
          <w:color w:val="111111"/>
          <w:sz w:val="28"/>
          <w:sz w:val="28"/>
          <w:szCs w:val="28"/>
          <w:rtl w:val="true"/>
          <w:lang w:bidi="ar-SA"/>
        </w:rPr>
        <w:t xml:space="preserve">وجماعة </w:t>
      </w:r>
      <w:r>
        <w:rPr>
          <w:rStyle w:val="FootnoteAnchor"/>
          <w:rtl w:val="true"/>
        </w:rPr>
        <w:footnoteReference w:id="9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المعتِق إن کان رجلاً</w:t>
      </w:r>
    </w:p>
    <w:p>
      <w:pPr>
        <w:pStyle w:val="BookText"/>
        <w:rPr/>
      </w:pPr>
      <w:r>
        <w:rPr>
          <w:rFonts w:ascii="IRNazanin" w:hAnsi="IRNazanin" w:eastAsia="IRNazanin"/>
          <w:color w:val="111111"/>
          <w:sz w:val="28"/>
          <w:sz w:val="28"/>
          <w:szCs w:val="28"/>
          <w:rtl w:val="true"/>
          <w:lang w:bidi="fa-IR"/>
        </w:rPr>
        <w:t>ورثه أولاده الذکور دون الإناث، فإن لم یکن له ولد ذکور ورثه عَصبَتُه، دون غیرهم، وإن کان امرأة ورثه عَصبَتُها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والمصنّف فی الدروس اختار مذهب الشیخ فی الخلاف </w:t>
      </w:r>
      <w:r>
        <w:rPr>
          <w:rStyle w:val="FootnoteAnchor"/>
          <w:rtl w:val="true"/>
        </w:rPr>
        <w:footnoteReference w:id="979"/>
      </w:r>
      <w:r>
        <w:rPr>
          <w:rFonts w:ascii="IRNazanin" w:hAnsi="IRNazanin" w:eastAsia="IRNazanin"/>
          <w:color w:val="111111"/>
          <w:sz w:val="28"/>
          <w:sz w:val="28"/>
          <w:szCs w:val="28"/>
          <w:rtl w:val="true"/>
          <w:lang w:bidi="fa-IR"/>
        </w:rPr>
        <w:t xml:space="preserve">وهو کقول النهایة إلّاأ نّه جعل الوارثَ للرجل ذکورَ أولاده وإناثهم، استناداً فی إدخال الإناث إلی روایة عبد الرحمن بن الحجّاج عن الصادق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رسول اللّٰه صلی الله علیه و آله دفع میراث مولی حمزة إلی ابنته</w:t>
      </w:r>
      <w:r>
        <w:rPr>
          <w:rFonts w:eastAsia="IRNazanin" w:cs="IRNazanin"/>
          <w:color w:val="111111"/>
          <w:sz w:val="28"/>
          <w:szCs w:val="28"/>
          <w:rtl w:val="true"/>
          <w:lang w:bidi="fa-IR"/>
        </w:rPr>
        <w:t xml:space="preserve">» </w:t>
      </w:r>
      <w:r>
        <w:rPr>
          <w:rStyle w:val="FootnoteAnchor"/>
          <w:rtl w:val="true"/>
        </w:rPr>
        <w:footnoteReference w:id="980"/>
      </w:r>
      <w:r>
        <w:rPr>
          <w:rFonts w:ascii="IRNazanin" w:hAnsi="IRNazanin" w:eastAsia="IRNazanin"/>
          <w:color w:val="111111"/>
          <w:sz w:val="28"/>
          <w:sz w:val="28"/>
          <w:szCs w:val="28"/>
          <w:rtl w:val="true"/>
          <w:lang w:bidi="fa-IR"/>
        </w:rPr>
        <w:t>وإلی قوله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الولاء لُحمة کلُحمة النسب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والروایتان ضعیفتا السند، الاُولی بالحسن بن سماعة، والثانیة بالسکونی، مع أ نّها عمدة القول الذی اختاره هنا وجعله المشهور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والعجب من المصنّف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یجعله هنا مشهوراً وفی الدروس قولَ الصدوق خاصّة، وفی الشرح قولَ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وأعجب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ابن إدریس مع إطراحه خبر الواحد الصحیح تمسّک هنا بخبر السکونی محتجّاً بالإجماع علیه </w:t>
      </w:r>
      <w:r>
        <w:rPr>
          <w:rStyle w:val="FootnoteAnchor"/>
          <w:rtl w:val="true"/>
        </w:rPr>
        <w:footnoteReference w:id="981"/>
      </w:r>
      <w:r>
        <w:rPr>
          <w:rFonts w:ascii="IRNazanin" w:hAnsi="IRNazanin" w:eastAsia="IRNazanin"/>
          <w:color w:val="111111"/>
          <w:sz w:val="28"/>
          <w:sz w:val="28"/>
          <w:szCs w:val="28"/>
          <w:rtl w:val="true"/>
          <w:lang w:bidi="fa-IR"/>
        </w:rPr>
        <w:t>مع کثرة الخلاف، وتباین الأقوال والروایات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اجتمع مع الأولاد الوارثین أبٌ شارکهم علی الأقوی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الابن أولی </w:t>
      </w:r>
      <w:r>
        <w:rPr>
          <w:rStyle w:val="FootnoteAnchor"/>
          <w:rtl w:val="true"/>
        </w:rPr>
        <w:footnoteReference w:id="9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وکذا یشترک الجدّ للأب والأخُ من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الاُمّ فیُبنی إرثُها علی ما سلف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والأقوی أ نّها تشارکهم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عدم الأولادُ اختصّ الإرث بالأب</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عدمهم أجمع یرثه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الإخوة والأخوات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قِبَل الأب</w:t>
      </w:r>
      <w:bookmarkStart w:id="347" w:name="pg19815_253224"/>
    </w:p>
    <w:p>
      <w:pPr>
        <w:pStyle w:val="BookText"/>
        <w:rPr/>
      </w:pPr>
      <w:bookmarkEnd w:id="347"/>
      <w:r>
        <w:rPr>
          <w:rFonts w:ascii="IRNazanin" w:hAnsi="IRNazanin" w:eastAsia="IRNazanin"/>
          <w:color w:val="111111"/>
          <w:sz w:val="28"/>
          <w:sz w:val="28"/>
          <w:szCs w:val="28"/>
          <w:rtl w:val="true"/>
          <w:lang w:bidi="fa-IR"/>
        </w:rPr>
        <w:t xml:space="preserve">والاُمّ، أو الأب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یرثه المتقرّب بالاُمّ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الإخوة وغیرهم کالأجداد والجدّات والأعمام والعمّات والأخوال والخالات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ومستند ذلک کلّه روایة السکونی فی اللُحمة خصّ بما ذکرناه؛ للأخبار الصحیحة </w:t>
      </w:r>
      <w:r>
        <w:rPr>
          <w:rStyle w:val="FootnoteAnchor"/>
          <w:rtl w:val="true"/>
        </w:rPr>
        <w:footnoteReference w:id="983"/>
      </w:r>
      <w:r>
        <w:rPr>
          <w:rFonts w:ascii="IRNazanin" w:hAnsi="IRNazanin" w:eastAsia="IRNazanin"/>
          <w:color w:val="111111"/>
          <w:sz w:val="28"/>
          <w:sz w:val="28"/>
          <w:szCs w:val="28"/>
          <w:rtl w:val="true"/>
          <w:lang w:bidi="fa-IR"/>
        </w:rPr>
        <w:t>فیبقی الباقی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والأقوی أنّ الإناث منهم فی جمیع ما ذکر لا یرثن؛ لخبر العَصبَة </w:t>
      </w:r>
      <w:r>
        <w:rPr>
          <w:rStyle w:val="FootnoteAnchor"/>
          <w:rtl w:val="true"/>
        </w:rPr>
        <w:footnoteReference w:id="984"/>
      </w:r>
      <w:r>
        <w:rPr>
          <w:rFonts w:ascii="IRNazanin" w:hAnsi="IRNazanin" w:eastAsia="IRNazanin"/>
          <w:color w:val="111111"/>
          <w:sz w:val="28"/>
          <w:sz w:val="28"/>
          <w:szCs w:val="28"/>
          <w:rtl w:val="true"/>
          <w:lang w:bidi="fa-IR"/>
        </w:rPr>
        <w:t>وعلی هذا فیستوی إخوة الأب وإخوة الأبوین؛ لسقوط نسبة الاُمّ، إذ لا یرث من یتقرّب بها، وإنّما المقتضی التقرّب بالأب وهو مشترک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عُدم قرابة المولی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فمولی المولی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الوارث إن اتّفق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عدمه فالوارثُ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قرابةُ مولی المولی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عُدم فمولی مولی المولی، ثمّ قرابته</w:t>
      </w:r>
      <w:r>
        <w:rPr>
          <w:rFonts w:eastAsia="IRNazanin" w:cs="IRNazanin"/>
          <w:color w:val="111111"/>
          <w:sz w:val="28"/>
          <w:szCs w:val="28"/>
          <w:rtl w:val="true"/>
          <w:lang w:bidi="fa-IR"/>
        </w:rPr>
        <w:t>.</w:t>
      </w:r>
    </w:p>
    <w:p>
      <w:pPr>
        <w:pStyle w:val="Heading6"/>
        <w:numPr>
          <w:ilvl w:val="5"/>
          <w:numId w:val="1"/>
        </w:numPr>
        <w:rPr/>
      </w:pPr>
      <w:bookmarkStart w:id="348" w:name="__RefHeading___Toc2227939_2314609296"/>
      <w:bookmarkStart w:id="349" w:name="_Toc132"/>
      <w:bookmarkEnd w:id="348"/>
      <w:r>
        <w:rPr>
          <w:rtl w:val="true"/>
        </w:rPr>
        <w:t>[</w:t>
      </w:r>
      <w:r>
        <w:rPr/>
        <w:t>2</w:t>
      </w:r>
      <w:r>
        <w:rPr>
          <w:rtl w:val="true"/>
        </w:rPr>
        <w:t xml:space="preserve">- </w:t>
      </w:r>
      <w:r>
        <w:rPr>
          <w:rtl w:val="true"/>
        </w:rPr>
        <w:t>ولاء ضمان الجریرة</w:t>
      </w:r>
      <w:r>
        <w:rPr>
          <w:rtl w:val="true"/>
        </w:rPr>
        <w:t>]</w:t>
      </w:r>
      <w:bookmarkEnd w:id="34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وعلی هذا فإن عُدموا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فضامن الجریرة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الجنایة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وإنّما یضمن سائبة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کالمعتَق فی واجب، وحرّ الأصل حیث لا یُعلم له قریب، فلو علم له قریبٌ وارثٌ أو کان له معتِق أو وارثُ معتِقٍ کما فُصّل لم یصحّ ضمانه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یرث المضمونُ الضامنَ إلّاأن یشترک الضمان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یشترط فی الضامن عدم الوارث، بل فی المضمون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 للمضمون زوج أو زوجة فله نصیبه الأعلی والباقی للضامن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وصورة عقد ضمان الجریرة أن یقول المضمون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عاقدتک علی أن تنصرنی وتدفع عنّی وتعقل عنّی، وترثنی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قبلت</w:t>
      </w:r>
      <w:r>
        <w:rPr>
          <w:rFonts w:eastAsia="IRNazanin" w:cs="IRNazanin"/>
          <w:color w:val="111111"/>
          <w:sz w:val="28"/>
          <w:szCs w:val="28"/>
          <w:rtl w:val="true"/>
          <w:lang w:bidi="fa-IR"/>
        </w:rPr>
        <w:t>» .</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ولو اشترک العقد بینهما قال أحدهما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أن تنصرنی وأنصرک، وتعقل عنّی وأعقل عنک، وترثنی وأرثک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ما أدّی هذا المعنی فیقبل الآخر</w:t>
      </w:r>
      <w:r>
        <w:rPr>
          <w:rFonts w:eastAsia="IRNazanin" w:cs="IRNazanin"/>
          <w:color w:val="111111"/>
          <w:sz w:val="28"/>
          <w:szCs w:val="28"/>
          <w:rtl w:val="true"/>
          <w:lang w:bidi="fa-IR"/>
        </w:rPr>
        <w:t>.</w:t>
      </w:r>
      <w:bookmarkStart w:id="350" w:name="pg19815_253225"/>
    </w:p>
    <w:p>
      <w:pPr>
        <w:pStyle w:val="BookText"/>
        <w:rPr/>
      </w:pPr>
      <w:bookmarkEnd w:id="350"/>
      <w:r>
        <w:rPr>
          <w:rFonts w:ascii="IRNazanin" w:hAnsi="IRNazanin" w:eastAsia="IRNazanin"/>
          <w:color w:val="111111"/>
          <w:sz w:val="28"/>
          <w:sz w:val="28"/>
          <w:szCs w:val="28"/>
          <w:rtl w:val="true"/>
          <w:lang w:bidi="fa-IR"/>
        </w:rPr>
        <w:t>وهو من العقود اللازمة، فیعتبر فیه ما یعتبر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یتعدّی الحکمُ الضامنَ وإن کان له وارث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تجدّد للمضمون وارث بعد العقد ففی بطلانه أو مراعاته بموت المضمون کذلک وجهان أجودهما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لفقد شرط الصحّة فیقدح طارئاً کما یقدح ابتداءً</w:t>
      </w:r>
      <w:r>
        <w:rPr>
          <w:rFonts w:eastAsia="IRNazanin" w:cs="IRNazanin"/>
          <w:color w:val="111111"/>
          <w:sz w:val="28"/>
          <w:szCs w:val="28"/>
          <w:rtl w:val="true"/>
          <w:lang w:bidi="fa-IR"/>
        </w:rPr>
        <w:t>.</w:t>
      </w:r>
    </w:p>
    <w:p>
      <w:pPr>
        <w:pStyle w:val="Heading6"/>
        <w:numPr>
          <w:ilvl w:val="5"/>
          <w:numId w:val="1"/>
        </w:numPr>
        <w:rPr/>
      </w:pPr>
      <w:bookmarkStart w:id="351" w:name="__RefHeading___Toc2227941_2314609296"/>
      <w:bookmarkStart w:id="352" w:name="_Toc133"/>
      <w:bookmarkEnd w:id="351"/>
      <w:r>
        <w:rPr>
          <w:rtl w:val="true"/>
        </w:rPr>
        <w:t>[</w:t>
      </w:r>
      <w:r>
        <w:rPr>
          <w:rtl w:val="true"/>
        </w:rPr>
        <w:t>ولاء الامامة</w:t>
      </w:r>
      <w:r>
        <w:rPr>
          <w:rtl w:val="true"/>
        </w:rPr>
        <w:t>]</w:t>
      </w:r>
      <w:bookmarkEnd w:id="35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فقد الضامن فالوارث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حضوره، لا بیتُ المال علی الأصحّ، فیُدفَع إلیه یصنع به ما شاء، ولو اجتمع معه أحد الزوجین فله نصیبه الأعلی کما سلف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کان یفعله أمیر المؤمنین علیه السلام من قسمته فی فقراء بلد المیّت وضعفاء جیرانه </w:t>
      </w:r>
      <w:r>
        <w:rPr>
          <w:rStyle w:val="FootnoteAnchor"/>
          <w:rtl w:val="true"/>
        </w:rPr>
        <w:footnoteReference w:id="985"/>
      </w:r>
      <w:r>
        <w:rPr>
          <w:rFonts w:ascii="IRNazanin" w:hAnsi="IRNazanin" w:eastAsia="IRNazanin"/>
          <w:color w:val="111111"/>
          <w:sz w:val="28"/>
          <w:sz w:val="28"/>
          <w:szCs w:val="28"/>
          <w:rtl w:val="true"/>
          <w:lang w:bidi="fa-IR"/>
        </w:rPr>
        <w:t>فهو تبرّع منه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ومع غیبته علیه السلام یصرف فی الفقراء والمساکین من بلد المیّت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شاهد لهذا التخصیص إلّاما رُوی من فعل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مع ضعف سنده لا یدلّ علی ثبوته فی غیبته</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والمرویّ صحیحاً عن الباقر والصادق 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مال من لا وارث له من الأنفال</w:t>
      </w:r>
      <w:r>
        <w:rPr>
          <w:rFonts w:eastAsia="IRNazanin" w:cs="IRNazanin"/>
          <w:color w:val="111111"/>
          <w:sz w:val="28"/>
          <w:szCs w:val="28"/>
          <w:rtl w:val="true"/>
          <w:lang w:bidi="fa-IR"/>
        </w:rPr>
        <w:t xml:space="preserve">» </w:t>
      </w:r>
      <w:r>
        <w:rPr>
          <w:rStyle w:val="FootnoteAnchor"/>
          <w:rtl w:val="true"/>
        </w:rPr>
        <w:footnoteReference w:id="986"/>
      </w:r>
      <w:r>
        <w:rPr>
          <w:rFonts w:ascii="IRNazanin" w:hAnsi="IRNazanin" w:eastAsia="IRNazanin"/>
          <w:color w:val="111111"/>
          <w:sz w:val="28"/>
          <w:sz w:val="28"/>
          <w:szCs w:val="28"/>
          <w:rtl w:val="true"/>
          <w:lang w:bidi="fa-IR"/>
        </w:rPr>
        <w:t>وهی لا تختصّ ببلد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فالقولُ بجواز صرفها إلی الفقراء والمساکین من المؤمنین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اختاره جماعة </w:t>
      </w:r>
      <w:r>
        <w:rPr>
          <w:rStyle w:val="FootnoteAnchor"/>
          <w:rtl w:val="true"/>
        </w:rPr>
        <w:footnoteReference w:id="987"/>
      </w:r>
      <w:r>
        <w:rPr>
          <w:rFonts w:ascii="IRNazanin" w:hAnsi="IRNazanin" w:eastAsia="IRNazanin"/>
          <w:color w:val="111111"/>
          <w:sz w:val="28"/>
          <w:sz w:val="28"/>
          <w:szCs w:val="28"/>
          <w:rtl w:val="true"/>
          <w:lang w:bidi="fa-IR"/>
        </w:rPr>
        <w:t>منهم المصنّف فی</w:t>
      </w:r>
    </w:p>
    <w:p>
      <w:pPr>
        <w:pStyle w:val="BookText"/>
        <w:rPr/>
      </w:pPr>
      <w:r>
        <w:rPr>
          <w:rFonts w:ascii="IRNazanin" w:hAnsi="IRNazanin" w:eastAsia="IRNazanin"/>
          <w:color w:val="111111"/>
          <w:sz w:val="28"/>
          <w:sz w:val="28"/>
          <w:szCs w:val="28"/>
          <w:rtl w:val="true"/>
          <w:lang w:bidi="fa-IR"/>
        </w:rPr>
        <w:t xml:space="preserve">الدروس </w:t>
      </w:r>
      <w:r>
        <w:rPr>
          <w:rStyle w:val="FootnoteAnchor"/>
          <w:rtl w:val="true"/>
        </w:rPr>
        <w:footnoteReference w:id="9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أقوی إن لم نُجِز </w:t>
      </w:r>
      <w:r>
        <w:rPr>
          <w:rStyle w:val="FootnoteAnchor"/>
          <w:rtl w:val="true"/>
        </w:rPr>
        <w:footnoteReference w:id="989"/>
      </w:r>
      <w:r>
        <w:rPr>
          <w:rFonts w:ascii="IRNazanin" w:hAnsi="IRNazanin" w:eastAsia="IRNazanin"/>
          <w:color w:val="111111"/>
          <w:sz w:val="28"/>
          <w:sz w:val="28"/>
          <w:szCs w:val="28"/>
          <w:rtl w:val="true"/>
          <w:lang w:bidi="fa-IR"/>
        </w:rPr>
        <w:t>صرفَه فی غیرهم من مصرف الأنفال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یجب حفظه له کمستحقّه فی الخمس </w:t>
      </w:r>
      <w:r>
        <w:rPr>
          <w:rStyle w:val="FootnoteAnchor"/>
          <w:rtl w:val="true"/>
        </w:rPr>
        <w:footnoteReference w:id="990"/>
      </w:r>
      <w:r>
        <w:rPr>
          <w:rFonts w:ascii="IRNazanin" w:hAnsi="IRNazanin" w:eastAsia="IRNazanin"/>
          <w:color w:val="111111"/>
          <w:sz w:val="28"/>
          <w:sz w:val="28"/>
          <w:szCs w:val="28"/>
          <w:rtl w:val="true"/>
          <w:lang w:bidi="fa-IR"/>
        </w:rPr>
        <w:t>وهو أحوط</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یجوز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یُدفع إلی سلطان الجور مع القدرة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منعه منه؛ لأ نّه غیر مستحِقّ له عندنا، فلو دفعه إلیه دافعٌ اختیاراً کان ضامناً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أمکنه دفعُه عنه ببعضه وجب، فإن لم یفعل ضمن ما کان یمکنه منعه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أخذه الظالم قهراً فلا ضمان علی من کان بیده</w:t>
      </w:r>
      <w:r>
        <w:rPr>
          <w:rFonts w:eastAsia="IRNazanin" w:cs="IRNazanin"/>
          <w:color w:val="111111"/>
          <w:sz w:val="28"/>
          <w:szCs w:val="28"/>
          <w:rtl w:val="true"/>
          <w:lang w:bidi="fa-IR"/>
        </w:rPr>
        <w:t>.</w:t>
      </w:r>
      <w:bookmarkStart w:id="353" w:name="pg19815_253228"/>
    </w:p>
    <w:p>
      <w:pPr>
        <w:pStyle w:val="Heading4"/>
        <w:numPr>
          <w:ilvl w:val="3"/>
          <w:numId w:val="1"/>
        </w:numPr>
        <w:rPr/>
      </w:pPr>
      <w:bookmarkStart w:id="354" w:name="__RefHeading___Toc2227943_2314609296"/>
      <w:bookmarkStart w:id="355" w:name="_Toc134"/>
      <w:bookmarkEnd w:id="353"/>
      <w:bookmarkEnd w:id="354"/>
      <w:r>
        <w:rPr>
          <w:rtl w:val="true"/>
        </w:rPr>
        <w:t>«</w:t>
      </w:r>
      <w:r>
        <w:rPr>
          <w:rtl w:val="true"/>
        </w:rPr>
        <w:t xml:space="preserve">الفصل الرابع </w:t>
      </w:r>
      <w:r>
        <w:rPr>
          <w:rtl w:val="true"/>
        </w:rPr>
        <w:t>» «</w:t>
      </w:r>
      <w:r>
        <w:rPr>
          <w:rtl w:val="true"/>
        </w:rPr>
        <w:t>فی التوابع</w:t>
      </w:r>
      <w:r>
        <w:rPr>
          <w:rtl w:val="true"/>
        </w:rPr>
        <w:t>»</w:t>
      </w:r>
      <w:bookmarkEnd w:id="355"/>
    </w:p>
    <w:p>
      <w:pPr>
        <w:pStyle w:val="Heading5"/>
        <w:numPr>
          <w:ilvl w:val="4"/>
          <w:numId w:val="1"/>
        </w:numPr>
        <w:rPr/>
      </w:pPr>
      <w:bookmarkStart w:id="356" w:name="__RefHeading___Toc2227945_2314609296"/>
      <w:bookmarkStart w:id="357" w:name="_Toc135"/>
      <w:bookmarkEnd w:id="356"/>
      <w:r>
        <w:rPr>
          <w:rtl w:val="true"/>
        </w:rPr>
        <w:t>اشارة</w:t>
      </w:r>
      <w:bookmarkEnd w:id="35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الفصل الرابع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التوابع</w:t>
      </w:r>
      <w:r>
        <w:rPr>
          <w:rFonts w:eastAsia="IRNazanin" w:cs="IRNazanin"/>
          <w:color w:val="111111"/>
          <w:sz w:val="28"/>
          <w:szCs w:val="28"/>
          <w:rtl w:val="true"/>
          <w:lang w:bidi="fa-IR"/>
        </w:rPr>
        <w:t xml:space="preserve">» </w:t>
      </w:r>
      <w:r>
        <w:rPr>
          <w:rStyle w:val="FootnoteAnchor"/>
          <w:rtl w:val="true"/>
        </w:rPr>
        <w:footnoteReference w:id="991"/>
      </w:r>
    </w:p>
    <w:p>
      <w:pPr>
        <w:pStyle w:val="Heading5"/>
        <w:numPr>
          <w:ilvl w:val="4"/>
          <w:numId w:val="1"/>
        </w:numPr>
        <w:rPr/>
      </w:pPr>
      <w:bookmarkStart w:id="358" w:name="__RefHeading___Toc2227947_2314609296"/>
      <w:bookmarkStart w:id="359" w:name="_Toc136"/>
      <w:bookmarkEnd w:id="358"/>
      <w:r>
        <w:rPr>
          <w:rtl w:val="true"/>
        </w:rPr>
        <w:t>[«</w:t>
      </w:r>
      <w:r>
        <w:rPr>
          <w:rtl w:val="true"/>
        </w:rPr>
        <w:t>وفیه مسائل</w:t>
      </w:r>
      <w:r>
        <w:rPr>
          <w:rtl w:val="true"/>
        </w:rPr>
        <w:t>»]</w:t>
      </w:r>
      <w:bookmarkEnd w:id="359"/>
    </w:p>
    <w:p>
      <w:pPr>
        <w:pStyle w:val="Heading6"/>
        <w:numPr>
          <w:ilvl w:val="5"/>
          <w:numId w:val="1"/>
        </w:numPr>
        <w:rPr/>
      </w:pPr>
      <w:bookmarkStart w:id="360" w:name="__RefHeading___Toc2227949_2314609296"/>
      <w:bookmarkStart w:id="361" w:name="_Toc137"/>
      <w:bookmarkEnd w:id="360"/>
      <w:r>
        <w:rPr>
          <w:rtl w:val="true"/>
        </w:rPr>
        <w:t>«</w:t>
      </w:r>
      <w:r>
        <w:rPr>
          <w:rtl w:val="true"/>
        </w:rPr>
        <w:t>الاُولی</w:t>
      </w:r>
      <w:r>
        <w:rPr>
          <w:rtl w:val="true"/>
        </w:rPr>
        <w:t xml:space="preserve">» : </w:t>
      </w:r>
      <w:r>
        <w:rPr>
          <w:rtl w:val="true"/>
        </w:rPr>
        <w:t>فی میراث الخنثی</w:t>
      </w:r>
      <w:bookmarkEnd w:id="361"/>
    </w:p>
    <w:p>
      <w:pPr>
        <w:pStyle w:val="BookText"/>
        <w:rPr/>
      </w:pPr>
      <w:r>
        <w:rPr>
          <w:rFonts w:ascii="IRNazanin" w:hAnsi="IRNazanin" w:eastAsia="IRNazanin"/>
          <w:color w:val="111111"/>
          <w:sz w:val="28"/>
          <w:sz w:val="28"/>
          <w:szCs w:val="28"/>
          <w:rtl w:val="true"/>
          <w:lang w:bidi="fa-IR"/>
        </w:rPr>
        <w:t xml:space="preserve">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له فرج الرجال والنساء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وحکمه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یورث علی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للفرج الذی یبول منه، فإن بال منهما فعلی الذی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سبق منه البول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إلحاقه بلازمه من ذکوریّة واُنوثیّة، سواء تقارنا فی الانقطاع أم اختلفا، وسواء کان الخارج من السابق أکثر من الخارج من المتأخّر أم أقلّ علی الأشهر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یحکم للأکثر </w:t>
      </w:r>
      <w:r>
        <w:rPr>
          <w:rStyle w:val="FootnoteAnchor"/>
          <w:rtl w:val="true"/>
        </w:rPr>
        <w:footnoteReference w:id="992"/>
      </w: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الخروج منهما دفعة یورث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ینقطع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أخیراً علی الأشهر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أوّلاً </w:t>
      </w:r>
      <w:r>
        <w:rPr>
          <w:rStyle w:val="FootnoteAnchor"/>
          <w:rtl w:val="true"/>
        </w:rPr>
        <w:footnoteReference w:id="9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ومع وجود أحد </w:t>
      </w:r>
      <w:r>
        <w:rPr>
          <w:rStyle w:val="FootnoteAnchor"/>
          <w:rtl w:val="true"/>
        </w:rPr>
        <w:footnoteReference w:id="994"/>
      </w:r>
      <w:r>
        <w:rPr>
          <w:rFonts w:ascii="IRNazanin" w:hAnsi="IRNazanin" w:eastAsia="IRNazanin"/>
          <w:color w:val="111111"/>
          <w:sz w:val="28"/>
          <w:sz w:val="28"/>
          <w:szCs w:val="28"/>
          <w:rtl w:val="true"/>
          <w:lang w:bidi="fa-IR"/>
        </w:rPr>
        <w:t>هذه الأوصاف یلحقه جمیعُ أحکام من لحق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ویسمّی واضحاً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التساوی فی البول أخذاً وانقطاعاً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یصیر مشکلاً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اختلف الأصحاب فی حکمه حینئذٍ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 أضلاعه، فإن کانت ثمانی عشرة فهو اُنثی، وإن کانت سبع عشرة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الجانب الأیمن تسع ومن الأیسر 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فهو ذکر، وکذا لو تساویا وکان فی الأیسر ضلع صغیر ناقص </w:t>
      </w:r>
      <w:r>
        <w:rPr>
          <w:rStyle w:val="FootnoteAnchor"/>
          <w:rtl w:val="true"/>
        </w:rPr>
        <w:footnoteReference w:id="9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ومستند هذا القول ما رُوی من قضاء علیّ علیه السلام به معلّلاً بأنّ حوّاء خُلقت من ضلع آدم علیه السلام </w:t>
      </w:r>
      <w:r>
        <w:rPr>
          <w:rStyle w:val="FootnoteAnchor"/>
          <w:rtl w:val="true"/>
        </w:rPr>
        <w:footnoteReference w:id="996"/>
      </w:r>
      <w:r>
        <w:rPr>
          <w:rFonts w:ascii="IRNazanin" w:hAnsi="IRNazanin" w:eastAsia="IRNazanin"/>
          <w:color w:val="111111"/>
          <w:sz w:val="28"/>
          <w:sz w:val="28"/>
          <w:szCs w:val="28"/>
          <w:rtl w:val="true"/>
          <w:lang w:bidi="fa-IR"/>
        </w:rPr>
        <w:t xml:space="preserve">وإن خالفت </w:t>
      </w:r>
      <w:r>
        <w:rPr>
          <w:rStyle w:val="FootnoteAnchor"/>
          <w:rtl w:val="true"/>
        </w:rPr>
        <w:footnoteReference w:id="997"/>
      </w:r>
      <w:r>
        <w:rPr>
          <w:rFonts w:ascii="Amiri" w:hAnsi="Amiri" w:eastAsia="Amiri" w:cs="Amiri"/>
          <w:color w:val="111111"/>
          <w:sz w:val="28"/>
          <w:sz w:val="28"/>
          <w:szCs w:val="28"/>
          <w:rtl w:val="true"/>
          <w:lang w:bidi="ar-SA"/>
        </w:rPr>
        <w:t>فی عدد الأضلاع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وانحصار أمره بالذکورة والاُنوثة، بمعنی أ نّه لیس بطبیعة ثالثة؛ لمفهوم الحصر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یَهَبُ لِمَنْ یَشٰاءُ إِنٰاثاً وَ یَهَبُ لِمَنْ یَشٰاءُ اَلذُّکُورَ</w:t>
      </w:r>
      <w:r>
        <w:rPr>
          <w:rFonts w:eastAsia="Amiri" w:cs="Amiri" w:ascii="Amiri" w:hAnsi="Amiri"/>
          <w:color w:val="111111"/>
          <w:sz w:val="28"/>
          <w:szCs w:val="28"/>
          <w:rtl w:val="true"/>
          <w:lang w:bidi="ar-SA"/>
        </w:rPr>
        <w:t xml:space="preserve">) </w:t>
      </w:r>
      <w:r>
        <w:rPr>
          <w:rStyle w:val="FootnoteAnchor"/>
          <w:rtl w:val="true"/>
        </w:rPr>
        <w:footnoteReference w:id="9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الروایة ضعف </w:t>
      </w:r>
      <w:r>
        <w:rPr>
          <w:rStyle w:val="FootnoteAnchor"/>
          <w:rtl w:val="true"/>
        </w:rPr>
        <w:footnoteReference w:id="999"/>
      </w:r>
      <w:r>
        <w:rPr>
          <w:rFonts w:ascii="IRNazanin" w:hAnsi="IRNazanin" w:eastAsia="IRNazanin"/>
          <w:color w:val="111111"/>
          <w:sz w:val="28"/>
          <w:sz w:val="28"/>
          <w:szCs w:val="28"/>
          <w:rtl w:val="true"/>
          <w:lang w:bidi="fa-IR"/>
        </w:rPr>
        <w:t>وفی الحصر منع، وجاز خروجه مخرج الأغلب</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یورث بالقرعة </w:t>
      </w:r>
      <w:r>
        <w:rPr>
          <w:rStyle w:val="FootnoteAnchor"/>
          <w:rtl w:val="true"/>
        </w:rPr>
        <w:footnoteReference w:id="1000"/>
      </w:r>
      <w:r>
        <w:rPr>
          <w:rFonts w:ascii="Amiri" w:hAnsi="Amiri" w:eastAsia="Amiri" w:cs="Amiri"/>
          <w:color w:val="111111"/>
          <w:sz w:val="28"/>
          <w:sz w:val="28"/>
          <w:szCs w:val="28"/>
          <w:rtl w:val="true"/>
          <w:lang w:bidi="ar-SA"/>
        </w:rPr>
        <w:t xml:space="preserve">لأنّها لکلّ أمر مشتبه </w:t>
      </w:r>
      <w:r>
        <w:rPr>
          <w:rStyle w:val="FootnoteAnchor"/>
          <w:rtl w:val="true"/>
        </w:rPr>
        <w:footnoteReference w:id="100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الأصحاب أ نّه حینئذٍ یورث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نصف النصیبین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نصیب الذکر ونصیب الاُنثی؛ لموثّقة هشام بن سالم عن الصادق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قضی علیّ علیه السلام فی الخنثی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ما للرجال، وله ما للنساء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یورث من حیث یبول، فإن خرج منهما جمیعاً فمن حیث سبق، فإن خرج سواء فمن حیث ینبعث، فإن کانا سواء ورث میراث الرجال والنساء</w:t>
      </w:r>
      <w:r>
        <w:rPr>
          <w:rFonts w:eastAsia="IRNazanin" w:cs="IRNazanin"/>
          <w:color w:val="111111"/>
          <w:sz w:val="28"/>
          <w:szCs w:val="28"/>
          <w:rtl w:val="true"/>
          <w:lang w:bidi="fa-IR"/>
        </w:rPr>
        <w:t xml:space="preserve">» </w:t>
      </w:r>
      <w:r>
        <w:rPr>
          <w:rStyle w:val="FootnoteAnchor"/>
          <w:rtl w:val="true"/>
        </w:rPr>
        <w:footnoteReference w:id="1002"/>
      </w:r>
      <w:r>
        <w:rPr>
          <w:rFonts w:ascii="IRNazanin" w:hAnsi="IRNazanin" w:eastAsia="IRNazanin"/>
          <w:color w:val="111111"/>
          <w:sz w:val="28"/>
          <w:sz w:val="28"/>
          <w:szCs w:val="28"/>
          <w:rtl w:val="true"/>
          <w:lang w:bidi="fa-IR"/>
        </w:rPr>
        <w:t xml:space="preserve">ولیس المراد الجمع بین الفریضتین إجماعاً، فهو نصفهما، ولأنّ المعهود فی الشرع قسمة ما یقع فیه التنازع بین الخصمین مع تساویهما وهو هنا کذلک، ولاستحالة الترجیح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غیر مرجّح</w:t>
      </w:r>
      <w:r>
        <w:rPr>
          <w:rFonts w:eastAsia="IRNazanin" w:cs="IRNazanin"/>
          <w:color w:val="111111"/>
          <w:sz w:val="28"/>
          <w:szCs w:val="28"/>
          <w:rtl w:val="true"/>
          <w:lang w:bidi="fa-IR"/>
        </w:rPr>
        <w:t xml:space="preserve">] </w:t>
      </w:r>
      <w:r>
        <w:rPr>
          <w:rStyle w:val="FootnoteAnchor"/>
          <w:rtl w:val="true"/>
        </w:rPr>
        <w:footnoteReference w:id="100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فله مع الذکر خمسة من اثنی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الفریضة علی تقدیر ذکوریّته من اثنین وعلی تقدیر الاُنوثیّة من ثلاثة وهما متباینان، فیضرب إحداهما فی الاُخری، ثمّ یضرب المرتفع فی اثنین، وهو قاعدة مطّردة فی مسألة الخناثی؛ للافتقار إلی تنصیف کلّ نصیب وذلک اثنا عشر، له منها علی تقدیر الذکوریّة ستّة، وعلی تقدیر الاُنوثیّة أربعة فله نصفهما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خمسة، والباقی للذکر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ومع الاُنثی سبعة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بتقریب ما سبق، إلّاأنّ له علی تقدیر الذکوریّة ثمانیة وعلی تقدیر الاُنوثیّة ستّة، ونصفهما سبعة</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ومعهما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ثلاثة عشر من أربعین سهماً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الفریضة علی تقدیر الاُنوثیّة من أربعة، وعلی تقدیر الذکوریّة من خمسة، ومضروب إحداهما فی الاُخری عشرون، ومضروب المرتفع فی اثنین أربعون، فله علی تقدیر فرضه ذکراً ستّة عشر، وعلی تقدیره اُنثی، عشرة، ونصفهما ثلاثة عشر، والباقی بین‌الذکر والاُنثی أثلاثاً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والضابط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مسألة الخنثی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نّک تعمل المسألة تارة اُنوثیّة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تفرضه اُنثی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وتارة ذکوریّة وتُعطی کلَّ وارث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 وممّن اجتمع 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نصف ما اجتمع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المسألتین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ضرب المرتفع فی اثنین کما قرّرناه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هذا لو کان مع الخنثی أحد الأبوین، فالفریضة علی تقدیر الذکوریّة ستّة، وعلی تقدیر الاُنوثیّة أربعة، وهما متوافقتان بالنصف، فتضرب ثلاثة فی أربعة ثمّ المجتمع فی اثنین یبلغ أربعة وعشرین، فلأحَدِ الأبوین خمسة، وللخنثی تسعة عشر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اجتمع معه الأبوان ففریضة الذکوریّة ستّة، وفریضة الاُنوثیّة خمسة، وهما متباینان فتضرب إحداهما فی الاُخری ثمّ المرتفع فی اثنین تبلغ ستّین، فللأبوین اثنان وعشرون، وللخنثی ثمانیة وثلاثون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اجتمع مع خنثی واُنثی أحدُ الأبوین ضربتَ خمسة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مسألة الاُنوثیّة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ثمانیة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مسألة الذکوریّة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لتباینهما، تبلغ تسعین ثمّ تضربها فی الاثنین، تبلغ مئة وثمانین، لأحد الأبوین ثلاثة وثلاثون؛ لأنّ له ستّة وثلاثین تارةً وثلاثین اُخری فله نصفهما، وللاُنثی أحد وستّون، وللخنثی ستّة وثمانون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سقط من سهام أحد الأبوین نصف الردّ؛ لأنّ المردود علی تقدیر اُنوثیّتها ستّة وهی فاضلة علی تقدیر الذکوریّة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اجتمع معه فی أحد الفروض أحدُ الزوجین ضربتَ مخرج نصیبه فی الفریضة ثمّ أخذتَ منها نصیبَه، وقسّمت الباقی کما سلف، إلّاأ نّک هنا تقسّمه علی ثلاثة</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استحقّ بدون أحد الزوجین من الفریضة شیئاً أخذ قَدْرَه ثلاث مرّات إن کان زوجاً، وسبع مرّات إن کان زوجة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هذا قس ما یرد علیک من الفروض</w:t>
      </w:r>
      <w:r>
        <w:rPr>
          <w:rFonts w:eastAsia="IRNazanin" w:cs="IRNazanin"/>
          <w:color w:val="111111"/>
          <w:sz w:val="28"/>
          <w:szCs w:val="28"/>
          <w:rtl w:val="true"/>
          <w:lang w:bidi="fa-IR"/>
        </w:rPr>
        <w:t>.</w:t>
      </w:r>
      <w:bookmarkStart w:id="362" w:name="pg19815_253232"/>
    </w:p>
    <w:p>
      <w:pPr>
        <w:pStyle w:val="Heading6"/>
        <w:numPr>
          <w:ilvl w:val="5"/>
          <w:numId w:val="1"/>
        </w:numPr>
        <w:rPr/>
      </w:pPr>
      <w:bookmarkStart w:id="363" w:name="__RefHeading___Toc2227951_2314609296"/>
      <w:bookmarkStart w:id="364" w:name="_Toc138"/>
      <w:bookmarkEnd w:id="362"/>
      <w:bookmarkEnd w:id="363"/>
      <w:r>
        <w:rPr>
          <w:rtl w:val="true"/>
        </w:rPr>
        <w:t>«</w:t>
      </w:r>
      <w:r>
        <w:rPr>
          <w:rtl w:val="true"/>
        </w:rPr>
        <w:t xml:space="preserve">الثانیة </w:t>
      </w:r>
      <w:r>
        <w:rPr>
          <w:rtl w:val="true"/>
        </w:rPr>
        <w:t>[</w:t>
      </w:r>
      <w:r>
        <w:rPr>
          <w:rtl w:val="true"/>
        </w:rPr>
        <w:t>من لیس له فرج یورث بالقرعه</w:t>
      </w:r>
      <w:r>
        <w:rPr>
          <w:rtl w:val="true"/>
        </w:rPr>
        <w:t>] »</w:t>
      </w:r>
      <w:bookmarkEnd w:id="36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لیس له 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الذکر ولا الاُنثی إمّا بأن تخرج الفَضلة من دُبره، أو یفقد الدبر ویکون له ثقبة بین المخرجین یخرج منه الفَضلتان، أو البول مع وجود الدبر، أو بأن یتقیّأ ما یأکله، أو بأن یکون له لَحمة رابیة </w:t>
      </w:r>
      <w:r>
        <w:rPr>
          <w:rStyle w:val="FootnoteAnchor"/>
          <w:rtl w:val="true"/>
        </w:rPr>
        <w:footnoteReference w:id="1004"/>
      </w:r>
      <w:r>
        <w:rPr>
          <w:rFonts w:ascii="IRNazanin" w:hAnsi="IRNazanin" w:eastAsia="IRNazanin"/>
          <w:color w:val="111111"/>
          <w:sz w:val="28"/>
          <w:sz w:val="28"/>
          <w:szCs w:val="28"/>
          <w:rtl w:val="true"/>
          <w:lang w:bidi="fa-IR"/>
        </w:rPr>
        <w:t>یخرج منها الفَضلتان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نُقل ذلک کلّه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یُورَث بالقرعة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الأشهر، وعلیه شواهد من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صحیحة الفضیل بن یسار عن الصادق علیه السلام فیُکتب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سهمٍ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سهمٍ، ویُجعل فی سهام مبهمة، ویقول ما رواه الفضیل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أنت اللّٰه لا إله إلّاأنت، عالم الغیب والشهادة، أنت تحکم بین عبادک فیما کانوا فیه یختلفون، فبیِّن لنا أمرَ هذا المولود کیف یورَث ما فرضت له فی کتابک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یجیل السهام ویورث علی ما تخرج </w:t>
      </w:r>
      <w:r>
        <w:rPr>
          <w:rStyle w:val="FootnoteAnchor"/>
          <w:rtl w:val="true"/>
        </w:rPr>
        <w:footnoteReference w:id="10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والظاهر أنّ الدعاء مستحبّ؛ لخلوّ باقی الأخبار منه، وکذا نظائره ممّا فیه القرعة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مرسلة عبد اللّٰه بن بکیر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لم یکن له إلّاثقب یخرج منه البول فنحّی بوله عند خروجه عن مباله فهو ذَکر، وإن کان لا ینحّی بوله بل یبول علی مباله فهو اُنثی</w:t>
      </w:r>
      <w:r>
        <w:rPr>
          <w:rFonts w:eastAsia="IRNazanin" w:cs="IRNazanin"/>
          <w:color w:val="111111"/>
          <w:sz w:val="28"/>
          <w:szCs w:val="28"/>
          <w:rtl w:val="true"/>
          <w:lang w:bidi="fa-IR"/>
        </w:rPr>
        <w:t xml:space="preserve">» </w:t>
      </w:r>
      <w:r>
        <w:rPr>
          <w:rStyle w:val="FootnoteAnchor"/>
          <w:rtl w:val="true"/>
        </w:rPr>
        <w:footnoteReference w:id="1006"/>
      </w:r>
      <w:r>
        <w:rPr>
          <w:rFonts w:ascii="IRNazanin" w:hAnsi="IRNazanin" w:eastAsia="IRNazanin"/>
          <w:color w:val="111111"/>
          <w:sz w:val="28"/>
          <w:sz w:val="28"/>
          <w:szCs w:val="28"/>
          <w:rtl w:val="true"/>
          <w:lang w:bidi="fa-IR"/>
        </w:rPr>
        <w:t xml:space="preserve">وعمل بها ابن الجنید </w:t>
      </w:r>
      <w:r>
        <w:rPr>
          <w:rStyle w:val="FootnoteAnchor"/>
          <w:rtl w:val="true"/>
        </w:rPr>
        <w:footnoteReference w:id="1007"/>
      </w:r>
      <w:r>
        <w:rPr>
          <w:rFonts w:ascii="Amiri" w:hAnsi="Amiri" w:eastAsia="Amiri" w:cs="Amiri"/>
          <w:color w:val="111111"/>
          <w:sz w:val="28"/>
          <w:sz w:val="28"/>
          <w:szCs w:val="28"/>
          <w:rtl w:val="true"/>
          <w:lang w:bidi="ar-SA"/>
        </w:rPr>
        <w:t>والأوّل مع شهرته أصحّ سنداً وأوضحه</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له رأسان وبدنان علی حَقوٍ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بفتح الحاء فسکون القاف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معقد الإزار عند الخَصر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کان ما تحت الحقو ذکراً أم غیره؛ لأنّ الکلام هنا فی اتّحاد ما فوق الحقو وتعدّده، لیترتّب علیه الإرث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وحکمه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یورث بحسب الانتباه، فإذا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کانا نائمین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نُبّه أحدهما فانتبه الآخر فواحد، وإلّا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ینتبه الآخر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فاثنان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قضی به علیّ علیه الصلاة والسلام </w:t>
      </w:r>
      <w:r>
        <w:rPr>
          <w:rStyle w:val="FootnoteAnchor"/>
          <w:rtl w:val="true"/>
        </w:rPr>
        <w:footnoteReference w:id="1008"/>
      </w:r>
      <w:r>
        <w:rPr>
          <w:rFonts w:ascii="IRNazanin" w:hAnsi="IRNazanin" w:eastAsia="IRNazanin"/>
          <w:color w:val="111111"/>
          <w:sz w:val="28"/>
          <w:sz w:val="28"/>
          <w:szCs w:val="28"/>
          <w:rtl w:val="true"/>
          <w:lang w:bidi="fa-IR"/>
        </w:rPr>
        <w:t>وعلی التقدیرین یرثان إرث ذی الفرج الموجود، فیُحکم بکونهما اُنثی واحدة أو اُنثیین، أو ذکراً واحداً أو ذکرین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لم یکن له فرج أو کانا معاً حُکِم لهما بما سبق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من جهة الإرث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ومثله الشهادة والحَجب لو کان أخاً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فی جهة العبادة فاثنان مطلقاً </w:t>
      </w:r>
      <w:r>
        <w:rPr>
          <w:rStyle w:val="FootnoteAnchor"/>
          <w:rtl w:val="true"/>
        </w:rPr>
        <w:footnoteReference w:id="1009"/>
      </w:r>
      <w:r>
        <w:rPr>
          <w:rFonts w:ascii="IRNazanin" w:hAnsi="IRNazanin" w:eastAsia="IRNazanin"/>
          <w:color w:val="111111"/>
          <w:sz w:val="28"/>
          <w:sz w:val="28"/>
          <w:szCs w:val="28"/>
          <w:rtl w:val="true"/>
          <w:lang w:bidi="fa-IR"/>
        </w:rPr>
        <w:t>فیجب علیه غَسل أعضائه کلّها ومسحها، فیغسل کلّ منهما وجهه ویدیه ویمسح رأسه ویمسحان معاً علی الرجلین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لم یتوضّأ أحدهما ففی صحّة صلاة الآخر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الشکّ فی ارتفاع حدثه؛ لاحتمال الوحدة فیستصحب المانع إلی أن یتطهّر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أمکن الآخر إجبار الممتنع أو تولّی طهارته ففی الإجزاء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الشکّ المذکور المقتضی لعدم الإجزاء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القول لو امتنع من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والأقوی أنّ لکلّ واحد حکم نفسه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القول فی الغُسل والتیمّم والصوم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فی النکاح فهما واحد من حیث الذکورة والاُنوثة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من جهة العقد ففی توقّف صحّته علی رضاهما معاً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ویقوی توقّفه، فلو لم یرضیا معاً لم یقع النکاح، ولو اکتفینا برضا الواحد ففی صحّة نکاح الآخر لو کان اُنثی 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یقع الإشکال فی الطلاق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العقود کالبیع فهما اثنان، مع احتمال الاتّحاد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ولو جنی أحدهما لم یقتصّ منه وإن کان عمداً؛ لما یتضمّن من إیلام</w:t>
      </w:r>
      <w:bookmarkStart w:id="365" w:name="pg19815_253234"/>
    </w:p>
    <w:p>
      <w:pPr>
        <w:pStyle w:val="BookText"/>
        <w:rPr/>
      </w:pPr>
      <w:bookmarkEnd w:id="365"/>
      <w:r>
        <w:rPr>
          <w:rFonts w:ascii="IRNazanin" w:hAnsi="IRNazanin" w:eastAsia="IRNazanin"/>
          <w:color w:val="111111"/>
          <w:sz w:val="28"/>
          <w:sz w:val="28"/>
          <w:szCs w:val="28"/>
          <w:rtl w:val="true"/>
          <w:lang w:bidi="fa-IR"/>
        </w:rPr>
        <w:t>الآخر أو إتلافه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اشترکا فی الجنایة اقتصّ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یحتسبان بواحد أو باثنین؟ 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وتظهر الفائدة فی توقّف قتلهما علی ردّ ما فضل عن دیة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ارتدّ أحدهما لم یُقتل ولم یُحبَس ولم یُضرب؛ لأدائه إلی ضرر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یُحکم بنجاسة العضو المختصّ بالمرتدّ، دون المختصّ بغیره، وفی المشترک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وتبین الزوجة بارتداده مطلقاً </w:t>
      </w:r>
      <w:r>
        <w:rPr>
          <w:rStyle w:val="FootnoteAnchor"/>
          <w:rtl w:val="true"/>
        </w:rPr>
        <w:footnoteReference w:id="1010"/>
      </w:r>
      <w:r>
        <w:rPr>
          <w:rFonts w:ascii="IRNazanin" w:hAnsi="IRNazanin" w:eastAsia="IRNazanin"/>
          <w:color w:val="111111"/>
          <w:sz w:val="28"/>
          <w:sz w:val="28"/>
          <w:szCs w:val="28"/>
          <w:rtl w:val="true"/>
          <w:lang w:bidi="fa-IR"/>
        </w:rPr>
        <w:t>ولو ارتدّا معاً لزمهما حکمه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الفروض لیس فیها شیء محرّر، وللتوقّف فیها مجال وإن کان الفرض نادراً</w:t>
      </w:r>
      <w:r>
        <w:rPr>
          <w:rFonts w:eastAsia="IRNazanin" w:cs="IRNazanin"/>
          <w:color w:val="111111"/>
          <w:sz w:val="28"/>
          <w:szCs w:val="28"/>
          <w:rtl w:val="true"/>
          <w:lang w:bidi="fa-IR"/>
        </w:rPr>
        <w:t>.</w:t>
      </w:r>
    </w:p>
    <w:p>
      <w:pPr>
        <w:pStyle w:val="Heading6"/>
        <w:numPr>
          <w:ilvl w:val="5"/>
          <w:numId w:val="1"/>
        </w:numPr>
        <w:rPr/>
      </w:pPr>
      <w:bookmarkStart w:id="366" w:name="__RefHeading___Toc2227953_2314609296"/>
      <w:bookmarkStart w:id="367" w:name="_Toc139"/>
      <w:bookmarkEnd w:id="366"/>
      <w:r>
        <w:rPr>
          <w:rtl w:val="true"/>
        </w:rPr>
        <w:t>«</w:t>
      </w:r>
      <w:r>
        <w:rPr>
          <w:rtl w:val="true"/>
        </w:rPr>
        <w:t xml:space="preserve">الثالثة </w:t>
      </w:r>
      <w:r>
        <w:rPr>
          <w:rtl w:val="true"/>
        </w:rPr>
        <w:t>[</w:t>
      </w:r>
      <w:r>
        <w:rPr>
          <w:rtl w:val="true"/>
        </w:rPr>
        <w:t>الحمل یورث اذا انفصل حیا او تحرک بعد خروجه ثم مات</w:t>
      </w:r>
      <w:r>
        <w:rPr>
          <w:rtl w:val="true"/>
        </w:rPr>
        <w:t>] » :</w:t>
      </w:r>
      <w:bookmarkEnd w:id="36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الحمل یورث إذا انفصل حیّاً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مستقرّ الحیاة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تحرّک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خروجه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حرکة الأحیاء ثمّ 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اعتبار بالتقلّص الطبیعی، وکذا لو خرج بعضه میّتاً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یشترط الاستهلال؛ لأنّه قد یکون أخرس، بل تکفی الحرکة الدالّة علی الحیاة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رُوی من اشتراط سماع صوته </w:t>
      </w:r>
      <w:r>
        <w:rPr>
          <w:rStyle w:val="FootnoteAnchor"/>
          <w:rtl w:val="true"/>
        </w:rPr>
        <w:footnoteReference w:id="1011"/>
      </w:r>
      <w:r>
        <w:rPr>
          <w:rFonts w:ascii="Amiri" w:hAnsi="Amiri" w:eastAsia="Amiri" w:cs="Amiri"/>
          <w:color w:val="111111"/>
          <w:sz w:val="28"/>
          <w:sz w:val="28"/>
          <w:szCs w:val="28"/>
          <w:rtl w:val="true"/>
          <w:lang w:bidi="ar-SA"/>
        </w:rPr>
        <w:t>حُمِل علی التقیّة</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واعلم أنّ الاحتمالات الممکنة عادةً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 یُفرض ما لا یزید عن اثنین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عشرة </w:t>
      </w:r>
      <w:r>
        <w:rPr>
          <w:rStyle w:val="FootnoteAnchor"/>
          <w:rtl w:val="true"/>
        </w:rPr>
        <w:footnoteReference w:id="1012"/>
      </w:r>
      <w:r>
        <w:rPr>
          <w:rFonts w:ascii="IRNazanin" w:hAnsi="IRNazanin" w:eastAsia="IRNazanin"/>
          <w:color w:val="111111"/>
          <w:sz w:val="28"/>
          <w:sz w:val="28"/>
          <w:szCs w:val="28"/>
          <w:rtl w:val="true"/>
          <w:lang w:bidi="fa-IR"/>
        </w:rPr>
        <w:t>أکثرها نصیباً فرضُه ذکرین، فإذا طلب الولد الوارث نصیبه من الترکة اُعطِی منها علی ذلک التقدیر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تقدّم الکلام فی باقی أحکامه </w:t>
      </w:r>
      <w:r>
        <w:rPr>
          <w:rStyle w:val="FootnoteAnchor"/>
          <w:rtl w:val="true"/>
        </w:rPr>
        <w:footnoteReference w:id="1013"/>
      </w:r>
      <w:r>
        <w:rPr>
          <w:rFonts w:eastAsia="Times New Roman" w:cs="Times New Roman" w:ascii="Times New Roman" w:hAnsi="Times New Roman"/>
          <w:color w:val="111111"/>
          <w:sz w:val="28"/>
          <w:szCs w:val="28"/>
          <w:rtl w:val="true"/>
          <w:lang w:val="en-US" w:bidi="en-US"/>
        </w:rPr>
        <w:t>.</w:t>
      </w:r>
      <w:bookmarkStart w:id="368" w:name="pg19815_253235"/>
    </w:p>
    <w:p>
      <w:pPr>
        <w:pStyle w:val="Heading6"/>
        <w:numPr>
          <w:ilvl w:val="5"/>
          <w:numId w:val="1"/>
        </w:numPr>
        <w:rPr/>
      </w:pPr>
      <w:bookmarkStart w:id="369" w:name="__RefHeading___Toc2227955_2314609296"/>
      <w:bookmarkStart w:id="370" w:name="_Toc140"/>
      <w:bookmarkEnd w:id="368"/>
      <w:bookmarkEnd w:id="369"/>
      <w:r>
        <w:rPr>
          <w:rtl w:val="true"/>
        </w:rPr>
        <w:t>«</w:t>
      </w:r>
      <w:r>
        <w:rPr>
          <w:rtl w:val="true"/>
        </w:rPr>
        <w:t xml:space="preserve">الرابعة </w:t>
      </w:r>
      <w:r>
        <w:rPr>
          <w:rtl w:val="true"/>
        </w:rPr>
        <w:t>[</w:t>
      </w:r>
      <w:r>
        <w:rPr>
          <w:rtl w:val="true"/>
        </w:rPr>
        <w:t>دیة الجنین یرثها ابواه</w:t>
      </w:r>
      <w:r>
        <w:rPr>
          <w:rtl w:val="true"/>
        </w:rPr>
        <w:t>] » :</w:t>
      </w:r>
      <w:bookmarkEnd w:id="37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دیة الجنین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الولد ما دام فی البطن، فإذا جنی علیه جانٍ فأسقطه، فدیته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یرثها أبواه ومن یتقرّب بهما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عدمهما، کما لو ماتا معه أو مات أبوه قبله واُمّه 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یتقرّب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بالأب بالنسب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کالإخوة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کمعتِق الأب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ویُفهم من تخصیص الإرث بالمتقرّب بالأب عدم إرث المتقرّب بالاُمّ مطلقاً </w:t>
      </w:r>
      <w:r>
        <w:rPr>
          <w:rStyle w:val="FootnoteAnchor"/>
          <w:rtl w:val="true"/>
        </w:rPr>
        <w:footnoteReference w:id="1014"/>
      </w:r>
      <w:r>
        <w:rPr>
          <w:rFonts w:ascii="IRNazanin" w:hAnsi="IRNazanin" w:eastAsia="IRNazanin"/>
          <w:color w:val="111111"/>
          <w:sz w:val="28"/>
          <w:sz w:val="28"/>
          <w:szCs w:val="28"/>
          <w:rtl w:val="true"/>
          <w:lang w:bidi="fa-IR"/>
        </w:rPr>
        <w:t xml:space="preserve">وقد تقدّم الخلاف فیه </w:t>
      </w:r>
      <w:r>
        <w:rPr>
          <w:rStyle w:val="FootnoteAnchor"/>
          <w:rtl w:val="true"/>
        </w:rPr>
        <w:footnoteReference w:id="1015"/>
      </w:r>
      <w:r>
        <w:rPr>
          <w:rFonts w:ascii="Amiri" w:hAnsi="Amiri" w:eastAsia="Amiri" w:cs="Amiri"/>
          <w:color w:val="111111"/>
          <w:sz w:val="28"/>
          <w:sz w:val="28"/>
          <w:szCs w:val="28"/>
          <w:rtl w:val="true"/>
          <w:lang w:bidi="ar-SA"/>
        </w:rPr>
        <w:t>وتوقّف المصنّف فی الحکم</w:t>
      </w:r>
      <w:r>
        <w:rPr>
          <w:rFonts w:eastAsia="Amiri" w:cs="Amiri" w:ascii="Amiri" w:hAnsi="Amiri"/>
          <w:color w:val="111111"/>
          <w:sz w:val="28"/>
          <w:szCs w:val="28"/>
          <w:rtl w:val="true"/>
          <w:lang w:bidi="ar-SA"/>
        </w:rPr>
        <w:t>.</w:t>
      </w:r>
    </w:p>
    <w:p>
      <w:pPr>
        <w:pStyle w:val="Heading6"/>
        <w:numPr>
          <w:ilvl w:val="5"/>
          <w:numId w:val="1"/>
        </w:numPr>
        <w:rPr/>
      </w:pPr>
      <w:bookmarkStart w:id="371" w:name="__RefHeading___Toc2227957_2314609296"/>
      <w:bookmarkStart w:id="372" w:name="_Toc141"/>
      <w:bookmarkEnd w:id="371"/>
      <w:r>
        <w:rPr>
          <w:rtl w:val="true"/>
        </w:rPr>
        <w:t>«</w:t>
      </w:r>
      <w:r>
        <w:rPr>
          <w:rtl w:val="true"/>
        </w:rPr>
        <w:t xml:space="preserve">الخامسة </w:t>
      </w:r>
      <w:r>
        <w:rPr>
          <w:rtl w:val="true"/>
        </w:rPr>
        <w:t>[</w:t>
      </w:r>
      <w:r>
        <w:rPr>
          <w:rtl w:val="true"/>
        </w:rPr>
        <w:t>ولد الملاعنة ترثه امه</w:t>
      </w:r>
      <w:r>
        <w:rPr>
          <w:rtl w:val="true"/>
        </w:rPr>
        <w:t>] » :</w:t>
      </w:r>
      <w:bookmarkEnd w:id="37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 الملاعنة ترثه 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 أبیه؛ لانتفائه عنه باللعان حیث کان اللعان لنفیه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یرثه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ولده وزوجته علی ما سلف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موانع الإرث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الأب لا یرثه </w:t>
      </w:r>
      <w:r>
        <w:rPr>
          <w:rStyle w:val="FootnoteAnchor"/>
          <w:rtl w:val="true"/>
        </w:rPr>
        <w:footnoteReference w:id="1016"/>
      </w:r>
      <w:r>
        <w:rPr>
          <w:rFonts w:ascii="IRNazanin" w:hAnsi="IRNazanin" w:eastAsia="IRNazanin"/>
          <w:color w:val="111111"/>
          <w:sz w:val="28"/>
          <w:sz w:val="28"/>
          <w:szCs w:val="28"/>
          <w:rtl w:val="true"/>
          <w:lang w:bidi="fa-IR"/>
        </w:rPr>
        <w:t>أو فی باب اللعان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انتفائه عنه باللعان، وعدم إرثه الولد وبالعکس، إلّاأن یکذّب الأبُ نفسَه </w:t>
      </w:r>
      <w:r>
        <w:rPr>
          <w:rStyle w:val="FootnoteAnchor"/>
          <w:rtl w:val="true"/>
        </w:rPr>
        <w:footnoteReference w:id="1017"/>
      </w: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حکم إرث اُمّه وزوجته وولده فلم یتقدّم التصریح به، ویمکن أن یکون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ما سلف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إلی کیفیّة إرث المذکورین، بمعنی أنّ میراث اُمّه وولده وزوجته یکون علی حدّ ما فصّل فی میراث أمثالهم من</w:t>
      </w:r>
      <w:bookmarkStart w:id="373" w:name="pg19815_253236"/>
    </w:p>
    <w:p>
      <w:pPr>
        <w:pStyle w:val="BookText"/>
        <w:rPr/>
      </w:pPr>
      <w:bookmarkEnd w:id="373"/>
      <w:r>
        <w:rPr>
          <w:rFonts w:ascii="IRNazanin" w:hAnsi="IRNazanin" w:eastAsia="IRNazanin"/>
          <w:color w:val="111111"/>
          <w:sz w:val="28"/>
          <w:sz w:val="28"/>
          <w:szCs w:val="28"/>
          <w:rtl w:val="true"/>
          <w:lang w:bidi="fa-IR"/>
        </w:rPr>
        <w:t>الاُمّهات، والأولاد والزوجات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ومع عدمهم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عدم الاُمّ والولد والزوجة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فلقرابة 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الذکر والاُنثی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بالسویّة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إرث غیرهم من المتقرّب بها کالخؤولة وأولادهم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ویترتّبون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الإرث علی حسب قربهم إلی المورِث فیرثه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إلیه منهم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فالأقرب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کغیرهم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 قرابة 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 فی مرتبة الوارث دون قرابة أبیه، إلّاأن یکذّبوا الأبَ فی لعانه علی قولٍ </w:t>
      </w:r>
      <w:r>
        <w:rPr>
          <w:rStyle w:val="FootnoteAnchor"/>
          <w:rtl w:val="true"/>
        </w:rPr>
        <w:footnoteReference w:id="101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74" w:name="__RefHeading___Toc2227959_2314609296"/>
      <w:bookmarkStart w:id="375" w:name="_Toc142"/>
      <w:bookmarkEnd w:id="374"/>
      <w:r>
        <w:rPr>
          <w:rtl w:val="true"/>
        </w:rPr>
        <w:t>«</w:t>
      </w:r>
      <w:r>
        <w:rPr>
          <w:rtl w:val="true"/>
        </w:rPr>
        <w:t xml:space="preserve">السادسة </w:t>
      </w:r>
      <w:r>
        <w:rPr>
          <w:rtl w:val="true"/>
        </w:rPr>
        <w:t>[</w:t>
      </w:r>
      <w:r>
        <w:rPr>
          <w:rtl w:val="true"/>
        </w:rPr>
        <w:t>ولد الزنا من الطرفین یرثه ولده بزوجته</w:t>
      </w:r>
      <w:r>
        <w:rPr>
          <w:rtl w:val="true"/>
        </w:rPr>
        <w:t>] » :</w:t>
      </w:r>
      <w:bookmarkEnd w:id="37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 الزنا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الطرفین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یرثه ولده وزوجته، لا أبواه، ولا من یتقرّب بهما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لانتفائه عنهما شرعاً فلا یرثانِه ولا یرثهما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اختصّ الزنا بأحد الطرفین انتفی عنه خاصّة وورثه الآخر ومن یتقرّب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ومع العدم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عدم الوارث له من الولد والزوجة ومن بحکمهما علی ما ذکرناه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فالضامن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لجریرته ومع عدمه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فالإمام</w:t>
      </w:r>
      <w:r>
        <w:rPr>
          <w:rFonts w:eastAsia="IRNazanin" w:cs="IRNazanin"/>
          <w:color w:val="111111"/>
          <w:sz w:val="28"/>
          <w:szCs w:val="28"/>
          <w:rtl w:val="true"/>
          <w:lang w:bidi="fa-IR"/>
        </w:rPr>
        <w:t>» .</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وما روی خلاف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ولد الزنا ترثه اُمّه وإخوته منها أو عَصَبتها </w:t>
      </w:r>
      <w:r>
        <w:rPr>
          <w:rStyle w:val="FootnoteAnchor"/>
          <w:rtl w:val="true"/>
        </w:rPr>
        <w:footnoteReference w:id="1019"/>
      </w:r>
      <w:r>
        <w:rPr>
          <w:rFonts w:ascii="IRNazanin" w:hAnsi="IRNazanin" w:eastAsia="IRNazanin"/>
          <w:color w:val="111111"/>
          <w:sz w:val="28"/>
          <w:sz w:val="28"/>
          <w:szCs w:val="28"/>
          <w:rtl w:val="true"/>
          <w:lang w:bidi="fa-IR"/>
        </w:rPr>
        <w:t xml:space="preserve">وذهب إلیه جماعة کالصدوق </w:t>
      </w:r>
      <w:r>
        <w:rPr>
          <w:rStyle w:val="FootnoteAnchor"/>
          <w:rtl w:val="true"/>
        </w:rPr>
        <w:footnoteReference w:id="1020"/>
      </w:r>
      <w:r>
        <w:rPr>
          <w:rFonts w:ascii="Amiri" w:hAnsi="Amiri" w:eastAsia="Amiri" w:cs="Amiri"/>
          <w:color w:val="111111"/>
          <w:sz w:val="28"/>
          <w:sz w:val="28"/>
          <w:szCs w:val="28"/>
          <w:rtl w:val="true"/>
          <w:lang w:bidi="ar-SA"/>
        </w:rPr>
        <w:t xml:space="preserve">والتقیّ </w:t>
      </w:r>
      <w:r>
        <w:rPr>
          <w:rStyle w:val="FootnoteAnchor"/>
          <w:rtl w:val="true"/>
        </w:rPr>
        <w:footnoteReference w:id="1021"/>
      </w:r>
      <w:r>
        <w:rPr>
          <w:rFonts w:ascii="IRNazanin" w:hAnsi="IRNazanin" w:eastAsia="IRNazanin"/>
          <w:color w:val="111111"/>
          <w:sz w:val="28"/>
          <w:sz w:val="28"/>
          <w:szCs w:val="28"/>
          <w:rtl w:val="true"/>
          <w:lang w:bidi="fa-IR"/>
        </w:rPr>
        <w:t xml:space="preserve">وابن الجنید </w:t>
      </w:r>
      <w:r>
        <w:rPr>
          <w:rStyle w:val="FootnoteAnchor"/>
          <w:rtl w:val="true"/>
        </w:rPr>
        <w:footnoteReference w:id="1022"/>
      </w:r>
      <w:r>
        <w:rPr>
          <w:rFonts w:ascii="IRNazanin" w:hAnsi="IRNazanin" w:eastAsia="IRNazanin"/>
          <w:color w:val="111111"/>
          <w:sz w:val="28"/>
          <w:sz w:val="28"/>
          <w:szCs w:val="28"/>
          <w:rtl w:val="true"/>
          <w:lang w:bidi="fa-IR"/>
        </w:rPr>
        <w:t>فشاذّ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ونسب الشیخ الراوی إلی الوهم بأ نّه کولد الملاعنة </w:t>
      </w:r>
      <w:r>
        <w:rPr>
          <w:rStyle w:val="FootnoteAnchor"/>
          <w:rtl w:val="true"/>
        </w:rPr>
        <w:footnoteReference w:id="1023"/>
      </w:r>
      <w:r>
        <w:rPr>
          <w:rFonts w:eastAsia="Times New Roman" w:cs="Times New Roman" w:ascii="Times New Roman" w:hAnsi="Times New Roman"/>
          <w:color w:val="111111"/>
          <w:sz w:val="28"/>
          <w:szCs w:val="28"/>
          <w:rtl w:val="true"/>
          <w:lang w:val="en-US" w:bidi="en-US"/>
        </w:rPr>
        <w:t>.</w:t>
      </w:r>
      <w:bookmarkStart w:id="376" w:name="pg19815_253237"/>
    </w:p>
    <w:p>
      <w:pPr>
        <w:pStyle w:val="Heading6"/>
        <w:numPr>
          <w:ilvl w:val="5"/>
          <w:numId w:val="1"/>
        </w:numPr>
        <w:rPr/>
      </w:pPr>
      <w:bookmarkStart w:id="377" w:name="__RefHeading___Toc2227961_2314609296"/>
      <w:bookmarkStart w:id="378" w:name="_Toc143"/>
      <w:bookmarkEnd w:id="376"/>
      <w:bookmarkEnd w:id="377"/>
      <w:r>
        <w:rPr>
          <w:rtl w:val="true"/>
        </w:rPr>
        <w:t>«</w:t>
      </w:r>
      <w:r>
        <w:rPr>
          <w:rtl w:val="true"/>
        </w:rPr>
        <w:t xml:space="preserve">السابعة </w:t>
      </w:r>
      <w:r>
        <w:rPr>
          <w:rtl w:val="true"/>
        </w:rPr>
        <w:t>[</w:t>
      </w:r>
      <w:r>
        <w:rPr>
          <w:rtl w:val="true"/>
        </w:rPr>
        <w:t xml:space="preserve">لاعبرة بالتبری من النسب </w:t>
      </w:r>
      <w:r>
        <w:rPr>
          <w:rtl w:val="true"/>
        </w:rPr>
        <w:t>] » :</w:t>
      </w:r>
      <w:bookmarkEnd w:id="37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عبرة بالتبرّی من النسب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السلطان فی المنع من إرث المتبرّی علی الأشهر؛ للأصل، وعموم القرآن </w:t>
      </w:r>
      <w:r>
        <w:rPr>
          <w:rStyle w:val="FootnoteAnchor"/>
          <w:rtl w:val="true"/>
        </w:rPr>
        <w:footnoteReference w:id="1024"/>
      </w:r>
      <w:r>
        <w:rPr>
          <w:rFonts w:ascii="IRNazanin" w:hAnsi="IRNazanin" w:eastAsia="IRNazanin"/>
          <w:color w:val="111111"/>
          <w:sz w:val="28"/>
          <w:sz w:val="28"/>
          <w:szCs w:val="28"/>
          <w:rtl w:val="true"/>
          <w:lang w:bidi="fa-IR"/>
        </w:rPr>
        <w:t xml:space="preserve">الدالّ علی التوارث مطلقاً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وفیه قول شاذّ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فی النهایة </w:t>
      </w:r>
      <w:r>
        <w:rPr>
          <w:rStyle w:val="FootnoteAnchor"/>
          <w:rtl w:val="true"/>
        </w:rPr>
        <w:footnoteReference w:id="1025"/>
      </w:r>
      <w:r>
        <w:rPr>
          <w:rFonts w:ascii="IRNazanin" w:hAnsi="IRNazanin" w:eastAsia="IRNazanin"/>
          <w:color w:val="111111"/>
          <w:sz w:val="28"/>
          <w:sz w:val="28"/>
          <w:szCs w:val="28"/>
          <w:rtl w:val="true"/>
          <w:lang w:bidi="fa-IR"/>
        </w:rPr>
        <w:t xml:space="preserve">وابن البرّاج </w:t>
      </w:r>
      <w:r>
        <w:rPr>
          <w:rStyle w:val="FootnoteAnchor"/>
          <w:rtl w:val="true"/>
        </w:rPr>
        <w:footnoteReference w:id="10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المتبرّی من نسبه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ترثه عَصبَة اُمّه دون أبیه لو تبرّأ أبوه من نسبه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استناداً إلی روایة أبی بصیر عن أحدهما علیهما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المخلوع تبرّأ منه أبوه عند السلطان ومن میراثه وجریرته، لمن میراثه؟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لأقرب الناس إلیه</w:t>
      </w:r>
      <w:r>
        <w:rPr>
          <w:rFonts w:eastAsia="IRNazanin" w:cs="IRNazanin"/>
          <w:color w:val="111111"/>
          <w:sz w:val="28"/>
          <w:szCs w:val="28"/>
          <w:rtl w:val="true"/>
          <w:lang w:bidi="fa-IR"/>
        </w:rPr>
        <w:t xml:space="preserve">» </w:t>
      </w:r>
      <w:r>
        <w:rPr>
          <w:rStyle w:val="FootnoteAnchor"/>
          <w:rtl w:val="true"/>
        </w:rPr>
        <w:footnoteReference w:id="10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ولا دلالة لهذه الروایة علی ما ذکروه؛ لأنّ أباه أقرب الناس إلیه من عصبة اُمّه، وقد رجع الشیخ عن هذا القول صریحاً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المسائل الحائریّة</w:t>
      </w:r>
      <w:r>
        <w:rPr>
          <w:rFonts w:eastAsia="IRNazanin" w:cs="IRNazanin"/>
          <w:color w:val="111111"/>
          <w:sz w:val="28"/>
          <w:szCs w:val="28"/>
          <w:rtl w:val="true"/>
          <w:lang w:bidi="fa-IR"/>
        </w:rPr>
        <w:t xml:space="preserve">» </w:t>
      </w:r>
      <w:r>
        <w:rPr>
          <w:rStyle w:val="FootnoteAnchor"/>
          <w:rtl w:val="true"/>
        </w:rPr>
        <w:footnoteReference w:id="102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79" w:name="__RefHeading___Toc2227963_2314609296"/>
      <w:bookmarkStart w:id="380" w:name="_Toc144"/>
      <w:bookmarkEnd w:id="379"/>
      <w:r>
        <w:rPr>
          <w:rtl w:val="true"/>
        </w:rPr>
        <w:t>«</w:t>
      </w:r>
      <w:r>
        <w:rPr>
          <w:rtl w:val="true"/>
        </w:rPr>
        <w:t xml:space="preserve">الثامنة </w:t>
      </w:r>
      <w:r>
        <w:rPr>
          <w:rtl w:val="true"/>
        </w:rPr>
        <w:t>[</w:t>
      </w:r>
      <w:r>
        <w:rPr>
          <w:rtl w:val="true"/>
        </w:rPr>
        <w:t>فی میراث الغرقی و المهدوم علیهم</w:t>
      </w:r>
      <w:r>
        <w:rPr>
          <w:rtl w:val="true"/>
        </w:rPr>
        <w:t>] » :</w:t>
      </w:r>
      <w:bookmarkEnd w:id="380"/>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میراث الغرقی والمهدوم علیهم اعلم أنّ من شرط التوارث بین</w:t>
      </w:r>
    </w:p>
    <w:p>
      <w:pPr>
        <w:pStyle w:val="BookText"/>
        <w:rPr/>
      </w:pPr>
      <w:r>
        <w:rPr>
          <w:rFonts w:ascii="IRNazanin" w:hAnsi="IRNazanin" w:eastAsia="IRNazanin"/>
          <w:color w:val="111111"/>
          <w:sz w:val="28"/>
          <w:sz w:val="28"/>
          <w:szCs w:val="28"/>
          <w:rtl w:val="true"/>
          <w:lang w:bidi="fa-IR"/>
        </w:rPr>
        <w:t xml:space="preserve">المتوارثین العلم بتأخّر حیاة الوارث عن حیاة المورث </w:t>
      </w:r>
      <w:r>
        <w:rPr>
          <w:rStyle w:val="FootnoteAnchor"/>
          <w:rtl w:val="true"/>
        </w:rPr>
        <w:footnoteReference w:id="1029"/>
      </w:r>
      <w:r>
        <w:rPr>
          <w:rFonts w:ascii="IRNazanin" w:hAnsi="IRNazanin" w:eastAsia="IRNazanin"/>
          <w:color w:val="111111"/>
          <w:sz w:val="28"/>
          <w:sz w:val="28"/>
          <w:szCs w:val="28"/>
          <w:rtl w:val="true"/>
          <w:lang w:bidi="fa-IR"/>
        </w:rPr>
        <w:t>وإن قلّ، فلو ماتا دفعة أو اشتبه المتقدّم منهما بالمتأخّر أو اشتبه السبق والاقتران فلا إرث، سواء کان الموت حتف الأنف أم بسبب، إلّاأن یکون السبب الغَرق أو الهدم علی الأشهر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یتوارث الغرقی والمهدوم علیهم إذا کان بینهم نسب أو 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یوجبان التوارث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 بینهم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لیتحقّق به الإرث ولو من أحد الطرفین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واشتبه المتقدّم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والمتأخّر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عُلم اقتران الموت فلا إرث، أو علم المتقدّم من المتأخّر ورث المتأخّرُ المتقدّمَ دون العکس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 بینهم توارث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بحیث یکون کلّ واحد منهم یرث من الآخر ولو بمشارکة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انتفی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لو غرق أخوان ولکلّ </w:t>
      </w:r>
      <w:r>
        <w:rPr>
          <w:rStyle w:val="FootnoteAnchor"/>
          <w:rtl w:val="true"/>
        </w:rPr>
        <w:footnoteReference w:id="1030"/>
      </w:r>
      <w:r>
        <w:rPr>
          <w:rFonts w:ascii="IRNazanin" w:hAnsi="IRNazanin" w:eastAsia="IRNazanin"/>
          <w:color w:val="111111"/>
          <w:sz w:val="28"/>
          <w:sz w:val="28"/>
          <w:szCs w:val="28"/>
          <w:rtl w:val="true"/>
          <w:lang w:bidi="fa-IR"/>
        </w:rPr>
        <w:t>منهما ولد، أو لأحدهما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توارث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 کان لأحدهما </w:t>
      </w:r>
      <w:r>
        <w:rPr>
          <w:rStyle w:val="FootnoteAnchor"/>
          <w:rtl w:val="true"/>
        </w:rPr>
        <w:footnoteReference w:id="1031"/>
      </w:r>
      <w:r>
        <w:rPr>
          <w:rFonts w:ascii="IRNazanin" w:hAnsi="IRNazanin" w:eastAsia="IRNazanin"/>
          <w:color w:val="111111"/>
          <w:sz w:val="28"/>
          <w:sz w:val="28"/>
          <w:szCs w:val="28"/>
          <w:rtl w:val="true"/>
          <w:lang w:bidi="fa-IR"/>
        </w:rPr>
        <w:t>مال دون الآخر صار المال لمن لا مال له، ومنه إلی وارثه الحیّ، ولا شیء لورثة ذی المال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یرث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المفروضُ موته ثانیاً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ورث منه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للنصّ </w:t>
      </w:r>
      <w:r>
        <w:rPr>
          <w:rStyle w:val="FootnoteAnchor"/>
          <w:rtl w:val="true"/>
        </w:rPr>
        <w:footnoteReference w:id="1032"/>
      </w:r>
      <w:r>
        <w:rPr>
          <w:rFonts w:ascii="IRNazanin" w:hAnsi="IRNazanin" w:eastAsia="IRNazanin"/>
          <w:color w:val="111111"/>
          <w:sz w:val="28"/>
          <w:sz w:val="28"/>
          <w:szCs w:val="28"/>
          <w:rtl w:val="true"/>
          <w:lang w:bidi="fa-IR"/>
        </w:rPr>
        <w:t xml:space="preserve">واستلزامه التسلسل والمحال عادة، وهو فرض الحیاة بعد الموت؛ لأنّ التوریث منه یقتضی فرض موته فلو ورث ما </w:t>
      </w:r>
      <w:r>
        <w:rPr>
          <w:rStyle w:val="FootnoteAnchor"/>
          <w:rtl w:val="true"/>
        </w:rPr>
        <w:footnoteReference w:id="1033"/>
      </w:r>
      <w:r>
        <w:rPr>
          <w:rFonts w:ascii="IRNazanin" w:hAnsi="IRNazanin" w:eastAsia="IRNazanin"/>
          <w:color w:val="111111"/>
          <w:sz w:val="28"/>
          <w:sz w:val="28"/>
          <w:szCs w:val="28"/>
          <w:rtl w:val="true"/>
          <w:lang w:bidi="fa-IR"/>
        </w:rPr>
        <w:t>انتقل عنه لکان حیّاً بعد انتقال المال عنه، وهو ممتنع عادة</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واُورد مثلُه فی إرث الأوّل من الثانی </w:t>
      </w:r>
      <w:r>
        <w:rPr>
          <w:rStyle w:val="FootnoteAnchor"/>
          <w:rtl w:val="true"/>
        </w:rPr>
        <w:footnoteReference w:id="1034"/>
      </w:r>
      <w:r>
        <w:rPr>
          <w:rFonts w:ascii="Amiri" w:hAnsi="Amiri" w:eastAsia="Amiri" w:cs="Amiri"/>
          <w:color w:val="111111"/>
          <w:sz w:val="28"/>
          <w:sz w:val="28"/>
          <w:szCs w:val="28"/>
          <w:rtl w:val="true"/>
          <w:lang w:bidi="ar-SA"/>
        </w:rPr>
        <w:t>وردّ بأ نّا نقطع النظر عمّا فرض</w:t>
      </w:r>
    </w:p>
    <w:p>
      <w:pPr>
        <w:pStyle w:val="BookText"/>
        <w:rPr/>
      </w:pPr>
      <w:r>
        <w:rPr>
          <w:rFonts w:ascii="Amiri" w:hAnsi="Amiri" w:eastAsia="Amiri" w:cs="Amiri"/>
          <w:color w:val="111111"/>
          <w:sz w:val="28"/>
          <w:sz w:val="28"/>
          <w:szCs w:val="28"/>
          <w:rtl w:val="true"/>
          <w:lang w:bidi="ar-SA"/>
        </w:rPr>
        <w:t xml:space="preserve">أوّلاً ونجعل الأوّل کأ نّه المتأخّر حیاةً، بخلاف ما إذا ورّثنا </w:t>
      </w:r>
      <w:r>
        <w:rPr>
          <w:rStyle w:val="FootnoteAnchor"/>
          <w:rtl w:val="true"/>
        </w:rPr>
        <w:footnoteReference w:id="1035"/>
      </w:r>
      <w:r>
        <w:rPr>
          <w:rFonts w:ascii="IRNazanin" w:hAnsi="IRNazanin" w:eastAsia="IRNazanin"/>
          <w:color w:val="111111"/>
          <w:sz w:val="28"/>
          <w:sz w:val="28"/>
          <w:szCs w:val="28"/>
          <w:rtl w:val="true"/>
          <w:lang w:bidi="fa-IR"/>
        </w:rPr>
        <w:t>الأوّل من الثانی ممّا کان قد ورثه الثانی منه، فإنّه یلزم فرض موت الأوّل وحیاته فی حالة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تکلّف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والمعتمد النصّ، روی عبد الرحمن بن الحجّاج فی الصحیح عن الصادق علیه السلام فی أخوین ماتا، لأحدهما مئة ألف درهم، والآخر لیس له شیء، رکبا فی سفینة فغرقا فلم یُدرَ أ یّهما مات أوّلاً؟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المال لورثة الذی لیس له شیء</w:t>
      </w:r>
      <w:r>
        <w:rPr>
          <w:rFonts w:eastAsia="IRNazanin" w:cs="IRNazanin"/>
          <w:color w:val="111111"/>
          <w:sz w:val="28"/>
          <w:szCs w:val="28"/>
          <w:rtl w:val="true"/>
          <w:lang w:bidi="fa-IR"/>
        </w:rPr>
        <w:t xml:space="preserve">» </w:t>
      </w:r>
      <w:r>
        <w:rPr>
          <w:rStyle w:val="FootnoteAnchor"/>
          <w:rtl w:val="true"/>
        </w:rPr>
        <w:footnoteReference w:id="10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علیّ علیه السلام فی قوم غرقوا جمیعاً أهل بیت مال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یرث هؤلاء من هؤلاء، وهؤلاء من هؤلاء، ولا یرث هؤلاء ممّا ورثوا من هؤلاء</w:t>
      </w:r>
      <w:r>
        <w:rPr>
          <w:rFonts w:eastAsia="IRNazanin" w:cs="IRNazanin"/>
          <w:color w:val="111111"/>
          <w:sz w:val="28"/>
          <w:szCs w:val="28"/>
          <w:rtl w:val="true"/>
          <w:lang w:bidi="fa-IR"/>
        </w:rPr>
        <w:t xml:space="preserve">» </w:t>
      </w:r>
      <w:r>
        <w:rPr>
          <w:rStyle w:val="FootnoteAnchor"/>
          <w:rtl w:val="true"/>
        </w:rPr>
        <w:footnoteReference w:id="10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وهذا </w:t>
      </w:r>
      <w:r>
        <w:rPr>
          <w:rStyle w:val="FootnoteAnchor"/>
          <w:rtl w:val="true"/>
        </w:rPr>
        <w:footnoteReference w:id="1038"/>
      </w:r>
      <w:r>
        <w:rPr>
          <w:rFonts w:ascii="Amiri" w:hAnsi="Amiri" w:eastAsia="Amiri" w:cs="Amiri"/>
          <w:color w:val="111111"/>
          <w:sz w:val="28"/>
          <w:sz w:val="28"/>
          <w:szCs w:val="28"/>
          <w:rtl w:val="true"/>
          <w:lang w:bidi="ar-SA"/>
        </w:rPr>
        <w:t xml:space="preserve">حجّة علی المفید وسلّار حیث ذهبا إلی توریث کلٍّ ممّا ورث منه أیضاً </w:t>
      </w:r>
      <w:r>
        <w:rPr>
          <w:rStyle w:val="FootnoteAnchor"/>
          <w:rtl w:val="true"/>
        </w:rPr>
        <w:footnoteReference w:id="1039"/>
      </w:r>
      <w:r>
        <w:rPr>
          <w:rFonts w:ascii="IRNazanin" w:hAnsi="IRNazanin" w:eastAsia="IRNazanin"/>
          <w:color w:val="111111"/>
          <w:sz w:val="28"/>
          <w:sz w:val="28"/>
          <w:szCs w:val="28"/>
          <w:rtl w:val="true"/>
          <w:lang w:bidi="fa-IR"/>
        </w:rPr>
        <w:t xml:space="preserve">استناداً إلی وجوب تقدیم الأضعف فی الإرث </w:t>
      </w:r>
      <w:r>
        <w:rPr>
          <w:rStyle w:val="FootnoteAnchor"/>
          <w:rtl w:val="true"/>
        </w:rPr>
        <w:footnoteReference w:id="1040"/>
      </w:r>
      <w:r>
        <w:rPr>
          <w:rFonts w:ascii="IRNazanin" w:hAnsi="IRNazanin" w:eastAsia="IRNazanin"/>
          <w:color w:val="111111"/>
          <w:sz w:val="28"/>
          <w:sz w:val="28"/>
          <w:szCs w:val="28"/>
          <w:rtl w:val="true"/>
          <w:lang w:bidi="fa-IR"/>
        </w:rPr>
        <w:t>ولا فائدة إلّاالتوریث ممّا ورث منه</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واُجیب بمنع وجوب تقدیمه </w:t>
      </w:r>
      <w:r>
        <w:rPr>
          <w:rStyle w:val="FootnoteAnchor"/>
          <w:rtl w:val="true"/>
        </w:rPr>
        <w:footnoteReference w:id="1041"/>
      </w:r>
      <w:r>
        <w:rPr>
          <w:rFonts w:ascii="IRNazanin" w:hAnsi="IRNazanin" w:eastAsia="IRNazanin"/>
          <w:color w:val="111111"/>
          <w:sz w:val="28"/>
          <w:sz w:val="28"/>
          <w:szCs w:val="28"/>
          <w:rtl w:val="true"/>
          <w:lang w:bidi="fa-IR"/>
        </w:rPr>
        <w:t xml:space="preserve">بل هو علی الاستحباب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سلّم فإنّما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یقدّم الأضعف تعبّداً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لعلّة معقولة، فإنّ أکثر علل الشرع والمصالح المعتبرة فی نظر الشارع خفیّة عنّا تعجز عقولنا عن إدراکها، والواجب اتّباع النصّ</w:t>
      </w:r>
      <w:bookmarkStart w:id="381" w:name="pg19815_253240"/>
    </w:p>
    <w:p>
      <w:pPr>
        <w:pStyle w:val="BookText"/>
        <w:rPr/>
      </w:pPr>
      <w:bookmarkEnd w:id="381"/>
      <w:r>
        <w:rPr>
          <w:rFonts w:ascii="IRNazanin" w:hAnsi="IRNazanin" w:eastAsia="IRNazanin"/>
          <w:color w:val="111111"/>
          <w:sz w:val="28"/>
          <w:sz w:val="28"/>
          <w:szCs w:val="28"/>
          <w:rtl w:val="true"/>
          <w:lang w:bidi="fa-IR"/>
        </w:rPr>
        <w:t xml:space="preserve">من غیر نظر إلی العلّة، ولتخلّفه مع تساویهما فی الاستحقاق کأخوین لأبٍ، فینتفی اعتبار التقدیم ویصیر مال کلّ منهما لورثة </w:t>
      </w:r>
      <w:r>
        <w:rPr>
          <w:rStyle w:val="FootnoteAnchor"/>
          <w:rtl w:val="true"/>
        </w:rPr>
        <w:footnoteReference w:id="1042"/>
      </w:r>
      <w:r>
        <w:rPr>
          <w:rFonts w:ascii="IRNazanin" w:hAnsi="IRNazanin" w:eastAsia="IRNazanin"/>
          <w:color w:val="111111"/>
          <w:sz w:val="28"/>
          <w:sz w:val="28"/>
          <w:szCs w:val="28"/>
          <w:rtl w:val="true"/>
          <w:lang w:bidi="fa-IR"/>
        </w:rPr>
        <w:t>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اعتبار تقدیم الأضعف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وجوباً کما یظهر من العبارة وظاهر الأخبار تدلّ علیه، ومنها صحیحة محمّد بن مسلم عن أحدهما علیهما السلام </w:t>
      </w:r>
      <w:r>
        <w:rPr>
          <w:rStyle w:val="FootnoteAnchor"/>
          <w:rtl w:val="true"/>
        </w:rPr>
        <w:footnoteReference w:id="1043"/>
      </w:r>
      <w:r>
        <w:rPr>
          <w:rFonts w:ascii="IRNazanin" w:hAnsi="IRNazanin" w:eastAsia="IRNazanin"/>
          <w:color w:val="111111"/>
          <w:sz w:val="28"/>
          <w:sz w:val="28"/>
          <w:szCs w:val="28"/>
          <w:rtl w:val="true"/>
          <w:lang w:bidi="fa-IR"/>
        </w:rPr>
        <w:t xml:space="preserve">أو استحباباً علی ما اختاره فی الدروس </w:t>
      </w:r>
      <w:r>
        <w:rPr>
          <w:rStyle w:val="FootnoteAnchor"/>
          <w:rtl w:val="true"/>
        </w:rPr>
        <w:footnoteReference w:id="10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غرق الأبُ وولدُه قُدّم موتُ الابن فیرث الأب نصیبه منه، ثمّ یُفرض موت الأب فیرث الابن نصیبه منه، ویصیر مال کلٍّ إلی ورثة الآخر الأحیاء، وإن شارکهما مساوٍ انتقل إلی وارثه الحیّ ما ورثه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لم یکن لهما وارث صار مالهما للإمام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وذهب بعض الأصحاب إلی تعدّی هذا الحکم إلی کلّ سبب یقع معه الاشتباه کالقتیل </w:t>
      </w:r>
      <w:r>
        <w:rPr>
          <w:rStyle w:val="FootnoteAnchor"/>
          <w:rtl w:val="true"/>
        </w:rPr>
        <w:footnoteReference w:id="1045"/>
      </w:r>
      <w:r>
        <w:rPr>
          <w:rFonts w:ascii="IRNazanin" w:hAnsi="IRNazanin" w:eastAsia="IRNazanin"/>
          <w:color w:val="111111"/>
          <w:sz w:val="28"/>
          <w:sz w:val="28"/>
          <w:szCs w:val="28"/>
          <w:rtl w:val="true"/>
          <w:lang w:bidi="fa-IR"/>
        </w:rPr>
        <w:t xml:space="preserve">والحریق؛ لوجود العلّة </w:t>
      </w:r>
      <w:r>
        <w:rPr>
          <w:rStyle w:val="FootnoteAnchor"/>
          <w:rtl w:val="true"/>
        </w:rPr>
        <w:footnoteReference w:id="1046"/>
      </w:r>
      <w:r>
        <w:rPr>
          <w:rFonts w:ascii="IRNazanin" w:hAnsi="IRNazanin" w:eastAsia="IRNazanin"/>
          <w:color w:val="111111"/>
          <w:sz w:val="28"/>
          <w:sz w:val="28"/>
          <w:szCs w:val="28"/>
          <w:rtl w:val="true"/>
          <w:lang w:bidi="fa-IR"/>
        </w:rPr>
        <w:t>وهو ضعیف؛ لمنع التعلیل الموجب للتعدّی مع کونه علی خلاف الأصل، فیقتصر فیه علی موضع النصّ والوفاق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 الموت حتف الأنف فلا توارث مع الاشتباه إجماعاً</w:t>
      </w:r>
      <w:r>
        <w:rPr>
          <w:rFonts w:eastAsia="IRNazanin" w:cs="IRNazanin"/>
          <w:color w:val="111111"/>
          <w:sz w:val="28"/>
          <w:szCs w:val="28"/>
          <w:rtl w:val="true"/>
          <w:lang w:bidi="fa-IR"/>
        </w:rPr>
        <w:t>.</w:t>
      </w:r>
    </w:p>
    <w:p>
      <w:pPr>
        <w:pStyle w:val="Heading6"/>
        <w:numPr>
          <w:ilvl w:val="5"/>
          <w:numId w:val="1"/>
        </w:numPr>
        <w:rPr/>
      </w:pPr>
      <w:bookmarkStart w:id="382" w:name="__RefHeading___Toc2227965_2314609296"/>
      <w:bookmarkStart w:id="383" w:name="_Toc145"/>
      <w:bookmarkEnd w:id="382"/>
      <w:r>
        <w:rPr>
          <w:rtl w:val="true"/>
        </w:rPr>
        <w:t>«</w:t>
      </w:r>
      <w:r>
        <w:rPr>
          <w:rtl w:val="true"/>
        </w:rPr>
        <w:t xml:space="preserve">التاسعة </w:t>
      </w:r>
      <w:r>
        <w:rPr>
          <w:rtl w:val="true"/>
        </w:rPr>
        <w:t>[</w:t>
      </w:r>
      <w:r>
        <w:rPr>
          <w:rtl w:val="true"/>
        </w:rPr>
        <w:t>فی میراث المحبوس</w:t>
      </w:r>
      <w:r>
        <w:rPr>
          <w:rtl w:val="true"/>
        </w:rPr>
        <w:t>] » :</w:t>
      </w:r>
      <w:bookmarkEnd w:id="383"/>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میراث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ترافعوا إلی حکّام الإسلام، وقد اختلف الأصحاب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یونس بن 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 یتوارثون بالنسب والسبب الصحیحین، دون الفاسدین </w:t>
      </w:r>
      <w:r>
        <w:rPr>
          <w:rStyle w:val="FootnoteAnchor"/>
          <w:rtl w:val="true"/>
        </w:rPr>
        <w:footnoteReference w:id="1047"/>
      </w:r>
      <w:r>
        <w:rPr>
          <w:rFonts w:ascii="IRNazanin" w:hAnsi="IRNazanin" w:eastAsia="IRNazanin"/>
          <w:color w:val="111111"/>
          <w:sz w:val="28"/>
          <w:sz w:val="28"/>
          <w:szCs w:val="28"/>
          <w:rtl w:val="true"/>
          <w:lang w:bidi="fa-IR"/>
        </w:rPr>
        <w:t xml:space="preserve">وتبعه التقیّ </w:t>
      </w:r>
      <w:r>
        <w:rPr>
          <w:rStyle w:val="FootnoteAnchor"/>
          <w:rtl w:val="true"/>
        </w:rPr>
        <w:footnoteReference w:id="1048"/>
      </w:r>
      <w:r>
        <w:rPr>
          <w:rFonts w:ascii="IRNazanin" w:hAnsi="IRNazanin" w:eastAsia="IRNazanin"/>
          <w:color w:val="111111"/>
          <w:sz w:val="28"/>
          <w:sz w:val="28"/>
          <w:szCs w:val="28"/>
          <w:rtl w:val="true"/>
          <w:lang w:bidi="fa-IR"/>
        </w:rPr>
        <w:t xml:space="preserve">وابن إدریس </w:t>
      </w:r>
      <w:r>
        <w:rPr>
          <w:rStyle w:val="FootnoteAnchor"/>
          <w:rtl w:val="true"/>
        </w:rPr>
        <w:footnoteReference w:id="1049"/>
      </w:r>
      <w:r>
        <w:rPr>
          <w:rFonts w:ascii="IRNazanin" w:hAnsi="IRNazanin" w:eastAsia="IRNazanin"/>
          <w:color w:val="111111"/>
          <w:sz w:val="28"/>
          <w:sz w:val="28"/>
          <w:szCs w:val="28"/>
          <w:rtl w:val="true"/>
          <w:lang w:bidi="fa-IR"/>
        </w:rPr>
        <w:t>محتجّاً ببطلان ما سواه فی شرع الإسلام فلا یجوز لحاکمهم أن یرتّب علیه أثراً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الشیخ وجماعة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یتوارثون بالصحیحین والفاسدین </w:t>
      </w:r>
      <w:r>
        <w:rPr>
          <w:rStyle w:val="FootnoteAnchor"/>
          <w:rtl w:val="true"/>
        </w:rPr>
        <w:footnoteReference w:id="1050"/>
      </w:r>
      <w:r>
        <w:rPr>
          <w:rFonts w:ascii="Amiri" w:hAnsi="Amiri" w:eastAsia="Amiri" w:cs="Amiri"/>
          <w:color w:val="111111"/>
          <w:sz w:val="28"/>
          <w:sz w:val="28"/>
          <w:szCs w:val="28"/>
          <w:rtl w:val="true"/>
          <w:lang w:bidi="ar-SA"/>
        </w:rPr>
        <w:t>لما رواه السکونی عن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کان یورِّث المجوسی إذا تزوّج باُمّه واُخته وابنته من جهة أ نّها اُمّه وأ نّها زوجته </w:t>
      </w:r>
      <w:r>
        <w:rPr>
          <w:rStyle w:val="FootnoteAnchor"/>
          <w:rtl w:val="true"/>
        </w:rPr>
        <w:footnoteReference w:id="1051"/>
      </w:r>
      <w:r>
        <w:rPr>
          <w:rFonts w:ascii="Amiri" w:hAnsi="Amiri" w:eastAsia="Amiri" w:cs="Amiri"/>
          <w:color w:val="111111"/>
          <w:sz w:val="28"/>
          <w:sz w:val="28"/>
          <w:szCs w:val="28"/>
          <w:rtl w:val="true"/>
          <w:lang w:bidi="ar-SA"/>
        </w:rPr>
        <w:t>وقول الصادق علیه السلام لمن سبّ مجوسیّاً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تزوّج باُمّه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علمت أنّ ذلک عندهم هو النکاح؟</w:t>
      </w:r>
      <w:r>
        <w:rPr>
          <w:rFonts w:eastAsia="Amiri" w:cs="Amiri" w:ascii="Amiri" w:hAnsi="Amiri"/>
          <w:color w:val="111111"/>
          <w:sz w:val="28"/>
          <w:szCs w:val="28"/>
          <w:rtl w:val="true"/>
          <w:lang w:bidi="ar-SA"/>
        </w:rPr>
        <w:t xml:space="preserve">» </w:t>
      </w:r>
      <w:r>
        <w:rPr>
          <w:rStyle w:val="FootnoteAnchor"/>
          <w:rtl w:val="true"/>
        </w:rPr>
        <w:footnoteReference w:id="1052"/>
      </w:r>
      <w:r>
        <w:rPr>
          <w:rFonts w:ascii="IRNazanin" w:hAnsi="IRNazanin" w:eastAsia="IRNazanin"/>
          <w:color w:val="111111"/>
          <w:sz w:val="28"/>
          <w:sz w:val="28"/>
          <w:szCs w:val="28"/>
          <w:rtl w:val="true"/>
          <w:lang w:bidi="fa-IR"/>
        </w:rPr>
        <w:t>بعد أن زبر السابّ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کلّ قوم دانوا بشیء یلزمهم حکمه</w:t>
      </w:r>
      <w:r>
        <w:rPr>
          <w:rFonts w:eastAsia="IRNazanin" w:cs="IRNazanin"/>
          <w:color w:val="111111"/>
          <w:sz w:val="28"/>
          <w:szCs w:val="28"/>
          <w:rtl w:val="true"/>
          <w:lang w:bidi="fa-IR"/>
        </w:rPr>
        <w:t xml:space="preserve">» </w:t>
      </w:r>
      <w:r>
        <w:rPr>
          <w:rStyle w:val="FootnoteAnchor"/>
          <w:rtl w:val="true"/>
        </w:rPr>
        <w:footnoteReference w:id="1053"/>
      </w: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الفضل بن شاذان </w:t>
      </w:r>
      <w:r>
        <w:rPr>
          <w:rStyle w:val="FootnoteAnchor"/>
          <w:rtl w:val="true"/>
        </w:rPr>
        <w:footnoteReference w:id="1054"/>
      </w:r>
      <w:r>
        <w:rPr>
          <w:rFonts w:ascii="Amiri" w:hAnsi="Amiri" w:eastAsia="Amiri" w:cs="Amiri"/>
          <w:color w:val="111111"/>
          <w:sz w:val="28"/>
          <w:sz w:val="28"/>
          <w:szCs w:val="28"/>
          <w:rtl w:val="true"/>
          <w:lang w:bidi="ar-SA"/>
        </w:rPr>
        <w:t xml:space="preserve">وجماعة </w:t>
      </w:r>
      <w:r>
        <w:rPr>
          <w:rStyle w:val="FootnoteAnchor"/>
          <w:rtl w:val="true"/>
        </w:rPr>
        <w:footnoteReference w:id="1055"/>
      </w:r>
      <w:r>
        <w:rPr>
          <w:rFonts w:ascii="IRNazanin" w:hAnsi="IRNazanin" w:eastAsia="IRNazanin"/>
          <w:color w:val="111111"/>
          <w:sz w:val="28"/>
          <w:sz w:val="28"/>
          <w:szCs w:val="28"/>
          <w:rtl w:val="true"/>
          <w:lang w:bidi="fa-IR"/>
        </w:rPr>
        <w:t>منهم المصنّف فی هذا المختصر</w:t>
      </w:r>
    </w:p>
    <w:p>
      <w:pPr>
        <w:pStyle w:val="BookText"/>
        <w:rPr/>
      </w:pPr>
      <w:r>
        <w:rPr>
          <w:rFonts w:ascii="IRNazanin" w:hAnsi="IRNazanin" w:eastAsia="IRNazanin"/>
          <w:color w:val="111111"/>
          <w:sz w:val="28"/>
          <w:sz w:val="28"/>
          <w:szCs w:val="28"/>
          <w:rtl w:val="true"/>
          <w:lang w:bidi="fa-IR"/>
        </w:rPr>
        <w:t xml:space="preserve">والشرح </w:t>
      </w:r>
      <w:r>
        <w:rPr>
          <w:rStyle w:val="FootnoteAnchor"/>
          <w:rtl w:val="true"/>
        </w:rPr>
        <w:footnoteReference w:id="10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المجوس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یتوارثون بالنسب الصحیح والفاسد، والسبب الصحیح لا الفاسد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المسلمین یتوارثون بهما حیث تقع الشبهة، وهی موجودة فیهم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أَنِ اُحْکُمْ بَیْنَهُمْ بِمٰا أَنْزَلَ اَللّٰهُ </w:t>
      </w:r>
      <w:r>
        <w:rPr>
          <w:rStyle w:val="FootnoteAnchor"/>
          <w:rtl w:val="true"/>
        </w:rPr>
        <w:footnoteReference w:id="1057"/>
      </w:r>
      <w:r>
        <w:rPr>
          <w:rFonts w:ascii="Amiri" w:hAnsi="Amiri" w:eastAsia="Amiri" w:cs="Amiri"/>
          <w:color w:val="111111"/>
          <w:sz w:val="28"/>
          <w:sz w:val="28"/>
          <w:szCs w:val="28"/>
          <w:rtl w:val="true"/>
          <w:lang w:bidi="ar-SA"/>
        </w:rPr>
        <w:t xml:space="preserve">وَ قُلِ اَلْحَقُّ مِنْ رَبِّکُمْ </w:t>
      </w:r>
      <w:r>
        <w:rPr>
          <w:rStyle w:val="FootnoteAnchor"/>
          <w:rtl w:val="true"/>
        </w:rPr>
        <w:footnoteReference w:id="1058"/>
      </w:r>
      <w:r>
        <w:rPr>
          <w:rFonts w:ascii="Amiri" w:hAnsi="Amiri" w:eastAsia="Amiri" w:cs="Amiri"/>
          <w:color w:val="111111"/>
          <w:sz w:val="28"/>
          <w:sz w:val="28"/>
          <w:szCs w:val="28"/>
          <w:rtl w:val="true"/>
          <w:lang w:bidi="ar-SA"/>
        </w:rPr>
        <w:t xml:space="preserve">وَ إِنْ حَکَمْتَ فَاحْکُمْ بَیْنَهُمْ بِالْقِسْطِ </w:t>
      </w:r>
      <w:r>
        <w:rPr>
          <w:rStyle w:val="FootnoteAnchor"/>
          <w:rtl w:val="true"/>
        </w:rPr>
        <w:footnoteReference w:id="1059"/>
      </w:r>
      <w:r>
        <w:rPr>
          <w:rFonts w:ascii="IRNazanin" w:hAnsi="IRNazanin" w:eastAsia="IRNazanin"/>
          <w:color w:val="111111"/>
          <w:sz w:val="28"/>
          <w:sz w:val="28"/>
          <w:szCs w:val="28"/>
          <w:rtl w:val="true"/>
          <w:lang w:bidi="fa-IR"/>
        </w:rPr>
        <w:t>ولا شیء من الفاسد بما أنزل اللّٰه ولا بحقّ ولا بقسط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هو الأقوی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وبهذه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الحجّة </w:t>
      </w:r>
      <w:r>
        <w:rPr>
          <w:rFonts w:eastAsia="Amiri" w:cs="Amiri" w:ascii="Amiri" w:hAnsi="Amiri"/>
          <w:color w:val="111111"/>
          <w:sz w:val="28"/>
          <w:szCs w:val="28"/>
          <w:rtl w:val="true"/>
          <w:lang w:bidi="ar-SA"/>
        </w:rPr>
        <w:t xml:space="preserve">] </w:t>
      </w:r>
      <w:r>
        <w:rPr>
          <w:rStyle w:val="FootnoteAnchor"/>
          <w:rtl w:val="true"/>
        </w:rPr>
        <w:footnoteReference w:id="1060"/>
      </w:r>
      <w:r>
        <w:rPr>
          <w:rFonts w:ascii="IRNazanin" w:hAnsi="IRNazanin" w:eastAsia="IRNazanin"/>
          <w:color w:val="111111"/>
          <w:sz w:val="28"/>
          <w:sz w:val="28"/>
          <w:szCs w:val="28"/>
          <w:rtl w:val="true"/>
          <w:lang w:bidi="fa-IR"/>
        </w:rPr>
        <w:t xml:space="preserve">احتجّ أیضاً ابن إدریس علی نفی الفاسد منهما </w:t>
      </w:r>
      <w:r>
        <w:rPr>
          <w:rStyle w:val="FootnoteAnchor"/>
          <w:rtl w:val="true"/>
        </w:rPr>
        <w:footnoteReference w:id="1061"/>
      </w:r>
      <w:r>
        <w:rPr>
          <w:rFonts w:ascii="IRNazanin" w:hAnsi="IRNazanin" w:eastAsia="IRNazanin"/>
          <w:color w:val="111111"/>
          <w:sz w:val="28"/>
          <w:sz w:val="28"/>
          <w:szCs w:val="28"/>
          <w:rtl w:val="true"/>
          <w:lang w:bidi="fa-IR"/>
        </w:rPr>
        <w:t>وقد عرفت فساده فی فاسد النسب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أخبار الشیخ فعمدتها خبر السکونی وأمره واضح </w:t>
      </w:r>
      <w:r>
        <w:rPr>
          <w:rStyle w:val="FootnoteAnchor"/>
          <w:rtl w:val="true"/>
        </w:rPr>
        <w:footnoteReference w:id="1062"/>
      </w:r>
      <w:r>
        <w:rPr>
          <w:rFonts w:ascii="IRNazanin" w:hAnsi="IRNazanin" w:eastAsia="IRNazanin"/>
          <w:color w:val="111111"/>
          <w:sz w:val="28"/>
          <w:sz w:val="28"/>
          <w:szCs w:val="28"/>
          <w:rtl w:val="true"/>
          <w:lang w:bidi="fa-IR"/>
        </w:rPr>
        <w:t>والباقی لا ینهض علی مطلوبه</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وعلی ما اخترناه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نکح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اُمّه فأولدها ورثته بالاُمومة، وورثه </w:t>
      </w:r>
      <w:r>
        <w:rPr>
          <w:rStyle w:val="FootnoteAnchor"/>
          <w:rtl w:val="true"/>
        </w:rPr>
        <w:footnoteReference w:id="1063"/>
      </w:r>
      <w:r>
        <w:rPr>
          <w:rFonts w:ascii="IRNazanin" w:hAnsi="IRNazanin" w:eastAsia="IRNazanin"/>
          <w:color w:val="111111"/>
          <w:sz w:val="28"/>
          <w:sz w:val="28"/>
          <w:szCs w:val="28"/>
          <w:rtl w:val="true"/>
          <w:lang w:bidi="fa-IR"/>
        </w:rPr>
        <w:t>ولدها بالنسب الفاسد، ولا ترثه الاُمّ بالزوجیّة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سبب فاسد</w:t>
      </w:r>
      <w:r>
        <w:rPr>
          <w:rFonts w:eastAsia="IRNazanin" w:cs="IRNazanin"/>
          <w:color w:val="111111"/>
          <w:sz w:val="28"/>
          <w:szCs w:val="28"/>
          <w:rtl w:val="true"/>
          <w:lang w:bidi="fa-IR"/>
        </w:rPr>
        <w:t>.</w:t>
      </w:r>
      <w:bookmarkStart w:id="384" w:name="pg19815_253243"/>
    </w:p>
    <w:p>
      <w:pPr>
        <w:pStyle w:val="BookText"/>
        <w:rPr/>
      </w:pPr>
      <w:bookmarkEnd w:id="38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نکح المسلم بعض محارمه لشبهة وقع التوارث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بینه وبین أولاده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بالنسب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فاسداً، ویتفرّع علیهما فروع کثیرة یظهر حکمها ممّا تقرّر فی قواعد الإرث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أولد المجوسی بالنکاح أو المسلم بالشبهة من ابنته ابنتین ورثن ماله بالسویّة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ماتت إحداهما فقد ترکت اُمّها واُختها فالمال لاُمّها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ماتت الاُمّ دونهما ورثها ابنتاها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ماتت إحداهما ورثتها الاُخری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أولدها بنتاً ثمّ أولد الثانیة بنتاً، فمالُه بینهنّ بالسویّة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ماتت العلیا ورثتها الوسطی دون السفلی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ماتت الوسطی فللعلیا نصیب الاُمّ، وللسفلی نصیب البنت، والباقی یردّ أرباعاً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ماتت السفلی ورثتها الوسطی؛ لأنّها اُمّ، دون العلیا؛ لأنّها جدّة واُخت، وهما محجوبتان بالاُمّ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وقس علی هذا</w:t>
      </w:r>
      <w:r>
        <w:rPr>
          <w:rFonts w:eastAsia="IRNazanin" w:cs="IRNazanin"/>
          <w:color w:val="111111"/>
          <w:sz w:val="28"/>
          <w:szCs w:val="28"/>
          <w:rtl w:val="true"/>
          <w:lang w:bidi="fa-IR"/>
        </w:rPr>
        <w:t>.</w:t>
      </w:r>
    </w:p>
    <w:p>
      <w:pPr>
        <w:pStyle w:val="Heading6"/>
        <w:numPr>
          <w:ilvl w:val="5"/>
          <w:numId w:val="1"/>
        </w:numPr>
        <w:rPr/>
      </w:pPr>
      <w:bookmarkStart w:id="385" w:name="__RefHeading___Toc2227967_2314609296"/>
      <w:bookmarkStart w:id="386" w:name="_Toc146"/>
      <w:bookmarkEnd w:id="385"/>
      <w:r>
        <w:rPr>
          <w:rtl w:val="true"/>
        </w:rPr>
        <w:t>«</w:t>
      </w:r>
      <w:r>
        <w:rPr>
          <w:rtl w:val="true"/>
        </w:rPr>
        <w:t xml:space="preserve">العاشرة </w:t>
      </w:r>
      <w:r>
        <w:rPr>
          <w:rtl w:val="true"/>
        </w:rPr>
        <w:t>[</w:t>
      </w:r>
      <w:r>
        <w:rPr>
          <w:rtl w:val="true"/>
        </w:rPr>
        <w:t>مخارج الفروض</w:t>
      </w:r>
      <w:r>
        <w:rPr>
          <w:rtl w:val="true"/>
        </w:rPr>
        <w:t>] » :</w:t>
      </w:r>
      <w:bookmarkEnd w:id="386"/>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مخارج الفروض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أقلّ عدد تخرج منه صحیحة 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للفروض الستّة؛ لدخول مخرج الثلث فی مخرج الثلثین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فمخرج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النصف من اثنین، والثلث والثلثان من ثلاثة، والربع من أربعة، والثمن من ثمانیة والسدس من ستّة </w:t>
      </w:r>
      <w:r>
        <w:rPr>
          <w:rStyle w:val="FootnoteAnchor"/>
          <w:rtl w:val="true"/>
        </w:rPr>
        <w:footnoteReference w:id="10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کان فی </w:t>
      </w:r>
      <w:r>
        <w:rPr>
          <w:rStyle w:val="FootnoteAnchor"/>
          <w:rtl w:val="true"/>
        </w:rPr>
        <w:footnoteReference w:id="1065"/>
      </w:r>
      <w:r>
        <w:rPr>
          <w:rFonts w:ascii="IRNazanin" w:hAnsi="IRNazanin" w:eastAsia="IRNazanin"/>
          <w:color w:val="111111"/>
          <w:sz w:val="28"/>
          <w:sz w:val="28"/>
          <w:szCs w:val="28"/>
          <w:rtl w:val="true"/>
          <w:lang w:bidi="fa-IR"/>
        </w:rPr>
        <w:t>الفریضة نصف لا غیر کزوج مع المرتبة الثانیة، فأصل الفریضة اثنان، فإن انقسمت علی جمیع الورثة بغیر کسر، وإلّا عملتَ کما سیأتی إلی أن تصحّحها من عدد ینتهی إلیه الحساب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لو کان فی الفریضة نصفان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اشتملت علی ثُلث أو ثُلثین أو هما فهی من ثلاثة، أو علی ربع فهی من أربعة، وهکذا</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ولو اجتمع فی الفریضة فروض متعدّدة فأصلها أقلّ عدد ینقسم علی تلک الفروض صحیحاً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وطریقه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تَنسب بعضها إلی بعض، فإن تباینت ضربتَ بعضها فی بعض، فالفریضة ما ارتفع من ذلک، کما إذا اجتمع فی الفریضة نصف وثلث فهی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Style w:val="FootnoteAnchor"/>
          <w:rtl w:val="true"/>
        </w:rPr>
        <w:footnoteReference w:id="1066"/>
      </w:r>
      <w:r>
        <w:rPr>
          <w:rFonts w:ascii="Amiri" w:hAnsi="Amiri" w:eastAsia="Amiri" w:cs="Amiri"/>
          <w:color w:val="111111"/>
          <w:sz w:val="28"/>
          <w:sz w:val="28"/>
          <w:szCs w:val="28"/>
          <w:rtl w:val="true"/>
          <w:lang w:bidi="ar-SA"/>
        </w:rPr>
        <w:t>ستّة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وإن توافقت ضربتَ الوِفق من أحدهما </w:t>
      </w:r>
      <w:r>
        <w:rPr>
          <w:rStyle w:val="FootnoteAnchor"/>
          <w:rtl w:val="true"/>
        </w:rPr>
        <w:footnoteReference w:id="1067"/>
      </w:r>
      <w:r>
        <w:rPr>
          <w:rFonts w:ascii="IRNazanin" w:hAnsi="IRNazanin" w:eastAsia="IRNazanin"/>
          <w:color w:val="111111"/>
          <w:sz w:val="28"/>
          <w:sz w:val="28"/>
          <w:szCs w:val="28"/>
          <w:rtl w:val="true"/>
          <w:lang w:bidi="fa-IR"/>
        </w:rPr>
        <w:t>فی الآخر، کما لو اتّفق فیها ربع وسدس، فأصلها اثنا عشر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تماثلت اقتصرتَ علی أحدهما </w:t>
      </w:r>
      <w:r>
        <w:rPr>
          <w:rStyle w:val="FootnoteAnchor"/>
          <w:rtl w:val="true"/>
        </w:rPr>
        <w:footnoteReference w:id="1068"/>
      </w:r>
      <w:r>
        <w:rPr>
          <w:rFonts w:ascii="IRNazanin" w:hAnsi="IRNazanin" w:eastAsia="IRNazanin"/>
          <w:color w:val="111111"/>
          <w:sz w:val="28"/>
          <w:sz w:val="28"/>
          <w:szCs w:val="28"/>
          <w:rtl w:val="true"/>
          <w:lang w:bidi="fa-IR"/>
        </w:rPr>
        <w:t>کالسدسین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تداخلت فعلی الأکثر کالنصف والربع، وهکذا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ولو لم یکن فی الورثة ذو فرض فأصل المال عدد رؤوسهم مع التساوی کأربعة أولاد 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اختلفوا بالذکوریّة والاُنوثیّة فاجعل لکلّ ذکر سهمین ولکلّ اُنثی سهماً، فما اجتمع فهو أصل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کان فیهم ذو فرض وغیره فالعبرة بذی الفرض خاصّة کما سبق، ویبقی حکم تمامها وانکسارها، کما سیأتی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وحیث توقّف البحثُ علی معرفة النسبة بین العددین بالتساوی والاختلاف وتأتی الحاجة إلیه أیضاً، فلا بدّ من الإشارة إلی معناها</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فالمتماثلان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 المتساویان قدراً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والمتباینان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 المختلفان اللذان إذا اُسقط أقلّهما من الأکثر مرّة أو مراراً بقی واحدٌ، ولا یعدُّهما سوی الواحد، سواء تجاوز أقلّهما نصفَ الأکثر کثلاثة وخمسة، أم لا کثلاثة وسبعة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والمتوافقان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 اللذان یعدّهما غیرُ الواحد ویلزمهما </w:t>
      </w:r>
      <w:r>
        <w:rPr>
          <w:rStyle w:val="FootnoteAnchor"/>
          <w:rtl w:val="true"/>
        </w:rPr>
        <w:footnoteReference w:id="1069"/>
      </w:r>
      <w:r>
        <w:rPr>
          <w:rFonts w:ascii="IRNazanin" w:hAnsi="IRNazanin" w:eastAsia="IRNazanin"/>
          <w:color w:val="111111"/>
          <w:sz w:val="28"/>
          <w:sz w:val="28"/>
          <w:szCs w:val="28"/>
          <w:rtl w:val="true"/>
          <w:lang w:bidi="fa-IR"/>
        </w:rPr>
        <w:t>أ نّه إذا اُسقط أقلّهما من الأکثر مرّة أو مراراً بقی أکثر من واحد وتَوافُقُهما بجزء ما یعدّهما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عدّهما الاثنان خاصّة فهما متوافقان بالنصف، أو الثلاثة فبالثُلث، أو الأربعة فبالربع، وهکذا</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ولو تعدّد ما یعدّهما من الأعداد فالمعتبر أقلّهما جزءاً، کالأربعة مع الاثنین، فالمعتبر الأربعة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کان أقلّهما لا یزید عن نصف الأکثر ونفی الأکثر ولو مراراً، کالثلاثة والستّة، والأربعة والاثنی عشر، فهما المتوافقان بالمعنی الأعمّ، والمتداخلان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تجاوزه فهما المتوافقان بالمعنی الأخصّ، کالستّة والثمانیة یعدّهما الاثنان، والتسعة والاثنی عشر یعدّهما الثلاثة، والثمانیة والاثنی عشر یعدّهما الأربعة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 هنا اعتبار کلّ من التوافق والتداخل وإن کان اعتبار ما تقلّ معه الفریضة أولی، ویسمّی المتوافقان مطلقاً بالمتشارکین؛ لاشتراکهما فی جزء الوفق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فیجتزی عند اجتماعهما بضرب أحدهما فی الکسر الذی ذلک العدد المشترک سُمّی له، کالنصف فی الستّة والثمانیة، والربع فی الثمانیة والاثنی عشر</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یترامی إلی الجزء من أحد عشر فصاعداً، فیقتصر علیه، کأحد عشر مع</w:t>
      </w:r>
      <w:bookmarkStart w:id="387" w:name="pg19815_253246"/>
    </w:p>
    <w:p>
      <w:pPr>
        <w:pStyle w:val="BookText"/>
        <w:rPr/>
      </w:pPr>
      <w:bookmarkEnd w:id="387"/>
      <w:r>
        <w:rPr>
          <w:rFonts w:ascii="IRNazanin" w:hAnsi="IRNazanin" w:eastAsia="IRNazanin"/>
          <w:color w:val="111111"/>
          <w:sz w:val="28"/>
          <w:sz w:val="28"/>
          <w:szCs w:val="28"/>
          <w:rtl w:val="true"/>
          <w:lang w:bidi="fa-IR"/>
        </w:rPr>
        <w:t>اثنین وعشرین، واثنین وعشرین مع ثلاثة وثلاثین، أو ستّة وعشرین مع تسعة وثلاثین، فالوفق فی الأوّلین جزء من أحد عشر، وفی الأخیر من ثلاثة عشر</w:t>
      </w:r>
      <w:r>
        <w:rPr>
          <w:rFonts w:eastAsia="IRNazanin" w:cs="IRNazanin"/>
          <w:color w:val="111111"/>
          <w:sz w:val="28"/>
          <w:szCs w:val="28"/>
          <w:rtl w:val="true"/>
          <w:lang w:bidi="fa-IR"/>
        </w:rPr>
        <w:t>.</w:t>
      </w:r>
    </w:p>
    <w:p>
      <w:pPr>
        <w:pStyle w:val="Heading6"/>
        <w:numPr>
          <w:ilvl w:val="5"/>
          <w:numId w:val="1"/>
        </w:numPr>
        <w:rPr/>
      </w:pPr>
      <w:bookmarkStart w:id="388" w:name="__RefHeading___Toc2227969_2314609296"/>
      <w:bookmarkStart w:id="389" w:name="_Toc147"/>
      <w:bookmarkEnd w:id="388"/>
      <w:r>
        <w:rPr>
          <w:rtl w:val="true"/>
        </w:rPr>
        <w:t>«</w:t>
      </w:r>
      <w:r>
        <w:rPr>
          <w:rtl w:val="true"/>
        </w:rPr>
        <w:t xml:space="preserve">الحادیة عشرة </w:t>
      </w:r>
      <w:r>
        <w:rPr>
          <w:rtl w:val="true"/>
        </w:rPr>
        <w:t>[</w:t>
      </w:r>
      <w:r>
        <w:rPr>
          <w:rtl w:val="true"/>
        </w:rPr>
        <w:t>انکسار الفریضة</w:t>
      </w:r>
      <w:r>
        <w:rPr>
          <w:rtl w:val="true"/>
        </w:rPr>
        <w:t>] » :</w:t>
      </w:r>
      <w:bookmarkEnd w:id="38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الفریضة إذا کانت بقدر السهام وانقسمت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مخارج السهام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بغیر کسر فلا بحث، کزوج واُخت للأبوین أو للأب فالمسألة من سهمین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فیها نصفین ومخرجهما اثنان، وتنقسم علی الزوج والاُخت بغیر کسر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لم تنقسم علی السهام بغیر کسر مع کونها مساویة لها، فإمّا أن تنکسر علی فریق واحد أو أکثر، ثمّ إمّا أن یکون بین عدد المنکسر علیه وسهامه وفق بالمعنی الأعمّ أو لا، فالأقسام أربعة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انکسرت علی فریق واحد ضربت عدده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نصیبه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أصل الفریضة إن عدم الوفق بین العدد والنصیب، کأبوین وخمس بنات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 فریضتهم ستّة؛ لاشتمالها علی السدس ومخرجه ستّة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نصیب الأبوین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ینکسر علیهما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ونصیب البنات 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تنکسر علیهنّ وتباین عددهنّ وهو خمسة؛ لأنّک إذا أسقطتَ أقلّ العددین من الأکثر بقی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عددهنّ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الخمسة فی الستّة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 الفریضة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تبلغ ثلاثین، فکلّ من حصل له شیء من أصل الفریضة أخذه مضروباً فی خمسة فهو نصیبه، فنصیب البنات منها عشرون، لکلّ واحدة أربع</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وإن توافق النصیب والعدد کما لو کنّ ستّاً أو ثمانی، فالتوافق بالنصف فی الأوّل والربع </w:t>
      </w:r>
      <w:r>
        <w:rPr>
          <w:rStyle w:val="FootnoteAnchor"/>
          <w:rtl w:val="true"/>
        </w:rPr>
        <w:footnoteReference w:id="1070"/>
      </w:r>
      <w:r>
        <w:rPr>
          <w:rFonts w:ascii="IRNazanin" w:hAnsi="IRNazanin" w:eastAsia="IRNazanin"/>
          <w:color w:val="111111"/>
          <w:sz w:val="28"/>
          <w:sz w:val="28"/>
          <w:szCs w:val="28"/>
          <w:rtl w:val="true"/>
          <w:lang w:bidi="fa-IR"/>
        </w:rPr>
        <w:t>فی الثانی، فتضرب نصف عددهنّ أو ربعه فی أصل الفریضة تبلغ</w:t>
      </w:r>
    </w:p>
    <w:p>
      <w:pPr>
        <w:pStyle w:val="BookText"/>
        <w:rPr/>
      </w:pPr>
      <w:r>
        <w:rPr>
          <w:rFonts w:ascii="IRNazanin" w:hAnsi="IRNazanin" w:eastAsia="IRNazanin"/>
          <w:color w:val="111111"/>
          <w:sz w:val="28"/>
          <w:sz w:val="28"/>
          <w:szCs w:val="28"/>
          <w:rtl w:val="true"/>
          <w:lang w:bidi="fa-IR"/>
        </w:rPr>
        <w:t>ثمانیة عشر فی الأوّل واثنی عشر فی الثانی، فللبنات اثنا عشر ینقسم علیهنّ بغیر کسر، أو ثمانیة کذلک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انکسرت علی أکثر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فریق، فإمّا أن یکون 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نصیب </w:t>
      </w:r>
      <w:r>
        <w:rPr>
          <w:rFonts w:eastAsia="IRNazanin" w:cs="IRNazanin"/>
          <w:color w:val="111111"/>
          <w:sz w:val="28"/>
          <w:szCs w:val="28"/>
          <w:rtl w:val="true"/>
          <w:lang w:bidi="fa-IR"/>
        </w:rPr>
        <w:t xml:space="preserve">] </w:t>
      </w:r>
      <w:r>
        <w:rPr>
          <w:rStyle w:val="FootnoteAnchor"/>
          <w:rtl w:val="true"/>
        </w:rPr>
        <w:footnoteReference w:id="1071"/>
      </w:r>
      <w:r>
        <w:rPr>
          <w:rFonts w:ascii="IRNazanin" w:hAnsi="IRNazanin" w:eastAsia="IRNazanin"/>
          <w:color w:val="111111"/>
          <w:sz w:val="28"/>
          <w:sz w:val="28"/>
          <w:szCs w:val="28"/>
          <w:rtl w:val="true"/>
          <w:lang w:bidi="fa-IR"/>
        </w:rPr>
        <w:t>کلّ فریق وعدده وفق، أو تباین، أو بالتفریق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کان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الأعداد بالوفق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ورددتَ کلّ فریق إلی جزء وفقه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وکذا لو کان لبعضهم وفق دون بعض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غیر الوفق، بأن کان بین کلّ فریق وعدده تباین، أو بین بعضها، کذلک جعلتَ کلّ عدد بحاله ثمّ اعتبرت الأعداد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کانت متماثلة اقتصرتَ منها علی واحد وضربتَه فی أصل الفریضة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کانت متداخلة اقتصرتَ علی ضرب الأکثر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کانت متوافقة ضربت وفق أحد المتوافقین فی عدد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کانت متباینة ضربت أحدها فی الآخر ثمّ المجتمع فی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وضربت ما یحصل منها فی أصل المسألة</w:t>
      </w:r>
      <w:r>
        <w:rPr>
          <w:rFonts w:eastAsia="IRNazanin" w:cs="IRNazanin"/>
          <w:color w:val="111111"/>
          <w:sz w:val="28"/>
          <w:szCs w:val="28"/>
          <w:rtl w:val="true"/>
          <w:lang w:bidi="fa-IR"/>
        </w:rPr>
        <w:t>» :</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فالمتباینة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زوج وخمسة إخوة لاُمّ وسبعة لأب، فأصلها ستّة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فیها نصفاً وثلثاً ومخرجهما ستّة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مضروب اثنین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مخرج النصف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ثلاثة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مخرج الثلث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لتباینهما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النصف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ثلاثة، وللإخوة للاُمّ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الثُلث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ینکسر علیهم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وفق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بینهما وبین الخمسة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وللإخوة للأب 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 وهو ما بقی من الفریضة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وفق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بینه وبین عددهم وهو السبعة، فاعتبر نسبة عدد الفریقین المنکسر علیهما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الخمسة والسبعة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p>
    <w:p>
      <w:pPr>
        <w:pStyle w:val="BookText"/>
        <w:rPr/>
      </w:pPr>
      <w:r>
        <w:rPr>
          <w:rFonts w:ascii="IRNazanin" w:hAnsi="IRNazanin" w:eastAsia="IRNazanin"/>
          <w:color w:val="111111"/>
          <w:sz w:val="28"/>
          <w:sz w:val="28"/>
          <w:szCs w:val="28"/>
          <w:rtl w:val="true"/>
          <w:lang w:bidi="fa-IR"/>
        </w:rPr>
        <w:t>الآخر تجدهما متباینین؛ إذ لا یعدّهما إلّاالواحد، ولأ نّک إذا أسقطت أقلّهما من الأکثر بقی اثنان، فإذا أسقطتهما من الخمسة مرّتین بقی واحد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فتضرب الخمسة فی السبعة 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المرتفع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خمسة وثلاثین تضربها فی ستّة أصل الفریضة 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المرتفع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مئتین وعشرة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ومنها تصحّ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کان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أصل الفریضة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سهم أخذه مضروباً فی خمسة وثلاثین، فللزوج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الأصل یأخذها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مضروبة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فی الخمسة والثلاثین 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مئة وخمسة، ولقرابة الاُمّ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الخمسة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أصلها تأخذهما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مضروبین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فی الخمسة والثلاثین وذلک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سبعون، لکلّ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 منهم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أربعة عشر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خُمس السبعین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ولقرابة الأب 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الأصل ومضروبه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خمسة وثلاثون لکلّ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 منهم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سُبع المجتمع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ذکر مثال للمنکسر علی أکثر من فریق مع التباین، لکنّه لم ینکسر علی الجمیع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أردتَ مثالاً لانکسارها علی الجمیع أبدلتَ الزوج بزوجتین، ویصیر أصل الفریضة اثنی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مخرج الثلث والربع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لأنّها المجتمع من ضرب إحداهما فی الاُخری؛ لتباینهما، فللزوجتین الربع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وللإخوة للاُمّ الثلث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أربعة، وللإخوة للأب الباقی وهو خمسة، ولا وفق بین نصیب کلٍّ وعدده، والأعداد أیضاً متباینة، فتضربُ أ یّها شئتَ فی الآخر، ثمّ المرتفع فی الباقی، ثمّ المجتمع فی أصل الفریضة، فتضرب هنا اثنین فی خمسة، ثمّ المجتمع فی سبعة یکون سبعین، ثمّ تضرب السبعین فی اثنی عشر تبلغ ثمانمئة وأربعین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فکلّ من کان له سهم من اثنی عشر أخذه مضروباً فی سبعین</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یعتبر هنا توافق مضروب المخارج مع أصل المسألة ولا عدمه، فلا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العشرة توافق الاثنی عشر بالنصف، فتردّها إلی نصفها ولا السبعون توافق الاثنی عشر بالنصف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کان إخوة الاُمّ ثلاثة صحّ الفرض أیضاً، لکن هنا تضرب اثنین فی ثلاثة ثمّ فی سبعة تبلغ اثنین وأربعین، ثمّ فی أصل الفریضة تبلغ خمسمئة وأربعة، ومن کان له سهم أخذه مضروباً فی اثنین وأربعین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یلتفت إلی توافق الاثنی عشر، والاثنین والأربعین، فی السدس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ومثال المتوافقة مع الانکسار علی أکثر من فریق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 زوجات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یتّفق فی المریض یُطلّق ثمّ یتزوّج ویدخل ثمّ یموت قبل الحول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وثمانیة من کلالة الاُمّ وعشرة من کلالة الأب، فالفریضة اثنا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مخرج الربع والثلث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للزوجات ثلاثة وتوافق عددهنّ بالثلث، ولکلالة الاُمّ أربعة وتوافق عددهنّ بالربع، ولکلالة الأب خمسة توافق عددهم بالخمس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فتردّ کلّاً من الزوجات والإخوة من الطرفین إلی اثنین؛ لأنّهما ثلث الأوّل وربع الثانی وخمس الثالث فتتماثل الأعداد، فتجتزی باثنین فتضربهما فی اثنی عشر تبلغ أربعة وعشرین، فمن کان له سهم أخذه مضروباً فی اثنین، فللزوجات ستّة، ولإخوة الاُمّ ثمانیة، ولإخوة الأب عشرة، لکلٍّ سهم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ومثال المتماثلة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إخوة من أب ومثلهم من اُمّ، أصلُ الفریضة ثلاثة والنسبة بین النصیب والعدد متباینة، والعددان متماثلان، فیُجتزی بضرب أحدهما فی أصل الفریضة تصیر تسعة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ومثال المتداخلة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الأعداد</w:t>
      </w:r>
      <w:r>
        <w:rPr>
          <w:rFonts w:eastAsia="IRNazanin" w:cs="IRNazanin"/>
          <w:color w:val="111111"/>
          <w:sz w:val="28"/>
          <w:szCs w:val="28"/>
          <w:rtl w:val="true"/>
          <w:lang w:bidi="fa-IR"/>
        </w:rPr>
        <w:t xml:space="preserve">] </w:t>
      </w:r>
      <w:r>
        <w:rPr>
          <w:rStyle w:val="FootnoteAnchor"/>
          <w:rtl w:val="true"/>
        </w:rPr>
        <w:footnoteReference w:id="1072"/>
      </w:r>
      <w:r>
        <w:rPr>
          <w:rFonts w:ascii="IRNazanin" w:hAnsi="IRNazanin" w:eastAsia="IRNazanin"/>
          <w:color w:val="111111"/>
          <w:sz w:val="28"/>
          <w:sz w:val="28"/>
          <w:szCs w:val="28"/>
          <w:rtl w:val="true"/>
          <w:lang w:bidi="fa-IR"/>
        </w:rPr>
        <w:t>کما ذکر، إلّاأنّ إخوة الاُمّ ستّة، فتجتزی بها وتضربها فی أصل الفریضة تبلغ ثمانیة عشر</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لا تکون متداخلة ثمّ تؤول إلیه کأربع زوجات وستّة إخوة، أصلُ الفریضة أربعة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مخرج الربع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ینکسر علی الفریقین وعدد الإخوة یوافق نصیبهم</w:t>
      </w:r>
      <w:bookmarkStart w:id="390" w:name="pg19815_253250"/>
    </w:p>
    <w:p>
      <w:pPr>
        <w:pStyle w:val="BookText"/>
        <w:rPr/>
      </w:pPr>
      <w:bookmarkEnd w:id="390"/>
      <w:r>
        <w:rPr>
          <w:rFonts w:ascii="IRNazanin" w:hAnsi="IRNazanin" w:eastAsia="IRNazanin"/>
          <w:color w:val="111111"/>
          <w:sz w:val="28"/>
          <w:sz w:val="28"/>
          <w:szCs w:val="28"/>
          <w:rtl w:val="true"/>
          <w:lang w:bidi="fa-IR"/>
        </w:rPr>
        <w:t>بالثلث فتردّهم إلی اثنین، وعدد الزوجات تباین نصیبهنّ فتبقیهنّ بحالهنّ، فیدخل ما بقی من عدد الإخوة فی عددهنّ فتجتزی به وتضربهُ فی الأربعة، یکون ستّة عشر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وبما ذکرناه من الأمثلة یظهر حکم ما لو کان لبعضها وفق دون الباقی، أو بعضها متماثل أو متداخل دون بعض</w:t>
      </w:r>
      <w:r>
        <w:rPr>
          <w:rFonts w:eastAsia="IRNazanin" w:cs="IRNazanin"/>
          <w:color w:val="111111"/>
          <w:sz w:val="28"/>
          <w:szCs w:val="28"/>
          <w:rtl w:val="true"/>
          <w:lang w:bidi="fa-IR"/>
        </w:rPr>
        <w:t>.</w:t>
      </w:r>
    </w:p>
    <w:p>
      <w:pPr>
        <w:pStyle w:val="Heading6"/>
        <w:numPr>
          <w:ilvl w:val="5"/>
          <w:numId w:val="1"/>
        </w:numPr>
        <w:rPr/>
      </w:pPr>
      <w:bookmarkStart w:id="391" w:name="__RefHeading___Toc2227971_2314609296"/>
      <w:bookmarkStart w:id="392" w:name="_Toc148"/>
      <w:bookmarkEnd w:id="391"/>
      <w:r>
        <w:rPr>
          <w:rtl w:val="true"/>
        </w:rPr>
        <w:t>«</w:t>
      </w:r>
      <w:r>
        <w:rPr>
          <w:rtl w:val="true"/>
        </w:rPr>
        <w:t xml:space="preserve">الثانیة عشرة </w:t>
      </w:r>
      <w:r>
        <w:rPr>
          <w:rtl w:val="true"/>
        </w:rPr>
        <w:t>[</w:t>
      </w:r>
      <w:r>
        <w:rPr>
          <w:rtl w:val="true"/>
        </w:rPr>
        <w:t>قصور الفریضة عن السهام</w:t>
      </w:r>
      <w:r>
        <w:rPr>
          <w:rtl w:val="true"/>
        </w:rPr>
        <w:t>] » :</w:t>
      </w:r>
      <w:bookmarkEnd w:id="39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تقصر الفریضة عن السهام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تقصر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بدخول أحد الزوجین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کبنتین وأبوین مع أحد الزوجین وبنتین وأحد الأبوین مع زوج واُختین لأب واُختین لاُمٍّ مع أحد الزوجین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وهذه مسألة العول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فیدخل النقص علی البنت والبنات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اتّفقن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قرابة الأب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الأخوات، لا علی الجمیع، وقد تقدّم </w:t>
      </w:r>
      <w:r>
        <w:rPr>
          <w:rStyle w:val="FootnoteAnchor"/>
          <w:rtl w:val="true"/>
        </w:rPr>
        <w:footnoteReference w:id="10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وهذه العبارة أجود ممّا سلف، حیث لم یذکر الأب فیمن یدخل علیه النقص</w:t>
      </w:r>
      <w:r>
        <w:rPr>
          <w:rFonts w:eastAsia="IRNazanin" w:cs="IRNazanin"/>
          <w:color w:val="111111"/>
          <w:sz w:val="28"/>
          <w:szCs w:val="28"/>
          <w:rtl w:val="true"/>
          <w:lang w:bidi="fa-IR"/>
        </w:rPr>
        <w:t>.</w:t>
      </w:r>
    </w:p>
    <w:p>
      <w:pPr>
        <w:pStyle w:val="Heading6"/>
        <w:numPr>
          <w:ilvl w:val="5"/>
          <w:numId w:val="1"/>
        </w:numPr>
        <w:rPr/>
      </w:pPr>
      <w:bookmarkStart w:id="393" w:name="__RefHeading___Toc2227973_2314609296"/>
      <w:bookmarkStart w:id="394" w:name="_Toc149"/>
      <w:bookmarkEnd w:id="393"/>
      <w:r>
        <w:rPr>
          <w:rtl w:val="true"/>
        </w:rPr>
        <w:t>«</w:t>
      </w:r>
      <w:r>
        <w:rPr>
          <w:rtl w:val="true"/>
        </w:rPr>
        <w:t xml:space="preserve">الثالثة عشرة </w:t>
      </w:r>
      <w:r>
        <w:rPr>
          <w:rtl w:val="true"/>
        </w:rPr>
        <w:t>[</w:t>
      </w:r>
      <w:r>
        <w:rPr>
          <w:rtl w:val="true"/>
        </w:rPr>
        <w:t>زیادة الفریضة علی السهام</w:t>
      </w:r>
      <w:r>
        <w:rPr>
          <w:rtl w:val="true"/>
        </w:rPr>
        <w:t>] » :</w:t>
      </w:r>
      <w:bookmarkEnd w:id="39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الفریضة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السهام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لو خلّف بنتاً واحدة، أو بنات، أو اُختاً، أو أخوات، أو بنتاً وأبوین أو أحدهما، أو بنات وأحدهما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فیردّ الزائد علی ذوی السهام عدا الزوج والزوجة والاُمِّ مع الإخوة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مع عدمهم فیردّ علیها</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یجتمع ذو سببین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کالاُخت من الأبوین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ذی سبب واحد</w:t>
      </w:r>
      <w:r>
        <w:rPr>
          <w:rFonts w:eastAsia="IRNazanin" w:cs="IRNazanin"/>
          <w:color w:val="111111"/>
          <w:sz w:val="28"/>
          <w:szCs w:val="28"/>
          <w:rtl w:val="true"/>
          <w:lang w:bidi="fa-IR"/>
        </w:rPr>
        <w:t>»</w:t>
      </w:r>
      <w:bookmarkStart w:id="395" w:name="pg19815_253251"/>
    </w:p>
    <w:p>
      <w:pPr>
        <w:pStyle w:val="BookText"/>
        <w:rPr/>
      </w:pPr>
      <w:bookmarkEnd w:id="395"/>
      <w:r>
        <w:rPr>
          <w:rFonts w:ascii="Amiri" w:hAnsi="Amiri" w:eastAsia="Amiri" w:cs="Amiri"/>
          <w:color w:val="111111"/>
          <w:sz w:val="28"/>
          <w:sz w:val="28"/>
          <w:szCs w:val="28"/>
          <w:rtl w:val="true"/>
          <w:lang w:bidi="ar-SA"/>
        </w:rPr>
        <w:t xml:space="preserve">کالإخوة من الاُمّ، فیختصّ الردّ بذی السببین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مرّ</w:t>
      </w:r>
      <w:r>
        <w:rPr>
          <w:rFonts w:eastAsia="Amiri" w:cs="Amiri" w:ascii="Amiri" w:hAnsi="Amiri"/>
          <w:color w:val="111111"/>
          <w:sz w:val="28"/>
          <w:szCs w:val="28"/>
          <w:rtl w:val="true"/>
          <w:lang w:bidi="ar-SA"/>
        </w:rPr>
        <w:t xml:space="preserve">» </w:t>
      </w:r>
      <w:r>
        <w:rPr>
          <w:rStyle w:val="FootnoteAnchor"/>
          <w:rtl w:val="true"/>
        </w:rPr>
        <w:footnoteReference w:id="1074"/>
      </w:r>
      <w:r>
        <w:rPr>
          <w:rFonts w:ascii="IRNazanin" w:hAnsi="IRNazanin" w:eastAsia="IRNazanin"/>
          <w:color w:val="111111"/>
          <w:sz w:val="28"/>
          <w:sz w:val="28"/>
          <w:szCs w:val="28"/>
          <w:rtl w:val="true"/>
          <w:lang w:bidi="fa-IR"/>
        </w:rPr>
        <w:t xml:space="preserve">ولا شیء عندنا للعصبة، بل فی فیه التراب </w:t>
      </w:r>
      <w:r>
        <w:rPr>
          <w:rStyle w:val="FootnoteAnchor"/>
          <w:rtl w:val="true"/>
        </w:rPr>
        <w:footnoteReference w:id="107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96" w:name="__RefHeading___Toc2227975_2314609296"/>
      <w:bookmarkStart w:id="397" w:name="_Toc150"/>
      <w:bookmarkEnd w:id="396"/>
      <w:r>
        <w:rPr>
          <w:rtl w:val="true"/>
        </w:rPr>
        <w:t>«</w:t>
      </w:r>
      <w:r>
        <w:rPr>
          <w:rtl w:val="true"/>
        </w:rPr>
        <w:t xml:space="preserve">الرابعة عشرة </w:t>
      </w:r>
      <w:r>
        <w:rPr>
          <w:rtl w:val="true"/>
        </w:rPr>
        <w:t>[</w:t>
      </w:r>
      <w:r>
        <w:rPr>
          <w:rtl w:val="true"/>
        </w:rPr>
        <w:t>فی المناسخات</w:t>
      </w:r>
      <w:r>
        <w:rPr>
          <w:rtl w:val="true"/>
        </w:rPr>
        <w:t>] » :</w:t>
      </w:r>
      <w:bookmarkEnd w:id="397"/>
    </w:p>
    <w:p>
      <w:pPr>
        <w:pStyle w:val="BookText"/>
        <w:rPr/>
      </w:pPr>
      <w:r>
        <w:rPr>
          <w:rFonts w:ascii="IRNazanin" w:hAnsi="IRNazanin" w:eastAsia="IRNazanin"/>
          <w:color w:val="111111"/>
          <w:sz w:val="28"/>
          <w:sz w:val="28"/>
          <w:szCs w:val="28"/>
          <w:rtl w:val="true"/>
          <w:lang w:bidi="fa-IR"/>
        </w:rPr>
        <w:t xml:space="preserve">فی المناسخات وتتحقّق بأن یموت شخص ثمّ یموت أحد وُرّاثه قبل قسمة ترکته، فإنّه یعتبر حینئذٍ قسمة الفریضتین من أصل واحد لو طلب ذلک، فإن اتّحد الوارث والاستحقاق کإخوة ستّة وأخوات ستّ </w:t>
      </w:r>
      <w:r>
        <w:rPr>
          <w:rStyle w:val="FootnoteAnchor"/>
          <w:rtl w:val="true"/>
        </w:rPr>
        <w:footnoteReference w:id="1076"/>
      </w:r>
      <w:r>
        <w:rPr>
          <w:rFonts w:ascii="IRNazanin" w:hAnsi="IRNazanin" w:eastAsia="IRNazanin"/>
          <w:color w:val="111111"/>
          <w:sz w:val="28"/>
          <w:sz w:val="28"/>
          <w:szCs w:val="28"/>
          <w:rtl w:val="true"/>
          <w:lang w:bidi="fa-IR"/>
        </w:rPr>
        <w:t>لمیّت، فمات بعده أحد الإخوة ثمّ إحدی الأخوات، وهکذا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حتّی بقی أخ واُخت، فمال الجمیع بینهما أثلاثاً إن تقرّبوا بالأب، وبالسویّة إن تقرّبوا بالاُمّ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اختلف الوارث خاصّة، کما لو ترک الأوّل ابنین، ثمّ مات أحدهما وترک ابناً، فإنّ جهة الاستحقاق فی الفریضتین واحدة وهی البنوّة، لکنّ الوارث مختلف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الاستحقاق خاصّة، کما لو مات رجل وترک ثلاثة أولاد، ثمّ مات أحد الأولاد ولم یترک غیر أخویه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الوارث فیهما واحد، لکن جهة الاستحقاق مختلفة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اختلفا معاً، فقد تحتاج المسألة إلی عمل آخر غیر ما احتاجت إلیه الاُولی وقد لا تحتاج</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وتفصیله أن نقول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مات بعض الورثة قبل قسمة الترکة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صحّحنا الاُولی، فإن نهض نصیب المیّت الثانی بالقسمة علی ورّاثه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غیر کسر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صحّت المسألتان من المسألة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کزوجة ماتت عن ابن وبنت بعد زوجها وخلّف معها ابناً وبنتاً، فالفریضة الاُولی أربعة وعشرون، ونصیب الزوجة منها ثلاثة تصحّ علی ولدیها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 الوارث والاستحقاق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وکزوج مع أربعة إخوةٍ لأب ثمّ یموت الزوج عن ابن وبنتین أو أربعة بنین، فتصحّ المسألتان من الاُولی وهی ثمانیة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لم ینهض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نصیب الثانی بفریضته فانظر النسبة بین نصیب المیّت الثانی وسهام ورثته، فإن کان بینهما وفق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فاضرب الوفق بین نصیبه وسهام ورثته </w:t>
      </w:r>
      <w:r>
        <w:rPr>
          <w:rStyle w:val="FootnoteAnchor"/>
          <w:rtl w:val="true"/>
        </w:rPr>
        <w:footnoteReference w:id="10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الفریضة لا من النصیب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المسألة الاُولی، فما بلغ صحّت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أبوین وابن ثمّ یموت الابن ویترک ابنین وبنتین، فالفریضة الاُولی ستّة، ونصیب الابن منها أربعة وسهام ورثته ستّة، توافق نصیبهم بالنصف، فتضرب 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وفق الفریضة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ستّة تبلغ ثمانیة عشر، ومنها تصحّ الفریضتان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وکأخوین من اُمّ ومثلهما من أب وزوج، مات الزوج عن ابن وبنتین، فالفریضة الاُولی اثنا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مخرج النصف والثلث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مضروبه فی اثنین؛ لانکسارها علی فریق واحد وهو الأخوان للأب، وبین نصیب الزوج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ستّة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وفریضته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وهی 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توافقٌ بالنصف، فتضرب الوفق من الفریضة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اثنان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اثنی عشر تبلغ أربعة وعشرین، ومنها تصحّ الفریضتان</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لم یکن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نصیب الثانی وسهامه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وفق ضربت المسألة الثانیة فی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ارتفع صحّت منه المسألتان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لو کان ورثة الابن فی المثال الأوّل ابنین وبنتاً، فإنّ سهامهم حینئذٍ خمسة تباین نصیب مورّثهم، فتضرب</w:t>
      </w:r>
    </w:p>
    <w:p>
      <w:pPr>
        <w:pStyle w:val="BookText"/>
        <w:rPr/>
      </w:pPr>
      <w:r>
        <w:rPr>
          <w:rFonts w:ascii="IRNazanin" w:hAnsi="IRNazanin" w:eastAsia="IRNazanin"/>
          <w:color w:val="111111"/>
          <w:sz w:val="28"/>
          <w:sz w:val="28"/>
          <w:szCs w:val="28"/>
          <w:rtl w:val="true"/>
          <w:lang w:bidi="fa-IR"/>
        </w:rPr>
        <w:t>خمسة فی ستّة تبلغ ثلاثین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وکذا لو کان ورثة الزوج فی الثانی </w:t>
      </w:r>
      <w:r>
        <w:rPr>
          <w:rStyle w:val="FootnoteAnchor"/>
          <w:rtl w:val="true"/>
        </w:rPr>
        <w:footnoteReference w:id="1078"/>
      </w:r>
      <w:r>
        <w:rPr>
          <w:rFonts w:ascii="IRNazanin" w:hAnsi="IRNazanin" w:eastAsia="IRNazanin"/>
          <w:color w:val="111111"/>
          <w:sz w:val="28"/>
          <w:sz w:val="28"/>
          <w:szCs w:val="28"/>
          <w:rtl w:val="true"/>
          <w:lang w:bidi="fa-IR"/>
        </w:rPr>
        <w:t>ابنین وبنتاً، فتضرب خمسة فی اثنی عشر</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المناسخات أکثر من فریضتین، بأن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 بعض ورثة المیّت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القسمة أو بعضُ ورثة الأوّل، فإن انقسم نصیب الثالث </w:t>
      </w:r>
      <w:r>
        <w:rPr>
          <w:rStyle w:val="FootnoteAnchor"/>
          <w:rtl w:val="true"/>
        </w:rPr>
        <w:footnoteReference w:id="1079"/>
      </w:r>
      <w:r>
        <w:rPr>
          <w:rFonts w:ascii="IRNazanin" w:hAnsi="IRNazanin" w:eastAsia="IRNazanin"/>
          <w:color w:val="111111"/>
          <w:sz w:val="28"/>
          <w:sz w:val="28"/>
          <w:szCs w:val="28"/>
          <w:rtl w:val="true"/>
          <w:lang w:bidi="fa-IR"/>
        </w:rPr>
        <w:t xml:space="preserve">علی ورثته بصحّة </w:t>
      </w:r>
      <w:r>
        <w:rPr>
          <w:rStyle w:val="FootnoteAnchor"/>
          <w:rtl w:val="true"/>
        </w:rPr>
        <w:footnoteReference w:id="1080"/>
      </w:r>
      <w:r>
        <w:rPr>
          <w:rFonts w:ascii="IRNazanin" w:hAnsi="IRNazanin" w:eastAsia="IRNazanin"/>
          <w:color w:val="111111"/>
          <w:sz w:val="28"/>
          <w:sz w:val="28"/>
          <w:szCs w:val="28"/>
          <w:rtl w:val="true"/>
          <w:lang w:bidi="fa-IR"/>
        </w:rPr>
        <w:t xml:space="preserve">وإلّا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عملت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عملت فی المرتبة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فرض کثرة التناسخ، فإنّ العمل واحد</w:t>
      </w:r>
      <w:r>
        <w:rPr>
          <w:rFonts w:eastAsia="IRNazanin" w:cs="IRNazanin"/>
          <w:color w:val="111111"/>
          <w:sz w:val="28"/>
          <w:szCs w:val="28"/>
          <w:rtl w:val="true"/>
          <w:lang w:bidi="fa-IR"/>
        </w:rPr>
        <w:t>.</w:t>
      </w:r>
      <w:bookmarkStart w:id="398" w:name="pg19815_253254"/>
    </w:p>
    <w:p>
      <w:pPr>
        <w:pStyle w:val="Heading2"/>
        <w:numPr>
          <w:ilvl w:val="1"/>
          <w:numId w:val="1"/>
        </w:numPr>
        <w:rPr/>
      </w:pPr>
      <w:bookmarkStart w:id="399" w:name="__RefHeading___Toc2227977_2314609296"/>
      <w:bookmarkStart w:id="400" w:name="_Toc151"/>
      <w:bookmarkEnd w:id="398"/>
      <w:bookmarkEnd w:id="399"/>
      <w:r>
        <w:rPr>
          <w:rtl w:val="true"/>
        </w:rPr>
        <w:t>کتاب الحدود</w:t>
      </w:r>
      <w:bookmarkEnd w:id="400"/>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01" w:name="__RefHeading___Toc2227979_2314609296"/>
      <w:bookmarkStart w:id="402" w:name="_Toc152"/>
      <w:bookmarkEnd w:id="401"/>
      <w:r>
        <w:rPr>
          <w:rtl w:val="true"/>
        </w:rPr>
        <w:t>اشارة</w:t>
      </w:r>
      <w:bookmarkStart w:id="403" w:name="pg19815_253256"/>
      <w:bookmarkEnd w:id="402"/>
    </w:p>
    <w:p>
      <w:pPr>
        <w:pStyle w:val="BookText"/>
        <w:rPr/>
      </w:pPr>
      <w:bookmarkEnd w:id="40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الحدود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وفیه فصول</w:t>
      </w:r>
      <w:r>
        <w:rPr>
          <w:rFonts w:eastAsia="IRNazanin" w:cs="IRNazanin"/>
          <w:color w:val="111111"/>
          <w:sz w:val="28"/>
          <w:szCs w:val="28"/>
          <w:rtl w:val="true"/>
          <w:lang w:bidi="fa-IR"/>
        </w:rPr>
        <w:t>» :</w:t>
      </w:r>
    </w:p>
    <w:p>
      <w:pPr>
        <w:pStyle w:val="Heading3"/>
        <w:numPr>
          <w:ilvl w:val="2"/>
          <w:numId w:val="1"/>
        </w:numPr>
        <w:rPr/>
      </w:pPr>
      <w:bookmarkStart w:id="404" w:name="__RefHeading___Toc2227981_2314609296"/>
      <w:bookmarkStart w:id="405" w:name="_Toc153"/>
      <w:bookmarkEnd w:id="404"/>
      <w:r>
        <w:rPr>
          <w:rtl w:val="true"/>
        </w:rPr>
        <w:t xml:space="preserve">الفصل </w:t>
      </w:r>
      <w:r>
        <w:rPr>
          <w:rtl w:val="true"/>
        </w:rPr>
        <w:t>«</w:t>
      </w:r>
      <w:r>
        <w:rPr>
          <w:rtl w:val="true"/>
        </w:rPr>
        <w:t>الأوّل</w:t>
      </w:r>
      <w:r>
        <w:rPr>
          <w:rtl w:val="true"/>
        </w:rPr>
        <w:t>» «</w:t>
      </w:r>
      <w:r>
        <w:rPr>
          <w:rtl w:val="true"/>
        </w:rPr>
        <w:t>فی</w:t>
      </w:r>
      <w:r>
        <w:rPr>
          <w:rtl w:val="true"/>
        </w:rPr>
        <w:t xml:space="preserve">» </w:t>
      </w:r>
      <w:r>
        <w:rPr>
          <w:rtl w:val="true"/>
        </w:rPr>
        <w:t xml:space="preserve">حدّ </w:t>
      </w:r>
      <w:r>
        <w:rPr>
          <w:rtl w:val="true"/>
        </w:rPr>
        <w:t>«</w:t>
      </w:r>
      <w:r>
        <w:rPr>
          <w:rtl w:val="true"/>
        </w:rPr>
        <w:t>الزنا</w:t>
      </w:r>
      <w:r>
        <w:rPr>
          <w:rtl w:val="true"/>
        </w:rPr>
        <w:t>»</w:t>
      </w:r>
      <w:bookmarkEnd w:id="405"/>
    </w:p>
    <w:p>
      <w:pPr>
        <w:pStyle w:val="Heading4"/>
        <w:numPr>
          <w:ilvl w:val="3"/>
          <w:numId w:val="1"/>
        </w:numPr>
        <w:rPr/>
      </w:pPr>
      <w:bookmarkStart w:id="406" w:name="__RefHeading___Toc2227983_2314609296"/>
      <w:bookmarkStart w:id="407" w:name="_Toc154"/>
      <w:bookmarkEnd w:id="406"/>
      <w:r>
        <w:rPr>
          <w:rtl w:val="true"/>
        </w:rPr>
        <w:t>[</w:t>
      </w:r>
      <w:r>
        <w:rPr>
          <w:rtl w:val="true"/>
        </w:rPr>
        <w:t>تعریف الزنا و قیوده</w:t>
      </w:r>
      <w:r>
        <w:rPr>
          <w:rtl w:val="true"/>
        </w:rPr>
        <w:t>]</w:t>
      </w:r>
      <w:bookmarkEnd w:id="407"/>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بالقصر لغة حجازیّة، وبالمدّ تمیمیّة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الزنا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إیلاج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إدخال الذکر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البالغ العاقل فی فرج امرأة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مطلق الاُنثی قبلاً أو دُبراً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غیر 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نکاح بینهما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الفاعل للقابل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شبهةٍ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موجبة لاعتقاد الحلّ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 الحشفة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المصدر المصدَّر به </w:t>
      </w:r>
      <w:r>
        <w:rPr>
          <w:rStyle w:val="FootnoteAnchor"/>
          <w:rtl w:val="true"/>
        </w:rPr>
        <w:footnoteReference w:id="1081"/>
      </w:r>
      <w:r>
        <w:rPr>
          <w:rFonts w:ascii="IRNazanin" w:hAnsi="IRNazanin" w:eastAsia="IRNazanin"/>
          <w:color w:val="111111"/>
          <w:sz w:val="28"/>
          <w:sz w:val="28"/>
          <w:szCs w:val="28"/>
          <w:rtl w:val="true"/>
          <w:lang w:bidi="fa-IR"/>
        </w:rPr>
        <w:t>ویتحقّق قدرها بإیلاجها نفسها، أو إیلاج قدرها من مقطوعها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کان تناولها للأوّل لا یخلو من تکلّف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حالة کون المولج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بالتحریم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فهنا قیود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الإیلاج، فلا یتحقّق الزنا بدونه، کالتفخیذ وغیره، وإن کان محرّماً یوجب التعزیر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وثانیها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کونه من البالغ، فلو أولج الصبی اُدِّب خاصّةً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کونه عاقلاً، فلا یُحدّ المجنون علی الأقوی؛ لارتفاع القلم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ویستفاد من إطلاقه عدم الفرق بین الحرّ والعبد، وهو کذلک وإن افترقا فی کمّیّة الحدّ وکیفیّته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ورابعها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الإیلاج فی فرجها، فلا عبرة بإیلاجه فی غیره من المنافذ وإن حصل به الشهوة والإنزال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والمراد بالفرج العورة، کما نصّ علیه الجوهری </w:t>
      </w:r>
      <w:r>
        <w:rPr>
          <w:rStyle w:val="FootnoteAnchor"/>
          <w:rtl w:val="true"/>
        </w:rPr>
        <w:footnoteReference w:id="1082"/>
      </w:r>
      <w:r>
        <w:rPr>
          <w:rFonts w:ascii="Amiri" w:hAnsi="Amiri" w:eastAsia="Amiri" w:cs="Amiri"/>
          <w:color w:val="111111"/>
          <w:sz w:val="28"/>
          <w:sz w:val="28"/>
          <w:szCs w:val="28"/>
          <w:rtl w:val="true"/>
          <w:lang w:bidi="ar-SA"/>
        </w:rPr>
        <w:t>فیشمل القُبُل والدُبُر، وإن کان إطلاقه علی القُبُل أغلب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وخامسها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کونها امرأةً وهی البالغة تسع سنین؛ لأنّها تأنیث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فرق فیها بین العاقلة والمجنونة، الحرّة والأمة، الحیّة والمیّتة، وإن کان </w:t>
      </w:r>
      <w:r>
        <w:rPr>
          <w:rStyle w:val="FootnoteAnchor"/>
          <w:rtl w:val="true"/>
        </w:rPr>
        <w:footnoteReference w:id="1083"/>
      </w:r>
      <w:r>
        <w:rPr>
          <w:rFonts w:ascii="IRNazanin" w:hAnsi="IRNazanin" w:eastAsia="IRNazanin"/>
          <w:color w:val="111111"/>
          <w:sz w:val="28"/>
          <w:sz w:val="28"/>
          <w:szCs w:val="28"/>
          <w:rtl w:val="true"/>
          <w:lang w:bidi="fa-IR"/>
        </w:rPr>
        <w:t xml:space="preserve">المیّتة أغلظ کما سیأتی </w:t>
      </w:r>
      <w:r>
        <w:rPr>
          <w:rStyle w:val="FootnoteAnchor"/>
          <w:rtl w:val="true"/>
        </w:rPr>
        <w:footnoteReference w:id="1084"/>
      </w:r>
      <w:r>
        <w:rPr>
          <w:rFonts w:ascii="Amiri" w:hAnsi="Amiri" w:eastAsia="Amiri" w:cs="Amiri"/>
          <w:color w:val="111111"/>
          <w:sz w:val="28"/>
          <w:sz w:val="28"/>
          <w:szCs w:val="28"/>
          <w:rtl w:val="true"/>
          <w:lang w:bidi="ar-SA"/>
        </w:rPr>
        <w:t>وخرج بها إیلاجه فی دُبُر الذکر، فإنّه لا یُعدّ زناً وإن کان أفحش وأغلظ عقوبةً</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وسادسها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کونها محرّمة علیه، فلو کانت حلیلة بزوجیّة أو ملک لم یتحقّق الزنا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وشملت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الأجنبیّةَ المحصنةَ، والخالیةَ من بعل، ومحارمَه، وزوجتَه الحائض، والمظاهَرَة، والمُولی منها، والمُحرِمةَ وغیرَها، وأمته المزوّجة، والمعتدّة، والحائض ونحوَها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وسیخرج بعض هذه المحرَّمات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وسابعها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کونها غیر معقود علیها، ولا مملوکة، ولا مأتیّة بشبهة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 یخرج وطء الزوجة المحرّمة لعارض ممّا ذکر، وکذا الأمة، فلا یترتّب علیه </w:t>
      </w:r>
      <w:r>
        <w:rPr>
          <w:rStyle w:val="FootnoteAnchor"/>
          <w:rtl w:val="true"/>
        </w:rPr>
        <w:footnoteReference w:id="1085"/>
      </w:r>
      <w:r>
        <w:rPr>
          <w:rFonts w:ascii="IRNazanin" w:hAnsi="IRNazanin" w:eastAsia="IRNazanin"/>
          <w:color w:val="111111"/>
          <w:sz w:val="28"/>
          <w:sz w:val="28"/>
          <w:szCs w:val="28"/>
          <w:rtl w:val="true"/>
          <w:lang w:bidi="fa-IR"/>
        </w:rPr>
        <w:t xml:space="preserve">الحدّ وإن حرم، ولهذا احتیج إلی ذکره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لولاه لزم کونه زناً یوجب الحدّ وإن کان بالثانی </w:t>
      </w:r>
      <w:r>
        <w:rPr>
          <w:rStyle w:val="FootnoteAnchor"/>
          <w:rtl w:val="true"/>
        </w:rPr>
        <w:footnoteReference w:id="1086"/>
      </w:r>
      <w:r>
        <w:rPr>
          <w:rFonts w:ascii="IRNazanin" w:hAnsi="IRNazanin" w:eastAsia="IRNazanin"/>
          <w:color w:val="111111"/>
          <w:sz w:val="28"/>
          <w:sz w:val="28"/>
          <w:szCs w:val="28"/>
          <w:rtl w:val="true"/>
          <w:lang w:bidi="fa-IR"/>
        </w:rPr>
        <w:t xml:space="preserve">یستغنی عن الأوّل </w:t>
      </w:r>
      <w:r>
        <w:rPr>
          <w:rStyle w:val="FootnoteAnchor"/>
          <w:rtl w:val="true"/>
        </w:rPr>
        <w:footnoteReference w:id="1087"/>
      </w:r>
      <w:r>
        <w:rPr>
          <w:rFonts w:ascii="IRNazanin" w:hAnsi="IRNazanin" w:eastAsia="IRNazanin"/>
          <w:color w:val="111111"/>
          <w:sz w:val="28"/>
          <w:sz w:val="28"/>
          <w:szCs w:val="28"/>
          <w:rtl w:val="true"/>
          <w:lang w:bidi="fa-IR"/>
        </w:rPr>
        <w:t>إلّاأنّ بذلک لا یستدرک القید، لتحقّق الفائدة مع سبقه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والمراد بالعقد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یشمل الدائم والمنقطع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یشمل العین والمنفعة کالتحلیل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وبالشبهة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أوجب ظنّ الإباحة، لا ما لولا المحرّمیّة لحُلّلت، کما زعمه بعض العامّة </w:t>
      </w:r>
      <w:r>
        <w:rPr>
          <w:rStyle w:val="FootnoteAnchor"/>
          <w:rtl w:val="true"/>
        </w:rPr>
        <w:footnoteReference w:id="10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وثامنها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 الإیلاج بقدر الحشفة فما زاد، فلو أولج دون ذلک لم یتحقّق الزنا کما لا یتحقّق الوطء؛ لتلازمهما هنا </w:t>
      </w:r>
      <w:r>
        <w:rPr>
          <w:rStyle w:val="FootnoteAnchor"/>
          <w:rtl w:val="true"/>
        </w:rPr>
        <w:footnoteReference w:id="1089"/>
      </w:r>
      <w:r>
        <w:rPr>
          <w:rFonts w:ascii="IRNazanin" w:hAnsi="IRNazanin" w:eastAsia="IRNazanin"/>
          <w:color w:val="111111"/>
          <w:sz w:val="28"/>
          <w:sz w:val="28"/>
          <w:szCs w:val="28"/>
          <w:rtl w:val="true"/>
          <w:lang w:bidi="fa-IR"/>
        </w:rPr>
        <w:t>فإن کانت الحشفة صحیحة اعتبر مجموعها، وإن کانت مقطوعة أو بعضها اعتبر إیلاج قدرها ولو ملفّقاً منها ومن الباقی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الفرد أظهر فی القدریّة منها نفسها</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وتاسعها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کونه عالماً بتحریم الفعل، فلو جهل التحریم ابتداءً لقرب عهده بالدین، أو لشبهة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لو أحلّته نفسَها فتوهّم الحلّ مع إمکانه فی حقّه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زانیاً، ویمکن الغنی عن هذا القید بما سبق؛ لأنّ مرجعه إلی طروء شبهة، وقد تقدّم اعتبار نفیها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والفرق بأنّ الشبهة السابقة تجامع العلم بتحریم الزنا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لو وجد امرأة علی فراشه فاعتقدها زوجته مع علمه بتحریم وطء الأجنبیّة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وهنا لا یعلم أصل تحریم الزنا غیر کافٍ فی الجمع بینهما مع إمکان إطلاق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الشبهة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یعمّ الجاهل بالتحریم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وعاشرها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کونه مختاراً، فلو اُکره علی الزنا لم یحدّ علی أصحّ القولین فی الفاعل </w:t>
      </w:r>
      <w:r>
        <w:rPr>
          <w:rStyle w:val="FootnoteAnchor"/>
          <w:rtl w:val="true"/>
        </w:rPr>
        <w:footnoteReference w:id="1090"/>
      </w:r>
      <w:r>
        <w:rPr>
          <w:rFonts w:ascii="IRNazanin" w:hAnsi="IRNazanin" w:eastAsia="IRNazanin"/>
          <w:color w:val="111111"/>
          <w:sz w:val="28"/>
          <w:sz w:val="28"/>
          <w:szCs w:val="28"/>
          <w:rtl w:val="true"/>
          <w:lang w:bidi="fa-IR"/>
        </w:rPr>
        <w:t>وإجماعاً فی القابل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ویتحقّق الإکراه بتوعّد القادر المظنون فِعل ما توعّد به لو لم یفعل بما یتضرّر به فی نفسه أو من یجری مجراه، کما سبق تحقیقه فی باب الطلاق </w:t>
      </w:r>
      <w:r>
        <w:rPr>
          <w:rStyle w:val="FootnoteAnchor"/>
          <w:rtl w:val="true"/>
        </w:rPr>
        <w:footnoteReference w:id="10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فهذه جملة قیود التعریف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ذلک فیرد علیه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نّه لم یقیّد المُولج بکونه ذکراً، فیدخل فیه إیلاج الخنثی قدر حشفته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مع أنّ الزنا لا یتحقّق فیه بذلک؛ لاحتمال زیادته، کما لا یتحقّق به الغسل، فلا بدّ من التقیید بالذکر لیخرج الخنثی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اعتبار بلوغه وعقله إنّما یتمّ فی تحقّق زنا الفاعل، أمّا فی زنا المرأة فلا، خصوصاً العقل، ولهذا یجب علیها الحدّ بوطئهما لها وإن کان فی وطء الصبیّ یجب علیها الجلد خاصّة، لکنّه حدّ فی الجملة، بل هو الحدّ المنصوص فی القرآن الکریم </w:t>
      </w:r>
      <w:r>
        <w:rPr>
          <w:rStyle w:val="FootnoteAnchor"/>
          <w:rtl w:val="true"/>
        </w:rPr>
        <w:footnoteReference w:id="1092"/>
      </w: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کون الموطوءة امرأة، وهی کما عرفت مؤنّث الرجل،</w:t>
      </w:r>
    </w:p>
    <w:p>
      <w:pPr>
        <w:pStyle w:val="BookText"/>
        <w:rPr/>
      </w:pPr>
      <w:r>
        <w:rPr>
          <w:rFonts w:ascii="IRNazanin" w:hAnsi="IRNazanin" w:eastAsia="IRNazanin"/>
          <w:color w:val="111111"/>
          <w:sz w:val="28"/>
          <w:sz w:val="28"/>
          <w:szCs w:val="28"/>
          <w:rtl w:val="true"/>
          <w:lang w:bidi="fa-IR"/>
        </w:rPr>
        <w:t>وهذا إنّما یعتبر فی تحقّق زناها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زنا الفاعل فیتحقّق بوطء الصغیرة کالکبیرة وإن لم یجب به الرجم لو کان محصناً، فإنّ ذلک لا ینافی کونه زناً یوجب الحدّ کالسابق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إیلاج قدر الحشفة أعمّ من کونه من الذکر وغیره، لتحقّق المقدار فیهما، والمقصود هو الأوّل، فلا بدّ من ذکر ما یدلّ علیه، بأن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قدر الحشفة من الذکر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إلّاأن یُدّعی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المتبادر هو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محلّ 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الجمع بین العلم وانتفاء الشبهة غیر جیّد فی التعریف کما سبق، إلّا أن یخصّص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بفرد خاصّ، کالقاصد ونحوه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یخرج زنا المرأة العالمة بغیر العالم کما لو جلست علی فراشه متعمّدة قاصدة للزنا مع جهله بالحال، فإنّه یتحقّق من طرفها وإن انتفی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ومثله ما لو أکرهته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التعریف لزنا الفاعل خاصّة سلم من کثیر ممّا ذکر، لکن یبقی فیه الإخلال بما یتحقّق به زناها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وحیث اعتبر فی الزنا انتفاء الشبهة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فلو تزوّج الاُمّ </w:t>
      </w:r>
      <w:r>
        <w:rPr>
          <w:rStyle w:val="FootnoteAnchor"/>
          <w:rtl w:val="true"/>
        </w:rPr>
        <w:footnoteReference w:id="10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اُمَّ المتزوّج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المحصنة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المتزوّجة بغیره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ظانّاً الحلّ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لقرب عهده من المجوسیّة ونحوها من الکفر، أو سکناه فی بادیة بعیدة عن أحکام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للشبهة، والحدود تدرأ بالشبهات </w:t>
      </w:r>
      <w:r>
        <w:rPr>
          <w:rStyle w:val="FootnoteAnchor"/>
          <w:rtl w:val="true"/>
        </w:rPr>
        <w:footnoteReference w:id="1094"/>
      </w: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یکفی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تحقّق الشبهة الدارئة للحدّ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المحرَّمة</w:t>
      </w:r>
      <w:bookmarkStart w:id="408" w:name="pg19815_253261"/>
    </w:p>
    <w:p>
      <w:pPr>
        <w:pStyle w:val="BookText"/>
        <w:rPr/>
      </w:pPr>
      <w:bookmarkEnd w:id="40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بمجرّده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غیر أن یظنّ الحلّ إجماعاً منّا؛ لانتفاء معنی الشبهة 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ونبّه بذلک علی خلاف أبی حنیفة </w:t>
      </w:r>
      <w:r>
        <w:rPr>
          <w:rStyle w:val="FootnoteAnchor"/>
          <w:rtl w:val="true"/>
        </w:rPr>
        <w:footnoteReference w:id="1095"/>
      </w:r>
      <w:r>
        <w:rPr>
          <w:rFonts w:ascii="IRNazanin" w:hAnsi="IRNazanin" w:eastAsia="IRNazanin"/>
          <w:color w:val="111111"/>
          <w:sz w:val="28"/>
          <w:sz w:val="28"/>
          <w:szCs w:val="28"/>
          <w:rtl w:val="true"/>
          <w:lang w:bidi="fa-IR"/>
        </w:rPr>
        <w:t>حیث اکتفی به فی درء الحدّ، وهو الموجب لتخصیصه البحث عن قید الشبهة، دون غیرها من قیود التعریف</w:t>
      </w:r>
      <w:r>
        <w:rPr>
          <w:rFonts w:eastAsia="IRNazanin" w:cs="IRNazanin"/>
          <w:color w:val="111111"/>
          <w:sz w:val="28"/>
          <w:szCs w:val="28"/>
          <w:rtl w:val="true"/>
          <w:lang w:bidi="fa-IR"/>
        </w:rPr>
        <w:t>.</w:t>
      </w:r>
    </w:p>
    <w:p>
      <w:pPr>
        <w:pStyle w:val="Heading4"/>
        <w:numPr>
          <w:ilvl w:val="3"/>
          <w:numId w:val="1"/>
        </w:numPr>
        <w:rPr/>
      </w:pPr>
      <w:bookmarkStart w:id="409" w:name="__RefHeading___Toc2227985_2314609296"/>
      <w:bookmarkStart w:id="410" w:name="_Toc155"/>
      <w:bookmarkEnd w:id="409"/>
      <w:r>
        <w:rPr>
          <w:rtl w:val="true"/>
        </w:rPr>
        <w:t>[</w:t>
      </w:r>
      <w:r>
        <w:rPr>
          <w:rtl w:val="true"/>
        </w:rPr>
        <w:t>حکم الاکراه علی الزنا</w:t>
      </w:r>
      <w:r>
        <w:rPr>
          <w:rtl w:val="true"/>
        </w:rPr>
        <w:t>]</w:t>
      </w:r>
      <w:bookmarkEnd w:id="41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ویتحقّق الإکراه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الزنا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أصحّ القولین </w:t>
      </w:r>
      <w:r>
        <w:rPr>
          <w:rStyle w:val="FootnoteAnchor"/>
          <w:rtl w:val="true"/>
        </w:rPr>
        <w:footnoteReference w:id="10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فیدرأ الحدّ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یدرأ عن المرأة بالإکراه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لها؛ لاشتراکهما فی المعنی الموجب لرفع الحکم، ولاستلزام عدمه فی حقّه التکلیف بما لا یطاق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وربما قیل </w:t>
      </w:r>
      <w:r>
        <w:rPr>
          <w:rStyle w:val="FootnoteAnchor"/>
          <w:rtl w:val="true"/>
        </w:rPr>
        <w:footnoteReference w:id="1097"/>
      </w:r>
      <w:r>
        <w:rPr>
          <w:rFonts w:ascii="IRNazanin" w:hAnsi="IRNazanin" w:eastAsia="IRNazanin"/>
          <w:color w:val="111111"/>
          <w:sz w:val="28"/>
          <w:sz w:val="28"/>
          <w:szCs w:val="28"/>
          <w:rtl w:val="true"/>
          <w:lang w:bidi="fa-IR"/>
        </w:rPr>
        <w:t>بعدم تحقّقه فی حقّه، بناءً علی أنّ الشهوة غیر مقدورة وأنّ الخوف یمنع من انتشار العضو وانبعاث القوّة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ویضعَّف بأنّ القدر الموجب للزنا وهو تغیّب </w:t>
      </w:r>
      <w:r>
        <w:rPr>
          <w:rStyle w:val="FootnoteAnchor"/>
          <w:rtl w:val="true"/>
        </w:rPr>
        <w:footnoteReference w:id="1098"/>
      </w:r>
      <w:r>
        <w:rPr>
          <w:rFonts w:ascii="IRNazanin" w:hAnsi="IRNazanin" w:eastAsia="IRNazanin"/>
          <w:color w:val="111111"/>
          <w:sz w:val="28"/>
          <w:sz w:val="28"/>
          <w:szCs w:val="28"/>
          <w:rtl w:val="true"/>
          <w:lang w:bidi="fa-IR"/>
        </w:rPr>
        <w:t>الحشفة غیر متوقّف علی ذلک کلّه غالباً لو سلّم توقّفه علی الاختیار، ومنع الخوف منه</w:t>
      </w:r>
      <w:r>
        <w:rPr>
          <w:rFonts w:eastAsia="IRNazanin" w:cs="IRNazanin"/>
          <w:color w:val="111111"/>
          <w:sz w:val="28"/>
          <w:szCs w:val="28"/>
          <w:rtl w:val="true"/>
          <w:lang w:bidi="fa-IR"/>
        </w:rPr>
        <w:t>.</w:t>
      </w:r>
    </w:p>
    <w:p>
      <w:pPr>
        <w:pStyle w:val="Heading4"/>
        <w:numPr>
          <w:ilvl w:val="3"/>
          <w:numId w:val="1"/>
        </w:numPr>
        <w:rPr/>
      </w:pPr>
      <w:bookmarkStart w:id="411" w:name="__RefHeading___Toc2227987_2314609296"/>
      <w:bookmarkStart w:id="412" w:name="_Toc156"/>
      <w:bookmarkEnd w:id="411"/>
      <w:r>
        <w:rPr>
          <w:rtl w:val="true"/>
        </w:rPr>
        <w:t>[</w:t>
      </w:r>
      <w:r>
        <w:rPr>
          <w:rtl w:val="true"/>
        </w:rPr>
        <w:t>ما یثبت به الزنا</w:t>
      </w:r>
      <w:r>
        <w:rPr>
          <w:rtl w:val="true"/>
        </w:rPr>
        <w:t>]</w:t>
      </w:r>
      <w:bookmarkEnd w:id="412"/>
    </w:p>
    <w:p>
      <w:pPr>
        <w:pStyle w:val="Heading5"/>
        <w:numPr>
          <w:ilvl w:val="4"/>
          <w:numId w:val="1"/>
        </w:numPr>
        <w:rPr/>
      </w:pPr>
      <w:bookmarkStart w:id="413" w:name="__RefHeading___Toc2227989_2314609296"/>
      <w:bookmarkStart w:id="414" w:name="_Toc157"/>
      <w:bookmarkEnd w:id="413"/>
      <w:r>
        <w:rPr>
          <w:rtl w:val="true"/>
        </w:rPr>
        <w:t>اشارة</w:t>
      </w:r>
      <w:bookmarkEnd w:id="41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ویثبت الزنا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طرف الرجل والمرأة</w:t>
      </w:r>
    </w:p>
    <w:p>
      <w:pPr>
        <w:pStyle w:val="Heading5"/>
        <w:numPr>
          <w:ilvl w:val="4"/>
          <w:numId w:val="1"/>
        </w:numPr>
        <w:rPr/>
      </w:pPr>
      <w:bookmarkStart w:id="415" w:name="__RefHeading___Toc2227991_2314609296"/>
      <w:bookmarkStart w:id="416" w:name="_Toc158"/>
      <w:bookmarkEnd w:id="415"/>
      <w:r>
        <w:rPr>
          <w:rtl w:val="true"/>
        </w:rPr>
        <w:t>[«</w:t>
      </w:r>
      <w:r>
        <w:rPr>
          <w:rtl w:val="true"/>
        </w:rPr>
        <w:t>بالإقرار</w:t>
      </w:r>
      <w:r>
        <w:rPr>
          <w:rtl w:val="true"/>
        </w:rPr>
        <w:t>»]</w:t>
      </w:r>
      <w:bookmarkEnd w:id="416"/>
    </w:p>
    <w:p>
      <w:pPr>
        <w:pStyle w:val="BookText"/>
        <w:rPr/>
      </w:pP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أربع مرّات مع کمال المقرّ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ببلوغه وعقله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واختیاره وحرّیّته، أو تصدیق المولی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فیما أقرّ به؛ لأنّ المانع من نفوذه کونه إقراراً فی حقّ المولی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حکم تصدیقه انعتاقه، لزوال المانع من نفوذه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فرق فی الصبیّ بین المراهق وغیره فی نفی الحدّ عنه بالإقرار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یؤدَّب، لکذبه أو صدور الفعل عنه؛ لامتناع خلوّه منهما</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فی المجنون بین المطبق ومن یعتوره أدواراً إذا وقع الإقرار حالةَ الجنون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أقرّ حالَ کماله حُکم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فرق فی المملوک بین القنّ والمدبَّر والمکاتب بقسمیه وإن تحرّر بعضه، ومطلق المبعّض واُمّ الولد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لا فرق فی غیر المختار بین من اُلجئ إلیه بالتوعّد، وبین من ضرب حتّی ارتفع قصده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ومقتضی إطلاق اشتراط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اشتراط تعدّد مجالس الإقرار بحسب تعدّده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أصحّ القولین </w:t>
      </w:r>
      <w:r>
        <w:rPr>
          <w:rStyle w:val="FootnoteAnchor"/>
          <w:rtl w:val="true"/>
        </w:rPr>
        <w:footnoteReference w:id="1099"/>
      </w:r>
      <w:r>
        <w:rPr>
          <w:rFonts w:ascii="IRNazanin" w:hAnsi="IRNazanin" w:eastAsia="IRNazanin"/>
          <w:color w:val="111111"/>
          <w:sz w:val="28"/>
          <w:sz w:val="28"/>
          <w:szCs w:val="28"/>
          <w:rtl w:val="true"/>
          <w:lang w:bidi="fa-IR"/>
        </w:rPr>
        <w:t>للأصل، وقول الصادق علیه السلام فی خبر جمیل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یرجم الزانی حتّی یقرّ أربع مرّات</w:t>
      </w:r>
      <w:r>
        <w:rPr>
          <w:rFonts w:eastAsia="IRNazanin" w:cs="IRNazanin"/>
          <w:color w:val="111111"/>
          <w:sz w:val="28"/>
          <w:szCs w:val="28"/>
          <w:rtl w:val="true"/>
          <w:lang w:bidi="fa-IR"/>
        </w:rPr>
        <w:t xml:space="preserve">» </w:t>
      </w:r>
      <w:r>
        <w:rPr>
          <w:rStyle w:val="FootnoteAnchor"/>
          <w:rtl w:val="true"/>
        </w:rPr>
        <w:footnoteReference w:id="1100"/>
      </w:r>
      <w:r>
        <w:rPr>
          <w:rFonts w:ascii="IRNazanin" w:hAnsi="IRNazanin" w:eastAsia="IRNazanin"/>
          <w:color w:val="111111"/>
          <w:sz w:val="28"/>
          <w:sz w:val="28"/>
          <w:szCs w:val="28"/>
          <w:rtl w:val="true"/>
          <w:lang w:bidi="fa-IR"/>
        </w:rPr>
        <w:t>من غیر شرط التعدّد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اشترط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لزم </w:t>
      </w:r>
      <w:r>
        <w:rPr>
          <w:rFonts w:eastAsia="IRNazanin" w:cs="IRNazanin"/>
          <w:color w:val="111111"/>
          <w:sz w:val="28"/>
          <w:szCs w:val="28"/>
          <w:rtl w:val="true"/>
          <w:lang w:bidi="fa-IR"/>
        </w:rPr>
        <w:t xml:space="preserve">] </w:t>
      </w:r>
      <w:r>
        <w:rPr>
          <w:rStyle w:val="FootnoteAnchor"/>
          <w:rtl w:val="true"/>
        </w:rPr>
        <w:footnoteReference w:id="1101"/>
      </w:r>
      <w:r>
        <w:rPr>
          <w:rFonts w:ascii="IRNazanin" w:hAnsi="IRNazanin" w:eastAsia="IRNazanin"/>
          <w:color w:val="111111"/>
          <w:sz w:val="28"/>
          <w:sz w:val="28"/>
          <w:szCs w:val="28"/>
          <w:rtl w:val="true"/>
          <w:lang w:bidi="fa-IR"/>
        </w:rPr>
        <w:t>تأخّر البیان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یعتبر کونه فی أربعة مجالس </w:t>
      </w:r>
      <w:r>
        <w:rPr>
          <w:rStyle w:val="FootnoteAnchor"/>
          <w:rtl w:val="true"/>
        </w:rPr>
        <w:footnoteReference w:id="1102"/>
      </w:r>
      <w:r>
        <w:rPr>
          <w:rFonts w:ascii="IRNazanin" w:hAnsi="IRNazanin" w:eastAsia="IRNazanin"/>
          <w:color w:val="111111"/>
          <w:sz w:val="28"/>
          <w:sz w:val="28"/>
          <w:szCs w:val="28"/>
          <w:rtl w:val="true"/>
          <w:lang w:bidi="fa-IR"/>
        </w:rPr>
        <w:t>لظاهر خبر ماعز بن مالک الأنصاری، حیث أتی النبیّ صلی الله علیه و آله فی أربعة مواضع والنبیّ صلی الله علیه و آله یردّده ویوقف عزمه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لعلّک قبّلت، أو غمزت، أو نظرت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الحدیث </w:t>
      </w:r>
      <w:r>
        <w:rPr>
          <w:rStyle w:val="FootnoteAnchor"/>
          <w:rtl w:val="true"/>
        </w:rPr>
        <w:footnoteReference w:id="1103"/>
      </w: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نّه لا یدلّ علی الاشتراط وإنّما وقعت المجالس اتّفاقاً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والغرض من</w:t>
      </w:r>
    </w:p>
    <w:p>
      <w:pPr>
        <w:pStyle w:val="BookText"/>
        <w:rPr/>
      </w:pPr>
      <w:r>
        <w:rPr>
          <w:rFonts w:ascii="IRNazanin" w:hAnsi="IRNazanin" w:eastAsia="IRNazanin"/>
          <w:color w:val="111111"/>
          <w:sz w:val="28"/>
          <w:sz w:val="28"/>
          <w:szCs w:val="28"/>
          <w:rtl w:val="true"/>
          <w:lang w:bidi="fa-IR"/>
        </w:rPr>
        <w:t xml:space="preserve">تأخیره إتیانه </w:t>
      </w:r>
      <w:r>
        <w:rPr>
          <w:rStyle w:val="FootnoteAnchor"/>
          <w:rtl w:val="true"/>
        </w:rPr>
        <w:footnoteReference w:id="1104"/>
      </w:r>
      <w:r>
        <w:rPr>
          <w:rFonts w:ascii="IRNazanin" w:hAnsi="IRNazanin" w:eastAsia="IRNazanin"/>
          <w:color w:val="111111"/>
          <w:sz w:val="28"/>
          <w:sz w:val="28"/>
          <w:szCs w:val="28"/>
          <w:rtl w:val="true"/>
          <w:lang w:bidi="fa-IR"/>
        </w:rPr>
        <w:t>بالعدد المعتبر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ویکفی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الإقرار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إشارة الأخرس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المفهمة یقیناً کغیره، ویعتبر تعدّدها أربعاً کاللفظ بطریق 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لم یفهمها الحاکم اعتبر المترجم، ویکفی اثنان؛ لأنّهما شاهدان علی إقرار، لا علی زنا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الزنا إلی امرأة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معیّنة کأن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زنیت بفلانة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نسبته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المرأة المقرّة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معیّن بأن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زنیت بفلان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المقرّ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 القذف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لمن نسبه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بأوّل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قذف صریح، وإیجابه الحدّ لا یتوقّف علی تعدّده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المقرّ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 الزنا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أقرّ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إلّابأربع 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لو لم ینسبه إلی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موضع وفاق، إنّما الخلاف فی الأوّل </w:t>
      </w:r>
      <w:r>
        <w:rPr>
          <w:rStyle w:val="FootnoteAnchor"/>
          <w:rtl w:val="true"/>
        </w:rPr>
        <w:footnoteReference w:id="11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ووجه ثبوته ما ذکر، فإنّه قد رمی المحصنة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غیر المشهورة بالزنا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المفروض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 نّه إنّما نسبه إلی نفسه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وزناه لیس مستلزماً لزناها؛ لجواز الاشتباه علیها أو الإکراه، کما یحتمل المطاوعة وعدم الشبهة، والعامّ لا یستلزم الخاصّ</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هو الذی اختاره المصنّف فی الشرح </w:t>
      </w:r>
      <w:r>
        <w:rPr>
          <w:rStyle w:val="FootnoteAnchor"/>
          <w:rtl w:val="true"/>
        </w:rPr>
        <w:footnoteReference w:id="1106"/>
      </w:r>
      <w:r>
        <w:rPr>
          <w:rFonts w:ascii="Amiri" w:hAnsi="Amiri" w:eastAsia="Amiri" w:cs="Amiri"/>
          <w:color w:val="111111"/>
          <w:sz w:val="28"/>
          <w:sz w:val="28"/>
          <w:szCs w:val="28"/>
          <w:rtl w:val="true"/>
          <w:lang w:bidi="ar-SA"/>
        </w:rPr>
        <w:t>وهو متّجه، إلّاأنّ الأوّل أقوی</w:t>
      </w:r>
      <w:r>
        <w:rPr>
          <w:rFonts w:eastAsia="Amiri" w:cs="Amiri" w:ascii="Amiri" w:hAnsi="Amiri"/>
          <w:color w:val="111111"/>
          <w:sz w:val="28"/>
          <w:szCs w:val="28"/>
          <w:rtl w:val="true"/>
          <w:lang w:bidi="ar-SA"/>
        </w:rPr>
        <w:t>.</w:t>
      </w:r>
      <w:bookmarkStart w:id="417" w:name="pg19815_253264"/>
    </w:p>
    <w:p>
      <w:pPr>
        <w:pStyle w:val="BookText"/>
        <w:rPr/>
      </w:pPr>
      <w:bookmarkEnd w:id="417"/>
      <w:r>
        <w:rPr>
          <w:rFonts w:ascii="IRNazanin" w:hAnsi="IRNazanin" w:eastAsia="IRNazanin"/>
          <w:color w:val="111111"/>
          <w:sz w:val="28"/>
          <w:sz w:val="28"/>
          <w:szCs w:val="28"/>
          <w:rtl w:val="true"/>
          <w:lang w:bidi="fa-IR"/>
        </w:rPr>
        <w:t xml:space="preserve">إلّا أن یدّعی ما یوجب انتفاءه عنها کالإکراه والشبهة، عملاً بالعموم </w:t>
      </w:r>
      <w:r>
        <w:rPr>
          <w:rStyle w:val="FootnoteAnchor"/>
          <w:rtl w:val="true"/>
        </w:rPr>
        <w:footnoteReference w:id="11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ومثله القول فی المرأة، وقد رُوی عن علیّ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سألت الفاجرة من فجر بک؟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جلدتها حدّین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 للفجور، وحدّاً لفریتها علی الرجل المسلم</w:t>
      </w:r>
      <w:r>
        <w:rPr>
          <w:rFonts w:eastAsia="IRNazanin" w:cs="IRNazanin"/>
          <w:color w:val="111111"/>
          <w:sz w:val="28"/>
          <w:szCs w:val="28"/>
          <w:rtl w:val="true"/>
          <w:lang w:bidi="fa-IR"/>
        </w:rPr>
        <w:t xml:space="preserve">» </w:t>
      </w:r>
      <w:r>
        <w:rPr>
          <w:rStyle w:val="FootnoteAnchor"/>
          <w:rtl w:val="true"/>
        </w:rPr>
        <w:footnoteReference w:id="110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18" w:name="__RefHeading___Toc2227993_2314609296"/>
      <w:bookmarkStart w:id="419" w:name="_Toc159"/>
      <w:bookmarkEnd w:id="418"/>
      <w:r>
        <w:rPr>
          <w:rtl w:val="true"/>
        </w:rPr>
        <w:t>[</w:t>
      </w:r>
      <w:r>
        <w:rPr>
          <w:rtl w:val="true"/>
        </w:rPr>
        <w:t>البینة</w:t>
      </w:r>
      <w:r>
        <w:rPr>
          <w:rtl w:val="true"/>
        </w:rPr>
        <w:t>]</w:t>
      </w:r>
      <w:bookmarkEnd w:id="41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یثبت الزنا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بالبیّنة کما سلف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الشهادات من التفصیل </w:t>
      </w:r>
      <w:r>
        <w:rPr>
          <w:rStyle w:val="FootnoteAnchor"/>
          <w:rtl w:val="true"/>
        </w:rPr>
        <w:footnoteReference w:id="110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أقلّ من النصاب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المعتبر فیه وهو أربعة رجال، أو ثلاثة وامرأتان أو رجلان وأربع نسوة وإن ثبت بالأخیر الجلد خاصّة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من شهد وإن کان واحداً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للفریة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الکذبة العظیمة؛ لأنّ اللّٰه تعالی سمّی مَن قذف ولم یأتِ بتمام الشهداء کاذباً </w:t>
      </w:r>
      <w:r>
        <w:rPr>
          <w:rStyle w:val="FootnoteAnchor"/>
          <w:rtl w:val="true"/>
        </w:rPr>
        <w:footnoteReference w:id="1110"/>
      </w:r>
      <w:r>
        <w:rPr>
          <w:rFonts w:ascii="IRNazanin" w:hAnsi="IRNazanin" w:eastAsia="IRNazanin"/>
          <w:color w:val="111111"/>
          <w:sz w:val="28"/>
          <w:sz w:val="28"/>
          <w:szCs w:val="28"/>
          <w:rtl w:val="true"/>
          <w:lang w:bidi="fa-IR"/>
        </w:rPr>
        <w:t>فیلزمه کذب من نسبه وجزم به من غیر أن یکون الشهداء کاملین وإن کان صادقاً فی نفس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والمراد أ نّهم یُحَدّون للقذف</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ویشترط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قبول الشهادة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المشاهدة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للإیلاج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کالمیل فی المُکحُلة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یکفی الشهادة بالزنا مطلقاً، وقد تقدّم فی حدیث ماعز ما ینبّه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أبو بصیر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یُرجم الرجل والمرأة حتّی یشهد علیهما أربعة شهداء علی الجماع والإیلاج والإدخال کالمیل فی المُکحُلة</w:t>
      </w:r>
      <w:r>
        <w:rPr>
          <w:rFonts w:eastAsia="IRNazanin" w:cs="IRNazanin"/>
          <w:color w:val="111111"/>
          <w:sz w:val="28"/>
          <w:szCs w:val="28"/>
          <w:rtl w:val="true"/>
          <w:lang w:bidi="fa-IR"/>
        </w:rPr>
        <w:t xml:space="preserve">» </w:t>
      </w:r>
      <w:r>
        <w:rPr>
          <w:rStyle w:val="FootnoteAnchor"/>
          <w:rtl w:val="true"/>
        </w:rPr>
        <w:footnoteReference w:id="11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صحیحة الحلبی عنه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 الرجم أن یشهد أربعة أ نّهم رأوه یُدخل ویُخرج</w:t>
      </w:r>
      <w:r>
        <w:rPr>
          <w:rFonts w:eastAsia="IRNazanin" w:cs="IRNazanin"/>
          <w:color w:val="111111"/>
          <w:sz w:val="28"/>
          <w:szCs w:val="28"/>
          <w:rtl w:val="true"/>
          <w:lang w:bidi="fa-IR"/>
        </w:rPr>
        <w:t xml:space="preserve">» </w:t>
      </w:r>
      <w:r>
        <w:rPr>
          <w:rStyle w:val="FootnoteAnchor"/>
          <w:rtl w:val="true"/>
        </w:rPr>
        <w:footnoteReference w:id="11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وکذا لا یکفی دعوی المعاینة حتّی یضمّوا إلیها 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غیر عقد ولا شبهة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ما یعتبر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تکفی شهادتهم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غیر علم بسبب التحلیل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علی أصالة عدمه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لم یذکروا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شهادتهم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الوجه المتقدّم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للقذف، دون المشهود علیه، وکذا لو شهدوا بها ولم یُکملوها بقولهم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نعلم سبب التحلیل ونحوه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اتّفاقهم علی الفعل الواحد فی الزمان الواحد والمکان الواحد، فلو اختلفوا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أحدها، بأن شهد بعضهم علی وجه مخصوص والباقون علی غیره، أو شهد بعضهم بالزنا غدوةً والآخرون عشیّة، أو بعضهم فی زاویة مخصوصة أو بیت والآخرون فی 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حدّوا للقذف</w:t>
      </w:r>
      <w:r>
        <w:rPr>
          <w:rFonts w:eastAsia="IRNazanin" w:cs="IRNazanin"/>
          <w:color w:val="111111"/>
          <w:sz w:val="28"/>
          <w:szCs w:val="28"/>
          <w:rtl w:val="true"/>
          <w:lang w:bidi="fa-IR"/>
        </w:rPr>
        <w:t>» .</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وظاهر کلام المصنّف وغیره </w:t>
      </w:r>
      <w:r>
        <w:rPr>
          <w:rStyle w:val="FootnoteAnchor"/>
          <w:rtl w:val="true"/>
        </w:rPr>
        <w:footnoteReference w:id="11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نّه لا بدّ من ذکر الثلاثة فی الشهادة والاتّفاق علیها، فلو أطلقوا أو بعضهم حُدّوا وإن لم یتحقّق الاختلاف، مع احتمال الاکتفاء بالإطلاق؛ لإطلاق الأخبار السابقة </w:t>
      </w:r>
      <w:r>
        <w:rPr>
          <w:rStyle w:val="FootnoteAnchor"/>
          <w:rtl w:val="true"/>
        </w:rPr>
        <w:footnoteReference w:id="1114"/>
      </w:r>
      <w:r>
        <w:rPr>
          <w:rFonts w:ascii="IRNazanin" w:hAnsi="IRNazanin" w:eastAsia="IRNazanin"/>
          <w:color w:val="111111"/>
          <w:sz w:val="28"/>
          <w:sz w:val="28"/>
          <w:szCs w:val="28"/>
          <w:rtl w:val="true"/>
          <w:lang w:bidi="fa-IR"/>
        </w:rPr>
        <w:t xml:space="preserve">وغیرها </w:t>
      </w:r>
      <w:r>
        <w:rPr>
          <w:rStyle w:val="FootnoteAnchor"/>
          <w:rtl w:val="true"/>
        </w:rPr>
        <w:footnoteReference w:id="11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واشتراط عدم الاختلاف حیث یقیّدون بأحد الثلاثة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یشترط اجتماعهم حال إقامتها دفعة، بمعنی أن لا یحصل بین الشهادات تراخٍ عرفاً، لا بمعنی تلفّظهم بها دفعة وإن کان جائزاً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أقام بعضهم الشهادة فی غیبة الباقی حُدّوا ولم یُرتقب الإتمام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لا تأخیر فی 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رُوی عن علیّ علیه السلام فی ثلاثة شهدوا علی رجل بالزنا فقال 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أین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یجیء، 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حُدُّوهم فلیس فی الحدود نظر ساعة</w:t>
      </w:r>
      <w:r>
        <w:rPr>
          <w:rFonts w:eastAsia="IRNazanin" w:cs="IRNazanin"/>
          <w:color w:val="111111"/>
          <w:sz w:val="28"/>
          <w:szCs w:val="28"/>
          <w:rtl w:val="true"/>
          <w:lang w:bidi="fa-IR"/>
        </w:rPr>
        <w:t xml:space="preserve">» </w:t>
      </w:r>
      <w:r>
        <w:rPr>
          <w:rStyle w:val="FootnoteAnchor"/>
          <w:rtl w:val="true"/>
        </w:rPr>
        <w:footnoteReference w:id="11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وهل یشترط حضورهم فی مجلس الحکم دفعة قبل اجتماعهم علی الإقامة؟ قولان، اختار أوّلهما العلّامة فی القواعد </w:t>
      </w:r>
      <w:r>
        <w:rPr>
          <w:rStyle w:val="FootnoteAnchor"/>
          <w:rtl w:val="true"/>
        </w:rPr>
        <w:footnoteReference w:id="1117"/>
      </w:r>
      <w:r>
        <w:rPr>
          <w:rFonts w:ascii="IRNazanin" w:hAnsi="IRNazanin" w:eastAsia="IRNazanin"/>
          <w:color w:val="111111"/>
          <w:sz w:val="28"/>
          <w:sz w:val="28"/>
          <w:szCs w:val="28"/>
          <w:rtl w:val="true"/>
          <w:lang w:bidi="fa-IR"/>
        </w:rPr>
        <w:t xml:space="preserve">وثانیهما فی التحریر </w:t>
      </w:r>
      <w:r>
        <w:rPr>
          <w:rStyle w:val="FootnoteAnchor"/>
          <w:rtl w:val="true"/>
        </w:rPr>
        <w:footnoteReference w:id="1118"/>
      </w:r>
      <w:r>
        <w:rPr>
          <w:rFonts w:ascii="IRNazanin" w:hAnsi="IRNazanin" w:eastAsia="IRNazanin"/>
          <w:color w:val="111111"/>
          <w:sz w:val="28"/>
          <w:sz w:val="28"/>
          <w:szCs w:val="28"/>
          <w:rtl w:val="true"/>
          <w:lang w:bidi="fa-IR"/>
        </w:rPr>
        <w:t>وهو الأجود؛ لتحقّق الشهادة المتّفقة وعدم ظهور المنافی، مع الشکّ فی اشتراط الحضور دفعةً، والنصّ لا یدلّ علی أزید من اعتبار عدم تراخی الشهادات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ویتفرّع علیهما ما لو تلاحقوا واتّصلت شهادتهم بحیث لم یحصل التأخیر، فعلی الأوّل یحدّوا </w:t>
      </w:r>
      <w:r>
        <w:rPr>
          <w:rStyle w:val="FootnoteAnchor"/>
          <w:rtl w:val="true"/>
        </w:rPr>
        <w:footnoteReference w:id="1119"/>
      </w:r>
      <w:r>
        <w:rPr>
          <w:rFonts w:ascii="IRNazanin" w:hAnsi="IRNazanin" w:eastAsia="IRNazanin"/>
          <w:color w:val="111111"/>
          <w:sz w:val="28"/>
          <w:sz w:val="28"/>
          <w:szCs w:val="28"/>
          <w:rtl w:val="true"/>
          <w:lang w:bidi="fa-IR"/>
        </w:rPr>
        <w:t>هنا بطریق 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الثانی یحتمل القبول وعدمه، نظراً إلی فقد شرط الاجتماع حالة الإقامة دفعةً، وانتفاء العلّة الموجبة للاجتماع، وهی تأخیر حدّ القاذف فإنّه لم یتحقّق هنا</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وحیث یُحدّ الشاهد </w:t>
      </w:r>
      <w:r>
        <w:rPr>
          <w:rStyle w:val="FootnoteAnchor"/>
          <w:rtl w:val="true"/>
        </w:rPr>
        <w:footnoteReference w:id="1120"/>
      </w:r>
      <w:r>
        <w:rPr>
          <w:rFonts w:ascii="Amiri" w:hAnsi="Amiri" w:eastAsia="Amiri" w:cs="Amiri"/>
          <w:color w:val="111111"/>
          <w:sz w:val="28"/>
          <w:sz w:val="28"/>
          <w:szCs w:val="28"/>
          <w:rtl w:val="true"/>
          <w:lang w:bidi="ar-SA"/>
        </w:rPr>
        <w:t>أوّلاً قبل حضور أصحابه إمّا مطلقاً أو مع التراخی</w:t>
      </w:r>
      <w:bookmarkStart w:id="420" w:name="pg19815_253267"/>
    </w:p>
    <w:p>
      <w:pPr>
        <w:pStyle w:val="BookText"/>
        <w:rPr/>
      </w:pPr>
      <w:bookmarkEnd w:id="42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جاء الآخرون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وشهدوا حُدّوا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لفقد شرط القبول فی المتأخّر کالسابق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یقدح تقادم الزنا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المشهود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صحّة الشهادة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رُوی فی بعض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 زاد عن ستّة أشهر لا یسمع</w:t>
      </w:r>
      <w:r>
        <w:rPr>
          <w:rFonts w:eastAsia="IRNazanin" w:cs="IRNazanin"/>
          <w:color w:val="111111"/>
          <w:sz w:val="28"/>
          <w:szCs w:val="28"/>
          <w:rtl w:val="true"/>
          <w:lang w:bidi="fa-IR"/>
        </w:rPr>
        <w:t xml:space="preserve">» </w:t>
      </w:r>
      <w:r>
        <w:rPr>
          <w:rStyle w:val="FootnoteAnchor"/>
          <w:rtl w:val="true"/>
        </w:rPr>
        <w:footnoteReference w:id="1121"/>
      </w:r>
      <w:r>
        <w:rPr>
          <w:rFonts w:ascii="Amiri" w:hAnsi="Amiri" w:eastAsia="Amiri" w:cs="Amiri"/>
          <w:color w:val="111111"/>
          <w:sz w:val="28"/>
          <w:sz w:val="28"/>
          <w:szCs w:val="28"/>
          <w:rtl w:val="true"/>
          <w:lang w:bidi="ar-SA"/>
        </w:rPr>
        <w:t>شاذّ</w:t>
      </w:r>
      <w:r>
        <w:rPr>
          <w:rFonts w:eastAsia="Amiri" w:cs="Amiri" w:ascii="Amiri" w:hAnsi="Amiri"/>
          <w:color w:val="111111"/>
          <w:sz w:val="28"/>
          <w:szCs w:val="28"/>
          <w:rtl w:val="true"/>
          <w:lang w:bidi="ar-SA"/>
        </w:rPr>
        <w:t>.</w:t>
      </w:r>
    </w:p>
    <w:p>
      <w:pPr>
        <w:pStyle w:val="Heading5"/>
        <w:numPr>
          <w:ilvl w:val="4"/>
          <w:numId w:val="1"/>
        </w:numPr>
        <w:rPr/>
      </w:pPr>
      <w:bookmarkStart w:id="421" w:name="__RefHeading___Toc2227995_2314609296"/>
      <w:bookmarkStart w:id="422" w:name="_Toc160"/>
      <w:bookmarkEnd w:id="421"/>
      <w:r>
        <w:rPr>
          <w:rtl w:val="true"/>
        </w:rPr>
        <w:t>[</w:t>
      </w:r>
      <w:r>
        <w:rPr>
          <w:rtl w:val="true"/>
        </w:rPr>
        <w:t xml:space="preserve">ما یسقط و ما لا یسقط به الحد </w:t>
      </w:r>
      <w:r>
        <w:rPr>
          <w:rtl w:val="true"/>
        </w:rPr>
        <w:t>]</w:t>
      </w:r>
      <w:bookmarkEnd w:id="42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یسقط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 ولا الشهادة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بتصدیق الزانی الشهود ولا بتکذیبهم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مع التصدیق فظاهر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مع التکذیب؛ فلأنّ تکذیب المشهود علیه لو أثّر لزم تعطّل الأحکام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والتوبة قبل قیام البیّنة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الزانی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تسقط الحدّ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جلداً کان أم رجماً علی المشهور </w:t>
      </w:r>
      <w:r>
        <w:rPr>
          <w:rStyle w:val="FootnoteAnchor"/>
          <w:rtl w:val="true"/>
        </w:rPr>
        <w:footnoteReference w:id="1122"/>
      </w:r>
      <w:r>
        <w:rPr>
          <w:rFonts w:ascii="IRNazanin" w:hAnsi="IRNazanin" w:eastAsia="IRNazanin"/>
          <w:color w:val="111111"/>
          <w:sz w:val="28"/>
          <w:sz w:val="28"/>
          <w:szCs w:val="28"/>
          <w:rtl w:val="true"/>
          <w:lang w:bidi="fa-IR"/>
        </w:rPr>
        <w:t xml:space="preserve">لاشتراکهما فی المقتضی للإسقاط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لا یسقط علی المشهور؛ للأصل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یتخیّر الإمام فی العفو عنه والإقامة </w:t>
      </w:r>
      <w:r>
        <w:rPr>
          <w:rStyle w:val="FootnoteAnchor"/>
          <w:rtl w:val="true"/>
        </w:rPr>
        <w:footnoteReference w:id="11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ولو کانت التوبة قبل الإقرار فأولی بالسقوط، وبعده یتخیّر الإمام فی إقامته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وسیأتی</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ویسقط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بدعوی الجهالة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بالتحریم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الشبهة</w:t>
      </w:r>
      <w:r>
        <w:rPr>
          <w:rFonts w:eastAsia="IRNazanin" w:cs="IRNazanin"/>
          <w:color w:val="111111"/>
          <w:sz w:val="28"/>
          <w:szCs w:val="28"/>
          <w:rtl w:val="true"/>
          <w:lang w:bidi="fa-IR"/>
        </w:rPr>
        <w:t>»</w:t>
      </w:r>
      <w:bookmarkStart w:id="423" w:name="pg19815_253268"/>
    </w:p>
    <w:p>
      <w:pPr>
        <w:pStyle w:val="BookText"/>
        <w:rPr/>
      </w:pPr>
      <w:bookmarkEnd w:id="423"/>
      <w:r>
        <w:rPr>
          <w:rFonts w:ascii="IRNazanin" w:hAnsi="IRNazanin" w:eastAsia="IRNazanin"/>
          <w:color w:val="111111"/>
          <w:sz w:val="28"/>
          <w:sz w:val="28"/>
          <w:szCs w:val="28"/>
          <w:rtl w:val="true"/>
          <w:lang w:bidi="fa-IR"/>
        </w:rPr>
        <w:t>بأن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ظننت أ نّها حلّت بإجارتها نفسها أو تحلیلها، أو نحو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إمکانهما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الجهالة والشبهة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حقّه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فلو کان ممّن لا یحتمل جهله بمثل ذلک لم یسمع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وإذا ثبت الزنا علی الوجه المذکور وجب الحدّ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الزانی</w:t>
      </w:r>
      <w:r>
        <w:rPr>
          <w:rFonts w:eastAsia="IRNazanin" w:cs="IRNazanin"/>
          <w:color w:val="111111"/>
          <w:sz w:val="28"/>
          <w:szCs w:val="28"/>
          <w:rtl w:val="true"/>
          <w:lang w:bidi="fa-IR"/>
        </w:rPr>
        <w:t>.</w:t>
      </w:r>
    </w:p>
    <w:p>
      <w:pPr>
        <w:pStyle w:val="Heading5"/>
        <w:numPr>
          <w:ilvl w:val="4"/>
          <w:numId w:val="1"/>
        </w:numPr>
        <w:rPr/>
      </w:pPr>
      <w:bookmarkStart w:id="424" w:name="__RefHeading___Toc2227997_2314609296"/>
      <w:bookmarkStart w:id="425" w:name="_Toc161"/>
      <w:bookmarkEnd w:id="424"/>
      <w:r>
        <w:rPr>
          <w:rtl w:val="true"/>
        </w:rPr>
        <w:t>[</w:t>
      </w:r>
      <w:r>
        <w:rPr>
          <w:rtl w:val="true"/>
        </w:rPr>
        <w:t>اقسام حد الزنا</w:t>
      </w:r>
      <w:r>
        <w:rPr>
          <w:rtl w:val="true"/>
        </w:rPr>
        <w:t>]</w:t>
      </w:r>
      <w:bookmarkEnd w:id="425"/>
    </w:p>
    <w:p>
      <w:pPr>
        <w:pStyle w:val="Heading6"/>
        <w:numPr>
          <w:ilvl w:val="5"/>
          <w:numId w:val="1"/>
        </w:numPr>
        <w:rPr/>
      </w:pPr>
      <w:bookmarkStart w:id="426" w:name="__RefHeading___Toc2227999_2314609296"/>
      <w:bookmarkStart w:id="427" w:name="_Toc162"/>
      <w:bookmarkEnd w:id="426"/>
      <w:r>
        <w:rPr>
          <w:rtl w:val="true"/>
        </w:rPr>
        <w:t>اشارة</w:t>
      </w:r>
      <w:bookmarkEnd w:id="42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أقسام ثمانیة</w:t>
      </w:r>
      <w:r>
        <w:rPr>
          <w:rFonts w:eastAsia="IRNazanin" w:cs="IRNazanin"/>
          <w:color w:val="111111"/>
          <w:sz w:val="28"/>
          <w:szCs w:val="28"/>
          <w:rtl w:val="true"/>
          <w:lang w:bidi="fa-IR"/>
        </w:rPr>
        <w:t>»</w:t>
      </w:r>
    </w:p>
    <w:p>
      <w:pPr>
        <w:pStyle w:val="Heading6"/>
        <w:numPr>
          <w:ilvl w:val="5"/>
          <w:numId w:val="1"/>
        </w:numPr>
        <w:rPr/>
      </w:pPr>
      <w:bookmarkStart w:id="428" w:name="__RefHeading___Toc2228001_2314609296"/>
      <w:bookmarkStart w:id="429" w:name="_Toc163"/>
      <w:bookmarkEnd w:id="428"/>
      <w:r>
        <w:rPr>
          <w:rtl w:val="true"/>
        </w:rPr>
        <w:t>[«</w:t>
      </w:r>
      <w:r>
        <w:rPr>
          <w:rtl w:val="true"/>
        </w:rPr>
        <w:t>أحدها</w:t>
      </w:r>
      <w:r>
        <w:rPr>
          <w:rtl w:val="true"/>
        </w:rPr>
        <w:t xml:space="preserve">: </w:t>
      </w:r>
      <w:r>
        <w:rPr>
          <w:rtl w:val="true"/>
        </w:rPr>
        <w:t>القتل</w:t>
      </w:r>
      <w:r>
        <w:rPr>
          <w:rtl w:val="true"/>
        </w:rPr>
        <w:t>»]</w:t>
      </w:r>
      <w:bookmarkEnd w:id="429"/>
    </w:p>
    <w:p>
      <w:pPr>
        <w:pStyle w:val="BookText"/>
        <w:rPr/>
      </w:pPr>
      <w:r>
        <w:rPr>
          <w:rFonts w:ascii="IRNazanin" w:hAnsi="IRNazanin" w:eastAsia="IRNazanin"/>
          <w:color w:val="111111"/>
          <w:sz w:val="28"/>
          <w:sz w:val="28"/>
          <w:szCs w:val="28"/>
          <w:rtl w:val="true"/>
          <w:lang w:bidi="fa-IR"/>
        </w:rPr>
        <w:t>بالسیف ونحوه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للزانی بالمحرم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النَسَبی من النساء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کالاُمّ والاُخت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والعمّة والخالة وبنت الأخ والاُخت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غیره من المحارم بالمصاهرة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کبنت الزوجة واُمّها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فکغیرهنّ من الأجانب علی ما یظهر من الفتاوی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والأخبار </w:t>
      </w:r>
      <w:r>
        <w:rPr>
          <w:rStyle w:val="FootnoteAnchor"/>
          <w:rtl w:val="true"/>
        </w:rPr>
        <w:footnoteReference w:id="1124"/>
      </w:r>
      <w:r>
        <w:rPr>
          <w:rFonts w:ascii="IRNazanin" w:hAnsi="IRNazanin" w:eastAsia="IRNazanin"/>
          <w:color w:val="111111"/>
          <w:sz w:val="28"/>
          <w:sz w:val="28"/>
          <w:szCs w:val="28"/>
          <w:rtl w:val="true"/>
          <w:lang w:bidi="fa-IR"/>
        </w:rPr>
        <w:t>خالیة من تخصیص النسبی، بل الحکم فیها معلّق علی ذات المحرم مطلقاً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من حرمت بالملاعنة والطلاق </w:t>
      </w:r>
      <w:r>
        <w:rPr>
          <w:rStyle w:val="FootnoteAnchor"/>
          <w:rtl w:val="true"/>
        </w:rPr>
        <w:footnoteReference w:id="1125"/>
      </w:r>
      <w:r>
        <w:rPr>
          <w:rFonts w:ascii="Amiri" w:hAnsi="Amiri" w:eastAsia="Amiri" w:cs="Amiri"/>
          <w:color w:val="111111"/>
          <w:sz w:val="28"/>
          <w:sz w:val="28"/>
          <w:szCs w:val="28"/>
          <w:rtl w:val="true"/>
          <w:lang w:bidi="ar-SA"/>
        </w:rPr>
        <w:t>واُخت الموقَب وبنته واُمّه فلا وإن حرمن مؤبَّداً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وفی إلحاق المحرَّم للرضاع بالنسب وجه، مأخذه إلحاقه به فی کثیر من الأحکام للخبر </w:t>
      </w:r>
      <w:r>
        <w:rPr>
          <w:rStyle w:val="FootnoteAnchor"/>
          <w:rtl w:val="true"/>
        </w:rPr>
        <w:footnoteReference w:id="1126"/>
      </w:r>
      <w:r>
        <w:rPr>
          <w:rFonts w:ascii="IRNazanin" w:hAnsi="IRNazanin" w:eastAsia="IRNazanin"/>
          <w:color w:val="111111"/>
          <w:sz w:val="28"/>
          <w:sz w:val="28"/>
          <w:szCs w:val="28"/>
          <w:rtl w:val="true"/>
          <w:lang w:bidi="fa-IR"/>
        </w:rPr>
        <w:t xml:space="preserve">لکن لم نقف علی قائل به </w:t>
      </w:r>
      <w:r>
        <w:rPr>
          <w:rStyle w:val="FootnoteAnchor"/>
          <w:rtl w:val="true"/>
        </w:rPr>
        <w:footnoteReference w:id="1127"/>
      </w:r>
      <w:r>
        <w:rPr>
          <w:rFonts w:ascii="IRNazanin" w:hAnsi="IRNazanin" w:eastAsia="IRNazanin"/>
          <w:color w:val="111111"/>
          <w:sz w:val="28"/>
          <w:sz w:val="28"/>
          <w:szCs w:val="28"/>
          <w:rtl w:val="true"/>
          <w:lang w:bidi="fa-IR"/>
        </w:rPr>
        <w:t>والأخبار تتناوله</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إلحاق زوجة الأب والابن وموطوءة الأب بالملک بالمحرّم النسبی</w:t>
      </w:r>
    </w:p>
    <w:p>
      <w:pPr>
        <w:pStyle w:val="BookText"/>
        <w:rPr/>
      </w:pPr>
      <w:r>
        <w:rPr>
          <w:rFonts w:ascii="IRNazanin" w:hAnsi="IRNazanin" w:eastAsia="IRNazanin"/>
          <w:color w:val="111111"/>
          <w:sz w:val="28"/>
          <w:sz w:val="28"/>
          <w:szCs w:val="28"/>
          <w:rtl w:val="true"/>
          <w:lang w:bidi="fa-IR"/>
        </w:rPr>
        <w:t xml:space="preserve">قولان </w:t>
      </w:r>
      <w:r>
        <w:rPr>
          <w:rStyle w:val="FootnoteAnchor"/>
          <w:rtl w:val="true"/>
        </w:rPr>
        <w:footnoteReference w:id="11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دخولهنّ فی ذات المحرم، وأصالة العدم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یخفی أنّ إلحاقهن بالمحرَم دون غیرهنّ من المحارم بالمصاهرة تحکُّم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دلّت النصوص </w:t>
      </w:r>
      <w:r>
        <w:rPr>
          <w:rStyle w:val="FootnoteAnchor"/>
          <w:rtl w:val="true"/>
        </w:rPr>
        <w:footnoteReference w:id="1129"/>
      </w:r>
      <w:r>
        <w:rPr>
          <w:rFonts w:ascii="IRNazanin" w:hAnsi="IRNazanin" w:eastAsia="IRNazanin"/>
          <w:color w:val="111111"/>
          <w:sz w:val="28"/>
          <w:sz w:val="28"/>
          <w:szCs w:val="28"/>
          <w:rtl w:val="true"/>
          <w:lang w:bidi="fa-IR"/>
        </w:rPr>
        <w:t>علی ثبوت الحکم فی ذات المَحرم مطلقاً فیتناولهنّ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وخروج غیرهنّ بدلیل آخر کالإجماع لا ینفی الحکم فیهنّ مع ثبوت 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یبقی الکلام فی تحقّق الإجماع فی غیرهنّ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یثبت الحدّ بالقتل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للذمّی إذا زنا بمسلمة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مطاوعة أو مُکرَهة عاقداً علیها أم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لو اعتقده حلالاً بذلک لجهله بحکم الإسلام احتمل قبول عذره؛ لأنّ الحدّ یُدرأ بالشبهة، وعدمه؛ للعموم </w:t>
      </w:r>
      <w:r>
        <w:rPr>
          <w:rStyle w:val="FootnoteAnchor"/>
          <w:rtl w:val="true"/>
        </w:rPr>
        <w:footnoteReference w:id="1130"/>
      </w:r>
      <w:r>
        <w:rPr>
          <w:rFonts w:ascii="IRNazanin" w:hAnsi="IRNazanin" w:eastAsia="IRNazanin"/>
          <w:color w:val="111111"/>
          <w:sz w:val="28"/>
          <w:sz w:val="28"/>
          <w:szCs w:val="28"/>
          <w:rtl w:val="true"/>
          <w:lang w:bidi="fa-IR"/>
        </w:rPr>
        <w:t>ولا یسقط عنه القتل بإسلامه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والزانی مکرهاً للمرأة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والحکم فی الأخبار </w:t>
      </w:r>
      <w:r>
        <w:rPr>
          <w:rStyle w:val="FootnoteAnchor"/>
          <w:rtl w:val="true"/>
        </w:rPr>
        <w:footnoteReference w:id="1131"/>
      </w:r>
      <w:r>
        <w:rPr>
          <w:rFonts w:ascii="IRNazanin" w:hAnsi="IRNazanin" w:eastAsia="IRNazanin"/>
          <w:color w:val="111111"/>
          <w:sz w:val="28"/>
          <w:sz w:val="28"/>
          <w:szCs w:val="28"/>
          <w:rtl w:val="true"/>
          <w:lang w:bidi="fa-IR"/>
        </w:rPr>
        <w:t xml:space="preserve">والفتوی </w:t>
      </w:r>
      <w:r>
        <w:rPr>
          <w:rStyle w:val="FootnoteAnchor"/>
          <w:rtl w:val="true"/>
        </w:rPr>
        <w:footnoteReference w:id="1132"/>
      </w:r>
      <w:r>
        <w:rPr>
          <w:rFonts w:ascii="IRNazanin" w:hAnsi="IRNazanin" w:eastAsia="IRNazanin"/>
          <w:color w:val="111111"/>
          <w:sz w:val="28"/>
          <w:sz w:val="28"/>
          <w:szCs w:val="28"/>
          <w:rtl w:val="true"/>
          <w:lang w:bidi="fa-IR"/>
        </w:rPr>
        <w:t>معلَّق علی المرأة وهی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سلف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تتناول الصغیرة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إلحاقها بها هنا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فقد النصّ وأصالة العدم، ومن أنّ الفعل أفحش والتحریم فیها أقوی</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یعتبر الإحصان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المواضع الثلاثة؛ لإطلاق النصوص بقتله</w:t>
      </w:r>
      <w:r>
        <w:rPr>
          <w:rFonts w:eastAsia="IRNazanin" w:cs="IRNazanin"/>
          <w:color w:val="111111"/>
          <w:sz w:val="28"/>
          <w:szCs w:val="28"/>
          <w:rtl w:val="true"/>
          <w:lang w:bidi="fa-IR"/>
        </w:rPr>
        <w:t>.</w:t>
      </w:r>
      <w:bookmarkStart w:id="430" w:name="pg19815_253270"/>
    </w:p>
    <w:p>
      <w:pPr>
        <w:pStyle w:val="BookText"/>
        <w:rPr/>
      </w:pPr>
      <w:bookmarkEnd w:id="430"/>
      <w:r>
        <w:rPr>
          <w:rFonts w:ascii="IRNazanin" w:hAnsi="IRNazanin" w:eastAsia="IRNazanin"/>
          <w:color w:val="111111"/>
          <w:sz w:val="28"/>
          <w:sz w:val="28"/>
          <w:szCs w:val="28"/>
          <w:rtl w:val="true"/>
          <w:lang w:bidi="fa-IR"/>
        </w:rPr>
        <w:t>وکذا لا فرق بین الشیخ والشابّ، ولا بین المسلم والکافر، والحرّ والعبد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تُلحق به المرأة لو أکرهته؛ للأصل مع احتماله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ویجمع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للزانی فی هذه الصور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الجلد ثمّ القتل علی الأقوی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جمعاً بین الأدلّة، فإنّ الآیة دلّت علی جلد مطلق الزانی </w:t>
      </w:r>
      <w:r>
        <w:rPr>
          <w:rStyle w:val="FootnoteAnchor"/>
          <w:rtl w:val="true"/>
        </w:rPr>
        <w:footnoteReference w:id="1133"/>
      </w:r>
      <w:r>
        <w:rPr>
          <w:rFonts w:ascii="IRNazanin" w:hAnsi="IRNazanin" w:eastAsia="IRNazanin"/>
          <w:color w:val="111111"/>
          <w:sz w:val="28"/>
          <w:sz w:val="28"/>
          <w:szCs w:val="28"/>
          <w:rtl w:val="true"/>
          <w:lang w:bidi="fa-IR"/>
        </w:rPr>
        <w:t>والروایات دلّت علی قتل من ذُکر، ولا منافاة بینهما، فیجب الجمع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ابن إدریس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هؤلاء إن کانوا محصَنین جُلدوا ثمّ رُجموا، وإن کانوا غیر محصَنین جُلدوا ثمّ قُتِلوا بغیر الرجم جمعاً بین الأدلّة </w:t>
      </w:r>
      <w:r>
        <w:rPr>
          <w:rStyle w:val="FootnoteAnchor"/>
          <w:rtl w:val="true"/>
        </w:rPr>
        <w:footnoteReference w:id="11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تحقّق الجمع بذلک مطلقاً نظر؛ لأنّ النصوص دلّت علی قتله بالسیف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والرجم یغایره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الرجم أعظم عقوبة، والفعل هنا فی الثلاثة أفحش، فإذا ثبت الأقوی للزانی المحصَن بغیر من ذکر، ففیه أولی، مع صدق أصل </w:t>
      </w:r>
      <w:r>
        <w:rPr>
          <w:rStyle w:val="FootnoteAnchor"/>
          <w:rtl w:val="true"/>
        </w:rPr>
        <w:footnoteReference w:id="1135"/>
      </w:r>
      <w:r>
        <w:rPr>
          <w:rFonts w:ascii="IRNazanin" w:hAnsi="IRNazanin" w:eastAsia="IRNazanin"/>
          <w:color w:val="111111"/>
          <w:sz w:val="28"/>
          <w:sz w:val="28"/>
          <w:szCs w:val="28"/>
          <w:rtl w:val="true"/>
          <w:lang w:bidi="fa-IR"/>
        </w:rPr>
        <w:t>القتل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اختاره المصنّف أوضح فی الجمع</w:t>
      </w:r>
      <w:r>
        <w:rPr>
          <w:rFonts w:eastAsia="IRNazanin" w:cs="IRNazanin"/>
          <w:color w:val="111111"/>
          <w:sz w:val="28"/>
          <w:szCs w:val="28"/>
          <w:rtl w:val="true"/>
          <w:lang w:bidi="fa-IR"/>
        </w:rPr>
        <w:t>.</w:t>
      </w:r>
    </w:p>
    <w:p>
      <w:pPr>
        <w:pStyle w:val="Heading6"/>
        <w:numPr>
          <w:ilvl w:val="5"/>
          <w:numId w:val="1"/>
        </w:numPr>
        <w:rPr/>
      </w:pPr>
      <w:bookmarkStart w:id="431" w:name="__RefHeading___Toc2228003_2314609296"/>
      <w:bookmarkStart w:id="432" w:name="_Toc164"/>
      <w:bookmarkEnd w:id="431"/>
      <w:r>
        <w:rPr>
          <w:rtl w:val="true"/>
        </w:rPr>
        <w:t>[«</w:t>
      </w:r>
      <w:r>
        <w:rPr>
          <w:rtl w:val="true"/>
        </w:rPr>
        <w:t>وثانیها</w:t>
      </w:r>
      <w:r>
        <w:rPr>
          <w:rtl w:val="true"/>
        </w:rPr>
        <w:t xml:space="preserve">: </w:t>
      </w:r>
      <w:r>
        <w:rPr>
          <w:rtl w:val="true"/>
        </w:rPr>
        <w:t>الرجم</w:t>
      </w:r>
      <w:r>
        <w:rPr>
          <w:rtl w:val="true"/>
        </w:rPr>
        <w:t>» :]</w:t>
      </w:r>
      <w:bookmarkEnd w:id="432"/>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ویجب علی المحصَن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الصاد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زنی ببالغة عاقلة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حرّةً کانت أم أمة مسلمة أم کافرة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والإحصان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إصابة البالغ العاقل الحرّ فرجاً </w:t>
      </w:r>
      <w:r>
        <w:rPr>
          <w:rStyle w:val="FootnoteAnchor"/>
          <w:rtl w:val="true"/>
        </w:rPr>
        <w:footnoteReference w:id="11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قُبُلاً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مملوکاً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بالعقد الدائم أو الرقّ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متمکّناً بعد ذلک منه، بحیث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یغدو علیه ویروح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یتمکّن منه أوّل النهار وآخره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إصابة معلومة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بحیث غابت الحشفة أو قدرها فی القبل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أنکر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یملک الفرج علی الوجه المذکور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وطء زوجته 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بغیر یمین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وإن کان له منها ولد؛ لأنّ الولد قد یُخلق </w:t>
      </w:r>
      <w:r>
        <w:rPr>
          <w:rStyle w:val="FootnoteAnchor"/>
          <w:rtl w:val="true"/>
        </w:rPr>
        <w:footnoteReference w:id="1137"/>
      </w:r>
      <w:r>
        <w:rPr>
          <w:rFonts w:ascii="IRNazanin" w:hAnsi="IRNazanin" w:eastAsia="IRNazanin"/>
          <w:color w:val="111111"/>
          <w:sz w:val="28"/>
          <w:sz w:val="28"/>
          <w:szCs w:val="28"/>
          <w:rtl w:val="true"/>
          <w:lang w:bidi="fa-IR"/>
        </w:rPr>
        <w:t>من استرسال المنیّ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بغیر وطء، فهذه قیود ثمانیة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الإصابة، أی الوطء قُبُلاً علی وجه یوجب الغسل، فلا یکفی مجرّد العقد، ولا الخلوة التامّة، ولا إصابة الدبر، ولا ما بین الفخذین، ولا فی القُبُل علی وجه لا یوجب الغسل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یُشترط الإنزال ولا سلامة الخصیتین </w:t>
      </w:r>
      <w:r>
        <w:rPr>
          <w:rStyle w:val="FootnoteAnchor"/>
          <w:rtl w:val="true"/>
        </w:rPr>
        <w:footnoteReference w:id="1138"/>
      </w:r>
      <w:r>
        <w:rPr>
          <w:rFonts w:ascii="IRNazanin" w:hAnsi="IRNazanin" w:eastAsia="IRNazanin"/>
          <w:color w:val="111111"/>
          <w:sz w:val="28"/>
          <w:sz w:val="28"/>
          <w:szCs w:val="28"/>
          <w:rtl w:val="true"/>
          <w:lang w:bidi="fa-IR"/>
        </w:rPr>
        <w:t>فیتحقّق من الخصیّ ونحوه، لا من المجبوب وإن ساحق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الواطئ بالغاً، فلو أولج الصبیّ حتّی غیّب مقدار الحشفة لم یکن محصَناً وإن کان مراهقاً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عاقلاً، فلو وطئ مجنوناً وإن عقد عاقلاً لم یتحقّق الإحصان ویتحقّق بوطئه عاقلاً وإن تجدّد جنونه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الحرّیّة، فلو وطئ العبد زوجته حرّة وأمة لم یکن محصَناً وإن عُتِق ما لم یطأ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بین القِنّ والمدبَّر والمکاتب بقسمیه والمبعَّض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وخامسها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الوطء بفرج، فلا یکفی الدُبُر، ولا التفخیذ ونحوه، کما سلف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دلالة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الإصابة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ذلک نظر، لما تقدّم من أنّ الفرج یُطلق لغةً علی ما یشمل الدُبُر وقد أطلقه علیه </w:t>
      </w:r>
      <w:r>
        <w:rPr>
          <w:rStyle w:val="FootnoteAnchor"/>
          <w:rtl w:val="true"/>
        </w:rPr>
        <w:footnoteReference w:id="1139"/>
      </w:r>
      <w:r>
        <w:rPr>
          <w:rFonts w:ascii="IRNazanin" w:hAnsi="IRNazanin" w:eastAsia="IRNazanin"/>
          <w:color w:val="111111"/>
          <w:sz w:val="28"/>
          <w:sz w:val="28"/>
          <w:szCs w:val="28"/>
          <w:rtl w:val="true"/>
          <w:lang w:bidi="fa-IR"/>
        </w:rPr>
        <w:t>فتخصیصه هنا مع الإطلاق وإن دلّ علیه العرف لیس بجیّد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بعض نسخ الکتاب زیادة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تقیید</w:t>
      </w:r>
    </w:p>
    <w:p>
      <w:pPr>
        <w:pStyle w:val="BookText"/>
        <w:rPr/>
      </w:pPr>
      <w:r>
        <w:rPr>
          <w:rFonts w:ascii="IRNazanin" w:hAnsi="IRNazanin" w:eastAsia="IRNazanin"/>
          <w:color w:val="111111"/>
          <w:sz w:val="28"/>
          <w:sz w:val="28"/>
          <w:szCs w:val="28"/>
          <w:rtl w:val="true"/>
          <w:lang w:bidi="fa-IR"/>
        </w:rPr>
        <w:t xml:space="preserve">لما اُطلق منه، ومعه یوافق ما سلف </w:t>
      </w:r>
      <w:r>
        <w:rPr>
          <w:rStyle w:val="FootnoteAnchor"/>
          <w:rtl w:val="true"/>
        </w:rPr>
        <w:footnoteReference w:id="11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وسادسها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کونه مملوکاً له بالعقد الدائم أو ملک الیمین، فلا یتحقّق بوطء الزنا ولا الشبهة وإن کانت بعقد فاسد، ولا المتعة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إلحاق التحلیل بملک الیمین وجه؛ لدخوله فیه من حیث الحلّ، وإلّا لبطل الحصر المستفاد من الآیة </w:t>
      </w:r>
      <w:r>
        <w:rPr>
          <w:rStyle w:val="FootnoteAnchor"/>
          <w:rtl w:val="true"/>
        </w:rPr>
        <w:footnoteReference w:id="1141"/>
      </w:r>
      <w:r>
        <w:rPr>
          <w:rFonts w:ascii="IRNazanin" w:hAnsi="IRNazanin" w:eastAsia="IRNazanin"/>
          <w:color w:val="111111"/>
          <w:sz w:val="28"/>
          <w:sz w:val="28"/>
          <w:szCs w:val="28"/>
          <w:rtl w:val="true"/>
          <w:lang w:bidi="fa-IR"/>
        </w:rPr>
        <w:t>ولم أقف فیه هنا علی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وسابعها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کونه متمکّناً منه غدوّاً ورواحاً، فلو کان بعیداً عنه لا یتمکّن منه فیهما وإن تمکّن فی 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 الآخر </w:t>
      </w:r>
      <w:r>
        <w:rPr>
          <w:rFonts w:eastAsia="IRNazanin" w:cs="IRNazanin"/>
          <w:color w:val="111111"/>
          <w:sz w:val="28"/>
          <w:szCs w:val="28"/>
          <w:rtl w:val="true"/>
          <w:lang w:bidi="fa-IR"/>
        </w:rPr>
        <w:t xml:space="preserve">] </w:t>
      </w:r>
      <w:r>
        <w:rPr>
          <w:rStyle w:val="FootnoteAnchor"/>
          <w:rtl w:val="true"/>
        </w:rPr>
        <w:footnoteReference w:id="1142"/>
      </w:r>
      <w:r>
        <w:rPr>
          <w:rFonts w:ascii="IRNazanin" w:hAnsi="IRNazanin" w:eastAsia="IRNazanin"/>
          <w:color w:val="111111"/>
          <w:sz w:val="28"/>
          <w:sz w:val="28"/>
          <w:szCs w:val="28"/>
          <w:rtl w:val="true"/>
          <w:lang w:bidi="fa-IR"/>
        </w:rPr>
        <w:t>أو فیما بینهما أو محبوساً لا یتمکّن من الوصول إلیه لم یکن محصناً وإن کان قد دخل قبل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فرق فی البعید بین کونه دون مسافة القصر وأزید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الإصابة معلومة، ویتحقّق العلم بإقراره بها أو بالبیّنة، لا بالخلوة ولا الولد؛ لأنّهما أعمّ کما 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واعلم أنّ الإصابة أعمّ ممّا یعتبر منها، وکذا الفرج کما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تغیب قدر حشفة البالغ</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فی قُبُلٍ مملوکٍ 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کان أوضح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وشمل إطلاق إصابة الفرج ما لو کانت صغیرة وکبیرة عاقلة ومجنونة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کذلک، بل یعتبر بلوغ الموطوءة کالواطئ ولا یتحقّق فیهما بدونه</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 کلّه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تصیر المرأة محصَنة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ومقتضی ذلک صیرورة الأمة والصغیرة محصَنة، لتحقّق إصابة البالغ</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فرجاً مملوکاً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w:t>
      </w:r>
    </w:p>
    <w:p>
      <w:pPr>
        <w:pStyle w:val="BookText"/>
        <w:rPr/>
      </w:pPr>
      <w:r>
        <w:rPr>
          <w:rFonts w:ascii="IRNazanin" w:hAnsi="IRNazanin" w:eastAsia="IRNazanin"/>
          <w:color w:val="111111"/>
          <w:sz w:val="28"/>
          <w:sz w:val="28"/>
          <w:szCs w:val="28"/>
          <w:rtl w:val="true"/>
          <w:lang w:bidi="fa-IR"/>
        </w:rPr>
        <w:t>کذلک، بل یعتبر فیها البلوغ والعقل والحرّیّة کالرجل وفی الواطئ البلوغ دون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فالمحصَنة 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المصابة حرّة بالغة عاقلة من زوج بالغ دائم فی القبل بما یوجب الغسل إصابة معلومة، فلو أنکرت ذات الولد منه وطأه لم یثبت إحصانها وإن ادّعاه وثبت </w:t>
      </w:r>
      <w:r>
        <w:rPr>
          <w:rStyle w:val="FootnoteAnchor"/>
          <w:rtl w:val="true"/>
        </w:rPr>
        <w:footnoteReference w:id="1143"/>
      </w:r>
      <w:r>
        <w:rPr>
          <w:rFonts w:ascii="IRNazanin" w:hAnsi="IRNazanin" w:eastAsia="IRNazanin"/>
          <w:color w:val="111111"/>
          <w:sz w:val="28"/>
          <w:sz w:val="28"/>
          <w:szCs w:val="28"/>
          <w:rtl w:val="true"/>
          <w:lang w:bidi="fa-IR"/>
        </w:rPr>
        <w:t>فی حقّه، کعکسه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التمکّن من الوطء فإنّما یعتبر فی حقّه خاصّة، فلا بدّ من مراعاته فی تعریفها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أن یرید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وبذلک تصیر المرأة محصنة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الشروط المعتبرة فیه تعتبر فیها بحیث تجعل بدله بنوعٍ من التکلّف، فتخرج الصغیرة والمجنونة والأمة وإن دخل حینئذٍ ما دخل فی تعریفه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یشترط فی الإحصان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فیثبت فی حقّ الکافر والکافرة مطلقاً إذا حصلت الشرائط، فلو وطئ الذمّی زوجته الدائمة تحقّق الإحصان، وکذا لو وطئ المسلم زوجته الذمّیّة حیث تکون دائمة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عدم الطلاق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زنی المطلِّق أو تزوّجت المطلَّقة عالمة بالتحریم أو زنت رُجِمت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کانت العدّة رجعیّة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لأنّها فی حکم الزوجة وإن لم تتمکّن هی من الرجعة، کما لا یعتبر تمکّنها من الوطء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بخلاف البائن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لانقطاع العصمة به، فلا بدّ فی تحقّق الإحصان بعدَه من وطء جدید، سواء تجدّد الدوام بعقد جدید أم برجوعه فی الطلاق حیث رجعت فی البذل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یعتبر وطء المملوک بعد عتقه وإن کان مکاتباً</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والأقرب الجمع بین الجلد والرجم فی المحصَن وإن کان شابّاً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جمعاً بین دلیل الآیة </w:t>
      </w:r>
      <w:r>
        <w:rPr>
          <w:rStyle w:val="FootnoteAnchor"/>
          <w:rtl w:val="true"/>
        </w:rPr>
        <w:footnoteReference w:id="1144"/>
      </w:r>
      <w:r>
        <w:rPr>
          <w:rFonts w:ascii="IRNazanin" w:hAnsi="IRNazanin" w:eastAsia="IRNazanin"/>
          <w:color w:val="111111"/>
          <w:sz w:val="28"/>
          <w:sz w:val="28"/>
          <w:szCs w:val="28"/>
          <w:rtl w:val="true"/>
          <w:lang w:bidi="fa-IR"/>
        </w:rPr>
        <w:t xml:space="preserve">والروایة </w:t>
      </w:r>
      <w:r>
        <w:rPr>
          <w:rStyle w:val="FootnoteAnchor"/>
          <w:rtl w:val="true"/>
        </w:rPr>
        <w:footnoteReference w:id="11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یجمع بینهما علی المحصَن إذا کان شیخاً أو شیخة، وغیرُهما یُقتصر فیه علی الرجم </w:t>
      </w:r>
      <w:r>
        <w:rPr>
          <w:rStyle w:val="FootnoteAnchor"/>
          <w:rtl w:val="true"/>
        </w:rPr>
        <w:footnoteReference w:id="11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وربما قیل بالاقتصار علی رجمه مطلقاً </w:t>
      </w:r>
      <w:r>
        <w:rPr>
          <w:rStyle w:val="FootnoteAnchor"/>
          <w:rtl w:val="true"/>
        </w:rPr>
        <w:footnoteReference w:id="11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والأقوی ما اختاره المصنّف، لدلالة الأخبار الصحیحة </w:t>
      </w:r>
      <w:r>
        <w:rPr>
          <w:rStyle w:val="FootnoteAnchor"/>
          <w:rtl w:val="true"/>
        </w:rPr>
        <w:footnoteReference w:id="1148"/>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کلام علیّ علیه السلام حین جمع للمرأة بینهما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حددتُها </w:t>
      </w:r>
      <w:r>
        <w:rPr>
          <w:rStyle w:val="FootnoteAnchor"/>
          <w:rtl w:val="true"/>
        </w:rPr>
        <w:footnoteReference w:id="1149"/>
      </w:r>
      <w:r>
        <w:rPr>
          <w:rFonts w:ascii="Amiri" w:hAnsi="Amiri" w:eastAsia="Amiri" w:cs="Amiri"/>
          <w:color w:val="111111"/>
          <w:sz w:val="28"/>
          <w:sz w:val="28"/>
          <w:szCs w:val="28"/>
          <w:rtl w:val="true"/>
          <w:lang w:bidi="ar-SA"/>
        </w:rPr>
        <w:t>بکتاب اللّٰه، ورجمتها بسنّة رسول اللّٰه صلی الله علیه و آله</w:t>
      </w:r>
      <w:r>
        <w:rPr>
          <w:rFonts w:eastAsia="Amiri" w:cs="Amiri" w:ascii="Amiri" w:hAnsi="Amiri"/>
          <w:color w:val="111111"/>
          <w:sz w:val="28"/>
          <w:szCs w:val="28"/>
          <w:rtl w:val="true"/>
          <w:lang w:bidi="ar-SA"/>
        </w:rPr>
        <w:t xml:space="preserve">» </w:t>
      </w:r>
      <w:r>
        <w:rPr>
          <w:rStyle w:val="FootnoteAnchor"/>
          <w:rtl w:val="true"/>
        </w:rPr>
        <w:footnoteReference w:id="1150"/>
      </w:r>
      <w:r>
        <w:rPr>
          <w:rFonts w:ascii="IRNazanin" w:hAnsi="IRNazanin" w:eastAsia="IRNazanin"/>
          <w:color w:val="111111"/>
          <w:sz w:val="28"/>
          <w:sz w:val="28"/>
          <w:szCs w:val="28"/>
          <w:rtl w:val="true"/>
          <w:lang w:bidi="fa-IR"/>
        </w:rPr>
        <w:t xml:space="preserve">ومستند التفصیل روایة </w:t>
      </w:r>
      <w:r>
        <w:rPr>
          <w:rStyle w:val="FootnoteAnchor"/>
          <w:rtl w:val="true"/>
        </w:rPr>
        <w:footnoteReference w:id="1151"/>
      </w:r>
      <w:r>
        <w:rPr>
          <w:rFonts w:ascii="Amiri" w:hAnsi="Amiri" w:eastAsia="Amiri" w:cs="Amiri"/>
          <w:color w:val="111111"/>
          <w:sz w:val="28"/>
          <w:sz w:val="28"/>
          <w:szCs w:val="28"/>
          <w:rtl w:val="true"/>
          <w:lang w:bidi="ar-SA"/>
        </w:rPr>
        <w:t xml:space="preserve">تقصر عن ذلک متناً وسنداً </w:t>
      </w:r>
      <w:r>
        <w:rPr>
          <w:rStyle w:val="FootnoteAnchor"/>
          <w:rtl w:val="true"/>
        </w:rPr>
        <w:footnoteReference w:id="11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وحیث یجمع بینهما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فیُبدأ بالجلد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 وجوباً لیتحقّق فائدته، ولا یجب الصبر به حتّی یبرأ جِلده علی الأقوی؛ للأصل وإن کان التأخیر أقوی فی الزجر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علیّاً علیه السلام جلد المرأة یوم الخمیس ورجمها یوم الجمعة </w:t>
      </w:r>
      <w:r>
        <w:rPr>
          <w:rStyle w:val="FootnoteAnchor"/>
          <w:rtl w:val="true"/>
        </w:rPr>
        <w:footnoteReference w:id="1153"/>
      </w:r>
      <w:r>
        <w:rPr>
          <w:rFonts w:eastAsia="Times New Roman" w:cs="Times New Roman" w:ascii="Times New Roman" w:hAnsi="Times New Roman"/>
          <w:color w:val="111111"/>
          <w:sz w:val="28"/>
          <w:szCs w:val="28"/>
          <w:rtl w:val="true"/>
          <w:lang w:val="en-US" w:bidi="en-US"/>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وکذا القول فی کلّ حدّین اجتمعا ویفوت أحدهما بالآخر، فإنّه یبدأ بما یمکن معه الجمع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استویا تخیّر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تدفن المرأة إلی صدرها والرجل إلی حقویه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وظاهره کغیره </w:t>
      </w:r>
      <w:r>
        <w:rPr>
          <w:rStyle w:val="FootnoteAnchor"/>
          <w:rtl w:val="true"/>
        </w:rPr>
        <w:footnoteReference w:id="1154"/>
      </w:r>
      <w:r>
        <w:rPr>
          <w:rFonts w:ascii="IRNazanin" w:hAnsi="IRNazanin" w:eastAsia="IRNazanin"/>
          <w:color w:val="111111"/>
          <w:sz w:val="28"/>
          <w:sz w:val="28"/>
          <w:szCs w:val="28"/>
          <w:rtl w:val="true"/>
          <w:lang w:bidi="fa-IR"/>
        </w:rPr>
        <w:t>أنّ ذلک علی وجه 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فی أصل الدفن حسن، للتأسّی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فی کیفیّته فالأخبار مطلقة </w:t>
      </w:r>
      <w:r>
        <w:rPr>
          <w:rStyle w:val="FootnoteAnchor"/>
          <w:rtl w:val="true"/>
        </w:rPr>
        <w:footnoteReference w:id="1155"/>
      </w:r>
      <w:r>
        <w:rPr>
          <w:rFonts w:ascii="IRNazanin" w:hAnsi="IRNazanin" w:eastAsia="IRNazanin"/>
          <w:color w:val="111111"/>
          <w:sz w:val="28"/>
          <w:sz w:val="28"/>
          <w:szCs w:val="28"/>
          <w:rtl w:val="true"/>
          <w:lang w:bidi="fa-IR"/>
        </w:rPr>
        <w:t>ویمکن جعل ذلک علی وجه الاستحباب، لتأدّی الوظیفة المطلقة بما هو أعمّ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سماعة عن الصادق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تدفن المرأة إلی وسطها، ولا یدفن الرجل إذا رُجِم إلّاإلی حَقویه</w:t>
      </w:r>
      <w:r>
        <w:rPr>
          <w:rFonts w:eastAsia="IRNazanin" w:cs="IRNazanin"/>
          <w:color w:val="111111"/>
          <w:sz w:val="28"/>
          <w:szCs w:val="28"/>
          <w:rtl w:val="true"/>
          <w:lang w:bidi="fa-IR"/>
        </w:rPr>
        <w:t xml:space="preserve">» </w:t>
      </w:r>
      <w:r>
        <w:rPr>
          <w:rStyle w:val="FootnoteAnchor"/>
          <w:rtl w:val="true"/>
        </w:rPr>
        <w:footnoteReference w:id="1156"/>
      </w:r>
      <w:r>
        <w:rPr>
          <w:rFonts w:ascii="IRNazanin" w:hAnsi="IRNazanin" w:eastAsia="IRNazanin"/>
          <w:color w:val="111111"/>
          <w:sz w:val="28"/>
          <w:sz w:val="28"/>
          <w:szCs w:val="28"/>
          <w:rtl w:val="true"/>
          <w:lang w:bidi="fa-IR"/>
        </w:rPr>
        <w:t xml:space="preserve">ونفی فی المختلف البأس عن العمل بمضمونها </w:t>
      </w:r>
      <w:r>
        <w:rPr>
          <w:rStyle w:val="FootnoteAnchor"/>
          <w:rtl w:val="true"/>
        </w:rPr>
        <w:footnoteReference w:id="11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دخول الغایتین فی المغیّا وجوباً واستحباباً نظر، أقربه العدم، فیخرج الصدر والحَقوان عن الدفن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وینبغی علی الوجوب إدخال جزءٍ منهما من باب المقدّمة</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فرّا </w:t>
      </w:r>
      <w:r>
        <w:rPr>
          <w:rStyle w:val="FootnoteAnchor"/>
          <w:rtl w:val="true"/>
        </w:rPr>
        <w:footnoteReference w:id="11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الحفیرة بعد وضعهما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اُعیدا إن 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بالبیّنة أو لم تصب الحجارة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w:t>
      </w:r>
      <w:r>
        <w:rPr>
          <w:rStyle w:val="FootnoteAnchor"/>
          <w:rtl w:val="true"/>
        </w:rPr>
        <w:footnoteReference w:id="1159"/>
      </w:r>
      <w:r>
        <w:rPr>
          <w:rFonts w:ascii="IRNazanin" w:hAnsi="IRNazanin" w:eastAsia="IRNazanin"/>
          <w:color w:val="111111"/>
          <w:sz w:val="28"/>
          <w:sz w:val="28"/>
          <w:szCs w:val="28"/>
          <w:rtl w:val="true"/>
          <w:lang w:bidi="fa-IR"/>
        </w:rPr>
        <w:t xml:space="preserve">وابن البرّاج </w:t>
      </w:r>
      <w:r>
        <w:rPr>
          <w:rStyle w:val="FootnoteAnchor"/>
          <w:rtl w:val="true"/>
        </w:rPr>
        <w:footnoteReference w:id="1160"/>
      </w:r>
      <w:r>
        <w:rPr>
          <w:rFonts w:ascii="IRNazanin" w:hAnsi="IRNazanin" w:eastAsia="IRNazanin"/>
          <w:color w:val="111111"/>
          <w:sz w:val="28"/>
          <w:sz w:val="28"/>
          <w:szCs w:val="28"/>
          <w:rtl w:val="true"/>
          <w:lang w:bidi="fa-IR"/>
        </w:rPr>
        <w:t>والخلاف فی الثانی 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والمشهور عدم اشتراط الإصابة؛ للإطلاق </w:t>
      </w:r>
      <w:r>
        <w:rPr>
          <w:rStyle w:val="FootnoteAnchor"/>
          <w:rtl w:val="true"/>
        </w:rPr>
        <w:footnoteReference w:id="1161"/>
      </w:r>
      <w:r>
        <w:rPr>
          <w:rFonts w:ascii="Amiri" w:hAnsi="Amiri" w:eastAsia="Amiri" w:cs="Amiri"/>
          <w:color w:val="111111"/>
          <w:sz w:val="28"/>
          <w:sz w:val="28"/>
          <w:szCs w:val="28"/>
          <w:rtl w:val="true"/>
          <w:lang w:bidi="ar-SA"/>
        </w:rPr>
        <w:t>ولأنّ</w:t>
      </w:r>
    </w:p>
    <w:p>
      <w:pPr>
        <w:pStyle w:val="BookText"/>
        <w:rPr/>
      </w:pPr>
      <w:r>
        <w:rPr>
          <w:rFonts w:ascii="IRNazanin" w:hAnsi="IRNazanin" w:eastAsia="IRNazanin"/>
          <w:color w:val="111111"/>
          <w:sz w:val="28"/>
          <w:sz w:val="28"/>
          <w:szCs w:val="28"/>
          <w:rtl w:val="true"/>
          <w:lang w:bidi="fa-IR"/>
        </w:rPr>
        <w:t>فراره بمنزلة الرجوع عن الإقرار وهو أعلم بنفسه، ولأنّ الحدّ مبنیّ علی التخفیف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هذه الوجوه 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ومستند التفصیل روایة الحسین بن خالد عن الکاظم علیه السلام </w:t>
      </w:r>
      <w:r>
        <w:rPr>
          <w:rStyle w:val="FootnoteAnchor"/>
          <w:rtl w:val="true"/>
        </w:rPr>
        <w:footnoteReference w:id="1162"/>
      </w:r>
      <w:r>
        <w:rPr>
          <w:rFonts w:ascii="IRNazanin" w:hAnsi="IRNazanin" w:eastAsia="IRNazanin"/>
          <w:color w:val="111111"/>
          <w:sz w:val="28"/>
          <w:sz w:val="28"/>
          <w:szCs w:val="28"/>
          <w:rtl w:val="true"/>
          <w:lang w:bidi="fa-IR"/>
        </w:rPr>
        <w:t xml:space="preserve">وهو مجهول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یکن ثبوته بالبیّنة، بل بإقرارهما وإصابتهما الحجارة علی ذلک القول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یعادا </w:t>
      </w:r>
      <w:r>
        <w:rPr>
          <w:rStyle w:val="FootnoteAnchor"/>
          <w:rtl w:val="true"/>
        </w:rPr>
        <w:footnoteReference w:id="11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اتّفاقاً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وفی روایة ماعز </w:t>
      </w:r>
      <w:r>
        <w:rPr>
          <w:rStyle w:val="FootnoteAnchor"/>
          <w:rtl w:val="true"/>
        </w:rPr>
        <w:footnoteReference w:id="11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نّه لما أمر رسول اللّٰه صلی الله علیه و آله برجمه هرب من الحفیرة، فرماه الزبیر بساق بعیر فلحقه القوم فقتلوه، ثمّ أخبروا رسول اللّٰه صلی الله علیه و آله بذلک،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هلّا ترکتموه إذ هرب یذهب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فإنّما هو الذی أقرّ علی نفسه، وقال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لو کان علیٌّ حاضراً لما ضللتم، ووداه رسول اللّٰه صلی الله علیه و آله من بیت المال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وظاهر الحکم بعدم إعادته سقوط الحدّ عنه، فلا یجوز قتله حینئذٍ بذلک الذنب، فإن قُتِل عمداً اقتُصّ من القاتل، وخطأً 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الروایة إرشاد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إیداءه من بیت المال لوقوعه منهم خطأً مع کونه صلی الله علیه و آله قد حکّمهم فیه، فیکون کخطأ الحاکم، ولو فرّ غیره من المحدودین اُعید مطلقاً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یثبت الزنا بالبیّنة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یبدأ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یبدأ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ویکفی فی البداءة مسمّی الضرب</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وینبغی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وجه الاستحباب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إعلام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بوقت الرجم</w:t>
      </w:r>
    </w:p>
    <w:p>
      <w:pPr>
        <w:pStyle w:val="BookText"/>
        <w:rPr/>
      </w:pPr>
      <w:r>
        <w:rPr>
          <w:rFonts w:ascii="IRNazanin" w:hAnsi="IRNazanin" w:eastAsia="IRNazanin"/>
          <w:color w:val="111111"/>
          <w:sz w:val="28"/>
          <w:sz w:val="28"/>
          <w:szCs w:val="28"/>
          <w:rtl w:val="true"/>
          <w:lang w:bidi="fa-IR"/>
        </w:rPr>
        <w:t xml:space="preserve">لیحضروا ویعتبروا، وینزجر من یشاهد </w:t>
      </w:r>
      <w:r>
        <w:rPr>
          <w:rStyle w:val="FootnoteAnchor"/>
          <w:rtl w:val="true"/>
        </w:rPr>
        <w:footnoteReference w:id="1165"/>
      </w:r>
      <w:r>
        <w:rPr>
          <w:rFonts w:ascii="Amiri" w:hAnsi="Amiri" w:eastAsia="Amiri" w:cs="Amiri"/>
          <w:color w:val="111111"/>
          <w:sz w:val="28"/>
          <w:sz w:val="28"/>
          <w:szCs w:val="28"/>
          <w:rtl w:val="true"/>
          <w:lang w:bidi="ar-SA"/>
        </w:rPr>
        <w:t>ممّن أتی مثل ذلک، أو یریده، ولقوله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لْیَشْهَدْ عَذٰابَهُمٰا طٰائِفَةٌ مِنَ اَلْمُؤْمِنِینَ</w:t>
      </w:r>
      <w:r>
        <w:rPr>
          <w:rFonts w:eastAsia="Amiri" w:cs="Amiri" w:ascii="Amiri" w:hAnsi="Amiri"/>
          <w:color w:val="111111"/>
          <w:sz w:val="28"/>
          <w:szCs w:val="28"/>
          <w:rtl w:val="true"/>
          <w:lang w:bidi="ar-SA"/>
        </w:rPr>
        <w:t xml:space="preserve">) </w:t>
      </w:r>
      <w:r>
        <w:rPr>
          <w:rStyle w:val="FootnoteAnchor"/>
          <w:rtl w:val="true"/>
        </w:rPr>
        <w:footnoteReference w:id="1166"/>
      </w:r>
      <w:r>
        <w:rPr>
          <w:rFonts w:ascii="IRNazanin" w:hAnsi="IRNazanin" w:eastAsia="IRNazanin"/>
          <w:color w:val="111111"/>
          <w:sz w:val="28"/>
          <w:sz w:val="28"/>
          <w:szCs w:val="28"/>
          <w:rtl w:val="true"/>
          <w:lang w:bidi="fa-IR"/>
        </w:rPr>
        <w:t>ولا یجب؛ للأصل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والقائل ابن إدریس </w:t>
      </w:r>
      <w:r>
        <w:rPr>
          <w:rStyle w:val="FootnoteAnchor"/>
          <w:rtl w:val="true"/>
        </w:rPr>
        <w:footnoteReference w:id="1167"/>
      </w:r>
      <w:r>
        <w:rPr>
          <w:rFonts w:ascii="Amiri" w:hAnsi="Amiri" w:eastAsia="Amiri" w:cs="Amiri"/>
          <w:color w:val="111111"/>
          <w:sz w:val="28"/>
          <w:sz w:val="28"/>
          <w:szCs w:val="28"/>
          <w:rtl w:val="true"/>
          <w:lang w:bidi="ar-SA"/>
        </w:rPr>
        <w:t xml:space="preserve">والعلّامة </w:t>
      </w:r>
      <w:r>
        <w:rPr>
          <w:rStyle w:val="FootnoteAnchor"/>
          <w:rtl w:val="true"/>
        </w:rPr>
        <w:footnoteReference w:id="1168"/>
      </w:r>
      <w:r>
        <w:rPr>
          <w:rFonts w:ascii="Amiri" w:hAnsi="Amiri" w:eastAsia="Amiri" w:cs="Amiri"/>
          <w:color w:val="111111"/>
          <w:sz w:val="28"/>
          <w:sz w:val="28"/>
          <w:szCs w:val="28"/>
          <w:rtl w:val="true"/>
          <w:lang w:bidi="ar-SA"/>
        </w:rPr>
        <w:t xml:space="preserve">وجماعة </w:t>
      </w:r>
      <w:r>
        <w:rPr>
          <w:rStyle w:val="FootnoteAnchor"/>
          <w:rtl w:val="true"/>
        </w:rPr>
        <w:footnoteReference w:id="116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یجب حضور طائفة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عملاً بظاهر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الأقوی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اختلف فی أقلّ عدد الطائفة التی یجب حضورها أو یستحبّ، فقال العلّامة </w:t>
      </w:r>
      <w:r>
        <w:rPr>
          <w:rStyle w:val="FootnoteAnchor"/>
          <w:rtl w:val="true"/>
        </w:rPr>
        <w:footnoteReference w:id="1170"/>
      </w:r>
      <w:r>
        <w:rPr>
          <w:rFonts w:ascii="IRNazanin" w:hAnsi="IRNazanin" w:eastAsia="IRNazanin"/>
          <w:color w:val="111111"/>
          <w:sz w:val="28"/>
          <w:sz w:val="28"/>
          <w:szCs w:val="28"/>
          <w:rtl w:val="true"/>
          <w:lang w:bidi="fa-IR"/>
        </w:rPr>
        <w:t xml:space="preserve">والشیخ فی النهایة </w:t>
      </w:r>
      <w:r>
        <w:rPr>
          <w:rStyle w:val="FootnoteAnchor"/>
          <w:rtl w:val="true"/>
        </w:rPr>
        <w:footnoteReference w:id="117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أقلّها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أقلّ الطائفة لغةً </w:t>
      </w:r>
      <w:r>
        <w:rPr>
          <w:rStyle w:val="FootnoteAnchor"/>
          <w:rtl w:val="true"/>
        </w:rPr>
        <w:footnoteReference w:id="1172"/>
      </w:r>
      <w:r>
        <w:rPr>
          <w:rFonts w:ascii="IRNazanin" w:hAnsi="IRNazanin" w:eastAsia="IRNazanin"/>
          <w:color w:val="111111"/>
          <w:sz w:val="28"/>
          <w:sz w:val="28"/>
          <w:szCs w:val="28"/>
          <w:rtl w:val="true"/>
          <w:lang w:bidi="fa-IR"/>
        </w:rPr>
        <w:t>فیحمل الأمر المطلق علی أقلّه؛ لأصالة البراءة من الزائد</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والقائل ابن إدریس </w:t>
      </w:r>
      <w:r>
        <w:rPr>
          <w:rStyle w:val="FootnoteAnchor"/>
          <w:rtl w:val="true"/>
        </w:rPr>
        <w:footnoteReference w:id="11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لدلالة العرف علیه فیما إذا قیل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جئنا فی طائفة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ولظاهر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فَلَوْ لاٰ نَفَرَ مِنْ کُلِّ فِرْقَةٍ مِنْهُمْ طٰائِفَةٌ لِیَتَفَقَّهُوا فِی اَلدِّینِ وَ لِیُنْذِرُوا قَوْمَهُمْ </w:t>
      </w:r>
      <w:r>
        <w:rPr>
          <w:rStyle w:val="FootnoteAnchor"/>
          <w:rtl w:val="true"/>
        </w:rPr>
        <w:footnoteReference w:id="1174"/>
      </w:r>
      <w:r>
        <w:rPr>
          <w:rFonts w:ascii="IRNazanin" w:hAnsi="IRNazanin" w:eastAsia="IRNazanin"/>
          <w:color w:val="111111"/>
          <w:sz w:val="28"/>
          <w:sz w:val="28"/>
          <w:szCs w:val="28"/>
          <w:rtl w:val="true"/>
          <w:lang w:bidi="fa-IR"/>
        </w:rPr>
        <w:t>فإنّ أقلّ الجمع فیما دلّ علیه الضمیر ثلاثة ولیتحقّق بهم الإنذار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والقائل الشیخ فی الخلاف </w:t>
      </w:r>
      <w:r>
        <w:rPr>
          <w:rStyle w:val="FootnoteAnchor"/>
          <w:rtl w:val="true"/>
        </w:rPr>
        <w:footnoteReference w:id="117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ووجهه غیر 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والأجود الرجوع إلی العرف، ولعلّ دلالته علی الثلاثة فصاعداً أقوی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وینبغی کون الحجارة صغاراً لئلّا یسرع تَلفُه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بالکبار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ولیکن ممّا یُطلق علیه اسم الحجر، فلا یقتصر علی الحصی؛ لئلّا یطول تعذیبه أیضاً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یَرجم من للّه فی قِبَله حدّ </w:t>
      </w:r>
      <w:r>
        <w:rPr>
          <w:rStyle w:val="FootnoteAnchor"/>
          <w:rtl w:val="true"/>
        </w:rPr>
        <w:footnoteReference w:id="11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للنهی عنه </w:t>
      </w:r>
      <w:r>
        <w:rPr>
          <w:rStyle w:val="FootnoteAnchor"/>
          <w:rtl w:val="true"/>
        </w:rPr>
        <w:footnoteReference w:id="11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وهل هو للتحریم أو الکراهة؟ 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أصالة عدم التحریم، ودلالة ظاهر النهی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وظاهر العبارة کون القول المحکیّ علی وجه التحریم؛ لحکایته قولاً مؤذناً بتمریضه؛ إذ لا یتّجه توقّفه فی الکراهة</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وهل یختصّ الحکم بالحدّ الذی اُقیم علی المحدود، أو مطلق الحدّ؟ إطلاق العبارة وغیرها یدلّ علی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وحسنة زرارة عن أحدهما علیهما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اُتی أمیر المؤمنین علیه السلام برجل قد أقرّ علی نفسه بالفجور، فقال أمیر المؤمنین علیه السلام 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اغدوا غداً عَلیَّ متلثّمین، فغدوا علیه متلثّمین،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فعل مثلَ فعلِه لا یرجمه ولینصرف</w:t>
      </w:r>
      <w:r>
        <w:rPr>
          <w:rFonts w:eastAsia="IRNazanin" w:cs="IRNazanin"/>
          <w:color w:val="111111"/>
          <w:sz w:val="28"/>
          <w:szCs w:val="28"/>
          <w:rtl w:val="true"/>
          <w:lang w:bidi="fa-IR"/>
        </w:rPr>
        <w:t xml:space="preserve">» </w:t>
      </w:r>
      <w:r>
        <w:rPr>
          <w:rStyle w:val="FootnoteAnchor"/>
          <w:rtl w:val="true"/>
        </w:rPr>
        <w:footnoteReference w:id="1178"/>
      </w:r>
      <w:r>
        <w:rPr>
          <w:rFonts w:ascii="IRNazanin" w:hAnsi="IRNazanin" w:eastAsia="IRNazanin"/>
          <w:color w:val="111111"/>
          <w:sz w:val="28"/>
          <w:sz w:val="28"/>
          <w:szCs w:val="28"/>
          <w:rtl w:val="true"/>
          <w:lang w:bidi="fa-IR"/>
        </w:rPr>
        <w:t>تدلّ علی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خبر آخر عنه علیه السلام فی رجم امرأة أ نّه نادی بأعلی صوته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 یّها الناس إنّ اللّٰه عهد إلی نبیّه صلی الله علیه و آله عهداً عَهِده</w:t>
      </w:r>
    </w:p>
    <w:p>
      <w:pPr>
        <w:pStyle w:val="BookText"/>
        <w:rPr/>
      </w:pPr>
      <w:r>
        <w:rPr>
          <w:rFonts w:ascii="Amiri" w:hAnsi="Amiri" w:eastAsia="Amiri" w:cs="Amiri"/>
          <w:color w:val="111111"/>
          <w:sz w:val="28"/>
          <w:sz w:val="28"/>
          <w:szCs w:val="28"/>
          <w:rtl w:val="true"/>
          <w:lang w:bidi="ar-SA"/>
        </w:rPr>
        <w:t>محمّد صلی الله علیه و آله إلیَّ بأ نّه لا یقیم الحدّ مَن للّٰه‌علیه حدّ، فمن کان للّٰه‌علیه حدّ مثل ما له علیها فلا یقیم علیها الحدّ</w:t>
      </w:r>
      <w:r>
        <w:rPr>
          <w:rFonts w:eastAsia="Amiri" w:cs="Amiri" w:ascii="Amiri" w:hAnsi="Amiri"/>
          <w:color w:val="111111"/>
          <w:sz w:val="28"/>
          <w:szCs w:val="28"/>
          <w:rtl w:val="true"/>
          <w:lang w:bidi="ar-SA"/>
        </w:rPr>
        <w:t xml:space="preserve">» </w:t>
      </w:r>
      <w:r>
        <w:rPr>
          <w:rStyle w:val="FootnoteAnchor"/>
          <w:rtl w:val="true"/>
        </w:rPr>
        <w:footnoteReference w:id="1179"/>
      </w:r>
      <w:r>
        <w:rPr>
          <w:rFonts w:ascii="IRNazanin" w:hAnsi="IRNazanin" w:eastAsia="IRNazanin"/>
          <w:color w:val="111111"/>
          <w:sz w:val="28"/>
          <w:sz w:val="28"/>
          <w:szCs w:val="28"/>
          <w:rtl w:val="true"/>
          <w:lang w:bidi="fa-IR"/>
        </w:rPr>
        <w:t>وصدر هذا الخبر یدلّ بإطلاقه علی الثانی، وآخره یحتملهما، وهو علی الأوّل أدلّ؛ لأنّ ظاهر المماثلة اتّحادهما صنفاً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احتمال إرادة ما هو أعمّ، فإنّ مطلق الحدود متماثلة فی أصل العقوبة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وهل یُفرق بین ما حصلت التوبة منها وغیره؟ ظاهر الأخبار </w:t>
      </w:r>
      <w:r>
        <w:rPr>
          <w:rStyle w:val="FootnoteAnchor"/>
          <w:rtl w:val="true"/>
        </w:rPr>
        <w:footnoteReference w:id="1180"/>
      </w:r>
      <w:r>
        <w:rPr>
          <w:rFonts w:ascii="IRNazanin" w:hAnsi="IRNazanin" w:eastAsia="IRNazanin"/>
          <w:color w:val="111111"/>
          <w:sz w:val="28"/>
          <w:sz w:val="28"/>
          <w:szCs w:val="28"/>
          <w:rtl w:val="true"/>
          <w:lang w:bidi="fa-IR"/>
        </w:rPr>
        <w:t xml:space="preserve">والفتوی </w:t>
      </w:r>
      <w:r>
        <w:rPr>
          <w:rStyle w:val="FootnoteAnchor"/>
          <w:rtl w:val="true"/>
        </w:rPr>
        <w:footnoteReference w:id="1181"/>
      </w:r>
      <w:r>
        <w:rPr>
          <w:rFonts w:ascii="Amiri" w:hAnsi="Amiri" w:eastAsia="Amiri" w:cs="Amiri"/>
          <w:color w:val="111111"/>
          <w:sz w:val="28"/>
          <w:sz w:val="28"/>
          <w:szCs w:val="28"/>
          <w:rtl w:val="true"/>
          <w:lang w:bidi="ar-SA"/>
        </w:rPr>
        <w:t>ذلک؛ لأنّ ما تاب عنه فاعله سقط حقّ اللّٰه منه، بناءً علی وجوب قبول التوبة فلم یبقَ للّٰه‌علیه 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ویظهر من الخبر الثانی عدم الفرق؛ لأنّه قال فی آخره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فانصرف الناس ما خلا أمیر المؤمنین والحسنین علیهم السلام</w:t>
      </w:r>
      <w:r>
        <w:rPr>
          <w:rFonts w:eastAsia="IRNazanin" w:cs="IRNazanin"/>
          <w:color w:val="111111"/>
          <w:sz w:val="28"/>
          <w:szCs w:val="28"/>
          <w:rtl w:val="true"/>
          <w:lang w:bidi="fa-IR"/>
        </w:rPr>
        <w:t xml:space="preserve">» </w:t>
      </w:r>
      <w:r>
        <w:rPr>
          <w:rStyle w:val="FootnoteAnchor"/>
          <w:rtl w:val="true"/>
        </w:rPr>
        <w:footnoteReference w:id="1182"/>
      </w:r>
      <w:r>
        <w:rPr>
          <w:rFonts w:ascii="IRNazanin" w:hAnsi="IRNazanin" w:eastAsia="IRNazanin"/>
          <w:color w:val="111111"/>
          <w:sz w:val="28"/>
          <w:sz w:val="28"/>
          <w:szCs w:val="28"/>
          <w:rtl w:val="true"/>
          <w:lang w:bidi="fa-IR"/>
        </w:rPr>
        <w:t xml:space="preserve">ومن البعید جدّاً أن یکون جمیع أصحابه </w:t>
      </w:r>
      <w:r>
        <w:rPr>
          <w:rStyle w:val="FootnoteAnchor"/>
          <w:rtl w:val="true"/>
        </w:rPr>
        <w:footnoteReference w:id="1183"/>
      </w:r>
      <w:r>
        <w:rPr>
          <w:rFonts w:ascii="IRNazanin" w:hAnsi="IRNazanin" w:eastAsia="IRNazanin"/>
          <w:color w:val="111111"/>
          <w:sz w:val="28"/>
          <w:sz w:val="28"/>
          <w:szCs w:val="28"/>
          <w:rtl w:val="true"/>
          <w:lang w:bidi="fa-IR"/>
        </w:rPr>
        <w:t xml:space="preserve">لم یتوبوا من ذنوبهم ذلک الوقت، إلّاأنّ فی طریق الخبر ضعفاً </w:t>
      </w:r>
      <w:r>
        <w:rPr>
          <w:rStyle w:val="FootnoteAnchor"/>
          <w:rtl w:val="true"/>
        </w:rPr>
        <w:footnoteReference w:id="1184"/>
      </w:r>
      <w:r>
        <w:rPr>
          <w:rFonts w:eastAsia="Times New Roman" w:cs="Times New Roman" w:ascii="Times New Roman" w:hAnsi="Times New Roman"/>
          <w:color w:val="111111"/>
          <w:sz w:val="28"/>
          <w:szCs w:val="28"/>
          <w:rtl w:val="true"/>
          <w:lang w:val="en-US" w:bidi="en-US"/>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فُرغ من 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دُفِن إن کان قد صُلّی علیه بعد غُسله وتکفینه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حیّاً أو میّتاً أو بالتفریق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یکن ذلک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بالغسل والتکفین والصلاة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دفن</w:t>
      </w:r>
      <w:r>
        <w:rPr>
          <w:rFonts w:eastAsia="Amiri" w:cs="Amiri" w:ascii="Amiri" w:hAnsi="Amiri"/>
          <w:color w:val="111111"/>
          <w:sz w:val="28"/>
          <w:szCs w:val="28"/>
          <w:rtl w:val="true"/>
          <w:lang w:bidi="ar-SA"/>
        </w:rPr>
        <w:t>» .</w:t>
      </w:r>
      <w:bookmarkStart w:id="433" w:name="pg19815_253280"/>
    </w:p>
    <w:p>
      <w:pPr>
        <w:pStyle w:val="BookText"/>
        <w:rPr/>
      </w:pPr>
      <w:bookmarkEnd w:id="433"/>
      <w:r>
        <w:rPr>
          <w:rFonts w:ascii="IRNazanin" w:hAnsi="IRNazanin" w:eastAsia="IRNazanin"/>
          <w:color w:val="111111"/>
          <w:sz w:val="28"/>
          <w:sz w:val="28"/>
          <w:szCs w:val="28"/>
          <w:rtl w:val="true"/>
          <w:lang w:bidi="fa-IR"/>
        </w:rPr>
        <w:t xml:space="preserve">والذی دلّت علیه الأخبار </w:t>
      </w:r>
      <w:r>
        <w:rPr>
          <w:rStyle w:val="FootnoteAnchor"/>
          <w:rtl w:val="true"/>
        </w:rPr>
        <w:footnoteReference w:id="1185"/>
      </w:r>
      <w:r>
        <w:rPr>
          <w:rFonts w:ascii="IRNazanin" w:hAnsi="IRNazanin" w:eastAsia="IRNazanin"/>
          <w:color w:val="111111"/>
          <w:sz w:val="28"/>
          <w:sz w:val="28"/>
          <w:szCs w:val="28"/>
          <w:rtl w:val="true"/>
          <w:lang w:bidi="fa-IR"/>
        </w:rPr>
        <w:t xml:space="preserve">والفتوی </w:t>
      </w:r>
      <w:r>
        <w:rPr>
          <w:rStyle w:val="FootnoteAnchor"/>
          <w:rtl w:val="true"/>
        </w:rPr>
        <w:footnoteReference w:id="1186"/>
      </w:r>
      <w:r>
        <w:rPr>
          <w:rFonts w:ascii="IRNazanin" w:hAnsi="IRNazanin" w:eastAsia="IRNazanin"/>
          <w:color w:val="111111"/>
          <w:sz w:val="28"/>
          <w:sz w:val="28"/>
          <w:szCs w:val="28"/>
          <w:rtl w:val="true"/>
          <w:lang w:bidi="fa-IR"/>
        </w:rPr>
        <w:t>أ نّه یؤمر حیّاً بالاغتسال والتکفین ثمّ یجتزی به بعده، أمّا الصلاة فبعد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لم یغتسل غُسل بعد الرجم وکُفّن وصُلّی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والعبارة قد توهم خلاف ذلک، أو تقصر عن المقصود منها</w:t>
      </w:r>
      <w:r>
        <w:rPr>
          <w:rFonts w:eastAsia="IRNazanin" w:cs="IRNazanin"/>
          <w:color w:val="111111"/>
          <w:sz w:val="28"/>
          <w:szCs w:val="28"/>
          <w:rtl w:val="true"/>
          <w:lang w:bidi="fa-IR"/>
        </w:rPr>
        <w:t>.</w:t>
      </w:r>
    </w:p>
    <w:p>
      <w:pPr>
        <w:pStyle w:val="Heading6"/>
        <w:numPr>
          <w:ilvl w:val="5"/>
          <w:numId w:val="1"/>
        </w:numPr>
        <w:rPr/>
      </w:pPr>
      <w:bookmarkStart w:id="434" w:name="__RefHeading___Toc2228005_2314609296"/>
      <w:bookmarkStart w:id="435" w:name="_Toc165"/>
      <w:bookmarkEnd w:id="434"/>
      <w:r>
        <w:rPr>
          <w:rtl w:val="true"/>
        </w:rPr>
        <w:t>[«</w:t>
      </w:r>
      <w:r>
        <w:rPr>
          <w:rtl w:val="true"/>
        </w:rPr>
        <w:t>وثالثها</w:t>
      </w:r>
      <w:r>
        <w:rPr>
          <w:rtl w:val="true"/>
        </w:rPr>
        <w:t xml:space="preserve">: </w:t>
      </w:r>
      <w:r>
        <w:rPr>
          <w:rtl w:val="true"/>
        </w:rPr>
        <w:t>الجلد خاصّة</w:t>
      </w:r>
      <w:r>
        <w:rPr>
          <w:rtl w:val="true"/>
        </w:rPr>
        <w:t>»]</w:t>
      </w:r>
      <w:bookmarkEnd w:id="435"/>
    </w:p>
    <w:p>
      <w:pPr>
        <w:pStyle w:val="BookText"/>
        <w:rPr/>
      </w:pPr>
      <w:r>
        <w:rPr>
          <w:rFonts w:ascii="Amiri" w:hAnsi="Amiri" w:eastAsia="Amiri" w:cs="Amiri"/>
          <w:color w:val="111111"/>
          <w:sz w:val="28"/>
          <w:sz w:val="28"/>
          <w:szCs w:val="28"/>
          <w:rtl w:val="true"/>
          <w:lang w:bidi="ar-SA"/>
        </w:rPr>
        <w:t>مئة سوط</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حدّ البالغ المُحصَن إذا زنی بصبیّة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تبلغ التسع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مجنونة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کانت بالغة، شابّاً کان الزانی أم شیخاً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 المرأة إذا زنی بها طفل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یبلغ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زنی بها المجنون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البالغ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فعلیها الحدّ تامّاً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الرجم بعد الجلد إن کانت مُحصَنة لتعلیق الحکم برجمها فی النصوص </w:t>
      </w:r>
      <w:r>
        <w:rPr>
          <w:rStyle w:val="FootnoteAnchor"/>
          <w:rtl w:val="true"/>
        </w:rPr>
        <w:footnoteReference w:id="1187"/>
      </w:r>
      <w:r>
        <w:rPr>
          <w:rFonts w:ascii="IRNazanin" w:hAnsi="IRNazanin" w:eastAsia="IRNazanin"/>
          <w:color w:val="111111"/>
          <w:sz w:val="28"/>
          <w:sz w:val="28"/>
          <w:szCs w:val="28"/>
          <w:rtl w:val="true"/>
          <w:lang w:bidi="fa-IR"/>
        </w:rPr>
        <w:t xml:space="preserve">علی وطء البالغ مطلقاً فیشمل المجنون، ولأنّ الزنا بالنسبة إلیها تامّ، بخلاف زنا العاقل بالمجنونة، فإنّ المشهور عدم إیجابه الرجم </w:t>
      </w:r>
      <w:r>
        <w:rPr>
          <w:rStyle w:val="FootnoteAnchor"/>
          <w:rtl w:val="true"/>
        </w:rPr>
        <w:footnoteReference w:id="1188"/>
      </w:r>
      <w:r>
        <w:rPr>
          <w:rFonts w:ascii="Amiri" w:hAnsi="Amiri" w:eastAsia="Amiri" w:cs="Amiri"/>
          <w:color w:val="111111"/>
          <w:sz w:val="28"/>
          <w:sz w:val="28"/>
          <w:szCs w:val="28"/>
          <w:rtl w:val="true"/>
          <w:lang w:bidi="ar-SA"/>
        </w:rPr>
        <w:t xml:space="preserve">للنصّ </w:t>
      </w:r>
      <w:r>
        <w:rPr>
          <w:rStyle w:val="FootnoteAnchor"/>
          <w:rtl w:val="true"/>
        </w:rPr>
        <w:footnoteReference w:id="1189"/>
      </w:r>
      <w:r>
        <w:rPr>
          <w:rFonts w:ascii="Amiri" w:hAnsi="Amiri" w:eastAsia="Amiri" w:cs="Amiri"/>
          <w:color w:val="111111"/>
          <w:sz w:val="28"/>
          <w:sz w:val="28"/>
          <w:szCs w:val="28"/>
          <w:rtl w:val="true"/>
          <w:lang w:bidi="ar-SA"/>
        </w:rPr>
        <w:t>وأصالة البراءة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وربما قیل بالمساواة </w:t>
      </w:r>
      <w:r>
        <w:rPr>
          <w:rStyle w:val="FootnoteAnchor"/>
          <w:rtl w:val="true"/>
        </w:rPr>
        <w:footnoteReference w:id="1190"/>
      </w:r>
      <w:r>
        <w:rPr>
          <w:rFonts w:ascii="IRNazanin" w:hAnsi="IRNazanin" w:eastAsia="IRNazanin"/>
          <w:color w:val="111111"/>
          <w:sz w:val="28"/>
          <w:sz w:val="28"/>
          <w:szCs w:val="28"/>
          <w:rtl w:val="true"/>
          <w:lang w:bidi="fa-IR"/>
        </w:rPr>
        <w:t xml:space="preserve">إطراحاً للروایة واستناداً إلی العموم </w:t>
      </w:r>
      <w:r>
        <w:rPr>
          <w:rStyle w:val="FootnoteAnchor"/>
          <w:rtl w:val="true"/>
        </w:rPr>
        <w:footnoteReference w:id="1191"/>
      </w:r>
      <w:r>
        <w:rPr>
          <w:rFonts w:ascii="IRNazanin" w:hAnsi="IRNazanin" w:eastAsia="IRNazanin"/>
          <w:color w:val="111111"/>
          <w:sz w:val="28"/>
          <w:sz w:val="28"/>
          <w:szCs w:val="28"/>
          <w:rtl w:val="true"/>
          <w:lang w:bidi="fa-IR"/>
        </w:rPr>
        <w:t>ولا یجب الحدّ علی المجنونة إجماعاً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والأقرب عدم ثبوته علی المجنون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لانتفاء التکلیف الذی هو مناط العقوبة الشدیدة علی المُحرَّم، وللأصل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فرق فیه بین المطبق وغیره إذا وقع الفعل منه حالتَه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هو الأشهر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وذهب الشیخان </w:t>
      </w:r>
      <w:r>
        <w:rPr>
          <w:rStyle w:val="FootnoteAnchor"/>
          <w:rtl w:val="true"/>
        </w:rPr>
        <w:footnoteReference w:id="1192"/>
      </w:r>
      <w:r>
        <w:rPr>
          <w:rFonts w:ascii="IRNazanin" w:hAnsi="IRNazanin" w:eastAsia="IRNazanin"/>
          <w:color w:val="111111"/>
          <w:sz w:val="28"/>
          <w:sz w:val="28"/>
          <w:szCs w:val="28"/>
          <w:rtl w:val="true"/>
          <w:lang w:bidi="fa-IR"/>
        </w:rPr>
        <w:t xml:space="preserve">وتبعهما ابن البرّاج </w:t>
      </w:r>
      <w:r>
        <w:rPr>
          <w:rStyle w:val="FootnoteAnchor"/>
          <w:rtl w:val="true"/>
        </w:rPr>
        <w:footnoteReference w:id="1193"/>
      </w:r>
      <w:r>
        <w:rPr>
          <w:rFonts w:ascii="IRNazanin" w:hAnsi="IRNazanin" w:eastAsia="IRNazanin"/>
          <w:color w:val="111111"/>
          <w:sz w:val="28"/>
          <w:sz w:val="28"/>
          <w:szCs w:val="28"/>
          <w:rtl w:val="true"/>
          <w:lang w:bidi="fa-IR"/>
        </w:rPr>
        <w:t>إلی ثبوت الحدّ علیه کالعاقل من رجم وجلد؛ لروایة أبان بن تغلب عن الصادق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زنی المجنون أو المعتوه جُلِد الحدّ، فإن کان مُحصَناً 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الفرق بین المجنون والمجنونة والمعتوه والمعتوهة؟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المرأة إنّما تُؤتی والرجل یأتی، وإنّما یأتی إذا عقل کیف یأتی اللذّةَ، وإنّ المرأة إنّما تُستکره ویُفعل بها وهی لا تعقل ما یُفعل بها</w:t>
      </w:r>
      <w:r>
        <w:rPr>
          <w:rFonts w:eastAsia="IRNazanin" w:cs="IRNazanin"/>
          <w:color w:val="111111"/>
          <w:sz w:val="28"/>
          <w:szCs w:val="28"/>
          <w:rtl w:val="true"/>
          <w:lang w:bidi="fa-IR"/>
        </w:rPr>
        <w:t xml:space="preserve">» </w:t>
      </w:r>
      <w:r>
        <w:rPr>
          <w:rStyle w:val="FootnoteAnchor"/>
          <w:rtl w:val="true"/>
        </w:rPr>
        <w:footnoteReference w:id="1194"/>
      </w:r>
      <w:r>
        <w:rPr>
          <w:rFonts w:eastAsia="Times New Roman" w:cs="Times New Roman" w:ascii="Times New Roman" w:hAnsi="Times New Roman"/>
          <w:color w:val="111111"/>
          <w:sz w:val="28"/>
          <w:szCs w:val="28"/>
          <w:rtl w:val="true"/>
          <w:lang w:val="en-US" w:bidi="en-US"/>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وهذه الروایة مع عدم سلامة سندها </w:t>
      </w:r>
      <w:r>
        <w:rPr>
          <w:rStyle w:val="FootnoteAnchor"/>
          <w:rtl w:val="true"/>
        </w:rPr>
        <w:footnoteReference w:id="1195"/>
      </w:r>
      <w:r>
        <w:rPr>
          <w:rFonts w:ascii="IRNazanin" w:hAnsi="IRNazanin" w:eastAsia="IRNazanin"/>
          <w:color w:val="111111"/>
          <w:sz w:val="28"/>
          <w:sz w:val="28"/>
          <w:szCs w:val="28"/>
          <w:rtl w:val="true"/>
          <w:lang w:bidi="fa-IR"/>
        </w:rPr>
        <w:t>مشعرة بکون المجنون حالة الفعل</w:t>
      </w:r>
    </w:p>
    <w:p>
      <w:pPr>
        <w:pStyle w:val="BookText"/>
        <w:rPr/>
      </w:pPr>
      <w:r>
        <w:rPr>
          <w:rFonts w:ascii="IRNazanin" w:hAnsi="IRNazanin" w:eastAsia="IRNazanin"/>
          <w:color w:val="111111"/>
          <w:sz w:val="28"/>
          <w:sz w:val="28"/>
          <w:szCs w:val="28"/>
          <w:rtl w:val="true"/>
          <w:lang w:bidi="fa-IR"/>
        </w:rPr>
        <w:t>عاقلاً، إمّا لکون الجنون یعتریه أدواراً أو لغیره، کما یدلّ علیه التعلیل، فلا یدلّ علی مطلوبهم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الزانی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أشدّ الجلد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تَأْخُذْکُمْ بِهِمٰا رَأْفَةٌ</w:t>
      </w:r>
      <w:r>
        <w:rPr>
          <w:rFonts w:eastAsia="Amiri" w:cs="Amiri" w:ascii="Amiri" w:hAnsi="Amiri"/>
          <w:color w:val="111111"/>
          <w:sz w:val="28"/>
          <w:szCs w:val="28"/>
          <w:rtl w:val="true"/>
          <w:lang w:bidi="ar-SA"/>
        </w:rPr>
        <w:t xml:space="preserve">) </w:t>
      </w:r>
      <w:r>
        <w:rPr>
          <w:rStyle w:val="FootnoteAnchor"/>
          <w:rtl w:val="true"/>
        </w:rPr>
        <w:footnoteReference w:id="1196"/>
      </w:r>
      <w:r>
        <w:rPr>
          <w:rFonts w:ascii="Amiri" w:hAnsi="Amiri" w:eastAsia="Amiri" w:cs="Amiri"/>
          <w:color w:val="111111"/>
          <w:sz w:val="28"/>
          <w:sz w:val="28"/>
          <w:szCs w:val="28"/>
          <w:rtl w:val="true"/>
          <w:lang w:bidi="ar-SA"/>
        </w:rPr>
        <w:t xml:space="preserve">ورُوی ضربه متوسّطاً </w:t>
      </w:r>
      <w:r>
        <w:rPr>
          <w:rStyle w:val="FootnoteAnchor"/>
          <w:rtl w:val="true"/>
        </w:rPr>
        <w:footnoteReference w:id="119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الضرب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جسده، ویُتّقی رأسه ووجهه وفرجه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قبله ودبره؛ لروایة زرارة عن الباقر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یُتّقی الوجه والمذاکیر</w:t>
      </w:r>
      <w:r>
        <w:rPr>
          <w:rFonts w:eastAsia="IRNazanin" w:cs="IRNazanin"/>
          <w:color w:val="111111"/>
          <w:sz w:val="28"/>
          <w:szCs w:val="28"/>
          <w:rtl w:val="true"/>
          <w:lang w:bidi="fa-IR"/>
        </w:rPr>
        <w:t xml:space="preserve">» </w:t>
      </w:r>
      <w:r>
        <w:rPr>
          <w:rStyle w:val="FootnoteAnchor"/>
          <w:rtl w:val="true"/>
        </w:rPr>
        <w:footnoteReference w:id="1198"/>
      </w:r>
      <w:r>
        <w:rPr>
          <w:rFonts w:ascii="Amiri" w:hAnsi="Amiri" w:eastAsia="Amiri" w:cs="Amiri"/>
          <w:color w:val="111111"/>
          <w:sz w:val="28"/>
          <w:sz w:val="28"/>
          <w:szCs w:val="28"/>
          <w:rtl w:val="true"/>
          <w:lang w:bidi="ar-SA"/>
        </w:rPr>
        <w:t>ورُوی عنه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یُفرَّق الحدّ علی الجسد ویُتّقی الفرج والوجه</w:t>
      </w:r>
      <w:r>
        <w:rPr>
          <w:rFonts w:eastAsia="Amiri" w:cs="Amiri" w:ascii="Amiri" w:hAnsi="Amiri"/>
          <w:color w:val="111111"/>
          <w:sz w:val="28"/>
          <w:szCs w:val="28"/>
          <w:rtl w:val="true"/>
          <w:lang w:bidi="ar-SA"/>
        </w:rPr>
        <w:t xml:space="preserve">» </w:t>
      </w:r>
      <w:r>
        <w:rPr>
          <w:rStyle w:val="FootnoteAnchor"/>
          <w:rtl w:val="true"/>
        </w:rPr>
        <w:footnoteReference w:id="1199"/>
      </w:r>
      <w:r>
        <w:rPr>
          <w:rFonts w:ascii="IRNazanin" w:hAnsi="IRNazanin" w:eastAsia="IRNazanin"/>
          <w:color w:val="111111"/>
          <w:sz w:val="28"/>
          <w:sz w:val="28"/>
          <w:szCs w:val="28"/>
          <w:rtl w:val="true"/>
          <w:lang w:bidi="fa-IR"/>
        </w:rPr>
        <w:t xml:space="preserve">وقد تقدّم استعمال الفرج فیهما </w:t>
      </w:r>
      <w:r>
        <w:rPr>
          <w:rStyle w:val="FootnoteAnchor"/>
          <w:rtl w:val="true"/>
        </w:rPr>
        <w:footnoteReference w:id="1200"/>
      </w:r>
      <w:r>
        <w:rPr>
          <w:rFonts w:ascii="IRNazanin" w:hAnsi="IRNazanin" w:eastAsia="IRNazanin"/>
          <w:color w:val="111111"/>
          <w:sz w:val="28"/>
          <w:sz w:val="28"/>
          <w:szCs w:val="28"/>
          <w:rtl w:val="true"/>
          <w:lang w:bidi="fa-IR"/>
        </w:rPr>
        <w:t>وأمّا اتّقاء الرأس فلأ نّه مَخُوف علی النفس والعین، والغرض من الجَلد لیس هو إتلافه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واقتصر جماعة علی الوجه والفرج </w:t>
      </w:r>
      <w:r>
        <w:rPr>
          <w:rStyle w:val="FootnoteAnchor"/>
          <w:rtl w:val="true"/>
        </w:rPr>
        <w:footnoteReference w:id="1201"/>
      </w:r>
      <w:r>
        <w:rPr>
          <w:rFonts w:ascii="Amiri" w:hAnsi="Amiri" w:eastAsia="Amiri" w:cs="Amiri"/>
          <w:color w:val="111111"/>
          <w:sz w:val="28"/>
          <w:sz w:val="28"/>
          <w:szCs w:val="28"/>
          <w:rtl w:val="true"/>
          <w:lang w:bidi="ar-SA"/>
        </w:rPr>
        <w:t>تبعاً للنصّ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مجرّداً مستور العورة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والمرأة قاعدة قد رُبطت ثیابُها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علیها لئلّا یبدو جسدها، فإنّه عورة، بخلاف الرجل</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الزانی علی الحال التی یُوجد علیها إن وجد عریاناً ضُرِب عریاناً، وإن وجد وعلیه ثیابه ضُرب وعلیه ثیابه</w:t>
      </w:r>
      <w:r>
        <w:rPr>
          <w:rFonts w:eastAsia="IRNazanin" w:cs="IRNazanin"/>
          <w:color w:val="111111"/>
          <w:sz w:val="28"/>
          <w:szCs w:val="28"/>
          <w:rtl w:val="true"/>
          <w:lang w:bidi="fa-IR"/>
        </w:rPr>
        <w:t xml:space="preserve">» </w:t>
      </w:r>
      <w:r>
        <w:rPr>
          <w:rStyle w:val="FootnoteAnchor"/>
          <w:rtl w:val="true"/>
        </w:rPr>
        <w:footnoteReference w:id="1202"/>
      </w:r>
      <w:r>
        <w:rPr>
          <w:rFonts w:ascii="IRNazanin" w:hAnsi="IRNazanin" w:eastAsia="IRNazanin"/>
          <w:color w:val="111111"/>
          <w:sz w:val="28"/>
          <w:sz w:val="28"/>
          <w:szCs w:val="28"/>
          <w:rtl w:val="true"/>
          <w:lang w:bidi="fa-IR"/>
        </w:rPr>
        <w:t>سواء فی ذلک الذکر والاُنثی</w:t>
      </w:r>
      <w:r>
        <w:rPr>
          <w:rFonts w:eastAsia="IRNazanin" w:cs="IRNazanin"/>
          <w:color w:val="111111"/>
          <w:sz w:val="28"/>
          <w:szCs w:val="28"/>
          <w:rtl w:val="true"/>
          <w:lang w:bidi="fa-IR"/>
        </w:rPr>
        <w:t>.</w:t>
      </w:r>
      <w:bookmarkStart w:id="436" w:name="pg19815_253283"/>
    </w:p>
    <w:p>
      <w:pPr>
        <w:pStyle w:val="BookText"/>
        <w:rPr/>
      </w:pPr>
      <w:bookmarkEnd w:id="436"/>
      <w:r>
        <w:rPr>
          <w:rFonts w:ascii="IRNazanin" w:hAnsi="IRNazanin" w:eastAsia="IRNazanin"/>
          <w:color w:val="111111"/>
          <w:sz w:val="28"/>
          <w:sz w:val="28"/>
          <w:szCs w:val="28"/>
          <w:rtl w:val="true"/>
          <w:lang w:bidi="fa-IR"/>
        </w:rPr>
        <w:t xml:space="preserve">وعمل بمضمونها الشیخ </w:t>
      </w:r>
      <w:r>
        <w:rPr>
          <w:rStyle w:val="FootnoteAnchor"/>
          <w:rtl w:val="true"/>
        </w:rPr>
        <w:footnoteReference w:id="1203"/>
      </w:r>
      <w:r>
        <w:rPr>
          <w:rFonts w:ascii="Amiri" w:hAnsi="Amiri" w:eastAsia="Amiri" w:cs="Amiri"/>
          <w:color w:val="111111"/>
          <w:sz w:val="28"/>
          <w:sz w:val="28"/>
          <w:szCs w:val="28"/>
          <w:rtl w:val="true"/>
          <w:lang w:bidi="ar-SA"/>
        </w:rPr>
        <w:t xml:space="preserve">وجماعة </w:t>
      </w:r>
      <w:r>
        <w:rPr>
          <w:rStyle w:val="FootnoteAnchor"/>
          <w:rtl w:val="true"/>
        </w:rPr>
        <w:footnoteReference w:id="12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والأجود الأوّل؛ لما ذکرناه من أنّ بدنها عورة، بخلافه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والروایة ضعیفة السند </w:t>
      </w:r>
      <w:r>
        <w:rPr>
          <w:rStyle w:val="FootnoteAnchor"/>
          <w:rtl w:val="true"/>
        </w:rPr>
        <w:footnoteReference w:id="120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37" w:name="__RefHeading___Toc2228007_2314609296"/>
      <w:bookmarkStart w:id="438" w:name="_Toc166"/>
      <w:bookmarkEnd w:id="437"/>
      <w:r>
        <w:rPr>
          <w:rtl w:val="true"/>
        </w:rPr>
        <w:t>[«</w:t>
      </w:r>
      <w:r>
        <w:rPr>
          <w:rtl w:val="true"/>
        </w:rPr>
        <w:t>ورابعها</w:t>
      </w:r>
      <w:r>
        <w:rPr>
          <w:rtl w:val="true"/>
        </w:rPr>
        <w:t xml:space="preserve">: </w:t>
      </w:r>
      <w:r>
        <w:rPr>
          <w:rtl w:val="true"/>
        </w:rPr>
        <w:t>الجلد والجزّ</w:t>
      </w:r>
      <w:r>
        <w:rPr>
          <w:rtl w:val="true"/>
        </w:rPr>
        <w:t xml:space="preserve">» </w:t>
      </w:r>
      <w:r>
        <w:rPr>
          <w:rtl w:val="true"/>
        </w:rPr>
        <w:t xml:space="preserve">للرأس </w:t>
      </w:r>
      <w:r>
        <w:rPr>
          <w:rtl w:val="true"/>
        </w:rPr>
        <w:t>«</w:t>
      </w:r>
      <w:r>
        <w:rPr>
          <w:rtl w:val="true"/>
        </w:rPr>
        <w:t>والتغریب</w:t>
      </w:r>
      <w:r>
        <w:rPr>
          <w:rtl w:val="true"/>
        </w:rPr>
        <w:t>» :]</w:t>
      </w:r>
      <w:bookmarkEnd w:id="43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الثلاثة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 الحرّ غیر المحصَن وإن لم یملک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یتزوّج من غیر أن یدخل؛ لإطلاق الحکم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شامل للقسمین، بل هو علی غیر المتزوّج أظهر، ولإطلاق قول الصادق علیه السلام فی روایة عبد اللّٰه بن طلحة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وإذا زنی الشابّ الحدث السنّ جُلد وحُلِق رأسه ونُفی سنة عن مصره</w:t>
      </w:r>
      <w:r>
        <w:rPr>
          <w:rFonts w:eastAsia="IRNazanin" w:cs="IRNazanin"/>
          <w:color w:val="111111"/>
          <w:sz w:val="28"/>
          <w:szCs w:val="28"/>
          <w:rtl w:val="true"/>
          <w:lang w:bidi="fa-IR"/>
        </w:rPr>
        <w:t xml:space="preserve">» </w:t>
      </w:r>
      <w:r>
        <w:rPr>
          <w:rStyle w:val="FootnoteAnchor"/>
          <w:rtl w:val="true"/>
        </w:rPr>
        <w:footnoteReference w:id="1206"/>
      </w:r>
      <w:r>
        <w:rPr>
          <w:rFonts w:ascii="IRNazanin" w:hAnsi="IRNazanin" w:eastAsia="IRNazanin"/>
          <w:color w:val="111111"/>
          <w:sz w:val="28"/>
          <w:sz w:val="28"/>
          <w:szCs w:val="28"/>
          <w:rtl w:val="true"/>
          <w:lang w:bidi="fa-IR"/>
        </w:rPr>
        <w:t>وهو عامّ فلا یتخصّص، وإلّا لزم تأخیر البیان</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والقائل الشیخ </w:t>
      </w:r>
      <w:r>
        <w:rPr>
          <w:rStyle w:val="FootnoteAnchor"/>
          <w:rtl w:val="true"/>
        </w:rPr>
        <w:footnoteReference w:id="1207"/>
      </w:r>
      <w:r>
        <w:rPr>
          <w:rFonts w:ascii="Amiri" w:hAnsi="Amiri" w:eastAsia="Amiri" w:cs="Amiri"/>
          <w:color w:val="111111"/>
          <w:sz w:val="28"/>
          <w:sz w:val="28"/>
          <w:szCs w:val="28"/>
          <w:rtl w:val="true"/>
          <w:lang w:bidi="ar-SA"/>
        </w:rPr>
        <w:t xml:space="preserve">وجماعة </w:t>
      </w:r>
      <w:r>
        <w:rPr>
          <w:rStyle w:val="FootnoteAnchor"/>
          <w:rtl w:val="true"/>
        </w:rPr>
        <w:footnoteReference w:id="120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یختصّ التغریب بمن أملک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 یدخل؛ لروایة زرارة عن أبی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المحصَن یُجلد مئة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ویرجم </w:t>
      </w:r>
      <w:r>
        <w:rPr>
          <w:rFonts w:eastAsia="IRNazanin" w:cs="IRNazanin"/>
          <w:color w:val="111111"/>
          <w:sz w:val="28"/>
          <w:szCs w:val="28"/>
          <w:rtl w:val="true"/>
          <w:lang w:bidi="fa-IR"/>
        </w:rPr>
        <w:t xml:space="preserve">] </w:t>
      </w:r>
      <w:r>
        <w:rPr>
          <w:rStyle w:val="FootnoteAnchor"/>
          <w:rtl w:val="true"/>
        </w:rPr>
        <w:footnoteReference w:id="1209"/>
      </w:r>
      <w:r>
        <w:rPr>
          <w:rFonts w:ascii="Amiri" w:hAnsi="Amiri" w:eastAsia="Amiri" w:cs="Amiri"/>
          <w:color w:val="111111"/>
          <w:sz w:val="28"/>
          <w:sz w:val="28"/>
          <w:szCs w:val="28"/>
          <w:rtl w:val="true"/>
          <w:lang w:bidi="ar-SA"/>
        </w:rPr>
        <w:t xml:space="preserve">ولا یُنفی </w:t>
      </w:r>
      <w:r>
        <w:rPr>
          <w:rStyle w:val="FootnoteAnchor"/>
          <w:rtl w:val="true"/>
        </w:rPr>
        <w:footnoteReference w:id="1210"/>
      </w:r>
      <w:r>
        <w:rPr>
          <w:rFonts w:ascii="Amiri" w:hAnsi="Amiri" w:eastAsia="Amiri" w:cs="Amiri"/>
          <w:color w:val="111111"/>
          <w:sz w:val="28"/>
          <w:sz w:val="28"/>
          <w:szCs w:val="28"/>
          <w:rtl w:val="true"/>
          <w:lang w:bidi="ar-SA"/>
        </w:rPr>
        <w:t>والتی قد اُملکت ولم یُدخل بها تُجلد مئة وتُنفی</w:t>
      </w:r>
      <w:r>
        <w:rPr>
          <w:rFonts w:eastAsia="Amiri" w:cs="Amiri" w:ascii="Amiri" w:hAnsi="Amiri"/>
          <w:color w:val="111111"/>
          <w:sz w:val="28"/>
          <w:szCs w:val="28"/>
          <w:rtl w:val="true"/>
          <w:lang w:bidi="ar-SA"/>
        </w:rPr>
        <w:t xml:space="preserve">» </w:t>
      </w:r>
      <w:r>
        <w:rPr>
          <w:rStyle w:val="FootnoteAnchor"/>
          <w:rtl w:val="true"/>
        </w:rPr>
        <w:footnoteReference w:id="1211"/>
      </w:r>
      <w:r>
        <w:rPr>
          <w:rFonts w:ascii="IRNazanin" w:hAnsi="IRNazanin" w:eastAsia="IRNazanin"/>
          <w:color w:val="111111"/>
          <w:sz w:val="28"/>
          <w:sz w:val="28"/>
          <w:szCs w:val="28"/>
          <w:rtl w:val="true"/>
          <w:lang w:bidi="fa-IR"/>
        </w:rPr>
        <w:t>وروایة محمّد بن قیس عنه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قضی أمیر المؤمنین علیه السلام فی البکر والبکرة إذا زنیا جلدَ مئة ونفیَ سنة فی غیر مصرهما، وهما اللذان قد اُملکا ولم یدخل بها</w:t>
      </w:r>
      <w:r>
        <w:rPr>
          <w:rFonts w:eastAsia="IRNazanin" w:cs="IRNazanin"/>
          <w:color w:val="111111"/>
          <w:sz w:val="28"/>
          <w:szCs w:val="28"/>
          <w:rtl w:val="true"/>
          <w:lang w:bidi="fa-IR"/>
        </w:rPr>
        <w:t xml:space="preserve">» </w:t>
      </w:r>
      <w:r>
        <w:rPr>
          <w:rStyle w:val="FootnoteAnchor"/>
          <w:rtl w:val="true"/>
        </w:rPr>
        <w:footnoteReference w:id="12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وهاتان الروایتان مع سلامة سندهما یشتملان علی نفی المرأة وهو خلاف الإجماع علی ما ادّعاه الشیخ </w:t>
      </w:r>
      <w:r>
        <w:rPr>
          <w:rStyle w:val="FootnoteAnchor"/>
          <w:rtl w:val="true"/>
        </w:rPr>
        <w:footnoteReference w:id="1213"/>
      </w:r>
      <w:r>
        <w:rPr>
          <w:rFonts w:ascii="IRNazanin" w:hAnsi="IRNazanin" w:eastAsia="IRNazanin"/>
          <w:color w:val="111111"/>
          <w:sz w:val="28"/>
          <w:sz w:val="28"/>
          <w:szCs w:val="28"/>
          <w:rtl w:val="true"/>
          <w:lang w:bidi="fa-IR"/>
        </w:rPr>
        <w:t xml:space="preserve">کیف وفی طریق الاُولی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بن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الثانیة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مشترک بین الثقة وغیره حیث یروی عن الباقر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فالقول الأوّل أجود وإن کان الثانی أحوط من حیث بناء الحدّ علی التخفیف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حلق الرأس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أجمع، دون غیره کاللحیة، سواء فی ذلک المربّی </w:t>
      </w:r>
      <w:r>
        <w:rPr>
          <w:rStyle w:val="FootnoteAnchor"/>
          <w:rtl w:val="true"/>
        </w:rPr>
        <w:footnoteReference w:id="1214"/>
      </w:r>
      <w:r>
        <w:rPr>
          <w:rFonts w:ascii="IRNazanin" w:hAnsi="IRNazanin" w:eastAsia="IRNazanin"/>
          <w:color w:val="111111"/>
          <w:sz w:val="28"/>
          <w:sz w:val="28"/>
          <w:szCs w:val="28"/>
          <w:rtl w:val="true"/>
          <w:lang w:bidi="fa-IR"/>
        </w:rPr>
        <w:t>وغیره وإن انتفت الفائدة فی غیره ظاهراً</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والتغریب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نفیه عن مصره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مطلق وطنه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قریباً کان أم بعیداً بحسب ما یراه الإمام مع صدق اسم الغربة، فإن کان غریباً غُرِّب إلی بلد آخر غیر وطنه والبلد الذی غُرِّب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رجع إلی</w:t>
      </w:r>
      <w:bookmarkStart w:id="439" w:name="pg19815_253285"/>
    </w:p>
    <w:p>
      <w:pPr>
        <w:pStyle w:val="BookText"/>
        <w:rPr/>
      </w:pPr>
      <w:bookmarkEnd w:id="439"/>
      <w:r>
        <w:rPr>
          <w:rFonts w:ascii="Amiri" w:hAnsi="Amiri" w:eastAsia="Amiri" w:cs="Amiri"/>
          <w:color w:val="111111"/>
          <w:sz w:val="28"/>
          <w:sz w:val="28"/>
          <w:szCs w:val="28"/>
          <w:rtl w:val="true"/>
          <w:lang w:bidi="ar-SA"/>
        </w:rPr>
        <w:t>ما غُرِّب منه قبلَ إکماله اُعید حتّی یکمل، بانیاً علی ما سبق وإن طال الفصل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جزّ علی المرأة ولا تغریب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تُجلد مئة لا غیر؛ لأصالة البراءة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وادّعی الشیخ علیه الإجماع </w:t>
      </w:r>
      <w:r>
        <w:rPr>
          <w:rStyle w:val="FootnoteAnchor"/>
          <w:rtl w:val="true"/>
        </w:rPr>
        <w:footnoteReference w:id="1215"/>
      </w:r>
      <w:r>
        <w:rPr>
          <w:rFonts w:ascii="IRNazanin" w:hAnsi="IRNazanin" w:eastAsia="IRNazanin"/>
          <w:color w:val="111111"/>
          <w:sz w:val="28"/>
          <w:sz w:val="28"/>
          <w:szCs w:val="28"/>
          <w:rtl w:val="true"/>
          <w:lang w:bidi="fa-IR"/>
        </w:rPr>
        <w:t xml:space="preserve">وکأ نّه لم یعتدّ بخلاف ابن أبی عقیل </w:t>
      </w:r>
      <w:r>
        <w:rPr>
          <w:rStyle w:val="FootnoteAnchor"/>
          <w:rtl w:val="true"/>
        </w:rPr>
        <w:footnoteReference w:id="1216"/>
      </w:r>
      <w:r>
        <w:rPr>
          <w:rFonts w:ascii="IRNazanin" w:hAnsi="IRNazanin" w:eastAsia="IRNazanin"/>
          <w:color w:val="111111"/>
          <w:sz w:val="28"/>
          <w:sz w:val="28"/>
          <w:szCs w:val="28"/>
          <w:rtl w:val="true"/>
          <w:lang w:bidi="fa-IR"/>
        </w:rPr>
        <w:t xml:space="preserve">حیث أثبت التغریب علیها؛ للأخبار السابقة </w:t>
      </w:r>
      <w:r>
        <w:rPr>
          <w:rStyle w:val="FootnoteAnchor"/>
          <w:rtl w:val="true"/>
        </w:rPr>
        <w:footnoteReference w:id="1217"/>
      </w:r>
      <w:r>
        <w:rPr>
          <w:rFonts w:ascii="IRNazanin" w:hAnsi="IRNazanin" w:eastAsia="IRNazanin"/>
          <w:color w:val="111111"/>
          <w:sz w:val="28"/>
          <w:sz w:val="28"/>
          <w:szCs w:val="28"/>
          <w:rtl w:val="true"/>
          <w:lang w:bidi="fa-IR"/>
        </w:rPr>
        <w:t>والمشهور أولی بحال المرأة وصیانتها ومنعها من الإتیان بمثل ما فعلت</w:t>
      </w:r>
      <w:r>
        <w:rPr>
          <w:rFonts w:eastAsia="IRNazanin" w:cs="IRNazanin"/>
          <w:color w:val="111111"/>
          <w:sz w:val="28"/>
          <w:szCs w:val="28"/>
          <w:rtl w:val="true"/>
          <w:lang w:bidi="fa-IR"/>
        </w:rPr>
        <w:t>.</w:t>
      </w:r>
    </w:p>
    <w:p>
      <w:pPr>
        <w:pStyle w:val="Heading6"/>
        <w:numPr>
          <w:ilvl w:val="5"/>
          <w:numId w:val="1"/>
        </w:numPr>
        <w:rPr/>
      </w:pPr>
      <w:bookmarkStart w:id="440" w:name="__RefHeading___Toc2228009_2314609296"/>
      <w:bookmarkStart w:id="441" w:name="_Toc167"/>
      <w:bookmarkEnd w:id="440"/>
      <w:r>
        <w:rPr>
          <w:rtl w:val="true"/>
        </w:rPr>
        <w:t>[«</w:t>
      </w:r>
      <w:r>
        <w:rPr>
          <w:rtl w:val="true"/>
        </w:rPr>
        <w:t>وخامسها</w:t>
      </w:r>
      <w:r>
        <w:rPr>
          <w:rtl w:val="true"/>
        </w:rPr>
        <w:t xml:space="preserve">: </w:t>
      </w:r>
      <w:r>
        <w:rPr>
          <w:rtl w:val="true"/>
        </w:rPr>
        <w:t>خمسون جلدة</w:t>
      </w:r>
      <w:r>
        <w:rPr>
          <w:rtl w:val="true"/>
        </w:rPr>
        <w:t>» :]</w:t>
      </w:r>
      <w:bookmarkEnd w:id="44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وهی حدّ المملوک والمملوکة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البالغین العاقلین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کانا متزوّجین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جزّ ولا تغریب علی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إجماعاً؛ لقوله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زنت أمة أحدکم فلیجلدها</w:t>
      </w:r>
      <w:r>
        <w:rPr>
          <w:rFonts w:eastAsia="IRNazanin" w:cs="IRNazanin"/>
          <w:color w:val="111111"/>
          <w:sz w:val="28"/>
          <w:szCs w:val="28"/>
          <w:rtl w:val="true"/>
          <w:lang w:bidi="fa-IR"/>
        </w:rPr>
        <w:t xml:space="preserve">» </w:t>
      </w:r>
      <w:r>
        <w:rPr>
          <w:rStyle w:val="FootnoteAnchor"/>
          <w:rtl w:val="true"/>
        </w:rPr>
        <w:footnoteReference w:id="1218"/>
      </w:r>
      <w:r>
        <w:rPr>
          <w:rFonts w:ascii="IRNazanin" w:hAnsi="IRNazanin" w:eastAsia="IRNazanin"/>
          <w:color w:val="111111"/>
          <w:sz w:val="28"/>
          <w:sz w:val="28"/>
          <w:szCs w:val="28"/>
          <w:rtl w:val="true"/>
          <w:lang w:bidi="fa-IR"/>
        </w:rPr>
        <w:t>وکان هذا کلّ الواجب، ولا قائل بالفرق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وربما استُدلّ بذلک علی نفی التغریب علی المرأة؛ لقوله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فَعَلَیْهِنَّ نِصْفُ مٰا عَلَی اَلْمُحْصَنٰاتِ مِنَ اَلْعَذٰابِ</w:t>
      </w:r>
      <w:r>
        <w:rPr>
          <w:rFonts w:eastAsia="Amiri" w:cs="Amiri" w:ascii="Amiri" w:hAnsi="Amiri"/>
          <w:color w:val="111111"/>
          <w:sz w:val="28"/>
          <w:szCs w:val="28"/>
          <w:rtl w:val="true"/>
          <w:lang w:bidi="ar-SA"/>
        </w:rPr>
        <w:t xml:space="preserve">) </w:t>
      </w:r>
      <w:r>
        <w:rPr>
          <w:rStyle w:val="FootnoteAnchor"/>
          <w:rtl w:val="true"/>
        </w:rPr>
        <w:footnoteReference w:id="1219"/>
      </w:r>
      <w:r>
        <w:rPr>
          <w:rFonts w:ascii="IRNazanin" w:hAnsi="IRNazanin" w:eastAsia="IRNazanin"/>
          <w:color w:val="111111"/>
          <w:sz w:val="28"/>
          <w:sz w:val="28"/>
          <w:szCs w:val="28"/>
          <w:rtl w:val="true"/>
          <w:lang w:bidi="fa-IR"/>
        </w:rPr>
        <w:t>فلو ثبت التغریب علی الحرّة لکان علی الأمة نصفها</w:t>
      </w:r>
      <w:r>
        <w:rPr>
          <w:rFonts w:eastAsia="IRNazanin" w:cs="IRNazanin"/>
          <w:color w:val="111111"/>
          <w:sz w:val="28"/>
          <w:szCs w:val="28"/>
          <w:rtl w:val="true"/>
          <w:lang w:bidi="fa-IR"/>
        </w:rPr>
        <w:t>.</w:t>
      </w:r>
    </w:p>
    <w:p>
      <w:pPr>
        <w:pStyle w:val="Heading6"/>
        <w:numPr>
          <w:ilvl w:val="5"/>
          <w:numId w:val="1"/>
        </w:numPr>
        <w:rPr/>
      </w:pPr>
      <w:bookmarkStart w:id="442" w:name="__RefHeading___Toc2228011_2314609296"/>
      <w:bookmarkStart w:id="443" w:name="_Toc168"/>
      <w:bookmarkEnd w:id="442"/>
      <w:r>
        <w:rPr>
          <w:rtl w:val="true"/>
        </w:rPr>
        <w:t>[«</w:t>
      </w:r>
      <w:r>
        <w:rPr>
          <w:rtl w:val="true"/>
        </w:rPr>
        <w:t>وسادسها</w:t>
      </w:r>
      <w:r>
        <w:rPr>
          <w:rtl w:val="true"/>
        </w:rPr>
        <w:t xml:space="preserve">: </w:t>
      </w:r>
      <w:r>
        <w:rPr>
          <w:rtl w:val="true"/>
        </w:rPr>
        <w:t>الحدّ المبعَّض</w:t>
      </w:r>
      <w:r>
        <w:rPr>
          <w:rtl w:val="true"/>
        </w:rPr>
        <w:t>» :]</w:t>
      </w:r>
      <w:bookmarkEnd w:id="443"/>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حدّ من تحرّر بعضه، فإنّه یُحدّ من حدّ الأحرار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لا یبلغ القتل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بقدر ما فیه من الحرّیّة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بنسبته إلی الرقّیّة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حدّ العبید بقدر</w:t>
      </w:r>
      <w:bookmarkStart w:id="444" w:name="pg19815_253286"/>
    </w:p>
    <w:p>
      <w:pPr>
        <w:pStyle w:val="BookText"/>
        <w:rPr/>
      </w:pPr>
      <w:bookmarkEnd w:id="444"/>
      <w:r>
        <w:rPr>
          <w:rFonts w:ascii="IRNazanin" w:hAnsi="IRNazanin" w:eastAsia="IRNazanin"/>
          <w:color w:val="111111"/>
          <w:sz w:val="28"/>
          <w:sz w:val="28"/>
          <w:szCs w:val="28"/>
          <w:rtl w:val="true"/>
          <w:lang w:bidi="fa-IR"/>
        </w:rPr>
        <w:t>العبودیّة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کان نصفه حرّاً حُدّ للزنا خمساً وسبعین جلدة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خمسین لنصیب الحرّیّة، وخمساً وعشرین للرقّیّة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اشتمل التقسیط علی جزءٍ من سوط کما لو کان ثُلُثه رقّاً فوجب علیه ثلاثة وثمانون وثلث، قُبض علی ثلثی السوط وضُرب بثلثه، وعلی هذا الحساب</w:t>
      </w:r>
      <w:r>
        <w:rPr>
          <w:rFonts w:eastAsia="IRNazanin" w:cs="IRNazanin"/>
          <w:color w:val="111111"/>
          <w:sz w:val="28"/>
          <w:szCs w:val="28"/>
          <w:rtl w:val="true"/>
          <w:lang w:bidi="fa-IR"/>
        </w:rPr>
        <w:t>.</w:t>
      </w:r>
    </w:p>
    <w:p>
      <w:pPr>
        <w:pStyle w:val="Heading6"/>
        <w:numPr>
          <w:ilvl w:val="5"/>
          <w:numId w:val="1"/>
        </w:numPr>
        <w:rPr/>
      </w:pPr>
      <w:bookmarkStart w:id="445" w:name="__RefHeading___Toc2228013_2314609296"/>
      <w:bookmarkStart w:id="446" w:name="_Toc169"/>
      <w:bookmarkEnd w:id="445"/>
      <w:r>
        <w:rPr>
          <w:rtl w:val="true"/>
        </w:rPr>
        <w:t>[«</w:t>
      </w:r>
      <w:r>
        <w:rPr>
          <w:rtl w:val="true"/>
        </w:rPr>
        <w:t>وسابعها</w:t>
      </w:r>
      <w:r>
        <w:rPr>
          <w:rtl w:val="true"/>
        </w:rPr>
        <w:t xml:space="preserve">: </w:t>
      </w:r>
      <w:r>
        <w:rPr>
          <w:rtl w:val="true"/>
        </w:rPr>
        <w:t>الضِغث</w:t>
      </w:r>
      <w:r>
        <w:rPr>
          <w:rtl w:val="true"/>
        </w:rPr>
        <w:t>» :]</w:t>
      </w:r>
      <w:bookmarkEnd w:id="446"/>
    </w:p>
    <w:p>
      <w:pPr>
        <w:pStyle w:val="BookText"/>
        <w:rPr/>
      </w:pPr>
      <w:r>
        <w:rPr>
          <w:rFonts w:ascii="IRNazanin" w:hAnsi="IRNazanin" w:eastAsia="IRNazanin"/>
          <w:color w:val="111111"/>
          <w:sz w:val="28"/>
          <w:sz w:val="28"/>
          <w:szCs w:val="28"/>
          <w:rtl w:val="true"/>
          <w:lang w:bidi="fa-IR"/>
        </w:rPr>
        <w:t xml:space="preserve">بالکسر وأصله الحُزمة من الشیء، والمراد هنا القبض علی جملة من العیدان ونحوها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المشتمل علی العدد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المعتبر فی الحدّ وضَربه به دفعة واحدة مؤلمة بحیث یمسّه الجمیع أو ینکبس بعضها علی بعض فیناله ألمها، ولو لم تسع الید العدد أجمع ضُرب به مرّتین فصاعداً إلی أن یکمل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یشترط وصول کلّ واحد من العدد إلی بدنه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حدّ المریض مع عدم احتماله الضرب المتکرّر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متتالیاً وإن احتمله فی الأیّام متفرّقاً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واقتضاء المصلحة التعجیل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ولو احتمل سیاطاً خفافاً فهی أولی من الضِغث، ولا یجب إعادته بعد بُرئه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الاجتزاء فی الضغث بمسمّی المضروب به مع حصول الألم به فی الجملة وإن لم یحصل بآحاده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رُوی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النبیّ صلی الله علیه و آله فعل ذلک فی مریض زانٍ بعُرجون فیه مئة شمراخ </w:t>
      </w:r>
      <w:r>
        <w:rPr>
          <w:rStyle w:val="FootnoteAnchor"/>
          <w:rtl w:val="true"/>
        </w:rPr>
        <w:footnoteReference w:id="1220"/>
      </w:r>
      <w:r>
        <w:rPr>
          <w:rFonts w:ascii="Amiri" w:hAnsi="Amiri" w:eastAsia="Amiri" w:cs="Amiri"/>
          <w:color w:val="111111"/>
          <w:sz w:val="28"/>
          <w:sz w:val="28"/>
          <w:szCs w:val="28"/>
          <w:rtl w:val="true"/>
          <w:lang w:bidi="ar-SA"/>
        </w:rPr>
        <w:t>فضربه ضربة واحدة</w:t>
      </w:r>
      <w:r>
        <w:rPr>
          <w:rFonts w:eastAsia="Amiri" w:cs="Amiri" w:ascii="Amiri" w:hAnsi="Amiri"/>
          <w:color w:val="111111"/>
          <w:sz w:val="28"/>
          <w:szCs w:val="28"/>
          <w:rtl w:val="true"/>
          <w:lang w:bidi="ar-SA"/>
        </w:rPr>
        <w:t xml:space="preserve">» </w:t>
      </w:r>
      <w:r>
        <w:rPr>
          <w:rStyle w:val="FootnoteAnchor"/>
          <w:rtl w:val="true"/>
        </w:rPr>
        <w:footnoteReference w:id="1221"/>
      </w:r>
      <w:r>
        <w:rPr>
          <w:rFonts w:eastAsia="Times New Roman" w:cs="Times New Roman" w:ascii="Times New Roman" w:hAnsi="Times New Roman"/>
          <w:color w:val="111111"/>
          <w:sz w:val="28"/>
          <w:szCs w:val="28"/>
          <w:rtl w:val="true"/>
          <w:lang w:val="en-US" w:bidi="en-US"/>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ولو اقتضت المصلحة تأخیره إلی أن یبرأ ثمّ یقیم علیه الحدّ تامّاً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وعلیه یحمل ما رُوی من تأخیر أمیر المؤمنین علیه السلام حدّ مریضٍ إلی أن یبرأ </w:t>
      </w:r>
      <w:r>
        <w:rPr>
          <w:rStyle w:val="FootnoteAnchor"/>
          <w:rtl w:val="true"/>
        </w:rPr>
        <w:footnoteReference w:id="1222"/>
      </w:r>
      <w:r>
        <w:rPr>
          <w:rFonts w:eastAsia="Times New Roman" w:cs="Times New Roman" w:ascii="Times New Roman" w:hAnsi="Times New Roman"/>
          <w:color w:val="111111"/>
          <w:sz w:val="28"/>
          <w:szCs w:val="28"/>
          <w:rtl w:val="true"/>
          <w:lang w:val="en-US" w:bidi="en-US"/>
        </w:rPr>
        <w:t>.</w:t>
      </w:r>
      <w:bookmarkStart w:id="447" w:name="pg19815_253287"/>
    </w:p>
    <w:p>
      <w:pPr>
        <w:pStyle w:val="Heading6"/>
        <w:numPr>
          <w:ilvl w:val="5"/>
          <w:numId w:val="1"/>
        </w:numPr>
        <w:rPr/>
      </w:pPr>
      <w:bookmarkStart w:id="448" w:name="__RefHeading___Toc2228015_2314609296"/>
      <w:bookmarkStart w:id="449" w:name="_Toc170"/>
      <w:bookmarkEnd w:id="447"/>
      <w:bookmarkEnd w:id="448"/>
      <w:r>
        <w:rPr>
          <w:rtl w:val="true"/>
        </w:rPr>
        <w:t>[«</w:t>
      </w:r>
      <w:r>
        <w:rPr>
          <w:rtl w:val="true"/>
        </w:rPr>
        <w:t>وثامنها</w:t>
      </w:r>
      <w:r>
        <w:rPr>
          <w:rtl w:val="true"/>
        </w:rPr>
        <w:t xml:space="preserve">: </w:t>
      </w:r>
      <w:r>
        <w:rPr>
          <w:rtl w:val="true"/>
        </w:rPr>
        <w:t>الجلد</w:t>
      </w:r>
      <w:r>
        <w:rPr>
          <w:rtl w:val="true"/>
        </w:rPr>
        <w:t xml:space="preserve">» </w:t>
      </w:r>
      <w:r>
        <w:rPr>
          <w:rtl w:val="true"/>
        </w:rPr>
        <w:t xml:space="preserve">المقدَّر </w:t>
      </w:r>
      <w:r>
        <w:rPr>
          <w:rtl w:val="true"/>
        </w:rPr>
        <w:t>«</w:t>
      </w:r>
      <w:r>
        <w:rPr>
          <w:rtl w:val="true"/>
        </w:rPr>
        <w:t>و</w:t>
      </w:r>
      <w:r>
        <w:rPr>
          <w:rtl w:val="true"/>
        </w:rPr>
        <w:t xml:space="preserve">» </w:t>
      </w:r>
      <w:r>
        <w:rPr>
          <w:rtl w:val="true"/>
        </w:rPr>
        <w:t xml:space="preserve">معه </w:t>
      </w:r>
      <w:r>
        <w:rPr>
          <w:rtl w:val="true"/>
        </w:rPr>
        <w:t>«</w:t>
      </w:r>
      <w:r>
        <w:rPr>
          <w:rtl w:val="true"/>
        </w:rPr>
        <w:t>عقوبة زائدة</w:t>
      </w:r>
      <w:r>
        <w:rPr>
          <w:rtl w:val="true"/>
        </w:rPr>
        <w:t>» :]</w:t>
      </w:r>
      <w:bookmarkEnd w:id="449"/>
    </w:p>
    <w:p>
      <w:pPr>
        <w:pStyle w:val="BookText"/>
        <w:rPr/>
      </w:pPr>
      <w:r>
        <w:rPr>
          <w:rStyle w:val="FootnoteAnchor"/>
          <w:rtl w:val="true"/>
        </w:rPr>
        <w:footnoteReference w:id="1223"/>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حدّ الزانی فی شهر رمضان لیلاً أو نهاراً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کان النهار أغلظ حرمةً وأقوی فی زیادة العقوبة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غیره من الأزمنة الشریفة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کیوم الجمعة وعرفة والعید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فی مکان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کالمسجد والحرم والمشاهد المشرَّفة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زنی بمیّتة</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ویرجع فی الزیادة 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یقیم الحدّ، ولا فرق بین أن یکون مع الجلد رجم وغیره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کان الزنا لا جلد فیه بل القتل عُوقِب قبلَه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لمکان المحترم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لا یدخل فی العبارة</w:t>
      </w:r>
      <w:r>
        <w:rPr>
          <w:rFonts w:eastAsia="IRNazanin" w:cs="IRNazanin"/>
          <w:color w:val="111111"/>
          <w:sz w:val="28"/>
          <w:szCs w:val="28"/>
          <w:rtl w:val="true"/>
          <w:lang w:bidi="fa-IR"/>
        </w:rPr>
        <w:t>.</w:t>
      </w:r>
    </w:p>
    <w:p>
      <w:pPr>
        <w:pStyle w:val="Heading6"/>
        <w:numPr>
          <w:ilvl w:val="5"/>
          <w:numId w:val="1"/>
        </w:numPr>
        <w:rPr/>
      </w:pPr>
      <w:bookmarkStart w:id="450" w:name="__RefHeading___Toc2228017_2314609296"/>
      <w:bookmarkStart w:id="451" w:name="_Toc171"/>
      <w:bookmarkEnd w:id="450"/>
      <w:r>
        <w:rPr>
          <w:rtl w:val="true"/>
        </w:rPr>
        <w:t>[«</w:t>
      </w:r>
      <w:r>
        <w:rPr>
          <w:rtl w:val="true"/>
        </w:rPr>
        <w:t>تتمّة</w:t>
      </w:r>
      <w:r>
        <w:rPr>
          <w:rtl w:val="true"/>
        </w:rPr>
        <w:t>» :]</w:t>
      </w:r>
      <w:bookmarkEnd w:id="45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شهد لها أربع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بالبکارة بعد شهادة الأربعة بالزنا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فالأقرب درء الحدّ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دفعه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الجمیع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المرأة والشهود بالزنا؛ لتعارض الشهادات ظاهراً، فإنّه کما یمکن صدق النساء فی البکارة یمکن صدق الرجال فی الزنا، ولیس أحدهم أولی من الآخر، فتحصل الشبهة الدارئة للحدّ عن المشهود علیه، وکذا عن الشهود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ولإمکان عود البکارة</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وللشیخ قول بحدّ شهود الزنا؛ للفریة </w:t>
      </w:r>
      <w:r>
        <w:rPr>
          <w:rStyle w:val="FootnoteAnchor"/>
          <w:rtl w:val="true"/>
        </w:rPr>
        <w:footnoteReference w:id="1224"/>
      </w:r>
      <w:r>
        <w:rPr>
          <w:rFonts w:ascii="IRNazanin" w:hAnsi="IRNazanin" w:eastAsia="IRNazanin"/>
          <w:color w:val="111111"/>
          <w:sz w:val="28"/>
          <w:sz w:val="28"/>
          <w:szCs w:val="28"/>
          <w:rtl w:val="true"/>
          <w:lang w:bidi="fa-IR"/>
        </w:rPr>
        <w:t>وهو بعید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شهدن أنّ المرأة رتقاء أو ثبت أنّ الرجل مجبوب حُدّ الشهود؛ للقذف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احتمال السقوط فی الأوّل للتعارض </w:t>
      </w:r>
      <w:r>
        <w:rPr>
          <w:rStyle w:val="FootnoteAnchor"/>
          <w:rtl w:val="true"/>
        </w:rPr>
        <w:footnoteReference w:id="1225"/>
      </w:r>
      <w:r>
        <w:rPr>
          <w:rFonts w:ascii="Amiri" w:hAnsi="Amiri" w:eastAsia="Amiri" w:cs="Amiri"/>
          <w:color w:val="111111"/>
          <w:sz w:val="28"/>
          <w:sz w:val="28"/>
          <w:szCs w:val="28"/>
          <w:rtl w:val="true"/>
          <w:lang w:bidi="ar-SA"/>
        </w:rPr>
        <w:t>ولو لم یقیّدوه بالقُبُل فلا تعارض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ویقیم الحاکم الحدّ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الإمام ونائبه، وسواء علم بموجبه فی زمن حکمه أم قبله، لعموم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اَلزّٰانِیَةُ وَ اَلزّٰانِی فَاجْلِدُوا </w:t>
      </w:r>
      <w:r>
        <w:rPr>
          <w:rStyle w:val="FootnoteAnchor"/>
          <w:rtl w:val="true"/>
        </w:rPr>
        <w:footnoteReference w:id="12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اَلسّٰارِقُ وَ اَلسّٰارِقَةُ فَاقْطَعُوا أَیْدِیَهُمٰا</w:t>
      </w:r>
      <w:r>
        <w:rPr>
          <w:rFonts w:eastAsia="Amiri" w:cs="Amiri" w:ascii="Amiri" w:hAnsi="Amiri"/>
          <w:color w:val="111111"/>
          <w:sz w:val="28"/>
          <w:szCs w:val="28"/>
          <w:rtl w:val="true"/>
          <w:lang w:bidi="ar-SA"/>
        </w:rPr>
        <w:t xml:space="preserve">) </w:t>
      </w:r>
      <w:r>
        <w:rPr>
          <w:rStyle w:val="FootnoteAnchor"/>
          <w:rtl w:val="true"/>
        </w:rPr>
        <w:footnoteReference w:id="1227"/>
      </w:r>
      <w:r>
        <w:rPr>
          <w:rFonts w:ascii="IRNazanin" w:hAnsi="IRNazanin" w:eastAsia="IRNazanin"/>
          <w:color w:val="111111"/>
          <w:sz w:val="28"/>
          <w:sz w:val="28"/>
          <w:szCs w:val="28"/>
          <w:rtl w:val="true"/>
          <w:lang w:bidi="fa-IR"/>
        </w:rPr>
        <w:t>ولأنّ العلم أقوی دلالة من الظنّ المستند إلی البیّنة، وإذا جاز الحکم مع الظنّ جاز مع العلم بطریق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وخالف فی ذلک ابن الجنید </w:t>
      </w:r>
      <w:r>
        <w:rPr>
          <w:rStyle w:val="FootnoteAnchor"/>
          <w:rtl w:val="true"/>
        </w:rPr>
        <w:footnoteReference w:id="1228"/>
      </w:r>
      <w:r>
        <w:rPr>
          <w:rFonts w:ascii="IRNazanin" w:hAnsi="IRNazanin" w:eastAsia="IRNazanin"/>
          <w:color w:val="111111"/>
          <w:sz w:val="28"/>
          <w:sz w:val="28"/>
          <w:szCs w:val="28"/>
          <w:rtl w:val="true"/>
          <w:lang w:bidi="fa-IR"/>
        </w:rPr>
        <w:t xml:space="preserve">وقد سبقه الإجماع </w:t>
      </w:r>
      <w:r>
        <w:rPr>
          <w:rStyle w:val="FootnoteAnchor"/>
          <w:rtl w:val="true"/>
        </w:rPr>
        <w:footnoteReference w:id="1229"/>
      </w:r>
      <w:r>
        <w:rPr>
          <w:rFonts w:ascii="IRNazanin" w:hAnsi="IRNazanin" w:eastAsia="IRNazanin"/>
          <w:color w:val="111111"/>
          <w:sz w:val="28"/>
          <w:sz w:val="28"/>
          <w:szCs w:val="28"/>
          <w:rtl w:val="true"/>
          <w:lang w:bidi="fa-IR"/>
        </w:rPr>
        <w:t xml:space="preserve">ولحقه </w:t>
      </w:r>
      <w:r>
        <w:rPr>
          <w:rStyle w:val="FootnoteAnchor"/>
          <w:rtl w:val="true"/>
        </w:rPr>
        <w:footnoteReference w:id="1230"/>
      </w:r>
      <w:r>
        <w:rPr>
          <w:rFonts w:ascii="IRNazanin" w:hAnsi="IRNazanin" w:eastAsia="IRNazanin"/>
          <w:color w:val="111111"/>
          <w:sz w:val="28"/>
          <w:sz w:val="28"/>
          <w:szCs w:val="28"/>
          <w:rtl w:val="true"/>
          <w:lang w:bidi="fa-IR"/>
        </w:rPr>
        <w:t xml:space="preserve">مع ضعف متمسّکه بأنّ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حکمه بعلمه تزکیة لنفسه، وتعریض لها للتهمة وسوء الظنّ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التزکیة حاصلة بتولیة الحکم، والتهمة حاصلة فی حکمه بالبیّنة والإقرار وإن اختلفت بالزیادة والنقصان، ومثل هذا لا یلتفت إلیه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یحکم بعلمه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لعین ما ذکر وعدم الفارق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إلّاأ نّه بعد مطالبتهم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کما فی حکمه لهم بالبیّنة والإقرار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یعلم بسببه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تعزیراً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لاشتراک الجمیع فی المقتضی</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وجد مع زوجته رجلاً یزنی بها فله قتلهما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بینه وبین اللّٰه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إثم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بذلک وإن کان استیفاء الحدّ فی غیره منوطاً بالحاکم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هو المشهور بین الأصحاب لا نعلم فیه </w:t>
      </w:r>
      <w:r>
        <w:rPr>
          <w:rStyle w:val="FootnoteAnchor"/>
          <w:rtl w:val="true"/>
        </w:rPr>
        <w:footnoteReference w:id="1231"/>
      </w:r>
      <w:r>
        <w:rPr>
          <w:rFonts w:ascii="Amiri" w:hAnsi="Amiri" w:eastAsia="Amiri" w:cs="Amiri"/>
          <w:color w:val="111111"/>
          <w:sz w:val="28"/>
          <w:sz w:val="28"/>
          <w:szCs w:val="28"/>
          <w:rtl w:val="true"/>
          <w:lang w:bidi="ar-SA"/>
        </w:rPr>
        <w:t>مخالفاً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مرویّ أیضاً </w:t>
      </w:r>
      <w:r>
        <w:rPr>
          <w:rStyle w:val="FootnoteAnchor"/>
          <w:rtl w:val="true"/>
        </w:rPr>
        <w:footnoteReference w:id="1232"/>
      </w:r>
      <w:r>
        <w:rPr>
          <w:rFonts w:ascii="IRNazanin" w:hAnsi="IRNazanin" w:eastAsia="IRNazanin"/>
          <w:color w:val="111111"/>
          <w:sz w:val="28"/>
          <w:sz w:val="28"/>
          <w:szCs w:val="28"/>
          <w:rtl w:val="true"/>
          <w:lang w:bidi="fa-IR"/>
        </w:rPr>
        <w:t>ولا فرق فی الزوجة بین الدائم والمتمتّع بها، ولا بین المدخول بها وغیرها، ولا بین الحرّة والأمة، ولا فی الزانی بین المحصن وغیره؛ لإطلاق الإذن المتناول لجمیع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والظاهر اشتراط المعاینة علی حدّ ما یعتبر فی غیره </w:t>
      </w:r>
      <w:r>
        <w:rPr>
          <w:rStyle w:val="FootnoteAnchor"/>
          <w:rtl w:val="true"/>
        </w:rPr>
        <w:footnoteReference w:id="1233"/>
      </w:r>
      <w:r>
        <w:rPr>
          <w:rFonts w:ascii="IRNazanin" w:hAnsi="IRNazanin" w:eastAsia="IRNazanin"/>
          <w:color w:val="111111"/>
          <w:sz w:val="28"/>
          <w:sz w:val="28"/>
          <w:szCs w:val="28"/>
          <w:rtl w:val="true"/>
          <w:lang w:bidi="fa-IR"/>
        </w:rPr>
        <w:t>ولا یتعدّی إلی غیرها وإن کان رحماً أو محرماً، اقتصاراً فیما خالف الأصل علی محلّ الوفاق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الحکم بحسب الواقع کما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إقراره بقتله أو قیام البیّنة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إقامته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دعواه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التصدیق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ولیّ المقتول؛ لأصالة عدم استحقاقه القتل وعدم الفعل المدّعی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حدیث سعد بن عبادة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وجدت علی بطن امرأتک رجلاً ما کنت صانعاً؟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أضربه بالسیف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النبیّ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فکیف بالأربعة الشهود؟ إنّ اللّٰه تعالی جعل لکلّ شیء حدّاً، وجعل لمن تعدّی ذلک الحدّ حدّاً</w:t>
      </w:r>
      <w:r>
        <w:rPr>
          <w:rFonts w:eastAsia="IRNazanin" w:cs="IRNazanin"/>
          <w:color w:val="111111"/>
          <w:sz w:val="28"/>
          <w:szCs w:val="28"/>
          <w:rtl w:val="true"/>
          <w:lang w:bidi="fa-IR"/>
        </w:rPr>
        <w:t xml:space="preserve">» </w:t>
      </w:r>
      <w:r>
        <w:rPr>
          <w:rStyle w:val="FootnoteAnchor"/>
          <w:rtl w:val="true"/>
        </w:rPr>
        <w:footnoteReference w:id="1234"/>
      </w:r>
      <w:r>
        <w:rPr>
          <w:rFonts w:eastAsia="Times New Roman" w:cs="Times New Roman" w:ascii="Times New Roman" w:hAnsi="Times New Roman"/>
          <w:color w:val="111111"/>
          <w:sz w:val="28"/>
          <w:szCs w:val="28"/>
          <w:rtl w:val="true"/>
          <w:lang w:val="en-US" w:bidi="en-US"/>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تزوّج بأمة علی حرّة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ووطئها قبل الإذن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الحرّة</w:t>
      </w:r>
    </w:p>
    <w:p>
      <w:pPr>
        <w:pStyle w:val="BookText"/>
        <w:rPr/>
      </w:pPr>
      <w:r>
        <w:rPr>
          <w:rFonts w:ascii="IRNazanin" w:hAnsi="IRNazanin" w:eastAsia="IRNazanin"/>
          <w:color w:val="111111"/>
          <w:sz w:val="28"/>
          <w:sz w:val="28"/>
          <w:szCs w:val="28"/>
          <w:rtl w:val="true"/>
          <w:lang w:bidi="fa-IR"/>
        </w:rPr>
        <w:t xml:space="preserve">وإجازتها عقدَ الأمة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فعلیه ثمن حدّ الزانی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اثنا عشر سوطاً ونصف، بأن یقبض فی النصف علی نصفه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یضربه ضرباً بین ضربین </w:t>
      </w:r>
      <w:r>
        <w:rPr>
          <w:rStyle w:val="FootnoteAnchor"/>
          <w:rtl w:val="true"/>
        </w:rPr>
        <w:footnoteReference w:id="12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اقتضّ </w:t>
      </w:r>
      <w:r>
        <w:rPr>
          <w:rStyle w:val="FootnoteAnchor"/>
          <w:rtl w:val="true"/>
        </w:rPr>
        <w:footnoteReference w:id="1236"/>
      </w:r>
      <w:r>
        <w:rPr>
          <w:rFonts w:ascii="IRNazanin" w:hAnsi="IRNazanin" w:eastAsia="IRNazanin"/>
          <w:color w:val="111111"/>
          <w:sz w:val="28"/>
          <w:sz w:val="28"/>
          <w:szCs w:val="28"/>
          <w:rtl w:val="true"/>
          <w:lang w:bidi="fa-IR"/>
        </w:rPr>
        <w:t>بکراً بإصبعه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فأزال بکارتها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لزمه مهر نسائها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زاد عن مهر السنّة إن کانت حرّة، صغیرة کانت أم کبیرة، مسلمة أم کافرة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کانت أمة فعلیه عشر قیمتها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لمولاها علی الأشهر، وبه روایة فی طریقها طلحة بن زید </w:t>
      </w:r>
      <w:r>
        <w:rPr>
          <w:rStyle w:val="FootnoteAnchor"/>
          <w:rtl w:val="true"/>
        </w:rPr>
        <w:footnoteReference w:id="1237"/>
      </w:r>
      <w:r>
        <w:rPr>
          <w:rFonts w:ascii="IRNazanin" w:hAnsi="IRNazanin" w:eastAsia="IRNazanin"/>
          <w:color w:val="111111"/>
          <w:sz w:val="28"/>
          <w:sz w:val="28"/>
          <w:szCs w:val="28"/>
          <w:rtl w:val="true"/>
          <w:lang w:bidi="fa-IR"/>
        </w:rPr>
        <w:t xml:space="preserve">ومن ثمّ قیل بوجوب الأرش </w:t>
      </w:r>
      <w:r>
        <w:rPr>
          <w:rStyle w:val="FootnoteAnchor"/>
          <w:rtl w:val="true"/>
        </w:rPr>
        <w:footnoteReference w:id="1238"/>
      </w:r>
      <w:r>
        <w:rPr>
          <w:rFonts w:ascii="IRNazanin" w:hAnsi="IRNazanin" w:eastAsia="IRNazanin"/>
          <w:color w:val="111111"/>
          <w:sz w:val="28"/>
          <w:sz w:val="28"/>
          <w:szCs w:val="28"/>
          <w:rtl w:val="true"/>
          <w:lang w:bidi="fa-IR"/>
        </w:rPr>
        <w:t>وهو ما بین قیمتها بکراً وثیّباً؛ لأ نّه موجَب الجنایة علی مال الغیر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الحکم </w:t>
      </w:r>
      <w:r>
        <w:rPr>
          <w:rStyle w:val="FootnoteAnchor"/>
          <w:rtl w:val="true"/>
        </w:rPr>
        <w:footnoteReference w:id="1239"/>
      </w:r>
      <w:r>
        <w:rPr>
          <w:rFonts w:ascii="IRNazanin" w:hAnsi="IRNazanin" w:eastAsia="IRNazanin"/>
          <w:color w:val="111111"/>
          <w:sz w:val="28"/>
          <w:sz w:val="28"/>
          <w:szCs w:val="28"/>
          <w:rtl w:val="true"/>
          <w:lang w:bidi="fa-IR"/>
        </w:rPr>
        <w:t>فی الباب عرضیّ، والمناسب فیه الحکم بالتعزیر؛ لإقدامه علی المحرَّم</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اختلف فی تقدیره فأطلقه جماعة </w:t>
      </w:r>
      <w:r>
        <w:rPr>
          <w:rStyle w:val="FootnoteAnchor"/>
          <w:rtl w:val="true"/>
        </w:rPr>
        <w:footnoteReference w:id="1240"/>
      </w:r>
      <w:r>
        <w:rPr>
          <w:rFonts w:ascii="IRNazanin" w:hAnsi="IRNazanin" w:eastAsia="IRNazanin"/>
          <w:color w:val="111111"/>
          <w:sz w:val="28"/>
          <w:sz w:val="28"/>
          <w:szCs w:val="28"/>
          <w:rtl w:val="true"/>
          <w:lang w:bidi="fa-IR"/>
        </w:rPr>
        <w:t xml:space="preserve">وجعله بعضهم من ثلاثین إلی ثمانین </w:t>
      </w:r>
      <w:r>
        <w:rPr>
          <w:rStyle w:val="FootnoteAnchor"/>
          <w:rtl w:val="true"/>
        </w:rPr>
        <w:footnoteReference w:id="1241"/>
      </w:r>
      <w:r>
        <w:rPr>
          <w:rFonts w:ascii="IRNazanin" w:hAnsi="IRNazanin" w:eastAsia="IRNazanin"/>
          <w:color w:val="111111"/>
          <w:sz w:val="28"/>
          <w:sz w:val="28"/>
          <w:szCs w:val="28"/>
          <w:rtl w:val="true"/>
          <w:lang w:bidi="fa-IR"/>
        </w:rPr>
        <w:t xml:space="preserve">وآخرون إلی تسعة وتسعین </w:t>
      </w:r>
      <w:r>
        <w:rPr>
          <w:rStyle w:val="FootnoteAnchor"/>
          <w:rtl w:val="true"/>
        </w:rPr>
        <w:footnoteReference w:id="1242"/>
      </w:r>
      <w:r>
        <w:rPr>
          <w:rFonts w:ascii="IRNazanin" w:hAnsi="IRNazanin" w:eastAsia="IRNazanin"/>
          <w:color w:val="111111"/>
          <w:sz w:val="28"/>
          <w:sz w:val="28"/>
          <w:szCs w:val="28"/>
          <w:rtl w:val="true"/>
          <w:lang w:bidi="fa-IR"/>
        </w:rPr>
        <w:t xml:space="preserve">وفی صحیحة ابن سنان عن الصادق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امرأة اقتضّت جاریة بیدها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علیها المهر وتضرب الحدّ</w:t>
      </w:r>
      <w:r>
        <w:rPr>
          <w:rFonts w:eastAsia="IRNazanin" w:cs="IRNazanin"/>
          <w:color w:val="111111"/>
          <w:sz w:val="28"/>
          <w:szCs w:val="28"/>
          <w:rtl w:val="true"/>
          <w:lang w:bidi="fa-IR"/>
        </w:rPr>
        <w:t xml:space="preserve">» </w:t>
      </w:r>
      <w:r>
        <w:rPr>
          <w:rStyle w:val="FootnoteAnchor"/>
          <w:rtl w:val="true"/>
        </w:rPr>
        <w:footnoteReference w:id="1243"/>
      </w:r>
      <w:r>
        <w:rPr>
          <w:rFonts w:ascii="IRNazanin" w:hAnsi="IRNazanin" w:eastAsia="IRNazanin"/>
          <w:color w:val="111111"/>
          <w:sz w:val="28"/>
          <w:sz w:val="28"/>
          <w:szCs w:val="28"/>
          <w:rtl w:val="true"/>
          <w:lang w:bidi="fa-IR"/>
        </w:rPr>
        <w:t>وفی</w:t>
      </w:r>
    </w:p>
    <w:p>
      <w:pPr>
        <w:pStyle w:val="BookText"/>
        <w:rPr/>
      </w:pPr>
      <w:r>
        <w:rPr>
          <w:rFonts w:ascii="IRNazanin" w:hAnsi="IRNazanin" w:eastAsia="IRNazanin"/>
          <w:color w:val="111111"/>
          <w:sz w:val="28"/>
          <w:sz w:val="28"/>
          <w:szCs w:val="28"/>
          <w:rtl w:val="true"/>
          <w:lang w:bidi="fa-IR"/>
        </w:rPr>
        <w:t>صحیحته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أمیر المؤمنین علیه السلام قضی بذلک،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تُجلد ثمانین</w:t>
      </w:r>
      <w:r>
        <w:rPr>
          <w:rFonts w:eastAsia="IRNazanin" w:cs="IRNazanin"/>
          <w:color w:val="111111"/>
          <w:sz w:val="28"/>
          <w:szCs w:val="28"/>
          <w:rtl w:val="true"/>
          <w:lang w:bidi="fa-IR"/>
        </w:rPr>
        <w:t xml:space="preserve">» </w:t>
      </w:r>
      <w:r>
        <w:rPr>
          <w:rStyle w:val="FootnoteAnchor"/>
          <w:rtl w:val="true"/>
        </w:rPr>
        <w:footnoteReference w:id="12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أقرّ بحدّ ولم یبیّنه ضُرِب حتّی ینهی عن نفسه أو یبلغ المئة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والأصل فیه روایة محمّد بن قیس عن الباقر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أمیر المؤمنین علیه السلام قضی فی رجل أقرّ علی نفسه بحدّ ولم یسمّ أیَّ حدّ هو أن یُجلد حتّی یکون هو الذی ینهی عن نفسه الحدّ</w:t>
      </w:r>
      <w:r>
        <w:rPr>
          <w:rFonts w:eastAsia="IRNazanin" w:cs="IRNazanin"/>
          <w:color w:val="111111"/>
          <w:sz w:val="28"/>
          <w:szCs w:val="28"/>
          <w:rtl w:val="true"/>
          <w:lang w:bidi="fa-IR"/>
        </w:rPr>
        <w:t xml:space="preserve">» </w:t>
      </w:r>
      <w:r>
        <w:rPr>
          <w:rStyle w:val="FootnoteAnchor"/>
          <w:rtl w:val="true"/>
        </w:rPr>
        <w:footnoteReference w:id="1245"/>
      </w:r>
      <w:r>
        <w:rPr>
          <w:rFonts w:ascii="IRNazanin" w:hAnsi="IRNazanin" w:eastAsia="IRNazanin"/>
          <w:color w:val="111111"/>
          <w:sz w:val="28"/>
          <w:sz w:val="28"/>
          <w:szCs w:val="28"/>
          <w:rtl w:val="true"/>
          <w:lang w:bidi="fa-IR"/>
        </w:rPr>
        <w:t xml:space="preserve">وبمضمونها عمل الشیخ </w:t>
      </w:r>
      <w:r>
        <w:rPr>
          <w:rStyle w:val="FootnoteAnchor"/>
          <w:rtl w:val="true"/>
        </w:rPr>
        <w:footnoteReference w:id="1246"/>
      </w:r>
      <w:r>
        <w:rPr>
          <w:rFonts w:ascii="Amiri" w:hAnsi="Amiri" w:eastAsia="Amiri" w:cs="Amiri"/>
          <w:color w:val="111111"/>
          <w:sz w:val="28"/>
          <w:sz w:val="28"/>
          <w:szCs w:val="28"/>
          <w:rtl w:val="true"/>
          <w:lang w:bidi="ar-SA"/>
        </w:rPr>
        <w:t xml:space="preserve">وجماعة </w:t>
      </w:r>
      <w:r>
        <w:rPr>
          <w:rStyle w:val="FootnoteAnchor"/>
          <w:rtl w:val="true"/>
        </w:rPr>
        <w:footnoteReference w:id="1247"/>
      </w:r>
      <w:r>
        <w:rPr>
          <w:rFonts w:ascii="IRNazanin" w:hAnsi="IRNazanin" w:eastAsia="IRNazanin"/>
          <w:color w:val="111111"/>
          <w:sz w:val="28"/>
          <w:sz w:val="28"/>
          <w:szCs w:val="28"/>
          <w:rtl w:val="true"/>
          <w:lang w:bidi="fa-IR"/>
        </w:rPr>
        <w:t xml:space="preserve">وإنّما قیّده المصنّف بکونه لا یتجاوز المئة؛ لأنّها أکبر </w:t>
      </w:r>
      <w:r>
        <w:rPr>
          <w:rStyle w:val="FootnoteAnchor"/>
          <w:rtl w:val="true"/>
        </w:rPr>
        <w:footnoteReference w:id="1248"/>
      </w:r>
      <w:r>
        <w:rPr>
          <w:rFonts w:ascii="IRNazanin" w:hAnsi="IRNazanin" w:eastAsia="IRNazanin"/>
          <w:color w:val="111111"/>
          <w:sz w:val="28"/>
          <w:sz w:val="28"/>
          <w:szCs w:val="28"/>
          <w:rtl w:val="true"/>
          <w:lang w:bidi="fa-IR"/>
        </w:rPr>
        <w:t>الحدود، وهو حدّ الزنا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وزاد ابن إدریس قیداً آخر، وهو أ نّه لا ینقص عن ثمانین، نظراً إلی أنّ أقلّ الحدود حدّ الشرب </w:t>
      </w:r>
      <w:r>
        <w:rPr>
          <w:rStyle w:val="FootnoteAnchor"/>
          <w:rtl w:val="true"/>
        </w:rPr>
        <w:footnoteReference w:id="12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وفیه نظر؛ إذ حدّ القوّاد خمسة وسبعون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والمصنّف والعلّامة وجماعة لم یحدّوه فی جانب القلّة، کما اُطلق فی الروایة؛ لجواز أن یرید بالحدّ التعزیر ولا تقدیر له قلّة</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ومع ضعف المستند </w:t>
      </w:r>
      <w:r>
        <w:rPr>
          <w:rStyle w:val="FootnoteAnchor"/>
          <w:rtl w:val="true"/>
        </w:rPr>
        <w:footnoteReference w:id="1250"/>
      </w:r>
      <w:r>
        <w:rPr>
          <w:rFonts w:ascii="IRNazanin" w:hAnsi="IRNazanin" w:eastAsia="IRNazanin"/>
          <w:color w:val="111111"/>
          <w:sz w:val="28"/>
          <w:sz w:val="28"/>
          <w:szCs w:val="28"/>
          <w:rtl w:val="true"/>
          <w:lang w:bidi="fa-IR"/>
        </w:rPr>
        <w:t>فی کلّ واحد من الأقوال 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النقصان عن أقلّ الحدود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فلأ نّه وإن حُمل علی التعزیر، إلّاأنّ تقدیره للحاکم لا للمعزِّر، فکیف یقتصر علی ما یبیّنه؟ </w:t>
      </w:r>
      <w:r>
        <w:rPr>
          <w:rStyle w:val="FootnoteAnchor"/>
          <w:rtl w:val="true"/>
        </w:rPr>
        <w:footnoteReference w:id="1251"/>
      </w:r>
      <w:r>
        <w:rPr>
          <w:rFonts w:ascii="IRNazanin" w:hAnsi="IRNazanin" w:eastAsia="IRNazanin"/>
          <w:color w:val="111111"/>
          <w:sz w:val="28"/>
          <w:sz w:val="28"/>
          <w:szCs w:val="28"/>
          <w:rtl w:val="true"/>
          <w:lang w:bidi="fa-IR"/>
        </w:rPr>
        <w:t xml:space="preserve">ولو حُمل علی تعزیر مقدّر وجب تقییده بما لو وقف علی أحد المقدّرات منه، مع أنّ إطلاق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الظاهر، واللفظ إنّما یحمل علی ظاهره؛ ومع ذلک فلو وقف علی عدد لا یکون حدّاً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بین الثمانین والمئة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اُشکل قبوله منه؛ لأ نّه خلاف المشروع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عدم تجاوز المئة، فإنّه یمکن زیادة الحدّ عنها، بأن یکون قد زنی فی مکان شریف أو زمان شریف؛ ومع ذلک فتقدیر الزیادة علی هذا التقدیر إلی الحاکم، لا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یشکل بلوغ الثمانین بالإقرار مرّة؛ لتوقّف حدّ الثمانین علی الإقرار مرّتین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وأشکل منه بلوغ المئة بالمرّة والمرّتین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بلوغ المئة إنّما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یصحّ إذا تکرّر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الإقرار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مقتضی الإقرار بالزنا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وإلّا فلا یبلغ المئة</w:t>
      </w:r>
      <w:r>
        <w:rPr>
          <w:rFonts w:eastAsia="IRNazanin" w:cs="IRNazanin"/>
          <w:color w:val="111111"/>
          <w:sz w:val="28"/>
          <w:szCs w:val="28"/>
          <w:rtl w:val="true"/>
          <w:lang w:bidi="fa-IR"/>
        </w:rPr>
        <w:t>» .</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وبالجملة، فلیس فی المسألة فرض یتمّ مطلقاً؛ لأنّا إن حملنا الحدّ علی ما یشمل التعزیر لم یتّجه الرجوع إلیه فی المقدار، إلّاأن یخصّه </w:t>
      </w:r>
      <w:r>
        <w:rPr>
          <w:rStyle w:val="FootnoteAnchor"/>
          <w:rtl w:val="true"/>
        </w:rPr>
        <w:footnoteReference w:id="1252"/>
      </w:r>
      <w:r>
        <w:rPr>
          <w:rFonts w:ascii="IRNazanin" w:hAnsi="IRNazanin" w:eastAsia="IRNazanin"/>
          <w:color w:val="111111"/>
          <w:sz w:val="28"/>
          <w:sz w:val="28"/>
          <w:szCs w:val="28"/>
          <w:rtl w:val="true"/>
          <w:lang w:bidi="fa-IR"/>
        </w:rPr>
        <w:t>بمقدار تعزیر من التعزیرات المقدّرة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وحینئذٍ یتّجه أ نّه یُقبل بالمرّة ولا یبلغ الخمسة والخمسین، وإن أقرّ مرّتین لم یتجاوز الثمانین، وإن أقرّ أربعاً جاز الوصول إلی المئة وأمکن القول بالتجاوز؛ لما ذکر </w:t>
      </w:r>
      <w:r>
        <w:rPr>
          <w:rStyle w:val="FootnoteAnchor"/>
          <w:rtl w:val="true"/>
        </w:rPr>
        <w:footnoteReference w:id="12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أ نّه فی الجمیع کما یمکن حمل المکرّر علی التأکید لحدّ واحد، یمکن حمله علی التأسیس، فلا یتعیّن کونه حدَّ زنا أو غیره، بل یجوز کونه تعزیرات متعدّدة أو حدوداً کذلک مبهمة، ومن القواعد المشهورة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التأسیس أولی من التأکید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فالحکم مطلقاً </w:t>
      </w:r>
      <w:r>
        <w:rPr>
          <w:rStyle w:val="FootnoteAnchor"/>
          <w:rtl w:val="true"/>
        </w:rPr>
        <w:footnoteReference w:id="1254"/>
      </w:r>
      <w:r>
        <w:rPr>
          <w:rFonts w:ascii="IRNazanin" w:hAnsi="IRNazanin" w:eastAsia="IRNazanin"/>
          <w:color w:val="111111"/>
          <w:sz w:val="28"/>
          <w:sz w:val="28"/>
          <w:szCs w:val="28"/>
          <w:rtl w:val="true"/>
          <w:lang w:bidi="fa-IR"/>
        </w:rPr>
        <w:t>مشکل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والمستند ضعیف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قیل بأ نّه مع الإقرار مرّة لا یبلغ الخمسة والسبعین فی طرف الزیادة، وفی طرف النقیصة یقتصر الحاکم علی ما یراه، کان حسناً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التقبیل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والمضاجعة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نوم الرجل مع المرأة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إزار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ثوب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تحت لحاف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التعزیر بما دون الحدّ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فعلُ محرَّمٍ لا یبلغ حدّ الزنا، والمرجع فی کمّیّة التعزیر إلی رأی الحاکم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والظاهر أنّ المراد بالحدّ الذی لا یبلغه هنا حدّ الزنا، کما ینبّه علیه فی بعض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إنّهما یُضربان مئة سوط غیر سوط </w:t>
      </w:r>
      <w:r>
        <w:rPr>
          <w:rStyle w:val="FootnoteAnchor"/>
          <w:rtl w:val="true"/>
        </w:rPr>
        <w:footnoteReference w:id="12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الحلبی فی الصحیح عن الصادق علیه السلام </w:t>
      </w:r>
      <w:r>
        <w:rPr>
          <w:rStyle w:val="FootnoteAnchor"/>
          <w:rtl w:val="true"/>
        </w:rPr>
        <w:footnoteReference w:id="1256"/>
      </w:r>
      <w:r>
        <w:rPr>
          <w:rFonts w:ascii="IRNazanin" w:hAnsi="IRNazanin" w:eastAsia="IRNazanin"/>
          <w:color w:val="111111"/>
          <w:sz w:val="28"/>
          <w:sz w:val="28"/>
          <w:szCs w:val="28"/>
          <w:rtl w:val="true"/>
          <w:lang w:bidi="fa-IR"/>
        </w:rPr>
        <w:t xml:space="preserve">ورواه غیره </w:t>
      </w:r>
      <w:r>
        <w:rPr>
          <w:rStyle w:val="FootnoteAnchor"/>
          <w:rtl w:val="true"/>
        </w:rPr>
        <w:footnoteReference w:id="1257"/>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نّهما یُجلدان کلّ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مئة جلدة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الزانی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وحُملت علی ما إذا انضاف إلی ذلک وقوع الفعل، جمعاً بین الأخبار</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حملت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المرأة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بعل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لها ولا مولی ولم یُعلم وجهُه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لاحتمال کونه بوجه حلال أو شبهة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إلّاأن تقرّ أربعاً بالزنا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فتُحد لذلک، لا للحمل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وتؤخّر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الزانیة الحامل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وإن کان من الزنا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وتسقیه اللِباء، وترضعه إن لم یوجد له کافل ثمّ یقیم علیها الحدّ إن کان رجماً، ولو کان جلداً فبعد أیّام النفاس إن أمن علیها التلف أو وُجد له مرضع، وإلّا فبعده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ویکفی فی تأخیره عنها دعواها الحمل، لا مجرّد الاحتمال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أقرّ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یوجب الحدّ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أنکر سقط الحدّ إن کان ممّا یوجب الرجم، ولا یسقط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الجلد وما یلحقه </w:t>
      </w:r>
      <w:r>
        <w:rPr>
          <w:rStyle w:val="FootnoteAnchor"/>
          <w:rtl w:val="true"/>
        </w:rPr>
        <w:footnoteReference w:id="12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إذا لم یجمع فی موجب الرجم بینه وبین الجلد، وإلّا ففی سقوط الحدّ مطلقاً بإنکاره ما یوجب الرجم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إطلاق سقوط الحدّ الشامل للأمرین، ومن أنّ الجلد لا یسقط بالإنکار لو انفرد فکذا إذا انضمّ، بل هنا أولی؛ لزیادة الذنب، فلا یناسبه سقوط العقوبة مطلقاً مع ثبوت مثلها فی الأخفّ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والأقوی سقوط الرجم دون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إلحاق ما یوجب القتل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کالزنا </w:t>
      </w:r>
      <w:r>
        <w:rPr>
          <w:rFonts w:eastAsia="IRNazanin" w:cs="IRNazanin"/>
          <w:color w:val="111111"/>
          <w:sz w:val="28"/>
          <w:szCs w:val="28"/>
          <w:rtl w:val="true"/>
          <w:lang w:bidi="fa-IR"/>
        </w:rPr>
        <w:t xml:space="preserve">] </w:t>
      </w:r>
      <w:r>
        <w:rPr>
          <w:rStyle w:val="FootnoteAnchor"/>
          <w:rtl w:val="true"/>
        </w:rPr>
        <w:footnoteReference w:id="1259"/>
      </w:r>
      <w:r>
        <w:rPr>
          <w:rFonts w:ascii="IRNazanin" w:hAnsi="IRNazanin" w:eastAsia="IRNazanin"/>
          <w:color w:val="111111"/>
          <w:sz w:val="28"/>
          <w:sz w:val="28"/>
          <w:szCs w:val="28"/>
          <w:rtl w:val="true"/>
          <w:lang w:bidi="fa-IR"/>
        </w:rPr>
        <w:t>بذات محرم أو کُرهاً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قولان </w:t>
      </w:r>
      <w:r>
        <w:rPr>
          <w:rStyle w:val="FootnoteAnchor"/>
          <w:rtl w:val="true"/>
        </w:rPr>
        <w:footnoteReference w:id="12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تشارکهما فی المقتضی وهو الإنکار لما بُنی علی التخفیف، ونظرُ الشارع إلی عصمة الدم وأخذه فیه بالاحتیاط، ومن عدم النصّ علیه، وبطلانِ القیاس</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أقرّ بحدّ ثمّ تاب تخیّر الإمام فی إقامته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والعفو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رجماً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المشهور؛ لاشتراک الجمیع فی المقتضی، ولأنّ</w:t>
      </w:r>
    </w:p>
    <w:p>
      <w:pPr>
        <w:pStyle w:val="BookText"/>
        <w:rPr/>
      </w:pPr>
      <w:r>
        <w:rPr>
          <w:rFonts w:ascii="IRNazanin" w:hAnsi="IRNazanin" w:eastAsia="IRNazanin"/>
          <w:color w:val="111111"/>
          <w:sz w:val="28"/>
          <w:sz w:val="28"/>
          <w:szCs w:val="28"/>
          <w:rtl w:val="true"/>
          <w:lang w:bidi="fa-IR"/>
        </w:rPr>
        <w:t>التوبة إذا اُسقطت تحتّم أشدّ العقوبتین، فإسقاطها لتحتّم الاُخری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ونبّه بالتسویة بینهما علی خلاف ابن إدریس حیث خصّ التخییر بما إذا کان الحدّ رجماً، وحتم إقامتَه لو کان جلداً، محتجّاً بأصالة البقاء، واستلزام التخییر تعطیل الحدّ المنهیّ عنه فی غیر موضع الوفاق </w:t>
      </w:r>
      <w:r>
        <w:rPr>
          <w:rStyle w:val="FootnoteAnchor"/>
          <w:rtl w:val="true"/>
        </w:rPr>
        <w:footnoteReference w:id="1261"/>
      </w:r>
      <w:r>
        <w:rPr>
          <w:rFonts w:eastAsia="Times New Roman" w:cs="Times New Roman" w:ascii="Times New Roman" w:hAnsi="Times New Roman"/>
          <w:color w:val="111111"/>
          <w:sz w:val="28"/>
          <w:szCs w:val="28"/>
          <w:rtl w:val="true"/>
          <w:lang w:val="en-US" w:bidi="en-US"/>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وینبغی علی قول ابن إدریس إلحاق ما یوجب القتل بالرجم؛ لتعلیله بأ نّه یوجب تلف النفس، بخلاف الجلد</w:t>
      </w:r>
      <w:r>
        <w:rPr>
          <w:rFonts w:eastAsia="IRNazanin" w:cs="IRNazanin"/>
          <w:color w:val="111111"/>
          <w:sz w:val="28"/>
          <w:szCs w:val="28"/>
          <w:rtl w:val="true"/>
          <w:lang w:bidi="fa-IR"/>
        </w:rPr>
        <w:t>.</w:t>
      </w:r>
      <w:bookmarkStart w:id="452" w:name="pg19815_253296"/>
    </w:p>
    <w:p>
      <w:pPr>
        <w:pStyle w:val="Heading3"/>
        <w:numPr>
          <w:ilvl w:val="2"/>
          <w:numId w:val="1"/>
        </w:numPr>
        <w:rPr/>
      </w:pPr>
      <w:bookmarkStart w:id="453" w:name="__RefHeading___Toc2228019_2314609296"/>
      <w:bookmarkStart w:id="454" w:name="_Toc172"/>
      <w:bookmarkEnd w:id="452"/>
      <w:bookmarkEnd w:id="453"/>
      <w:r>
        <w:rPr>
          <w:rtl w:val="true"/>
        </w:rPr>
        <w:t>«</w:t>
      </w:r>
      <w:r>
        <w:rPr>
          <w:rtl w:val="true"/>
        </w:rPr>
        <w:t>الفصل الثانی</w:t>
      </w:r>
      <w:r>
        <w:rPr>
          <w:rtl w:val="true"/>
        </w:rPr>
        <w:t>» «</w:t>
      </w:r>
      <w:r>
        <w:rPr>
          <w:rtl w:val="true"/>
        </w:rPr>
        <w:t>فی اللواط</w:t>
      </w:r>
      <w:r>
        <w:rPr>
          <w:rtl w:val="true"/>
        </w:rPr>
        <w:t>»</w:t>
      </w:r>
      <w:bookmarkEnd w:id="454"/>
    </w:p>
    <w:p>
      <w:pPr>
        <w:pStyle w:val="Heading4"/>
        <w:numPr>
          <w:ilvl w:val="3"/>
          <w:numId w:val="1"/>
        </w:numPr>
        <w:rPr/>
      </w:pPr>
      <w:bookmarkStart w:id="455" w:name="__RefHeading___Toc2228021_2314609296"/>
      <w:bookmarkStart w:id="456" w:name="_Toc173"/>
      <w:bookmarkEnd w:id="455"/>
      <w:r>
        <w:rPr>
          <w:rtl w:val="true"/>
        </w:rPr>
        <w:t>اشارة</w:t>
      </w:r>
      <w:bookmarkEnd w:id="456"/>
    </w:p>
    <w:p>
      <w:pPr>
        <w:pStyle w:val="BookText"/>
        <w:rPr/>
      </w:pPr>
      <w:r>
        <w:rPr>
          <w:rFonts w:ascii="IRNazanin" w:hAnsi="IRNazanin" w:eastAsia="IRNazanin"/>
          <w:color w:val="111111"/>
          <w:sz w:val="28"/>
          <w:sz w:val="28"/>
          <w:szCs w:val="28"/>
          <w:rtl w:val="true"/>
          <w:lang w:bidi="fa-IR"/>
        </w:rPr>
        <w:t xml:space="preserve">وهو وطء الذکر، واشتقاقه من فعل قوم لوط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دَلک فرج المرأة </w:t>
      </w:r>
      <w:r>
        <w:rPr>
          <w:rStyle w:val="FootnoteAnchor"/>
          <w:rtl w:val="true"/>
        </w:rPr>
        <w:footnoteReference w:id="1262"/>
      </w:r>
      <w:r>
        <w:rPr>
          <w:rFonts w:ascii="IRNazanin" w:hAnsi="IRNazanin" w:eastAsia="IRNazanin"/>
          <w:color w:val="111111"/>
          <w:sz w:val="28"/>
          <w:sz w:val="28"/>
          <w:szCs w:val="28"/>
          <w:rtl w:val="true"/>
          <w:lang w:bidi="fa-IR"/>
        </w:rPr>
        <w:t xml:space="preserve">بفرجِ اُخری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والقیادة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وسیأتی أ نّها الجمع بین فاعلی هذه الفواحش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أقرّ بإیقاب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إدخال شیء من الذکر فی دُبُره ولو مقدار الحشفة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وظاهرهم هنا الاتّفاق علی ذلک وإن اکتفوا ببعضها فی تحریم اُمّه واُخته وبنته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حالة کون المقرّ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مکرَه علی الإقرار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أربع 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فی مجلس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شهد علیه أربعة 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بالمعاینة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للفعل کالزنا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الفاعل المقرّ أو المشهود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 بالغاً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عاقلاً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واعتبار بلوغه وعقله واضح؛ إذ لا عبرة بإقرار الصبیّ والمجنون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لا یُقتَلان لو شُهِدَ علیهما به؛ لعدم التکلیف</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الحرّیّة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تعتبر فی قبول الإقرار؛ لأنّ إقرار العبد به یتعلّق بحقّ</w:t>
      </w:r>
    </w:p>
    <w:p>
      <w:pPr>
        <w:pStyle w:val="BookText"/>
        <w:rPr/>
      </w:pPr>
      <w:r>
        <w:rPr>
          <w:rFonts w:ascii="IRNazanin" w:hAnsi="IRNazanin" w:eastAsia="IRNazanin"/>
          <w:color w:val="111111"/>
          <w:sz w:val="28"/>
          <w:sz w:val="28"/>
          <w:szCs w:val="28"/>
          <w:rtl w:val="true"/>
          <w:lang w:bidi="fa-IR"/>
        </w:rPr>
        <w:t>سیّده فلا یسمع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الشهادة علیه، فإنّه لا فرق فیها بینه وبین الحرّ، فیقتل حیث یقتل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وکذا لو اطّلع علیهما </w:t>
      </w:r>
      <w:r>
        <w:rPr>
          <w:rStyle w:val="FootnoteAnchor"/>
          <w:rtl w:val="true"/>
        </w:rPr>
        <w:footnoteReference w:id="1263"/>
      </w:r>
      <w:r>
        <w:rPr>
          <w:rFonts w:ascii="IRNazanin" w:hAnsi="IRNazanin" w:eastAsia="IRNazanin"/>
          <w:color w:val="111111"/>
          <w:sz w:val="28"/>
          <w:sz w:val="28"/>
          <w:szCs w:val="28"/>
          <w:rtl w:val="true"/>
          <w:lang w:bidi="fa-IR"/>
        </w:rPr>
        <w:t>الحاکم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وبالجملة، فحکمه حکم الحرّ إلّافی الإقرار، وإن کانت العبارة توهم خلاف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ویُقتل الفاعل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محصَناً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وقتله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بالسیف، أو الإحراق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بالحجارة وإن لم یکن بصفة الزانی المستحقّ للرجم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إو بإلقاء جدار علیه، أو بإلقائه من شاهق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کجدار رفیع یقتل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ویجوز الجمع بین اثنین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من هذه الخمسة بحیث 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 الحریق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والآخرُ أحد الأربعة، بأن یُقتل بالسیف، أو الرجم أو الرمی به، أو علیه ثمّ یحرق زیادة فی الردع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والمفعول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کذلک إن کان بالغاً عاقلاً مختاراً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ویعزَّر الصبیّ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فاعلاً ومفعولاً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ویؤدّب المجنون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والتأدیب فی معنی التعزیر هنا، وإن افترقا من حیث إنّ التعزیر یتناول المکلّف وغیرَه، بخلاف التأدیب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تحرّر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الفاعل والمفعول إن کانا بالغین قُتلا، حرّین کانا أم عبدین أم بالتفریق، مسلمین کانا أم کافرین أم بالتفریق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کانا صبیّین أو مجنونین أو بالتفریق اُدّبا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أحدهما مکلّفاً والآخر غیر مکلَّف قتل المکلّف واُدّب غیره</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 الأربع لم یُحدّ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کالإقرار بالزنا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وعُزّر</w:t>
      </w:r>
      <w:r>
        <w:rPr>
          <w:rFonts w:eastAsia="Amiri" w:cs="Amiri" w:ascii="Amiri" w:hAnsi="Amiri"/>
          <w:color w:val="111111"/>
          <w:sz w:val="28"/>
          <w:szCs w:val="28"/>
          <w:rtl w:val="true"/>
          <w:lang w:bidi="ar-SA"/>
        </w:rPr>
        <w:t>»</w:t>
      </w:r>
      <w:bookmarkStart w:id="457" w:name="pg19815_253298"/>
    </w:p>
    <w:p>
      <w:pPr>
        <w:pStyle w:val="BookText"/>
        <w:rPr/>
      </w:pPr>
      <w:bookmarkEnd w:id="457"/>
      <w:r>
        <w:rPr>
          <w:rFonts w:ascii="IRNazanin" w:hAnsi="IRNazanin" w:eastAsia="IRNazanin"/>
          <w:color w:val="111111"/>
          <w:sz w:val="28"/>
          <w:sz w:val="28"/>
          <w:szCs w:val="28"/>
          <w:rtl w:val="true"/>
          <w:lang w:bidi="fa-IR"/>
        </w:rPr>
        <w:t>بالإقرار ولو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ویمکن اعتبار المرّتین کما فی موجب کلّ تعزیر وسیأتی </w:t>
      </w:r>
      <w:r>
        <w:rPr>
          <w:rStyle w:val="FootnoteAnchor"/>
          <w:rtl w:val="true"/>
        </w:rPr>
        <w:footnoteReference w:id="1264"/>
      </w:r>
      <w:r>
        <w:rPr>
          <w:rFonts w:ascii="Amiri" w:hAnsi="Amiri" w:eastAsia="Amiri" w:cs="Amiri"/>
          <w:color w:val="111111"/>
          <w:sz w:val="28"/>
          <w:sz w:val="28"/>
          <w:szCs w:val="28"/>
          <w:rtl w:val="true"/>
          <w:lang w:bidi="ar-SA"/>
        </w:rPr>
        <w:t>وکذا الزنا، ولم یذکره ثَمَّ</w:t>
      </w:r>
      <w:r>
        <w:rPr>
          <w:rFonts w:eastAsia="Amiri" w:cs="Amiri" w:ascii="Amiri" w:hAnsi="Amiri"/>
          <w:color w:val="111111"/>
          <w:sz w:val="28"/>
          <w:szCs w:val="28"/>
          <w:rtl w:val="true"/>
          <w:lang w:bidi="ar-SA"/>
        </w:rPr>
        <w:t>.</w:t>
      </w:r>
    </w:p>
    <w:p>
      <w:pPr>
        <w:pStyle w:val="Heading4"/>
        <w:numPr>
          <w:ilvl w:val="3"/>
          <w:numId w:val="1"/>
        </w:numPr>
        <w:rPr/>
      </w:pPr>
      <w:bookmarkStart w:id="458" w:name="__RefHeading___Toc2228023_2314609296"/>
      <w:bookmarkStart w:id="459" w:name="_Toc174"/>
      <w:bookmarkEnd w:id="458"/>
      <w:r>
        <w:rPr>
          <w:rtl w:val="true"/>
        </w:rPr>
        <w:t>[</w:t>
      </w:r>
      <w:r>
        <w:rPr>
          <w:rtl w:val="true"/>
        </w:rPr>
        <w:t>اللواط</w:t>
      </w:r>
      <w:r>
        <w:rPr>
          <w:rtl w:val="true"/>
        </w:rPr>
        <w:t>]</w:t>
      </w:r>
      <w:bookmarkEnd w:id="459"/>
    </w:p>
    <w:p>
      <w:pPr>
        <w:pStyle w:val="Heading5"/>
        <w:numPr>
          <w:ilvl w:val="4"/>
          <w:numId w:val="1"/>
        </w:numPr>
        <w:rPr/>
      </w:pPr>
      <w:bookmarkStart w:id="460" w:name="__RefHeading___Toc2228025_2314609296"/>
      <w:bookmarkStart w:id="461" w:name="_Toc175"/>
      <w:bookmarkEnd w:id="460"/>
      <w:r>
        <w:rPr>
          <w:rtl w:val="true"/>
        </w:rPr>
        <w:t>اشارة</w:t>
      </w:r>
      <w:bookmarkEnd w:id="46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الأربعة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اختلّ بعض الشرائط وإن کانوا أربعة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حدّوا للفریة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ویحکم الحاکم فیه بعلمه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کغیره من الحدود؛ لأنّه أقوی من البیّنة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الفاعل والمفعول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العبد والحرّ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فی حالة علم الحاکم، وکذا لا فرق بینهما مع البیّنة کما 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منه مؤکّد لما أفهمته عبارته سابقاً من تساوی الإقرار والبیّنة فی اعتبار الحرّیّة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ادّعی العبد الإکراه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مولاه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دُرئ عنه الحدّ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المولی؛ لقیام القرینة علی ذلک؛ ولأ نّه شبهة محتملة فیُدرأ الحدّ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ادّعی الإکراه من غیر مولاه فالظاهر أ نّه کغیره </w:t>
      </w:r>
      <w:r>
        <w:rPr>
          <w:rStyle w:val="FootnoteAnchor"/>
          <w:rtl w:val="true"/>
        </w:rPr>
        <w:footnoteReference w:id="1265"/>
      </w:r>
      <w:r>
        <w:rPr>
          <w:rFonts w:ascii="IRNazanin" w:hAnsi="IRNazanin" w:eastAsia="IRNazanin"/>
          <w:color w:val="111111"/>
          <w:sz w:val="28"/>
          <w:sz w:val="28"/>
          <w:szCs w:val="28"/>
          <w:rtl w:val="true"/>
          <w:lang w:bidi="fa-IR"/>
        </w:rPr>
        <w:t>وإن کانت العبارة تتناوله بإطلاقها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ذلک کلّه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المسلم والکافر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لشمول الأدلّة لهما</w:t>
      </w:r>
      <w:r>
        <w:rPr>
          <w:rFonts w:eastAsia="IRNazanin" w:cs="IRNazanin"/>
          <w:color w:val="111111"/>
          <w:sz w:val="28"/>
          <w:szCs w:val="28"/>
          <w:rtl w:val="true"/>
          <w:lang w:bidi="fa-IR"/>
        </w:rPr>
        <w:t>.</w:t>
      </w:r>
    </w:p>
    <w:p>
      <w:pPr>
        <w:pStyle w:val="Heading5"/>
        <w:numPr>
          <w:ilvl w:val="4"/>
          <w:numId w:val="1"/>
        </w:numPr>
        <w:rPr/>
      </w:pPr>
      <w:bookmarkStart w:id="462" w:name="__RefHeading___Toc2228027_2314609296"/>
      <w:bookmarkStart w:id="463" w:name="_Toc176"/>
      <w:bookmarkEnd w:id="462"/>
      <w:r>
        <w:rPr>
          <w:rtl w:val="true"/>
        </w:rPr>
        <w:t>[</w:t>
      </w:r>
      <w:r>
        <w:rPr>
          <w:rtl w:val="true"/>
        </w:rPr>
        <w:t>حکم التفخیذ</w:t>
      </w:r>
      <w:r>
        <w:rPr>
          <w:rtl w:val="true"/>
        </w:rPr>
        <w:t>]</w:t>
      </w:r>
      <w:bookmarkEnd w:id="463"/>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لم یکن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إیقاباً کالتفخیذ 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 الذکر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الألیین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الهمزة والیائین المثنّاتین من تحت من دون تاء بینهما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فحدّه مئة جلدة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للفاعل والمفعول مع البلوغ والعقل والاختیار، کما 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کلّ منهما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عبداً، مسلماً أو کافراً، مُحصَناً أو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الأشهر </w:t>
      </w:r>
      <w:r>
        <w:rPr>
          <w:rStyle w:val="FootnoteAnchor"/>
          <w:rtl w:val="true"/>
        </w:rPr>
        <w:footnoteReference w:id="1266"/>
      </w:r>
      <w:r>
        <w:rPr>
          <w:rFonts w:ascii="IRNazanin" w:hAnsi="IRNazanin" w:eastAsia="IRNazanin"/>
          <w:color w:val="111111"/>
          <w:sz w:val="28"/>
          <w:sz w:val="28"/>
          <w:szCs w:val="28"/>
          <w:rtl w:val="true"/>
          <w:lang w:bidi="fa-IR"/>
        </w:rPr>
        <w:t>لروایة سلیمان بن هلال عن الصادق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کان دون الثقب فالحدّ، وإن کان ثقب</w:t>
      </w:r>
    </w:p>
    <w:p>
      <w:pPr>
        <w:pStyle w:val="BookText"/>
        <w:rPr/>
      </w:pPr>
      <w:r>
        <w:rPr>
          <w:rFonts w:ascii="Amiri" w:hAnsi="Amiri" w:eastAsia="Amiri" w:cs="Amiri"/>
          <w:color w:val="111111"/>
          <w:sz w:val="28"/>
          <w:sz w:val="28"/>
          <w:szCs w:val="28"/>
          <w:rtl w:val="true"/>
          <w:lang w:bidi="ar-SA"/>
        </w:rPr>
        <w:t>اُقیم قائماً ثمّ ضُرب بالسیف</w:t>
      </w:r>
      <w:r>
        <w:rPr>
          <w:rFonts w:eastAsia="Amiri" w:cs="Amiri" w:ascii="Amiri" w:hAnsi="Amiri"/>
          <w:color w:val="111111"/>
          <w:sz w:val="28"/>
          <w:szCs w:val="28"/>
          <w:rtl w:val="true"/>
          <w:lang w:bidi="ar-SA"/>
        </w:rPr>
        <w:t xml:space="preserve">» </w:t>
      </w:r>
      <w:r>
        <w:rPr>
          <w:rStyle w:val="FootnoteAnchor"/>
          <w:rtl w:val="true"/>
        </w:rPr>
        <w:footnoteReference w:id="1267"/>
      </w:r>
      <w:r>
        <w:rPr>
          <w:rFonts w:ascii="Amiri" w:hAnsi="Amiri" w:eastAsia="Amiri" w:cs="Amiri"/>
          <w:color w:val="111111"/>
          <w:sz w:val="28"/>
          <w:sz w:val="28"/>
          <w:szCs w:val="28"/>
          <w:rtl w:val="true"/>
          <w:lang w:bidi="ar-SA"/>
        </w:rPr>
        <w:t>والظاهر أنّ المراد بالحدّ الجَلد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یُرجم المُحصَن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ویُجلد غیره </w:t>
      </w:r>
      <w:r>
        <w:rPr>
          <w:rStyle w:val="FootnoteAnchor"/>
          <w:rtl w:val="true"/>
        </w:rPr>
        <w:footnoteReference w:id="1268"/>
      </w:r>
      <w:r>
        <w:rPr>
          <w:rFonts w:ascii="IRNazanin" w:hAnsi="IRNazanin" w:eastAsia="IRNazanin"/>
          <w:color w:val="111111"/>
          <w:sz w:val="28"/>
          <w:sz w:val="28"/>
          <w:szCs w:val="28"/>
          <w:rtl w:val="true"/>
          <w:lang w:bidi="fa-IR"/>
        </w:rPr>
        <w:t>جمعاً بین روایة العلاء بن الفضیل عن الصادق علیه السلام أ 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 اللوطیّ مثل حدّ الزانی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قد اُحصِن رُجم، وإلّا جُلد</w:t>
      </w:r>
      <w:r>
        <w:rPr>
          <w:rFonts w:eastAsia="IRNazanin" w:cs="IRNazanin"/>
          <w:color w:val="111111"/>
          <w:sz w:val="28"/>
          <w:szCs w:val="28"/>
          <w:rtl w:val="true"/>
          <w:lang w:bidi="fa-IR"/>
        </w:rPr>
        <w:t xml:space="preserve">» </w:t>
      </w:r>
      <w:r>
        <w:rPr>
          <w:rStyle w:val="FootnoteAnchor"/>
          <w:rtl w:val="true"/>
        </w:rPr>
        <w:footnoteReference w:id="1269"/>
      </w:r>
      <w:r>
        <w:rPr>
          <w:rFonts w:ascii="IRNazanin" w:hAnsi="IRNazanin" w:eastAsia="IRNazanin"/>
          <w:color w:val="111111"/>
          <w:sz w:val="28"/>
          <w:sz w:val="28"/>
          <w:szCs w:val="28"/>
          <w:rtl w:val="true"/>
          <w:lang w:bidi="fa-IR"/>
        </w:rPr>
        <w:t xml:space="preserve">وقریب منها روایة حمّاد بن عثمان </w:t>
      </w:r>
      <w:r>
        <w:rPr>
          <w:rStyle w:val="FootnoteAnchor"/>
          <w:rtl w:val="true"/>
        </w:rPr>
        <w:footnoteReference w:id="1270"/>
      </w:r>
      <w:r>
        <w:rPr>
          <w:rFonts w:ascii="Amiri" w:hAnsi="Amiri" w:eastAsia="Amiri" w:cs="Amiri"/>
          <w:color w:val="111111"/>
          <w:sz w:val="28"/>
          <w:sz w:val="28"/>
          <w:szCs w:val="28"/>
          <w:rtl w:val="true"/>
          <w:lang w:bidi="ar-SA"/>
        </w:rPr>
        <w:t xml:space="preserve">وبین ما رُوی مِن قَتل اللائط مطلقاً </w:t>
      </w:r>
      <w:r>
        <w:rPr>
          <w:rStyle w:val="FootnoteAnchor"/>
          <w:rtl w:val="true"/>
        </w:rPr>
        <w:footnoteReference w:id="1271"/>
      </w:r>
    </w:p>
    <w:p>
      <w:pPr>
        <w:pStyle w:val="BookText"/>
        <w:rPr/>
      </w:pPr>
      <w:r>
        <w:rPr>
          <w:rFonts w:ascii="Amiri" w:hAnsi="Amiri" w:eastAsia="Amiri" w:cs="Amiri"/>
          <w:color w:val="111111"/>
          <w:sz w:val="28"/>
          <w:sz w:val="28"/>
          <w:szCs w:val="28"/>
          <w:rtl w:val="true"/>
          <w:lang w:bidi="ar-SA"/>
        </w:rPr>
        <w:t>وقیل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یُقتل مطلقاً </w:t>
      </w:r>
      <w:r>
        <w:rPr>
          <w:rStyle w:val="FootnoteAnchor"/>
          <w:rtl w:val="true"/>
        </w:rPr>
        <w:footnoteReference w:id="1272"/>
      </w:r>
      <w:r>
        <w:rPr>
          <w:rFonts w:ascii="IRNazanin" w:hAnsi="IRNazanin" w:eastAsia="IRNazanin"/>
          <w:color w:val="111111"/>
          <w:sz w:val="28"/>
          <w:sz w:val="28"/>
          <w:szCs w:val="28"/>
          <w:rtl w:val="true"/>
          <w:lang w:bidi="fa-IR"/>
        </w:rPr>
        <w:t>لما 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والأخبار من الطرفین غیر نقیّة السند </w:t>
      </w:r>
      <w:r>
        <w:rPr>
          <w:rStyle w:val="FootnoteAnchor"/>
          <w:rtl w:val="true"/>
        </w:rPr>
        <w:footnoteReference w:id="1273"/>
      </w:r>
      <w:r>
        <w:rPr>
          <w:rFonts w:ascii="IRNazanin" w:hAnsi="IRNazanin" w:eastAsia="IRNazanin"/>
          <w:color w:val="111111"/>
          <w:sz w:val="28"/>
          <w:sz w:val="28"/>
          <w:szCs w:val="28"/>
          <w:rtl w:val="true"/>
          <w:lang w:bidi="fa-IR"/>
        </w:rPr>
        <w:t>والمتیقّن المشهور، والأصل عدم أمر آخر</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تکرّر منه 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لا یوجب القتل ابتداءً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مرّتین مع تکرار الحدّ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بأن حُدّ لکلّ مرّة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فی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کبیرة، وأصحاب الکبائر مطلقاً إذا اُقیم علیهم الحدّ مرّتین قُتلوا فی الثالثة؛ لروایة یونس عن أبی الحسن الماضی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أصحاب الکبائر کلّها إذا اُقیم علیهم الحدّ مرّتین قُتلوا فی الثالثة</w:t>
      </w:r>
      <w:r>
        <w:rPr>
          <w:rFonts w:eastAsia="IRNazanin" w:cs="IRNazanin"/>
          <w:color w:val="111111"/>
          <w:sz w:val="28"/>
          <w:szCs w:val="28"/>
          <w:rtl w:val="true"/>
          <w:lang w:bidi="fa-IR"/>
        </w:rPr>
        <w:t xml:space="preserve">» </w:t>
      </w:r>
      <w:r>
        <w:rPr>
          <w:rStyle w:val="FootnoteAnchor"/>
          <w:rtl w:val="true"/>
        </w:rPr>
        <w:footnoteReference w:id="1274"/>
      </w:r>
      <w:r>
        <w:rPr>
          <w:rFonts w:eastAsia="Times New Roman" w:cs="Times New Roman" w:ascii="Times New Roman" w:hAnsi="Times New Roman"/>
          <w:color w:val="111111"/>
          <w:sz w:val="28"/>
          <w:szCs w:val="28"/>
          <w:rtl w:val="true"/>
          <w:lang w:val="en-US" w:bidi="en-US"/>
        </w:rPr>
        <w:t>.</w:t>
      </w:r>
      <w:bookmarkStart w:id="464" w:name="pg19815_253300"/>
    </w:p>
    <w:p>
      <w:pPr>
        <w:pStyle w:val="BookText"/>
        <w:rPr/>
      </w:pPr>
      <w:bookmarkEnd w:id="46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والأحوط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الذی اختاره المصنّف فی الشرح </w:t>
      </w:r>
      <w:r>
        <w:rPr>
          <w:rStyle w:val="FootnoteAnchor"/>
          <w:rtl w:val="true"/>
        </w:rPr>
        <w:footnoteReference w:id="1275"/>
      </w:r>
      <w:r>
        <w:rPr>
          <w:rFonts w:ascii="IRNazanin" w:hAnsi="IRNazanin" w:eastAsia="IRNazanin"/>
          <w:color w:val="111111"/>
          <w:sz w:val="28"/>
          <w:sz w:val="28"/>
          <w:szCs w:val="28"/>
          <w:rtl w:val="true"/>
          <w:lang w:bidi="fa-IR"/>
        </w:rPr>
        <w:t xml:space="preserve">قتله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لروایة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الزانی إذا جُلد ثلاثاً یُقتل فی الرابعة</w:t>
      </w:r>
      <w:r>
        <w:rPr>
          <w:rFonts w:eastAsia="IRNazanin" w:cs="IRNazanin"/>
          <w:color w:val="111111"/>
          <w:sz w:val="28"/>
          <w:szCs w:val="28"/>
          <w:rtl w:val="true"/>
          <w:lang w:bidi="fa-IR"/>
        </w:rPr>
        <w:t xml:space="preserve">» </w:t>
      </w:r>
      <w:r>
        <w:rPr>
          <w:rStyle w:val="FootnoteAnchor"/>
          <w:rtl w:val="true"/>
        </w:rPr>
        <w:footnoteReference w:id="1276"/>
      </w:r>
      <w:r>
        <w:rPr>
          <w:rFonts w:ascii="IRNazanin" w:hAnsi="IRNazanin" w:eastAsia="IRNazanin"/>
          <w:color w:val="111111"/>
          <w:sz w:val="28"/>
          <w:sz w:val="28"/>
          <w:szCs w:val="28"/>
          <w:rtl w:val="true"/>
          <w:lang w:bidi="fa-IR"/>
        </w:rPr>
        <w:t>ولأنّ الحدّ مبنیّ علی التخفیف، وللاحتیاط فی الدماء، وترجیح هذه الروایة بذلک وبأ نّها خاصّة وتلک عامّة، فیجمع بینهما بتخصیص العامّ بما عدا الخاصّ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الأجود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لم یسبق حدّه مرّتین لم یجب سوی الجلد مئة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تاب قبل قیام البیّنة سقط الحدّ عنه قتلاً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الحدّ أو رجماً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جلداً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ما فُصّل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تاب بعده لم یسقط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 وکذا لو تاب مع الإقرار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ولکن یتخیّر الإمام فی المقرّ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التوبة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العفو والاستیفاء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کالزنا</w:t>
      </w:r>
      <w:r>
        <w:rPr>
          <w:rFonts w:eastAsia="IRNazanin" w:cs="IRNazanin"/>
          <w:color w:val="111111"/>
          <w:sz w:val="28"/>
          <w:szCs w:val="28"/>
          <w:rtl w:val="true"/>
          <w:lang w:bidi="fa-IR"/>
        </w:rPr>
        <w:t>.</w:t>
      </w:r>
    </w:p>
    <w:p>
      <w:pPr>
        <w:pStyle w:val="Heading5"/>
        <w:numPr>
          <w:ilvl w:val="4"/>
          <w:numId w:val="1"/>
        </w:numPr>
        <w:rPr/>
      </w:pPr>
      <w:bookmarkStart w:id="465" w:name="__RefHeading___Toc2228029_2314609296"/>
      <w:bookmarkStart w:id="466" w:name="_Toc177"/>
      <w:bookmarkEnd w:id="465"/>
      <w:r>
        <w:rPr>
          <w:rtl w:val="true"/>
        </w:rPr>
        <w:t>[</w:t>
      </w:r>
      <w:r>
        <w:rPr>
          <w:rtl w:val="true"/>
        </w:rPr>
        <w:t>حکم من قبل غلاما بشهوة</w:t>
      </w:r>
      <w:r>
        <w:rPr>
          <w:rtl w:val="true"/>
        </w:rPr>
        <w:t>]</w:t>
      </w:r>
      <w:bookmarkEnd w:id="466"/>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ویعزَّر من قبَّل غلاماً بشهوة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یراه الحاکم؛ لأنّه من جملة المعاصی، بل الکبائر المتوعّد علیه بخصوصه بالنار، فقد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من قبَّل غلاماً بشهوة لعنته ملائکة السماء وملائکة الأرضین </w:t>
      </w:r>
      <w:r>
        <w:rPr>
          <w:rStyle w:val="FootnoteAnchor"/>
          <w:rtl w:val="true"/>
        </w:rPr>
        <w:footnoteReference w:id="1277"/>
      </w:r>
      <w:r>
        <w:rPr>
          <w:rFonts w:ascii="IRNazanin" w:hAnsi="IRNazanin" w:eastAsia="IRNazanin"/>
          <w:color w:val="111111"/>
          <w:sz w:val="28"/>
          <w:sz w:val="28"/>
          <w:szCs w:val="28"/>
          <w:rtl w:val="true"/>
          <w:lang w:bidi="fa-IR"/>
        </w:rPr>
        <w:t>وملائکة الرحمة وملائکة الغضب، واُعدّ له جهنّم وساءت مصیراً</w:t>
      </w:r>
      <w:r>
        <w:rPr>
          <w:rFonts w:eastAsia="IRNazanin" w:cs="IRNazanin"/>
          <w:color w:val="111111"/>
          <w:sz w:val="28"/>
          <w:szCs w:val="28"/>
          <w:rtl w:val="true"/>
          <w:lang w:bidi="fa-IR"/>
        </w:rPr>
        <w:t xml:space="preserve">» </w:t>
      </w:r>
      <w:r>
        <w:rPr>
          <w:rStyle w:val="FootnoteAnchor"/>
          <w:rtl w:val="true"/>
        </w:rPr>
        <w:footnoteReference w:id="1278"/>
      </w:r>
      <w:r>
        <w:rPr>
          <w:rFonts w:ascii="Amiri" w:hAnsi="Amiri" w:eastAsia="Amiri" w:cs="Amiri"/>
          <w:color w:val="111111"/>
          <w:sz w:val="28"/>
          <w:sz w:val="28"/>
          <w:szCs w:val="28"/>
          <w:rtl w:val="true"/>
          <w:lang w:bidi="ar-SA"/>
        </w:rPr>
        <w:t>وفی حدیث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قَبَّل غلاماً</w:t>
      </w:r>
      <w:bookmarkStart w:id="467" w:name="pg19815_253301"/>
    </w:p>
    <w:p>
      <w:pPr>
        <w:pStyle w:val="BookText"/>
        <w:rPr/>
      </w:pPr>
      <w:bookmarkEnd w:id="467"/>
      <w:r>
        <w:rPr>
          <w:rFonts w:ascii="IRNazanin" w:hAnsi="IRNazanin" w:eastAsia="IRNazanin"/>
          <w:color w:val="111111"/>
          <w:sz w:val="28"/>
          <w:sz w:val="28"/>
          <w:szCs w:val="28"/>
          <w:rtl w:val="true"/>
          <w:lang w:bidi="fa-IR"/>
        </w:rPr>
        <w:t>بشهوة ألجمه اللّٰه یوم القیامة بلجام من نار</w:t>
      </w:r>
      <w:r>
        <w:rPr>
          <w:rFonts w:eastAsia="IRNazanin" w:cs="IRNazanin"/>
          <w:color w:val="111111"/>
          <w:sz w:val="28"/>
          <w:szCs w:val="28"/>
          <w:rtl w:val="true"/>
          <w:lang w:bidi="fa-IR"/>
        </w:rPr>
        <w:t xml:space="preserve">» </w:t>
      </w:r>
      <w:r>
        <w:rPr>
          <w:rStyle w:val="FootnoteAnchor"/>
          <w:rtl w:val="true"/>
        </w:rPr>
        <w:footnoteReference w:id="1279"/>
      </w:r>
      <w:r>
        <w:rPr>
          <w:rStyle w:val="FootnoteAnchor"/>
          <w:rtl w:val="true"/>
        </w:rPr>
        <w:footnoteReference w:id="128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68" w:name="__RefHeading___Toc2228031_2314609296"/>
      <w:bookmarkStart w:id="469" w:name="_Toc178"/>
      <w:bookmarkEnd w:id="468"/>
      <w:r>
        <w:rPr>
          <w:rtl w:val="true"/>
        </w:rPr>
        <w:t>[</w:t>
      </w:r>
      <w:r>
        <w:rPr>
          <w:rtl w:val="true"/>
        </w:rPr>
        <w:t xml:space="preserve">حکم المجتمعین تحت ازار واحد </w:t>
      </w:r>
      <w:r>
        <w:rPr>
          <w:rtl w:val="true"/>
        </w:rPr>
        <w:t>]</w:t>
      </w:r>
      <w:bookmarkEnd w:id="46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وکذا یُعزّر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الذَکران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المجتمعان تحت إزار واحد مجرّدین ولیس بینهما 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قرابة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ثلاثین سوطاً إلی تسعة وتسعین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تحدیده فی جانب الزیادة؛ فلأ نّه لیس بفعل یوجب الحدّ کملاً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یبلغ به، ولقول الصادق علیه السلام فی المرأتین تنامان فی ثوب واحد؟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تُضربان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وکذا قال فی الرجلین </w:t>
      </w:r>
      <w:r>
        <w:rPr>
          <w:rStyle w:val="FootnoteAnchor"/>
          <w:rtl w:val="true"/>
        </w:rPr>
        <w:footnoteReference w:id="1281"/>
      </w:r>
      <w:r>
        <w:rPr>
          <w:rFonts w:ascii="IRNazanin" w:hAnsi="IRNazanin" w:eastAsia="IRNazanin"/>
          <w:color w:val="111111"/>
          <w:sz w:val="28"/>
          <w:sz w:val="28"/>
          <w:szCs w:val="28"/>
          <w:rtl w:val="true"/>
          <w:lang w:bidi="fa-IR"/>
        </w:rPr>
        <w:t>وفی روایة ابن سنان عنه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یُجلدان حدّاً </w:t>
      </w:r>
      <w:r>
        <w:rPr>
          <w:rStyle w:val="FootnoteAnchor"/>
          <w:rtl w:val="true"/>
        </w:rPr>
        <w:footnoteReference w:id="1282"/>
      </w:r>
      <w:r>
        <w:rPr>
          <w:rFonts w:ascii="IRNazanin" w:hAnsi="IRNazanin" w:eastAsia="IRNazanin"/>
          <w:color w:val="111111"/>
          <w:sz w:val="28"/>
          <w:sz w:val="28"/>
          <w:szCs w:val="28"/>
          <w:rtl w:val="true"/>
          <w:lang w:bidi="fa-IR"/>
        </w:rPr>
        <w:t>غیر سوط واحد</w:t>
      </w:r>
      <w:r>
        <w:rPr>
          <w:rFonts w:eastAsia="IRNazanin" w:cs="IRNazanin"/>
          <w:color w:val="111111"/>
          <w:sz w:val="28"/>
          <w:szCs w:val="28"/>
          <w:rtl w:val="true"/>
          <w:lang w:bidi="fa-IR"/>
        </w:rPr>
        <w:t xml:space="preserve">» </w:t>
      </w:r>
      <w:r>
        <w:rPr>
          <w:rStyle w:val="FootnoteAnchor"/>
          <w:rtl w:val="true"/>
        </w:rPr>
        <w:footnoteReference w:id="12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فی جانب النقیصة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فلروایة سلیمان بن هلال عنه،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یُضربان ثلاثین سوطاً، ثلاثین سوطاً</w:t>
      </w:r>
      <w:r>
        <w:rPr>
          <w:rFonts w:eastAsia="IRNazanin" w:cs="IRNazanin"/>
          <w:color w:val="111111"/>
          <w:sz w:val="28"/>
          <w:szCs w:val="28"/>
          <w:rtl w:val="true"/>
          <w:lang w:bidi="fa-IR"/>
        </w:rPr>
        <w:t xml:space="preserve">» </w:t>
      </w:r>
      <w:r>
        <w:rPr>
          <w:rStyle w:val="FootnoteAnchor"/>
          <w:rtl w:val="true"/>
        </w:rPr>
        <w:footnoteReference w:id="12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وطریق الجمع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الرجوع فیما بین الحدّین إلی رأی الحاکم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والتقیید بنفی الرحم بینهما ذکره المصنّف کغیره </w:t>
      </w:r>
      <w:r>
        <w:rPr>
          <w:rStyle w:val="FootnoteAnchor"/>
          <w:rtl w:val="true"/>
        </w:rPr>
        <w:footnoteReference w:id="1285"/>
      </w:r>
      <w:r>
        <w:rPr>
          <w:rFonts w:ascii="IRNazanin" w:hAnsi="IRNazanin" w:eastAsia="IRNazanin"/>
          <w:color w:val="111111"/>
          <w:sz w:val="28"/>
          <w:sz w:val="28"/>
          <w:szCs w:val="28"/>
          <w:rtl w:val="true"/>
          <w:lang w:bidi="fa-IR"/>
        </w:rPr>
        <w:t xml:space="preserve">تبعاً للروایة </w:t>
      </w:r>
      <w:r>
        <w:rPr>
          <w:rStyle w:val="FootnoteAnchor"/>
          <w:rtl w:val="true"/>
        </w:rPr>
        <w:footnoteReference w:id="1286"/>
      </w:r>
      <w:r>
        <w:rPr>
          <w:rFonts w:eastAsia="Times New Roman" w:cs="Times New Roman" w:ascii="Times New Roman" w:hAnsi="Times New Roman"/>
          <w:color w:val="111111"/>
          <w:sz w:val="28"/>
          <w:szCs w:val="28"/>
          <w:rtl w:val="true"/>
          <w:lang w:val="en-US" w:bidi="en-US"/>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ویشکل بأنّ مطلق الرحم لا یوجب تجویز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فالأولی ترک القید، أو</w:t>
      </w:r>
      <w:bookmarkStart w:id="470" w:name="pg19815_253302"/>
    </w:p>
    <w:p>
      <w:pPr>
        <w:pStyle w:val="BookText"/>
        <w:rPr/>
      </w:pPr>
      <w:bookmarkEnd w:id="470"/>
      <w:r>
        <w:rPr>
          <w:rFonts w:ascii="IRNazanin" w:hAnsi="IRNazanin" w:eastAsia="IRNazanin"/>
          <w:color w:val="111111"/>
          <w:sz w:val="28"/>
          <w:sz w:val="28"/>
          <w:szCs w:val="28"/>
          <w:rtl w:val="true"/>
          <w:lang w:bidi="fa-IR"/>
        </w:rPr>
        <w:t>التقیید بکون الفعل محرّماً</w:t>
      </w:r>
      <w:r>
        <w:rPr>
          <w:rFonts w:eastAsia="IRNazanin" w:cs="IRNazanin"/>
          <w:color w:val="111111"/>
          <w:sz w:val="28"/>
          <w:szCs w:val="28"/>
          <w:rtl w:val="true"/>
          <w:lang w:bidi="fa-IR"/>
        </w:rPr>
        <w:t>.</w:t>
      </w:r>
    </w:p>
    <w:p>
      <w:pPr>
        <w:pStyle w:val="Heading4"/>
        <w:numPr>
          <w:ilvl w:val="3"/>
          <w:numId w:val="1"/>
        </w:numPr>
        <w:rPr/>
      </w:pPr>
      <w:bookmarkStart w:id="471" w:name="__RefHeading___Toc2228033_2314609296"/>
      <w:bookmarkStart w:id="472" w:name="_Toc179"/>
      <w:bookmarkEnd w:id="471"/>
      <w:r>
        <w:rPr>
          <w:rtl w:val="true"/>
        </w:rPr>
        <w:t>[«</w:t>
      </w:r>
      <w:r>
        <w:rPr>
          <w:rtl w:val="true"/>
        </w:rPr>
        <w:t>والسحق</w:t>
      </w:r>
      <w:r>
        <w:rPr>
          <w:rtl w:val="true"/>
        </w:rPr>
        <w:t>» :]</w:t>
      </w:r>
      <w:bookmarkEnd w:id="47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یثبت بشهادة أربعة 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عدول، لا بشهادة النساء منفردات ولا منضمّات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الإقرار أربعاً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البالغة الرشیدة الحرّة المختارة کالزنا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وحدّه مئة جلدة حرّة کانت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واحدة منهما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أمة، مسلمة أو کافرة، مُحصَنة أو غیر مُحصَنة، فاعلة أو مفعولة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ینتصف هنا فی حقّ الأمة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ویقبل دعواها إکراه مولاتها کالعبد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 ذلک مع بلوغها وعقلها، فلو ساحقت المجنونة أو الصغیرة اُدّبتا 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ساحقتهما بالغة حُدّت، دونهما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 مع الإحصان </w:t>
      </w:r>
      <w:r>
        <w:rPr>
          <w:rStyle w:val="FootnoteAnchor"/>
          <w:rtl w:val="true"/>
        </w:rPr>
        <w:footnoteReference w:id="1287"/>
      </w:r>
      <w:r>
        <w:rPr>
          <w:rFonts w:ascii="IRNazanin" w:hAnsi="IRNazanin" w:eastAsia="IRNazanin"/>
          <w:color w:val="111111"/>
          <w:sz w:val="28"/>
          <w:sz w:val="28"/>
          <w:szCs w:val="28"/>
          <w:rtl w:val="true"/>
          <w:lang w:bidi="fa-IR"/>
        </w:rPr>
        <w:t>لقول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حدّها حدّ الزانی</w:t>
      </w:r>
      <w:r>
        <w:rPr>
          <w:rFonts w:eastAsia="IRNazanin" w:cs="IRNazanin"/>
          <w:color w:val="111111"/>
          <w:sz w:val="28"/>
          <w:szCs w:val="28"/>
          <w:rtl w:val="true"/>
          <w:lang w:bidi="fa-IR"/>
        </w:rPr>
        <w:t xml:space="preserve">» </w:t>
      </w:r>
      <w:r>
        <w:rPr>
          <w:rStyle w:val="FootnoteAnchor"/>
          <w:rtl w:val="true"/>
        </w:rPr>
        <w:footnoteReference w:id="12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بأ نّه أعمّ من الرجم، فیحمل علی الجلد جمعاً </w:t>
      </w:r>
      <w:r>
        <w:rPr>
          <w:rStyle w:val="FootnoteAnchor"/>
          <w:rtl w:val="true"/>
        </w:rPr>
        <w:footnoteReference w:id="12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المساحِقة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الرابعة لو تکرّر الحدّ ثلاثاً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وظاهرهم هنا عدم الخلاف وإن حکمنا بقتل الزانی واللائط فی الثالثة، کما اتّفق فی عبارة المصنّف </w:t>
      </w:r>
      <w:r>
        <w:rPr>
          <w:rStyle w:val="FootnoteAnchor"/>
          <w:rtl w:val="true"/>
        </w:rPr>
        <w:footnoteReference w:id="129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تابت قبل البیّنة سقط الحدّ،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تابت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بعدها ویتخیّر الإمام لو تابت بعد الإقرار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کالزنا واللواط</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وتُعزّر الأجنبیّتان إذا تجرّدتا تحت إزار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لا یبلغ الحدّ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عُزّرتا</w:t>
      </w:r>
    </w:p>
    <w:p>
      <w:pPr>
        <w:pStyle w:val="BookText"/>
        <w:rPr/>
      </w:pPr>
      <w:r>
        <w:rPr>
          <w:rFonts w:ascii="Amiri" w:hAnsi="Amiri" w:eastAsia="Amiri" w:cs="Amiri"/>
          <w:color w:val="111111"/>
          <w:sz w:val="28"/>
          <w:sz w:val="28"/>
          <w:szCs w:val="28"/>
          <w:rtl w:val="true"/>
          <w:lang w:bidi="ar-SA"/>
        </w:rPr>
        <w:t>مع تکرّر الفعل مرّتین حُدّتا فی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عادتا عُزّرتا مرّتین ثمّ حُدّتا فی الثالثة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وعلی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تُقتلان فی الثالثة </w:t>
      </w:r>
      <w:r>
        <w:rPr>
          <w:rStyle w:val="FootnoteAnchor"/>
          <w:rtl w:val="true"/>
        </w:rPr>
        <w:footnoteReference w:id="1291"/>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الرابعة </w:t>
      </w:r>
      <w:r>
        <w:rPr>
          <w:rStyle w:val="FootnoteAnchor"/>
          <w:rtl w:val="true"/>
        </w:rPr>
        <w:footnoteReference w:id="1292"/>
      </w:r>
      <w:r>
        <w:rPr>
          <w:rFonts w:ascii="IRNazanin" w:hAnsi="IRNazanin" w:eastAsia="IRNazanin"/>
          <w:color w:val="111111"/>
          <w:sz w:val="28"/>
          <w:sz w:val="28"/>
          <w:szCs w:val="28"/>
          <w:rtl w:val="true"/>
          <w:lang w:bidi="fa-IR"/>
        </w:rPr>
        <w:t xml:space="preserve">والمستند </w:t>
      </w:r>
      <w:r>
        <w:rPr>
          <w:rStyle w:val="FootnoteAnchor"/>
          <w:rtl w:val="true"/>
        </w:rPr>
        <w:footnoteReference w:id="1293"/>
      </w:r>
      <w:r>
        <w:rPr>
          <w:rFonts w:ascii="IRNazanin" w:hAnsi="IRNazanin" w:eastAsia="IRNazanin"/>
          <w:color w:val="111111"/>
          <w:sz w:val="28"/>
          <w:sz w:val="28"/>
          <w:szCs w:val="28"/>
          <w:rtl w:val="true"/>
          <w:lang w:bidi="fa-IR"/>
        </w:rPr>
        <w:t>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تقدّم وجه التقیید بالأجنبیّتین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وطئ زوجته فساحقت بکراً فحملت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فالولد للرجل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مخلوق من مائه، ولا موجب لانتفائه عنه، فلا یقدح کونها لیست فراشاً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یلحق بالزوجة قطعاً، ولا بالبکر علی الأقوی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وتُحدّان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المرأتان حدَّ السحق؛ لعدم الفرق فیه بین المحصنة وغیرها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ویلزمها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الموطوءة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ضمان مهر مثل البکر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لأنّها سبب فی إذهاب عُذرتها، ودیتها مهر نسائها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ولیست کالزانیة المطاوعة؛ لأنّ الزانیة أذنت فی الاقتضاض، بخلاف هذه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 الموطوءة </w:t>
      </w:r>
      <w:r>
        <w:rPr>
          <w:rStyle w:val="FootnoteAnchor"/>
          <w:rtl w:val="true"/>
        </w:rPr>
        <w:footnoteReference w:id="1294"/>
      </w:r>
      <w:r>
        <w:rPr>
          <w:rFonts w:ascii="IRNazanin" w:hAnsi="IRNazanin" w:eastAsia="IRNazanin"/>
          <w:color w:val="111111"/>
          <w:sz w:val="28"/>
          <w:sz w:val="28"/>
          <w:szCs w:val="28"/>
          <w:rtl w:val="true"/>
          <w:lang w:bidi="fa-IR"/>
        </w:rPr>
        <w:t xml:space="preserve">استناداً إلی روایة </w:t>
      </w:r>
      <w:r>
        <w:rPr>
          <w:rStyle w:val="FootnoteAnchor"/>
          <w:rtl w:val="true"/>
        </w:rPr>
        <w:footnoteReference w:id="1295"/>
      </w:r>
      <w:r>
        <w:rPr>
          <w:rFonts w:ascii="IRNazanin" w:hAnsi="IRNazanin" w:eastAsia="IRNazanin"/>
          <w:color w:val="111111"/>
          <w:sz w:val="28"/>
          <w:sz w:val="28"/>
          <w:szCs w:val="28"/>
          <w:rtl w:val="true"/>
          <w:lang w:bidi="fa-IR"/>
        </w:rPr>
        <w:t xml:space="preserve">ضعیفة السند، مخالفة لما دلّ علی عدم رجم المساحقة مطلقاً من الأخبار الصحیحة </w:t>
      </w:r>
      <w:r>
        <w:rPr>
          <w:rStyle w:val="FootnoteAnchor"/>
          <w:rtl w:val="true"/>
        </w:rPr>
        <w:footnoteReference w:id="1296"/>
      </w:r>
      <w:r>
        <w:rPr>
          <w:rFonts w:eastAsia="Times New Roman" w:cs="Times New Roman" w:ascii="Times New Roman" w:hAnsi="Times New Roman"/>
          <w:color w:val="111111"/>
          <w:sz w:val="28"/>
          <w:szCs w:val="28"/>
          <w:rtl w:val="true"/>
          <w:lang w:val="en-US" w:bidi="en-US"/>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وابن إدریس نفی الأحکام الثلاثة </w:t>
      </w:r>
      <w:r>
        <w:rPr>
          <w:rStyle w:val="FootnoteAnchor"/>
          <w:rtl w:val="true"/>
        </w:rPr>
        <w:footnoteReference w:id="1297"/>
      </w:r>
      <w:r>
        <w:rPr>
          <w:rFonts w:ascii="IRNazanin" w:hAnsi="IRNazanin" w:eastAsia="IRNazanin"/>
          <w:color w:val="111111"/>
          <w:sz w:val="28"/>
          <w:sz w:val="28"/>
          <w:szCs w:val="28"/>
          <w:rtl w:val="true"/>
          <w:lang w:bidi="fa-IR"/>
        </w:rPr>
        <w:t>أمّا الرجم، فلما ذکرناه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إلحاق</w:t>
      </w:r>
      <w:bookmarkStart w:id="473" w:name="pg19815_253304"/>
    </w:p>
    <w:p>
      <w:pPr>
        <w:pStyle w:val="BookText"/>
        <w:rPr/>
      </w:pPr>
      <w:bookmarkEnd w:id="473"/>
      <w:r>
        <w:rPr>
          <w:rFonts w:ascii="IRNazanin" w:hAnsi="IRNazanin" w:eastAsia="IRNazanin"/>
          <w:color w:val="111111"/>
          <w:sz w:val="28"/>
          <w:sz w:val="28"/>
          <w:szCs w:val="28"/>
          <w:rtl w:val="true"/>
          <w:lang w:bidi="fa-IR"/>
        </w:rPr>
        <w:t>الولد بالرجل، فلعدم ولادته علی فراشه والولد للفراش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المهر؛ فلأنّ البِکر بغیّ بالمطاوعة فلا مهر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عرفت جوابه</w:t>
      </w:r>
      <w:r>
        <w:rPr>
          <w:rFonts w:eastAsia="IRNazanin" w:cs="IRNazanin"/>
          <w:color w:val="111111"/>
          <w:sz w:val="28"/>
          <w:szCs w:val="28"/>
          <w:rtl w:val="true"/>
          <w:lang w:bidi="fa-IR"/>
        </w:rPr>
        <w:t>.</w:t>
      </w:r>
    </w:p>
    <w:p>
      <w:pPr>
        <w:pStyle w:val="Heading4"/>
        <w:numPr>
          <w:ilvl w:val="3"/>
          <w:numId w:val="1"/>
        </w:numPr>
        <w:rPr/>
      </w:pPr>
      <w:bookmarkStart w:id="474" w:name="__RefHeading___Toc2228035_2314609296"/>
      <w:bookmarkStart w:id="475" w:name="_Toc180"/>
      <w:bookmarkEnd w:id="474"/>
      <w:r>
        <w:rPr>
          <w:rtl w:val="true"/>
        </w:rPr>
        <w:t>[«</w:t>
      </w:r>
      <w:r>
        <w:rPr>
          <w:rtl w:val="true"/>
        </w:rPr>
        <w:t>والقیادة</w:t>
      </w:r>
      <w:r>
        <w:rPr>
          <w:rtl w:val="true"/>
        </w:rPr>
        <w:t>» :]</w:t>
      </w:r>
      <w:bookmarkEnd w:id="47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الجمع بین فاعلی الفاحشة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الزنا واللواط والسحق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وتثبت بالإقرار مرّتین من الکامل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بالبلوغ والعقل والحرّیّة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المکرَه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أقرّ مرّة واحدة عُزّر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بشهادة شاهدین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ذکرین عدلین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للقیادة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 وسبعون جلدة، حرّاً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القائد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عبداً، مسلماً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کافراً، رجلاً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امرأة</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والقائل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یضاف إلی جَلده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یُحلق رأسه ویُشهَّر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البلد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إلی غیره من الأمصار </w:t>
      </w:r>
      <w:r>
        <w:rPr>
          <w:rStyle w:val="FootnoteAnchor"/>
          <w:rtl w:val="true"/>
        </w:rPr>
        <w:footnoteReference w:id="1298"/>
      </w:r>
      <w:r>
        <w:rPr>
          <w:rFonts w:ascii="IRNazanin" w:hAnsi="IRNazanin" w:eastAsia="IRNazanin"/>
          <w:color w:val="111111"/>
          <w:sz w:val="28"/>
          <w:sz w:val="28"/>
          <w:szCs w:val="28"/>
          <w:rtl w:val="true"/>
          <w:lang w:bidi="fa-IR"/>
        </w:rPr>
        <w:t xml:space="preserve">من غیر تحدید لمدّة نفیه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بأوّل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لروایة عبد اللّٰه بن سنان عن أبی عبد اللّٰه علیه السلام </w:t>
      </w:r>
      <w:r>
        <w:rPr>
          <w:rStyle w:val="FootnoteAnchor"/>
          <w:rtl w:val="true"/>
        </w:rPr>
        <w:footnoteReference w:id="1299"/>
      </w:r>
      <w:r>
        <w:rPr>
          <w:rFonts w:ascii="IRNazanin" w:hAnsi="IRNazanin" w:eastAsia="IRNazanin"/>
          <w:color w:val="111111"/>
          <w:sz w:val="28"/>
          <w:sz w:val="28"/>
          <w:szCs w:val="28"/>
          <w:rtl w:val="true"/>
          <w:lang w:bidi="fa-IR"/>
        </w:rPr>
        <w:t xml:space="preserve">ووافقه المفید علی ذلک </w:t>
      </w:r>
      <w:r>
        <w:rPr>
          <w:rStyle w:val="FootnoteAnchor"/>
          <w:rtl w:val="true"/>
        </w:rPr>
        <w:footnoteReference w:id="1300"/>
      </w:r>
      <w:r>
        <w:rPr>
          <w:rFonts w:ascii="IRNazanin" w:hAnsi="IRNazanin" w:eastAsia="IRNazanin"/>
          <w:color w:val="111111"/>
          <w:sz w:val="28"/>
          <w:sz w:val="28"/>
          <w:szCs w:val="28"/>
          <w:rtl w:val="true"/>
          <w:lang w:bidi="fa-IR"/>
        </w:rPr>
        <w:t>إلّاأ نّه جعل النفی فی الثانیة</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جزّ علی المرأة ولا شهرة ولا 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للأصل، ومنافاة النفی لما یجب مراعاته من ستر المرأة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کفالة فی 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یُکفل لمن ثبت علیه الحدّ إلی وقت متأخّر عن وقت ثبوته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تأخیر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یُستوفی متی ثبت، ومن ثَمّ حُدّ شهود الزنا قبل کمالهم فی مجلس الشهادة وإن کان الانتظار یوجب کمالَ العدد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إلّامع العذر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المانع من إقامته ذلک الوقت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توجّه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فتشرع الکفالة والتأخیر إلی وقت القدرة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شفاعة فی إسقاطه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حقّ للّٰه‌أو مشترک</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شفاعة فی إسقاط حقّ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النبیّ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کفالة فی حدّ</w:t>
      </w:r>
      <w:r>
        <w:rPr>
          <w:rFonts w:eastAsia="IRNazanin" w:cs="IRNazanin"/>
          <w:color w:val="111111"/>
          <w:sz w:val="28"/>
          <w:szCs w:val="28"/>
          <w:rtl w:val="true"/>
          <w:lang w:bidi="fa-IR"/>
        </w:rPr>
        <w:t xml:space="preserve">» </w:t>
      </w:r>
      <w:r>
        <w:rPr>
          <w:rStyle w:val="FootnoteAnchor"/>
          <w:rtl w:val="true"/>
        </w:rPr>
        <w:footnoteReference w:id="1301"/>
      </w:r>
      <w:r>
        <w:rPr>
          <w:rFonts w:ascii="IRNazanin" w:hAnsi="IRNazanin" w:eastAsia="IRNazanin"/>
          <w:color w:val="111111"/>
          <w:sz w:val="28"/>
          <w:sz w:val="28"/>
          <w:szCs w:val="28"/>
          <w:rtl w:val="true"/>
          <w:lang w:bidi="fa-IR"/>
        </w:rPr>
        <w:t>وقال أمیر المؤمنین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یشفعنّ أحد فی حدٍّ</w:t>
      </w:r>
      <w:r>
        <w:rPr>
          <w:rFonts w:eastAsia="IRNazanin" w:cs="IRNazanin"/>
          <w:color w:val="111111"/>
          <w:sz w:val="28"/>
          <w:szCs w:val="28"/>
          <w:rtl w:val="true"/>
          <w:lang w:bidi="fa-IR"/>
        </w:rPr>
        <w:t xml:space="preserve">» </w:t>
      </w:r>
      <w:r>
        <w:rPr>
          <w:rStyle w:val="FootnoteAnchor"/>
          <w:rtl w:val="true"/>
        </w:rPr>
        <w:footnoteReference w:id="1302"/>
      </w: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فی الحدود نظرة ساعة</w:t>
      </w:r>
      <w:r>
        <w:rPr>
          <w:rFonts w:eastAsia="IRNazanin" w:cs="IRNazanin"/>
          <w:color w:val="111111"/>
          <w:sz w:val="28"/>
          <w:szCs w:val="28"/>
          <w:rtl w:val="true"/>
          <w:lang w:bidi="fa-IR"/>
        </w:rPr>
        <w:t xml:space="preserve">» </w:t>
      </w:r>
      <w:r>
        <w:rPr>
          <w:rStyle w:val="FootnoteAnchor"/>
          <w:rtl w:val="true"/>
        </w:rPr>
        <w:footnoteReference w:id="1303"/>
      </w:r>
      <w:r>
        <w:rPr>
          <w:rFonts w:eastAsia="Times New Roman" w:cs="Times New Roman" w:ascii="Times New Roman" w:hAnsi="Times New Roman"/>
          <w:color w:val="111111"/>
          <w:sz w:val="28"/>
          <w:szCs w:val="28"/>
          <w:rtl w:val="true"/>
          <w:lang w:val="en-US" w:bidi="en-US"/>
        </w:rPr>
        <w:t>.</w:t>
      </w:r>
      <w:bookmarkStart w:id="476" w:name="pg19815_253306"/>
    </w:p>
    <w:p>
      <w:pPr>
        <w:pStyle w:val="Heading3"/>
        <w:numPr>
          <w:ilvl w:val="2"/>
          <w:numId w:val="1"/>
        </w:numPr>
        <w:rPr/>
      </w:pPr>
      <w:bookmarkStart w:id="477" w:name="__RefHeading___Toc2228037_2314609296"/>
      <w:bookmarkStart w:id="478" w:name="_Toc181"/>
      <w:bookmarkEnd w:id="476"/>
      <w:bookmarkEnd w:id="477"/>
      <w:r>
        <w:rPr>
          <w:rtl w:val="true"/>
        </w:rPr>
        <w:t>«</w:t>
      </w:r>
      <w:r>
        <w:rPr>
          <w:rtl w:val="true"/>
        </w:rPr>
        <w:t>الفصل الثالث</w:t>
      </w:r>
      <w:r>
        <w:rPr>
          <w:rtl w:val="true"/>
        </w:rPr>
        <w:t>» «</w:t>
      </w:r>
      <w:r>
        <w:rPr>
          <w:rtl w:val="true"/>
        </w:rPr>
        <w:t>فی القذف</w:t>
      </w:r>
      <w:r>
        <w:rPr>
          <w:rtl w:val="true"/>
        </w:rPr>
        <w:t>»</w:t>
      </w:r>
      <w:bookmarkEnd w:id="478"/>
    </w:p>
    <w:p>
      <w:pPr>
        <w:pStyle w:val="Heading4"/>
        <w:numPr>
          <w:ilvl w:val="3"/>
          <w:numId w:val="1"/>
        </w:numPr>
        <w:rPr/>
      </w:pPr>
      <w:bookmarkStart w:id="479" w:name="__RefHeading___Toc2228039_2314609296"/>
      <w:bookmarkStart w:id="480" w:name="_Toc182"/>
      <w:bookmarkEnd w:id="479"/>
      <w:r>
        <w:rPr>
          <w:rtl w:val="true"/>
        </w:rPr>
        <w:t>[</w:t>
      </w:r>
      <w:r>
        <w:rPr>
          <w:rtl w:val="true"/>
        </w:rPr>
        <w:t>الفاظ الدالة علی القذف</w:t>
      </w:r>
      <w:r>
        <w:rPr>
          <w:rtl w:val="true"/>
        </w:rPr>
        <w:t>]</w:t>
      </w:r>
      <w:bookmarkEnd w:id="48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الرمی بالزنا أو اللواط،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لُطتَ أو أنت 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لائط </w:t>
      </w:r>
      <w:r>
        <w:rPr>
          <w:rStyle w:val="FootnoteAnchor"/>
          <w:rtl w:val="true"/>
        </w:rPr>
        <w:footnoteReference w:id="13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الألفاظ الدالّة علی القذف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الصراحة والمعرفة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معرفة القاذف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بموضوع اللفظ بأیّ لغةٍ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لم یعرف المواجَه 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 القائل جاهلاً بمدلوله، فإن عرف أ نّه یفید فائدة یکرهها المواجَه عزّر، وإلّا فلا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قال لولده الذی أقرّ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ولدی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لستَ لأبیک، أو زنت بک اُمُّک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لم یکن قد أقرّ به لکنّه لاحق به شرعاً بدون الإقرار، فکذلک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له دفع الحدّ باللعان، بخلاف المُقَرّ به فإنّه لا ینتفی مطلقاً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قال 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ولده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زنی بک أبوک أو یا بن الزانی حُدّ للأب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خاصّة؛ لأنّه قذفٌ له، دون المواجه؛ لأنّه لم ینسب إلیه فعلاً، لکن یعزّر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سیأتی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لتأذّیه به</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زنت بک اُمّک أو یا بن الزانیة حُدّ للاُمّ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الزانیین فلهما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وُلِدتَ من الزنا فالظاهر القذف للأبوین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تولّده إنّما یتحقّق بهما وقد نسبه إلی الزنا، فیقوم بهما ویثبت الحدّ لهما، ولأ نّه الظاهر عرفاً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وفی مقابلة الظاهر کونه قذفاً للاُمّ خاصّة </w:t>
      </w:r>
      <w:r>
        <w:rPr>
          <w:rStyle w:val="FootnoteAnchor"/>
          <w:rtl w:val="true"/>
        </w:rPr>
        <w:footnoteReference w:id="1305"/>
      </w:r>
      <w:r>
        <w:rPr>
          <w:rFonts w:ascii="Amiri" w:hAnsi="Amiri" w:eastAsia="Amiri" w:cs="Amiri"/>
          <w:color w:val="111111"/>
          <w:sz w:val="28"/>
          <w:sz w:val="28"/>
          <w:szCs w:val="28"/>
          <w:rtl w:val="true"/>
          <w:lang w:bidi="ar-SA"/>
        </w:rPr>
        <w:t>لاختصاصها بالولادة ظاهراً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ویضعَّف بأنّ نسبته إلیهما واحدة، والاحتمال قائم فیهما بالشبهة، فلا یختصّ أحدهما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وربما قیل بانتفائه لهما لقیام الاحتمال بالنسبة إلی کلّ واحد وهو دارئ للحدّ؛ إذ هو شبهة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والأقوی الأوّل، إلّاأن یدّعی الإکراه أو الشبهة فی أحد الجانبین، فینتفی حدّه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نسب الزنا إلی غیر المواجَه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کالأمثلة السابقة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فالحدّ للمنسوب إلیه، ویعزَّر للمواجه إن تضمّن شتمه وأذاه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الظاهر فی الجمیع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قال لامرأة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زنیتُ بکِ احتُمل الإکراه، فلا یکون قذفاً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لها؛ لأنّ المکرَه غیرُ 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ومجرّد الاحتمال کافٍ فی سقوط الحدّ، سواء ادّعاه القاذف أم لا؛ لأنّه شبهة یدرأ بها الحدّ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یثبت الزنا فی حقّه إلّابالإقرار أربع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مرّات کما سبق </w:t>
      </w:r>
      <w:r>
        <w:rPr>
          <w:rStyle w:val="FootnoteAnchor"/>
          <w:rtl w:val="true"/>
        </w:rPr>
        <w:footnoteReference w:id="1306"/>
      </w:r>
      <w:r>
        <w:rPr>
          <w:rFonts w:eastAsia="Times New Roman" w:cs="Times New Roman" w:ascii="Times New Roman" w:hAnsi="Times New Roman"/>
          <w:color w:val="111111"/>
          <w:sz w:val="28"/>
          <w:szCs w:val="28"/>
          <w:rtl w:val="true"/>
          <w:lang w:val="en-US" w:bidi="en-US"/>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ویحتمل کونه قذفاً؛ لدلالة الظاهر علیه، ولأنّ الزنا فعل واحد یقع بین</w:t>
      </w:r>
    </w:p>
    <w:p>
      <w:pPr>
        <w:pStyle w:val="BookText"/>
        <w:rPr/>
      </w:pPr>
      <w:r>
        <w:rPr>
          <w:rFonts w:ascii="IRNazanin" w:hAnsi="IRNazanin" w:eastAsia="IRNazanin"/>
          <w:color w:val="111111"/>
          <w:sz w:val="28"/>
          <w:sz w:val="28"/>
          <w:szCs w:val="28"/>
          <w:rtl w:val="true"/>
          <w:lang w:bidi="fa-IR"/>
        </w:rPr>
        <w:t>اثنین، ونسبة أحدهما إلیه بالفاعلیّة والآخر بالمفعولیّة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اختلاف النسبة یوجب التغایر، والمتحقّق منه کونه هو الزانی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والأقوی أ نّه قذف لها؛ لما ذکر، ولروایة محمّد بن مسلم عن الباقر علیه السلام </w:t>
      </w:r>
      <w:r>
        <w:rPr>
          <w:rStyle w:val="FootnoteAnchor"/>
          <w:rtl w:val="true"/>
        </w:rPr>
        <w:footnoteReference w:id="130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والدیّوث والکشخان والقرنان </w:t>
      </w:r>
      <w:r>
        <w:rPr>
          <w:rStyle w:val="FootnoteAnchor"/>
          <w:rtl w:val="true"/>
        </w:rPr>
        <w:footnoteReference w:id="1308"/>
      </w:r>
      <w:r>
        <w:rPr>
          <w:rFonts w:ascii="IRNazanin" w:hAnsi="IRNazanin" w:eastAsia="IRNazanin"/>
          <w:color w:val="111111"/>
          <w:sz w:val="28"/>
          <w:sz w:val="28"/>
          <w:szCs w:val="28"/>
          <w:rtl w:val="true"/>
          <w:lang w:bidi="fa-IR"/>
        </w:rPr>
        <w:t>قد تفید القذف فی عرف القائل فیجب الحدّ للمنسوب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مدلولُ هذه الألفاظ من الأفعال، وهو أ نّه قوّاد علی زوجته أو غیرها من أرحامه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لم تفد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فی عرفه نظراً إلی أ نّها لغة غیر موضوعة لذلک ولم یستعملها أهل العرف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وأفادت شتماً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یبلغ حدّ النسبة إلی ما یوجب الحدّ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القائل کما فی کلّ شاتم بمحرَّم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والدیّوث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لا غیرة له، قاله الجوهری </w:t>
      </w:r>
      <w:r>
        <w:rPr>
          <w:rStyle w:val="FootnoteAnchor"/>
          <w:rtl w:val="true"/>
        </w:rPr>
        <w:footnoteReference w:id="1309"/>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یُدخِل الرجال علی امرأته </w:t>
      </w:r>
      <w:r>
        <w:rPr>
          <w:rStyle w:val="FootnoteAnchor"/>
          <w:rtl w:val="true"/>
        </w:rPr>
        <w:footnoteReference w:id="1310"/>
      </w:r>
      <w:r>
        <w:rPr>
          <w:rFonts w:eastAsia="Times New Roman" w:cs="Times New Roman" w:ascii="Times New Roman" w:hAnsi="Times New Roman"/>
          <w:color w:val="111111"/>
          <w:sz w:val="28"/>
          <w:szCs w:val="28"/>
          <w:rtl w:val="true"/>
          <w:lang w:val="en-US" w:bidi="en-US"/>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تغلب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والقرنان والکشخان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أرهما فی کلام العرب، ومعناه عند</w:t>
      </w:r>
    </w:p>
    <w:p>
      <w:pPr>
        <w:pStyle w:val="BookText"/>
        <w:rPr/>
      </w:pPr>
      <w:r>
        <w:rPr>
          <w:rFonts w:ascii="IRNazanin" w:hAnsi="IRNazanin" w:eastAsia="IRNazanin"/>
          <w:color w:val="111111"/>
          <w:sz w:val="28"/>
          <w:sz w:val="28"/>
          <w:szCs w:val="28"/>
          <w:rtl w:val="true"/>
          <w:lang w:bidi="fa-IR"/>
        </w:rPr>
        <w:t xml:space="preserve">العامّة مثل معنی الدیّوث أو قریب منه </w:t>
      </w:r>
      <w:r>
        <w:rPr>
          <w:rStyle w:val="FootnoteAnchor"/>
          <w:rtl w:val="true"/>
        </w:rPr>
        <w:footnoteReference w:id="13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یُدخل علی بناته، والکشخان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یُدخل علی أخواته </w:t>
      </w:r>
      <w:r>
        <w:rPr>
          <w:rStyle w:val="FootnoteAnchor"/>
          <w:rtl w:val="true"/>
        </w:rPr>
        <w:footnoteReference w:id="13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لم یعلم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فائدتها أصلاً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لم یکن من أهل العرف بوضعها لشیء من ذلک، ولا اطّلع علی معناها لغة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قذف جری علی لسان من لا یعلم 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لعدم قصد شیء من القذف ولا الأذی وإن أفاد فی عرف المقول 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والتأذّی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قول ما یوجب أذی المقول له من الألفاظ الموجبة له مع العلم بکونها مؤذیة ولیست موضوعة للقذف عرفاً ولا وضعاً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والتعریض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بالقذف دون التصریح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یوجب التعزیر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محرَّم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لعدم القذف الصریح</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ولد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یصلح مثالاً للأمرین؛ لأنّه یوجب الأذی وفیه تعریض بکونه ولد زنا لکنّه محتمل لغیره بأن یکون وُلِد بفعل محرَّم وإن کان من </w:t>
      </w:r>
      <w:r>
        <w:rPr>
          <w:rStyle w:val="FootnoteAnchor"/>
          <w:rtl w:val="true"/>
        </w:rPr>
        <w:footnoteReference w:id="1313"/>
      </w:r>
      <w:r>
        <w:rPr>
          <w:rFonts w:ascii="IRNazanin" w:hAnsi="IRNazanin" w:eastAsia="IRNazanin"/>
          <w:color w:val="111111"/>
          <w:sz w:val="28"/>
          <w:sz w:val="28"/>
          <w:szCs w:val="28"/>
          <w:rtl w:val="true"/>
          <w:lang w:bidi="fa-IR"/>
        </w:rPr>
        <w:t>أبویه، بأن استولده حالة الحیض أو الإحرام عالماً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لست بولد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یراد به عرفاً أ نّه لیس بطاهر الأخلاق، ولا وفیّ بالأمانات والوعود، ونحو ذلک، فهو أذی علی کلّ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یکون تعریضاً بالقذف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أنا لستُ بزانٍ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مثال للتعریض بکون المقول له أو المنبَّه علیه زانیاً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اُمّی زانیة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تعریض بکون اُمّ المعرَّض به زانیة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یقول لزوجته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أجدک عذراء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بکراً، فإنّه تعریض بکونها زنت قبل تزویجه وذهبت بکارتها به، مع احتماله غیره بأن یکون ذهابها بالنزوة </w:t>
      </w:r>
      <w:r>
        <w:rPr>
          <w:rStyle w:val="FootnoteAnchor"/>
          <w:rtl w:val="true"/>
        </w:rPr>
        <w:footnoteReference w:id="1314"/>
      </w:r>
      <w:r>
        <w:rPr>
          <w:rFonts w:ascii="IRNazanin" w:hAnsi="IRNazanin" w:eastAsia="IRNazanin"/>
          <w:color w:val="111111"/>
          <w:sz w:val="28"/>
          <w:sz w:val="28"/>
          <w:szCs w:val="28"/>
          <w:rtl w:val="true"/>
          <w:lang w:bidi="fa-IR"/>
        </w:rPr>
        <w:t xml:space="preserve">أو الحرقوص </w:t>
      </w:r>
      <w:r>
        <w:rPr>
          <w:rStyle w:val="FootnoteAnchor"/>
          <w:rtl w:val="true"/>
        </w:rPr>
        <w:footnoteReference w:id="1315"/>
      </w:r>
      <w:r>
        <w:rPr>
          <w:rFonts w:ascii="IRNazanin" w:hAnsi="IRNazanin" w:eastAsia="IRNazanin"/>
          <w:color w:val="111111"/>
          <w:sz w:val="28"/>
          <w:sz w:val="28"/>
          <w:szCs w:val="28"/>
          <w:rtl w:val="true"/>
          <w:lang w:bidi="fa-IR"/>
        </w:rPr>
        <w:t>فلا یکون حراماً، فمن ثَمّ کان تعریضاً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یمکن دخوله فیما یوجب التأذّی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زرارة عن أبی جعفر علیه السلام فی رجل قال لامرأته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أجدک عذراء،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علیه شیء؛ لأنّ العذرة تذهب بغیر جماع</w:t>
      </w:r>
      <w:r>
        <w:rPr>
          <w:rFonts w:eastAsia="IRNazanin" w:cs="IRNazanin"/>
          <w:color w:val="111111"/>
          <w:sz w:val="28"/>
          <w:szCs w:val="28"/>
          <w:rtl w:val="true"/>
          <w:lang w:bidi="fa-IR"/>
        </w:rPr>
        <w:t xml:space="preserve">» </w:t>
      </w:r>
      <w:r>
        <w:rPr>
          <w:rStyle w:val="FootnoteAnchor"/>
          <w:rtl w:val="true"/>
        </w:rPr>
        <w:footnoteReference w:id="1316"/>
      </w:r>
      <w:r>
        <w:rPr>
          <w:rFonts w:ascii="IRNazanin" w:hAnsi="IRNazanin" w:eastAsia="IRNazanin"/>
          <w:color w:val="111111"/>
          <w:sz w:val="28"/>
          <w:sz w:val="28"/>
          <w:szCs w:val="28"/>
          <w:rtl w:val="true"/>
          <w:lang w:bidi="fa-IR"/>
        </w:rPr>
        <w:t>وتحمل علی أنّ المنفیّ الحدّ؛ لروایة أبی بصیر عن الصادق علیه السلام أ 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یُضرب</w:t>
      </w:r>
      <w:r>
        <w:rPr>
          <w:rFonts w:eastAsia="IRNazanin" w:cs="IRNazanin"/>
          <w:color w:val="111111"/>
          <w:sz w:val="28"/>
          <w:szCs w:val="28"/>
          <w:rtl w:val="true"/>
          <w:lang w:bidi="fa-IR"/>
        </w:rPr>
        <w:t xml:space="preserve">» </w:t>
      </w:r>
      <w:r>
        <w:rPr>
          <w:rStyle w:val="FootnoteAnchor"/>
          <w:rtl w:val="true"/>
        </w:rPr>
        <w:footnoteReference w:id="13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وکذا یعزَّر بکلّ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یکرهه المواجَه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المنسوب إلیه وإن لم یکن حاضراً؛ لأنّ ضابط التعزیر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المحرّم، وهو غیر مشروط بحضور المشتوم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الفاسق وشارب الخمر، وهو مستتر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بفسقه وشربه، فلو کان متظاهراً بالفسق لم یکن له حرمة</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وکذا الخنزیر والکلب والحقیر والوضیع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والکافر والمرتدّ، وکلّ کلمة تفید الأذی عرفاً أو وضعاً مع علمه بها، فإنّها توجب التعزیر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إلّامع کون المخاطَب مستحقّاً للاستخفاف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لتظاهره بالفسق فیصحّ مواجهته بما تکون نسبته إلیه حقّاً، لا بالکذب</w:t>
      </w:r>
      <w:r>
        <w:rPr>
          <w:rFonts w:eastAsia="IRNazanin" w:cs="IRNazanin"/>
          <w:color w:val="111111"/>
          <w:sz w:val="28"/>
          <w:szCs w:val="28"/>
          <w:rtl w:val="true"/>
          <w:lang w:bidi="fa-IR"/>
        </w:rPr>
        <w:t>.</w:t>
      </w:r>
      <w:bookmarkStart w:id="481" w:name="pg19815_253311"/>
    </w:p>
    <w:p>
      <w:pPr>
        <w:pStyle w:val="BookText"/>
        <w:rPr/>
      </w:pPr>
      <w:bookmarkEnd w:id="481"/>
      <w:r>
        <w:rPr>
          <w:rFonts w:ascii="IRNazanin" w:hAnsi="IRNazanin" w:eastAsia="IRNazanin"/>
          <w:color w:val="111111"/>
          <w:sz w:val="28"/>
          <w:sz w:val="28"/>
          <w:szCs w:val="28"/>
          <w:rtl w:val="true"/>
          <w:lang w:bidi="fa-IR"/>
        </w:rPr>
        <w:t xml:space="preserve">وهل یشترط مع ذلک جعله علی طریق النهی فیشترط شروطه، أم یجوز الاستخفاف به مطلقاً؟ ظاهر النصّ </w:t>
      </w:r>
      <w:r>
        <w:rPr>
          <w:rStyle w:val="FootnoteAnchor"/>
          <w:rtl w:val="true"/>
        </w:rPr>
        <w:footnoteReference w:id="1318"/>
      </w:r>
      <w:r>
        <w:rPr>
          <w:rFonts w:ascii="IRNazanin" w:hAnsi="IRNazanin" w:eastAsia="IRNazanin"/>
          <w:color w:val="111111"/>
          <w:sz w:val="28"/>
          <w:sz w:val="28"/>
          <w:szCs w:val="28"/>
          <w:rtl w:val="true"/>
          <w:lang w:bidi="fa-IR"/>
        </w:rPr>
        <w:t xml:space="preserve">والفتاوی </w:t>
      </w:r>
      <w:r>
        <w:rPr>
          <w:rStyle w:val="FootnoteAnchor"/>
          <w:rtl w:val="true"/>
        </w:rPr>
        <w:footnoteReference w:id="1319"/>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والأوّل أحوط</w:t>
      </w:r>
      <w:r>
        <w:rPr>
          <w:rFonts w:eastAsia="IRNazanin" w:cs="IRNazanin"/>
          <w:color w:val="111111"/>
          <w:sz w:val="28"/>
          <w:szCs w:val="28"/>
          <w:rtl w:val="true"/>
          <w:lang w:bidi="fa-IR"/>
        </w:rPr>
        <w:t>.</w:t>
      </w:r>
    </w:p>
    <w:p>
      <w:pPr>
        <w:pStyle w:val="Heading4"/>
        <w:numPr>
          <w:ilvl w:val="3"/>
          <w:numId w:val="1"/>
        </w:numPr>
        <w:rPr/>
      </w:pPr>
      <w:bookmarkStart w:id="482" w:name="__RefHeading___Toc2228041_2314609296"/>
      <w:bookmarkStart w:id="483" w:name="_Toc183"/>
      <w:bookmarkEnd w:id="482"/>
      <w:r>
        <w:rPr>
          <w:rtl w:val="true"/>
        </w:rPr>
        <w:t>[</w:t>
      </w:r>
      <w:r>
        <w:rPr>
          <w:rtl w:val="true"/>
        </w:rPr>
        <w:t xml:space="preserve">شروط القاذف </w:t>
      </w:r>
      <w:r>
        <w:rPr>
          <w:rtl w:val="true"/>
        </w:rPr>
        <w:t>]</w:t>
      </w:r>
      <w:bookmarkEnd w:id="48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ویعتبر فی القاذف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یُحدّ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بالبلوغ والعقل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فیعزَّر الصبیّ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خاصّة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ویؤدّب المجنون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یراه الحاکم فیهما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والأدب فی معنی التعزیر کما سلف </w:t>
      </w:r>
      <w:r>
        <w:rPr>
          <w:rStyle w:val="FootnoteAnchor"/>
          <w:rtl w:val="true"/>
        </w:rPr>
        <w:footnoteReference w:id="13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اشتراط الحرّیّة فی کمال الحدّ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فیحدّ العبد والأمة أربعین، أو عدم الاشتراط فیساویان الحرَّ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قولان</w:t>
      </w:r>
      <w:r>
        <w:rPr>
          <w:rFonts w:eastAsia="IRNazanin" w:cs="IRNazanin"/>
          <w:color w:val="111111"/>
          <w:sz w:val="28"/>
          <w:szCs w:val="28"/>
          <w:rtl w:val="true"/>
          <w:lang w:bidi="fa-IR"/>
        </w:rPr>
        <w:t xml:space="preserve">» </w:t>
      </w:r>
      <w:r>
        <w:rPr>
          <w:rStyle w:val="FootnoteAnchor"/>
          <w:rtl w:val="true"/>
        </w:rPr>
        <w:footnoteReference w:id="1321"/>
      </w:r>
      <w:r>
        <w:rPr>
          <w:rFonts w:ascii="Amiri" w:hAnsi="Amiri" w:eastAsia="Amiri" w:cs="Amiri"/>
          <w:color w:val="111111"/>
          <w:sz w:val="28"/>
          <w:sz w:val="28"/>
          <w:szCs w:val="28"/>
          <w:rtl w:val="true"/>
          <w:lang w:bidi="ar-SA"/>
        </w:rPr>
        <w:t xml:space="preserve">أقواهما وأشهرهما الثانی، لعموم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یَرْمُونَ اَلْمُحْصَنٰاتِ</w:t>
      </w:r>
      <w:r>
        <w:rPr>
          <w:rFonts w:eastAsia="Amiri" w:cs="Amiri" w:ascii="Amiri" w:hAnsi="Amiri"/>
          <w:color w:val="111111"/>
          <w:sz w:val="28"/>
          <w:szCs w:val="28"/>
          <w:rtl w:val="true"/>
          <w:lang w:bidi="ar-SA"/>
        </w:rPr>
        <w:t xml:space="preserve">) </w:t>
      </w:r>
      <w:r>
        <w:rPr>
          <w:rStyle w:val="FootnoteAnchor"/>
          <w:rtl w:val="true"/>
        </w:rPr>
        <w:footnoteReference w:id="1322"/>
      </w:r>
      <w:r>
        <w:rPr>
          <w:rFonts w:ascii="IRNazanin" w:hAnsi="IRNazanin" w:eastAsia="IRNazanin"/>
          <w:color w:val="111111"/>
          <w:sz w:val="28"/>
          <w:sz w:val="28"/>
          <w:szCs w:val="28"/>
          <w:rtl w:val="true"/>
          <w:lang w:bidi="fa-IR"/>
        </w:rPr>
        <w:t>ولقول الصادق علیه السلام فی حسنة الحلبی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قذف العبدُ الحرَّ جُلِد ثمانین</w:t>
      </w:r>
      <w:r>
        <w:rPr>
          <w:rFonts w:eastAsia="IRNazanin" w:cs="IRNazanin"/>
          <w:color w:val="111111"/>
          <w:sz w:val="28"/>
          <w:szCs w:val="28"/>
          <w:rtl w:val="true"/>
          <w:lang w:bidi="fa-IR"/>
        </w:rPr>
        <w:t xml:space="preserve">» </w:t>
      </w:r>
      <w:r>
        <w:rPr>
          <w:rStyle w:val="FootnoteAnchor"/>
          <w:rtl w:val="true"/>
        </w:rPr>
        <w:footnoteReference w:id="1323"/>
      </w:r>
      <w:r>
        <w:rPr>
          <w:rFonts w:ascii="IRNazanin" w:hAnsi="IRNazanin" w:eastAsia="IRNazanin"/>
          <w:color w:val="111111"/>
          <w:sz w:val="28"/>
          <w:sz w:val="28"/>
          <w:szCs w:val="28"/>
          <w:rtl w:val="true"/>
          <w:lang w:bidi="fa-IR"/>
        </w:rPr>
        <w:t xml:space="preserve">وغیرها من الأخبار </w:t>
      </w:r>
      <w:r>
        <w:rPr>
          <w:rStyle w:val="FootnoteAnchor"/>
          <w:rtl w:val="true"/>
        </w:rPr>
        <w:footnoteReference w:id="1324"/>
      </w:r>
      <w:r>
        <w:rPr>
          <w:rFonts w:eastAsia="Times New Roman" w:cs="Times New Roman" w:ascii="Times New Roman" w:hAnsi="Times New Roman"/>
          <w:color w:val="111111"/>
          <w:sz w:val="28"/>
          <w:szCs w:val="28"/>
          <w:rtl w:val="true"/>
          <w:lang w:val="en-US" w:bidi="en-US"/>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والقول بالتنصیف علی المملوک للشیخ فی المبسوط </w:t>
      </w:r>
      <w:r>
        <w:rPr>
          <w:rStyle w:val="FootnoteAnchor"/>
          <w:rtl w:val="true"/>
        </w:rPr>
        <w:footnoteReference w:id="1325"/>
      </w:r>
      <w:r>
        <w:rPr>
          <w:rFonts w:ascii="Amiri" w:hAnsi="Amiri" w:eastAsia="Amiri" w:cs="Amiri"/>
          <w:color w:val="111111"/>
          <w:sz w:val="28"/>
          <w:sz w:val="28"/>
          <w:szCs w:val="28"/>
          <w:rtl w:val="true"/>
          <w:lang w:bidi="ar-SA"/>
        </w:rPr>
        <w:t>لأصالة البراءة من الزائد، وقوله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أَتَیْنَ بِفٰاحِشَةٍ فَعَلَیْهِنَّ نِصْفُ مٰا عَلَی اَلْمُحْصَنٰاتِ مِنَ</w:t>
      </w:r>
      <w:bookmarkStart w:id="484" w:name="pg19815_253312"/>
    </w:p>
    <w:p>
      <w:pPr>
        <w:pStyle w:val="BookText"/>
        <w:rPr/>
      </w:pPr>
      <w:bookmarkEnd w:id="484"/>
      <w:r>
        <w:rPr>
          <w:rFonts w:ascii="Amiri" w:hAnsi="Amiri" w:eastAsia="Amiri" w:cs="Amiri"/>
          <w:color w:val="111111"/>
          <w:sz w:val="28"/>
          <w:sz w:val="28"/>
          <w:szCs w:val="28"/>
          <w:rtl w:val="true"/>
          <w:lang w:bidi="ar-SA"/>
        </w:rPr>
        <w:t>اَلْعَذٰابِ</w:t>
      </w:r>
      <w:r>
        <w:rPr>
          <w:rFonts w:eastAsia="Amiri" w:cs="Amiri" w:ascii="Amiri" w:hAnsi="Amiri"/>
          <w:color w:val="111111"/>
          <w:sz w:val="28"/>
          <w:szCs w:val="28"/>
          <w:rtl w:val="true"/>
          <w:lang w:bidi="ar-SA"/>
        </w:rPr>
        <w:t xml:space="preserve">) </w:t>
      </w:r>
      <w:r>
        <w:rPr>
          <w:rStyle w:val="FootnoteAnchor"/>
          <w:rtl w:val="true"/>
        </w:rPr>
        <w:footnoteReference w:id="1326"/>
      </w:r>
      <w:r>
        <w:rPr>
          <w:rFonts w:ascii="IRNazanin" w:hAnsi="IRNazanin" w:eastAsia="IRNazanin"/>
          <w:color w:val="111111"/>
          <w:sz w:val="28"/>
          <w:sz w:val="28"/>
          <w:szCs w:val="28"/>
          <w:rtl w:val="true"/>
          <w:lang w:bidi="fa-IR"/>
        </w:rPr>
        <w:t xml:space="preserve">ولروایة القاسم بن سلیمان عنه علیه السلام </w:t>
      </w:r>
      <w:r>
        <w:rPr>
          <w:rStyle w:val="FootnoteAnchor"/>
          <w:rtl w:val="true"/>
        </w:rPr>
        <w:footnoteReference w:id="13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ویضعَّف بأنّ الأصل قد عُدل عنه للدلیل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والمراد بالفاحشة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الزنا، کما نقله المفسّرون </w:t>
      </w:r>
      <w:r>
        <w:rPr>
          <w:rStyle w:val="FootnoteAnchor"/>
          <w:rtl w:val="true"/>
        </w:rPr>
        <w:footnoteReference w:id="1328"/>
      </w:r>
      <w:r>
        <w:rPr>
          <w:rFonts w:ascii="IRNazanin" w:hAnsi="IRNazanin" w:eastAsia="IRNazanin"/>
          <w:color w:val="111111"/>
          <w:sz w:val="28"/>
          <w:sz w:val="28"/>
          <w:szCs w:val="28"/>
          <w:rtl w:val="true"/>
          <w:lang w:bidi="fa-IR"/>
        </w:rPr>
        <w:t>ویظهر من اقترانهنّ بالمحصنات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والروایة مع ضعف سندها </w:t>
      </w:r>
      <w:r>
        <w:rPr>
          <w:rStyle w:val="FootnoteAnchor"/>
          <w:rtl w:val="true"/>
        </w:rPr>
        <w:footnoteReference w:id="1329"/>
      </w:r>
      <w:r>
        <w:rPr>
          <w:rFonts w:ascii="IRNazanin" w:hAnsi="IRNazanin" w:eastAsia="IRNazanin"/>
          <w:color w:val="111111"/>
          <w:sz w:val="28"/>
          <w:sz w:val="28"/>
          <w:szCs w:val="28"/>
          <w:rtl w:val="true"/>
          <w:lang w:bidi="fa-IR"/>
        </w:rPr>
        <w:t xml:space="preserve">وشذوذها لا تعارض الأخبار الکثیرة </w:t>
      </w:r>
      <w:r>
        <w:rPr>
          <w:rStyle w:val="FootnoteAnchor"/>
          <w:rtl w:val="true"/>
        </w:rPr>
        <w:footnoteReference w:id="1330"/>
      </w:r>
      <w:r>
        <w:rPr>
          <w:rFonts w:ascii="IRNazanin" w:hAnsi="IRNazanin" w:eastAsia="IRNazanin"/>
          <w:color w:val="111111"/>
          <w:sz w:val="28"/>
          <w:sz w:val="28"/>
          <w:szCs w:val="28"/>
          <w:rtl w:val="true"/>
          <w:lang w:bidi="fa-IR"/>
        </w:rPr>
        <w:t xml:space="preserve">بل الإجماع، علی ما ذکره المصنّف </w:t>
      </w:r>
      <w:r>
        <w:rPr>
          <w:rStyle w:val="FootnoteAnchor"/>
          <w:rtl w:val="true"/>
        </w:rPr>
        <w:footnoteReference w:id="1331"/>
      </w:r>
      <w:r>
        <w:rPr>
          <w:rFonts w:ascii="IRNazanin" w:hAnsi="IRNazanin" w:eastAsia="IRNazanin"/>
          <w:color w:val="111111"/>
          <w:sz w:val="28"/>
          <w:sz w:val="28"/>
          <w:szCs w:val="28"/>
          <w:rtl w:val="true"/>
          <w:lang w:bidi="fa-IR"/>
        </w:rPr>
        <w:t xml:space="preserve">وغیره </w:t>
      </w:r>
      <w:r>
        <w:rPr>
          <w:rStyle w:val="FootnoteAnchor"/>
          <w:rtl w:val="true"/>
        </w:rPr>
        <w:footnoteReference w:id="13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والعجب أنّ المصنّف فی الشرح تعجّب من المحقّق والعلّامة حیث نقلا فیها قولین ولم یرجّحا أحدهما مع ظهور الترجیح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القول بالأربعین نادر جدّاً </w:t>
      </w:r>
      <w:r>
        <w:rPr>
          <w:rStyle w:val="FootnoteAnchor"/>
          <w:rtl w:val="true"/>
        </w:rPr>
        <w:footnoteReference w:id="1333"/>
      </w:r>
      <w:r>
        <w:rPr>
          <w:rFonts w:ascii="IRNazanin" w:hAnsi="IRNazanin" w:eastAsia="IRNazanin"/>
          <w:color w:val="111111"/>
          <w:sz w:val="28"/>
          <w:sz w:val="28"/>
          <w:szCs w:val="28"/>
          <w:rtl w:val="true"/>
          <w:lang w:bidi="fa-IR"/>
        </w:rPr>
        <w:t>، ثمّ تبعهم علی ما تعجّب منه هنا</w:t>
      </w:r>
      <w:r>
        <w:rPr>
          <w:rFonts w:eastAsia="IRNazanin" w:cs="IRNazanin"/>
          <w:color w:val="111111"/>
          <w:sz w:val="28"/>
          <w:szCs w:val="28"/>
          <w:rtl w:val="true"/>
          <w:lang w:bidi="fa-IR"/>
        </w:rPr>
        <w:t>.</w:t>
      </w:r>
    </w:p>
    <w:p>
      <w:pPr>
        <w:pStyle w:val="Heading4"/>
        <w:numPr>
          <w:ilvl w:val="3"/>
          <w:numId w:val="1"/>
        </w:numPr>
        <w:rPr/>
      </w:pPr>
      <w:bookmarkStart w:id="485" w:name="__RefHeading___Toc2228043_2314609296"/>
      <w:bookmarkStart w:id="486" w:name="_Toc184"/>
      <w:bookmarkEnd w:id="485"/>
      <w:r>
        <w:rPr>
          <w:rtl w:val="true"/>
        </w:rPr>
        <w:t>[</w:t>
      </w:r>
      <w:r>
        <w:rPr>
          <w:rtl w:val="true"/>
        </w:rPr>
        <w:t>شروط المقذف</w:t>
      </w:r>
      <w:r>
        <w:rPr>
          <w:rtl w:val="true"/>
        </w:rPr>
        <w:t>]</w:t>
      </w:r>
      <w:bookmarkEnd w:id="486"/>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یشترط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المقذوف الإحصان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یطلق علی التزویج کما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اَلْمُحْصَنٰاتُ مِنَ اَلنِّسٰاءِ </w:t>
      </w:r>
      <w:r>
        <w:rPr>
          <w:rStyle w:val="FootnoteAnchor"/>
          <w:rtl w:val="true"/>
        </w:rPr>
        <w:footnoteReference w:id="1334"/>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مُحْصَنٰاتٍ غَیْرَ مُسٰافِحٰاتٍ</w:t>
      </w:r>
      <w:r>
        <w:rPr>
          <w:rFonts w:eastAsia="Amiri" w:cs="Amiri" w:ascii="Amiri" w:hAnsi="Amiri"/>
          <w:color w:val="111111"/>
          <w:sz w:val="28"/>
          <w:szCs w:val="28"/>
          <w:rtl w:val="true"/>
          <w:lang w:bidi="ar-SA"/>
        </w:rPr>
        <w:t xml:space="preserve">) </w:t>
      </w:r>
      <w:r>
        <w:rPr>
          <w:rStyle w:val="FootnoteAnchor"/>
          <w:rtl w:val="true"/>
        </w:rPr>
        <w:footnoteReference w:id="13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وعلی الإسلام، ومنه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أُحْصِنَّ</w:t>
      </w:r>
      <w:r>
        <w:rPr>
          <w:rFonts w:eastAsia="Amiri" w:cs="Amiri" w:ascii="Amiri" w:hAnsi="Amiri"/>
          <w:color w:val="111111"/>
          <w:sz w:val="28"/>
          <w:szCs w:val="28"/>
          <w:rtl w:val="true"/>
          <w:lang w:bidi="ar-SA"/>
        </w:rPr>
        <w:t xml:space="preserve">) </w:t>
      </w:r>
      <w:r>
        <w:rPr>
          <w:rStyle w:val="FootnoteAnchor"/>
          <w:rtl w:val="true"/>
        </w:rPr>
        <w:footnoteReference w:id="1336"/>
      </w:r>
      <w:r>
        <w:rPr>
          <w:rFonts w:ascii="IRNazanin" w:hAnsi="IRNazanin" w:eastAsia="IRNazanin"/>
          <w:color w:val="111111"/>
          <w:sz w:val="28"/>
          <w:sz w:val="28"/>
          <w:szCs w:val="28"/>
          <w:rtl w:val="true"/>
          <w:lang w:bidi="fa-IR"/>
        </w:rPr>
        <w:t>قال ابن مسعود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إحصانها إسلامها</w:t>
      </w:r>
      <w:r>
        <w:rPr>
          <w:rFonts w:eastAsia="IRNazanin" w:cs="IRNazanin"/>
          <w:color w:val="111111"/>
          <w:sz w:val="28"/>
          <w:szCs w:val="28"/>
          <w:rtl w:val="true"/>
          <w:lang w:bidi="fa-IR"/>
        </w:rPr>
        <w:t xml:space="preserve">» </w:t>
      </w:r>
      <w:r>
        <w:rPr>
          <w:rStyle w:val="FootnoteAnchor"/>
          <w:rtl w:val="true"/>
        </w:rPr>
        <w:footnoteReference w:id="13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وعلی الحرّیّة ومنه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مَنْ لَمْ یَسْتَطِعْ مِنْکُمْ طَوْلاً أَنْ یَنْکِحَ اَلْمُحْصَنٰاتِ </w:t>
      </w:r>
      <w:r>
        <w:rPr>
          <w:rStyle w:val="FootnoteAnchor"/>
          <w:rtl w:val="true"/>
        </w:rPr>
        <w:footnoteReference w:id="1338"/>
      </w: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اَلْمُحْصَنٰاتُ مِنَ اَلْمُؤْمِنٰاتِ وَ اَلْمُحْصَنٰاتُ مِنَ اَلَّذِینَ أُوتُوا اَلْکِتٰابَ </w:t>
      </w:r>
      <w:r>
        <w:rPr>
          <w:rStyle w:val="FootnoteAnchor"/>
          <w:rtl w:val="true"/>
        </w:rPr>
        <w:footnoteReference w:id="1339"/>
      </w:r>
    </w:p>
    <w:p>
      <w:pPr>
        <w:pStyle w:val="BookText"/>
        <w:rPr/>
      </w:pPr>
      <w:r>
        <w:rPr>
          <w:rFonts w:ascii="IRNazanin" w:hAnsi="IRNazanin" w:eastAsia="IRNazanin"/>
          <w:color w:val="111111"/>
          <w:sz w:val="28"/>
          <w:sz w:val="28"/>
          <w:szCs w:val="28"/>
          <w:rtl w:val="true"/>
          <w:lang w:bidi="fa-IR"/>
        </w:rPr>
        <w:t>وعلی اجتماع الاُمور الخمسة التی نبّه علیها هنا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بالإحصان هنا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البلوغ والعقل والحرّیّة والإسلام والعفّة، فمن جُمعت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الأوصاف الخمسة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وجب الحدّ بقذفه، وإلّا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تجتمع بأن فقدت جُمَع أو أحدُها، بأن قذف صبیّاً أو مجنوناً أو مملوکاً أو کافراً أو متظاهراً بالزنا، فالواجب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أطلقه المصنّف والجماعة </w:t>
      </w:r>
      <w:r>
        <w:rPr>
          <w:rStyle w:val="FootnoteAnchor"/>
          <w:rtl w:val="true"/>
        </w:rPr>
        <w:footnoteReference w:id="1340"/>
      </w:r>
      <w:r>
        <w:rPr>
          <w:rFonts w:ascii="IRNazanin" w:hAnsi="IRNazanin" w:eastAsia="IRNazanin"/>
          <w:color w:val="111111"/>
          <w:sz w:val="28"/>
          <w:sz w:val="28"/>
          <w:szCs w:val="28"/>
          <w:rtl w:val="true"/>
          <w:lang w:bidi="fa-IR"/>
        </w:rPr>
        <w:t>غیرَ فارقین بین المتظاهر بالزنا وغیره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عموم الأدلّة وقبح القذف مطلقاً؛ بخلاف مواجَهة المتظاهر به بغیره من أنواع الأذی، کما مرّ </w:t>
      </w:r>
      <w:r>
        <w:rPr>
          <w:rStyle w:val="FootnoteAnchor"/>
          <w:rtl w:val="true"/>
        </w:rPr>
        <w:footnoteReference w:id="1341"/>
      </w:r>
      <w:r>
        <w:rPr>
          <w:rFonts w:eastAsia="Times New Roman" w:cs="Times New Roman" w:ascii="Times New Roman" w:hAnsi="Times New Roman"/>
          <w:color w:val="111111"/>
          <w:sz w:val="28"/>
          <w:szCs w:val="28"/>
          <w:rtl w:val="true"/>
          <w:lang w:val="en-US" w:bidi="en-US"/>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وتردّد المصنّف فی بعض تحقیقاته </w:t>
      </w:r>
      <w:r>
        <w:rPr>
          <w:rStyle w:val="FootnoteAnchor"/>
          <w:rtl w:val="true"/>
        </w:rPr>
        <w:footnoteReference w:id="1342"/>
      </w:r>
      <w:r>
        <w:rPr>
          <w:rFonts w:ascii="IRNazanin" w:hAnsi="IRNazanin" w:eastAsia="IRNazanin"/>
          <w:color w:val="111111"/>
          <w:sz w:val="28"/>
          <w:sz w:val="28"/>
          <w:szCs w:val="28"/>
          <w:rtl w:val="true"/>
          <w:lang w:bidi="fa-IR"/>
        </w:rPr>
        <w:t xml:space="preserve">فی التعزیر بقذف المتظاهر به </w:t>
      </w:r>
      <w:r>
        <w:rPr>
          <w:rStyle w:val="FootnoteAnchor"/>
          <w:rtl w:val="true"/>
        </w:rPr>
        <w:footnoteReference w:id="1343"/>
      </w:r>
    </w:p>
    <w:p>
      <w:pPr>
        <w:pStyle w:val="BookText"/>
        <w:rPr/>
      </w:pPr>
      <w:r>
        <w:rPr>
          <w:rFonts w:ascii="IRNazanin" w:hAnsi="IRNazanin" w:eastAsia="IRNazanin"/>
          <w:color w:val="111111"/>
          <w:sz w:val="28"/>
          <w:sz w:val="28"/>
          <w:szCs w:val="28"/>
          <w:rtl w:val="true"/>
          <w:lang w:bidi="fa-IR"/>
        </w:rPr>
        <w:t>ویظهر منه المیل إلی عدمه محتجّاً بإباحته، استناداً إلی روایة البرقی عن أبی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جاهر الفاسق بفسقه فلا حرمة له ولا غیبة</w:t>
      </w:r>
      <w:r>
        <w:rPr>
          <w:rFonts w:eastAsia="IRNazanin" w:cs="IRNazanin"/>
          <w:color w:val="111111"/>
          <w:sz w:val="28"/>
          <w:szCs w:val="28"/>
          <w:rtl w:val="true"/>
          <w:lang w:bidi="fa-IR"/>
        </w:rPr>
        <w:t xml:space="preserve">» </w:t>
      </w:r>
      <w:r>
        <w:rPr>
          <w:rStyle w:val="FootnoteAnchor"/>
          <w:rtl w:val="true"/>
        </w:rPr>
        <w:footnoteReference w:id="1344"/>
      </w:r>
      <w:r>
        <w:rPr>
          <w:rFonts w:ascii="IRNazanin" w:hAnsi="IRNazanin" w:eastAsia="IRNazanin"/>
          <w:color w:val="111111"/>
          <w:sz w:val="28"/>
          <w:sz w:val="28"/>
          <w:szCs w:val="28"/>
          <w:rtl w:val="true"/>
          <w:lang w:bidi="fa-IR"/>
        </w:rPr>
        <w:t>وفی مرفوع محمّد بن بزیع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تمام العبادة الوقیعة فی أهل الریب</w:t>
      </w:r>
      <w:r>
        <w:rPr>
          <w:rFonts w:eastAsia="IRNazanin" w:cs="IRNazanin"/>
          <w:color w:val="111111"/>
          <w:sz w:val="28"/>
          <w:szCs w:val="28"/>
          <w:rtl w:val="true"/>
          <w:lang w:bidi="fa-IR"/>
        </w:rPr>
        <w:t xml:space="preserve">» </w:t>
      </w:r>
      <w:r>
        <w:rPr>
          <w:rStyle w:val="FootnoteAnchor"/>
          <w:rtl w:val="true"/>
        </w:rPr>
        <w:footnoteReference w:id="1345"/>
      </w:r>
      <w:r>
        <w:rPr>
          <w:rFonts w:ascii="IRNazanin" w:hAnsi="IRNazanin" w:eastAsia="IRNazanin"/>
          <w:color w:val="111111"/>
          <w:sz w:val="28"/>
          <w:sz w:val="28"/>
          <w:szCs w:val="28"/>
          <w:rtl w:val="true"/>
          <w:lang w:bidi="fa-IR"/>
        </w:rPr>
        <w:t>ولو قیل بهذا لکان حسناً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قال لکافر اُمّه مسلمة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الزانیة، فالحدّ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لاستجماعها لشرائط وجوبه، دون المواجَه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ماتت أو کانت میتة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ورثها الکافر فلا 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لأنّ المسلم لا یُحدّ للکافر </w:t>
      </w:r>
      <w:r>
        <w:rPr>
          <w:rStyle w:val="FootnoteAnchor"/>
          <w:rtl w:val="true"/>
        </w:rPr>
        <w:footnoteReference w:id="1346"/>
      </w:r>
      <w:r>
        <w:rPr>
          <w:rFonts w:ascii="IRNazanin" w:hAnsi="IRNazanin" w:eastAsia="IRNazanin"/>
          <w:color w:val="111111"/>
          <w:sz w:val="28"/>
          <w:sz w:val="28"/>
          <w:szCs w:val="28"/>
          <w:rtl w:val="true"/>
          <w:lang w:bidi="fa-IR"/>
        </w:rPr>
        <w:t>بالأصالة، فکذا بالإرث</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ویتصوّر إرث الکافر للمسلم علی تقدیر موت المسلم مرتدّاً عند الصدوق </w:t>
      </w:r>
      <w:r>
        <w:rPr>
          <w:rStyle w:val="FootnoteAnchor"/>
          <w:rtl w:val="true"/>
        </w:rPr>
        <w:footnoteReference w:id="1347"/>
      </w:r>
      <w:r>
        <w:rPr>
          <w:rFonts w:ascii="IRNazanin" w:hAnsi="IRNazanin" w:eastAsia="IRNazanin"/>
          <w:color w:val="111111"/>
          <w:sz w:val="28"/>
          <w:sz w:val="28"/>
          <w:szCs w:val="28"/>
          <w:rtl w:val="true"/>
          <w:lang w:bidi="fa-IR"/>
        </w:rPr>
        <w:t xml:space="preserve">وبعض الأصحاب </w:t>
      </w:r>
      <w:r>
        <w:rPr>
          <w:rStyle w:val="FootnoteAnchor"/>
          <w:rtl w:val="true"/>
        </w:rPr>
        <w:footnoteReference w:id="1348"/>
      </w:r>
      <w:r>
        <w:rPr>
          <w:rFonts w:ascii="IRNazanin" w:hAnsi="IRNazanin" w:eastAsia="IRNazanin"/>
          <w:color w:val="111111"/>
          <w:sz w:val="28"/>
          <w:sz w:val="28"/>
          <w:szCs w:val="28"/>
          <w:rtl w:val="true"/>
          <w:lang w:bidi="fa-IR"/>
        </w:rPr>
        <w:t xml:space="preserve">أمّا عند المصنّف فغیر واضح، وقد فرض المسألة کذلک فی القواعد لکن بعبارة أقبل من هذه للتأویل </w:t>
      </w:r>
      <w:r>
        <w:rPr>
          <w:rStyle w:val="FootnoteAnchor"/>
          <w:rtl w:val="true"/>
        </w:rPr>
        <w:footnoteReference w:id="13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تقاذف المحصنان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یوجب الحدّ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حدّ علی أحدهما؛ لصحیحة أبی ولّاد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اُتی أمیر المؤمنین علیه السلام برجلین قذف کلّ واحد منهما صاحبه بالزنا فی بدنه،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یدرأ عنهما الحدّ، وعزّرهما</w:t>
      </w:r>
      <w:r>
        <w:rPr>
          <w:rFonts w:eastAsia="IRNazanin" w:cs="IRNazanin"/>
          <w:color w:val="111111"/>
          <w:sz w:val="28"/>
          <w:szCs w:val="28"/>
          <w:rtl w:val="true"/>
          <w:lang w:bidi="fa-IR"/>
        </w:rPr>
        <w:t xml:space="preserve">» </w:t>
      </w:r>
      <w:r>
        <w:rPr>
          <w:rStyle w:val="FootnoteAnchor"/>
          <w:rtl w:val="true"/>
        </w:rPr>
        <w:footnoteReference w:id="13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تعدّد المقذوف تعدّد الحدّ، سواء اتّحد القاذف أو تعدّد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کلّ واحد سبب تامّ فی وجوب الحدّ فیتعدّد المسبّب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لو قذف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جماعةً بلفظ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أنتم زُناة، ونحوه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واجتمعوا فی المطالبة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بالحدّ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فحدّ واحد، وإن افترقوا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المطالبة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فلکلّ واحد 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لصحیحة جمیل عن أبی عبد اللّٰه علیه السلام فی رجل افتری علی قوم جماعة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أتوا به مجتمعین ضُرِب حدّاً واحداً، وإن أتوا به متفرّقین ضرب لکلّ واحد منهم حدّاً</w:t>
      </w:r>
      <w:r>
        <w:rPr>
          <w:rFonts w:eastAsia="IRNazanin" w:cs="IRNazanin"/>
          <w:color w:val="111111"/>
          <w:sz w:val="28"/>
          <w:szCs w:val="28"/>
          <w:rtl w:val="true"/>
          <w:lang w:bidi="fa-IR"/>
        </w:rPr>
        <w:t xml:space="preserve">» </w:t>
      </w:r>
      <w:r>
        <w:rPr>
          <w:rStyle w:val="FootnoteAnchor"/>
          <w:rtl w:val="true"/>
        </w:rPr>
        <w:footnoteReference w:id="13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وإنّما حملناه علی ما لو کان القذف بلفظ واحد مع أ نّه أعمّ جمعاً بینه وبین صحیحة الحسن العطّار عنه علیه السلام فی رجل قذف قوماً جمیعاً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بکلمة واحدة؟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یُضرب حدّاً واحداً، فإن فرّق بینهم فی القذف ضُرِب لکلّ واحد منهم حدّاً</w:t>
      </w:r>
      <w:r>
        <w:rPr>
          <w:rFonts w:eastAsia="IRNazanin" w:cs="IRNazanin"/>
          <w:color w:val="111111"/>
          <w:sz w:val="28"/>
          <w:szCs w:val="28"/>
          <w:rtl w:val="true"/>
          <w:lang w:bidi="fa-IR"/>
        </w:rPr>
        <w:t xml:space="preserve">» </w:t>
      </w:r>
      <w:r>
        <w:rPr>
          <w:rStyle w:val="FootnoteAnchor"/>
          <w:rtl w:val="true"/>
        </w:rPr>
        <w:footnoteReference w:id="1352"/>
      </w:r>
      <w:r>
        <w:rPr>
          <w:rFonts w:ascii="IRNazanin" w:hAnsi="IRNazanin" w:eastAsia="IRNazanin"/>
          <w:color w:val="111111"/>
          <w:sz w:val="28"/>
          <w:sz w:val="28"/>
          <w:szCs w:val="28"/>
          <w:rtl w:val="true"/>
          <w:lang w:bidi="fa-IR"/>
        </w:rPr>
        <w:t>بحمل الاُولی علی ما لو کان القذف بلفظ واحد، والثانیة علی ما لو جاؤوا به مجتمعین</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وابن الجنید رحمه الله عکس، فجعل القذف بلفظ واحد موجباً لاتّحاد الحدّ مطلقاً، وبلفظٍ متعدّدٍ موجباً للاتّحاد إن جاؤوا مجتمعین، وللتعدّد إن جاؤوا</w:t>
      </w:r>
    </w:p>
    <w:p>
      <w:pPr>
        <w:pStyle w:val="BookText"/>
        <w:rPr/>
      </w:pPr>
      <w:r>
        <w:rPr>
          <w:rFonts w:ascii="IRNazanin" w:hAnsi="IRNazanin" w:eastAsia="IRNazanin"/>
          <w:color w:val="111111"/>
          <w:sz w:val="28"/>
          <w:sz w:val="28"/>
          <w:szCs w:val="28"/>
          <w:rtl w:val="true"/>
          <w:lang w:bidi="fa-IR"/>
        </w:rPr>
        <w:t xml:space="preserve">متفرّقین ونفی عنه فی المختلف البأس محتجّاً بدلالة الخبر الأوّل علیه، وهو أوضح طریقاً </w:t>
      </w:r>
      <w:r>
        <w:rPr>
          <w:rStyle w:val="FootnoteAnchor"/>
          <w:rtl w:val="true"/>
        </w:rPr>
        <w:footnoteReference w:id="1353"/>
      </w:r>
      <w:r>
        <w:rPr>
          <w:rStyle w:val="FootnoteAnchor"/>
          <w:rtl w:val="true"/>
        </w:rPr>
        <w:footnoteReference w:id="13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وفیه نظر؛ لأنّ تفصیل الأوّل شامل للقذف المتّحد والمتعدّد، فالعمل به یوجب التفصیل فیهما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والظاهر أنّ قوله فیه </w:t>
      </w:r>
      <w:r>
        <w:rPr>
          <w:rStyle w:val="FootnoteAnchor"/>
          <w:rtl w:val="true"/>
        </w:rPr>
        <w:footnoteReference w:id="135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صفة للقوم؛ لأنّه أقرب وأنسب بالجماعة، لا للقذف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یتّجه قوله </w:t>
      </w:r>
      <w:r>
        <w:rPr>
          <w:rStyle w:val="FootnoteAnchor"/>
          <w:rtl w:val="true"/>
        </w:rPr>
        <w:footnoteReference w:id="1356"/>
      </w:r>
      <w:r>
        <w:rPr>
          <w:rFonts w:ascii="IRNazanin" w:hAnsi="IRNazanin" w:eastAsia="IRNazanin"/>
          <w:color w:val="111111"/>
          <w:sz w:val="28"/>
          <w:sz w:val="28"/>
          <w:szCs w:val="28"/>
          <w:rtl w:val="true"/>
          <w:lang w:bidi="fa-IR"/>
        </w:rPr>
        <w:t>لو جُعل صفة للقذف المدلول علیه بالفعل، واُرید بالجماعة القذف المتعدّد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بعید جدّاً</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وکذا الکلام فی التعزیر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فیُعزّر قاذف الجماعة بما یوجبه بلفظٍ متعدّدٍ متعدّداً مطلقاً، وبمتّحد إن جاؤوا به متفرّقین، ومتّحداً إن جاؤوا به </w:t>
      </w:r>
      <w:r>
        <w:rPr>
          <w:rStyle w:val="FootnoteAnchor"/>
          <w:rtl w:val="true"/>
        </w:rPr>
        <w:footnoteReference w:id="1357"/>
      </w:r>
      <w:r>
        <w:rPr>
          <w:rFonts w:ascii="IRNazanin" w:hAnsi="IRNazanin" w:eastAsia="IRNazanin"/>
          <w:color w:val="111111"/>
          <w:sz w:val="28"/>
          <w:sz w:val="28"/>
          <w:szCs w:val="28"/>
          <w:rtl w:val="true"/>
          <w:lang w:bidi="fa-IR"/>
        </w:rPr>
        <w:t xml:space="preserve">مجتمعین، ولا نصّ فیه علی الخصوص، ومن ثمّ أنکره ابن إدریس وأوجب التعزیر لکلّ واحد مطلقاً </w:t>
      </w:r>
      <w:r>
        <w:rPr>
          <w:rStyle w:val="FootnoteAnchor"/>
          <w:rtl w:val="true"/>
        </w:rPr>
        <w:footnoteReference w:id="1358"/>
      </w:r>
      <w:r>
        <w:rPr>
          <w:rFonts w:ascii="Amiri" w:hAnsi="Amiri" w:eastAsia="Amiri" w:cs="Amiri"/>
          <w:color w:val="111111"/>
          <w:sz w:val="28"/>
          <w:sz w:val="28"/>
          <w:szCs w:val="28"/>
          <w:rtl w:val="true"/>
          <w:lang w:bidi="ar-SA"/>
        </w:rPr>
        <w:t xml:space="preserve">محتجّاً بأ نّه قیاس </w:t>
      </w:r>
      <w:r>
        <w:rPr>
          <w:rStyle w:val="FootnoteAnchor"/>
          <w:rtl w:val="true"/>
        </w:rPr>
        <w:footnoteReference w:id="1359"/>
      </w:r>
      <w:r>
        <w:rPr>
          <w:rFonts w:ascii="IRNazanin" w:hAnsi="IRNazanin" w:eastAsia="IRNazanin"/>
          <w:color w:val="111111"/>
          <w:sz w:val="28"/>
          <w:sz w:val="28"/>
          <w:szCs w:val="28"/>
          <w:rtl w:val="true"/>
          <w:lang w:bidi="fa-IR"/>
        </w:rPr>
        <w:t>ونحن نقول بموجبه، إلّاأ نّه قیاس مقبول؛ لأنّ</w:t>
      </w:r>
      <w:bookmarkStart w:id="487" w:name="pg19815_253317"/>
    </w:p>
    <w:p>
      <w:pPr>
        <w:pStyle w:val="BookText"/>
        <w:rPr/>
      </w:pPr>
      <w:bookmarkEnd w:id="487"/>
      <w:r>
        <w:rPr>
          <w:rFonts w:ascii="IRNazanin" w:hAnsi="IRNazanin" w:eastAsia="IRNazanin"/>
          <w:color w:val="111111"/>
          <w:sz w:val="28"/>
          <w:sz w:val="28"/>
          <w:szCs w:val="28"/>
          <w:rtl w:val="true"/>
          <w:lang w:bidi="fa-IR"/>
        </w:rPr>
        <w:t>تداخل الأقوی یوجب تداخل الأضعف بطریق 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ذلک فقول ابن إدریس لا بأس به</w:t>
      </w:r>
      <w:r>
        <w:rPr>
          <w:rFonts w:eastAsia="IRNazanin" w:cs="IRNazanin"/>
          <w:color w:val="111111"/>
          <w:sz w:val="28"/>
          <w:szCs w:val="28"/>
          <w:rtl w:val="true"/>
          <w:lang w:bidi="fa-IR"/>
        </w:rPr>
        <w:t>.</w:t>
      </w:r>
    </w:p>
    <w:p>
      <w:pPr>
        <w:pStyle w:val="Heading4"/>
        <w:numPr>
          <w:ilvl w:val="3"/>
          <w:numId w:val="1"/>
        </w:numPr>
        <w:rPr/>
      </w:pPr>
      <w:bookmarkStart w:id="488" w:name="__RefHeading___Toc2228045_2314609296"/>
      <w:bookmarkStart w:id="489" w:name="_Toc185"/>
      <w:bookmarkEnd w:id="488"/>
      <w:r>
        <w:rPr>
          <w:rtl w:val="true"/>
        </w:rPr>
        <w:t>[</w:t>
      </w:r>
      <w:r>
        <w:rPr>
          <w:rtl w:val="true"/>
        </w:rPr>
        <w:t>مسائل فی حد القذف</w:t>
      </w:r>
      <w:r>
        <w:rPr>
          <w:rtl w:val="true"/>
        </w:rPr>
        <w:t>]</w:t>
      </w:r>
      <w:bookmarkEnd w:id="489"/>
    </w:p>
    <w:p>
      <w:pPr>
        <w:pStyle w:val="BookText"/>
        <w:rPr/>
      </w:pPr>
      <w:r>
        <w:rPr>
          <w:rFonts w:ascii="IRNazanin" w:hAnsi="IRNazanin" w:eastAsia="IRNazanin"/>
          <w:color w:val="111111"/>
          <w:sz w:val="28"/>
          <w:sz w:val="28"/>
          <w:szCs w:val="28"/>
          <w:rtl w:val="true"/>
          <w:lang w:bidi="fa-IR"/>
        </w:rPr>
        <w:t xml:space="preserve">وبقی فی هذا الفصل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 القذف ثمانون جلدة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ولقوله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اَلَّذِینَ یَرْمُونَ اَلْمُحْصَنٰاتِ إلی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فَاجْلِدُوهُمْ ثَمٰانِینَ جَلْدَةً</w:t>
      </w:r>
      <w:r>
        <w:rPr>
          <w:rFonts w:eastAsia="Amiri" w:cs="Amiri" w:ascii="Amiri" w:hAnsi="Amiri"/>
          <w:color w:val="111111"/>
          <w:sz w:val="28"/>
          <w:szCs w:val="28"/>
          <w:rtl w:val="true"/>
          <w:lang w:bidi="ar-SA"/>
        </w:rPr>
        <w:t xml:space="preserve">) </w:t>
      </w:r>
      <w:r>
        <w:rPr>
          <w:rStyle w:val="FootnoteAnchor"/>
          <w:rtl w:val="true"/>
        </w:rPr>
        <w:footnoteReference w:id="1360"/>
      </w:r>
      <w:r>
        <w:rPr>
          <w:rFonts w:ascii="IRNazanin" w:hAnsi="IRNazanin" w:eastAsia="IRNazanin"/>
          <w:color w:val="111111"/>
          <w:sz w:val="28"/>
          <w:sz w:val="28"/>
          <w:szCs w:val="28"/>
          <w:rtl w:val="true"/>
          <w:lang w:bidi="fa-IR"/>
        </w:rPr>
        <w:t xml:space="preserve">ولا فرق فی القاذف بین الحرّ والعبد علی أصحّ القولین </w:t>
      </w:r>
      <w:r>
        <w:rPr>
          <w:rStyle w:val="FootnoteAnchor"/>
          <w:rtl w:val="true"/>
        </w:rPr>
        <w:footnoteReference w:id="1361"/>
      </w:r>
      <w:r>
        <w:rPr>
          <w:rFonts w:ascii="Amiri" w:hAnsi="Amiri" w:eastAsia="Amiri" w:cs="Amiri"/>
          <w:color w:val="111111"/>
          <w:sz w:val="28"/>
          <w:sz w:val="28"/>
          <w:szCs w:val="28"/>
          <w:rtl w:val="true"/>
          <w:lang w:bidi="ar-SA"/>
        </w:rPr>
        <w:t>ومن ثَمَّ أطلق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ویُجلد القاذف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بثیابه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المعتادة ولا یجرّد کما یجرّد الزانی، ولا یُضرب ضرباً شدیداً، بل حدّاً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متوسّطاً، دون ضرب الزنا، ویُشهَّر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القاذف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لیُجتَنَب شهادته</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القذف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بشهادة عدلین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ذکرین، لا بشهادة النساء منفردات ولا منضمّات وإن کثرن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والإقرار مرّتین من مکلّف حرّ 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عبرة بإقرار الصبیّ والمجنون، والمملوک مطلقاً والمکرَه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انتفت البیّنة والإقرار فلا 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یمین علی المنکر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وکذا ما یوجب التعزیر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یثبت إلّابشاهدین ذکرین عدلین، أو الإقرار من المکلَّف الحرّ المختار</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ومقتضی العبارة اعتباره مرّتین مطلقاً، وکذا أطلق غیره </w:t>
      </w:r>
      <w:r>
        <w:rPr>
          <w:rStyle w:val="FootnoteAnchor"/>
          <w:rtl w:val="true"/>
        </w:rPr>
        <w:footnoteReference w:id="1362"/>
      </w:r>
      <w:r>
        <w:rPr>
          <w:rFonts w:ascii="IRNazanin" w:hAnsi="IRNazanin" w:eastAsia="IRNazanin"/>
          <w:color w:val="111111"/>
          <w:sz w:val="28"/>
          <w:sz w:val="28"/>
          <w:szCs w:val="28"/>
          <w:rtl w:val="true"/>
          <w:lang w:bidi="fa-IR"/>
        </w:rPr>
        <w:t xml:space="preserve">مع أ نّه تقدّم حکمه بتعزیر المقرّ باللواط دون الأربع </w:t>
      </w:r>
      <w:r>
        <w:rPr>
          <w:rStyle w:val="FootnoteAnchor"/>
          <w:rtl w:val="true"/>
        </w:rPr>
        <w:footnoteReference w:id="1363"/>
      </w:r>
      <w:r>
        <w:rPr>
          <w:rFonts w:ascii="IRNazanin" w:hAnsi="IRNazanin" w:eastAsia="IRNazanin"/>
          <w:color w:val="111111"/>
          <w:sz w:val="28"/>
          <w:sz w:val="28"/>
          <w:szCs w:val="28"/>
          <w:rtl w:val="true"/>
          <w:lang w:bidi="fa-IR"/>
        </w:rPr>
        <w:t>الشامل للمرّة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إلّاأن یحمل ذلک علی</w:t>
      </w:r>
    </w:p>
    <w:p>
      <w:pPr>
        <w:pStyle w:val="BookText"/>
        <w:rPr/>
      </w:pPr>
      <w:r>
        <w:rPr>
          <w:rFonts w:ascii="Amiri" w:hAnsi="Amiri" w:eastAsia="Amiri" w:cs="Amiri"/>
          <w:color w:val="111111"/>
          <w:sz w:val="28"/>
          <w:sz w:val="28"/>
          <w:szCs w:val="28"/>
          <w:rtl w:val="true"/>
          <w:lang w:bidi="ar-SA"/>
        </w:rPr>
        <w:t>المرّتین فصاعداً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وفی الشرائع نسب اعتبار الإقرار به مرّتین إلی قولٍ </w:t>
      </w:r>
      <w:r>
        <w:rPr>
          <w:rStyle w:val="FootnoteAnchor"/>
          <w:rtl w:val="true"/>
        </w:rPr>
        <w:footnoteReference w:id="1364"/>
      </w:r>
      <w:r>
        <w:rPr>
          <w:rFonts w:ascii="IRNazanin" w:hAnsi="IRNazanin" w:eastAsia="IRNazanin"/>
          <w:color w:val="111111"/>
          <w:sz w:val="28"/>
          <w:sz w:val="28"/>
          <w:szCs w:val="28"/>
          <w:rtl w:val="true"/>
          <w:lang w:bidi="fa-IR"/>
        </w:rPr>
        <w:t>مشعراً بتمریضه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نقف علی مستند هذا القول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حدّ القذف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لکلّ من یرث 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ذکر واُنثی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مات المقذوف قبل استیفائه والعفوِ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إلّاللزوج والزوجة</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وإذا کان الوارث 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فلکلّ واحد منهم المطالبة به، فإن اتّفقوا علی استیفائه فلهم حدّ واحد، وإن تفرّقوا فی المطالبة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ولو عفا بعضُهم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یسقط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شیء منه </w:t>
      </w:r>
      <w:r>
        <w:rPr>
          <w:rStyle w:val="FootnoteAnchor"/>
          <w:rtl w:val="true"/>
        </w:rPr>
        <w:footnoteReference w:id="13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بعفو البعض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للباقین استیفاؤه کاملاً علی المشهور </w:t>
      </w:r>
      <w:r>
        <w:rPr>
          <w:rStyle w:val="FootnoteAnchor"/>
          <w:rtl w:val="true"/>
        </w:rPr>
        <w:footnoteReference w:id="13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ویجوز العفو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المستحقّ الواحد والمتعدّد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الثبوت، کما یجوز قبلَه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ولا اعتراض للحاکم؛ لأنّه حقّ آدمیّ تتوقّف إقامته علی مطالبته ویسقط بعفوه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فرق فی ذلک بین قذف الزوج لزوجته وغیره، خلافاً للصدوق حیث حتَّم علیها استیفاءَه </w:t>
      </w:r>
      <w:r>
        <w:rPr>
          <w:rStyle w:val="FootnoteAnchor"/>
          <w:rtl w:val="true"/>
        </w:rPr>
        <w:footnoteReference w:id="1367"/>
      </w:r>
      <w:r>
        <w:rPr>
          <w:rFonts w:ascii="Amiri" w:hAnsi="Amiri" w:eastAsia="Amiri" w:cs="Amiri"/>
          <w:color w:val="111111"/>
          <w:sz w:val="28"/>
          <w:sz w:val="28"/>
          <w:szCs w:val="28"/>
          <w:rtl w:val="true"/>
          <w:lang w:bidi="ar-SA"/>
        </w:rPr>
        <w:t>وهو شاذّ</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القاذف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الرابعة لو تکرّر الحدّ ثلاثاً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المشهور خلافاً لابن إدریس حیث حکم بقتله فی الثالثة </w:t>
      </w:r>
      <w:r>
        <w:rPr>
          <w:rStyle w:val="FootnoteAnchor"/>
          <w:rtl w:val="true"/>
        </w:rPr>
        <w:footnoteReference w:id="1368"/>
      </w:r>
      <w:r>
        <w:rPr>
          <w:rFonts w:ascii="IRNazanin" w:hAnsi="IRNazanin" w:eastAsia="IRNazanin"/>
          <w:color w:val="111111"/>
          <w:sz w:val="28"/>
          <w:sz w:val="28"/>
          <w:szCs w:val="28"/>
          <w:rtl w:val="true"/>
          <w:lang w:bidi="fa-IR"/>
        </w:rPr>
        <w:t>کغیره من أصحاب الکبائر،</w:t>
      </w:r>
    </w:p>
    <w:p>
      <w:pPr>
        <w:pStyle w:val="BookText"/>
        <w:rPr/>
      </w:pPr>
      <w:r>
        <w:rPr>
          <w:rFonts w:ascii="IRNazanin" w:hAnsi="IRNazanin" w:eastAsia="IRNazanin"/>
          <w:color w:val="111111"/>
          <w:sz w:val="28"/>
          <w:sz w:val="28"/>
          <w:szCs w:val="28"/>
          <w:rtl w:val="true"/>
          <w:lang w:bidi="fa-IR"/>
        </w:rPr>
        <w:t xml:space="preserve">وقد تقدّم الکلام فیه </w:t>
      </w:r>
      <w:r>
        <w:rPr>
          <w:rStyle w:val="FootnoteAnchor"/>
          <w:rtl w:val="true"/>
        </w:rPr>
        <w:footnoteReference w:id="1369"/>
      </w:r>
      <w:r>
        <w:rPr>
          <w:rFonts w:ascii="IRNazanin" w:hAnsi="IRNazanin" w:eastAsia="IRNazanin"/>
          <w:color w:val="111111"/>
          <w:sz w:val="28"/>
          <w:sz w:val="28"/>
          <w:szCs w:val="28"/>
          <w:rtl w:val="true"/>
          <w:lang w:bidi="fa-IR"/>
        </w:rPr>
        <w:t>ولا فرق بین اتّحاد المقذوف وتعدّده هنا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تکرّر القذف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الحدّ فواحد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تعدّد المقذوف تعدّد الحدّ مطلقاً إلّامع اتّحاد الصیغة، کما مرّ </w:t>
      </w:r>
      <w:r>
        <w:rPr>
          <w:rStyle w:val="FootnoteAnchor"/>
          <w:rtl w:val="true"/>
        </w:rPr>
        <w:footnoteReference w:id="13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ویسقط الحدّ بتصدیق المقذوف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نسبه إلیه من الموجب للحدّ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والبیّنة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وقوعه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عفو المقذوف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وبلعان الزوجة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القذف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وسقوط الحدّ فی الأربعة لا کلام فیه، لکن هل یسقط مع ذلک التعزیر؟ یحتمله، خصوصاً فی الأخیرین؛ لأنّ الواجب هو الحدّ وقد سقط، والأصل عدم وجوب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ویحتمل ثبوت التعزیر فی الأوّلین؛ لأنّ قیام البیّنة والإقرار بالموجب لا یجوّز القذف؛ لما تقدّم من تحریمه مطلقاً </w:t>
      </w:r>
      <w:r>
        <w:rPr>
          <w:rStyle w:val="FootnoteAnchor"/>
          <w:rtl w:val="true"/>
        </w:rPr>
        <w:footnoteReference w:id="1371"/>
      </w:r>
      <w:r>
        <w:rPr>
          <w:rFonts w:ascii="IRNazanin" w:hAnsi="IRNazanin" w:eastAsia="IRNazanin"/>
          <w:color w:val="111111"/>
          <w:sz w:val="28"/>
          <w:sz w:val="28"/>
          <w:szCs w:val="28"/>
          <w:rtl w:val="true"/>
          <w:lang w:bidi="fa-IR"/>
        </w:rPr>
        <w:t>وثبوت التعزیر به للمتظاهر بالزنا، فإذا سقط الحدّ بقی التعزیر علی فعل المحرَّم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الجمیع؛ لأنّ العفو عن الحدّ لا یستلزم العفو عن التعزیر، وکذا اللعان؛ لأنّه بمنزلة إقامة البیّنة علی الزنا</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ولو قُذف المملوک فالتعزیر له، لا للمولی، فإن عفا لم یکن لمولاه المطالبة، کما أ نّه لو طالب فلیس لمولاه العفو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یرث المولی تعزیر عبده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المقذوف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قذفه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تقدّم من أنّ الحدّ یُورَث </w:t>
      </w:r>
      <w:r>
        <w:rPr>
          <w:rStyle w:val="FootnoteAnchor"/>
          <w:rtl w:val="true"/>
        </w:rPr>
        <w:footnoteReference w:id="1372"/>
      </w:r>
      <w:r>
        <w:rPr>
          <w:rFonts w:ascii="IRNazanin" w:hAnsi="IRNazanin" w:eastAsia="IRNazanin"/>
          <w:color w:val="111111"/>
          <w:sz w:val="28"/>
          <w:sz w:val="28"/>
          <w:szCs w:val="28"/>
          <w:rtl w:val="true"/>
          <w:lang w:bidi="fa-IR"/>
        </w:rPr>
        <w:t>والمولی وارث مملوکه</w:t>
      </w:r>
      <w:r>
        <w:rPr>
          <w:rFonts w:eastAsia="IRNazanin" w:cs="IRNazanin"/>
          <w:color w:val="111111"/>
          <w:sz w:val="28"/>
          <w:szCs w:val="28"/>
          <w:rtl w:val="true"/>
          <w:lang w:bidi="fa-IR"/>
        </w:rPr>
        <w:t>.</w:t>
      </w:r>
      <w:bookmarkStart w:id="490" w:name="pg19815_253320"/>
    </w:p>
    <w:p>
      <w:pPr>
        <w:pStyle w:val="BookText"/>
        <w:rPr/>
      </w:pPr>
      <w:bookmarkEnd w:id="49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یُعزّر الکفّار لو تنابزوا بالألقاب</w:t>
      </w:r>
      <w:r>
        <w:rPr>
          <w:rFonts w:eastAsia="IRNazanin" w:cs="IRNazanin"/>
          <w:color w:val="111111"/>
          <w:sz w:val="28"/>
          <w:szCs w:val="28"/>
          <w:rtl w:val="true"/>
          <w:lang w:bidi="fa-IR"/>
        </w:rPr>
        <w:t xml:space="preserve">» </w:t>
      </w:r>
      <w:r>
        <w:rPr>
          <w:rStyle w:val="FootnoteAnchor"/>
          <w:rtl w:val="true"/>
        </w:rPr>
        <w:footnoteReference w:id="1373"/>
      </w:r>
      <w:r>
        <w:rPr>
          <w:rFonts w:ascii="IRNazanin" w:hAnsi="IRNazanin" w:eastAsia="IRNazanin"/>
          <w:color w:val="111111"/>
          <w:sz w:val="28"/>
          <w:sz w:val="28"/>
          <w:szCs w:val="28"/>
          <w:rtl w:val="true"/>
          <w:lang w:bidi="fa-IR"/>
        </w:rPr>
        <w:t xml:space="preserve">أی تداعوا بألقاب الذمّ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عیّر بعضهم بعضاً بالأمراض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العَوَر والعَرَج وغیرهما، وإن کان المسلم یستحقّ بها التعزیر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إلّامع خوف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بترک تعزیرهم علی ذلک، فیعزّرون حسماً لها بما یراه الحاکم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یزاد فی تأدیب الصبیّ علی عشرة أسواط؛ وکذا المملوک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کان التأدیب لقذف أم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وهل النهی عن الزائد علی وجه التحریم أم الکراهة؟ ظاهره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والأقوی الثانی؛ للأصل، ولأنّ تقدیر التعزیر إلی ما یراه الحاکم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ویعزَّر کلّ من ترک واجباً أو فَعَل محرَّماً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أن یتوب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یراه الحاکم، ففی الحرّ لا یبلغ 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مطلق 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یبلغ أقلّه وهو </w:t>
      </w:r>
      <w:r>
        <w:rPr>
          <w:rStyle w:val="FootnoteAnchor"/>
          <w:rtl w:val="true"/>
        </w:rPr>
        <w:footnoteReference w:id="1374"/>
      </w:r>
      <w:r>
        <w:rPr>
          <w:rFonts w:ascii="IRNazanin" w:hAnsi="IRNazanin" w:eastAsia="IRNazanin"/>
          <w:color w:val="111111"/>
          <w:sz w:val="28"/>
          <w:sz w:val="28"/>
          <w:szCs w:val="28"/>
          <w:rtl w:val="true"/>
          <w:lang w:bidi="fa-IR"/>
        </w:rPr>
        <w:t>خمسة وسبعون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کان المحرَّم من جنس ما یوجب حدّاً مخصوصاً کمقدّمات الزنا فالمعتبر فیه حدّ الزنا، وکالقذف بما لا یوجب الحدّ فالمعتبر فیه حدّ القذف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العبد لا یبلغ 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ذکرناه </w:t>
      </w:r>
      <w:r>
        <w:rPr>
          <w:rStyle w:val="FootnoteAnchor"/>
          <w:rtl w:val="true"/>
        </w:rPr>
        <w:footnoteReference w:id="137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91" w:name="__RefHeading___Toc2228047_2314609296"/>
      <w:bookmarkStart w:id="492" w:name="_Toc186"/>
      <w:bookmarkEnd w:id="491"/>
      <w:r>
        <w:rPr>
          <w:rtl w:val="true"/>
        </w:rPr>
        <w:t xml:space="preserve">و </w:t>
      </w:r>
      <w:r>
        <w:rPr>
          <w:rtl w:val="true"/>
        </w:rPr>
        <w:t>« [</w:t>
      </w:r>
      <w:r>
        <w:rPr>
          <w:rtl w:val="true"/>
        </w:rPr>
        <w:t>حکم</w:t>
      </w:r>
      <w:r>
        <w:rPr>
          <w:rtl w:val="true"/>
        </w:rPr>
        <w:t xml:space="preserve">] </w:t>
      </w:r>
      <w:r>
        <w:rPr>
          <w:rtl w:val="true"/>
        </w:rPr>
        <w:t>سابّ النبیّ صلی الله علیه و آله أو أحد الأئمّة علیهم السلام یقتل</w:t>
      </w:r>
      <w:r>
        <w:rPr>
          <w:rtl w:val="true"/>
        </w:rPr>
        <w:t>»</w:t>
      </w:r>
      <w:bookmarkEnd w:id="492"/>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ویجوز قتله لکلّ من اطّلع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من غیر إذن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الحاکم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 یخف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نفسه أو ماله أو علی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نفساً أو مالاً، فینتفی الجواز؛ للضرر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أبی أنّ رسول اللّٰه صلی الله علیه و آله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الناس فیَّ اُسوة سواء، من سمع أحداً یذکرنی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بسوء </w:t>
      </w:r>
      <w:r>
        <w:rPr>
          <w:rFonts w:eastAsia="IRNazanin" w:cs="IRNazanin"/>
          <w:color w:val="111111"/>
          <w:sz w:val="28"/>
          <w:szCs w:val="28"/>
          <w:rtl w:val="true"/>
          <w:lang w:bidi="fa-IR"/>
        </w:rPr>
        <w:t xml:space="preserve">] </w:t>
      </w:r>
      <w:r>
        <w:rPr>
          <w:rStyle w:val="FootnoteAnchor"/>
          <w:rtl w:val="true"/>
        </w:rPr>
        <w:footnoteReference w:id="1376"/>
      </w:r>
      <w:r>
        <w:rPr>
          <w:rFonts w:ascii="IRNazanin" w:hAnsi="IRNazanin" w:eastAsia="IRNazanin"/>
          <w:color w:val="111111"/>
          <w:sz w:val="28"/>
          <w:sz w:val="28"/>
          <w:szCs w:val="28"/>
          <w:rtl w:val="true"/>
          <w:lang w:bidi="fa-IR"/>
        </w:rPr>
        <w:t>فالواجب علیه أن یقتل من شتمنی ولا یرفع إلی السلطان، والواجب علی السلطان إذا رُفع إلیه أن یقتل من نال منّی</w:t>
      </w:r>
      <w:r>
        <w:rPr>
          <w:rFonts w:eastAsia="IRNazanin" w:cs="IRNazanin"/>
          <w:color w:val="111111"/>
          <w:sz w:val="28"/>
          <w:szCs w:val="28"/>
          <w:rtl w:val="true"/>
          <w:lang w:bidi="fa-IR"/>
        </w:rPr>
        <w:t xml:space="preserve">» </w:t>
      </w:r>
      <w:r>
        <w:rPr>
          <w:rStyle w:val="FootnoteAnchor"/>
          <w:rtl w:val="true"/>
        </w:rPr>
        <w:footnoteReference w:id="13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وسئل علیه السلام عمّن سمع یشتم علیّاً علیه السلام ویبرأ </w:t>
      </w:r>
      <w:r>
        <w:rPr>
          <w:rStyle w:val="FootnoteAnchor"/>
          <w:rtl w:val="true"/>
        </w:rPr>
        <w:footnoteReference w:id="1378"/>
      </w:r>
      <w:r>
        <w:rPr>
          <w:rFonts w:ascii="IRNazanin" w:hAnsi="IRNazanin" w:eastAsia="IRNazanin"/>
          <w:color w:val="111111"/>
          <w:sz w:val="28"/>
          <w:sz w:val="28"/>
          <w:szCs w:val="28"/>
          <w:rtl w:val="true"/>
          <w:lang w:bidi="fa-IR"/>
        </w:rPr>
        <w:t>منه،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واللّٰه حلال الدم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ألفُ رجل منهم برجل منکم، دعه</w:t>
      </w:r>
      <w:r>
        <w:rPr>
          <w:rFonts w:eastAsia="IRNazanin" w:cs="IRNazanin"/>
          <w:color w:val="111111"/>
          <w:sz w:val="28"/>
          <w:szCs w:val="28"/>
          <w:rtl w:val="true"/>
          <w:lang w:bidi="fa-IR"/>
        </w:rPr>
        <w:t xml:space="preserve">» </w:t>
      </w:r>
      <w:r>
        <w:rPr>
          <w:rStyle w:val="FootnoteAnchor"/>
          <w:rtl w:val="true"/>
        </w:rPr>
        <w:footnoteReference w:id="1379"/>
      </w:r>
      <w:r>
        <w:rPr>
          <w:rFonts w:ascii="IRNazanin" w:hAnsi="IRNazanin" w:eastAsia="IRNazanin"/>
          <w:color w:val="111111"/>
          <w:sz w:val="28"/>
          <w:sz w:val="28"/>
          <w:szCs w:val="28"/>
          <w:rtl w:val="true"/>
          <w:lang w:bidi="fa-IR"/>
        </w:rPr>
        <w:t>وهو إشارة إلی خوف الضرر علی بعض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إلحاق باقی الأنبیاء علیهم السلام بذلک وجه قویّ؛ لأنّ تعظیمهم وکمالهم قد عُلِمَ من دین الإسلام ضرورة، فسبُّهم ارتداد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وألحق فی التحریر بالنبیّ صلی الله علیه و آله اُمَّه وبنتَه </w:t>
      </w:r>
      <w:r>
        <w:rPr>
          <w:rStyle w:val="FootnoteAnchor"/>
          <w:rtl w:val="true"/>
        </w:rPr>
        <w:footnoteReference w:id="1380"/>
      </w:r>
      <w:r>
        <w:rPr>
          <w:rFonts w:ascii="IRNazanin" w:hAnsi="IRNazanin" w:eastAsia="IRNazanin"/>
          <w:color w:val="111111"/>
          <w:sz w:val="28"/>
          <w:sz w:val="28"/>
          <w:szCs w:val="28"/>
          <w:rtl w:val="true"/>
          <w:lang w:bidi="fa-IR"/>
        </w:rPr>
        <w:t>من غیر تخصیص بفاطمة صلوات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ویمکن اختصاص الحکم بها علیها السلام؛ للإجماع علی طهارتها بآیة التطهیر </w:t>
      </w:r>
      <w:r>
        <w:rPr>
          <w:rStyle w:val="FootnoteAnchor"/>
          <w:rtl w:val="true"/>
        </w:rPr>
        <w:footnoteReference w:id="1381"/>
      </w:r>
      <w:r>
        <w:rPr>
          <w:rFonts w:eastAsia="Times New Roman" w:cs="Times New Roman" w:ascii="Times New Roman" w:hAnsi="Times New Roman"/>
          <w:color w:val="111111"/>
          <w:sz w:val="28"/>
          <w:szCs w:val="28"/>
          <w:rtl w:val="true"/>
          <w:lang w:val="en-US" w:bidi="en-US"/>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وینبغی تقیید الخوف علی المال بالکثیر المضرّ فوته </w:t>
      </w:r>
      <w:r>
        <w:rPr>
          <w:rStyle w:val="FootnoteAnchor"/>
          <w:rtl w:val="true"/>
        </w:rPr>
        <w:footnoteReference w:id="1382"/>
      </w:r>
      <w:r>
        <w:rPr>
          <w:rFonts w:ascii="IRNazanin" w:hAnsi="IRNazanin" w:eastAsia="IRNazanin"/>
          <w:color w:val="111111"/>
          <w:sz w:val="28"/>
          <w:sz w:val="28"/>
          <w:szCs w:val="28"/>
          <w:rtl w:val="true"/>
          <w:lang w:bidi="fa-IR"/>
        </w:rPr>
        <w:t xml:space="preserve">فلا یمنع القلیل </w:t>
      </w:r>
      <w:r>
        <w:rPr>
          <w:rStyle w:val="FootnoteAnchor"/>
          <w:rtl w:val="true"/>
        </w:rPr>
        <w:footnoteReference w:id="1383"/>
      </w:r>
    </w:p>
    <w:p>
      <w:pPr>
        <w:pStyle w:val="BookText"/>
        <w:rPr/>
      </w:pPr>
      <w:r>
        <w:rPr>
          <w:rFonts w:ascii="IRNazanin" w:hAnsi="IRNazanin" w:eastAsia="IRNazanin"/>
          <w:color w:val="111111"/>
          <w:sz w:val="28"/>
          <w:sz w:val="28"/>
          <w:szCs w:val="28"/>
          <w:rtl w:val="true"/>
          <w:lang w:bidi="fa-IR"/>
        </w:rPr>
        <w:t>الجواز وإن أمکن منعه 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وینبغی إلحاق الخوف علی العِرض بالشتم ونحوه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وجه لا یتحمّل عادةً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بالمال، بل هو أولی بالحفظ</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ویُقتَل مُدَّعی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نبیّنا صلی الله علیه و آله؛ لثبوت ختمه للأنبیاء من الدین ضرورةً، فیکون دعواها کفراً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الشاکّ فی نبوّة نبیّنا محمّد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فی صدقه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علی ظاهر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احترز به عن إنکار الکفّار لها کالیهود والنصاری، فإنّهم لا یُقتلون بذلک، وکذا غیرهم من فرق الکفّار وإن جاز قتلهم بأمر آخر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ویُقتل الساحر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من یعمل بالسحر وإن لم یکن مستحلّاً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مسلماً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ویُعزَّر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الساحر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النبیّ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ساحر المسلمین یُقتَل، وساحر الکفّار لا یقتل،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ولِمَ لا یُقتل ساحر الکفّار؟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الکفر أعظم من السحر، ولأنّ السحر والشرک مقرونان</w:t>
      </w:r>
      <w:r>
        <w:rPr>
          <w:rFonts w:eastAsia="IRNazanin" w:cs="IRNazanin"/>
          <w:color w:val="111111"/>
          <w:sz w:val="28"/>
          <w:szCs w:val="28"/>
          <w:rtl w:val="true"/>
          <w:lang w:bidi="fa-IR"/>
        </w:rPr>
        <w:t xml:space="preserve">» </w:t>
      </w:r>
      <w:r>
        <w:rPr>
          <w:rStyle w:val="FootnoteAnchor"/>
          <w:rtl w:val="true"/>
        </w:rPr>
        <w:footnoteReference w:id="13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ولو تاب الساحر قبل أن یقام علیه الحدّ سقط عنه القتل؛ لروایة إسحاق بن عمّار عن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علیّاً علیه السلام 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تعلّم شیئاً من السحر کان آخر عهده بربّه، وحدّه القتل إلّاأن یتوب</w:t>
      </w:r>
      <w:r>
        <w:rPr>
          <w:rFonts w:eastAsia="IRNazanin" w:cs="IRNazanin"/>
          <w:color w:val="111111"/>
          <w:sz w:val="28"/>
          <w:szCs w:val="28"/>
          <w:rtl w:val="true"/>
          <w:lang w:bidi="fa-IR"/>
        </w:rPr>
        <w:t xml:space="preserve">» </w:t>
      </w:r>
      <w:r>
        <w:rPr>
          <w:rStyle w:val="FootnoteAnchor"/>
          <w:rtl w:val="true"/>
        </w:rPr>
        <w:footnoteReference w:id="1385"/>
      </w:r>
      <w:r>
        <w:rPr>
          <w:rFonts w:ascii="IRNazanin" w:hAnsi="IRNazanin" w:eastAsia="IRNazanin"/>
          <w:color w:val="111111"/>
          <w:sz w:val="28"/>
          <w:sz w:val="28"/>
          <w:szCs w:val="28"/>
          <w:rtl w:val="true"/>
          <w:lang w:bidi="fa-IR"/>
        </w:rPr>
        <w:t xml:space="preserve">وقد تقدّم فی کتاب البیع تحقیق معنی السحر وما یحرم منه </w:t>
      </w:r>
      <w:r>
        <w:rPr>
          <w:rStyle w:val="FootnoteAnchor"/>
          <w:rtl w:val="true"/>
        </w:rPr>
        <w:footnoteReference w:id="1386"/>
      </w:r>
      <w:r>
        <w:rPr>
          <w:rFonts w:eastAsia="Times New Roman" w:cs="Times New Roman" w:ascii="Times New Roman" w:hAnsi="Times New Roman"/>
          <w:color w:val="111111"/>
          <w:sz w:val="28"/>
          <w:szCs w:val="28"/>
          <w:rtl w:val="true"/>
          <w:lang w:val="en-US" w:bidi="en-US"/>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وقاذف اُمّ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لم یتب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تاب لم تُقبل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فطرة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لا تُقبل توبته فی غیره</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والأقوی قبولها وإن لم یسقط عنه القتل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 ارتداده عن ملّة قُبل إجماعاً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بخلاف سابّ النبیّ صلی الله علیه و آله فإنّ ظاهر النصّ </w:t>
      </w:r>
      <w:r>
        <w:rPr>
          <w:rStyle w:val="FootnoteAnchor"/>
          <w:rtl w:val="true"/>
        </w:rPr>
        <w:footnoteReference w:id="1387"/>
      </w:r>
      <w:r>
        <w:rPr>
          <w:rFonts w:ascii="IRNazanin" w:hAnsi="IRNazanin" w:eastAsia="IRNazanin"/>
          <w:color w:val="111111"/>
          <w:sz w:val="28"/>
          <w:sz w:val="28"/>
          <w:szCs w:val="28"/>
          <w:rtl w:val="true"/>
          <w:lang w:bidi="fa-IR"/>
        </w:rPr>
        <w:t xml:space="preserve">والفتوی </w:t>
      </w:r>
      <w:r>
        <w:rPr>
          <w:rStyle w:val="FootnoteAnchor"/>
          <w:rtl w:val="true"/>
        </w:rPr>
        <w:footnoteReference w:id="1388"/>
      </w:r>
      <w:r>
        <w:rPr>
          <w:rFonts w:ascii="Amiri" w:hAnsi="Amiri" w:eastAsia="Amiri" w:cs="Amiri"/>
          <w:color w:val="111111"/>
          <w:sz w:val="28"/>
          <w:sz w:val="28"/>
          <w:szCs w:val="28"/>
          <w:rtl w:val="true"/>
          <w:lang w:bidi="ar-SA"/>
        </w:rPr>
        <w:t>وجوب قتله وإن 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قیّده هنا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وظاهرهم أنّ سابّ الإمام کذلک</w:t>
      </w:r>
      <w:r>
        <w:rPr>
          <w:rFonts w:eastAsia="Amiri" w:cs="Amiri" w:ascii="Amiri" w:hAnsi="Amiri"/>
          <w:color w:val="111111"/>
          <w:sz w:val="28"/>
          <w:szCs w:val="28"/>
          <w:rtl w:val="true"/>
          <w:lang w:bidi="ar-SA"/>
        </w:rPr>
        <w:t>.</w:t>
      </w:r>
      <w:bookmarkStart w:id="493" w:name="pg19815_253324"/>
    </w:p>
    <w:p>
      <w:pPr>
        <w:pStyle w:val="Heading3"/>
        <w:numPr>
          <w:ilvl w:val="2"/>
          <w:numId w:val="1"/>
        </w:numPr>
        <w:rPr/>
      </w:pPr>
      <w:bookmarkStart w:id="494" w:name="__RefHeading___Toc2228049_2314609296"/>
      <w:bookmarkStart w:id="495" w:name="_Toc187"/>
      <w:bookmarkEnd w:id="493"/>
      <w:bookmarkEnd w:id="494"/>
      <w:r>
        <w:rPr>
          <w:rtl w:val="true"/>
        </w:rPr>
        <w:t>«</w:t>
      </w:r>
      <w:r>
        <w:rPr>
          <w:rtl w:val="true"/>
        </w:rPr>
        <w:t>الفصل الرابع</w:t>
      </w:r>
      <w:r>
        <w:rPr>
          <w:rtl w:val="true"/>
        </w:rPr>
        <w:t>» «</w:t>
      </w:r>
      <w:r>
        <w:rPr>
          <w:rtl w:val="true"/>
        </w:rPr>
        <w:t>فی الشُرب</w:t>
      </w:r>
      <w:r>
        <w:rPr>
          <w:rtl w:val="true"/>
        </w:rPr>
        <w:t>»</w:t>
      </w:r>
      <w:bookmarkEnd w:id="495"/>
    </w:p>
    <w:p>
      <w:pPr>
        <w:pStyle w:val="Heading4"/>
        <w:numPr>
          <w:ilvl w:val="3"/>
          <w:numId w:val="1"/>
        </w:numPr>
        <w:rPr/>
      </w:pPr>
      <w:bookmarkStart w:id="496" w:name="__RefHeading___Toc2228051_2314609296"/>
      <w:bookmarkStart w:id="497" w:name="_Toc188"/>
      <w:bookmarkEnd w:id="496"/>
      <w:r>
        <w:rPr>
          <w:rtl w:val="true"/>
        </w:rPr>
        <w:t>اشارة</w:t>
      </w:r>
      <w:bookmarkEnd w:id="497"/>
    </w:p>
    <w:p>
      <w:pPr>
        <w:pStyle w:val="BookText"/>
        <w:rPr/>
      </w:pPr>
      <w:r>
        <w:rPr>
          <w:rFonts w:ascii="IRNazanin" w:hAnsi="IRNazanin" w:eastAsia="IRNazanin"/>
          <w:color w:val="111111"/>
          <w:sz w:val="28"/>
          <w:sz w:val="28"/>
          <w:szCs w:val="28"/>
          <w:rtl w:val="true"/>
          <w:lang w:bidi="fa-IR"/>
        </w:rPr>
        <w:t>أی شرب المسکر ولا یختصّ عندنا بالخمر، بل یحرم جنس کلّ مسکر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یختصّ التحریم بالقدر المسکر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أسکر جنسه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کان الغالب فیه الإسکار وإن لم یُسکر بعضَ الناس لإدمانه أو قلّة ما تناول منه، أو خروج مزاجه عن حدّ الاعتدال</w:t>
      </w:r>
    </w:p>
    <w:p>
      <w:pPr>
        <w:pStyle w:val="Heading4"/>
        <w:numPr>
          <w:ilvl w:val="3"/>
          <w:numId w:val="1"/>
        </w:numPr>
        <w:rPr/>
      </w:pPr>
      <w:bookmarkStart w:id="498" w:name="__RefHeading___Toc2228053_2314609296"/>
      <w:bookmarkStart w:id="499" w:name="_Toc189"/>
      <w:bookmarkEnd w:id="498"/>
      <w:r>
        <w:rPr>
          <w:rtl w:val="true"/>
        </w:rPr>
        <w:t>[</w:t>
      </w:r>
      <w:r>
        <w:rPr>
          <w:rtl w:val="true"/>
        </w:rPr>
        <w:t>ما یحرم شربه من المسکرات</w:t>
      </w:r>
      <w:r>
        <w:rPr>
          <w:rtl w:val="true"/>
        </w:rPr>
        <w:t>]</w:t>
      </w:r>
      <w:bookmarkEnd w:id="49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القطرة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فوقها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لم یُسکر؛ لأنّه عندنا بمنزلة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بعض الأخبار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خمر مجهول</w:t>
      </w:r>
      <w:r>
        <w:rPr>
          <w:rFonts w:eastAsia="IRNazanin" w:cs="IRNazanin"/>
          <w:color w:val="111111"/>
          <w:sz w:val="28"/>
          <w:szCs w:val="28"/>
          <w:rtl w:val="true"/>
          <w:lang w:bidi="fa-IR"/>
        </w:rPr>
        <w:t xml:space="preserve">» </w:t>
      </w:r>
      <w:r>
        <w:rPr>
          <w:rStyle w:val="FootnoteAnchor"/>
          <w:rtl w:val="true"/>
        </w:rPr>
        <w:footnoteReference w:id="1389"/>
      </w:r>
      <w:r>
        <w:rPr>
          <w:rFonts w:ascii="IRNazanin" w:hAnsi="IRNazanin" w:eastAsia="IRNazanin"/>
          <w:color w:val="111111"/>
          <w:sz w:val="28"/>
          <w:sz w:val="28"/>
          <w:szCs w:val="28"/>
          <w:rtl w:val="true"/>
          <w:lang w:bidi="fa-IR"/>
        </w:rPr>
        <w:t>وفی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خمر استصغره الناس</w:t>
      </w:r>
      <w:r>
        <w:rPr>
          <w:rFonts w:eastAsia="IRNazanin" w:cs="IRNazanin"/>
          <w:color w:val="111111"/>
          <w:sz w:val="28"/>
          <w:szCs w:val="28"/>
          <w:rtl w:val="true"/>
          <w:lang w:bidi="fa-IR"/>
        </w:rPr>
        <w:t xml:space="preserve">» </w:t>
      </w:r>
      <w:r>
        <w:rPr>
          <w:rStyle w:val="FootnoteAnchor"/>
          <w:rtl w:val="true"/>
        </w:rPr>
        <w:footnoteReference w:id="13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ولا یختصّ التحریم بتناولهما صرفاً، بل یحرمان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مُزِجا بغیرهما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استهلکا بالمزج</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یحرم عندنا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غلی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صار أسفله أعلاه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واشتدّ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أخذ فی القوام وإن 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ویتحقّق ذلک بمسمّی الغلیان إذا کان بالنار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واعلم أنّ النصوص </w:t>
      </w:r>
      <w:r>
        <w:rPr>
          <w:rStyle w:val="FootnoteAnchor"/>
          <w:rtl w:val="true"/>
        </w:rPr>
        <w:footnoteReference w:id="1391"/>
      </w:r>
      <w:r>
        <w:rPr>
          <w:rFonts w:ascii="IRNazanin" w:hAnsi="IRNazanin" w:eastAsia="IRNazanin"/>
          <w:color w:val="111111"/>
          <w:sz w:val="28"/>
          <w:sz w:val="28"/>
          <w:szCs w:val="28"/>
          <w:rtl w:val="true"/>
          <w:lang w:bidi="fa-IR"/>
        </w:rPr>
        <w:t xml:space="preserve">وفتوی الأصحاب </w:t>
      </w:r>
      <w:r>
        <w:rPr>
          <w:rStyle w:val="FootnoteAnchor"/>
          <w:rtl w:val="true"/>
        </w:rPr>
        <w:footnoteReference w:id="1392"/>
      </w:r>
      <w:r>
        <w:rPr>
          <w:rFonts w:ascii="IRNazanin" w:hAnsi="IRNazanin" w:eastAsia="IRNazanin"/>
          <w:color w:val="111111"/>
          <w:sz w:val="28"/>
          <w:sz w:val="28"/>
          <w:szCs w:val="28"/>
          <w:rtl w:val="true"/>
          <w:lang w:bidi="fa-IR"/>
        </w:rPr>
        <w:t xml:space="preserve">ومنهم المصنّف فی غیر هذه العبارة </w:t>
      </w:r>
      <w:r>
        <w:rPr>
          <w:rStyle w:val="FootnoteAnchor"/>
          <w:rtl w:val="true"/>
        </w:rPr>
        <w:footnoteReference w:id="1393"/>
      </w:r>
      <w:r>
        <w:rPr>
          <w:rFonts w:ascii="IRNazanin" w:hAnsi="IRNazanin" w:eastAsia="IRNazanin"/>
          <w:color w:val="111111"/>
          <w:sz w:val="28"/>
          <w:sz w:val="28"/>
          <w:szCs w:val="28"/>
          <w:rtl w:val="true"/>
          <w:lang w:bidi="fa-IR"/>
        </w:rPr>
        <w:t>مصرّحة بأنّ تحریم العصیر معلَّق علی غلیانه من غیر اشتراط اشتداده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من حکم بنجاسته جعل النجاسة مشروطة بالأمرین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والمصنّف هنا جعل التحریم مشروطاً بهما، ولعلّه بناه </w:t>
      </w:r>
      <w:r>
        <w:rPr>
          <w:rStyle w:val="FootnoteAnchor"/>
          <w:rtl w:val="true"/>
        </w:rPr>
        <w:footnoteReference w:id="1394"/>
      </w:r>
      <w:r>
        <w:rPr>
          <w:rFonts w:ascii="IRNazanin" w:hAnsi="IRNazanin" w:eastAsia="IRNazanin"/>
          <w:color w:val="111111"/>
          <w:sz w:val="28"/>
          <w:sz w:val="28"/>
          <w:szCs w:val="28"/>
          <w:rtl w:val="true"/>
          <w:lang w:bidi="fa-IR"/>
        </w:rPr>
        <w:t xml:space="preserve">علی ما ادّعاه فی الذکری من تلازم الوصفین </w:t>
      </w:r>
      <w:r>
        <w:rPr>
          <w:rStyle w:val="FootnoteAnchor"/>
          <w:rtl w:val="true"/>
        </w:rPr>
        <w:footnoteReference w:id="1395"/>
      </w:r>
      <w:r>
        <w:rPr>
          <w:rFonts w:ascii="Amiri" w:hAnsi="Amiri" w:eastAsia="Amiri" w:cs="Amiri"/>
          <w:color w:val="111111"/>
          <w:sz w:val="28"/>
          <w:sz w:val="28"/>
          <w:szCs w:val="28"/>
          <w:rtl w:val="true"/>
          <w:lang w:bidi="ar-SA"/>
        </w:rPr>
        <w:t>وأنّ الاشتداد مسبَّب عن مسمّی الغلیان، فیکون قید الاشتداد هنا مؤکِّداً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وفیه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والحقّ أنّ تلازمهما مشروط بکون الغلیان بالنار کما ذکرناه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لو غلی وانقلب بنفسه فاشتداده بذلک غیر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وکیف کان، فلا وجه لاشتراط الاشتداد فی التحریم، لما ذکرناه من إطلاق النصوص بتعلیقه علی الغلیان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والاشتداد وإن سُلّم ملازمته لا دخل له فی سببیّة التحریم</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ویمکن أن تکون النکتة فی ذکر المصنّف له اتّفاق القائل بنجاسته علی اشتراطه فیها، مع أ نّه لا دلیل ظاهراً علی ذلک مطلقاً کما اعترف به المصنّف فی غیر هذا الکتاب </w:t>
      </w:r>
      <w:r>
        <w:rPr>
          <w:rStyle w:val="FootnoteAnchor"/>
          <w:rtl w:val="true"/>
        </w:rPr>
        <w:footnoteReference w:id="1396"/>
      </w:r>
      <w:r>
        <w:rPr>
          <w:rFonts w:ascii="IRNazanin" w:hAnsi="IRNazanin" w:eastAsia="IRNazanin"/>
          <w:color w:val="111111"/>
          <w:sz w:val="28"/>
          <w:sz w:val="28"/>
          <w:szCs w:val="28"/>
          <w:rtl w:val="true"/>
          <w:lang w:bidi="fa-IR"/>
        </w:rPr>
        <w:t>إلّاأن یجعلوا الحکم بتحریمه دلیلاً علی نجاسته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ینجس </w:t>
      </w:r>
      <w:r>
        <w:rPr>
          <w:rStyle w:val="FootnoteAnchor"/>
          <w:rtl w:val="true"/>
        </w:rPr>
        <w:footnoteReference w:id="1397"/>
      </w:r>
      <w:r>
        <w:rPr>
          <w:rFonts w:ascii="IRNazanin" w:hAnsi="IRNazanin" w:eastAsia="IRNazanin"/>
          <w:color w:val="111111"/>
          <w:sz w:val="28"/>
          <w:sz w:val="28"/>
          <w:szCs w:val="28"/>
          <w:rtl w:val="true"/>
          <w:lang w:bidi="fa-IR"/>
        </w:rPr>
        <w:t>العصیر لمّا صار خمراً وحرم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وحینئذٍ فتکون نجاسته مع الاشتداد</w:t>
      </w:r>
    </w:p>
    <w:p>
      <w:pPr>
        <w:pStyle w:val="BookText"/>
        <w:rPr/>
      </w:pPr>
      <w:r>
        <w:rPr>
          <w:rFonts w:ascii="IRNazanin" w:hAnsi="IRNazanin" w:eastAsia="IRNazanin"/>
          <w:color w:val="111111"/>
          <w:sz w:val="28"/>
          <w:sz w:val="28"/>
          <w:szCs w:val="28"/>
          <w:rtl w:val="true"/>
          <w:lang w:bidi="fa-IR"/>
        </w:rPr>
        <w:t>یقتضی الحکم بتحریمه معه؛ لأنّها مرتّبة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وحیث صرّحوا باعتبار الاشتداد فی النجاسة </w:t>
      </w:r>
      <w:r>
        <w:rPr>
          <w:rStyle w:val="FootnoteAnchor"/>
          <w:rtl w:val="true"/>
        </w:rPr>
        <w:footnoteReference w:id="1398"/>
      </w:r>
      <w:r>
        <w:rPr>
          <w:rFonts w:ascii="IRNazanin" w:hAnsi="IRNazanin" w:eastAsia="IRNazanin"/>
          <w:color w:val="111111"/>
          <w:sz w:val="28"/>
          <w:sz w:val="28"/>
          <w:szCs w:val="28"/>
          <w:rtl w:val="true"/>
          <w:lang w:bidi="fa-IR"/>
        </w:rPr>
        <w:t xml:space="preserve">وأطلقوا القول بالتحریم بمجرّد الغلیان </w:t>
      </w:r>
      <w:r>
        <w:rPr>
          <w:rStyle w:val="FootnoteAnchor"/>
          <w:rtl w:val="true"/>
        </w:rPr>
        <w:footnoteReference w:id="1399"/>
      </w:r>
      <w:r>
        <w:rPr>
          <w:rFonts w:ascii="IRNazanin" w:hAnsi="IRNazanin" w:eastAsia="IRNazanin"/>
          <w:color w:val="111111"/>
          <w:sz w:val="28"/>
          <w:sz w:val="28"/>
          <w:szCs w:val="28"/>
          <w:rtl w:val="true"/>
          <w:lang w:bidi="fa-IR"/>
        </w:rPr>
        <w:t>لزم أحد الأمرین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إمّا القول بعدم ترتّب النجاسة علی التحریم، أو القول بتلازم الاشتداد والغلیان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لمّا لم یظهر للنجاسة دلیل سوی التحریم الموجب لظنّ کونه کالخمر وغیره من الربوبات المسکرة لزم اشتراک التحریم والنجاسة فی معنی واحد وهو الغلیان مع الاشتداد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کانا متلازمین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ادّعاه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ینافِ تعلیق التحریم علی الغلیان تعلیقَه علی الاشتداد؛ للتلازم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فی التصریح بتعلیقه علیهما تنبیه علی مأخذ الحکم، وجمع بین ما أطلقوه فی التحریم وقیّدوه فی النجاسة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حسن لو کان صالحاً لدلیل النجاسة، إلّاأنّ عدم دلالته أظهر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المصنّف فی البیان </w:t>
      </w:r>
      <w:r>
        <w:rPr>
          <w:rStyle w:val="FootnoteAnchor"/>
          <w:rtl w:val="true"/>
        </w:rPr>
        <w:footnoteReference w:id="1400"/>
      </w:r>
      <w:r>
        <w:rPr>
          <w:rFonts w:ascii="IRNazanin" w:hAnsi="IRNazanin" w:eastAsia="IRNazanin"/>
          <w:color w:val="111111"/>
          <w:sz w:val="28"/>
          <w:sz w:val="28"/>
          <w:szCs w:val="28"/>
          <w:rtl w:val="true"/>
          <w:lang w:bidi="fa-IR"/>
        </w:rPr>
        <w:t>اعترف بأ نّه لا دلیل علی نجاسته إلّاما دلّ علی نجاسة المسکر وإن لم یکن مسکراً، فرتّب بحثَه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یحرم العصیر بالغلیان إذا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یذهب ثلثاه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انقلب خَلّاً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فمتی تحقّق أحدهما حلّ وتبعته الطهارة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منطوق النصوص </w:t>
      </w:r>
      <w:r>
        <w:rPr>
          <w:rStyle w:val="FootnoteAnchor"/>
          <w:rtl w:val="true"/>
        </w:rPr>
        <w:footnoteReference w:id="1401"/>
      </w:r>
      <w:r>
        <w:rPr>
          <w:rFonts w:eastAsia="Times New Roman" w:cs="Times New Roman" w:ascii="Times New Roman" w:hAnsi="Times New Roman"/>
          <w:color w:val="111111"/>
          <w:sz w:val="28"/>
          <w:szCs w:val="28"/>
          <w:rtl w:val="true"/>
          <w:lang w:val="en-US" w:bidi="en-US"/>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فللانقلاب إلی حقیقة اُخری وهی مُطهِّرة، کما لو انقلب الخمر</w:t>
      </w:r>
      <w:bookmarkStart w:id="500" w:name="pg19815_253327"/>
    </w:p>
    <w:p>
      <w:pPr>
        <w:pStyle w:val="BookText"/>
        <w:rPr/>
      </w:pPr>
      <w:bookmarkEnd w:id="500"/>
      <w:r>
        <w:rPr>
          <w:rFonts w:ascii="IRNazanin" w:hAnsi="IRNazanin" w:eastAsia="IRNazanin"/>
          <w:color w:val="111111"/>
          <w:sz w:val="28"/>
          <w:sz w:val="28"/>
          <w:szCs w:val="28"/>
          <w:rtl w:val="true"/>
          <w:lang w:bidi="fa-IR"/>
        </w:rPr>
        <w:t>خلّاً مع قوّة نجاسته بالإضافة إلی العصیر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صار دبساً قبل ذهاب الثلثین ففی طهره 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أجودهما العدم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 نّه فرض نادر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عملاً بالاستصحاب مع الشکّ فی کون مثل ذلک مطهِّراً</w:t>
      </w:r>
      <w:r>
        <w:rPr>
          <w:rFonts w:eastAsia="IRNazanin" w:cs="IRNazanin"/>
          <w:color w:val="111111"/>
          <w:sz w:val="28"/>
          <w:szCs w:val="28"/>
          <w:rtl w:val="true"/>
          <w:lang w:bidi="fa-IR"/>
        </w:rPr>
        <w:t>.</w:t>
      </w:r>
    </w:p>
    <w:p>
      <w:pPr>
        <w:pStyle w:val="Heading4"/>
        <w:numPr>
          <w:ilvl w:val="3"/>
          <w:numId w:val="1"/>
        </w:numPr>
        <w:rPr/>
      </w:pPr>
      <w:bookmarkStart w:id="501" w:name="__RefHeading___Toc2228055_2314609296"/>
      <w:bookmarkStart w:id="502" w:name="_Toc190"/>
      <w:bookmarkEnd w:id="501"/>
      <w:r>
        <w:rPr>
          <w:rtl w:val="true"/>
        </w:rPr>
        <w:t>[</w:t>
      </w:r>
      <w:r>
        <w:rPr>
          <w:rtl w:val="true"/>
        </w:rPr>
        <w:t>حد الشرب و احکامه</w:t>
      </w:r>
      <w:r>
        <w:rPr>
          <w:rtl w:val="true"/>
        </w:rPr>
        <w:t>]</w:t>
      </w:r>
      <w:bookmarkEnd w:id="50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ویجب الحدّ ثمانون جَلدة بتناوله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تناول شیء ممّا ذکر من المسکر والفقّاع والعصیر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إلحاق الحشیشة بها قول </w:t>
      </w:r>
      <w:r>
        <w:rPr>
          <w:rStyle w:val="FootnoteAnchor"/>
          <w:rtl w:val="true"/>
        </w:rPr>
        <w:footnoteReference w:id="1402"/>
      </w:r>
      <w:r>
        <w:rPr>
          <w:rFonts w:ascii="IRNazanin" w:hAnsi="IRNazanin" w:eastAsia="IRNazanin"/>
          <w:color w:val="111111"/>
          <w:sz w:val="28"/>
          <w:sz w:val="28"/>
          <w:szCs w:val="28"/>
          <w:rtl w:val="true"/>
          <w:lang w:bidi="fa-IR"/>
        </w:rPr>
        <w:t xml:space="preserve">حسن مع بلوغ المتناوِل وعقله واختیاره وعلمه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کان کافراً إذا تظاهر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لو استتر أو کان صبیّاً أو مجنوناً أو مکرَهاً أو مضطرّاً لحفظ الرمق أو جاهلاً بجنسه أو تحریمه فلا 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وسیأتی التنبیه علی بعض القیود </w:t>
      </w:r>
      <w:r>
        <w:rPr>
          <w:rStyle w:val="FootnoteAnchor"/>
          <w:rtl w:val="true"/>
        </w:rPr>
        <w:footnoteReference w:id="14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ولا فرق فی وجوب الثمانین بین الحرّ والعبد علی الأشهر، لروایة أبی بصیر </w:t>
      </w:r>
      <w:r>
        <w:rPr>
          <w:rStyle w:val="FootnoteAnchor"/>
          <w:rtl w:val="true"/>
        </w:rPr>
        <w:footnoteReference w:id="1404"/>
      </w:r>
      <w:r>
        <w:rPr>
          <w:rFonts w:ascii="IRNazanin" w:hAnsi="IRNazanin" w:eastAsia="IRNazanin"/>
          <w:color w:val="111111"/>
          <w:sz w:val="28"/>
          <w:sz w:val="28"/>
          <w:szCs w:val="28"/>
          <w:rtl w:val="true"/>
          <w:lang w:bidi="fa-IR"/>
        </w:rPr>
        <w:t xml:space="preserve">وبرید بن معاویة </w:t>
      </w:r>
      <w:r>
        <w:rPr>
          <w:rStyle w:val="FootnoteAnchor"/>
          <w:rtl w:val="true"/>
        </w:rPr>
        <w:footnoteReference w:id="1405"/>
      </w:r>
      <w:r>
        <w:rPr>
          <w:rFonts w:ascii="IRNazanin" w:hAnsi="IRNazanin" w:eastAsia="IRNazanin"/>
          <w:color w:val="111111"/>
          <w:sz w:val="28"/>
          <w:sz w:val="28"/>
          <w:szCs w:val="28"/>
          <w:rtl w:val="true"/>
          <w:lang w:bidi="fa-IR"/>
        </w:rPr>
        <w:t xml:space="preserve">وزرارة عن الصادق علیه السلام </w:t>
      </w:r>
      <w:r>
        <w:rPr>
          <w:rStyle w:val="FootnoteAnchor"/>
          <w:rtl w:val="true"/>
        </w:rPr>
        <w:footnoteReference w:id="1406"/>
      </w:r>
      <w:r>
        <w:rPr>
          <w:rFonts w:eastAsia="Times New Roman" w:cs="Times New Roman" w:ascii="Times New Roman" w:hAnsi="Times New Roman"/>
          <w:color w:val="111111"/>
          <w:sz w:val="28"/>
          <w:szCs w:val="28"/>
          <w:rtl w:val="true"/>
          <w:lang w:val="en-US" w:bidi="en-US"/>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العبد 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بأربعین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جلدة </w:t>
      </w:r>
      <w:r>
        <w:rPr>
          <w:rStyle w:val="FootnoteAnchor"/>
          <w:rtl w:val="true"/>
        </w:rPr>
        <w:footnoteReference w:id="1407"/>
      </w:r>
      <w:r>
        <w:rPr>
          <w:rFonts w:ascii="IRNazanin" w:hAnsi="IRNazanin" w:eastAsia="IRNazanin"/>
          <w:color w:val="111111"/>
          <w:sz w:val="28"/>
          <w:sz w:val="28"/>
          <w:szCs w:val="28"/>
          <w:rtl w:val="true"/>
          <w:lang w:bidi="fa-IR"/>
        </w:rPr>
        <w:t>نصف الحرّ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ونفی عنه فی المختلف البأس </w:t>
      </w:r>
      <w:r>
        <w:rPr>
          <w:rStyle w:val="FootnoteAnchor"/>
          <w:rtl w:val="true"/>
        </w:rPr>
        <w:footnoteReference w:id="1408"/>
      </w:r>
      <w:r>
        <w:rPr>
          <w:rFonts w:ascii="IRNazanin" w:hAnsi="IRNazanin" w:eastAsia="IRNazanin"/>
          <w:color w:val="111111"/>
          <w:sz w:val="28"/>
          <w:sz w:val="28"/>
          <w:szCs w:val="28"/>
          <w:rtl w:val="true"/>
          <w:lang w:bidi="fa-IR"/>
        </w:rPr>
        <w:t xml:space="preserve">وقوّاه المصنّف فی بعض تحقیقاته </w:t>
      </w:r>
      <w:r>
        <w:rPr>
          <w:rStyle w:val="FootnoteAnchor"/>
          <w:rtl w:val="true"/>
        </w:rPr>
        <w:footnoteReference w:id="1409"/>
      </w:r>
      <w:r>
        <w:rPr>
          <w:rFonts w:ascii="IRNazanin" w:hAnsi="IRNazanin" w:eastAsia="IRNazanin"/>
          <w:color w:val="111111"/>
          <w:sz w:val="28"/>
          <w:sz w:val="28"/>
          <w:szCs w:val="28"/>
          <w:rtl w:val="true"/>
          <w:lang w:bidi="fa-IR"/>
        </w:rPr>
        <w:t>لروایة أبی بکر الحضرمی عن أبی عبد اللّٰه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عبد مملوک قذف حرّاً،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یحدّ ثمانین، هذا من حقوق المسلمین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ما کان من حقوق اللّٰه عزّ وجلّ فإنّه یُضرَب نصف الحدّ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من حقوق اللّٰه عزّ وجلّ ما هو؟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زنی أو شرب الخمر فهذا من الحقوق التی یُضرَب فیها نصف الحدّ</w:t>
      </w:r>
      <w:r>
        <w:rPr>
          <w:rFonts w:eastAsia="Amiri" w:cs="Amiri" w:ascii="Amiri" w:hAnsi="Amiri"/>
          <w:color w:val="111111"/>
          <w:sz w:val="28"/>
          <w:szCs w:val="28"/>
          <w:rtl w:val="true"/>
          <w:lang w:bidi="ar-SA"/>
        </w:rPr>
        <w:t xml:space="preserve">» </w:t>
      </w:r>
      <w:r>
        <w:rPr>
          <w:rStyle w:val="FootnoteAnchor"/>
          <w:rtl w:val="true"/>
        </w:rPr>
        <w:footnoteReference w:id="14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وحمله الشیخ علی التقیّة </w:t>
      </w:r>
      <w:r>
        <w:rPr>
          <w:rStyle w:val="FootnoteAnchor"/>
          <w:rtl w:val="true"/>
        </w:rPr>
        <w:footnoteReference w:id="14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وروی یحیی بن أبی العلا عنه علیه السلام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 المملوک نصف حدّ الحرّ</w:t>
      </w:r>
      <w:r>
        <w:rPr>
          <w:rFonts w:eastAsia="IRNazanin" w:cs="IRNazanin"/>
          <w:color w:val="111111"/>
          <w:sz w:val="28"/>
          <w:szCs w:val="28"/>
          <w:rtl w:val="true"/>
          <w:lang w:bidi="fa-IR"/>
        </w:rPr>
        <w:t xml:space="preserve">» </w:t>
      </w:r>
      <w:r>
        <w:rPr>
          <w:rStyle w:val="FootnoteAnchor"/>
          <w:rtl w:val="true"/>
        </w:rPr>
        <w:footnoteReference w:id="1412"/>
      </w:r>
      <w:r>
        <w:rPr>
          <w:rFonts w:ascii="IRNazanin" w:hAnsi="IRNazanin" w:eastAsia="IRNazanin"/>
          <w:color w:val="111111"/>
          <w:sz w:val="28"/>
          <w:sz w:val="28"/>
          <w:szCs w:val="28"/>
          <w:rtl w:val="true"/>
          <w:lang w:bidi="fa-IR"/>
        </w:rPr>
        <w:t>من غیر تفصیل، وخصّه بحدّ الزنا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الأحادیث من الطرفین غیر نقیّة الإسناد وأنّ خبر التنصیف </w:t>
      </w:r>
      <w:r>
        <w:rPr>
          <w:rStyle w:val="FootnoteAnchor"/>
          <w:rtl w:val="true"/>
        </w:rPr>
        <w:footnoteReference w:id="1413"/>
      </w:r>
      <w:r>
        <w:rPr>
          <w:rFonts w:ascii="Amiri" w:hAnsi="Amiri" w:eastAsia="Amiri" w:cs="Amiri"/>
          <w:color w:val="111111"/>
          <w:sz w:val="28"/>
          <w:sz w:val="28"/>
          <w:szCs w:val="28"/>
          <w:rtl w:val="true"/>
          <w:lang w:bidi="ar-SA"/>
        </w:rPr>
        <w:t>أوضح، وأخبار المساواة أشهر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ویُضرب الشارب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فی معناه </w:t>
      </w:r>
      <w:r>
        <w:rPr>
          <w:rStyle w:val="FootnoteAnchor"/>
          <w:rtl w:val="true"/>
        </w:rPr>
        <w:footnoteReference w:id="14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مستورَ العورة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ظهره وکتفیه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وسائر جسده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ویُتّقی وجهه وفرجه ومقاتِله، ویُفرَّق الضرب علی جسده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ما ذکر</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تکرّر الحدّ قتل فی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رواه الصدوق فی الفقیه مرسلاً أ نّه یقتل فی الرابعة </w:t>
      </w:r>
      <w:r>
        <w:rPr>
          <w:rStyle w:val="FootnoteAnchor"/>
          <w:rtl w:val="true"/>
        </w:rPr>
        <w:footnoteReference w:id="1415"/>
      </w:r>
      <w:r>
        <w:rPr>
          <w:rFonts w:ascii="IRNazanin" w:hAnsi="IRNazanin" w:eastAsia="IRNazanin"/>
          <w:color w:val="111111"/>
          <w:sz w:val="28"/>
          <w:sz w:val="28"/>
          <w:szCs w:val="28"/>
          <w:rtl w:val="true"/>
          <w:lang w:bidi="fa-IR"/>
        </w:rPr>
        <w:t xml:space="preserve">ولأنّ الزنا أعظم منه ذنباً وفاعله یقتل فی الرابعة، کما مضی </w:t>
      </w:r>
      <w:r>
        <w:rPr>
          <w:rStyle w:val="FootnoteAnchor"/>
          <w:rtl w:val="true"/>
        </w:rPr>
        <w:footnoteReference w:id="1416"/>
      </w:r>
    </w:p>
    <w:p>
      <w:pPr>
        <w:pStyle w:val="BookText"/>
        <w:rPr/>
      </w:pPr>
      <w:r>
        <w:rPr>
          <w:rFonts w:ascii="IRNazanin" w:hAnsi="IRNazanin" w:eastAsia="IRNazanin"/>
          <w:color w:val="111111"/>
          <w:sz w:val="28"/>
          <w:sz w:val="28"/>
          <w:szCs w:val="28"/>
          <w:rtl w:val="true"/>
          <w:lang w:bidi="fa-IR"/>
        </w:rPr>
        <w:t>فهنا 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وذهب الأکثر إلی قتله فی الثالثة </w:t>
      </w:r>
      <w:r>
        <w:rPr>
          <w:rStyle w:val="FootnoteAnchor"/>
          <w:rtl w:val="true"/>
        </w:rPr>
        <w:footnoteReference w:id="1417"/>
      </w:r>
      <w:r>
        <w:rPr>
          <w:rFonts w:ascii="IRNazanin" w:hAnsi="IRNazanin" w:eastAsia="IRNazanin"/>
          <w:color w:val="111111"/>
          <w:sz w:val="28"/>
          <w:sz w:val="28"/>
          <w:szCs w:val="28"/>
          <w:rtl w:val="true"/>
          <w:lang w:bidi="fa-IR"/>
        </w:rPr>
        <w:t xml:space="preserve">للأخبار الکثیرة الصحیحة الصریحة فی ذلک بخصوصه </w:t>
      </w:r>
      <w:r>
        <w:rPr>
          <w:rStyle w:val="FootnoteAnchor"/>
          <w:rtl w:val="true"/>
        </w:rPr>
        <w:footnoteReference w:id="1418"/>
      </w:r>
      <w:r>
        <w:rPr>
          <w:rFonts w:ascii="IRNazanin" w:hAnsi="IRNazanin" w:eastAsia="IRNazanin"/>
          <w:color w:val="111111"/>
          <w:sz w:val="28"/>
          <w:sz w:val="28"/>
          <w:szCs w:val="28"/>
          <w:rtl w:val="true"/>
          <w:lang w:bidi="fa-IR"/>
        </w:rPr>
        <w:t>وصحیحة یونس عن الکاظم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یُقتل أصحاب الکبائر کلّهم فی الثالثة إذا اُقیم علیهم الحدّ مرّتین</w:t>
      </w:r>
      <w:r>
        <w:rPr>
          <w:rFonts w:eastAsia="IRNazanin" w:cs="IRNazanin"/>
          <w:color w:val="111111"/>
          <w:sz w:val="28"/>
          <w:szCs w:val="28"/>
          <w:rtl w:val="true"/>
          <w:lang w:bidi="fa-IR"/>
        </w:rPr>
        <w:t xml:space="preserve">» </w:t>
      </w:r>
      <w:r>
        <w:rPr>
          <w:rStyle w:val="FootnoteAnchor"/>
          <w:rtl w:val="true"/>
        </w:rPr>
        <w:footnoteReference w:id="1419"/>
      </w:r>
      <w:r>
        <w:rPr>
          <w:rFonts w:ascii="IRNazanin" w:hAnsi="IRNazanin" w:eastAsia="IRNazanin"/>
          <w:color w:val="111111"/>
          <w:sz w:val="28"/>
          <w:sz w:val="28"/>
          <w:szCs w:val="28"/>
          <w:rtl w:val="true"/>
          <w:lang w:bidi="fa-IR"/>
        </w:rPr>
        <w:t>وهذا أقوی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والمرسل غیر مقبول مطلقاً، خصوصاً مع معارضة 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ویُمنع قتل الزانی فی الرابعة، وقد تقدّم </w:t>
      </w:r>
      <w:r>
        <w:rPr>
          <w:rStyle w:val="FootnoteAnchor"/>
          <w:rtl w:val="true"/>
        </w:rPr>
        <w:footnoteReference w:id="14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شرب مراراً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یُحدّ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کغیره ممّا یوجب الحدّ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ویُقتل مستحلّ الخمر إذا کان عن فطرة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یستتاب؛ لأنّه مرتدّ من حیث إنکاره ما عُلِم من دین الإسلام ضرورة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والقائل الشیخان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یستتاب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شاربها عن فطرة، فإن تاب، وإلّا قتل </w:t>
      </w:r>
      <w:r>
        <w:rPr>
          <w:rStyle w:val="FootnoteAnchor"/>
          <w:rtl w:val="true"/>
        </w:rPr>
        <w:footnoteReference w:id="1421"/>
      </w:r>
      <w:r>
        <w:rPr>
          <w:rFonts w:ascii="IRNazanin" w:hAnsi="IRNazanin" w:eastAsia="IRNazanin"/>
          <w:color w:val="111111"/>
          <w:sz w:val="28"/>
          <w:sz w:val="28"/>
          <w:szCs w:val="28"/>
          <w:rtl w:val="true"/>
          <w:lang w:bidi="fa-IR"/>
        </w:rPr>
        <w:t>والأقوی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کان عن ملّة استتیب قطعاً کالارتداد بغیره، فإن تاب وإلّا 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وتستتاب المرأة مطلقاً</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وکذا یستتاب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استحلّ بیعها، فإن امتنع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التوبة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أطلقه المصنّف وغیره </w:t>
      </w:r>
      <w:r>
        <w:rPr>
          <w:rStyle w:val="FootnoteAnchor"/>
          <w:rtl w:val="true"/>
        </w:rPr>
        <w:footnoteReference w:id="1422"/>
      </w:r>
      <w:r>
        <w:rPr>
          <w:rFonts w:ascii="IRNazanin" w:hAnsi="IRNazanin" w:eastAsia="IRNazanin"/>
          <w:color w:val="111111"/>
          <w:sz w:val="28"/>
          <w:sz w:val="28"/>
          <w:szCs w:val="28"/>
          <w:rtl w:val="true"/>
          <w:lang w:bidi="fa-IR"/>
        </w:rPr>
        <w:t>من غیر فرق بین الفطری والملّی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باعها</w:t>
      </w:r>
    </w:p>
    <w:p>
      <w:pPr>
        <w:pStyle w:val="BookText"/>
        <w:rPr/>
      </w:pPr>
      <w:r>
        <w:rPr>
          <w:rFonts w:ascii="Amiri" w:hAnsi="Amiri" w:eastAsia="Amiri" w:cs="Amiri"/>
          <w:color w:val="111111"/>
          <w:sz w:val="28"/>
          <w:sz w:val="28"/>
          <w:szCs w:val="28"/>
          <w:rtl w:val="true"/>
          <w:lang w:bidi="ar-SA"/>
        </w:rPr>
        <w:t>غیر مستحلّ عُزّر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یُقتل مستحلّ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غیر الخمر من المسکرات، للخلاف فیه بین المسلمین، وهو کافٍ فی عدم کفر مستحلّه وإن أجمعنا علی تحریمه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وربما قیل بإلحاقه بالخمر </w:t>
      </w:r>
      <w:r>
        <w:rPr>
          <w:rStyle w:val="FootnoteAnchor"/>
          <w:rtl w:val="true"/>
        </w:rPr>
        <w:footnoteReference w:id="1423"/>
      </w:r>
      <w:r>
        <w:rPr>
          <w:rFonts w:ascii="IRNazanin" w:hAnsi="IRNazanin" w:eastAsia="IRNazanin"/>
          <w:color w:val="111111"/>
          <w:sz w:val="28"/>
          <w:sz w:val="28"/>
          <w:szCs w:val="28"/>
          <w:rtl w:val="true"/>
          <w:lang w:bidi="fa-IR"/>
        </w:rPr>
        <w:t>وهو نادر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وأولی بالعدم مستحلّ بیعه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تاب الشارب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للمسکر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قیام البیّنة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سقط الحدّ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یسقط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 لو کانت توبته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بعد قیام البیّنة؛ لأصالة البقاء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تقدّم مثله </w:t>
      </w:r>
      <w:r>
        <w:rPr>
          <w:rStyle w:val="FootnoteAnchor"/>
          <w:rtl w:val="true"/>
        </w:rPr>
        <w:footnoteReference w:id="14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إقراره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بالشرب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یتخیّر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إقامته علیه والعفو؛ لأنّ التوبة إذا أسقطت تحتُّمَ أقوی العقوبتین وهو القتل، فإسقاطها لأدناهما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یختصّ الحکم بما یوجب القتل، ویتحتّم هنا استیفاؤه </w:t>
      </w:r>
      <w:r>
        <w:rPr>
          <w:rStyle w:val="FootnoteAnchor"/>
          <w:rtl w:val="true"/>
        </w:rPr>
        <w:footnoteReference w:id="1425"/>
      </w:r>
      <w:r>
        <w:rPr>
          <w:rFonts w:ascii="IRNazanin" w:hAnsi="IRNazanin" w:eastAsia="IRNazanin"/>
          <w:color w:val="111111"/>
          <w:sz w:val="28"/>
          <w:sz w:val="28"/>
          <w:szCs w:val="28"/>
          <w:rtl w:val="true"/>
          <w:lang w:bidi="fa-IR"/>
        </w:rPr>
        <w:t>عملاً بالأصل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والأوّل أشهر</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بشهادة عدلین، أو الإقرار مرّتین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بلوغ المقرّ وعقله واختیاره وحرّیّته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ولو شهد أحدهما </w:t>
      </w:r>
      <w:r>
        <w:rPr>
          <w:rStyle w:val="FootnoteAnchor"/>
          <w:rtl w:val="true"/>
        </w:rPr>
        <w:footnoteReference w:id="1426"/>
      </w:r>
      <w:r>
        <w:rPr>
          <w:rFonts w:ascii="IRNazanin" w:hAnsi="IRNazanin" w:eastAsia="IRNazanin"/>
          <w:color w:val="111111"/>
          <w:sz w:val="28"/>
          <w:sz w:val="28"/>
          <w:szCs w:val="28"/>
          <w:rtl w:val="true"/>
          <w:lang w:bidi="fa-IR"/>
        </w:rPr>
        <w:t>بالشرب والآخر بالقیء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یحدّ </w:t>
      </w:r>
      <w:r>
        <w:rPr>
          <w:rStyle w:val="FootnoteAnchor"/>
          <w:rtl w:val="true"/>
        </w:rPr>
        <w:footnoteReference w:id="1427"/>
      </w:r>
      <w:r>
        <w:rPr>
          <w:rFonts w:ascii="IRNazanin" w:hAnsi="IRNazanin" w:eastAsia="IRNazanin"/>
          <w:color w:val="111111"/>
          <w:sz w:val="28"/>
          <w:sz w:val="28"/>
          <w:szCs w:val="28"/>
          <w:rtl w:val="true"/>
          <w:lang w:bidi="fa-IR"/>
        </w:rPr>
        <w:t>لما رُوی عن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حقّ الولید لمّا شهد علیه واحد بشربها</w:t>
      </w:r>
    </w:p>
    <w:p>
      <w:pPr>
        <w:pStyle w:val="BookText"/>
        <w:rPr/>
      </w:pPr>
      <w:r>
        <w:rPr>
          <w:rFonts w:ascii="IRNazanin" w:hAnsi="IRNazanin" w:eastAsia="IRNazanin"/>
          <w:color w:val="111111"/>
          <w:sz w:val="28"/>
          <w:sz w:val="28"/>
          <w:szCs w:val="28"/>
          <w:rtl w:val="true"/>
          <w:lang w:bidi="fa-IR"/>
        </w:rPr>
        <w:t>وآخر بقیئها 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قاءها إلّاوقد شربها</w:t>
      </w:r>
      <w:r>
        <w:rPr>
          <w:rFonts w:eastAsia="IRNazanin" w:cs="IRNazanin"/>
          <w:color w:val="111111"/>
          <w:sz w:val="28"/>
          <w:szCs w:val="28"/>
          <w:rtl w:val="true"/>
          <w:lang w:bidi="fa-IR"/>
        </w:rPr>
        <w:t xml:space="preserve">» </w:t>
      </w:r>
      <w:r>
        <w:rPr>
          <w:rStyle w:val="FootnoteAnchor"/>
          <w:rtl w:val="true"/>
        </w:rPr>
        <w:footnoteReference w:id="1428"/>
      </w:r>
      <w:r>
        <w:rPr>
          <w:rStyle w:val="FootnoteAnchor"/>
          <w:rtl w:val="true"/>
        </w:rPr>
        <w:footnoteReference w:id="14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المصنّف فی الشرح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w:t>
      </w:r>
      <w:r>
        <w:rPr>
          <w:rStyle w:val="FootnoteAnchor"/>
          <w:rtl w:val="true"/>
        </w:rPr>
        <w:footnoteReference w:id="1430"/>
      </w:r>
      <w:r>
        <w:rPr>
          <w:rFonts w:ascii="IRNazanin" w:hAnsi="IRNazanin" w:eastAsia="IRNazanin"/>
          <w:color w:val="111111"/>
          <w:sz w:val="28"/>
          <w:sz w:val="28"/>
          <w:szCs w:val="28"/>
          <w:rtl w:val="true"/>
          <w:lang w:bidi="fa-IR"/>
        </w:rPr>
        <w:t xml:space="preserve">فتوی الأصحاب ولم أقف فیه علی مخالف </w:t>
      </w:r>
      <w:r>
        <w:rPr>
          <w:rStyle w:val="FootnoteAnchor"/>
          <w:rtl w:val="true"/>
        </w:rPr>
        <w:footnoteReference w:id="1431"/>
      </w:r>
      <w:r>
        <w:rPr>
          <w:rFonts w:ascii="IRNazanin" w:hAnsi="IRNazanin" w:eastAsia="IRNazanin"/>
          <w:color w:val="111111"/>
          <w:sz w:val="28"/>
          <w:sz w:val="28"/>
          <w:szCs w:val="28"/>
          <w:rtl w:val="true"/>
          <w:lang w:bidi="fa-IR"/>
        </w:rPr>
        <w:t>لکنّ العلّامة جمال الدین بن طاووس قال فی الملاذ</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أضمن درک طریقه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مشعر بالتوقّف </w:t>
      </w:r>
      <w:r>
        <w:rPr>
          <w:rStyle w:val="FootnoteAnchor"/>
          <w:rtl w:val="true"/>
        </w:rPr>
        <w:footnoteReference w:id="14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وکذلک العلّامة استشکل الحکم فی القواعد من حیث إنّ القیء وإن لم یحتمل إلّاالشرب، إلّاأنّ مطلق الشرب لا یوجب الحدّ؛ لجواز الإکراه </w:t>
      </w:r>
      <w:r>
        <w:rPr>
          <w:rStyle w:val="FootnoteAnchor"/>
          <w:rtl w:val="true"/>
        </w:rPr>
        <w:footnoteReference w:id="1433"/>
      </w:r>
      <w:r>
        <w:rPr>
          <w:rFonts w:ascii="IRNazanin" w:hAnsi="IRNazanin" w:eastAsia="IRNazanin"/>
          <w:color w:val="111111"/>
          <w:sz w:val="28"/>
          <w:sz w:val="28"/>
          <w:szCs w:val="28"/>
          <w:rtl w:val="true"/>
          <w:lang w:bidi="fa-IR"/>
        </w:rPr>
        <w:t>ویندفع بأنّ الإکراه خلاف الأصل، ولأ نّه لو کان کذلک لادّعاه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ویلزم من قبول الشهادة کذلک قبولها لو شهدا معاً بالقیء، نظراً إلی التعلیل المذکور</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یشکل ذلک بأنّ العمدة فی الأوّل الإجماع کما ادّعاه ابن إدریس </w:t>
      </w:r>
      <w:r>
        <w:rPr>
          <w:rStyle w:val="FootnoteAnchor"/>
          <w:rtl w:val="true"/>
        </w:rPr>
        <w:footnoteReference w:id="1434"/>
      </w:r>
      <w:r>
        <w:rPr>
          <w:rFonts w:ascii="IRNazanin" w:hAnsi="IRNazanin" w:eastAsia="IRNazanin"/>
          <w:color w:val="111111"/>
          <w:sz w:val="28"/>
          <w:sz w:val="28"/>
          <w:szCs w:val="28"/>
          <w:rtl w:val="true"/>
          <w:lang w:bidi="fa-IR"/>
        </w:rPr>
        <w:t>وهو منفیّ فی الثانی، واحتمال الإکراه یوجب الشبهة وهی تدرأ الحدَّ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علم ما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یعتبر إمکان مجامعة القیء للشرب المشهود به، فلو شهد أحدهما أ نّه شربها یوم الجمعة، وآخر </w:t>
      </w:r>
      <w:r>
        <w:rPr>
          <w:rStyle w:val="FootnoteAnchor"/>
          <w:rtl w:val="true"/>
        </w:rPr>
        <w:footnoteReference w:id="1435"/>
      </w:r>
      <w:r>
        <w:rPr>
          <w:rFonts w:ascii="IRNazanin" w:hAnsi="IRNazanin" w:eastAsia="IRNazanin"/>
          <w:color w:val="111111"/>
          <w:sz w:val="28"/>
          <w:sz w:val="28"/>
          <w:szCs w:val="28"/>
          <w:rtl w:val="true"/>
          <w:lang w:bidi="fa-IR"/>
        </w:rPr>
        <w:t>أ نّه قاءها قبل ذلک أو بعده بأیّام لم یحدّ؛ لاختلاف</w:t>
      </w:r>
      <w:bookmarkStart w:id="503" w:name="pg19815_253332"/>
    </w:p>
    <w:p>
      <w:pPr>
        <w:pStyle w:val="BookText"/>
        <w:rPr/>
      </w:pPr>
      <w:bookmarkEnd w:id="503"/>
      <w:r>
        <w:rPr>
          <w:rFonts w:ascii="IRNazanin" w:hAnsi="IRNazanin" w:eastAsia="IRNazanin"/>
          <w:color w:val="111111"/>
          <w:sz w:val="28"/>
          <w:sz w:val="28"/>
          <w:szCs w:val="28"/>
          <w:rtl w:val="true"/>
          <w:lang w:bidi="fa-IR"/>
        </w:rPr>
        <w:t>الفعل ولم یقم علی کلّ فعلٍ شاهدان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ادّعی الإکراه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لاحتماله، فیُدرأ عنه الحدّ؛ لقیام الشبهة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لم یکذّبه الشاهد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شهد ابتداءً بکونه مختاراً، أو أطلق الشهادة بالشرب أو القیء ثمّ کذّبه فی الإکراه لما ادّعاه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ویُحدّ معتقد حِلِّ النبیذ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المتّخذ من التمر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شربه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یُعذَر فی الشبهة بالنسبة إلی الحدّ وإن أفادته دَرْءَ القتل؛ لإطلاق النصوص الکثیرة بحدّ شاربه </w:t>
      </w:r>
      <w:r>
        <w:rPr>
          <w:rStyle w:val="FootnoteAnchor"/>
          <w:rtl w:val="true"/>
        </w:rPr>
        <w:footnoteReference w:id="1436"/>
      </w:r>
      <w:r>
        <w:rPr>
          <w:rFonts w:ascii="Amiri" w:hAnsi="Amiri" w:eastAsia="Amiri" w:cs="Amiri"/>
          <w:color w:val="111111"/>
          <w:sz w:val="28"/>
          <w:sz w:val="28"/>
          <w:szCs w:val="28"/>
          <w:rtl w:val="true"/>
          <w:lang w:bidi="ar-SA"/>
        </w:rPr>
        <w:t>کالخمر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وأولی بالحدّ لو شربه محرِّماً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یقتل أیضاً کالمستحلّ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یُحدّ الجاهل بجنس المشروب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فاتّفق مسکراً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بتحریمه، لقرب إسلامه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نشوئه فی بلاد بعیدة عن المسلمین یستحلّ أهلها الخمر فلم یعلم تحریمه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والضابط إمکانه فی حقّه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من اضطرّه العطش أو اضطرّ إلی إساغة اللقمة بالخمر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بحیث خاف التلف بدونه</w:t>
      </w:r>
      <w:r>
        <w:rPr>
          <w:rFonts w:eastAsia="IRNazanin" w:cs="IRNazanin"/>
          <w:color w:val="111111"/>
          <w:sz w:val="28"/>
          <w:szCs w:val="28"/>
          <w:rtl w:val="true"/>
          <w:lang w:bidi="fa-IR"/>
        </w:rPr>
        <w:t>.</w:t>
      </w:r>
    </w:p>
    <w:p>
      <w:pPr>
        <w:pStyle w:val="Heading4"/>
        <w:numPr>
          <w:ilvl w:val="3"/>
          <w:numId w:val="1"/>
        </w:numPr>
        <w:rPr/>
      </w:pPr>
      <w:bookmarkStart w:id="504" w:name="__RefHeading___Toc2228057_2314609296"/>
      <w:bookmarkStart w:id="505" w:name="_Toc191"/>
      <w:bookmarkEnd w:id="504"/>
      <w:r>
        <w:rPr>
          <w:rtl w:val="true"/>
        </w:rPr>
        <w:t>[</w:t>
      </w:r>
      <w:r>
        <w:rPr>
          <w:rtl w:val="true"/>
        </w:rPr>
        <w:t>حکم من استحل شیئا من المحرمات</w:t>
      </w:r>
      <w:r>
        <w:rPr>
          <w:rtl w:val="true"/>
        </w:rPr>
        <w:t>]</w:t>
      </w:r>
      <w:bookmarkEnd w:id="50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استحلّ شیئاً من المحرّمات المجمع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المسلمین بحیث عُلم تحریمها من الدین ضرورة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کالمیتة والدم والربا ولحم الخنزیر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ونکاح المحارم، وإباحة الخامسة </w:t>
      </w:r>
      <w:r>
        <w:rPr>
          <w:rStyle w:val="FootnoteAnchor"/>
          <w:rtl w:val="true"/>
        </w:rPr>
        <w:footnoteReference w:id="1437"/>
      </w:r>
      <w:r>
        <w:rPr>
          <w:rFonts w:ascii="Amiri" w:hAnsi="Amiri" w:eastAsia="Amiri" w:cs="Amiri"/>
          <w:color w:val="111111"/>
          <w:sz w:val="28"/>
          <w:sz w:val="28"/>
          <w:szCs w:val="28"/>
          <w:rtl w:val="true"/>
          <w:lang w:bidi="ar-SA"/>
        </w:rPr>
        <w:t xml:space="preserve">والمعتدّة، والمطلّقة ثلاثاً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 إن وُلد علی الفطرة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مرتدّ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کان ملّیّاً استتیب، فإن تاب، وإلّا 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ذلک إذا لم یدَّعِ شبهةً ممکنةً فی حقّه، وإلّا قُبل منه</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ویُفهم من المصنّف وغیره </w:t>
      </w:r>
      <w:r>
        <w:rPr>
          <w:rStyle w:val="FootnoteAnchor"/>
          <w:rtl w:val="true"/>
        </w:rPr>
        <w:footnoteReference w:id="1438"/>
      </w:r>
      <w:r>
        <w:rPr>
          <w:rFonts w:ascii="IRNazanin" w:hAnsi="IRNazanin" w:eastAsia="IRNazanin"/>
          <w:color w:val="111111"/>
          <w:sz w:val="28"/>
          <w:sz w:val="28"/>
          <w:szCs w:val="28"/>
          <w:rtl w:val="true"/>
          <w:lang w:bidi="fa-IR"/>
        </w:rPr>
        <w:t>أنّ الإجماع کافٍ فی ارتداد معتقد خلافه وإن</w:t>
      </w:r>
      <w:bookmarkStart w:id="506" w:name="pg19815_253333"/>
    </w:p>
    <w:p>
      <w:pPr>
        <w:pStyle w:val="BookText"/>
        <w:rPr/>
      </w:pPr>
      <w:bookmarkEnd w:id="506"/>
      <w:r>
        <w:rPr>
          <w:rFonts w:ascii="IRNazanin" w:hAnsi="IRNazanin" w:eastAsia="IRNazanin"/>
          <w:color w:val="111111"/>
          <w:sz w:val="28"/>
          <w:sz w:val="28"/>
          <w:szCs w:val="28"/>
          <w:rtl w:val="true"/>
          <w:lang w:bidi="fa-IR"/>
        </w:rPr>
        <w:t>لم یکن معلوماً ضرورة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یشکل فی کثیر من أفراده علی کثیر من الناس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ارتکبها غیر مستحلّ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لم یجب الحدّ کالزنا والخمر، وإلّا دخل التعزیر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وأمثلة المصنّف مستغنیة عن القید </w:t>
      </w:r>
      <w:r>
        <w:rPr>
          <w:rStyle w:val="FootnoteAnchor"/>
          <w:rtl w:val="true"/>
        </w:rPr>
        <w:footnoteReference w:id="1439"/>
      </w:r>
      <w:r>
        <w:rPr>
          <w:rFonts w:ascii="IRNazanin" w:hAnsi="IRNazanin" w:eastAsia="IRNazanin"/>
          <w:color w:val="111111"/>
          <w:sz w:val="28"/>
          <w:sz w:val="28"/>
          <w:szCs w:val="28"/>
          <w:rtl w:val="true"/>
          <w:lang w:bidi="fa-IR"/>
        </w:rPr>
        <w:t xml:space="preserve">وإن کان العموم </w:t>
      </w:r>
      <w:r>
        <w:rPr>
          <w:rStyle w:val="FootnoteAnchor"/>
          <w:rtl w:val="true"/>
        </w:rPr>
        <w:footnoteReference w:id="1440"/>
      </w:r>
      <w:r>
        <w:rPr>
          <w:rFonts w:ascii="IRNazanin" w:hAnsi="IRNazanin" w:eastAsia="IRNazanin"/>
          <w:color w:val="111111"/>
          <w:sz w:val="28"/>
          <w:sz w:val="28"/>
          <w:szCs w:val="28"/>
          <w:rtl w:val="true"/>
          <w:lang w:bidi="fa-IR"/>
        </w:rPr>
        <w:t>مفتقراً إلیه</w:t>
      </w:r>
      <w:r>
        <w:rPr>
          <w:rFonts w:eastAsia="IRNazanin" w:cs="IRNazanin"/>
          <w:color w:val="111111"/>
          <w:sz w:val="28"/>
          <w:szCs w:val="28"/>
          <w:rtl w:val="true"/>
          <w:lang w:bidi="fa-IR"/>
        </w:rPr>
        <w:t>.</w:t>
      </w:r>
    </w:p>
    <w:p>
      <w:pPr>
        <w:pStyle w:val="Heading4"/>
        <w:numPr>
          <w:ilvl w:val="3"/>
          <w:numId w:val="1"/>
        </w:numPr>
        <w:rPr/>
      </w:pPr>
      <w:bookmarkStart w:id="507" w:name="__RefHeading___Toc2228059_2314609296"/>
      <w:bookmarkStart w:id="508" w:name="_Toc192"/>
      <w:bookmarkEnd w:id="507"/>
      <w:r>
        <w:rPr>
          <w:rtl w:val="true"/>
        </w:rPr>
        <w:t>[«</w:t>
      </w:r>
      <w:r>
        <w:rPr>
          <w:rtl w:val="true"/>
        </w:rPr>
        <w:t>ولو أنفذ الحاکم إلی حامل لإقامة حدّ فأجهضت</w:t>
      </w:r>
      <w:r>
        <w:rPr>
          <w:rtl w:val="true"/>
        </w:rPr>
        <w:t>»]</w:t>
      </w:r>
      <w:bookmarkEnd w:id="508"/>
    </w:p>
    <w:p>
      <w:pPr>
        <w:pStyle w:val="BookText"/>
        <w:rPr/>
      </w:pPr>
      <w:r>
        <w:rPr>
          <w:rFonts w:ascii="IRNazanin" w:hAnsi="IRNazanin" w:eastAsia="IRNazanin"/>
          <w:color w:val="111111"/>
          <w:sz w:val="28"/>
          <w:sz w:val="28"/>
          <w:szCs w:val="28"/>
          <w:rtl w:val="true"/>
          <w:lang w:bidi="fa-IR"/>
        </w:rPr>
        <w:t xml:space="preserve">أی أسقطت حملَها خوفاً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دیة الجنین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بیت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من خطأ الحکّام فی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محلّه</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وقضی علیّ علیه السلام فی مُجهِضة خوّفها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أرسل إلیها لیقیم علیها الحدّ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دیة جنینها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عاقلته</w:t>
      </w:r>
      <w:r>
        <w:rPr>
          <w:rFonts w:eastAsia="IRNazanin" w:cs="IRNazanin"/>
          <w:color w:val="111111"/>
          <w:sz w:val="28"/>
          <w:szCs w:val="28"/>
          <w:rtl w:val="true"/>
          <w:lang w:bidi="fa-IR"/>
        </w:rPr>
        <w:t xml:space="preserve">» </w:t>
      </w:r>
      <w:r>
        <w:rPr>
          <w:rStyle w:val="FootnoteAnchor"/>
          <w:rtl w:val="true"/>
        </w:rPr>
        <w:footnoteReference w:id="1441"/>
      </w:r>
      <w:r>
        <w:rPr>
          <w:rFonts w:ascii="IRNazanin" w:hAnsi="IRNazanin" w:eastAsia="IRNazanin"/>
          <w:color w:val="111111"/>
          <w:sz w:val="28"/>
          <w:sz w:val="28"/>
          <w:szCs w:val="28"/>
          <w:rtl w:val="true"/>
          <w:lang w:bidi="fa-IR"/>
        </w:rPr>
        <w:t xml:space="preserve">أی عاقلة عمر، لا فی بیت المال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تنافی بین الفتوی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بکون صدوره عن إنفاذ الحاکم فی بیت المال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عمر لم یکن حاکماً شرعیّاً وقد تسبّب بالقتل خطأً، فتکون الدیة علی عاقلته، أو لأنّ عمر لم یُرسل إلیها بعد ثبوت ما ذُکر عنها </w:t>
      </w:r>
      <w:r>
        <w:rPr>
          <w:rStyle w:val="FootnoteAnchor"/>
          <w:rtl w:val="true"/>
        </w:rPr>
        <w:footnoteReference w:id="1442"/>
      </w:r>
      <w:r>
        <w:rPr>
          <w:rFonts w:ascii="IRNazanin" w:hAnsi="IRNazanin" w:eastAsia="IRNazanin"/>
          <w:color w:val="111111"/>
          <w:sz w:val="28"/>
          <w:sz w:val="28"/>
          <w:szCs w:val="28"/>
          <w:rtl w:val="true"/>
          <w:lang w:bidi="fa-IR"/>
        </w:rPr>
        <w:t xml:space="preserve">ولعلّ هذا أولی بفعل علیّ علیه السلام؛ لأنّه ما کان فی وقته یتجاهر بمعنی الأوّل ولا کان یُقبل ذلک منه، خصوصاً بعد فتوی جماعة من الصحابة بخلاف قوله علیه السلام ونسبتِه إیّاهم إلی الجهل أو الغشّ، وتعلیلِه بکونه قد قتله خطأً </w:t>
      </w:r>
      <w:r>
        <w:rPr>
          <w:rStyle w:val="FootnoteAnchor"/>
          <w:rtl w:val="true"/>
        </w:rPr>
        <w:footnoteReference w:id="1443"/>
      </w:r>
      <w:r>
        <w:rPr>
          <w:rFonts w:eastAsia="Times New Roman" w:cs="Times New Roman" w:ascii="Times New Roman" w:hAnsi="Times New Roman"/>
          <w:color w:val="111111"/>
          <w:sz w:val="28"/>
          <w:szCs w:val="28"/>
          <w:rtl w:val="true"/>
          <w:lang w:val="en-US" w:bidi="en-US"/>
        </w:rPr>
        <w:t>.</w:t>
      </w:r>
      <w:bookmarkStart w:id="509" w:name="pg19815_253334"/>
    </w:p>
    <w:p>
      <w:pPr>
        <w:pStyle w:val="Heading4"/>
        <w:numPr>
          <w:ilvl w:val="3"/>
          <w:numId w:val="1"/>
        </w:numPr>
        <w:rPr/>
      </w:pPr>
      <w:bookmarkStart w:id="510" w:name="__RefHeading___Toc2228061_2314609296"/>
      <w:bookmarkStart w:id="511" w:name="_Toc193"/>
      <w:bookmarkEnd w:id="509"/>
      <w:bookmarkEnd w:id="510"/>
      <w:r>
        <w:rPr>
          <w:rtl w:val="true"/>
        </w:rPr>
        <w:t>[«</w:t>
      </w:r>
      <w:r>
        <w:rPr>
          <w:rtl w:val="true"/>
        </w:rPr>
        <w:t>ومن قتله الحدّ أو التعزیر فهدْر</w:t>
      </w:r>
      <w:r>
        <w:rPr>
          <w:rtl w:val="true"/>
        </w:rPr>
        <w:t>»]</w:t>
      </w:r>
      <w:bookmarkEnd w:id="511"/>
    </w:p>
    <w:p>
      <w:pPr>
        <w:pStyle w:val="BookText"/>
        <w:rPr/>
      </w:pPr>
      <w:r>
        <w:rPr>
          <w:rFonts w:ascii="IRNazanin" w:hAnsi="IRNazanin" w:eastAsia="IRNazanin"/>
          <w:color w:val="111111"/>
          <w:sz w:val="28"/>
          <w:sz w:val="28"/>
          <w:szCs w:val="28"/>
          <w:rtl w:val="true"/>
          <w:lang w:bidi="fa-IR"/>
        </w:rPr>
        <w:t xml:space="preserve">بالسکون أی لا عوض لنفسه، سواء کانا </w:t>
      </w:r>
      <w:r>
        <w:rPr>
          <w:rStyle w:val="FootnoteAnchor"/>
          <w:rtl w:val="true"/>
        </w:rPr>
        <w:footnoteReference w:id="1444"/>
      </w:r>
      <w:r>
        <w:rPr>
          <w:rFonts w:ascii="IRNazanin" w:hAnsi="IRNazanin" w:eastAsia="IRNazanin"/>
          <w:color w:val="111111"/>
          <w:sz w:val="28"/>
          <w:sz w:val="28"/>
          <w:szCs w:val="28"/>
          <w:rtl w:val="true"/>
          <w:lang w:bidi="fa-IR"/>
        </w:rPr>
        <w:t>للّٰه‌أم لآدمیّ؛ لأنّه فعل سائغ فلا یتعقّبه الضمان، ولحسنة الحلبی عن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یّما رجل قتله الحدّ أو القصاص فلا دیة له</w:t>
      </w:r>
      <w:r>
        <w:rPr>
          <w:rFonts w:eastAsia="IRNazanin" w:cs="IRNazanin"/>
          <w:color w:val="111111"/>
          <w:sz w:val="28"/>
          <w:szCs w:val="28"/>
          <w:rtl w:val="true"/>
          <w:lang w:bidi="fa-IR"/>
        </w:rPr>
        <w:t xml:space="preserve">» </w:t>
      </w:r>
      <w:r>
        <w:rPr>
          <w:rStyle w:val="FootnoteAnchor"/>
          <w:rtl w:val="true"/>
        </w:rPr>
        <w:footnoteReference w:id="14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صیغ العموم؛ وکذا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بعض الاُصولیّین </w:t>
      </w:r>
      <w:r>
        <w:rPr>
          <w:rStyle w:val="FootnoteAnchor"/>
          <w:rtl w:val="true"/>
        </w:rPr>
        <w:footnoteReference w:id="14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یُضمن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بیت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القول مجمل قائلاً ومحلّاً ومضموناً فیه، فإنّ المفید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یضمن الإمام دیة المحدود للناس </w:t>
      </w:r>
      <w:r>
        <w:rPr>
          <w:rStyle w:val="FootnoteAnchor"/>
          <w:rtl w:val="true"/>
        </w:rPr>
        <w:footnoteReference w:id="1447"/>
      </w:r>
      <w:r>
        <w:rPr>
          <w:rFonts w:ascii="IRNazanin" w:hAnsi="IRNazanin" w:eastAsia="IRNazanin"/>
          <w:color w:val="111111"/>
          <w:sz w:val="28"/>
          <w:sz w:val="28"/>
          <w:szCs w:val="28"/>
          <w:rtl w:val="true"/>
          <w:lang w:bidi="fa-IR"/>
        </w:rPr>
        <w:t>لما رُوی أنّ علیّاً علیه السلام کان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ضربناه حدّاً من حدود اللّٰه فمات فلا دیة له علینا، ومن ضربناه حدّاً فی شیء من حقوق الناس فمات فإنّ دیته علینا</w:t>
      </w:r>
      <w:r>
        <w:rPr>
          <w:rFonts w:eastAsia="IRNazanin" w:cs="IRNazanin"/>
          <w:color w:val="111111"/>
          <w:sz w:val="28"/>
          <w:szCs w:val="28"/>
          <w:rtl w:val="true"/>
          <w:lang w:bidi="fa-IR"/>
        </w:rPr>
        <w:t xml:space="preserve">» </w:t>
      </w:r>
      <w:r>
        <w:rPr>
          <w:rStyle w:val="FootnoteAnchor"/>
          <w:rtl w:val="true"/>
        </w:rPr>
        <w:footnoteReference w:id="14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القول یدلّ علی أنّ الخلاف فی حدّ الناس، وأنّ الضمان فی بیت مال الإمام، لا بیت مال المسلمین</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الدیة فی بیت المال </w:t>
      </w:r>
      <w:r>
        <w:rPr>
          <w:rStyle w:val="FootnoteAnchor"/>
          <w:rtl w:val="true"/>
        </w:rPr>
        <w:footnoteReference w:id="1449"/>
      </w:r>
      <w:r>
        <w:rPr>
          <w:rFonts w:ascii="IRNazanin" w:hAnsi="IRNazanin" w:eastAsia="IRNazanin"/>
          <w:color w:val="111111"/>
          <w:sz w:val="28"/>
          <w:sz w:val="28"/>
          <w:szCs w:val="28"/>
          <w:rtl w:val="true"/>
          <w:lang w:bidi="fa-IR"/>
        </w:rPr>
        <w:t>جمعاً بین الأحادیث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ویظهر من 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الخلاف فی التعزیر </w:t>
      </w:r>
      <w:r>
        <w:rPr>
          <w:rStyle w:val="FootnoteAnchor"/>
          <w:rtl w:val="true"/>
        </w:rPr>
        <w:footnoteReference w:id="1450"/>
      </w:r>
      <w:r>
        <w:rPr>
          <w:rFonts w:ascii="IRNazanin" w:hAnsi="IRNazanin" w:eastAsia="IRNazanin"/>
          <w:color w:val="111111"/>
          <w:sz w:val="28"/>
          <w:sz w:val="28"/>
          <w:szCs w:val="28"/>
          <w:rtl w:val="true"/>
          <w:lang w:bidi="fa-IR"/>
        </w:rPr>
        <w:t xml:space="preserve">وصرّح به غیره </w:t>
      </w:r>
      <w:r>
        <w:rPr>
          <w:rStyle w:val="FootnoteAnchor"/>
          <w:rtl w:val="true"/>
        </w:rPr>
        <w:footnoteReference w:id="1451"/>
      </w:r>
      <w:r>
        <w:rPr>
          <w:rFonts w:ascii="Amiri" w:hAnsi="Amiri" w:eastAsia="Amiri" w:cs="Amiri"/>
          <w:color w:val="111111"/>
          <w:sz w:val="28"/>
          <w:sz w:val="28"/>
          <w:szCs w:val="28"/>
          <w:rtl w:val="true"/>
          <w:lang w:bidi="ar-SA"/>
        </w:rPr>
        <w:t>بناءً علی أنّ الحدّ مقدّر،</w:t>
      </w:r>
    </w:p>
    <w:p>
      <w:pPr>
        <w:pStyle w:val="BookText"/>
        <w:rPr/>
      </w:pPr>
      <w:r>
        <w:rPr>
          <w:rFonts w:ascii="IRNazanin" w:hAnsi="IRNazanin" w:eastAsia="IRNazanin"/>
          <w:color w:val="111111"/>
          <w:sz w:val="28"/>
          <w:sz w:val="28"/>
          <w:szCs w:val="28"/>
          <w:rtl w:val="true"/>
          <w:lang w:bidi="fa-IR"/>
        </w:rPr>
        <w:t>والتعزیر اجتهادیّ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 نظر؛ لأنّ التعزیر ربما کان من إمام معصوم لا یفعل بالاجتهاد الذی یجوز فیه الخطأ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والحقّ أنّ الخلاف فیهما معاً، وأنّ عدم الضمان مطلقاً أوجه؛ لضعف متمسّک الضمان</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بان فسوق الشهود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بفعل یوجب القتل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القتل ففی بیت المال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مال المسلمین، دیةُ المقتول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من خطأ الحاکم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ضمان علی الحاکم ولا علی عاقلته</w:t>
      </w:r>
      <w:r>
        <w:rPr>
          <w:rFonts w:eastAsia="IRNazanin" w:cs="IRNazanin"/>
          <w:color w:val="111111"/>
          <w:sz w:val="28"/>
          <w:szCs w:val="28"/>
          <w:rtl w:val="true"/>
          <w:lang w:bidi="fa-IR"/>
        </w:rPr>
        <w:t>.</w:t>
      </w:r>
      <w:bookmarkStart w:id="512" w:name="pg19815_253336"/>
    </w:p>
    <w:p>
      <w:pPr>
        <w:pStyle w:val="Heading3"/>
        <w:numPr>
          <w:ilvl w:val="2"/>
          <w:numId w:val="1"/>
        </w:numPr>
        <w:rPr/>
      </w:pPr>
      <w:bookmarkStart w:id="513" w:name="__RefHeading___Toc2228063_2314609296"/>
      <w:bookmarkStart w:id="514" w:name="_Toc194"/>
      <w:bookmarkEnd w:id="512"/>
      <w:bookmarkEnd w:id="513"/>
      <w:r>
        <w:rPr>
          <w:rtl w:val="true"/>
        </w:rPr>
        <w:t>«</w:t>
      </w:r>
      <w:r>
        <w:rPr>
          <w:rtl w:val="true"/>
        </w:rPr>
        <w:t>الفصل الخامس</w:t>
      </w:r>
      <w:r>
        <w:rPr>
          <w:rtl w:val="true"/>
        </w:rPr>
        <w:t>» «</w:t>
      </w:r>
      <w:r>
        <w:rPr>
          <w:rtl w:val="true"/>
        </w:rPr>
        <w:t>فی السَرِقة</w:t>
      </w:r>
      <w:r>
        <w:rPr>
          <w:rtl w:val="true"/>
        </w:rPr>
        <w:t>»</w:t>
      </w:r>
      <w:bookmarkEnd w:id="514"/>
    </w:p>
    <w:p>
      <w:pPr>
        <w:pStyle w:val="Heading4"/>
        <w:numPr>
          <w:ilvl w:val="3"/>
          <w:numId w:val="1"/>
        </w:numPr>
        <w:rPr/>
      </w:pPr>
      <w:bookmarkStart w:id="515" w:name="__RefHeading___Toc2228065_2314609296"/>
      <w:bookmarkStart w:id="516" w:name="_Toc195"/>
      <w:bookmarkEnd w:id="515"/>
      <w:r>
        <w:rPr>
          <w:rtl w:val="true"/>
        </w:rPr>
        <w:t>[</w:t>
      </w:r>
      <w:r>
        <w:rPr>
          <w:rtl w:val="true"/>
        </w:rPr>
        <w:t>شروط وجوب الحد علی السارق</w:t>
      </w:r>
      <w:r>
        <w:rPr>
          <w:rtl w:val="true"/>
        </w:rPr>
        <w:t>]</w:t>
      </w:r>
      <w:bookmarkEnd w:id="51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ویتعلّق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هنا القطع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بسَرِقة البالغ العاقل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المختار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الحرز بعد هتکه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وإزالته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 شبهة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موهمة للملک عارضة للسارق، أو للحاکم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لو ادّعی السارق ملکه مع علمه باطناً بأ نّه لیس ملکه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رُبعَ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 خالص مضروب بسکّة المعاملة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غیر شعور المالک به مع کون المال المسروق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غیر مال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ولد السارق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مأکول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بالتاء الممدودة، وهو الجدب والمجاعة،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أسنت القوم إذا أجدبوا </w:t>
      </w:r>
      <w:r>
        <w:rPr>
          <w:rStyle w:val="FootnoteAnchor"/>
          <w:rtl w:val="true"/>
        </w:rPr>
        <w:footnoteReference w:id="14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فهذه عشرة قیود قد أشار إلی تفصیلها بقوله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قطع علی الصبیّ والمجنون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سرقا کذلک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التأدیب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خاصّة وإن تکرّرت منهما السرقة؛ لاشتراط الحدّ بالتکلیف</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یُعفی عن الصبیّ أوّل مرّة، فإن سرق ثانیاً اُدّب، فإن عاد ثالثاً</w:t>
      </w:r>
    </w:p>
    <w:p>
      <w:pPr>
        <w:pStyle w:val="BookText"/>
        <w:rPr/>
      </w:pPr>
      <w:r>
        <w:rPr>
          <w:rFonts w:ascii="Amiri" w:hAnsi="Amiri" w:eastAsia="Amiri" w:cs="Amiri"/>
          <w:color w:val="111111"/>
          <w:sz w:val="28"/>
          <w:sz w:val="28"/>
          <w:szCs w:val="28"/>
          <w:rtl w:val="true"/>
          <w:lang w:bidi="ar-SA"/>
        </w:rPr>
        <w:t xml:space="preserve">حُکّت أناملُه حتّی تُدمی، فإن سرق رابعاً قُطعت أنامله، فإن سرق خامساً قُطِع کما یُقطَع البالغ </w:t>
      </w:r>
      <w:r>
        <w:rPr>
          <w:rStyle w:val="FootnoteAnchor"/>
          <w:rtl w:val="true"/>
        </w:rPr>
        <w:footnoteReference w:id="14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ومستند هذا القول أخبار کثیرة صحیحة </w:t>
      </w:r>
      <w:r>
        <w:rPr>
          <w:rStyle w:val="FootnoteAnchor"/>
          <w:rtl w:val="true"/>
        </w:rPr>
        <w:footnoteReference w:id="1454"/>
      </w:r>
      <w:r>
        <w:rPr>
          <w:rFonts w:ascii="IRNazanin" w:hAnsi="IRNazanin" w:eastAsia="IRNazanin"/>
          <w:color w:val="111111"/>
          <w:sz w:val="28"/>
          <w:sz w:val="28"/>
          <w:szCs w:val="28"/>
          <w:rtl w:val="true"/>
          <w:lang w:bidi="fa-IR"/>
        </w:rPr>
        <w:t>وعلیه الأکثر ولا بُعد فی تعیین الشارع نوعاً خاصّاً من التأدیب؛ لکونه لطفاً وإن شارک خطاب التکلیف فی بعض أفراده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سرق المجنون حال إفاقته لم یسقط عنه الحدّ بعروض الجنون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واحترزنا بالاختیار عمّا لو اُکره علی السرقة، فإنّه لا یُقطع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وشمل إطلاق الشرطین الذکرَ والاُنثی، والحرّ والعبد إلّاعلی وجهٍ یأتی </w:t>
      </w:r>
      <w:r>
        <w:rPr>
          <w:rStyle w:val="FootnoteAnchor"/>
          <w:rtl w:val="true"/>
        </w:rPr>
        <w:footnoteReference w:id="14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والبصیر والأعمی، والمسلم والکافر، لمسلم وکافر إذا کان ماله محترماً</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من سرق من غیر حرز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کالصحراء والطریق والرَحیٰ والحمّام والمساجد، ونحوها من المواضع المنتابة </w:t>
      </w:r>
      <w:r>
        <w:rPr>
          <w:rStyle w:val="FootnoteAnchor"/>
          <w:rtl w:val="true"/>
        </w:rPr>
        <w:footnoteReference w:id="1456"/>
      </w:r>
      <w:r>
        <w:rPr>
          <w:rFonts w:ascii="IRNazanin" w:hAnsi="IRNazanin" w:eastAsia="IRNazanin"/>
          <w:color w:val="111111"/>
          <w:sz w:val="28"/>
          <w:sz w:val="28"/>
          <w:szCs w:val="28"/>
          <w:rtl w:val="true"/>
          <w:lang w:bidi="fa-IR"/>
        </w:rPr>
        <w:t xml:space="preserve">والمأذون فی غشیانها </w:t>
      </w:r>
      <w:r>
        <w:rPr>
          <w:rStyle w:val="FootnoteAnchor"/>
          <w:rtl w:val="true"/>
        </w:rPr>
        <w:footnoteReference w:id="1457"/>
      </w:r>
      <w:r>
        <w:rPr>
          <w:rFonts w:ascii="IRNazanin" w:hAnsi="IRNazanin" w:eastAsia="IRNazanin"/>
          <w:color w:val="111111"/>
          <w:sz w:val="28"/>
          <w:sz w:val="28"/>
          <w:szCs w:val="28"/>
          <w:rtl w:val="true"/>
          <w:lang w:bidi="fa-IR"/>
        </w:rPr>
        <w:t xml:space="preserve">مع عدم مراعاة المالک لماله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من حرز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الأصل بعد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هتکه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فتح قفله أو بابه أو نقب جدارَه فأخذ هو، فإنّه لا قطع علی أحدهما؛ لأنّ المُهتِّک لم یسرق والسارق لم یأخذ من الحرز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تشارکا فی الهتک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نقباه ولو بالتناوب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فأخرج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 المُخرِج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خاصّة؛ لصدق هتکه الحرز وسرقته منه، دون من شارکه فی الهتک کما لو انفرد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أخرجاه معاً قُطعا إذا بلغ نصیب کلّ واحد نصاباً، وإلّا فمن بلغ نصیبه النصاب وإن بلغ المجموع نصابین فصاعداً علی الأقوی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یکفی بلوغ المجموع نصاباً فی قطع الجمیع </w:t>
      </w:r>
      <w:r>
        <w:rPr>
          <w:rStyle w:val="FootnoteAnchor"/>
          <w:rtl w:val="true"/>
        </w:rPr>
        <w:footnoteReference w:id="1458"/>
      </w:r>
      <w:r>
        <w:rPr>
          <w:rFonts w:ascii="IRNazanin" w:hAnsi="IRNazanin" w:eastAsia="IRNazanin"/>
          <w:color w:val="111111"/>
          <w:sz w:val="28"/>
          <w:sz w:val="28"/>
          <w:szCs w:val="28"/>
          <w:rtl w:val="true"/>
          <w:lang w:bidi="fa-IR"/>
        </w:rPr>
        <w:t>لتحقّق سرقة النصاب، وقد صدر عن الجمیع فیثبت علیهم القطع وهو ضعیف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اشترکا فی الهتک ثمّ أخرج أحدهما المال إلی قرب الباب فأدخل الآخر یده فأخرجه قُطع، دون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وبالعکس لو أخرجه الأوّل إلی خارجه فحمله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وضعه فی وسط النقب أو الباب فأخذه الآخر، ففی قطعهما أو عدمه عنهما وجهان، أجودهما الثانی؛ لانتفاء الإخراج من الحرز فیهما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ووجه الأوّل تحقّقه منهما بالشرکة کتحقّق الهتک بها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مع توهّم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الحلّ فظهر غیر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w:t>
      </w:r>
      <w:r>
        <w:rPr>
          <w:rFonts w:eastAsia="IRNazanin" w:cs="IRNazanin"/>
          <w:color w:val="111111"/>
          <w:sz w:val="28"/>
          <w:szCs w:val="28"/>
          <w:rtl w:val="true"/>
          <w:lang w:bidi="fa-IR"/>
        </w:rPr>
        <w:t xml:space="preserve">] </w:t>
      </w:r>
      <w:r>
        <w:rPr>
          <w:rStyle w:val="FootnoteAnchor"/>
          <w:rtl w:val="true"/>
        </w:rPr>
        <w:footnoteReference w:id="1459"/>
      </w:r>
      <w:r>
        <w:rPr>
          <w:rFonts w:ascii="IRNazanin" w:hAnsi="IRNazanin" w:eastAsia="IRNazanin"/>
          <w:color w:val="111111"/>
          <w:sz w:val="28"/>
          <w:sz w:val="28"/>
          <w:szCs w:val="28"/>
          <w:rtl w:val="true"/>
          <w:lang w:bidi="fa-IR"/>
        </w:rPr>
        <w:t>وغیر حلال، کما لو توهّمه ماله فظهر غیره، أو سرق من مال المدیون الباذل بقدر ماله معتقداً إباحة الاستقلال بالمقاصّة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لو توهّم ملکه للحرز، أو کونهما أو أحدهما لابنه</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سرق من المال المشترک ما یظنّه قدر نصیبه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وجواز مباشرته</w:t>
      </w:r>
    </w:p>
    <w:p>
      <w:pPr>
        <w:pStyle w:val="BookText"/>
        <w:rPr/>
      </w:pPr>
      <w:r>
        <w:rPr>
          <w:rFonts w:ascii="IRNazanin" w:hAnsi="IRNazanin" w:eastAsia="IRNazanin"/>
          <w:color w:val="111111"/>
          <w:sz w:val="28"/>
          <w:sz w:val="28"/>
          <w:szCs w:val="28"/>
          <w:rtl w:val="true"/>
          <w:lang w:bidi="fa-IR"/>
        </w:rPr>
        <w:t xml:space="preserve">القسمة بنفسه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فزاد نصاباً فلا 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للشبهة، کتوهّم الملک فظهر عدمه فیه أجمع، بل هنا 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علم عدم جواز تولّی القسمة کذلک قطع إن بلغ نصیب الشریک نصاباً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فرق بین قبوله القسمة وعدمه علی الأقوی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السرقة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سرقة بعض الغانمین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مال الغنیمة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یکون له نصیب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منشؤه اختلاف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فروی محمّد بن قیس عن الباقر علیه السلام عن علیّ علیه الصلاة والسلام فی رجل أخذ بیضة من المغنم؟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لا أقطع أحداً له فیما أخذ شرکة</w:t>
      </w:r>
      <w:r>
        <w:rPr>
          <w:rFonts w:eastAsia="IRNazanin" w:cs="IRNazanin"/>
          <w:color w:val="111111"/>
          <w:sz w:val="28"/>
          <w:szCs w:val="28"/>
          <w:rtl w:val="true"/>
          <w:lang w:bidi="fa-IR"/>
        </w:rPr>
        <w:t xml:space="preserve">» </w:t>
      </w:r>
      <w:r>
        <w:rPr>
          <w:rStyle w:val="FootnoteAnchor"/>
          <w:rtl w:val="true"/>
        </w:rPr>
        <w:footnoteReference w:id="14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عبد الرحمن بن أبی عبد اللّٰه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أمیر المؤمنین علیه الصلاة والسلام قطع فی البیضة التی سرقها رجل من المغنم </w:t>
      </w:r>
      <w:r>
        <w:rPr>
          <w:rStyle w:val="FootnoteAnchor"/>
          <w:rtl w:val="true"/>
        </w:rPr>
        <w:footnoteReference w:id="14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عبد اللّٰه بن سنان عنه علیه السلام أ 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یُنظر کَمِ الذی نصیبه؟ فإذا کان الذی أخذ أقلّ من نصیبه عُزّر ودُفع إلیه تمامُ مالِه، وإن کان الذی أخذ مثل الذی له فلا شیء علیه، وإن کان أخذ فضلاً بقدر ربع دینار قطع</w:t>
      </w:r>
      <w:r>
        <w:rPr>
          <w:rFonts w:eastAsia="IRNazanin" w:cs="IRNazanin"/>
          <w:color w:val="111111"/>
          <w:sz w:val="28"/>
          <w:szCs w:val="28"/>
          <w:rtl w:val="true"/>
          <w:lang w:bidi="fa-IR"/>
        </w:rPr>
        <w:t xml:space="preserve">» </w:t>
      </w:r>
      <w:r>
        <w:rPr>
          <w:rStyle w:val="FootnoteAnchor"/>
          <w:rtl w:val="true"/>
        </w:rPr>
        <w:footnoteReference w:id="1462"/>
      </w:r>
      <w:r>
        <w:rPr>
          <w:rFonts w:eastAsia="Times New Roman" w:cs="Times New Roman" w:ascii="Times New Roman" w:hAnsi="Times New Roman"/>
          <w:color w:val="111111"/>
          <w:sz w:val="28"/>
          <w:szCs w:val="28"/>
          <w:rtl w:val="true"/>
          <w:lang w:val="en-US" w:bidi="en-US"/>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وهذه الروایة أوضح سنداً من الاُولیین وأوفق بالاُصول، فإنّ الأقوی أنّ الغانم یملک نصیبه بالحیازة فیکون شریکاً، ویلحقه ما تقدّم من حکم الشریک فی توهّمه حلَّ ذلک وعدمه وتقیید القطع بکون الزائد بقدر النصاب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قلنا بأنّ القسمة کاشفة عن ملکه بالحیازة </w:t>
      </w:r>
      <w:r>
        <w:rPr>
          <w:rStyle w:val="FootnoteAnchor"/>
          <w:rtl w:val="true"/>
        </w:rPr>
        <w:footnoteReference w:id="1463"/>
      </w:r>
      <w:r>
        <w:rPr>
          <w:rFonts w:ascii="IRNazanin" w:hAnsi="IRNazanin" w:eastAsia="IRNazanin"/>
          <w:color w:val="111111"/>
          <w:sz w:val="28"/>
          <w:sz w:val="28"/>
          <w:szCs w:val="28"/>
          <w:rtl w:val="true"/>
          <w:lang w:bidi="fa-IR"/>
        </w:rPr>
        <w:t>فکذلک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الملک لا یحصل</w:t>
      </w:r>
    </w:p>
    <w:p>
      <w:pPr>
        <w:pStyle w:val="BookText"/>
        <w:rPr/>
      </w:pPr>
      <w:r>
        <w:rPr>
          <w:rFonts w:ascii="IRNazanin" w:hAnsi="IRNazanin" w:eastAsia="IRNazanin"/>
          <w:color w:val="111111"/>
          <w:sz w:val="28"/>
          <w:sz w:val="28"/>
          <w:szCs w:val="28"/>
          <w:rtl w:val="true"/>
          <w:lang w:bidi="fa-IR"/>
        </w:rPr>
        <w:t>إلّا بالقسمة اتّجه القطع مطلقاً مع بلوغ المجموع نصاباً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والروایة الثانیة تصلح شاهداً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إلحاق ما للسارق فیه حقّ کبیت المال ومال الزکاة والخمس نظر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واستقرب العلّامة عدمَ القطع </w:t>
      </w:r>
      <w:r>
        <w:rPr>
          <w:rStyle w:val="FootnoteAnchor"/>
          <w:rtl w:val="true"/>
        </w:rPr>
        <w:footnoteReference w:id="14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 فیما نقص عن ربع دینار ذهباً </w:t>
      </w:r>
      <w:r>
        <w:rPr>
          <w:rStyle w:val="FootnoteAnchor"/>
          <w:rtl w:val="true"/>
        </w:rPr>
        <w:footnoteReference w:id="1465"/>
      </w:r>
      <w:r>
        <w:rPr>
          <w:rFonts w:ascii="Amiri" w:hAnsi="Amiri" w:eastAsia="Amiri" w:cs="Amiri"/>
          <w:color w:val="111111"/>
          <w:sz w:val="28"/>
          <w:sz w:val="28"/>
          <w:szCs w:val="28"/>
          <w:rtl w:val="true"/>
          <w:lang w:bidi="ar-SA"/>
        </w:rPr>
        <w:t>خالصاً مسکوکاً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بسکّة المعاملة عیناً أو قیمة علی الأصحّ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وفی المسألة أقوال نادرة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اعتبار دینار </w:t>
      </w:r>
      <w:r>
        <w:rPr>
          <w:rStyle w:val="FootnoteAnchor"/>
          <w:rtl w:val="true"/>
        </w:rPr>
        <w:footnoteReference w:id="1466"/>
      </w:r>
      <w:r>
        <w:rPr>
          <w:rFonts w:ascii="IRNazanin" w:hAnsi="IRNazanin" w:eastAsia="IRNazanin"/>
          <w:color w:val="111111"/>
          <w:sz w:val="28"/>
          <w:sz w:val="28"/>
          <w:szCs w:val="28"/>
          <w:rtl w:val="true"/>
          <w:lang w:bidi="fa-IR"/>
        </w:rPr>
        <w:t xml:space="preserve">وخمسه </w:t>
      </w:r>
      <w:r>
        <w:rPr>
          <w:rStyle w:val="FootnoteAnchor"/>
          <w:rtl w:val="true"/>
        </w:rPr>
        <w:footnoteReference w:id="1467"/>
      </w:r>
      <w:r>
        <w:rPr>
          <w:rFonts w:ascii="Amiri" w:hAnsi="Amiri" w:eastAsia="Amiri" w:cs="Amiri"/>
          <w:color w:val="111111"/>
          <w:sz w:val="28"/>
          <w:sz w:val="28"/>
          <w:szCs w:val="28"/>
          <w:rtl w:val="true"/>
          <w:lang w:bidi="ar-SA"/>
        </w:rPr>
        <w:t xml:space="preserve">ودرهمَین </w:t>
      </w:r>
      <w:r>
        <w:rPr>
          <w:rStyle w:val="FootnoteAnchor"/>
          <w:rtl w:val="true"/>
        </w:rPr>
        <w:footnoteReference w:id="14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والأخبار الصحیحة </w:t>
      </w:r>
      <w:r>
        <w:rPr>
          <w:rStyle w:val="FootnoteAnchor"/>
          <w:rtl w:val="true"/>
        </w:rPr>
        <w:footnoteReference w:id="1469"/>
      </w:r>
      <w:r>
        <w:rPr>
          <w:rFonts w:ascii="Amiri" w:hAnsi="Amiri" w:eastAsia="Amiri" w:cs="Amiri"/>
          <w:color w:val="111111"/>
          <w:sz w:val="28"/>
          <w:sz w:val="28"/>
          <w:szCs w:val="28"/>
          <w:rtl w:val="true"/>
          <w:lang w:bidi="ar-SA"/>
        </w:rPr>
        <w:t>دلّت علی الأوّل</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فرق فیه </w:t>
      </w:r>
      <w:r>
        <w:rPr>
          <w:rStyle w:val="FootnoteAnchor"/>
          <w:rtl w:val="true"/>
        </w:rPr>
        <w:footnoteReference w:id="1470"/>
      </w:r>
      <w:r>
        <w:rPr>
          <w:rFonts w:ascii="IRNazanin" w:hAnsi="IRNazanin" w:eastAsia="IRNazanin"/>
          <w:color w:val="111111"/>
          <w:sz w:val="28"/>
          <w:sz w:val="28"/>
          <w:szCs w:val="28"/>
          <w:rtl w:val="true"/>
          <w:lang w:bidi="fa-IR"/>
        </w:rPr>
        <w:t xml:space="preserve">بین عین الذهب وغیره، فلو بلغ العین ربع دینار وزناً غیر مضروب ولم تبلغ قیمته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قیمة </w:t>
      </w:r>
      <w:r>
        <w:rPr>
          <w:rFonts w:eastAsia="IRNazanin" w:cs="IRNazanin"/>
          <w:color w:val="111111"/>
          <w:sz w:val="28"/>
          <w:szCs w:val="28"/>
          <w:rtl w:val="true"/>
          <w:lang w:bidi="fa-IR"/>
        </w:rPr>
        <w:t xml:space="preserve">] </w:t>
      </w:r>
      <w:r>
        <w:rPr>
          <w:rStyle w:val="FootnoteAnchor"/>
          <w:rtl w:val="true"/>
        </w:rPr>
        <w:footnoteReference w:id="1471"/>
      </w:r>
      <w:r>
        <w:rPr>
          <w:rFonts w:ascii="IRNazanin" w:hAnsi="IRNazanin" w:eastAsia="IRNazanin"/>
          <w:color w:val="111111"/>
          <w:sz w:val="28"/>
          <w:sz w:val="28"/>
          <w:szCs w:val="28"/>
          <w:rtl w:val="true"/>
          <w:lang w:bidi="fa-IR"/>
        </w:rPr>
        <w:t>المضروب فلا 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انعکس بأن کان</w:t>
      </w:r>
    </w:p>
    <w:p>
      <w:pPr>
        <w:pStyle w:val="BookText"/>
        <w:rPr/>
      </w:pPr>
      <w:r>
        <w:rPr>
          <w:rFonts w:ascii="IRNazanin" w:hAnsi="IRNazanin" w:eastAsia="IRNazanin"/>
          <w:color w:val="111111"/>
          <w:sz w:val="28"/>
          <w:sz w:val="28"/>
          <w:szCs w:val="28"/>
          <w:rtl w:val="true"/>
          <w:lang w:bidi="fa-IR"/>
        </w:rPr>
        <w:t xml:space="preserve">سدس دینار </w:t>
      </w:r>
      <w:r>
        <w:rPr>
          <w:rStyle w:val="FootnoteAnchor"/>
          <w:rtl w:val="true"/>
        </w:rPr>
        <w:footnoteReference w:id="1472"/>
      </w:r>
      <w:r>
        <w:rPr>
          <w:rFonts w:ascii="IRNazanin" w:hAnsi="IRNazanin" w:eastAsia="IRNazanin"/>
          <w:color w:val="111111"/>
          <w:sz w:val="28"/>
          <w:sz w:val="28"/>
          <w:szCs w:val="28"/>
          <w:rtl w:val="true"/>
          <w:lang w:bidi="fa-IR"/>
        </w:rPr>
        <w:t xml:space="preserve">مصوغاً قیمته ربع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 </w:t>
      </w:r>
      <w:r>
        <w:rPr>
          <w:rFonts w:eastAsia="IRNazanin" w:cs="IRNazanin"/>
          <w:color w:val="111111"/>
          <w:sz w:val="28"/>
          <w:szCs w:val="28"/>
          <w:rtl w:val="true"/>
          <w:lang w:bidi="fa-IR"/>
        </w:rPr>
        <w:t xml:space="preserve">] </w:t>
      </w:r>
      <w:r>
        <w:rPr>
          <w:rStyle w:val="FootnoteAnchor"/>
          <w:rtl w:val="true"/>
        </w:rPr>
        <w:footnoteReference w:id="1473"/>
      </w:r>
      <w:r>
        <w:rPr>
          <w:rFonts w:ascii="IRNazanin" w:hAnsi="IRNazanin" w:eastAsia="IRNazanin"/>
          <w:color w:val="111111"/>
          <w:sz w:val="28"/>
          <w:sz w:val="28"/>
          <w:szCs w:val="28"/>
          <w:rtl w:val="true"/>
          <w:lang w:bidi="fa-IR"/>
        </w:rPr>
        <w:t>قطع علی الأقوی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لا فرق بین علمه بقیمته أو شخصه وعدمه، فلو ظنّ المسروق فلساً فظهر دیناراً أو سرق ثوباً قیمته أقلّ من النصاب فظهر مشتملاً علی ما یبلغه ولو معه قُطع علی الأقوی؛ لتحقّق الشرط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یقدح عدم القصد إلیه؛ لتحقّقه فی السرقة إجمالاً وهو کافٍ، ولشهادة الحال بأ نّه لو علمه لقصده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وشمل إطلاق العبارة إخراج النصاب دفعة ومتعدّداً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کذلک، إلّامع تراخی الدفعات بحیث لا یعدّ سرقة واحدة أو </w:t>
      </w:r>
      <w:r>
        <w:rPr>
          <w:rStyle w:val="FootnoteAnchor"/>
          <w:rtl w:val="true"/>
        </w:rPr>
        <w:footnoteReference w:id="1474"/>
      </w:r>
      <w:r>
        <w:rPr>
          <w:rFonts w:ascii="IRNazanin" w:hAnsi="IRNazanin" w:eastAsia="IRNazanin"/>
          <w:color w:val="111111"/>
          <w:sz w:val="28"/>
          <w:sz w:val="28"/>
          <w:szCs w:val="28"/>
          <w:rtl w:val="true"/>
          <w:lang w:bidi="fa-IR"/>
        </w:rPr>
        <w:t xml:space="preserve">اطّلاع المالک بینها، فینفصل ما بعده، وسیأتی </w:t>
      </w:r>
      <w:r>
        <w:rPr>
          <w:rStyle w:val="FootnoteAnchor"/>
          <w:rtl w:val="true"/>
        </w:rPr>
        <w:footnoteReference w:id="1475"/>
      </w:r>
      <w:r>
        <w:rPr>
          <w:rFonts w:ascii="IRNazanin" w:hAnsi="IRNazanin" w:eastAsia="IRNazanin"/>
          <w:color w:val="111111"/>
          <w:sz w:val="28"/>
          <w:sz w:val="28"/>
          <w:szCs w:val="28"/>
          <w:rtl w:val="true"/>
          <w:lang w:bidi="fa-IR"/>
        </w:rPr>
        <w:t xml:space="preserve">حکایته لهذا المفهوم </w:t>
      </w:r>
      <w:r>
        <w:rPr>
          <w:rStyle w:val="FootnoteAnchor"/>
          <w:rtl w:val="true"/>
        </w:rPr>
        <w:footnoteReference w:id="1476"/>
      </w:r>
      <w:r>
        <w:rPr>
          <w:rFonts w:ascii="IRNazanin" w:hAnsi="IRNazanin" w:eastAsia="IRNazanin"/>
          <w:color w:val="111111"/>
          <w:sz w:val="28"/>
          <w:sz w:val="28"/>
          <w:szCs w:val="28"/>
          <w:rtl w:val="true"/>
          <w:lang w:bidi="fa-IR"/>
        </w:rPr>
        <w:t>قولاً مؤذناً بعدم اختیاره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ویعتبر اتّحاد الحرز، فلو أخرج النصاب من حرزین لم یُقطع، إلّاأن یشملهما ثالثٌ، فیکونان فی حکم 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عبرة بذلک </w:t>
      </w:r>
      <w:r>
        <w:rPr>
          <w:rStyle w:val="FootnoteAnchor"/>
          <w:rtl w:val="true"/>
        </w:rPr>
        <w:footnoteReference w:id="1477"/>
      </w:r>
      <w:r>
        <w:rPr>
          <w:rFonts w:ascii="IRNazanin" w:hAnsi="IRNazanin" w:eastAsia="IRNazanin"/>
          <w:color w:val="111111"/>
          <w:sz w:val="28"/>
          <w:sz w:val="28"/>
          <w:szCs w:val="28"/>
          <w:rtl w:val="true"/>
          <w:lang w:bidi="fa-IR"/>
        </w:rPr>
        <w:t xml:space="preserve">للعموم </w:t>
      </w:r>
      <w:r>
        <w:rPr>
          <w:rStyle w:val="FootnoteAnchor"/>
          <w:rtl w:val="true"/>
        </w:rPr>
        <w:footnoteReference w:id="14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فی الهاتک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للحرز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هتکاً ظاهراً؛ لأنّه لا یعدّ سارقاً، بل غاصباً أو مستلباً</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وکذا المستأمَن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بالإیداع والإعارة والضیافة وغیرها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خان</w:t>
      </w:r>
    </w:p>
    <w:p>
      <w:pPr>
        <w:pStyle w:val="BookText"/>
        <w:rPr/>
      </w:pPr>
      <w:r>
        <w:rPr>
          <w:rFonts w:ascii="IRNazanin" w:hAnsi="IRNazanin" w:eastAsia="IRNazanin"/>
          <w:color w:val="111111"/>
          <w:sz w:val="28"/>
          <w:sz w:val="28"/>
          <w:szCs w:val="28"/>
          <w:rtl w:val="true"/>
          <w:lang w:bidi="fa-IR"/>
        </w:rPr>
        <w:t>لم</w:t>
      </w:r>
    </w:p>
    <w:p>
      <w:pPr>
        <w:pStyle w:val="BookText"/>
        <w:rPr/>
      </w:pPr>
      <w:r>
        <w:rPr>
          <w:rFonts w:ascii="Amiri" w:hAnsi="Amiri" w:eastAsia="Amiri" w:cs="Amiri"/>
          <w:color w:val="111111"/>
          <w:sz w:val="28"/>
          <w:sz w:val="28"/>
          <w:szCs w:val="28"/>
          <w:rtl w:val="true"/>
          <w:lang w:bidi="ar-SA"/>
        </w:rPr>
        <w:t>یُقطع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تحقّق الهتک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من سرق من مال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نزل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ما لو سرق الولد من مال والده وإن علا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سرقت الاُمّ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 ولدها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منهما؛ لعموم الآیة، خرج منه الوالد فیبقی الباقی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أبو الصلاح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تُقطع الاُمّ بسرقة مال ولدها کالأب؛ لأنّها أحد الوالدین، ولاشتراکهما فی وجوب الإعظام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ونفی عنه فی المختلف البأس </w:t>
      </w:r>
      <w:r>
        <w:rPr>
          <w:rStyle w:val="FootnoteAnchor"/>
          <w:rtl w:val="true"/>
        </w:rPr>
        <w:footnoteReference w:id="14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والأصحّ المشهور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والجدّ للاُمّ کالاُمّ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یقطع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سرق المأکول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عام المجاعة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استوفی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الشرائط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لقول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یُقطع السارق فی عام سَنتٍ</w:t>
      </w:r>
      <w:r>
        <w:rPr>
          <w:rFonts w:eastAsia="IRNazanin" w:cs="IRNazanin"/>
          <w:color w:val="111111"/>
          <w:sz w:val="28"/>
          <w:szCs w:val="28"/>
          <w:rtl w:val="true"/>
          <w:lang w:bidi="fa-IR"/>
        </w:rPr>
        <w:t xml:space="preserve">» </w:t>
      </w:r>
      <w:r>
        <w:rPr>
          <w:rStyle w:val="FootnoteAnchor"/>
          <w:rtl w:val="true"/>
        </w:rPr>
        <w:footnoteReference w:id="1480"/>
      </w:r>
      <w:r>
        <w:rPr>
          <w:rFonts w:ascii="IRNazanin" w:hAnsi="IRNazanin" w:eastAsia="IRNazanin"/>
          <w:color w:val="111111"/>
          <w:sz w:val="28"/>
          <w:sz w:val="28"/>
          <w:szCs w:val="28"/>
          <w:rtl w:val="true"/>
          <w:lang w:bidi="fa-IR"/>
        </w:rPr>
        <w:t>یعنی فی عام مجاعة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خبر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أمیر المؤمنین علیه السلام لا یقطع السارق فی أیّام المجاعة</w:t>
      </w:r>
      <w:r>
        <w:rPr>
          <w:rFonts w:eastAsia="IRNazanin" w:cs="IRNazanin"/>
          <w:color w:val="111111"/>
          <w:sz w:val="28"/>
          <w:szCs w:val="28"/>
          <w:rtl w:val="true"/>
          <w:lang w:bidi="fa-IR"/>
        </w:rPr>
        <w:t xml:space="preserve">» </w:t>
      </w:r>
      <w:r>
        <w:rPr>
          <w:rStyle w:val="FootnoteAnchor"/>
          <w:rtl w:val="true"/>
        </w:rPr>
        <w:footnoteReference w:id="1481"/>
      </w:r>
      <w:r>
        <w:rPr>
          <w:rFonts w:ascii="IRNazanin" w:hAnsi="IRNazanin" w:eastAsia="IRNazanin"/>
          <w:color w:val="111111"/>
          <w:sz w:val="28"/>
          <w:sz w:val="28"/>
          <w:szCs w:val="28"/>
          <w:rtl w:val="true"/>
          <w:lang w:bidi="fa-IR"/>
        </w:rPr>
        <w:t>وعن الصادق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یُقطع السارق فی سنة المَحْل </w:t>
      </w:r>
      <w:r>
        <w:rPr>
          <w:rStyle w:val="FootnoteAnchor"/>
          <w:rtl w:val="true"/>
        </w:rPr>
        <w:footnoteReference w:id="1482"/>
      </w:r>
      <w:r>
        <w:rPr>
          <w:rFonts w:ascii="IRNazanin" w:hAnsi="IRNazanin" w:eastAsia="IRNazanin"/>
          <w:color w:val="111111"/>
          <w:sz w:val="28"/>
          <w:sz w:val="28"/>
          <w:szCs w:val="28"/>
          <w:rtl w:val="true"/>
          <w:lang w:bidi="fa-IR"/>
        </w:rPr>
        <w:t>فی شیء یُؤکل مثل الخبز واللحم وأشباهه</w:t>
      </w:r>
      <w:r>
        <w:rPr>
          <w:rFonts w:eastAsia="IRNazanin" w:cs="IRNazanin"/>
          <w:color w:val="111111"/>
          <w:sz w:val="28"/>
          <w:szCs w:val="28"/>
          <w:rtl w:val="true"/>
          <w:lang w:bidi="fa-IR"/>
        </w:rPr>
        <w:t xml:space="preserve">» </w:t>
      </w:r>
      <w:r>
        <w:rPr>
          <w:rStyle w:val="FootnoteAnchor"/>
          <w:rtl w:val="true"/>
        </w:rPr>
        <w:footnoteReference w:id="1483"/>
      </w:r>
      <w:r>
        <w:rPr>
          <w:rFonts w:eastAsia="Times New Roman" w:cs="Times New Roman" w:ascii="Times New Roman" w:hAnsi="Times New Roman"/>
          <w:color w:val="111111"/>
          <w:sz w:val="28"/>
          <w:szCs w:val="28"/>
          <w:rtl w:val="true"/>
          <w:lang w:val="en-US" w:bidi="en-US"/>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والمطلق فی الأوّلین مقیّد بهذا الخبر، وفی الطریق ضعف وإرسال </w:t>
      </w:r>
      <w:r>
        <w:rPr>
          <w:rStyle w:val="FootnoteAnchor"/>
          <w:rtl w:val="true"/>
        </w:rPr>
        <w:footnoteReference w:id="1484"/>
      </w:r>
    </w:p>
    <w:p>
      <w:pPr>
        <w:pStyle w:val="BookText"/>
        <w:rPr/>
      </w:pPr>
      <w:r>
        <w:rPr>
          <w:rFonts w:ascii="IRNazanin" w:hAnsi="IRNazanin" w:eastAsia="IRNazanin"/>
          <w:color w:val="111111"/>
          <w:sz w:val="28"/>
          <w:sz w:val="28"/>
          <w:szCs w:val="28"/>
          <w:rtl w:val="true"/>
          <w:lang w:bidi="fa-IR"/>
        </w:rPr>
        <w:t>لکنّ العمل به مشهور لا رادّ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وأطلق المصنّف وغیره </w:t>
      </w:r>
      <w:r>
        <w:rPr>
          <w:rStyle w:val="FootnoteAnchor"/>
          <w:rtl w:val="true"/>
        </w:rPr>
        <w:footnoteReference w:id="1485"/>
      </w:r>
      <w:r>
        <w:rPr>
          <w:rFonts w:ascii="IRNazanin" w:hAnsi="IRNazanin" w:eastAsia="IRNazanin"/>
          <w:color w:val="111111"/>
          <w:sz w:val="28"/>
          <w:sz w:val="28"/>
          <w:szCs w:val="28"/>
          <w:rtl w:val="true"/>
          <w:lang w:bidi="fa-IR"/>
        </w:rPr>
        <w:t>الحکم کذلک من غیر تقیید بکون السارق مضطرّاً إلیه وعدمه، تبعاً لإطلاق النصّ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وربما قیّده بعضهم بکونه مضطرّاً وإلّا قُطع </w:t>
      </w:r>
      <w:r>
        <w:rPr>
          <w:rStyle w:val="FootnoteAnchor"/>
          <w:rtl w:val="true"/>
        </w:rPr>
        <w:footnoteReference w:id="1486"/>
      </w:r>
      <w:r>
        <w:rPr>
          <w:rFonts w:ascii="IRNazanin" w:hAnsi="IRNazanin" w:eastAsia="IRNazanin"/>
          <w:color w:val="111111"/>
          <w:sz w:val="28"/>
          <w:sz w:val="28"/>
          <w:szCs w:val="28"/>
          <w:rtl w:val="true"/>
          <w:lang w:bidi="fa-IR"/>
        </w:rPr>
        <w:t>إذ لا دخل للمجاعة مع غناء السارق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بأس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اشتبه حاله اتّجه عدم القطع أیضاً، عملاً بالعموم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وبهذا یندفع 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المضطرّ یجوز له أخذه قهراً فی عام المجاعة وغیره </w:t>
      </w:r>
      <w:r>
        <w:rPr>
          <w:rStyle w:val="FootnoteAnchor"/>
          <w:rtl w:val="true"/>
        </w:rPr>
        <w:footnoteReference w:id="1487"/>
      </w:r>
      <w:r>
        <w:rPr>
          <w:rFonts w:ascii="IRNazanin" w:hAnsi="IRNazanin" w:eastAsia="IRNazanin"/>
          <w:color w:val="111111"/>
          <w:sz w:val="28"/>
          <w:sz w:val="28"/>
          <w:szCs w:val="28"/>
          <w:rtl w:val="true"/>
          <w:lang w:bidi="fa-IR"/>
        </w:rPr>
        <w:t xml:space="preserve">لأنّ المشتبه حاله لا یدخل فی الحکم </w:t>
      </w:r>
      <w:r>
        <w:rPr>
          <w:rStyle w:val="FootnoteAnchor"/>
          <w:rtl w:val="true"/>
        </w:rPr>
        <w:footnoteReference w:id="1488"/>
      </w:r>
      <w:r>
        <w:rPr>
          <w:rFonts w:ascii="IRNazanin" w:hAnsi="IRNazanin" w:eastAsia="IRNazanin"/>
          <w:color w:val="111111"/>
          <w:sz w:val="28"/>
          <w:sz w:val="28"/>
          <w:szCs w:val="28"/>
          <w:rtl w:val="true"/>
          <w:lang w:bidi="fa-IR"/>
        </w:rPr>
        <w:t xml:space="preserve">مع أ نّا نمنع من جواز أخذ المضطرّ له قهراً مطلقاً، بل مع عدم إمکان إرضاء مالکه بعوضه کما سبق </w:t>
      </w:r>
      <w:r>
        <w:rPr>
          <w:rStyle w:val="FootnoteAnchor"/>
          <w:rtl w:val="true"/>
        </w:rPr>
        <w:footnoteReference w:id="14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 الثابت الحکم بکونه لا یقطع إذا کان مضطرّاً مطلقاً وإن حرم علیه أخذه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فالفرق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والمراد بالمأکول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 مطلق المأکول </w:t>
      </w:r>
      <w:r>
        <w:rPr>
          <w:rFonts w:eastAsia="IRNazanin" w:cs="IRNazanin"/>
          <w:color w:val="111111"/>
          <w:sz w:val="28"/>
          <w:szCs w:val="28"/>
          <w:rtl w:val="true"/>
          <w:lang w:bidi="fa-IR"/>
        </w:rPr>
        <w:t xml:space="preserve">] </w:t>
      </w:r>
      <w:r>
        <w:rPr>
          <w:rStyle w:val="FootnoteAnchor"/>
          <w:rtl w:val="true"/>
        </w:rPr>
        <w:footnoteReference w:id="1490"/>
      </w:r>
      <w:r>
        <w:rPr>
          <w:rFonts w:ascii="IRNazanin" w:hAnsi="IRNazanin" w:eastAsia="IRNazanin"/>
          <w:color w:val="111111"/>
          <w:sz w:val="28"/>
          <w:sz w:val="28"/>
          <w:szCs w:val="28"/>
          <w:rtl w:val="true"/>
          <w:lang w:bidi="fa-IR"/>
        </w:rPr>
        <w:t>قوّة أو فعلاً کما ینبّه علیه المثال فی الخبر</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یقطع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سرق مال سیّده وإن انتفت عنه الشبهة، بل یؤدّب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لو سرق مال غیره فکالحرّ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کان العبد من الغنیمة فسرق منها لم یُقطع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فیه زیادة إضرار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یؤدّب بما یحسم جرأته</w:t>
      </w:r>
      <w:r>
        <w:rPr>
          <w:rFonts w:eastAsia="IRNazanin" w:cs="IRNazanin"/>
          <w:color w:val="111111"/>
          <w:sz w:val="28"/>
          <w:szCs w:val="28"/>
          <w:rtl w:val="true"/>
          <w:lang w:bidi="fa-IR"/>
        </w:rPr>
        <w:t>.</w:t>
      </w:r>
      <w:bookmarkStart w:id="517" w:name="pg19815_253344"/>
    </w:p>
    <w:p>
      <w:pPr>
        <w:pStyle w:val="Heading4"/>
        <w:numPr>
          <w:ilvl w:val="3"/>
          <w:numId w:val="1"/>
        </w:numPr>
        <w:rPr/>
      </w:pPr>
      <w:bookmarkStart w:id="518" w:name="__RefHeading___Toc2228067_2314609296"/>
      <w:bookmarkStart w:id="519" w:name="_Toc196"/>
      <w:bookmarkEnd w:id="517"/>
      <w:bookmarkEnd w:id="518"/>
      <w:r>
        <w:rPr>
          <w:rtl w:val="true"/>
        </w:rPr>
        <w:t>[«</w:t>
      </w:r>
      <w:r>
        <w:rPr>
          <w:rtl w:val="true"/>
        </w:rPr>
        <w:t>وهنا مسائل</w:t>
      </w:r>
      <w:r>
        <w:rPr>
          <w:rtl w:val="true"/>
        </w:rPr>
        <w:t>»]</w:t>
      </w:r>
      <w:bookmarkEnd w:id="519"/>
    </w:p>
    <w:p>
      <w:pPr>
        <w:pStyle w:val="Heading5"/>
        <w:numPr>
          <w:ilvl w:val="4"/>
          <w:numId w:val="1"/>
        </w:numPr>
        <w:rPr/>
      </w:pPr>
      <w:bookmarkStart w:id="520" w:name="__RefHeading___Toc2228069_2314609296"/>
      <w:bookmarkStart w:id="521" w:name="_Toc197"/>
      <w:bookmarkEnd w:id="520"/>
      <w:r>
        <w:rPr>
          <w:rtl w:val="true"/>
        </w:rPr>
        <w:t>[</w:t>
      </w:r>
      <w:r>
        <w:rPr>
          <w:rtl w:val="true"/>
        </w:rPr>
        <w:t>الاولی</w:t>
      </w:r>
      <w:r>
        <w:rPr>
          <w:rtl w:val="true"/>
        </w:rPr>
        <w:t xml:space="preserve">: </w:t>
      </w:r>
      <w:r>
        <w:rPr>
          <w:rtl w:val="true"/>
        </w:rPr>
        <w:t>لا فرق بین اخراج السارق المتاع بنفسه او بسببه</w:t>
      </w:r>
      <w:r>
        <w:rPr>
          <w:rtl w:val="true"/>
        </w:rPr>
        <w:t>]</w:t>
      </w:r>
      <w:bookmarkEnd w:id="52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لا فرق بین إخراج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السارق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المتاع بنفسه أو بسببه، مثل أن یشدّه بحبل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یجرّ به من خارج الحرز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یضعه علی دابّة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الحرز ویخرجها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یأمر غیر ممیّز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صبیّ أو مجنون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بإخراجه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القطع یتوجّه علی الآمر، لا علی الصبیّ والمجنون لضعف المباشر فی جنب السبب؛ لأ نّهما کالآلة </w:t>
      </w:r>
      <w:r>
        <w:rPr>
          <w:rStyle w:val="FootnoteAnchor"/>
          <w:rtl w:val="true"/>
        </w:rPr>
        <w:footnoteReference w:id="149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22" w:name="__RefHeading___Toc2228071_2314609296"/>
      <w:bookmarkStart w:id="523" w:name="_Toc198"/>
      <w:bookmarkEnd w:id="522"/>
      <w:r>
        <w:rPr>
          <w:rtl w:val="true"/>
        </w:rPr>
        <w:t>«</w:t>
      </w:r>
      <w:r>
        <w:rPr>
          <w:rtl w:val="true"/>
        </w:rPr>
        <w:t xml:space="preserve">الثانیة </w:t>
      </w:r>
      <w:r>
        <w:rPr>
          <w:rtl w:val="true"/>
        </w:rPr>
        <w:t>[</w:t>
      </w:r>
      <w:r>
        <w:rPr>
          <w:rtl w:val="true"/>
        </w:rPr>
        <w:t>یقطع الضیف و الاجیر اذا سرقا</w:t>
      </w:r>
      <w:r>
        <w:rPr>
          <w:rtl w:val="true"/>
        </w:rPr>
        <w:t>] » :</w:t>
      </w:r>
      <w:bookmarkEnd w:id="52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یُقطع الضیف والأجیر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سرقا مال المُضیف أو المستأجر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الإحراز من 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دون کلّ منهما علی الأشهر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یقطعان مطلقاً </w:t>
      </w:r>
      <w:r>
        <w:rPr>
          <w:rStyle w:val="FootnoteAnchor"/>
          <w:rtl w:val="true"/>
        </w:rPr>
        <w:footnoteReference w:id="1492"/>
      </w:r>
      <w:r>
        <w:rPr>
          <w:rFonts w:ascii="IRNazanin" w:hAnsi="IRNazanin" w:eastAsia="IRNazanin"/>
          <w:color w:val="111111"/>
          <w:sz w:val="28"/>
          <w:sz w:val="28"/>
          <w:szCs w:val="28"/>
          <w:rtl w:val="true"/>
          <w:lang w:bidi="fa-IR"/>
        </w:rPr>
        <w:t xml:space="preserve">استناداً إلی أخبار </w:t>
      </w:r>
      <w:r>
        <w:rPr>
          <w:rStyle w:val="FootnoteAnchor"/>
          <w:rtl w:val="true"/>
        </w:rPr>
        <w:footnoteReference w:id="1493"/>
      </w:r>
      <w:r>
        <w:rPr>
          <w:rFonts w:ascii="IRNazanin" w:hAnsi="IRNazanin" w:eastAsia="IRNazanin"/>
          <w:color w:val="111111"/>
          <w:sz w:val="28"/>
          <w:sz w:val="28"/>
          <w:szCs w:val="28"/>
          <w:rtl w:val="true"/>
          <w:lang w:bidi="fa-IR"/>
        </w:rPr>
        <w:t>ظاهرة فی کون المال غیر محرز عنهما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فالتفصیل حسن</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لو أضاف الضیف ضیفاً بغیر إذن صاحب المنزل فسرق الثانی قُطِع؛ لأ نّه بمنزلة الخارج</w:t>
      </w:r>
      <w:r>
        <w:rPr>
          <w:rFonts w:eastAsia="IRNazanin" w:cs="IRNazanin"/>
          <w:color w:val="111111"/>
          <w:sz w:val="28"/>
          <w:szCs w:val="28"/>
          <w:rtl w:val="true"/>
          <w:lang w:bidi="fa-IR"/>
        </w:rPr>
        <w:t>.</w:t>
      </w:r>
      <w:bookmarkStart w:id="524" w:name="pg19815_253345"/>
    </w:p>
    <w:p>
      <w:pPr>
        <w:pStyle w:val="BookText"/>
        <w:rPr/>
      </w:pPr>
      <w:bookmarkEnd w:id="52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یُقطع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الزوجان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کلّ منهما بِسرقة مال الآخر مع الإحراز عنه، وإلّا فلا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ادّعی السارق الهبة أو الإذن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من المالک فی الأخذ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الملک حلف المالک ولا 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لتحقّق الشبهة بذلک علی الحاکم وإن انتفت عن السارق فی نفس الأمر</w:t>
      </w:r>
      <w:r>
        <w:rPr>
          <w:rFonts w:eastAsia="IRNazanin" w:cs="IRNazanin"/>
          <w:color w:val="111111"/>
          <w:sz w:val="28"/>
          <w:szCs w:val="28"/>
          <w:rtl w:val="true"/>
          <w:lang w:bidi="fa-IR"/>
        </w:rPr>
        <w:t>.</w:t>
      </w:r>
    </w:p>
    <w:p>
      <w:pPr>
        <w:pStyle w:val="Heading5"/>
        <w:numPr>
          <w:ilvl w:val="4"/>
          <w:numId w:val="1"/>
        </w:numPr>
        <w:rPr/>
      </w:pPr>
      <w:bookmarkStart w:id="525" w:name="__RefHeading___Toc2228073_2314609296"/>
      <w:bookmarkStart w:id="526" w:name="_Toc199"/>
      <w:bookmarkEnd w:id="525"/>
      <w:r>
        <w:rPr>
          <w:rtl w:val="true"/>
        </w:rPr>
        <w:t>«</w:t>
      </w:r>
      <w:r>
        <w:rPr>
          <w:rtl w:val="true"/>
        </w:rPr>
        <w:t xml:space="preserve">الثالثة </w:t>
      </w:r>
      <w:r>
        <w:rPr>
          <w:rtl w:val="true"/>
        </w:rPr>
        <w:t>[</w:t>
      </w:r>
      <w:r>
        <w:rPr>
          <w:rtl w:val="true"/>
        </w:rPr>
        <w:t>الحرز</w:t>
      </w:r>
      <w:r>
        <w:rPr>
          <w:rtl w:val="true"/>
        </w:rPr>
        <w:t>] » :</w:t>
      </w:r>
      <w:bookmarkEnd w:id="52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تحدید له شرعاً، فیرجع فیه إلی العرف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وضابطه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کان ممنوعاً بغَلَق أو قُفل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فی معناه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دفن فی العمران أو کان مراعی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قول </w:t>
      </w:r>
      <w:r>
        <w:rPr>
          <w:rStyle w:val="FootnoteAnchor"/>
          <w:rtl w:val="true"/>
        </w:rPr>
        <w:footnoteReference w:id="14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لقضاء العادة بإحراز کثیر من الأموال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وحکایته قولاً یشعر بتمریضه، کما ذهب إلیه جماعة </w:t>
      </w:r>
      <w:r>
        <w:rPr>
          <w:rStyle w:val="FootnoteAnchor"/>
          <w:rtl w:val="true"/>
        </w:rPr>
        <w:footnoteReference w:id="1495"/>
      </w:r>
      <w:r>
        <w:rPr>
          <w:rFonts w:ascii="Amiri" w:hAnsi="Amiri" w:eastAsia="Amiri" w:cs="Amiri"/>
          <w:color w:val="111111"/>
          <w:sz w:val="28"/>
          <w:sz w:val="28"/>
          <w:szCs w:val="28"/>
          <w:rtl w:val="true"/>
          <w:lang w:bidi="ar-SA"/>
        </w:rPr>
        <w:t>لقول علیّ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یُقطع إلّامن نقب نقباً، أو کسر قفلاً</w:t>
      </w:r>
      <w:r>
        <w:rPr>
          <w:rFonts w:eastAsia="Amiri" w:cs="Amiri" w:ascii="Amiri" w:hAnsi="Amiri"/>
          <w:color w:val="111111"/>
          <w:sz w:val="28"/>
          <w:szCs w:val="28"/>
          <w:rtl w:val="true"/>
          <w:lang w:bidi="ar-SA"/>
        </w:rPr>
        <w:t xml:space="preserve">» </w:t>
      </w:r>
      <w:r>
        <w:rPr>
          <w:rStyle w:val="FootnoteAnchor"/>
          <w:rtl w:val="true"/>
        </w:rPr>
        <w:footnoteReference w:id="1496"/>
      </w:r>
      <w:r>
        <w:rPr>
          <w:rFonts w:ascii="IRNazanin" w:hAnsi="IRNazanin" w:eastAsia="IRNazanin"/>
          <w:color w:val="111111"/>
          <w:sz w:val="28"/>
          <w:sz w:val="28"/>
          <w:szCs w:val="28"/>
          <w:rtl w:val="true"/>
          <w:lang w:bidi="fa-IR"/>
        </w:rPr>
        <w:t xml:space="preserve">وفی طریقه ضعف </w:t>
      </w:r>
      <w:r>
        <w:rPr>
          <w:rStyle w:val="FootnoteAnchor"/>
          <w:rtl w:val="true"/>
        </w:rPr>
        <w:footnoteReference w:id="1497"/>
      </w:r>
      <w:r>
        <w:rPr>
          <w:rFonts w:eastAsia="Times New Roman" w:cs="Times New Roman" w:ascii="Times New Roman" w:hAnsi="Times New Roman"/>
          <w:color w:val="111111"/>
          <w:sz w:val="28"/>
          <w:szCs w:val="28"/>
          <w:rtl w:val="true"/>
          <w:lang w:val="en-US" w:bidi="en-US"/>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یتحقّق الحرز بالمراعاة إلّامع النظر إلیه ومع ذلک لا تتحقّق السرقة؛ لما تقدّم </w:t>
      </w:r>
      <w:r>
        <w:rPr>
          <w:rStyle w:val="FootnoteAnchor"/>
          <w:rtl w:val="true"/>
        </w:rPr>
        <w:footnoteReference w:id="1498"/>
      </w:r>
      <w:r>
        <w:rPr>
          <w:rFonts w:ascii="Amiri" w:hAnsi="Amiri" w:eastAsia="Amiri" w:cs="Amiri"/>
          <w:color w:val="111111"/>
          <w:sz w:val="28"/>
          <w:sz w:val="28"/>
          <w:szCs w:val="28"/>
          <w:rtl w:val="true"/>
          <w:lang w:bidi="ar-SA"/>
        </w:rPr>
        <w:t>من أ نّها لا تکون إلّاسرّاً، ومع غفلته عنه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ولو نادراً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یکون مراعیاً له، فلا یتحقّق إحرازه بها، فظهر أنّ السرقة لا تتحقّق مع المراعاة وإن جعلناها حرزاً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وللشیخ قول بأنّ الحرز کلّ موضع لم یکن لغیر المتصرّف فیه الدخول إلیه إلّا بإذنه </w:t>
      </w:r>
      <w:r>
        <w:rPr>
          <w:rStyle w:val="FootnoteAnchor"/>
          <w:rtl w:val="true"/>
        </w:rPr>
        <w:footnoteReference w:id="1499"/>
      </w:r>
      <w:r>
        <w:rPr>
          <w:rFonts w:ascii="IRNazanin" w:hAnsi="IRNazanin" w:eastAsia="IRNazanin"/>
          <w:color w:val="111111"/>
          <w:sz w:val="28"/>
          <w:sz w:val="28"/>
          <w:szCs w:val="28"/>
          <w:rtl w:val="true"/>
          <w:lang w:bidi="fa-IR"/>
        </w:rPr>
        <w:t>وینتقض بالدار المفتّحة الأبواب فی العمران وصاحبها لیس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یکون سارقه علی خطرٍ خوفاً من الاطّلاع علیه </w:t>
      </w:r>
      <w:r>
        <w:rPr>
          <w:rStyle w:val="FootnoteAnchor"/>
          <w:rtl w:val="true"/>
        </w:rPr>
        <w:footnoteReference w:id="1500"/>
      </w:r>
      <w:r>
        <w:rPr>
          <w:rFonts w:ascii="IRNazanin" w:hAnsi="IRNazanin" w:eastAsia="IRNazanin"/>
          <w:color w:val="111111"/>
          <w:sz w:val="28"/>
          <w:sz w:val="28"/>
          <w:szCs w:val="28"/>
          <w:rtl w:val="true"/>
          <w:lang w:bidi="fa-IR"/>
        </w:rPr>
        <w:t>وینتقض بذلک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الأوّل تخرج المراعاة دون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والأولی الرجوع فیه إلی العرف، وهو یختلف باختلاف الأموال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فحرز الأثمان والجواهر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الصنادیق المقفَّلة والأغلاق الوثیقة فی العمران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وحرز الثیاب وما خَفّ من المتاع وآلات النحاس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الدکاکین والبیوت المقفّلة فی العمران، أو خزانتها </w:t>
      </w:r>
      <w:r>
        <w:rPr>
          <w:rStyle w:val="FootnoteAnchor"/>
          <w:rtl w:val="true"/>
        </w:rPr>
        <w:footnoteReference w:id="1501"/>
      </w:r>
      <w:r>
        <w:rPr>
          <w:rFonts w:ascii="IRNazanin" w:hAnsi="IRNazanin" w:eastAsia="IRNazanin"/>
          <w:color w:val="111111"/>
          <w:sz w:val="28"/>
          <w:sz w:val="28"/>
          <w:szCs w:val="28"/>
          <w:rtl w:val="true"/>
          <w:lang w:bidi="fa-IR"/>
        </w:rPr>
        <w:t>المقفَّلة وإن کانت هی مفتوحة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والاصطبل حرز للدوابّ مع الغلق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وحرز الماشیة فی المرعی عین الراعی علی ما تقرّر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ومثله متاع البائع فی الأسواق والطرقات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واحترز بالدفن فی العمران عمّا لو وقع خارجه، فإنّه لا یُعدّ حرزاً وإن کان فی داخل بیت مُغلَق؛ لعدم الخطر علی سارقه، وعدم قضاء العرف به</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والجیب والکُمّ الباطنان حرز، لا الظاهران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والمراد بالجَیب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فی ظاهر الثوب الأعلی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والباطن ما کان فی باطنه، أو فی</w:t>
      </w:r>
    </w:p>
    <w:p>
      <w:pPr>
        <w:pStyle w:val="BookText"/>
        <w:rPr/>
      </w:pPr>
      <w:r>
        <w:rPr>
          <w:rFonts w:ascii="IRNazanin" w:hAnsi="IRNazanin" w:eastAsia="IRNazanin"/>
          <w:color w:val="111111"/>
          <w:sz w:val="28"/>
          <w:sz w:val="28"/>
          <w:szCs w:val="28"/>
          <w:rtl w:val="true"/>
          <w:lang w:bidi="fa-IR"/>
        </w:rPr>
        <w:t>ثوب داخل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الکُمّ الظاهر،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به ما کان معقوداً فی خارجه؛ لسهولة قطع السارق له فیسقط ما فی داخله ولو فی وقت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وبالباطن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کان معقوداً من داخل کُمّ الثوب الأعلی، أو فی الثوب الذی تحته مطلقاً </w:t>
      </w:r>
      <w:r>
        <w:rPr>
          <w:rStyle w:val="FootnoteAnchor"/>
          <w:rtl w:val="true"/>
        </w:rPr>
        <w:footnoteReference w:id="15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الشیخ فی 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بالجیب الباطن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کان فوقه قمیص آخر، وکذا الکُمّ سواء شدّه فی الکُمّ من داخل أو من خارج </w:t>
      </w:r>
      <w:r>
        <w:rPr>
          <w:rStyle w:val="FootnoteAnchor"/>
          <w:rtl w:val="true"/>
        </w:rPr>
        <w:footnoteReference w:id="15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المبسوط اختار فی الکُمّ عکس ما ذکرناه، فنقل عن قوم أ نّه إن جعلها </w:t>
      </w:r>
      <w:r>
        <w:rPr>
          <w:rStyle w:val="FootnoteAnchor"/>
          <w:rtl w:val="true"/>
        </w:rPr>
        <w:footnoteReference w:id="1504"/>
      </w:r>
      <w:r>
        <w:rPr>
          <w:rFonts w:ascii="IRNazanin" w:hAnsi="IRNazanin" w:eastAsia="IRNazanin"/>
          <w:color w:val="111111"/>
          <w:sz w:val="28"/>
          <w:sz w:val="28"/>
          <w:szCs w:val="28"/>
          <w:rtl w:val="true"/>
          <w:lang w:bidi="fa-IR"/>
        </w:rPr>
        <w:t>فی جوف الکُمّ وشدّها من خارج فعلیه القطع، وإن جعلها من خارج وشدّها من داخل فلا قطع،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الذی یقتضیه مذهبنا </w:t>
      </w:r>
      <w:r>
        <w:rPr>
          <w:rStyle w:val="FootnoteAnchor"/>
          <w:rtl w:val="true"/>
        </w:rPr>
        <w:footnoteReference w:id="15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والأخبار فی ذلک مطلقة فی اعتبار الثوب الأعلی والأسفل </w:t>
      </w:r>
      <w:r>
        <w:rPr>
          <w:rStyle w:val="FootnoteAnchor"/>
          <w:rtl w:val="true"/>
        </w:rPr>
        <w:footnoteReference w:id="1506"/>
      </w:r>
      <w:r>
        <w:rPr>
          <w:rFonts w:ascii="IRNazanin" w:hAnsi="IRNazanin" w:eastAsia="IRNazanin"/>
          <w:color w:val="111111"/>
          <w:sz w:val="28"/>
          <w:sz w:val="28"/>
          <w:szCs w:val="28"/>
          <w:rtl w:val="true"/>
          <w:lang w:bidi="fa-IR"/>
        </w:rPr>
        <w:t xml:space="preserve">فیقطع فی الثانی دون الأوّل، وهو موافق للخلاف </w:t>
      </w:r>
      <w:r>
        <w:rPr>
          <w:rStyle w:val="FootnoteAnchor"/>
          <w:rtl w:val="true"/>
        </w:rPr>
        <w:footnoteReference w:id="1507"/>
      </w:r>
      <w:r>
        <w:rPr>
          <w:rFonts w:ascii="IRNazanin" w:hAnsi="IRNazanin" w:eastAsia="IRNazanin"/>
          <w:color w:val="111111"/>
          <w:sz w:val="28"/>
          <w:sz w:val="28"/>
          <w:szCs w:val="28"/>
          <w:rtl w:val="true"/>
          <w:lang w:bidi="fa-IR"/>
        </w:rPr>
        <w:t xml:space="preserve">ومال إلیه فی المختلف وجعله المشهور </w:t>
      </w:r>
      <w:r>
        <w:rPr>
          <w:rStyle w:val="FootnoteAnchor"/>
          <w:rtl w:val="true"/>
        </w:rPr>
        <w:footnoteReference w:id="1508"/>
      </w:r>
      <w:r>
        <w:rPr>
          <w:rFonts w:eastAsia="Times New Roman" w:cs="Times New Roman" w:ascii="Times New Roman" w:hAnsi="Times New Roman"/>
          <w:color w:val="111111"/>
          <w:sz w:val="28"/>
          <w:szCs w:val="28"/>
          <w:rtl w:val="true"/>
          <w:lang w:val="en-US" w:bidi="en-US"/>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وهو فی الکُمّ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فی الجَیب، فلا ینحصر الباطن منه فیما کان فوقه ثوب آخر، بل یصدق به وبما کان فی باطن الثوب الأعلی کما قلناه</w:t>
      </w:r>
      <w:r>
        <w:rPr>
          <w:rFonts w:eastAsia="IRNazanin" w:cs="IRNazanin"/>
          <w:color w:val="111111"/>
          <w:sz w:val="28"/>
          <w:szCs w:val="28"/>
          <w:rtl w:val="true"/>
          <w:lang w:bidi="fa-IR"/>
        </w:rPr>
        <w:t>.</w:t>
      </w:r>
      <w:bookmarkStart w:id="527" w:name="pg19815_253348"/>
    </w:p>
    <w:p>
      <w:pPr>
        <w:pStyle w:val="Heading5"/>
        <w:numPr>
          <w:ilvl w:val="4"/>
          <w:numId w:val="1"/>
        </w:numPr>
        <w:rPr/>
      </w:pPr>
      <w:bookmarkStart w:id="528" w:name="__RefHeading___Toc2228075_2314609296"/>
      <w:bookmarkStart w:id="529" w:name="_Toc200"/>
      <w:bookmarkEnd w:id="527"/>
      <w:bookmarkEnd w:id="528"/>
      <w:r>
        <w:rPr>
          <w:rtl w:val="true"/>
        </w:rPr>
        <w:t>«</w:t>
      </w:r>
      <w:r>
        <w:rPr>
          <w:rtl w:val="true"/>
        </w:rPr>
        <w:t xml:space="preserve">الرابعة </w:t>
      </w:r>
      <w:r>
        <w:rPr>
          <w:rtl w:val="true"/>
        </w:rPr>
        <w:t>[</w:t>
      </w:r>
      <w:r>
        <w:rPr>
          <w:rtl w:val="true"/>
        </w:rPr>
        <w:t>لاقطع فی سرقة الثمر علی الشجرة</w:t>
      </w:r>
      <w:r>
        <w:rPr>
          <w:rtl w:val="true"/>
        </w:rPr>
        <w:t>] » :</w:t>
      </w:r>
      <w:bookmarkEnd w:id="52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قطع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الثمر علی شجرة </w:t>
      </w:r>
      <w:r>
        <w:rPr>
          <w:rStyle w:val="FootnoteAnchor"/>
          <w:rtl w:val="true"/>
        </w:rPr>
        <w:footnoteReference w:id="15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کان محرزاً بحائط وغَلَق؛ لإطلاق النصوص الکثیرة بعدم القطع بسرقته </w:t>
      </w:r>
      <w:r>
        <w:rPr>
          <w:rStyle w:val="FootnoteAnchor"/>
          <w:rtl w:val="true"/>
        </w:rPr>
        <w:footnoteReference w:id="1510"/>
      </w:r>
      <w:r>
        <w:rPr>
          <w:rFonts w:ascii="Amiri" w:hAnsi="Amiri" w:eastAsia="Amiri" w:cs="Amiri"/>
          <w:color w:val="111111"/>
          <w:sz w:val="28"/>
          <w:sz w:val="28"/>
          <w:szCs w:val="28"/>
          <w:rtl w:val="true"/>
          <w:lang w:bidi="ar-SA"/>
        </w:rPr>
        <w:t>مطلقاً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العلّامة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جمال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المطهَّر رحمه الله</w:t>
      </w:r>
      <w:r>
        <w:rPr>
          <w:rFonts w:eastAsia="IRNazanin" w:cs="IRNazanin"/>
          <w:color w:val="111111"/>
          <w:sz w:val="28"/>
          <w:szCs w:val="28"/>
          <w:rtl w:val="true"/>
          <w:lang w:bidi="fa-IR"/>
        </w:rPr>
        <w:t xml:space="preserve">» </w:t>
      </w:r>
      <w:r>
        <w:rPr>
          <w:rStyle w:val="FootnoteAnchor"/>
          <w:rtl w:val="true"/>
        </w:rPr>
        <w:footnoteReference w:id="1511"/>
      </w:r>
      <w:r>
        <w:rPr>
          <w:rFonts w:ascii="IRNazanin" w:hAnsi="IRNazanin" w:eastAsia="IRNazanin"/>
          <w:color w:val="111111"/>
          <w:sz w:val="28"/>
          <w:sz w:val="28"/>
          <w:szCs w:val="28"/>
          <w:rtl w:val="true"/>
          <w:lang w:bidi="fa-IR"/>
        </w:rPr>
        <w:t xml:space="preserve">وتبعه ولده فخر المحقّقین </w:t>
      </w:r>
      <w:r>
        <w:rPr>
          <w:rStyle w:val="FootnoteAnchor"/>
          <w:rtl w:val="true"/>
        </w:rPr>
        <w:footnoteReference w:id="151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کانت الشجرة داخل حرز فهتکه وسرق الثمرة 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لعموم الأدلّة الدالّة علی قطع من سرق من حرز </w:t>
      </w:r>
      <w:r>
        <w:rPr>
          <w:rStyle w:val="FootnoteAnchor"/>
          <w:rtl w:val="true"/>
        </w:rPr>
        <w:footnoteReference w:id="1513"/>
      </w:r>
      <w:r>
        <w:rPr>
          <w:rFonts w:ascii="IRNazanin" w:hAnsi="IRNazanin" w:eastAsia="IRNazanin"/>
          <w:color w:val="111111"/>
          <w:sz w:val="28"/>
          <w:sz w:val="28"/>
          <w:szCs w:val="28"/>
          <w:rtl w:val="true"/>
          <w:lang w:bidi="fa-IR"/>
        </w:rPr>
        <w:t>فتختصّ روایات الثمرة بما کان منها فی غیر حرز، بناءً علی الغالب من کون الأشجار فی غیر حرز کالبساتین والصحاری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 نّه یمکن القدح فی الأخبار الدالّة علی عدم القطع بسرقة الثمر؛ إذ لیس فیها خبر صحیح، لکنّها کثیرة والعمل بها 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وکیف کان، فهو غیر کافٍ فی تخصیص ما علیه الإجماع فضلاً عن النصوص الصریحة الصحیحة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کانت مراعاةً بنظر المالک فکالمحرزة إن ألحقناه بالحرز</w:t>
      </w:r>
      <w:r>
        <w:rPr>
          <w:rFonts w:eastAsia="IRNazanin" w:cs="IRNazanin"/>
          <w:color w:val="111111"/>
          <w:sz w:val="28"/>
          <w:szCs w:val="28"/>
          <w:rtl w:val="true"/>
          <w:lang w:bidi="fa-IR"/>
        </w:rPr>
        <w:t>.</w:t>
      </w:r>
    </w:p>
    <w:p>
      <w:pPr>
        <w:pStyle w:val="Heading5"/>
        <w:numPr>
          <w:ilvl w:val="4"/>
          <w:numId w:val="1"/>
        </w:numPr>
        <w:rPr/>
      </w:pPr>
      <w:bookmarkStart w:id="530" w:name="__RefHeading___Toc2228077_2314609296"/>
      <w:bookmarkStart w:id="531" w:name="_Toc201"/>
      <w:bookmarkEnd w:id="530"/>
      <w:r>
        <w:rPr>
          <w:rtl w:val="true"/>
        </w:rPr>
        <w:t>«</w:t>
      </w:r>
      <w:r>
        <w:rPr>
          <w:rtl w:val="true"/>
        </w:rPr>
        <w:t xml:space="preserve">الخامسة </w:t>
      </w:r>
      <w:r>
        <w:rPr>
          <w:rtl w:val="true"/>
        </w:rPr>
        <w:t>[</w:t>
      </w:r>
      <w:r>
        <w:rPr>
          <w:rtl w:val="true"/>
        </w:rPr>
        <w:t>حکم سارق الحر و المملوک</w:t>
      </w:r>
      <w:r>
        <w:rPr>
          <w:rtl w:val="true"/>
        </w:rPr>
        <w:t>] » :</w:t>
      </w:r>
      <w:bookmarkEnd w:id="531"/>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یقطع سارق الحرّ وإن کان صغیراً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لأنّه لا یعدّ مالاً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باعه</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والقائل الشیخ </w:t>
      </w:r>
      <w:r>
        <w:rPr>
          <w:rStyle w:val="FootnoteAnchor"/>
          <w:rtl w:val="true"/>
        </w:rPr>
        <w:footnoteReference w:id="1514"/>
      </w:r>
      <w:r>
        <w:rPr>
          <w:rFonts w:ascii="Amiri" w:hAnsi="Amiri" w:eastAsia="Amiri" w:cs="Amiri"/>
          <w:color w:val="111111"/>
          <w:sz w:val="28"/>
          <w:sz w:val="28"/>
          <w:szCs w:val="28"/>
          <w:rtl w:val="true"/>
          <w:lang w:bidi="ar-SA"/>
        </w:rPr>
        <w:t xml:space="preserve">وتبعه العلّامة </w:t>
      </w:r>
      <w:r>
        <w:rPr>
          <w:rStyle w:val="FootnoteAnchor"/>
          <w:rtl w:val="true"/>
        </w:rPr>
        <w:footnoteReference w:id="151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یقطع السارق، لکن لا من حیث إنّه سارق، 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لفساده فی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وجزاءُ المفسد القطع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بسبب السرقة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ویشکل بأ نّه إن کان مفسداً فاللازم تخیّر الحاکم بین قتله وقطع یده ورجله من خلاف إلی غیر ذلک من أحکامه، لا تعیّن القطع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وجوب القطع فی سرقة المال إنّما جاء لحراسته وحراسة النفس أولی فوجوب القطع فیه أولی </w:t>
      </w:r>
      <w:r>
        <w:rPr>
          <w:rStyle w:val="FootnoteAnchor"/>
          <w:rtl w:val="true"/>
        </w:rPr>
        <w:footnoteReference w:id="1516"/>
      </w:r>
      <w:r>
        <w:rPr>
          <w:rFonts w:ascii="IRNazanin" w:hAnsi="IRNazanin" w:eastAsia="IRNazanin"/>
          <w:color w:val="111111"/>
          <w:sz w:val="28"/>
          <w:sz w:val="28"/>
          <w:szCs w:val="28"/>
          <w:rtl w:val="true"/>
          <w:lang w:bidi="fa-IR"/>
        </w:rPr>
        <w:t>لا یتمّ أیضاً؛ لأنّ الحکم معلّق علی مال خاصّ یُسرق علی وجه خاصّ، ومثله لا یتمّ فی الحرّ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ومطلق صیانته غیر مقصود فی هذا الباب کما یظهر من الشرائط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وحمل النفس علیه مطلقاً </w:t>
      </w:r>
      <w:r>
        <w:rPr>
          <w:rStyle w:val="FootnoteAnchor"/>
          <w:rtl w:val="true"/>
        </w:rPr>
        <w:footnoteReference w:id="1517"/>
      </w:r>
      <w:r>
        <w:rPr>
          <w:rFonts w:ascii="IRNazanin" w:hAnsi="IRNazanin" w:eastAsia="IRNazanin"/>
          <w:color w:val="111111"/>
          <w:sz w:val="28"/>
          <w:sz w:val="28"/>
          <w:szCs w:val="28"/>
          <w:rtl w:val="true"/>
          <w:lang w:bidi="fa-IR"/>
        </w:rPr>
        <w:t xml:space="preserve">لا یتمّ، وشرائطه لا تنتظم فی خصوصیّة سرقة الصغیر وبیعه دون غیره </w:t>
      </w:r>
      <w:r>
        <w:rPr>
          <w:rStyle w:val="FootnoteAnchor"/>
          <w:rtl w:val="true"/>
        </w:rPr>
        <w:footnoteReference w:id="1518"/>
      </w:r>
      <w:r>
        <w:rPr>
          <w:rFonts w:ascii="IRNazanin" w:hAnsi="IRNazanin" w:eastAsia="IRNazanin"/>
          <w:color w:val="111111"/>
          <w:sz w:val="28"/>
          <w:sz w:val="28"/>
          <w:szCs w:val="28"/>
          <w:rtl w:val="true"/>
          <w:lang w:bidi="fa-IR"/>
        </w:rPr>
        <w:t>من تفویته وإذهاب أجزائه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فإثبات الحکم بمثل ذلک غیر جیّد، ومن ثَمَّ حکاه المصنّف قولاً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القولین لو لم یبعه لم یُقطع وإن کان علیه ثیاب أو حلیّ تبلغ النصاب؛ لثبوت یده علیها، فلم تتحقّق سرقتها </w:t>
      </w:r>
      <w:r>
        <w:rPr>
          <w:rStyle w:val="FootnoteAnchor"/>
          <w:rtl w:val="true"/>
        </w:rPr>
        <w:footnoteReference w:id="1519"/>
      </w:r>
      <w:r>
        <w:rPr>
          <w:rFonts w:eastAsia="Times New Roman" w:cs="Times New Roman" w:ascii="Times New Roman" w:hAnsi="Times New Roman"/>
          <w:color w:val="111111"/>
          <w:sz w:val="28"/>
          <w:szCs w:val="28"/>
          <w:rtl w:val="true"/>
          <w:lang w:val="en-US" w:bidi="en-US"/>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لو کان صغیراً علی وجهٍ لا تتحقّق له الید اتّجه القطع بالمال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ومثله سرقة الکبیر بمتاعه وهو نائم أو سکران أو مغمی علیه، أو مجنون</w:t>
      </w:r>
      <w:r>
        <w:rPr>
          <w:rFonts w:eastAsia="IRNazanin" w:cs="IRNazanin"/>
          <w:color w:val="111111"/>
          <w:sz w:val="28"/>
          <w:szCs w:val="28"/>
          <w:rtl w:val="true"/>
          <w:lang w:bidi="fa-IR"/>
        </w:rPr>
        <w:t>.</w:t>
      </w:r>
      <w:bookmarkStart w:id="532" w:name="pg19815_253350"/>
    </w:p>
    <w:p>
      <w:pPr>
        <w:pStyle w:val="BookText"/>
        <w:rPr/>
      </w:pPr>
      <w:bookmarkEnd w:id="53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ویُقطع سارق المملوک الصغیر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حدّاً إذا بلغت قیمته النصاب، وإنّما أطلقه کغیره </w:t>
      </w:r>
      <w:r>
        <w:rPr>
          <w:rStyle w:val="FootnoteAnchor"/>
          <w:rtl w:val="true"/>
        </w:rPr>
        <w:footnoteReference w:id="1520"/>
      </w:r>
      <w:r>
        <w:rPr>
          <w:rFonts w:ascii="IRNazanin" w:hAnsi="IRNazanin" w:eastAsia="IRNazanin"/>
          <w:color w:val="111111"/>
          <w:sz w:val="28"/>
          <w:sz w:val="28"/>
          <w:szCs w:val="28"/>
          <w:rtl w:val="true"/>
          <w:lang w:bidi="fa-IR"/>
        </w:rPr>
        <w:t>بناءً علی الغالب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واحترز بالصغیر عمّا لو کان کبیراً ممیّزاً، فإنّه لا یُقطع بسرقته، إلّاأن یکون نائماً أو فی حکمه أو أعجمیّاً لا یعرف سیّده من غیره؛ لأنّه حینئذٍ کالصغیر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ولا فرق بین القنّ والمدبَّر واُمّ الولد دون المکاتَب؛ لأنّ ملکه غیرُ تامّ، إلّا أن یکون مشروطاً فیتّجه إلحاقه بالقنّ، بل یحتمل فی المطلق أیضاً إذا بقی منه ما یساوی النصاب؛ لأنّه فی حکم المملوک فی کثیر من الأحکام</w:t>
      </w:r>
      <w:r>
        <w:rPr>
          <w:rFonts w:eastAsia="IRNazanin" w:cs="IRNazanin"/>
          <w:color w:val="111111"/>
          <w:sz w:val="28"/>
          <w:szCs w:val="28"/>
          <w:rtl w:val="true"/>
          <w:lang w:bidi="fa-IR"/>
        </w:rPr>
        <w:t>.</w:t>
      </w:r>
    </w:p>
    <w:p>
      <w:pPr>
        <w:pStyle w:val="Heading5"/>
        <w:numPr>
          <w:ilvl w:val="4"/>
          <w:numId w:val="1"/>
        </w:numPr>
        <w:rPr/>
      </w:pPr>
      <w:bookmarkStart w:id="533" w:name="__RefHeading___Toc2228079_2314609296"/>
      <w:bookmarkStart w:id="534" w:name="_Toc202"/>
      <w:bookmarkEnd w:id="533"/>
      <w:r>
        <w:rPr>
          <w:rtl w:val="true"/>
        </w:rPr>
        <w:t>«</w:t>
      </w:r>
      <w:r>
        <w:rPr>
          <w:rtl w:val="true"/>
        </w:rPr>
        <w:t xml:space="preserve">السادسة </w:t>
      </w:r>
      <w:r>
        <w:rPr>
          <w:rtl w:val="true"/>
        </w:rPr>
        <w:t>[</w:t>
      </w:r>
      <w:r>
        <w:rPr>
          <w:rtl w:val="true"/>
        </w:rPr>
        <w:t xml:space="preserve">حکم سارق الکفن و النباش </w:t>
      </w:r>
      <w:r>
        <w:rPr>
          <w:rtl w:val="true"/>
        </w:rPr>
        <w:t>] » :</w:t>
      </w:r>
      <w:bookmarkEnd w:id="53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یقطع سارق الکفن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الحرز ومنه القبر بالنسبة إلیه؛ لقول أمیر المؤمنین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یقطع سارق الموتی کما یقطع سارق الأحیاء</w:t>
      </w:r>
      <w:r>
        <w:rPr>
          <w:rFonts w:eastAsia="IRNazanin" w:cs="IRNazanin"/>
          <w:color w:val="111111"/>
          <w:sz w:val="28"/>
          <w:szCs w:val="28"/>
          <w:rtl w:val="true"/>
          <w:lang w:bidi="fa-IR"/>
        </w:rPr>
        <w:t xml:space="preserve">» </w:t>
      </w:r>
      <w:r>
        <w:rPr>
          <w:rStyle w:val="FootnoteAnchor"/>
          <w:rtl w:val="true"/>
        </w:rPr>
        <w:footnoteReference w:id="1521"/>
      </w:r>
      <w:r>
        <w:rPr>
          <w:rFonts w:ascii="IRNazanin" w:hAnsi="IRNazanin" w:eastAsia="IRNazanin"/>
          <w:color w:val="111111"/>
          <w:sz w:val="28"/>
          <w:sz w:val="28"/>
          <w:szCs w:val="28"/>
          <w:rtl w:val="true"/>
          <w:lang w:bidi="fa-IR"/>
        </w:rPr>
        <w:t>وفی صحیحة حفص بن البُختری عن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 النبّاش حدّ السارق</w:t>
      </w:r>
      <w:r>
        <w:rPr>
          <w:rFonts w:eastAsia="IRNazanin" w:cs="IRNazanin"/>
          <w:color w:val="111111"/>
          <w:sz w:val="28"/>
          <w:szCs w:val="28"/>
          <w:rtl w:val="true"/>
          <w:lang w:bidi="fa-IR"/>
        </w:rPr>
        <w:t xml:space="preserve">» </w:t>
      </w:r>
      <w:r>
        <w:rPr>
          <w:rStyle w:val="FootnoteAnchor"/>
          <w:rtl w:val="true"/>
        </w:rPr>
        <w:footnoteReference w:id="1522"/>
      </w:r>
      <w:r>
        <w:rPr>
          <w:rFonts w:eastAsia="Times New Roman" w:cs="Times New Roman" w:ascii="Times New Roman" w:hAnsi="Times New Roman"/>
          <w:color w:val="111111"/>
          <w:sz w:val="28"/>
          <w:szCs w:val="28"/>
          <w:rtl w:val="true"/>
          <w:lang w:val="en-US" w:bidi="en-US"/>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وهل یعتبر بلوغ قیمة الکفن النصابَ؟ قولان </w:t>
      </w:r>
      <w:r>
        <w:rPr>
          <w:rStyle w:val="FootnoteAnchor"/>
          <w:rtl w:val="true"/>
        </w:rPr>
        <w:footnoteReference w:id="1523"/>
      </w:r>
      <w:r>
        <w:rPr>
          <w:rFonts w:ascii="IRNazanin" w:hAnsi="IRNazanin" w:eastAsia="IRNazanin"/>
          <w:color w:val="111111"/>
          <w:sz w:val="28"/>
          <w:sz w:val="28"/>
          <w:szCs w:val="28"/>
          <w:rtl w:val="true"/>
          <w:lang w:bidi="fa-IR"/>
        </w:rPr>
        <w:t xml:space="preserve">مأخذهما إطلاق الأخبار </w:t>
      </w:r>
      <w:r>
        <w:rPr>
          <w:rStyle w:val="FootnoteAnchor"/>
          <w:rtl w:val="true"/>
        </w:rPr>
        <w:footnoteReference w:id="1524"/>
      </w:r>
      <w:r>
        <w:rPr>
          <w:rFonts w:ascii="IRNazanin" w:hAnsi="IRNazanin" w:eastAsia="IRNazanin"/>
          <w:color w:val="111111"/>
          <w:sz w:val="28"/>
          <w:sz w:val="28"/>
          <w:szCs w:val="28"/>
          <w:rtl w:val="true"/>
          <w:lang w:bidi="fa-IR"/>
        </w:rPr>
        <w:t xml:space="preserve">هنا، واشتراط مقدار النصاب فی مطلق السرقة </w:t>
      </w:r>
      <w:r>
        <w:rPr>
          <w:rStyle w:val="FootnoteAnchor"/>
          <w:rtl w:val="true"/>
        </w:rPr>
        <w:footnoteReference w:id="1525"/>
      </w:r>
      <w:r>
        <w:rPr>
          <w:rFonts w:ascii="IRNazanin" w:hAnsi="IRNazanin" w:eastAsia="IRNazanin"/>
          <w:color w:val="111111"/>
          <w:sz w:val="28"/>
          <w:sz w:val="28"/>
          <w:szCs w:val="28"/>
          <w:rtl w:val="true"/>
          <w:lang w:bidi="fa-IR"/>
        </w:rPr>
        <w:t>فیُحمل هذا المطلق علیه،</w:t>
      </w:r>
    </w:p>
    <w:p>
      <w:pPr>
        <w:pStyle w:val="BookText"/>
        <w:rPr/>
      </w:pPr>
      <w:r>
        <w:rPr>
          <w:rFonts w:ascii="IRNazanin" w:hAnsi="IRNazanin" w:eastAsia="IRNazanin"/>
          <w:color w:val="111111"/>
          <w:sz w:val="28"/>
          <w:sz w:val="28"/>
          <w:szCs w:val="28"/>
          <w:rtl w:val="true"/>
          <w:lang w:bidi="fa-IR"/>
        </w:rPr>
        <w:t>أو یُحمل علی إطلاقها تغلیظاً علیه؛ لشناعة فعله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والأولی اشتراط بلوغ النصاب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علی میله إلی عدم الاشتراط؛ لما ذکرناه، ولظاهر الخبر الصحیح المتقدّم فإنّه جعل حدّه حدّ السارق، وهو أعمّ من أخذه النصاب وعدمه، بل من عدم أخذه شیئاً، إلّاأ نّه مخصوص بالأخذ إجماعاً، فیبقی الباقی علی العموم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 نظر؛ لأنّ تخصیصه بذلک مراعاةً للجمع یقتضی تخصیصه بالنصاب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والخبر الأوّل أوضح دلالة؛ لأنّه جعل قطعه کقطعه، وجعله سارقاً، فیعتبر فیه شروطه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قول علیّ علیه الصلاة والسلام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نقطع لأمواتنا کما نقطع لأحیائنا</w:t>
      </w:r>
      <w:r>
        <w:rPr>
          <w:rFonts w:eastAsia="IRNazanin" w:cs="IRNazanin"/>
          <w:color w:val="111111"/>
          <w:sz w:val="28"/>
          <w:szCs w:val="28"/>
          <w:rtl w:val="true"/>
          <w:lang w:bidi="fa-IR"/>
        </w:rPr>
        <w:t xml:space="preserve">» </w:t>
      </w:r>
      <w:r>
        <w:rPr>
          <w:rStyle w:val="FootnoteAnchor"/>
          <w:rtl w:val="true"/>
        </w:rPr>
        <w:footnoteReference w:id="15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یعتبر النصاب فی المرّة الاُولی خاصّة؛ لأنّه بعدها مفسد </w:t>
      </w:r>
      <w:r>
        <w:rPr>
          <w:rStyle w:val="FootnoteAnchor"/>
          <w:rtl w:val="true"/>
        </w:rPr>
        <w:footnoteReference w:id="1527"/>
      </w:r>
      <w:r>
        <w:rPr>
          <w:rFonts w:ascii="IRNazanin" w:hAnsi="IRNazanin" w:eastAsia="IRNazanin"/>
          <w:color w:val="111111"/>
          <w:sz w:val="28"/>
          <w:sz w:val="28"/>
          <w:szCs w:val="28"/>
          <w:rtl w:val="true"/>
          <w:lang w:bidi="fa-IR"/>
        </w:rPr>
        <w:t>والأظهر اشتراطه مطلقاً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ویُعزّر النبّاش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أخذ أم لم یأخذ؛ لأنّه فعل محرَّماً فیستحقّ التعزیر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تکرّر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 النبش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وفات الحاکم جاز 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قدر علیه من حیث إفساده، وقد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علیّاً علیه الصلاة والسلام أمر بوطء نبّاش بالأرجل حتّی مات </w:t>
      </w:r>
      <w:r>
        <w:rPr>
          <w:rStyle w:val="FootnoteAnchor"/>
          <w:rtl w:val="true"/>
        </w:rPr>
        <w:footnoteReference w:id="15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ولو سرق من القبر غیر الکفن فلا قطع؛ لأنّه لیس بحرز له</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والعمامة من جملة الکفن المستحبّ، فتعتبر معه فی القیمة علی الأقوی، لا کغیره کما ذهب إلیه العلّامة </w:t>
      </w:r>
      <w:r>
        <w:rPr>
          <w:rStyle w:val="FootnoteAnchor"/>
          <w:rtl w:val="true"/>
        </w:rPr>
        <w:footnoteReference w:id="1529"/>
      </w:r>
      <w:r>
        <w:rPr>
          <w:rFonts w:ascii="IRNazanin" w:hAnsi="IRNazanin" w:eastAsia="IRNazanin"/>
          <w:color w:val="111111"/>
          <w:sz w:val="28"/>
          <w:sz w:val="28"/>
          <w:szCs w:val="28"/>
          <w:rtl w:val="true"/>
          <w:lang w:bidi="fa-IR"/>
        </w:rPr>
        <w:t>استناداً إلی ما ورد فی بعض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 نّها</w:t>
      </w:r>
      <w:bookmarkStart w:id="535" w:name="pg19815_253352"/>
    </w:p>
    <w:p>
      <w:pPr>
        <w:pStyle w:val="BookText"/>
        <w:rPr/>
      </w:pPr>
      <w:bookmarkEnd w:id="535"/>
      <w:r>
        <w:rPr>
          <w:rFonts w:ascii="IRNazanin" w:hAnsi="IRNazanin" w:eastAsia="IRNazanin"/>
          <w:color w:val="111111"/>
          <w:sz w:val="28"/>
          <w:sz w:val="28"/>
          <w:szCs w:val="28"/>
          <w:rtl w:val="true"/>
          <w:lang w:bidi="fa-IR"/>
        </w:rPr>
        <w:t xml:space="preserve">لیست من الکفن </w:t>
      </w:r>
      <w:r>
        <w:rPr>
          <w:rStyle w:val="FootnoteAnchor"/>
          <w:rtl w:val="true"/>
        </w:rPr>
        <w:footnoteReference w:id="1530"/>
      </w:r>
      <w:r>
        <w:rPr>
          <w:rFonts w:ascii="IRNazanin" w:hAnsi="IRNazanin" w:eastAsia="IRNazanin"/>
          <w:color w:val="111111"/>
          <w:sz w:val="28"/>
          <w:sz w:val="28"/>
          <w:szCs w:val="28"/>
          <w:rtl w:val="true"/>
          <w:lang w:bidi="fa-IR"/>
        </w:rPr>
        <w:t>لأنّ الظاهر أ نّه یرید أ نّها لیست من الکفن الواجب بقرینة ذکر الخرقة الخامسة معها، مع الإجماع علی أ نّها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الخصم للنبّاش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الوارث إن کان الکفن منه، والأجنبیّ إن کان منه، ولو کان من بیت المال فخصمه الحاکم؛ ومن ثمَّ لو ذهب المیّت بسیل ونحوه وبقی الکفن رجع إلی أصله</w:t>
      </w:r>
      <w:r>
        <w:rPr>
          <w:rFonts w:eastAsia="IRNazanin" w:cs="IRNazanin"/>
          <w:color w:val="111111"/>
          <w:sz w:val="28"/>
          <w:szCs w:val="28"/>
          <w:rtl w:val="true"/>
          <w:lang w:bidi="fa-IR"/>
        </w:rPr>
        <w:t>.</w:t>
      </w:r>
    </w:p>
    <w:p>
      <w:pPr>
        <w:pStyle w:val="Heading5"/>
        <w:numPr>
          <w:ilvl w:val="4"/>
          <w:numId w:val="1"/>
        </w:numPr>
        <w:rPr/>
      </w:pPr>
      <w:bookmarkStart w:id="536" w:name="__RefHeading___Toc2228081_2314609296"/>
      <w:bookmarkStart w:id="537" w:name="_Toc203"/>
      <w:bookmarkEnd w:id="536"/>
      <w:r>
        <w:rPr>
          <w:rtl w:val="true"/>
        </w:rPr>
        <w:t>«</w:t>
      </w:r>
      <w:r>
        <w:rPr>
          <w:rtl w:val="true"/>
        </w:rPr>
        <w:t xml:space="preserve">السابعة </w:t>
      </w:r>
      <w:r>
        <w:rPr>
          <w:rtl w:val="true"/>
        </w:rPr>
        <w:t>[</w:t>
      </w:r>
      <w:r>
        <w:rPr>
          <w:rtl w:val="true"/>
        </w:rPr>
        <w:t>ما تثبت به السرقة</w:t>
      </w:r>
      <w:r>
        <w:rPr>
          <w:rtl w:val="true"/>
        </w:rPr>
        <w:t>] » :</w:t>
      </w:r>
      <w:bookmarkEnd w:id="53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تثبت السرقة بشهادة عدلین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مفصّلین لها بذکر ما یعتبر فی القطع من الشرائط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الإقرار مرّتین مع کمال المقرّ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بالبلوغ والعقل ورفعِ الحَجر بالسفه بالنسبة إلی ثبوت المال والفلس بالنسبة إلی تنجیزه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وحرّیّته واختیاره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ینفذ إقرار الصبیّ وإن کان مراهقاً، ولا المجنون مطلقاً </w:t>
      </w:r>
      <w:r>
        <w:rPr>
          <w:rStyle w:val="FootnoteAnchor"/>
          <w:rtl w:val="true"/>
        </w:rPr>
        <w:footnoteReference w:id="1531"/>
      </w:r>
      <w:r>
        <w:rPr>
          <w:rFonts w:ascii="IRNazanin" w:hAnsi="IRNazanin" w:eastAsia="IRNazanin"/>
          <w:color w:val="111111"/>
          <w:sz w:val="28"/>
          <w:sz w:val="28"/>
          <w:szCs w:val="28"/>
          <w:rtl w:val="true"/>
          <w:lang w:bidi="fa-IR"/>
        </w:rPr>
        <w:t>ولا السفیه فی المال، ولکن یقطع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المفلَّس لکن یتبع بالمال بعد زوال الحجر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العبد بدون موافقة المولی؛ لتعلّقه بمال الغیر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لو صدّقه فالأقرب القطع وثبوت المال، وبدونه یتبع بالمال إذا اُعتق وأیسر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المکره فیهما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ردّ المکره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الإقرار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السَرِقة بعینها لم یُقطع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الأقوی؛ لأنّ وجود العین فی یده لا یدلّ علی السرقة، والإقرار وقع کرهاً فلا یُعتدّ به</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یقطع </w:t>
      </w:r>
      <w:r>
        <w:rPr>
          <w:rStyle w:val="FootnoteAnchor"/>
          <w:rtl w:val="true"/>
        </w:rPr>
        <w:footnoteReference w:id="1532"/>
      </w:r>
      <w:r>
        <w:rPr>
          <w:rFonts w:ascii="IRNazanin" w:hAnsi="IRNazanin" w:eastAsia="IRNazanin"/>
          <w:color w:val="111111"/>
          <w:sz w:val="28"/>
          <w:sz w:val="28"/>
          <w:szCs w:val="28"/>
          <w:rtl w:val="true"/>
          <w:lang w:bidi="fa-IR"/>
        </w:rPr>
        <w:t>لأنّ ردّها قرینة السرقة، کدلالة قیء الخمر علی شربها،</w:t>
      </w:r>
      <w:bookmarkStart w:id="538" w:name="pg19815_253353"/>
    </w:p>
    <w:p>
      <w:pPr>
        <w:pStyle w:val="BookText"/>
        <w:rPr/>
      </w:pPr>
      <w:bookmarkEnd w:id="538"/>
      <w:r>
        <w:rPr>
          <w:rFonts w:ascii="IRNazanin" w:hAnsi="IRNazanin" w:eastAsia="IRNazanin"/>
          <w:color w:val="111111"/>
          <w:sz w:val="28"/>
          <w:sz w:val="28"/>
          <w:szCs w:val="28"/>
          <w:rtl w:val="true"/>
          <w:lang w:bidi="fa-IR"/>
        </w:rPr>
        <w:t>ولحسنة سلیمان بن خالد عن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رجل سرق سَرِقة فکابر عنها فضُرِب فجاء بها بعینها هل یجب علیه القطع؟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ولکن إذا اعترف ولم یجئ بالسرقة لم تُقطع یده؛ لأنّه اعترف علی العذاب</w:t>
      </w:r>
      <w:r>
        <w:rPr>
          <w:rFonts w:eastAsia="IRNazanin" w:cs="IRNazanin"/>
          <w:color w:val="111111"/>
          <w:sz w:val="28"/>
          <w:szCs w:val="28"/>
          <w:rtl w:val="true"/>
          <w:lang w:bidi="fa-IR"/>
        </w:rPr>
        <w:t xml:space="preserve">» </w:t>
      </w:r>
      <w:r>
        <w:rPr>
          <w:rStyle w:val="FootnoteAnchor"/>
          <w:rtl w:val="true"/>
        </w:rPr>
        <w:footnoteReference w:id="15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ولا یخفی ضعف العمل بالقرینة فی هذا الباب، والفرق بین القیء والمجیء بالسرقة، فإنّ القیء یستلزم الشرب، بخلاف المتنازع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 xml:space="preserve">] </w:t>
      </w:r>
      <w:r>
        <w:rPr>
          <w:rStyle w:val="FootnoteAnchor"/>
          <w:rtl w:val="true"/>
        </w:rPr>
        <w:footnoteReference w:id="1534"/>
      </w:r>
      <w:r>
        <w:rPr>
          <w:rFonts w:ascii="Amiri" w:hAnsi="Amiri" w:eastAsia="Amiri" w:cs="Amiri"/>
          <w:color w:val="111111"/>
          <w:sz w:val="28"/>
          <w:sz w:val="28"/>
          <w:szCs w:val="28"/>
          <w:rtl w:val="true"/>
          <w:lang w:bidi="ar-SA"/>
        </w:rPr>
        <w:t>فإنّه أعمّ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الخبر فظاهر الدلالة، إلّاأنّ إثبات الحکم به مجرّداً مشکل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الإقرار بالسرقة اختیاراً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الإقرار مرّتین لم یسقط الحدّ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لثبوته بالإقرار السابق، فلا یقدح فیه الإنکار کغیره من الحدود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ویکفی فی الغرم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للمال المسروق الإقرار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واحدة؛ لأنّه إقرار بحقّ مالیّ فلا یشترط فیه تعدّد الإقرار؛ لعموم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إقرار العقلاء علی أنفسهم جائز</w:t>
      </w:r>
      <w:r>
        <w:rPr>
          <w:rFonts w:eastAsia="IRNazanin" w:cs="IRNazanin"/>
          <w:color w:val="111111"/>
          <w:sz w:val="28"/>
          <w:szCs w:val="28"/>
          <w:rtl w:val="true"/>
          <w:lang w:bidi="fa-IR"/>
        </w:rPr>
        <w:t xml:space="preserve">» </w:t>
      </w:r>
      <w:r>
        <w:rPr>
          <w:rStyle w:val="FootnoteAnchor"/>
          <w:rtl w:val="true"/>
        </w:rPr>
        <w:footnoteReference w:id="1535"/>
      </w:r>
      <w:r>
        <w:rPr>
          <w:rFonts w:ascii="IRNazanin" w:hAnsi="IRNazanin" w:eastAsia="IRNazanin"/>
          <w:color w:val="111111"/>
          <w:sz w:val="28"/>
          <w:sz w:val="28"/>
          <w:szCs w:val="28"/>
          <w:rtl w:val="true"/>
          <w:lang w:bidi="fa-IR"/>
        </w:rPr>
        <w:t>وإنّما خرج الحدّ بدلیل خارج کقول الصادق علیه السلام فی روایة جمیل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یقطع السارق حتّی یقرّ بالسرقة مرّتین</w:t>
      </w:r>
      <w:r>
        <w:rPr>
          <w:rFonts w:eastAsia="IRNazanin" w:cs="IRNazanin"/>
          <w:color w:val="111111"/>
          <w:sz w:val="28"/>
          <w:szCs w:val="28"/>
          <w:rtl w:val="true"/>
          <w:lang w:bidi="fa-IR"/>
        </w:rPr>
        <w:t xml:space="preserve">» </w:t>
      </w:r>
      <w:r>
        <w:rPr>
          <w:rStyle w:val="FootnoteAnchor"/>
          <w:rtl w:val="true"/>
        </w:rPr>
        <w:footnoteReference w:id="153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39" w:name="__RefHeading___Toc2228083_2314609296"/>
      <w:bookmarkStart w:id="540" w:name="_Toc204"/>
      <w:bookmarkEnd w:id="539"/>
      <w:r>
        <w:rPr>
          <w:rtl w:val="true"/>
        </w:rPr>
        <w:t>«</w:t>
      </w:r>
      <w:r>
        <w:rPr>
          <w:rtl w:val="true"/>
        </w:rPr>
        <w:t xml:space="preserve">الثامنة </w:t>
      </w:r>
      <w:r>
        <w:rPr>
          <w:rtl w:val="true"/>
        </w:rPr>
        <w:t>[</w:t>
      </w:r>
      <w:r>
        <w:rPr>
          <w:rtl w:val="true"/>
        </w:rPr>
        <w:t>یجب علی السارق اعادة العین او مثلها او قیمتها</w:t>
      </w:r>
      <w:r>
        <w:rPr>
          <w:rtl w:val="true"/>
        </w:rPr>
        <w:t>] » :</w:t>
      </w:r>
      <w:bookmarkEnd w:id="540"/>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السارق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إعادة 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وجودها وإمکان إعادتها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کانت مثلیّة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قیمتها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کانت قیمیّة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تلفها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تعذّر ردّها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عابت ضَمِن أرشَها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کانت ذات اُجرة لزمه مع ذلک اُجرتها</w:t>
      </w:r>
      <w:r>
        <w:rPr>
          <w:rFonts w:eastAsia="IRNazanin" w:cs="IRNazanin"/>
          <w:color w:val="111111"/>
          <w:sz w:val="28"/>
          <w:szCs w:val="28"/>
          <w:rtl w:val="true"/>
          <w:lang w:bidi="fa-IR"/>
        </w:rPr>
        <w:t>.</w:t>
      </w:r>
      <w:bookmarkStart w:id="541" w:name="pg19815_253354"/>
    </w:p>
    <w:p>
      <w:pPr>
        <w:pStyle w:val="BookText"/>
        <w:rPr/>
      </w:pPr>
      <w:bookmarkEnd w:id="54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یُغنی القطع عن إعادتها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لأنّهما حکمان متغایران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الإعادة لأخذ مال الغیر عدواناً، والقطع حدّاً عقوبة علی الذنب</w:t>
      </w:r>
      <w:r>
        <w:rPr>
          <w:rFonts w:eastAsia="IRNazanin" w:cs="IRNazanin"/>
          <w:color w:val="111111"/>
          <w:sz w:val="28"/>
          <w:szCs w:val="28"/>
          <w:rtl w:val="true"/>
          <w:lang w:bidi="fa-IR"/>
        </w:rPr>
        <w:t>.</w:t>
      </w:r>
    </w:p>
    <w:p>
      <w:pPr>
        <w:pStyle w:val="Heading5"/>
        <w:numPr>
          <w:ilvl w:val="4"/>
          <w:numId w:val="1"/>
        </w:numPr>
        <w:rPr/>
      </w:pPr>
      <w:bookmarkStart w:id="542" w:name="__RefHeading___Toc2228085_2314609296"/>
      <w:bookmarkStart w:id="543" w:name="_Toc205"/>
      <w:bookmarkEnd w:id="542"/>
      <w:r>
        <w:rPr>
          <w:rtl w:val="true"/>
        </w:rPr>
        <w:t>«</w:t>
      </w:r>
      <w:r>
        <w:rPr>
          <w:rtl w:val="true"/>
        </w:rPr>
        <w:t xml:space="preserve">التاسعة </w:t>
      </w:r>
      <w:r>
        <w:rPr>
          <w:rtl w:val="true"/>
        </w:rPr>
        <w:t>[</w:t>
      </w:r>
      <w:r>
        <w:rPr>
          <w:rtl w:val="true"/>
        </w:rPr>
        <w:t>لاقطع الا بمرافعة الغریم له</w:t>
      </w:r>
      <w:r>
        <w:rPr>
          <w:rtl w:val="true"/>
        </w:rPr>
        <w:t>] » :</w:t>
      </w:r>
      <w:bookmarkEnd w:id="54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السارق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إلّابمرافعة الغریم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وطلب ذلک من الحاکم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قامت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بالسرقة أو أقرّ مرّتین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ترکه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وهبه المال سقط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القطع؛ لسقوط موجبه قبل تحتّمه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ولیس له العفو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القطع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المرافعة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قبل حکم الحاکم به؛ لقول النبیّ صلی الله علیه و آله لصفوان بن اُمیّة حین سُرِقَ رداؤه فقبض السارقَ وقدَّمه إلی النبیّ صلی الله علیه و آله ثمّ وهبه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ألا کان ذلک قبل أن تنتهی به إلیَّ؟ </w:t>
      </w:r>
      <w:r>
        <w:rPr>
          <w:rFonts w:eastAsia="IRNazanin" w:cs="IRNazanin"/>
          <w:color w:val="111111"/>
          <w:sz w:val="28"/>
          <w:szCs w:val="28"/>
          <w:rtl w:val="true"/>
          <w:lang w:bidi="fa-IR"/>
        </w:rPr>
        <w:t xml:space="preserve">!» </w:t>
      </w:r>
      <w:r>
        <w:rPr>
          <w:rStyle w:val="FootnoteAnchor"/>
          <w:rtl w:val="true"/>
        </w:rPr>
        <w:footnoteReference w:id="1537"/>
      </w:r>
      <w:r>
        <w:rPr>
          <w:rFonts w:ascii="Amiri" w:hAnsi="Amiri" w:eastAsia="Amiri" w:cs="Amiri"/>
          <w:color w:val="111111"/>
          <w:sz w:val="28"/>
          <w:sz w:val="28"/>
          <w:szCs w:val="28"/>
          <w:rtl w:val="true"/>
          <w:lang w:bidi="ar-SA"/>
        </w:rPr>
        <w:t>وقال الصادق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الهبة قبل أن یُرفع إلی الإمام، وذلک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اَلْحٰافِظُونَ لِحُدُودِ اَللّٰهِ </w:t>
      </w:r>
      <w:r>
        <w:rPr>
          <w:rStyle w:val="FootnoteAnchor"/>
          <w:rtl w:val="true"/>
        </w:rPr>
        <w:footnoteReference w:id="1538"/>
      </w:r>
      <w:r>
        <w:rPr>
          <w:rFonts w:ascii="IRNazanin" w:hAnsi="IRNazanin" w:eastAsia="IRNazanin"/>
          <w:color w:val="111111"/>
          <w:sz w:val="28"/>
          <w:sz w:val="28"/>
          <w:szCs w:val="28"/>
          <w:rtl w:val="true"/>
          <w:lang w:bidi="fa-IR"/>
        </w:rPr>
        <w:t>فإذا انتهی إلی الإمام فلیس لأحد أن یترکه</w:t>
      </w:r>
      <w:r>
        <w:rPr>
          <w:rFonts w:eastAsia="IRNazanin" w:cs="IRNazanin"/>
          <w:color w:val="111111"/>
          <w:sz w:val="28"/>
          <w:szCs w:val="28"/>
          <w:rtl w:val="true"/>
          <w:lang w:bidi="fa-IR"/>
        </w:rPr>
        <w:t xml:space="preserve">» </w:t>
      </w:r>
      <w:r>
        <w:rPr>
          <w:rStyle w:val="FootnoteAnchor"/>
          <w:rtl w:val="true"/>
        </w:rPr>
        <w:footnoteReference w:id="15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وکذا لو 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السارق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المسروق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المرافعة لم یسقط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القطع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ویسقط بملکه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ذکر</w:t>
      </w:r>
      <w:r>
        <w:rPr>
          <w:rFonts w:eastAsia="IRNazanin" w:cs="IRNazanin"/>
          <w:color w:val="111111"/>
          <w:sz w:val="28"/>
          <w:szCs w:val="28"/>
          <w:rtl w:val="true"/>
          <w:lang w:bidi="fa-IR"/>
        </w:rPr>
        <w:t>.</w:t>
      </w:r>
    </w:p>
    <w:p>
      <w:pPr>
        <w:pStyle w:val="Heading5"/>
        <w:numPr>
          <w:ilvl w:val="4"/>
          <w:numId w:val="1"/>
        </w:numPr>
        <w:rPr/>
      </w:pPr>
      <w:bookmarkStart w:id="544" w:name="__RefHeading___Toc2228087_2314609296"/>
      <w:bookmarkStart w:id="545" w:name="_Toc206"/>
      <w:bookmarkEnd w:id="544"/>
      <w:r>
        <w:rPr>
          <w:rtl w:val="true"/>
        </w:rPr>
        <w:t>«</w:t>
      </w:r>
      <w:r>
        <w:rPr>
          <w:rtl w:val="true"/>
        </w:rPr>
        <w:t xml:space="preserve">العاشرة </w:t>
      </w:r>
      <w:r>
        <w:rPr>
          <w:rtl w:val="true"/>
        </w:rPr>
        <w:t>[</w:t>
      </w:r>
      <w:r>
        <w:rPr>
          <w:rtl w:val="true"/>
        </w:rPr>
        <w:t>لو احدث فی النصاب قبل الاخراج ما ینقص قیمتة</w:t>
      </w:r>
      <w:r>
        <w:rPr>
          <w:rtl w:val="true"/>
        </w:rPr>
        <w:t>] » :</w:t>
      </w:r>
      <w:bookmarkEnd w:id="545"/>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السارق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النصاب قبل الإخراج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الحرز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یُنقِص قیمته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النصاب بأن خرق الثوب أو ذبح الشاة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قطع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لعدم تحقّق الشرط وهو إخراج النصاب من الحرز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کذا </w:t>
      </w:r>
      <w:r>
        <w:rPr>
          <w:rStyle w:val="FootnoteAnchor"/>
          <w:rtl w:val="true"/>
        </w:rPr>
        <w:footnoteReference w:id="1540"/>
      </w:r>
      <w:r>
        <w:rPr>
          <w:rFonts w:ascii="IRNazanin" w:hAnsi="IRNazanin" w:eastAsia="IRNazanin"/>
          <w:color w:val="111111"/>
          <w:sz w:val="28"/>
          <w:sz w:val="28"/>
          <w:szCs w:val="28"/>
          <w:rtl w:val="true"/>
          <w:lang w:bidi="fa-IR"/>
        </w:rPr>
        <w:t>لو نقصت قیمته بعد الإخراج وإن کان قبل المرافعة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ابتلع النصاب کالدینار واللؤلؤة قبل الخروج، فإن تعذَّر إخراجه فلا حدّ؛ لأ نّه کالتالف وإن اتّفق خروجه بعد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لم یتعذّر خروجه عادة قُطع؛ لأنّه یجری مجری إیداعه فی وعاء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ویضمن المال علی التقدیرین، وأرش النقصان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أخرجه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أخرج النصاب من الحرز الواحد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أخرج کلّ مرّة دون النصاب واجتمع من الجمیع نصاب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وجب القطع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 إلی ذلک القاضی ابن البرّاج </w:t>
      </w:r>
      <w:r>
        <w:rPr>
          <w:rStyle w:val="FootnoteAnchor"/>
          <w:rtl w:val="true"/>
        </w:rPr>
        <w:footnoteReference w:id="1541"/>
      </w:r>
      <w:r>
        <w:rPr>
          <w:rFonts w:ascii="IRNazanin" w:hAnsi="IRNazanin" w:eastAsia="IRNazanin"/>
          <w:color w:val="111111"/>
          <w:sz w:val="28"/>
          <w:sz w:val="28"/>
          <w:szCs w:val="28"/>
          <w:rtl w:val="true"/>
          <w:lang w:bidi="fa-IR"/>
        </w:rPr>
        <w:t xml:space="preserve">والعلّامة فی الإرشاد </w:t>
      </w:r>
      <w:r>
        <w:rPr>
          <w:rStyle w:val="FootnoteAnchor"/>
          <w:rtl w:val="true"/>
        </w:rPr>
        <w:footnoteReference w:id="1542"/>
      </w:r>
      <w:r>
        <w:rPr>
          <w:rFonts w:ascii="IRNazanin" w:hAnsi="IRNazanin" w:eastAsia="IRNazanin"/>
          <w:color w:val="111111"/>
          <w:sz w:val="28"/>
          <w:sz w:val="28"/>
          <w:szCs w:val="28"/>
          <w:rtl w:val="true"/>
          <w:lang w:bidi="fa-IR"/>
        </w:rPr>
        <w:t>لصدق سرقة النصاب من الحرز، فیتناوله عموم أدلّة القطع، ولقوله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سرق ربع دینار فعلیه القطع</w:t>
      </w:r>
      <w:r>
        <w:rPr>
          <w:rFonts w:eastAsia="IRNazanin" w:cs="IRNazanin"/>
          <w:color w:val="111111"/>
          <w:sz w:val="28"/>
          <w:szCs w:val="28"/>
          <w:rtl w:val="true"/>
          <w:lang w:bidi="fa-IR"/>
        </w:rPr>
        <w:t xml:space="preserve">» </w:t>
      </w:r>
      <w:r>
        <w:rPr>
          <w:rStyle w:val="FootnoteAnchor"/>
          <w:rtl w:val="true"/>
        </w:rPr>
        <w:footnoteReference w:id="1543"/>
      </w:r>
      <w:r>
        <w:rPr>
          <w:rFonts w:ascii="IRNazanin" w:hAnsi="IRNazanin" w:eastAsia="IRNazanin"/>
          <w:color w:val="111111"/>
          <w:sz w:val="28"/>
          <w:sz w:val="28"/>
          <w:szCs w:val="28"/>
          <w:rtl w:val="true"/>
          <w:lang w:bidi="fa-IR"/>
        </w:rPr>
        <w:t>وهو متحقّق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قطع مطلقاً ما لم یتّحد الأخذ </w:t>
      </w:r>
      <w:r>
        <w:rPr>
          <w:rStyle w:val="FootnoteAnchor"/>
          <w:rtl w:val="true"/>
        </w:rPr>
        <w:footnoteReference w:id="1544"/>
      </w:r>
      <w:r>
        <w:rPr>
          <w:rFonts w:ascii="IRNazanin" w:hAnsi="IRNazanin" w:eastAsia="IRNazanin"/>
          <w:color w:val="111111"/>
          <w:sz w:val="28"/>
          <w:sz w:val="28"/>
          <w:szCs w:val="28"/>
          <w:rtl w:val="true"/>
          <w:lang w:bidi="fa-IR"/>
        </w:rPr>
        <w:t xml:space="preserve">لأصالة البراءة، ولأ نّه لمّا هتک الحرز وأخرج أقلّ من النصاب لم یثبت علیه القطع، فلمّا عاد ثانیاً لم یُخرج من حرز؛ لأنّه کان منبوذاً قبله فلا قطع، سواء اجتمع منهما معاً نصاب أم کان الثانی وحده نصاباً من غیر ضمیمة </w:t>
      </w:r>
      <w:r>
        <w:rPr>
          <w:rStyle w:val="FootnoteAnchor"/>
          <w:rtl w:val="true"/>
        </w:rPr>
        <w:footnoteReference w:id="1545"/>
      </w:r>
      <w:r>
        <w:rPr>
          <w:rFonts w:eastAsia="Times New Roman" w:cs="Times New Roman" w:ascii="Times New Roman" w:hAnsi="Times New Roman"/>
          <w:color w:val="111111"/>
          <w:sz w:val="28"/>
          <w:szCs w:val="28"/>
          <w:rtl w:val="true"/>
          <w:lang w:val="en-US" w:bidi="en-US"/>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وفرّق العلّامة فی القواعد بین قِصَر زمان العود وعدمه، فجعل الأوّل بمنزلة</w:t>
      </w:r>
      <w:bookmarkStart w:id="546" w:name="pg19815_253356"/>
    </w:p>
    <w:p>
      <w:pPr>
        <w:pStyle w:val="BookText"/>
        <w:rPr/>
      </w:pPr>
      <w:bookmarkEnd w:id="546"/>
      <w:r>
        <w:rPr>
          <w:rFonts w:ascii="IRNazanin" w:hAnsi="IRNazanin" w:eastAsia="IRNazanin"/>
          <w:color w:val="111111"/>
          <w:sz w:val="28"/>
          <w:sz w:val="28"/>
          <w:szCs w:val="28"/>
          <w:rtl w:val="true"/>
          <w:lang w:bidi="fa-IR"/>
        </w:rPr>
        <w:t xml:space="preserve">المتّحد، دون الثانی </w:t>
      </w:r>
      <w:r>
        <w:rPr>
          <w:rStyle w:val="FootnoteAnchor"/>
          <w:rtl w:val="true"/>
        </w:rPr>
        <w:footnoteReference w:id="1546"/>
      </w:r>
      <w:r>
        <w:rPr>
          <w:rFonts w:ascii="IRNazanin" w:hAnsi="IRNazanin" w:eastAsia="IRNazanin"/>
          <w:color w:val="111111"/>
          <w:sz w:val="28"/>
          <w:sz w:val="28"/>
          <w:szCs w:val="28"/>
          <w:rtl w:val="true"/>
          <w:lang w:bidi="fa-IR"/>
        </w:rPr>
        <w:t xml:space="preserve">وفصّل فی التحریر، فأوجب الحدّ إن لم یتخلّل اطّلاع المالک ولم یطل الزمان بحیث لا یسمّی سرقة واحدة </w:t>
      </w:r>
      <w:r>
        <w:rPr>
          <w:rStyle w:val="FootnoteAnchor"/>
          <w:rtl w:val="true"/>
        </w:rPr>
        <w:footnoteReference w:id="1547"/>
      </w:r>
      <w:r>
        <w:rPr>
          <w:rFonts w:ascii="IRNazanin" w:hAnsi="IRNazanin" w:eastAsia="IRNazanin"/>
          <w:color w:val="111111"/>
          <w:sz w:val="28"/>
          <w:sz w:val="28"/>
          <w:szCs w:val="28"/>
          <w:rtl w:val="true"/>
          <w:lang w:bidi="fa-IR"/>
        </w:rPr>
        <w:t>عرفاً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أقوی؛ لدلالة العرف علی اتّحاد السرقة مع فقد الشرطین وإن تعدّد الإخراج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وتعدّدُها بأحدهما</w:t>
      </w:r>
      <w:r>
        <w:rPr>
          <w:rFonts w:eastAsia="IRNazanin" w:cs="IRNazanin"/>
          <w:color w:val="111111"/>
          <w:sz w:val="28"/>
          <w:szCs w:val="28"/>
          <w:rtl w:val="true"/>
          <w:lang w:bidi="fa-IR"/>
        </w:rPr>
        <w:t>.</w:t>
      </w:r>
    </w:p>
    <w:p>
      <w:pPr>
        <w:pStyle w:val="Heading5"/>
        <w:numPr>
          <w:ilvl w:val="4"/>
          <w:numId w:val="1"/>
        </w:numPr>
        <w:rPr/>
      </w:pPr>
      <w:bookmarkStart w:id="547" w:name="__RefHeading___Toc2228089_2314609296"/>
      <w:bookmarkStart w:id="548" w:name="_Toc207"/>
      <w:bookmarkEnd w:id="547"/>
      <w:r>
        <w:rPr>
          <w:rtl w:val="true"/>
        </w:rPr>
        <w:t>«</w:t>
      </w:r>
      <w:r>
        <w:rPr>
          <w:rtl w:val="true"/>
        </w:rPr>
        <w:t xml:space="preserve">الحادیة عشرة </w:t>
      </w:r>
      <w:r>
        <w:rPr>
          <w:rtl w:val="true"/>
        </w:rPr>
        <w:t>[</w:t>
      </w:r>
      <w:r>
        <w:rPr>
          <w:rtl w:val="true"/>
        </w:rPr>
        <w:t>الواجب فی القطع</w:t>
      </w:r>
      <w:r>
        <w:rPr>
          <w:rtl w:val="true"/>
        </w:rPr>
        <w:t>] » :</w:t>
      </w:r>
      <w:bookmarkEnd w:id="54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هذا الحدّ أوّل مرّة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 الأصابع الأربع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ما عدا الإبهام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الید الیمنی ویترک له الراحة والإبهام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کان له خمس أصابع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لو کانت ناقصة اقتصر علی الموجود من الأصابع وإن کان واحدة عدا الإبهام؛ لصحیحة الحلبی عن الصادق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أین یجب القطع؟ فبسط أصابعه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ها هنا، یعنی من مفصل الکفّ</w:t>
      </w:r>
      <w:r>
        <w:rPr>
          <w:rFonts w:eastAsia="IRNazanin" w:cs="IRNazanin"/>
          <w:color w:val="111111"/>
          <w:sz w:val="28"/>
          <w:szCs w:val="28"/>
          <w:rtl w:val="true"/>
          <w:lang w:bidi="fa-IR"/>
        </w:rPr>
        <w:t xml:space="preserve">» </w:t>
      </w:r>
      <w:r>
        <w:rPr>
          <w:rStyle w:val="FootnoteAnchor"/>
          <w:rtl w:val="true"/>
        </w:rPr>
        <w:footnoteReference w:id="1548"/>
      </w:r>
      <w:r>
        <w:rPr>
          <w:rFonts w:ascii="IRNazanin" w:hAnsi="IRNazanin" w:eastAsia="IRNazanin"/>
          <w:color w:val="111111"/>
          <w:sz w:val="28"/>
          <w:sz w:val="28"/>
          <w:szCs w:val="28"/>
          <w:rtl w:val="true"/>
          <w:lang w:bidi="fa-IR"/>
        </w:rPr>
        <w:t>وقوله فی روایة أبی بصیر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القطع من وسط الکفّ ولا یُقطع الإبهام</w:t>
      </w:r>
      <w:r>
        <w:rPr>
          <w:rFonts w:eastAsia="IRNazanin" w:cs="IRNazanin"/>
          <w:color w:val="111111"/>
          <w:sz w:val="28"/>
          <w:szCs w:val="28"/>
          <w:rtl w:val="true"/>
          <w:lang w:bidi="fa-IR"/>
        </w:rPr>
        <w:t xml:space="preserve">» </w:t>
      </w:r>
      <w:r>
        <w:rPr>
          <w:rStyle w:val="FootnoteAnchor"/>
          <w:rtl w:val="true"/>
        </w:rPr>
        <w:footnoteReference w:id="15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فرق بین کون المفقود خلقة وبعارض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 له إصبع زائدة لم یَجز قطعُها حملاً علی المعهود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توقّف ترکها علی إبقاء إصبع اُخری وجب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 علی المعصم کفّان قطعت أصابع الأصلیّة إن تمیّزت، وإلّا فإشکال</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سرق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قطع 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قطعت رجله الیسری من مفصل القدم وتُرِک العقب </w:t>
      </w:r>
      <w:r>
        <w:rPr>
          <w:rStyle w:val="FootnoteAnchor"/>
          <w:rtl w:val="true"/>
        </w:rPr>
        <w:footnoteReference w:id="15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یعتمد علیه حالة المشی والصلاة؛ لقول الکاظم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تقطع ید السارق ویترک إبهامه وصدر راحته وتقطع رجله ویترک عقبه یمشی علیها</w:t>
      </w:r>
      <w:r>
        <w:rPr>
          <w:rFonts w:eastAsia="IRNazanin" w:cs="IRNazanin"/>
          <w:color w:val="111111"/>
          <w:sz w:val="28"/>
          <w:szCs w:val="28"/>
          <w:rtl w:val="true"/>
          <w:lang w:bidi="fa-IR"/>
        </w:rPr>
        <w:t xml:space="preserve">» </w:t>
      </w:r>
      <w:r>
        <w:rPr>
          <w:rStyle w:val="FootnoteAnchor"/>
          <w:rtl w:val="true"/>
        </w:rPr>
        <w:footnoteReference w:id="15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والظاهر أ نّه لا التفات إلی زیادة الإصبع هنا؛ لأنّ الحکم مطلق فی القطع من المفصل من غیر نظر إلی الأصابع </w:t>
      </w:r>
      <w:r>
        <w:rPr>
          <w:rStyle w:val="FootnoteAnchor"/>
          <w:rtl w:val="true"/>
        </w:rPr>
        <w:footnoteReference w:id="1552"/>
      </w:r>
      <w:r>
        <w:rPr>
          <w:rFonts w:ascii="IRNazanin" w:hAnsi="IRNazanin" w:eastAsia="IRNazanin"/>
          <w:color w:val="111111"/>
          <w:sz w:val="28"/>
          <w:sz w:val="28"/>
          <w:szCs w:val="28"/>
          <w:rtl w:val="true"/>
          <w:lang w:bidi="fa-IR"/>
        </w:rPr>
        <w:t xml:space="preserve">مع احتماله </w:t>
      </w:r>
      <w:r>
        <w:rPr>
          <w:rStyle w:val="FootnoteAnchor"/>
          <w:rtl w:val="true"/>
        </w:rPr>
        <w:footnoteReference w:id="1553"/>
      </w:r>
      <w:r>
        <w:rPr>
          <w:rFonts w:ascii="IRNazanin" w:hAnsi="IRNazanin" w:eastAsia="IRNazanin"/>
          <w:color w:val="111111"/>
          <w:sz w:val="28"/>
          <w:sz w:val="28"/>
          <w:szCs w:val="28"/>
          <w:rtl w:val="true"/>
          <w:lang w:bidi="fa-IR"/>
        </w:rPr>
        <w:t>ولو کان له قدمان علی ساق واحد فکالکفّ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السرقة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قطع الید والرجل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یحبس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یموت، ولا یُقطع من باقی أعضائه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سرق من الحبس أو من خارجه لو اتّفق خروجه لحاجة أو هرب به </w:t>
      </w:r>
      <w:r>
        <w:rPr>
          <w:rStyle w:val="FootnoteAnchor"/>
          <w:rtl w:val="true"/>
        </w:rPr>
        <w:footnoteReference w:id="15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یُقتل</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ذهبت یمینه بعد السرقة لم یقطع الیسار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لتعلّق الحکم بقطع الیمین </w:t>
      </w:r>
      <w:r>
        <w:rPr>
          <w:rStyle w:val="FootnoteAnchor"/>
          <w:rtl w:val="true"/>
        </w:rPr>
        <w:footnoteReference w:id="1555"/>
      </w:r>
      <w:r>
        <w:rPr>
          <w:rFonts w:ascii="IRNazanin" w:hAnsi="IRNazanin" w:eastAsia="IRNazanin"/>
          <w:color w:val="111111"/>
          <w:sz w:val="28"/>
          <w:sz w:val="28"/>
          <w:szCs w:val="28"/>
          <w:rtl w:val="true"/>
          <w:lang w:bidi="fa-IR"/>
        </w:rPr>
        <w:t>وقد فاتت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لو ذهبت الیمین </w:t>
      </w:r>
      <w:r>
        <w:rPr>
          <w:rStyle w:val="FootnoteAnchor"/>
          <w:rtl w:val="true"/>
        </w:rPr>
        <w:footnoteReference w:id="1556"/>
      </w:r>
      <w:r>
        <w:rPr>
          <w:rFonts w:ascii="IRNazanin" w:hAnsi="IRNazanin" w:eastAsia="IRNazanin"/>
          <w:color w:val="111111"/>
          <w:sz w:val="28"/>
          <w:sz w:val="28"/>
          <w:szCs w:val="28"/>
          <w:rtl w:val="true"/>
          <w:lang w:bidi="fa-IR"/>
        </w:rPr>
        <w:t xml:space="preserve">قبل السرقة بغیرها ففی قطع الید الیسری أو الرجل قولان </w:t>
      </w:r>
      <w:r>
        <w:rPr>
          <w:rStyle w:val="FootnoteAnchor"/>
          <w:rtl w:val="true"/>
        </w:rPr>
        <w:footnoteReference w:id="1557"/>
      </w:r>
      <w:r>
        <w:rPr>
          <w:rFonts w:eastAsia="Times New Roman" w:cs="Times New Roman" w:ascii="Times New Roman" w:hAnsi="Times New Roman"/>
          <w:color w:val="111111"/>
          <w:sz w:val="28"/>
          <w:szCs w:val="28"/>
          <w:rtl w:val="true"/>
          <w:lang w:val="en-US" w:bidi="en-US"/>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ولو لم یکن له یسار قطعت رجله الیسری، قطع به العلّامة </w:t>
      </w:r>
      <w:r>
        <w:rPr>
          <w:rStyle w:val="FootnoteAnchor"/>
          <w:rtl w:val="true"/>
        </w:rPr>
        <w:footnoteReference w:id="1558"/>
      </w:r>
      <w:r>
        <w:rPr>
          <w:rFonts w:ascii="IRNazanin" w:hAnsi="IRNazanin" w:eastAsia="IRNazanin"/>
          <w:color w:val="111111"/>
          <w:sz w:val="28"/>
          <w:sz w:val="28"/>
          <w:szCs w:val="28"/>
          <w:rtl w:val="true"/>
          <w:lang w:bidi="fa-IR"/>
        </w:rPr>
        <w:t xml:space="preserve">وقبله الشیخ </w:t>
      </w:r>
      <w:r>
        <w:rPr>
          <w:rStyle w:val="FootnoteAnchor"/>
          <w:rtl w:val="true"/>
        </w:rPr>
        <w:footnoteReference w:id="1559"/>
      </w:r>
      <w:r>
        <w:rPr>
          <w:rFonts w:ascii="IRNazanin" w:hAnsi="IRNazanin" w:eastAsia="IRNazanin"/>
          <w:color w:val="111111"/>
          <w:sz w:val="28"/>
          <w:sz w:val="28"/>
          <w:szCs w:val="28"/>
          <w:rtl w:val="true"/>
          <w:lang w:bidi="fa-IR"/>
        </w:rPr>
        <w:t>کما أ نّه لو لم یکن له رجل حُبس</w:t>
      </w:r>
      <w:r>
        <w:rPr>
          <w:rFonts w:eastAsia="IRNazanin" w:cs="IRNazanin"/>
          <w:color w:val="111111"/>
          <w:sz w:val="28"/>
          <w:szCs w:val="28"/>
          <w:rtl w:val="true"/>
          <w:lang w:bidi="fa-IR"/>
        </w:rPr>
        <w:t>.</w:t>
      </w:r>
      <w:bookmarkStart w:id="549" w:name="pg19815_253358"/>
    </w:p>
    <w:p>
      <w:pPr>
        <w:pStyle w:val="BookText"/>
        <w:rPr/>
      </w:pPr>
      <w:bookmarkEnd w:id="549"/>
      <w:r>
        <w:rPr>
          <w:rFonts w:ascii="IRNazanin" w:hAnsi="IRNazanin" w:eastAsia="IRNazanin"/>
          <w:color w:val="111111"/>
          <w:sz w:val="28"/>
          <w:sz w:val="28"/>
          <w:szCs w:val="28"/>
          <w:rtl w:val="true"/>
          <w:lang w:bidi="fa-IR"/>
        </w:rPr>
        <w:t>ویُحتمل سقوط قطع غیر المنصوص مرتَّباً، وقوفاً فی التجرّی علی الدم المحترم علی موضع الیقین، ولأ نّه تخطٍّ عن موضع النصّ بغیر دلیل، ولظاهر قول علیّ علیه الصلاة والسلام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لأستحی من ربّی أن لا أدع له یداً یستنجی بها، أو رجلاً یمشی علیها</w:t>
      </w:r>
      <w:r>
        <w:rPr>
          <w:rFonts w:eastAsia="IRNazanin" w:cs="IRNazanin"/>
          <w:color w:val="111111"/>
          <w:sz w:val="28"/>
          <w:szCs w:val="28"/>
          <w:rtl w:val="true"/>
          <w:lang w:bidi="fa-IR"/>
        </w:rPr>
        <w:t xml:space="preserve">» </w:t>
      </w:r>
      <w:r>
        <w:rPr>
          <w:rStyle w:val="FootnoteAnchor"/>
          <w:rtl w:val="true"/>
        </w:rPr>
        <w:footnoteReference w:id="15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وسأل عبد اللّٰه بن هلال أبا عبد اللّٰه علیه السلام عن علّة قطع یده الیمنی ورجله الیسری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أحسن ما سألت؟ إذا قُطِعت یده الیمنی ورجله الیمنی سقط علی جانبه الأیسر ولم یقدر علی القیام، فإذا قُطِعت یده الیمنی ورجله الیسری اعتدل واستوی قائماً</w:t>
      </w:r>
      <w:r>
        <w:rPr>
          <w:rFonts w:eastAsia="IRNazanin" w:cs="IRNazanin"/>
          <w:color w:val="111111"/>
          <w:sz w:val="28"/>
          <w:szCs w:val="28"/>
          <w:rtl w:val="true"/>
          <w:lang w:bidi="fa-IR"/>
        </w:rPr>
        <w:t xml:space="preserve">» </w:t>
      </w:r>
      <w:r>
        <w:rPr>
          <w:rStyle w:val="FootnoteAnchor"/>
          <w:rtl w:val="true"/>
        </w:rPr>
        <w:footnoteReference w:id="15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قطعه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حسمه </w:t>
      </w:r>
      <w:r>
        <w:rPr>
          <w:rStyle w:val="FootnoteAnchor"/>
          <w:rtl w:val="true"/>
        </w:rPr>
        <w:footnoteReference w:id="1562"/>
      </w:r>
      <w:r>
        <w:rPr>
          <w:rFonts w:ascii="IRNazanin" w:hAnsi="IRNazanin" w:eastAsia="IRNazanin"/>
          <w:color w:val="111111"/>
          <w:sz w:val="28"/>
          <w:sz w:val="28"/>
          <w:szCs w:val="28"/>
          <w:rtl w:val="true"/>
          <w:lang w:bidi="fa-IR"/>
        </w:rPr>
        <w:t>بالزیت المغلیّ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إبقاءً له، ولیس بواجب؛ للأصل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ومؤونته علیه إن لم یتبرّع به أحد، أو یخرجه الحاکم من بیت المال</w:t>
      </w:r>
      <w:r>
        <w:rPr>
          <w:rFonts w:eastAsia="IRNazanin" w:cs="IRNazanin"/>
          <w:color w:val="111111"/>
          <w:sz w:val="28"/>
          <w:szCs w:val="28"/>
          <w:rtl w:val="true"/>
          <w:lang w:bidi="fa-IR"/>
        </w:rPr>
        <w:t>.</w:t>
      </w:r>
    </w:p>
    <w:p>
      <w:pPr>
        <w:pStyle w:val="Heading5"/>
        <w:numPr>
          <w:ilvl w:val="4"/>
          <w:numId w:val="1"/>
        </w:numPr>
        <w:rPr/>
      </w:pPr>
      <w:bookmarkStart w:id="550" w:name="__RefHeading___Toc2228091_2314609296"/>
      <w:bookmarkStart w:id="551" w:name="_Toc208"/>
      <w:bookmarkEnd w:id="550"/>
      <w:r>
        <w:rPr>
          <w:rtl w:val="true"/>
        </w:rPr>
        <w:t>«</w:t>
      </w:r>
      <w:r>
        <w:rPr>
          <w:rtl w:val="true"/>
        </w:rPr>
        <w:t xml:space="preserve">الثانیة عشرة </w:t>
      </w:r>
      <w:r>
        <w:rPr>
          <w:rtl w:val="true"/>
        </w:rPr>
        <w:t>[</w:t>
      </w:r>
      <w:r>
        <w:rPr>
          <w:rtl w:val="true"/>
        </w:rPr>
        <w:t>تکرر السرقة</w:t>
      </w:r>
      <w:r>
        <w:rPr>
          <w:rtl w:val="true"/>
        </w:rPr>
        <w:t>] » :</w:t>
      </w:r>
      <w:bookmarkEnd w:id="55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تکرّرت السرقة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یُرافَع بینها </w:t>
      </w:r>
      <w:r>
        <w:rPr>
          <w:rStyle w:val="FootnoteAnchor"/>
          <w:rtl w:val="true"/>
        </w:rPr>
        <w:footnoteReference w:id="15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فالقطع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حدّ فتتداخل أسبابه لو اجتمعت کالزنا وشرب الخمر</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وهل هو بالاُولی أو الأخیرة؟ قولان </w:t>
      </w:r>
      <w:r>
        <w:rPr>
          <w:rStyle w:val="FootnoteAnchor"/>
          <w:rtl w:val="true"/>
        </w:rPr>
        <w:footnoteReference w:id="15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وتظهر الفائدة فیما لو عفا من حکم بالقطع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والحقّ أ نّه یقطع علی کلّ حال حتّی لو عفا الأوّل قُطِع بالثانی، وبالعکس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أقرّ بها دفعة، أو شهدت البیّنات بها کذلک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شهدا علیه بسرقة ثمّ شهدا علیه باُخری قبل القطع فالأقرب عدم تعدّد القطع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کالسابق؛ لاشتراکهما فی الوجه، وهو کونه حدّاً، فلا یتکرّر بتکرّر سببه إلی أن یسرق بعد القطع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تقطع </w:t>
      </w:r>
      <w:r>
        <w:rPr>
          <w:rStyle w:val="FootnoteAnchor"/>
          <w:rtl w:val="true"/>
        </w:rPr>
        <w:footnoteReference w:id="1565"/>
      </w:r>
      <w:r>
        <w:rPr>
          <w:rFonts w:ascii="IRNazanin" w:hAnsi="IRNazanin" w:eastAsia="IRNazanin"/>
          <w:color w:val="111111"/>
          <w:sz w:val="28"/>
          <w:sz w:val="28"/>
          <w:szCs w:val="28"/>
          <w:rtl w:val="true"/>
          <w:lang w:bidi="fa-IR"/>
        </w:rPr>
        <w:t xml:space="preserve">یده ورجله؛ لأنّ کلّ واحدة توجب القطع فتقطع الید للاُولی والرجل للثانیة، والأصل عدم التداخل </w:t>
      </w:r>
      <w:r>
        <w:rPr>
          <w:rStyle w:val="FootnoteAnchor"/>
          <w:rtl w:val="true"/>
        </w:rPr>
        <w:footnoteReference w:id="15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ولو أمسکت البیّنة الثانیة حتّی قطعت یده ثمّ شهدت ففی قطع رجله قولان أیضاً </w:t>
      </w:r>
      <w:r>
        <w:rPr>
          <w:rStyle w:val="FootnoteAnchor"/>
          <w:rtl w:val="true"/>
        </w:rPr>
        <w:footnoteReference w:id="1567"/>
      </w:r>
      <w:r>
        <w:rPr>
          <w:rFonts w:ascii="Amiri" w:hAnsi="Amiri" w:eastAsia="Amiri" w:cs="Amiri"/>
          <w:color w:val="111111"/>
          <w:sz w:val="28"/>
          <w:sz w:val="28"/>
          <w:szCs w:val="28"/>
          <w:rtl w:val="true"/>
          <w:lang w:bidi="ar-SA"/>
        </w:rPr>
        <w:t>وأولی بالقطع هنا لو قیل به ثَمَّ</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والأقوی عدم القطع أیضاً، لما ذکر، وأصالة البراءة، وقیام الشبهة الموجبة لدرء الحدّ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ومستند القطع روایة بکیر بن أعین عن الباقر علیه السلام </w:t>
      </w:r>
      <w:r>
        <w:rPr>
          <w:rStyle w:val="FootnoteAnchor"/>
          <w:rtl w:val="true"/>
        </w:rPr>
        <w:footnoteReference w:id="1568"/>
      </w:r>
      <w:r>
        <w:rPr>
          <w:rFonts w:ascii="IRNazanin" w:hAnsi="IRNazanin" w:eastAsia="IRNazanin"/>
          <w:color w:val="111111"/>
          <w:sz w:val="28"/>
          <w:sz w:val="28"/>
          <w:szCs w:val="28"/>
          <w:rtl w:val="true"/>
          <w:lang w:bidi="fa-IR"/>
        </w:rPr>
        <w:t xml:space="preserve">وفی الطریق ضعف </w:t>
      </w:r>
      <w:r>
        <w:rPr>
          <w:rStyle w:val="FootnoteAnchor"/>
          <w:rtl w:val="true"/>
        </w:rPr>
        <w:footnoteReference w:id="1569"/>
      </w:r>
      <w:r>
        <w:rPr>
          <w:rFonts w:eastAsia="Times New Roman" w:cs="Times New Roman" w:ascii="Times New Roman" w:hAnsi="Times New Roman"/>
          <w:color w:val="111111"/>
          <w:sz w:val="28"/>
          <w:szCs w:val="28"/>
          <w:rtl w:val="true"/>
          <w:lang w:val="en-US" w:bidi="en-US"/>
        </w:rPr>
        <w:t>.</w:t>
      </w:r>
      <w:bookmarkStart w:id="552" w:name="pg19815_253360"/>
    </w:p>
    <w:p>
      <w:pPr>
        <w:pStyle w:val="Heading3"/>
        <w:numPr>
          <w:ilvl w:val="2"/>
          <w:numId w:val="1"/>
        </w:numPr>
        <w:rPr/>
      </w:pPr>
      <w:bookmarkStart w:id="553" w:name="__RefHeading___Toc2228093_2314609296"/>
      <w:bookmarkStart w:id="554" w:name="_Toc209"/>
      <w:bookmarkEnd w:id="552"/>
      <w:bookmarkEnd w:id="553"/>
      <w:r>
        <w:rPr>
          <w:rtl w:val="true"/>
        </w:rPr>
        <w:t>«</w:t>
      </w:r>
      <w:r>
        <w:rPr>
          <w:rtl w:val="true"/>
        </w:rPr>
        <w:t>الفصل السادس</w:t>
      </w:r>
      <w:r>
        <w:rPr>
          <w:rtl w:val="true"/>
        </w:rPr>
        <w:t>» «</w:t>
      </w:r>
      <w:r>
        <w:rPr>
          <w:rtl w:val="true"/>
        </w:rPr>
        <w:t>فی المحاربة</w:t>
      </w:r>
      <w:r>
        <w:rPr>
          <w:rtl w:val="true"/>
        </w:rPr>
        <w:t>»</w:t>
      </w:r>
      <w:bookmarkEnd w:id="554"/>
    </w:p>
    <w:p>
      <w:pPr>
        <w:pStyle w:val="Heading4"/>
        <w:numPr>
          <w:ilvl w:val="3"/>
          <w:numId w:val="1"/>
        </w:numPr>
        <w:rPr/>
      </w:pPr>
      <w:bookmarkStart w:id="555" w:name="__RefHeading___Toc2228095_2314609296"/>
      <w:bookmarkStart w:id="556" w:name="_Toc210"/>
      <w:bookmarkEnd w:id="555"/>
      <w:r>
        <w:rPr>
          <w:rtl w:val="true"/>
        </w:rPr>
        <w:t>[</w:t>
      </w:r>
      <w:r>
        <w:rPr>
          <w:rtl w:val="true"/>
        </w:rPr>
        <w:t>المراد من المحاربه</w:t>
      </w:r>
      <w:r>
        <w:rPr>
          <w:rtl w:val="true"/>
        </w:rPr>
        <w:t>]</w:t>
      </w:r>
      <w:bookmarkEnd w:id="55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وهی تجرید السِلاح برّاً أو بحراً لیلاً أو نهاراً، لإخافة الناس فی مصر وغیره، من ذکر أو اُنثی قویّ أو 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أهل الریبة </w:t>
      </w:r>
      <w:r>
        <w:rPr>
          <w:rStyle w:val="FootnoteAnchor"/>
          <w:rtl w:val="true"/>
        </w:rPr>
        <w:footnoteReference w:id="1570"/>
      </w:r>
      <w:r>
        <w:rPr>
          <w:rFonts w:ascii="IRNazanin" w:hAnsi="IRNazanin" w:eastAsia="IRNazanin"/>
          <w:color w:val="111111"/>
          <w:sz w:val="28"/>
          <w:sz w:val="28"/>
          <w:szCs w:val="28"/>
          <w:rtl w:val="true"/>
          <w:lang w:bidi="fa-IR"/>
        </w:rPr>
        <w:t xml:space="preserve">أم لا، قصد الإخافة أم لا، علی أصحّ الأقوال </w:t>
      </w:r>
      <w:r>
        <w:rPr>
          <w:rStyle w:val="FootnoteAnchor"/>
          <w:rtl w:val="true"/>
        </w:rPr>
        <w:footnoteReference w:id="1571"/>
      </w:r>
      <w:r>
        <w:rPr>
          <w:rFonts w:ascii="IRNazanin" w:hAnsi="IRNazanin" w:eastAsia="IRNazanin"/>
          <w:color w:val="111111"/>
          <w:sz w:val="28"/>
          <w:sz w:val="28"/>
          <w:szCs w:val="28"/>
          <w:rtl w:val="true"/>
          <w:lang w:bidi="fa-IR"/>
        </w:rPr>
        <w:t xml:space="preserve">لعموم الآیة </w:t>
      </w:r>
      <w:r>
        <w:rPr>
          <w:rStyle w:val="FootnoteAnchor"/>
          <w:rtl w:val="true"/>
        </w:rPr>
        <w:footnoteReference w:id="1572"/>
      </w:r>
      <w:r>
        <w:rPr>
          <w:rFonts w:ascii="IRNazanin" w:hAnsi="IRNazanin" w:eastAsia="IRNazanin"/>
          <w:color w:val="111111"/>
          <w:sz w:val="28"/>
          <w:sz w:val="28"/>
          <w:szCs w:val="28"/>
          <w:rtl w:val="true"/>
          <w:lang w:bidi="fa-IR"/>
        </w:rPr>
        <w:t>المتناول لجمیع من 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وخالف ابن الجنید فخصّ الحکم بالرجال </w:t>
      </w:r>
      <w:r>
        <w:rPr>
          <w:rStyle w:val="FootnoteAnchor"/>
          <w:rtl w:val="true"/>
        </w:rPr>
        <w:footnoteReference w:id="1573"/>
      </w:r>
      <w:r>
        <w:rPr>
          <w:rFonts w:ascii="IRNazanin" w:hAnsi="IRNazanin" w:eastAsia="IRNazanin"/>
          <w:color w:val="111111"/>
          <w:sz w:val="28"/>
          <w:sz w:val="28"/>
          <w:szCs w:val="28"/>
          <w:rtl w:val="true"/>
          <w:lang w:bidi="fa-IR"/>
        </w:rPr>
        <w:t>بناءً علی أنّ الضمیر فی الآیة للذکور، ودخول الإناث فیهم مجاز</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تسلیمه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فی صحیحة محمّد بن مسلم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شهر السلاح</w:t>
      </w:r>
      <w:r>
        <w:rPr>
          <w:rFonts w:eastAsia="IRNazanin" w:cs="IRNazanin"/>
          <w:color w:val="111111"/>
          <w:sz w:val="28"/>
          <w:szCs w:val="28"/>
          <w:rtl w:val="true"/>
          <w:lang w:bidi="fa-IR"/>
        </w:rPr>
        <w:t xml:space="preserve">» </w:t>
      </w:r>
      <w:r>
        <w:rPr>
          <w:rStyle w:val="FootnoteAnchor"/>
          <w:rtl w:val="true"/>
        </w:rPr>
        <w:footnoteReference w:id="1574"/>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عامّة حقیقة للذکور والإناث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والشیخان حیث شرطا کونه من أهل الریبة </w:t>
      </w:r>
      <w:r>
        <w:rPr>
          <w:rStyle w:val="FootnoteAnchor"/>
          <w:rtl w:val="true"/>
        </w:rPr>
        <w:footnoteReference w:id="1575"/>
      </w:r>
      <w:r>
        <w:rPr>
          <w:rFonts w:ascii="Amiri" w:hAnsi="Amiri" w:eastAsia="Amiri" w:cs="Amiri"/>
          <w:color w:val="111111"/>
          <w:sz w:val="28"/>
          <w:sz w:val="28"/>
          <w:szCs w:val="28"/>
          <w:rtl w:val="true"/>
          <w:lang w:bidi="ar-SA"/>
        </w:rPr>
        <w:t xml:space="preserve">وعموم النصّ </w:t>
      </w:r>
      <w:r>
        <w:rPr>
          <w:rStyle w:val="FootnoteAnchor"/>
          <w:rtl w:val="true"/>
        </w:rPr>
        <w:footnoteReference w:id="1576"/>
      </w:r>
      <w:r>
        <w:rPr>
          <w:rFonts w:ascii="IRNazanin" w:hAnsi="IRNazanin" w:eastAsia="IRNazanin"/>
          <w:color w:val="111111"/>
          <w:sz w:val="28"/>
          <w:sz w:val="28"/>
          <w:szCs w:val="28"/>
          <w:rtl w:val="true"/>
          <w:lang w:bidi="fa-IR"/>
        </w:rPr>
        <w:t>یدفعه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تجرید السلاح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تبع فیه الخبر </w:t>
      </w:r>
      <w:r>
        <w:rPr>
          <w:rStyle w:val="FootnoteAnchor"/>
          <w:rtl w:val="true"/>
        </w:rPr>
        <w:footnoteReference w:id="1577"/>
      </w:r>
      <w:r>
        <w:rPr>
          <w:rFonts w:ascii="IRNazanin" w:hAnsi="IRNazanin" w:eastAsia="IRNazanin"/>
          <w:color w:val="111111"/>
          <w:sz w:val="28"/>
          <w:sz w:val="28"/>
          <w:szCs w:val="28"/>
          <w:rtl w:val="true"/>
          <w:lang w:bidi="fa-IR"/>
        </w:rPr>
        <w:t>وإلّا فالأجود عدم اعتباره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اقتصر علی الحجر والعصا والأخذ بالقوّة فهو محارب؛ لعموم 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وشمل إطلاقه کغیره </w:t>
      </w:r>
      <w:r>
        <w:rPr>
          <w:rStyle w:val="FootnoteAnchor"/>
          <w:rtl w:val="true"/>
        </w:rPr>
        <w:footnoteReference w:id="1578"/>
      </w:r>
      <w:r>
        <w:rPr>
          <w:rFonts w:ascii="IRNazanin" w:hAnsi="IRNazanin" w:eastAsia="IRNazanin"/>
          <w:color w:val="111111"/>
          <w:sz w:val="28"/>
          <w:sz w:val="28"/>
          <w:szCs w:val="28"/>
          <w:rtl w:val="true"/>
          <w:lang w:bidi="fa-IR"/>
        </w:rPr>
        <w:t>الصغیر والکبیر؛ لعموم الأدلّة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ویشکل فی الصغیر بأنّ الحدّ مشروط بالتکلیف خصوصاً القتل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وشرط ابن الجنید فیه البلوغ </w:t>
      </w:r>
      <w:r>
        <w:rPr>
          <w:rStyle w:val="FootnoteAnchor"/>
          <w:rtl w:val="true"/>
        </w:rPr>
        <w:footnoteReference w:id="1579"/>
      </w:r>
      <w:r>
        <w:rPr>
          <w:rFonts w:ascii="Amiri" w:hAnsi="Amiri" w:eastAsia="Amiri" w:cs="Amiri"/>
          <w:color w:val="111111"/>
          <w:sz w:val="28"/>
          <w:sz w:val="28"/>
          <w:szCs w:val="28"/>
          <w:rtl w:val="true"/>
          <w:lang w:bidi="ar-SA"/>
        </w:rPr>
        <w:t xml:space="preserve">ورجّحه المصنّف فی الشرح </w:t>
      </w:r>
      <w:r>
        <w:rPr>
          <w:rStyle w:val="FootnoteAnchor"/>
          <w:rtl w:val="true"/>
        </w:rPr>
        <w:footnoteReference w:id="1580"/>
      </w:r>
      <w:r>
        <w:rPr>
          <w:rFonts w:ascii="IRNazanin" w:hAnsi="IRNazanin" w:eastAsia="IRNazanin"/>
          <w:color w:val="111111"/>
          <w:sz w:val="28"/>
          <w:sz w:val="28"/>
          <w:szCs w:val="28"/>
          <w:rtl w:val="true"/>
          <w:lang w:bidi="fa-IR"/>
        </w:rPr>
        <w:t>وهو حسن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الطلیع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للمحارب، وهو الذی یرقب له من یمرّ بالطریق فیُعلمه به، أو یرقب له من یخاف علیه منه فیحذّره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والرِدء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بکسر الراء فسکون الدال فالهمز، وهو المعین له فی ما یحتاج إلیه من غیر أن یباشر متعلِّق المحاربة ما فیه أذی الناس، وإلّا کان محارباً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یشترط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تحقّق المحاربة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 النصاب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الحِرز، ولا أخذ شیء؛ للعموم</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المحاربة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بشهادة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عدلین، وبالإقرار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واحدة؛ لعموم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إقرار العقلاء علی أنفسهم جائز</w:t>
      </w:r>
      <w:r>
        <w:rPr>
          <w:rFonts w:eastAsia="IRNazanin" w:cs="IRNazanin"/>
          <w:color w:val="111111"/>
          <w:sz w:val="28"/>
          <w:szCs w:val="28"/>
          <w:rtl w:val="true"/>
          <w:lang w:bidi="fa-IR"/>
        </w:rPr>
        <w:t xml:space="preserve">» </w:t>
      </w:r>
      <w:r>
        <w:rPr>
          <w:rStyle w:val="FootnoteAnchor"/>
          <w:rtl w:val="true"/>
        </w:rPr>
        <w:footnoteReference w:id="1581"/>
      </w:r>
      <w:r>
        <w:rPr>
          <w:rFonts w:ascii="IRNazanin" w:hAnsi="IRNazanin" w:eastAsia="IRNazanin"/>
          <w:color w:val="111111"/>
          <w:sz w:val="28"/>
          <w:sz w:val="28"/>
          <w:szCs w:val="28"/>
          <w:rtl w:val="true"/>
          <w:lang w:bidi="fa-IR"/>
        </w:rPr>
        <w:t>خرج منه ما اشترط فیه التکرار بدلیل خارج، فیبقی غیره علی العموم؛ مع کمال المقرّ</w:t>
      </w:r>
      <w:bookmarkStart w:id="557" w:name="pg19815_253362"/>
    </w:p>
    <w:p>
      <w:pPr>
        <w:pStyle w:val="BookText"/>
        <w:rPr/>
      </w:pPr>
      <w:bookmarkEnd w:id="557"/>
      <w:r>
        <w:rPr>
          <w:rFonts w:ascii="Amiri" w:hAnsi="Amiri" w:eastAsia="Amiri" w:cs="Amiri"/>
          <w:color w:val="111111"/>
          <w:sz w:val="28"/>
          <w:sz w:val="28"/>
          <w:szCs w:val="28"/>
          <w:rtl w:val="true"/>
          <w:lang w:bidi="ar-SA"/>
        </w:rPr>
        <w:t>وحرّیّته واختیاره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تُقبل شهادة بعض المأخوذین 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للتهمة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لو شهد اثنان علی بعض اللصوص أ نّهم أخذوا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 </w:t>
      </w:r>
      <w:r>
        <w:rPr>
          <w:rFonts w:eastAsia="IRNazanin" w:cs="IRNazanin"/>
          <w:color w:val="111111"/>
          <w:sz w:val="28"/>
          <w:szCs w:val="28"/>
          <w:rtl w:val="true"/>
          <w:lang w:bidi="fa-IR"/>
        </w:rPr>
        <w:t xml:space="preserve">] </w:t>
      </w:r>
      <w:r>
        <w:rPr>
          <w:rStyle w:val="FootnoteAnchor"/>
          <w:rtl w:val="true"/>
        </w:rPr>
        <w:footnoteReference w:id="1582"/>
      </w:r>
      <w:r>
        <w:rPr>
          <w:rFonts w:ascii="IRNazanin" w:hAnsi="IRNazanin" w:eastAsia="IRNazanin"/>
          <w:color w:val="111111"/>
          <w:sz w:val="28"/>
          <w:sz w:val="28"/>
          <w:szCs w:val="28"/>
          <w:rtl w:val="true"/>
          <w:lang w:bidi="fa-IR"/>
        </w:rPr>
        <w:t>غیرهما وشهد ذلک الغیر علی بعض آخر غیر الأوّل أ نّه أخذ الشاهدین حُکِم بالجمیع؛ لعدم التهمة، وکذا لو قال الشاهدان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عرضوا لنا جمیعاً وأخذوا هؤلاء خاصّة</w:t>
      </w:r>
      <w:r>
        <w:rPr>
          <w:rFonts w:eastAsia="IRNazanin" w:cs="IRNazanin"/>
          <w:color w:val="111111"/>
          <w:sz w:val="28"/>
          <w:szCs w:val="28"/>
          <w:rtl w:val="true"/>
          <w:lang w:bidi="fa-IR"/>
        </w:rPr>
        <w:t>.</w:t>
      </w:r>
    </w:p>
    <w:p>
      <w:pPr>
        <w:pStyle w:val="Heading4"/>
        <w:numPr>
          <w:ilvl w:val="3"/>
          <w:numId w:val="1"/>
        </w:numPr>
        <w:rPr/>
      </w:pPr>
      <w:bookmarkStart w:id="558" w:name="__RefHeading___Toc2228097_2314609296"/>
      <w:bookmarkStart w:id="559" w:name="_Toc211"/>
      <w:bookmarkEnd w:id="558"/>
      <w:r>
        <w:rPr>
          <w:rtl w:val="true"/>
        </w:rPr>
        <w:t>[</w:t>
      </w:r>
      <w:r>
        <w:rPr>
          <w:rtl w:val="true"/>
        </w:rPr>
        <w:t>حد المحارب</w:t>
      </w:r>
      <w:r>
        <w:rPr>
          <w:rtl w:val="true"/>
        </w:rPr>
        <w:t>]</w:t>
      </w:r>
      <w:bookmarkEnd w:id="55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للمحارب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القتل أو الصلب أو قطع یده الیمنی ورجله الیسری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للآیة </w:t>
      </w:r>
      <w:r>
        <w:rPr>
          <w:rStyle w:val="FootnoteAnchor"/>
          <w:rtl w:val="true"/>
        </w:rPr>
        <w:footnoteReference w:id="1583"/>
      </w:r>
      <w:r>
        <w:rPr>
          <w:rFonts w:ascii="IRNazanin" w:hAnsi="IRNazanin" w:eastAsia="IRNazanin"/>
          <w:color w:val="111111"/>
          <w:sz w:val="28"/>
          <w:sz w:val="28"/>
          <w:szCs w:val="28"/>
          <w:rtl w:val="true"/>
          <w:lang w:bidi="fa-IR"/>
        </w:rPr>
        <w:t xml:space="preserve">الدالّة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التخییر وإن احتملت غیره؛ لما روی صحیحاً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القرآن للتخییر حیث وقع </w:t>
      </w:r>
      <w:r>
        <w:rPr>
          <w:rStyle w:val="FootnoteAnchor"/>
          <w:rtl w:val="true"/>
        </w:rPr>
        <w:footnoteReference w:id="1584"/>
      </w:r>
      <w:r>
        <w:rPr>
          <w:rFonts w:ascii="Amiri" w:hAnsi="Amiri" w:eastAsia="Amiri" w:cs="Amiri"/>
          <w:color w:val="111111"/>
          <w:sz w:val="28"/>
          <w:sz w:val="28"/>
          <w:szCs w:val="28"/>
          <w:rtl w:val="true"/>
          <w:lang w:bidi="ar-SA"/>
        </w:rPr>
        <w:t>ولحسنة جمیل بن درّاج عن الصادق علیه السلام حیث سأله عن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جَزٰاءُ اَلَّذِینَ یُحٰارِبُونَ اَللّٰهَ وَ رَسُولَهُ الآیة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أیّ شیء علیه من هذه الحدود التی سمّی اللّٰه؟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إلی الإمام إن شاء قطع، وإن شاء صَلَب، وإن شاء نفی، وإن شاء 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یُنفی إلی أین؟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مصر إلی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علیّاً علیه السلام نفی رجلین من الکوفة إلی البصرة</w:t>
      </w:r>
      <w:r>
        <w:rPr>
          <w:rFonts w:eastAsia="Amiri" w:cs="Amiri" w:ascii="Amiri" w:hAnsi="Amiri"/>
          <w:color w:val="111111"/>
          <w:sz w:val="28"/>
          <w:szCs w:val="28"/>
          <w:rtl w:val="true"/>
          <w:lang w:bidi="ar-SA"/>
        </w:rPr>
        <w:t xml:space="preserve">» </w:t>
      </w:r>
      <w:r>
        <w:rPr>
          <w:rStyle w:val="FootnoteAnchor"/>
          <w:rtl w:val="true"/>
        </w:rPr>
        <w:footnoteReference w:id="1585"/>
      </w:r>
      <w:r>
        <w:rPr>
          <w:rFonts w:ascii="IRNazanin" w:hAnsi="IRNazanin" w:eastAsia="IRNazanin"/>
          <w:color w:val="111111"/>
          <w:sz w:val="28"/>
          <w:sz w:val="28"/>
          <w:szCs w:val="28"/>
          <w:rtl w:val="true"/>
          <w:lang w:bidi="fa-IR"/>
        </w:rPr>
        <w:t>ومثله حسنة برید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صحیحته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علیه السلام </w:t>
      </w:r>
      <w:r>
        <w:rPr>
          <w:rStyle w:val="FootnoteAnchor"/>
          <w:rtl w:val="true"/>
        </w:rPr>
        <w:footnoteReference w:id="1586"/>
      </w:r>
      <w:r>
        <w:rPr>
          <w:rFonts w:eastAsia="Times New Roman" w:cs="Times New Roman" w:ascii="Times New Roman" w:hAnsi="Times New Roman"/>
          <w:color w:val="111111"/>
          <w:sz w:val="28"/>
          <w:szCs w:val="28"/>
          <w:rtl w:val="true"/>
          <w:lang w:val="en-US" w:bidi="en-US"/>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ولم یذکر المصنّف هنا النفی، ولا بدّ منه؛ لأنّه أحد أفراد الواجب المخیّر فی</w:t>
      </w:r>
    </w:p>
    <w:p>
      <w:pPr>
        <w:pStyle w:val="BookText"/>
        <w:rPr/>
      </w:pPr>
      <w:r>
        <w:rPr>
          <w:rFonts w:ascii="IRNazanin" w:hAnsi="IRNazanin" w:eastAsia="IRNazanin"/>
          <w:color w:val="111111"/>
          <w:sz w:val="28"/>
          <w:sz w:val="28"/>
          <w:szCs w:val="28"/>
          <w:rtl w:val="true"/>
          <w:lang w:bidi="fa-IR"/>
        </w:rPr>
        <w:t>الآیة والروایة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فی المسألة قول ثالث یشتمل علی ترکه، ولعلّ ترکه سهو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لو قتل المحاربُ تعیّن قتله ولم یُکتَف بغیره من الحدود، سواء قَتَل مکافئاً أم لا، وسواء عفا الولیّ أم لا، علی ما ذکره جماعة من الأصحاب </w:t>
      </w:r>
      <w:r>
        <w:rPr>
          <w:rStyle w:val="FootnoteAnchor"/>
          <w:rtl w:val="true"/>
        </w:rPr>
        <w:footnoteReference w:id="1587"/>
      </w:r>
      <w:r>
        <w:rPr>
          <w:rFonts w:ascii="IRNazanin" w:hAnsi="IRNazanin" w:eastAsia="IRNazanin"/>
          <w:color w:val="111111"/>
          <w:sz w:val="28"/>
          <w:sz w:val="28"/>
          <w:szCs w:val="28"/>
          <w:rtl w:val="true"/>
          <w:lang w:bidi="fa-IR"/>
        </w:rPr>
        <w:t>وفی بعض أفراده نظر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والقائل الشیخ </w:t>
      </w:r>
      <w:r>
        <w:rPr>
          <w:rStyle w:val="FootnoteAnchor"/>
          <w:rtl w:val="true"/>
        </w:rPr>
        <w:footnoteReference w:id="1588"/>
      </w:r>
      <w:r>
        <w:rPr>
          <w:rFonts w:ascii="Amiri" w:hAnsi="Amiri" w:eastAsia="Amiri" w:cs="Amiri"/>
          <w:color w:val="111111"/>
          <w:sz w:val="28"/>
          <w:sz w:val="28"/>
          <w:szCs w:val="28"/>
          <w:rtl w:val="true"/>
          <w:lang w:bidi="ar-SA"/>
        </w:rPr>
        <w:t xml:space="preserve">وجماعة </w:t>
      </w:r>
      <w:r>
        <w:rPr>
          <w:rStyle w:val="FootnoteAnchor"/>
          <w:rtl w:val="true"/>
        </w:rPr>
        <w:footnoteReference w:id="15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ذلک لا علی جهة التخییر، 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یُقتل إن قتل قَوَداً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طلب الولیّ قتله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عفا عنه أو لم یطلب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قتل وأخذ المال قُطع مخالفاً، ثمّ قُتِل وصُلِب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مقتولاً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أخذ المال لا 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قلیلاً کان أم کثیراً من حرز وغیره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 مخالفاً ونُفی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یقتل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جرح ولم یأخذ مالاً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قتل نفساً ولو بسرایة جراحته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بمقدار الجرح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ونُفی</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اقتصر علی شهر السلاح والإخافة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یأخذ مالاً ولم یقتل ولم یجرح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لا غیر</w:t>
      </w:r>
      <w:r>
        <w:rPr>
          <w:rFonts w:eastAsia="IRNazanin" w:cs="IRNazanin"/>
          <w:color w:val="111111"/>
          <w:sz w:val="28"/>
          <w:szCs w:val="28"/>
          <w:rtl w:val="true"/>
          <w:lang w:bidi="fa-IR"/>
        </w:rPr>
        <w:t>» .</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ومستند هذا التفصیل روایات </w:t>
      </w:r>
      <w:r>
        <w:rPr>
          <w:rStyle w:val="FootnoteAnchor"/>
          <w:rtl w:val="true"/>
        </w:rPr>
        <w:footnoteReference w:id="1590"/>
      </w:r>
      <w:r>
        <w:rPr>
          <w:rFonts w:ascii="IRNazanin" w:hAnsi="IRNazanin" w:eastAsia="IRNazanin"/>
          <w:color w:val="111111"/>
          <w:sz w:val="28"/>
          <w:sz w:val="28"/>
          <w:szCs w:val="28"/>
          <w:rtl w:val="true"/>
          <w:lang w:bidi="fa-IR"/>
        </w:rPr>
        <w:t xml:space="preserve">لا تخلو من ضعف فی سند وجهالة </w:t>
      </w:r>
      <w:r>
        <w:rPr>
          <w:rStyle w:val="FootnoteAnchor"/>
          <w:rtl w:val="true"/>
        </w:rPr>
        <w:footnoteReference w:id="1591"/>
      </w:r>
    </w:p>
    <w:p>
      <w:pPr>
        <w:pStyle w:val="BookText"/>
        <w:rPr/>
      </w:pPr>
      <w:r>
        <w:rPr>
          <w:rFonts w:ascii="IRNazanin" w:hAnsi="IRNazanin" w:eastAsia="IRNazanin"/>
          <w:color w:val="111111"/>
          <w:sz w:val="28"/>
          <w:sz w:val="28"/>
          <w:szCs w:val="28"/>
          <w:rtl w:val="true"/>
          <w:lang w:bidi="fa-IR"/>
        </w:rPr>
        <w:t>واختلاف فی متن، تقصر بسببه عن إفادة ما یوجب الاعتماد علیه؛ ومع ذلک لم یجتمع جمیع ما ذُکر من الأحکام فی روایة منها، وإنّما یتلفّق کثیر منه من الجمیع، وبعضه لم نقف علیه فی 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وبسبب ذلک اختلف کلام الشیخ رحمه الله أیضاً، ففی النهایة ذکر قریباً ممّا ذکر هنا </w:t>
      </w:r>
      <w:r>
        <w:rPr>
          <w:rStyle w:val="FootnoteAnchor"/>
          <w:rtl w:val="true"/>
        </w:rPr>
        <w:footnoteReference w:id="1592"/>
      </w:r>
      <w:r>
        <w:rPr>
          <w:rFonts w:ascii="IRNazanin" w:hAnsi="IRNazanin" w:eastAsia="IRNazanin"/>
          <w:color w:val="111111"/>
          <w:sz w:val="28"/>
          <w:sz w:val="28"/>
          <w:szCs w:val="28"/>
          <w:rtl w:val="true"/>
          <w:lang w:bidi="fa-IR"/>
        </w:rPr>
        <w:t xml:space="preserve">وفی الخلاف أسقط القطع علی تقدیر قتله وأخذه المال </w:t>
      </w:r>
      <w:r>
        <w:rPr>
          <w:rStyle w:val="FootnoteAnchor"/>
          <w:rtl w:val="true"/>
        </w:rPr>
        <w:footnoteReference w:id="1593"/>
      </w:r>
      <w:r>
        <w:rPr>
          <w:rFonts w:ascii="IRNazanin" w:hAnsi="IRNazanin" w:eastAsia="IRNazanin"/>
          <w:color w:val="111111"/>
          <w:sz w:val="28"/>
          <w:sz w:val="28"/>
          <w:szCs w:val="28"/>
          <w:rtl w:val="true"/>
          <w:lang w:bidi="fa-IR"/>
        </w:rPr>
        <w:t>ولم یذکر حکم ما لو جَرح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یمکن استفادة حکمه من خارج، فإنّ الجارح عمداً یُقتصّ منه مطلقاً، فالمحارب أولی، ومجرّد المحاربة یجوّز النفی، وهی حاصلة معه </w:t>
      </w:r>
      <w:r>
        <w:rPr>
          <w:rStyle w:val="FootnoteAnchor"/>
          <w:rtl w:val="true"/>
        </w:rPr>
        <w:footnoteReference w:id="15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القصاص حینئذٍ لیس حدّاً، فلا وجه لإدخاله فی بابه، ولو لوحظ جمیع ما یجب علیه لقیل مع أخذه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یؤخذ منه عینه أو مثله أو قیمته، مضافاً إلی ما یجب علیه، وهو خروج عن الفرض، أو قصور فی الاستیفاء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هذا التقسیم مع ذلک تجاوز لما یوجد فی الروایات، ولیس بحاصر للأقسام، فإنّ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یجمع بین الاُمور کلّها، فیقتل ویجرح آخرَ ویأخذ المال، وحکمه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إلی ما سبق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یقتصّ منه للجرح قبل القتل، ولو کان فی الید أو الرجل فقبل القطع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لو أخذ المال وجرح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لو قتل وجرح ولم یأخذ المال، وحکمهما الاقتصاص للجرح والقطع فی الاُولی والقتل فی الثانیة</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القدرة علیه سقط الحدّ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القتل والقطع</w:t>
      </w:r>
    </w:p>
    <w:p>
      <w:pPr>
        <w:pStyle w:val="BookText"/>
        <w:rPr/>
      </w:pPr>
      <w:r>
        <w:rPr>
          <w:rFonts w:ascii="IRNazanin" w:hAnsi="IRNazanin" w:eastAsia="IRNazanin"/>
          <w:color w:val="111111"/>
          <w:sz w:val="28"/>
          <w:sz w:val="28"/>
          <w:szCs w:val="28"/>
          <w:rtl w:val="true"/>
          <w:lang w:bidi="fa-IR"/>
        </w:rPr>
        <w:t xml:space="preserve">والنفی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حقّ الآدمی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القصاص فی النفس والجرح والمال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وتوبته بعد الظفر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ظفر الحاکم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أثر لها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إسقاط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 أو غُرم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قصاص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نفس أو طَرَف أو جَرح، بل یستوفی منه جمیع ما تقرّر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تقدیر اختیاره </w:t>
      </w:r>
      <w:r>
        <w:rPr>
          <w:rStyle w:val="FootnoteAnchor"/>
          <w:rtl w:val="true"/>
        </w:rPr>
        <w:footnoteReference w:id="1595"/>
      </w:r>
      <w:r>
        <w:rPr>
          <w:rFonts w:ascii="IRNazanin" w:hAnsi="IRNazanin" w:eastAsia="IRNazanin"/>
          <w:color w:val="111111"/>
          <w:sz w:val="28"/>
          <w:sz w:val="28"/>
          <w:szCs w:val="28"/>
          <w:rtl w:val="true"/>
          <w:lang w:bidi="fa-IR"/>
        </w:rPr>
        <w:t xml:space="preserve">أو وجود مرتبته </w:t>
      </w:r>
      <w:r>
        <w:rPr>
          <w:rStyle w:val="FootnoteAnchor"/>
          <w:rtl w:val="true"/>
        </w:rPr>
        <w:footnoteReference w:id="1596"/>
      </w:r>
      <w:r>
        <w:rPr>
          <w:rFonts w:ascii="IRNazanin" w:hAnsi="IRNazanin" w:eastAsia="IRNazanin"/>
          <w:color w:val="111111"/>
          <w:sz w:val="28"/>
          <w:sz w:val="28"/>
          <w:szCs w:val="28"/>
          <w:rtl w:val="true"/>
          <w:lang w:bidi="fa-IR"/>
        </w:rPr>
        <w:t xml:space="preserve">فی حال </w:t>
      </w:r>
      <w:r>
        <w:rPr>
          <w:rStyle w:val="FootnoteAnchor"/>
          <w:rtl w:val="true"/>
        </w:rPr>
        <w:footnoteReference w:id="1597"/>
      </w:r>
      <w:r>
        <w:rPr>
          <w:rFonts w:ascii="IRNazanin" w:hAnsi="IRNazanin" w:eastAsia="IRNazanin"/>
          <w:color w:val="111111"/>
          <w:sz w:val="28"/>
          <w:sz w:val="28"/>
          <w:szCs w:val="28"/>
          <w:rtl w:val="true"/>
          <w:lang w:bidi="fa-IR"/>
        </w:rPr>
        <w:t xml:space="preserve">کونه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 أو مقتولاً علی اختلاف القولین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الأوّل الأوّل، وعلی الثانی الثانی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خشبته حیّاً أو میّتاً أو بالتفریق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أزید من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أیّام من حین صلبه ولو ملفّقة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والظاهر أنّ اللیالی غیر معتبرة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تدخل اللیلتان المتوسّطتان تبعاً للأیّام؛ لتوقّفها علیهما، فلو صُلب أوّل النهار وجب إنزاله عشیّة الثالث؛ مع احتمال اعتبار ثلاث لیال مع الأیّام بناءً علی دخولها فی مفهومها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الثلاثة أو قبلها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ویُجهّز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بالغسل والحنوط والتکفین إن صُلب میّتاً أو اتّفق موته فی الثلاثة، وإلّا جُهز </w:t>
      </w:r>
      <w:r>
        <w:rPr>
          <w:rStyle w:val="FootnoteAnchor"/>
          <w:rtl w:val="true"/>
        </w:rPr>
        <w:footnoteReference w:id="1598"/>
      </w:r>
      <w:r>
        <w:rPr>
          <w:rFonts w:ascii="IRNazanin" w:hAnsi="IRNazanin" w:eastAsia="IRNazanin"/>
          <w:color w:val="111111"/>
          <w:sz w:val="28"/>
          <w:sz w:val="28"/>
          <w:szCs w:val="28"/>
          <w:rtl w:val="true"/>
          <w:lang w:bidi="fa-IR"/>
        </w:rPr>
        <w:t>علیه قبل تجهیزه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تقدّم غسله وکفنه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وحنوطه قبلَ موته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إنزاله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ودُفن</w:t>
      </w:r>
      <w:r>
        <w:rPr>
          <w:rFonts w:eastAsia="Amiri" w:cs="Amiri" w:ascii="Amiri" w:hAnsi="Amiri"/>
          <w:color w:val="111111"/>
          <w:sz w:val="28"/>
          <w:szCs w:val="28"/>
          <w:rtl w:val="true"/>
          <w:lang w:bidi="ar-SA"/>
        </w:rPr>
        <w:t>» .</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تقدیر اختیار نفیه أو وجود مرتبته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بلده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هو بها إلی غیرها </w:t>
      </w:r>
      <w:r>
        <w:rPr>
          <w:rStyle w:val="FootnoteAnchor"/>
          <w:rtl w:val="true"/>
        </w:rPr>
        <w:footnoteReference w:id="15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ویُکتب إلی کلّ بلد یصل إلیه بالمنع من مجالسته ومؤاکلته ومبایعته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وغیرها من المعاملات إلی أن یتوب، فإن لم یتب استمرّ</w:t>
      </w:r>
      <w:bookmarkStart w:id="560" w:name="pg19815_253366"/>
    </w:p>
    <w:p>
      <w:pPr>
        <w:pStyle w:val="BookText"/>
        <w:rPr/>
      </w:pPr>
      <w:bookmarkEnd w:id="560"/>
      <w:r>
        <w:rPr>
          <w:rFonts w:ascii="IRNazanin" w:hAnsi="IRNazanin" w:eastAsia="IRNazanin"/>
          <w:color w:val="111111"/>
          <w:sz w:val="28"/>
          <w:sz w:val="28"/>
          <w:szCs w:val="28"/>
          <w:rtl w:val="true"/>
          <w:lang w:bidi="fa-IR"/>
        </w:rPr>
        <w:t>النفی إلی أن یموت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ویُمنع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بلاد الشرک فإن مَکّنوه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الدخول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قُوتلوا حتّی یُخرجوه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کانوا أهل ذمّة أو صلح</w:t>
      </w:r>
      <w:r>
        <w:rPr>
          <w:rFonts w:eastAsia="IRNazanin" w:cs="IRNazanin"/>
          <w:color w:val="111111"/>
          <w:sz w:val="28"/>
          <w:szCs w:val="28"/>
          <w:rtl w:val="true"/>
          <w:lang w:bidi="fa-IR"/>
        </w:rPr>
        <w:t>.</w:t>
      </w:r>
    </w:p>
    <w:p>
      <w:pPr>
        <w:pStyle w:val="Heading4"/>
        <w:numPr>
          <w:ilvl w:val="3"/>
          <w:numId w:val="1"/>
        </w:numPr>
        <w:rPr/>
      </w:pPr>
      <w:bookmarkStart w:id="561" w:name="__RefHeading___Toc2228099_2314609296"/>
      <w:bookmarkStart w:id="562" w:name="_Toc212"/>
      <w:bookmarkEnd w:id="561"/>
      <w:r>
        <w:rPr>
          <w:rtl w:val="true"/>
        </w:rPr>
        <w:t>[</w:t>
      </w:r>
      <w:r>
        <w:rPr>
          <w:rtl w:val="true"/>
        </w:rPr>
        <w:t xml:space="preserve">حکم اللص و المتخلس و المتسلب </w:t>
      </w:r>
      <w:r>
        <w:rPr>
          <w:rtl w:val="true"/>
        </w:rPr>
        <w:t>]</w:t>
      </w:r>
      <w:bookmarkEnd w:id="56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واللُصّ محارب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بمعنی أ نّه بحکم المحارب فی أ 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یجوز 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بالقتال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لم یندفع إلّابالقتل کان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لو تمکّن الحاکم منه لم یحدّه حدَّ المحارب مطلقاً </w:t>
      </w:r>
      <w:r>
        <w:rPr>
          <w:rStyle w:val="FootnoteAnchor"/>
          <w:rtl w:val="true"/>
        </w:rPr>
        <w:footnoteReference w:id="1600"/>
      </w:r>
      <w:r>
        <w:rPr>
          <w:rFonts w:ascii="IRNazanin" w:hAnsi="IRNazanin" w:eastAsia="IRNazanin"/>
          <w:color w:val="111111"/>
          <w:sz w:val="28"/>
          <w:sz w:val="28"/>
          <w:szCs w:val="28"/>
          <w:rtl w:val="true"/>
          <w:lang w:bidi="fa-IR"/>
        </w:rPr>
        <w:t xml:space="preserve">وإنّما اُطلق علیه اسم المحارب تبعاً لإطلاق النصوص </w:t>
      </w:r>
      <w:r>
        <w:rPr>
          <w:rStyle w:val="FootnoteAnchor"/>
          <w:rtl w:val="true"/>
        </w:rPr>
        <w:footnoteReference w:id="1601"/>
      </w:r>
      <w:r>
        <w:rPr>
          <w:rFonts w:ascii="IRNazanin" w:hAnsi="IRNazanin" w:eastAsia="IRNazanin"/>
          <w:color w:val="111111"/>
          <w:sz w:val="28"/>
          <w:sz w:val="28"/>
          <w:szCs w:val="28"/>
          <w:rtl w:val="true"/>
          <w:lang w:bidi="fa-IR"/>
        </w:rPr>
        <w:t xml:space="preserve">نعم، لو تظاهر بذلک فهو محارب مطلقاً وبذلک قیّده المصنّف فی الدروس </w:t>
      </w:r>
      <w:r>
        <w:rPr>
          <w:rStyle w:val="FootnoteAnchor"/>
          <w:rtl w:val="true"/>
        </w:rPr>
        <w:footnoteReference w:id="1602"/>
      </w:r>
      <w:r>
        <w:rPr>
          <w:rFonts w:ascii="IRNazanin" w:hAnsi="IRNazanin" w:eastAsia="IRNazanin"/>
          <w:color w:val="111111"/>
          <w:sz w:val="28"/>
          <w:sz w:val="28"/>
          <w:szCs w:val="28"/>
          <w:rtl w:val="true"/>
          <w:lang w:bidi="fa-IR"/>
        </w:rPr>
        <w:t>وهو حسن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النفس وجب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المطلوب 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دفعه إن أمکن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مقتصراً فیما یندفع به علی الأسهل فالأسهل، فإن لم یندفع إلّابقتله فَهَدْر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یمکن دفعه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وجب الهرب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أحد أفراد ما یُدفع به عن النفس الواجب حفظها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حکم طلبه النفس طلبه الفساد بالحریم فی وجوب دفعه مع الإمکان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ویفهم منه أ نّه لو اقتصر علی طلب المال لم یجب دفعه وإن 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وسیأتی البحث فی ذلک کلّه</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یُقطع المختلس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الذی یأخذ المال خُفیة من غیر الحرز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المستلب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الذی یأخذه جهراً ویهرب مع کونه غیر محارِب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المحتال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الأموال بالرسائل الکاذبة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ونحوها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w:t>
      </w:r>
    </w:p>
    <w:p>
      <w:pPr>
        <w:pStyle w:val="BookText"/>
        <w:rPr/>
      </w:pPr>
      <w:r>
        <w:rPr>
          <w:rFonts w:ascii="Amiri" w:hAnsi="Amiri" w:eastAsia="Amiri" w:cs="Amiri"/>
          <w:color w:val="111111"/>
          <w:sz w:val="28"/>
          <w:sz w:val="28"/>
          <w:szCs w:val="28"/>
          <w:rtl w:val="true"/>
          <w:lang w:bidi="ar-SA"/>
        </w:rPr>
        <w:t>یُعزّر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واحد منهم بما یراه الحاکم؛ لأنّه فعل محرّم لم ینصّ الشارع علی حدّه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روی أبو بصیر عن أحدهما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 المؤمنین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أقطع فی الدغارة المعلنة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وهی الخُلْسة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ولکن اُعزّره</w:t>
      </w:r>
      <w:r>
        <w:rPr>
          <w:rFonts w:eastAsia="IRNazanin" w:cs="IRNazanin"/>
          <w:color w:val="111111"/>
          <w:sz w:val="28"/>
          <w:szCs w:val="28"/>
          <w:rtl w:val="true"/>
          <w:lang w:bidi="fa-IR"/>
        </w:rPr>
        <w:t xml:space="preserve">» </w:t>
      </w:r>
      <w:r>
        <w:rPr>
          <w:rStyle w:val="FootnoteAnchor"/>
          <w:rtl w:val="true"/>
        </w:rPr>
        <w:footnoteReference w:id="1603"/>
      </w:r>
      <w:r>
        <w:rPr>
          <w:rFonts w:ascii="IRNazanin" w:hAnsi="IRNazanin" w:eastAsia="IRNazanin"/>
          <w:color w:val="111111"/>
          <w:sz w:val="28"/>
          <w:sz w:val="28"/>
          <w:szCs w:val="28"/>
          <w:rtl w:val="true"/>
          <w:lang w:bidi="fa-IR"/>
        </w:rPr>
        <w:t>وفی حسنة الحلبی عن 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 من أخذ المال بالرسائل الکاذبة وإن حملته علیه الحاجة </w:t>
      </w:r>
      <w:r>
        <w:rPr>
          <w:rStyle w:val="FootnoteAnchor"/>
          <w:rtl w:val="true"/>
        </w:rPr>
        <w:footnoteReference w:id="1604"/>
      </w:r>
      <w:r>
        <w:rPr>
          <w:rFonts w:ascii="IRNazanin" w:hAnsi="IRNazanin" w:eastAsia="IRNazanin"/>
          <w:color w:val="111111"/>
          <w:sz w:val="28"/>
          <w:sz w:val="28"/>
          <w:szCs w:val="28"/>
          <w:rtl w:val="true"/>
          <w:lang w:bidi="fa-IR"/>
        </w:rPr>
        <w:t xml:space="preserve">وحملها الشیخ علی قطعه حدّاً لإفساده، لا لأنّه سارق </w:t>
      </w:r>
      <w:r>
        <w:rPr>
          <w:rStyle w:val="FootnoteAnchor"/>
          <w:rtl w:val="true"/>
        </w:rPr>
        <w:footnoteReference w:id="1605"/>
      </w:r>
      <w:r>
        <w:rPr>
          <w:rFonts w:ascii="IRNazanin" w:hAnsi="IRNazanin" w:eastAsia="IRNazanin"/>
          <w:color w:val="111111"/>
          <w:sz w:val="28"/>
          <w:sz w:val="28"/>
          <w:szCs w:val="28"/>
          <w:rtl w:val="true"/>
          <w:lang w:bidi="fa-IR"/>
        </w:rPr>
        <w:t>مع أنّ الروایة صریحة فی قطعه للسرقة</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بنّج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غیرَه أی أطعمه البنج حتّی ذهب عقله، عبثاً أو لغرض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سقی مُرقِداً وجنی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المتناول بسببه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شیئاً ضمن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جناه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فعله المحرَّم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ویُستثنی من ذلک ما لو استعمله للدواء، فإنّه جائز حیث یتوقّف علیه، لمکان الضرر، أو یکون قدراً لا یضرّ بالمزاج</w:t>
      </w:r>
      <w:r>
        <w:rPr>
          <w:rFonts w:eastAsia="IRNazanin" w:cs="IRNazanin"/>
          <w:color w:val="111111"/>
          <w:sz w:val="28"/>
          <w:szCs w:val="28"/>
          <w:rtl w:val="true"/>
          <w:lang w:bidi="fa-IR"/>
        </w:rPr>
        <w:t>.</w:t>
      </w:r>
      <w:bookmarkStart w:id="563" w:name="pg19815_253368"/>
    </w:p>
    <w:p>
      <w:pPr>
        <w:pStyle w:val="Heading3"/>
        <w:numPr>
          <w:ilvl w:val="2"/>
          <w:numId w:val="1"/>
        </w:numPr>
        <w:rPr/>
      </w:pPr>
      <w:bookmarkStart w:id="564" w:name="__RefHeading___Toc2228101_2314609296"/>
      <w:bookmarkStart w:id="565" w:name="_Toc213"/>
      <w:bookmarkEnd w:id="563"/>
      <w:bookmarkEnd w:id="564"/>
      <w:r>
        <w:rPr>
          <w:rtl w:val="true"/>
        </w:rPr>
        <w:t>«</w:t>
      </w:r>
      <w:r>
        <w:rPr>
          <w:rtl w:val="true"/>
        </w:rPr>
        <w:t>الفصل السابع</w:t>
      </w:r>
      <w:r>
        <w:rPr>
          <w:rtl w:val="true"/>
        </w:rPr>
        <w:t>» «</w:t>
      </w:r>
      <w:r>
        <w:rPr>
          <w:rtl w:val="true"/>
        </w:rPr>
        <w:t>فی عقوبات متفرّقة</w:t>
      </w:r>
      <w:r>
        <w:rPr>
          <w:rtl w:val="true"/>
        </w:rPr>
        <w:t>»</w:t>
      </w:r>
      <w:bookmarkEnd w:id="565"/>
    </w:p>
    <w:p>
      <w:pPr>
        <w:pStyle w:val="Heading4"/>
        <w:numPr>
          <w:ilvl w:val="3"/>
          <w:numId w:val="1"/>
        </w:numPr>
        <w:rPr/>
      </w:pPr>
      <w:bookmarkStart w:id="566" w:name="__RefHeading___Toc2228103_2314609296"/>
      <w:bookmarkStart w:id="567" w:name="_Toc214"/>
      <w:bookmarkEnd w:id="566"/>
      <w:r>
        <w:rPr>
          <w:rtl w:val="true"/>
        </w:rPr>
        <w:t>[</w:t>
      </w:r>
      <w:r>
        <w:rPr>
          <w:rtl w:val="true"/>
        </w:rPr>
        <w:t>اتیان البهیمة</w:t>
      </w:r>
      <w:r>
        <w:rPr>
          <w:rtl w:val="true"/>
        </w:rPr>
        <w:t>]</w:t>
      </w:r>
      <w:bookmarkEnd w:id="56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إتیان البهیمة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وهی ذات الأربع من حیوان البرّ والبحر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الزجّاج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w:t>
      </w:r>
      <w:r>
        <w:rPr>
          <w:rStyle w:val="FootnoteAnchor"/>
          <w:rtl w:val="true"/>
        </w:rPr>
        <w:footnoteReference w:id="1606"/>
      </w:r>
      <w:r>
        <w:rPr>
          <w:rFonts w:ascii="Amiri" w:hAnsi="Amiri" w:eastAsia="Amiri" w:cs="Amiri"/>
          <w:color w:val="111111"/>
          <w:sz w:val="28"/>
          <w:sz w:val="28"/>
          <w:szCs w:val="28"/>
          <w:rtl w:val="true"/>
          <w:lang w:bidi="ar-SA"/>
        </w:rPr>
        <w:t xml:space="preserve">ذات الروح التی لا تُمیّز، سُمّیت بذلک لذلک </w:t>
      </w:r>
      <w:r>
        <w:rPr>
          <w:rStyle w:val="FootnoteAnchor"/>
          <w:rtl w:val="true"/>
        </w:rPr>
        <w:footnoteReference w:id="1607"/>
      </w:r>
      <w:r>
        <w:rPr>
          <w:rFonts w:ascii="IRNazanin" w:hAnsi="IRNazanin" w:eastAsia="IRNazanin"/>
          <w:color w:val="111111"/>
          <w:sz w:val="28"/>
          <w:sz w:val="28"/>
          <w:szCs w:val="28"/>
          <w:rtl w:val="true"/>
          <w:lang w:bidi="fa-IR"/>
        </w:rPr>
        <w:t>وعلی الأوّل فالحکم مختصّ بها، فلا یتعلّق الحکم بالطیر والسمک ونحوهما وإن حرم الفعل وعلی الثانی یدخل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والأصل یقتضی الاقتصار علی ما تحقّق دخوله خاصّة، والعرف یشهد له</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وطئ البالغ العاقل بهیمة عُزّر واُغرم ثمنها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قیمتها حین الوطء لمالکها إن لم تکن ملکاً للفاعل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وحرم أکلها إن کانت مأکولة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مقصودة بالأکل عادة کالنِعَم الثلاثة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ونسلُها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المتجدّد بعد الوطء، لا الموجود حالته وإن کان حملاً علی الأقوی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حکمه ما یتجدّد من الشَعر والصوف واللبن والبیض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ووجب ذبحها وإحراقها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لکونه عقوبة لها، بل</w:t>
      </w:r>
    </w:p>
    <w:p>
      <w:pPr>
        <w:pStyle w:val="BookText"/>
        <w:rPr/>
      </w:pPr>
      <w:r>
        <w:rPr>
          <w:rFonts w:ascii="IRNazanin" w:hAnsi="IRNazanin" w:eastAsia="IRNazanin"/>
          <w:color w:val="111111"/>
          <w:sz w:val="28"/>
          <w:sz w:val="28"/>
          <w:szCs w:val="28"/>
          <w:rtl w:val="true"/>
          <w:lang w:bidi="fa-IR"/>
        </w:rPr>
        <w:t xml:space="preserve">إمّا لحکمة خفیّة، أو مبالغة فی إخفائها </w:t>
      </w:r>
      <w:r>
        <w:rPr>
          <w:rStyle w:val="FootnoteAnchor"/>
          <w:rtl w:val="true"/>
        </w:rPr>
        <w:footnoteReference w:id="1608"/>
      </w:r>
      <w:r>
        <w:rPr>
          <w:rFonts w:ascii="Amiri" w:hAnsi="Amiri" w:eastAsia="Amiri" w:cs="Amiri"/>
          <w:color w:val="111111"/>
          <w:sz w:val="28"/>
          <w:sz w:val="28"/>
          <w:szCs w:val="28"/>
          <w:rtl w:val="true"/>
          <w:lang w:bidi="ar-SA"/>
        </w:rPr>
        <w:t xml:space="preserve">لتُجنَّب </w:t>
      </w:r>
      <w:r>
        <w:rPr>
          <w:rStyle w:val="FootnoteAnchor"/>
          <w:rtl w:val="true"/>
        </w:rPr>
        <w:footnoteReference w:id="1609"/>
      </w:r>
      <w:r>
        <w:rPr>
          <w:rFonts w:ascii="IRNazanin" w:hAnsi="IRNazanin" w:eastAsia="IRNazanin"/>
          <w:color w:val="111111"/>
          <w:sz w:val="28"/>
          <w:sz w:val="28"/>
          <w:szCs w:val="28"/>
          <w:rtl w:val="true"/>
          <w:lang w:bidi="fa-IR"/>
        </w:rPr>
        <w:t xml:space="preserve">إذ یحتمل اشتباه لحمها بغیره لولا الإحراق، فیحلّ علی بعض الوجوه </w:t>
      </w:r>
      <w:r>
        <w:rPr>
          <w:rStyle w:val="FootnoteAnchor"/>
          <w:rtl w:val="true"/>
        </w:rPr>
        <w:footnoteReference w:id="16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کانت غیر مأکولة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أصلاً أو عادةً والغرض الأهمّ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کالفیل والخیل والبغال والحمیر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تُذبح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حرم لحمها علی الأقوی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 تُخرج من بلد الواقعة </w:t>
      </w:r>
      <w:r>
        <w:rPr>
          <w:rStyle w:val="FootnoteAnchor"/>
          <w:rtl w:val="true"/>
        </w:rPr>
        <w:footnoteReference w:id="16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غیره قریباً کان أم بعیداً علی الفور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یشترط بُعد البلد بحیث لا یظهر فیه خبرها عادةً </w:t>
      </w:r>
      <w:r>
        <w:rPr>
          <w:rStyle w:val="FootnoteAnchor"/>
          <w:rtl w:val="true"/>
        </w:rPr>
        <w:footnoteReference w:id="1612"/>
      </w:r>
      <w:r>
        <w:rPr>
          <w:rFonts w:ascii="IRNazanin" w:hAnsi="IRNazanin" w:eastAsia="IRNazanin"/>
          <w:color w:val="111111"/>
          <w:sz w:val="28"/>
          <w:sz w:val="28"/>
          <w:szCs w:val="28"/>
          <w:rtl w:val="true"/>
          <w:lang w:bidi="fa-IR"/>
        </w:rPr>
        <w:t xml:space="preserve">وظاهر التعلیل </w:t>
      </w:r>
      <w:r>
        <w:rPr>
          <w:rStyle w:val="FootnoteAnchor"/>
          <w:rtl w:val="true"/>
        </w:rPr>
        <w:footnoteReference w:id="1613"/>
      </w:r>
      <w:r>
        <w:rPr>
          <w:rFonts w:ascii="IRNazanin" w:hAnsi="IRNazanin" w:eastAsia="IRNazanin"/>
          <w:color w:val="111111"/>
          <w:sz w:val="28"/>
          <w:sz w:val="28"/>
          <w:szCs w:val="28"/>
          <w:rtl w:val="true"/>
          <w:lang w:bidi="fa-IR"/>
        </w:rPr>
        <w:t xml:space="preserve">یدلّ علیه، ولو عادت بعد الإخراج إلی بلد الفعل لم یجب إخراجها؛ لتحقّق الامتثال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وتباع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إخراجها أو قبلَه إن لم یناف الفوریّة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إمّا تعبّداً </w:t>
      </w:r>
      <w:r>
        <w:rPr>
          <w:rStyle w:val="FootnoteAnchor"/>
          <w:rtl w:val="true"/>
        </w:rPr>
        <w:footnoteReference w:id="1614"/>
      </w:r>
      <w:r>
        <w:rPr>
          <w:rFonts w:ascii="Amiri" w:hAnsi="Amiri" w:eastAsia="Amiri" w:cs="Amiri"/>
          <w:color w:val="111111"/>
          <w:sz w:val="28"/>
          <w:sz w:val="28"/>
          <w:szCs w:val="28"/>
          <w:rtl w:val="true"/>
          <w:lang w:bidi="ar-SA"/>
        </w:rPr>
        <w:t>أو لئلّا یُعیَّر فاعلها بها، أو مالکها</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الصدقة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بالثمن الذی بیعت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المدلول علیه بالبیع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المالک إن کان هو الفاعل، وإلّا عن الفاعل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إعادته علی الغارم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المالک لکونه غارماً للبهیمة </w:t>
      </w:r>
      <w:r>
        <w:rPr>
          <w:rStyle w:val="FootnoteAnchor"/>
          <w:rtl w:val="true"/>
        </w:rPr>
        <w:footnoteReference w:id="1615"/>
      </w:r>
      <w:r>
        <w:rPr>
          <w:rFonts w:ascii="IRNazanin" w:hAnsi="IRNazanin" w:eastAsia="IRNazanin"/>
          <w:color w:val="111111"/>
          <w:sz w:val="28"/>
          <w:sz w:val="28"/>
          <w:szCs w:val="28"/>
          <w:rtl w:val="true"/>
          <w:lang w:bidi="fa-IR"/>
        </w:rPr>
        <w:t xml:space="preserve">أو الفاعل لکونه غارماً للثمن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قولان </w:t>
      </w:r>
      <w:r>
        <w:rPr>
          <w:rStyle w:val="FootnoteAnchor"/>
          <w:rtl w:val="true"/>
        </w:rPr>
        <w:footnoteReference w:id="16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 ذلک عقوبة علی الجنایة، فلو اُعید إلیه الثمن لم تحصل العقوبة، ولتکون </w:t>
      </w:r>
      <w:r>
        <w:rPr>
          <w:rStyle w:val="FootnoteAnchor"/>
          <w:rtl w:val="true"/>
        </w:rPr>
        <w:footnoteReference w:id="1617"/>
      </w:r>
      <w:r>
        <w:rPr>
          <w:rFonts w:ascii="IRNazanin" w:hAnsi="IRNazanin" w:eastAsia="IRNazanin"/>
          <w:color w:val="111111"/>
          <w:sz w:val="28"/>
          <w:sz w:val="28"/>
          <w:szCs w:val="28"/>
          <w:rtl w:val="true"/>
          <w:lang w:bidi="fa-IR"/>
        </w:rPr>
        <w:t>الصدقة مکفّرة لذنبه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نظر؛ لأنّ العقوبة بذلک غیر متحقّقة، بل الظاهر خلافها؛ لتعلیل بیعها فی الأخبار فی بلد لا تعرف فیه کی لا یعیَّر بها </w:t>
      </w:r>
      <w:r>
        <w:rPr>
          <w:rStyle w:val="FootnoteAnchor"/>
          <w:rtl w:val="true"/>
        </w:rPr>
        <w:footnoteReference w:id="1618"/>
      </w:r>
      <w:r>
        <w:rPr>
          <w:rFonts w:ascii="IRNazanin" w:hAnsi="IRNazanin" w:eastAsia="IRNazanin"/>
          <w:color w:val="111111"/>
          <w:sz w:val="28"/>
          <w:sz w:val="28"/>
          <w:szCs w:val="28"/>
          <w:rtl w:val="true"/>
          <w:lang w:bidi="fa-IR"/>
        </w:rPr>
        <w:t>وعقوبة الفاعل حاصلة بالتعزیر، وتکفیر الذنب متوقّف علی التوبة وهی کافیة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أصالة بقاء الملک علی مالکه، والبراءة من وجوب الصدقة، والأخبار خالیة عن تعیین ما یُصنع به </w:t>
      </w:r>
      <w:r>
        <w:rPr>
          <w:rStyle w:val="FootnoteAnchor"/>
          <w:rtl w:val="true"/>
        </w:rPr>
        <w:footnoteReference w:id="1619"/>
      </w:r>
      <w:r>
        <w:rPr>
          <w:rFonts w:ascii="IRNazanin" w:hAnsi="IRNazanin" w:eastAsia="IRNazanin"/>
          <w:color w:val="111111"/>
          <w:sz w:val="28"/>
          <w:sz w:val="28"/>
          <w:szCs w:val="28"/>
          <w:rtl w:val="true"/>
          <w:lang w:bidi="fa-IR"/>
        </w:rPr>
        <w:t xml:space="preserve">وکذا عبارة جماعة من الأصحاب </w:t>
      </w:r>
      <w:r>
        <w:rPr>
          <w:rStyle w:val="FootnoteAnchor"/>
          <w:rtl w:val="true"/>
        </w:rPr>
        <w:footnoteReference w:id="16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إن کان الفاعل هو المالک فالأصل فی محلّه، وإن کان غیره فالظاهر أنّ تغریمه القیمة یوجب ملکه لها، وإلّا لبقی الملک بغیر مالک، أو جمع للمالک بین العوض والمعوض وهو غیر جائز</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بعض الروایات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ثمنها</w:t>
      </w:r>
      <w:r>
        <w:rPr>
          <w:rFonts w:eastAsia="IRNazanin" w:cs="IRNazanin"/>
          <w:color w:val="111111"/>
          <w:sz w:val="28"/>
          <w:szCs w:val="28"/>
          <w:rtl w:val="true"/>
          <w:lang w:bidi="fa-IR"/>
        </w:rPr>
        <w:t xml:space="preserve">» </w:t>
      </w:r>
      <w:r>
        <w:rPr>
          <w:rStyle w:val="FootnoteAnchor"/>
          <w:rtl w:val="true"/>
        </w:rPr>
        <w:footnoteReference w:id="16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کما عبّر المصنّف </w:t>
      </w:r>
      <w:r>
        <w:rPr>
          <w:rStyle w:val="FootnoteAnchor"/>
          <w:rtl w:val="true"/>
        </w:rPr>
        <w:footnoteReference w:id="16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عوض</w:t>
      </w:r>
    </w:p>
    <w:p>
      <w:pPr>
        <w:pStyle w:val="BookText"/>
        <w:rPr/>
      </w:pPr>
      <w:r>
        <w:rPr>
          <w:rFonts w:ascii="IRNazanin" w:hAnsi="IRNazanin" w:eastAsia="IRNazanin"/>
          <w:color w:val="111111"/>
          <w:sz w:val="28"/>
          <w:sz w:val="28"/>
          <w:szCs w:val="28"/>
          <w:rtl w:val="true"/>
          <w:lang w:bidi="fa-IR"/>
        </w:rPr>
        <w:t>المثمن المقتضی لثبوت معاوضته، وهو السرّ فی تخصیص المصنّف لهذه العبارة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بعض الروایات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قیمتها</w:t>
      </w:r>
      <w:r>
        <w:rPr>
          <w:rFonts w:eastAsia="IRNazanin" w:cs="IRNazanin"/>
          <w:color w:val="111111"/>
          <w:sz w:val="28"/>
          <w:szCs w:val="28"/>
          <w:rtl w:val="true"/>
          <w:lang w:bidi="fa-IR"/>
        </w:rPr>
        <w:t xml:space="preserve">» </w:t>
      </w:r>
      <w:r>
        <w:rPr>
          <w:rStyle w:val="FootnoteAnchor"/>
          <w:rtl w:val="true"/>
        </w:rPr>
        <w:footnoteReference w:id="1623"/>
      </w:r>
      <w:r>
        <w:rPr>
          <w:rFonts w:ascii="IRNazanin" w:hAnsi="IRNazanin" w:eastAsia="IRNazanin"/>
          <w:color w:val="111111"/>
          <w:sz w:val="28"/>
          <w:sz w:val="28"/>
          <w:szCs w:val="28"/>
          <w:rtl w:val="true"/>
          <w:lang w:bidi="fa-IR"/>
        </w:rPr>
        <w:t>وهی أیضاً عوض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w:t>
      </w:r>
      <w:r>
        <w:rPr>
          <w:rStyle w:val="FootnoteAnchor"/>
          <w:rtl w:val="true"/>
        </w:rPr>
        <w:footnoteReference w:id="1624"/>
      </w:r>
      <w:r>
        <w:rPr>
          <w:rFonts w:ascii="IRNazanin" w:hAnsi="IRNazanin" w:eastAsia="IRNazanin"/>
          <w:color w:val="111111"/>
          <w:sz w:val="28"/>
          <w:sz w:val="28"/>
          <w:szCs w:val="28"/>
          <w:rtl w:val="true"/>
          <w:lang w:bidi="fa-IR"/>
        </w:rPr>
        <w:t>هو الأجود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کان بقدر ما غرمه للمالک أو أنقص فالحکم 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 أزید فمقتضی المعاوضة أنّ الزیادة له؛ لاستلزامها انتقال الملک إلی الغارم کما یکون النقصان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ویحتمل دفعها إلی المالک؛ لأنّ الحیوان ملکه وإنّما اُعطی عوضه للحیلولة، فإذا زادت قیمته کانت له لعدم تحقّق الناقل للملک، ولأنّ إثبات الزیادة للفاعل إکرام ونفع لا یلیقان بحاله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المسألة احتمال ثالث، وهو الصدقة بالزائد عمّا غرم وإن لم نوجبها فی الأصل؛ لانتقالها </w:t>
      </w:r>
      <w:r>
        <w:rPr>
          <w:rStyle w:val="FootnoteAnchor"/>
          <w:rtl w:val="true"/>
        </w:rPr>
        <w:footnoteReference w:id="1625"/>
      </w:r>
      <w:r>
        <w:rPr>
          <w:rFonts w:ascii="IRNazanin" w:hAnsi="IRNazanin" w:eastAsia="IRNazanin"/>
          <w:color w:val="111111"/>
          <w:sz w:val="28"/>
          <w:sz w:val="28"/>
          <w:szCs w:val="28"/>
          <w:rtl w:val="true"/>
          <w:lang w:bidi="fa-IR"/>
        </w:rPr>
        <w:t xml:space="preserve">عن ملک المالک بأخذ العوض، وعدم انتقالها </w:t>
      </w:r>
      <w:r>
        <w:rPr>
          <w:rStyle w:val="FootnoteAnchor"/>
          <w:rtl w:val="true"/>
        </w:rPr>
        <w:footnoteReference w:id="1626"/>
      </w:r>
      <w:r>
        <w:rPr>
          <w:rFonts w:ascii="IRNazanin" w:hAnsi="IRNazanin" w:eastAsia="IRNazanin"/>
          <w:color w:val="111111"/>
          <w:sz w:val="28"/>
          <w:sz w:val="28"/>
          <w:szCs w:val="28"/>
          <w:rtl w:val="true"/>
          <w:lang w:bidi="fa-IR"/>
        </w:rPr>
        <w:t>إلی ملک الفاعل؛ لعدم وجود سبب الانتقال، وردّ ما غرم إلیه لا یقتضی ملک الزیادة، فتتعیّن الصدقة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ویدلّ علی عدم ملکهما عدم اعتبار إذنهما فی البیع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ویُضعَّف باستلزامه بقاء ملک بلا مالک، وأصالة عدم انتقاله بعد تحقّقه فی الجملة وإن لم یتعیّن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وعدم استئذانهما بحکم الشارع لا ینافی الملک کما فی کثیر من موارد المعاوضات الإجباریّة</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تقدیر انتقالها إلی الفاعل ففی وقت الانتقال وجهان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نّه بمجرّد الفعل؛ لأنّه السبب التامّ فی الغُرم فیکون هو الناقل، ولاعتبار قیمتها عنده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کونه وقت دفع العوض لیتحقّق به المعاوضة الإجباریّة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وتظهر الفائدة فیما لو تلفت قبل دفع العوض، فعلی الأوّل یکون من مال الفاعل، وعلی الثانی من المالک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وفیما لو جُنی علیها قبلَه، فالأرش للفاعل علی الأوّل، وللمالک علی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مؤونتها بعد دفع العوض إلی زمن البیع فی غیر البلد وأرشُها ونماؤها فللفاعل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قلنا بملکه بدفع العوض </w:t>
      </w:r>
      <w:r>
        <w:rPr>
          <w:rFonts w:eastAsia="IRNazanin" w:cs="IRNazanin"/>
          <w:color w:val="111111"/>
          <w:sz w:val="28"/>
          <w:szCs w:val="28"/>
          <w:rtl w:val="true"/>
          <w:lang w:bidi="fa-IR"/>
        </w:rPr>
        <w:t xml:space="preserve">] </w:t>
      </w:r>
      <w:r>
        <w:rPr>
          <w:rStyle w:val="FootnoteAnchor"/>
          <w:rtl w:val="true"/>
        </w:rPr>
        <w:footnoteReference w:id="1627"/>
      </w:r>
      <w:r>
        <w:rPr>
          <w:rFonts w:ascii="IRNazanin" w:hAnsi="IRNazanin" w:eastAsia="IRNazanin"/>
          <w:color w:val="111111"/>
          <w:sz w:val="28"/>
          <w:sz w:val="28"/>
          <w:szCs w:val="28"/>
          <w:rtl w:val="true"/>
          <w:lang w:bidi="fa-IR"/>
        </w:rPr>
        <w:t>وکذا تلفها قبل البیع، فإنّه علیه علی کلّ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واحترز بالبالغ العاقل عن الطفل والمجنون، فلا یتعلّق بهما جمیع هذه الأحکام وإن تعلّق بهما بعضها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التحریم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فالظاهر تعلّقه بمطلق الذکر، کما سلف </w:t>
      </w:r>
      <w:r>
        <w:rPr>
          <w:rStyle w:val="FootnoteAnchor"/>
          <w:rtl w:val="true"/>
        </w:rPr>
        <w:footnoteReference w:id="16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الحدّ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فینتفی عن غیر المکلّف وإن اُدِّب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ویلزم من تحریمها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إتلافها؛ لئلّا تشتبه کما هو الحکمة فیه، فیستوی فیه الجمیع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وبقی بیع ما لا یقصد لحمه وإخراجه وهو منفیّ فی فعل الصغیر؛ لأنّ الحکم معلَّق فی النصوص علی فعل الرجل </w:t>
      </w:r>
      <w:r>
        <w:rPr>
          <w:rStyle w:val="FootnoteAnchor"/>
          <w:rtl w:val="true"/>
        </w:rPr>
        <w:footnoteReference w:id="1629"/>
      </w:r>
      <w:r>
        <w:rPr>
          <w:rFonts w:ascii="IRNazanin" w:hAnsi="IRNazanin" w:eastAsia="IRNazanin"/>
          <w:color w:val="111111"/>
          <w:sz w:val="28"/>
          <w:sz w:val="28"/>
          <w:szCs w:val="28"/>
          <w:rtl w:val="true"/>
          <w:lang w:bidi="fa-IR"/>
        </w:rPr>
        <w:t xml:space="preserve">وظاهر الفتوی </w:t>
      </w:r>
      <w:r>
        <w:rPr>
          <w:rStyle w:val="FootnoteAnchor"/>
          <w:rtl w:val="true"/>
        </w:rPr>
        <w:footnoteReference w:id="1630"/>
      </w:r>
      <w:r>
        <w:rPr>
          <w:rFonts w:ascii="IRNazanin" w:hAnsi="IRNazanin" w:eastAsia="IRNazanin"/>
          <w:color w:val="111111"/>
          <w:sz w:val="28"/>
          <w:sz w:val="28"/>
          <w:szCs w:val="28"/>
          <w:rtl w:val="true"/>
          <w:lang w:bidi="fa-IR"/>
        </w:rPr>
        <w:t>یوافقه</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المجنون فإنّ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یتناوله، والتقیید بالبالغ العاقل یخرجه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w:t>
      </w:r>
    </w:p>
    <w:p>
      <w:pPr>
        <w:pStyle w:val="BookText"/>
        <w:rPr/>
      </w:pPr>
      <w:r>
        <w:rPr>
          <w:rFonts w:ascii="IRNazanin" w:hAnsi="IRNazanin" w:eastAsia="IRNazanin"/>
          <w:color w:val="111111"/>
          <w:sz w:val="28"/>
          <w:sz w:val="28"/>
          <w:szCs w:val="28"/>
          <w:rtl w:val="true"/>
          <w:lang w:bidi="fa-IR"/>
        </w:rPr>
        <w:t>اقتران الحکم فی النصوص المعبّر فیها بالرجل بالحدّ قرینة إرادة المکلّف، فیخرج المجنون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أجود، وقوفاً فیما خالف الأصل علی موضع الیقین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وطء الخنثی فلا یتعلّق به حکم، وهو وارد علی تعبیر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سبق </w:t>
      </w:r>
      <w:r>
        <w:rPr>
          <w:rStyle w:val="FootnoteAnchor"/>
          <w:rtl w:val="true"/>
        </w:rPr>
        <w:footnoteReference w:id="16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 بالتحریم علی وطء الإنسان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فرق فی الموطوء بین الذکر والاُنثی، ولا بین وطء القبل والدبر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انعکس الحکم بأن کان الآدمی هو الموطوء فلا تحریم للفاعل ولا غیره من الأحکام؛ للأصل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وحیث یُحکم بتحریم موطوء الطفل أو المجنون یلزمهما قیمته؛ لأنّه بمنزلة الإتلاف، وحکمه غیر مختصّ بالمکلّف، فإن کان لهما مال، وإلّا اُتبعا به بعد الیسار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کان المقصود منه الظهر فلا شیء علیهما، إلّاأن یوجب نقص القیمة، لتحریم لحمه أو لغیره، فیلزمهما الأرش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کان الواطئ بالغاً وبیع فی غیر البلد لغیر العالم بالحال فعلم احتُمل قویّاً جواز الفسخ مع استلزامه نقص القیمة بالنسبة إلی العالم؛ لأنّه حینئذٍ عیب</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والتعزیر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الثابت علی الفاعل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موکول 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من قام مقامه کما فی کلّ تعزیر لا تقدیر له شرعاً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ورد مطلقاً فی کثیر من الأخبار </w:t>
      </w:r>
      <w:r>
        <w:rPr>
          <w:rStyle w:val="FootnoteAnchor"/>
          <w:rtl w:val="true"/>
        </w:rPr>
        <w:footnoteReference w:id="16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والقائل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قدره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خمسة وعشرون سوطاً</w:t>
      </w:r>
      <w:r>
        <w:rPr>
          <w:rFonts w:eastAsia="IRNazanin" w:cs="IRNazanin"/>
          <w:color w:val="111111"/>
          <w:sz w:val="28"/>
          <w:szCs w:val="28"/>
          <w:rtl w:val="true"/>
          <w:lang w:bidi="fa-IR"/>
        </w:rPr>
        <w:t xml:space="preserve">» </w:t>
      </w:r>
      <w:r>
        <w:rPr>
          <w:rStyle w:val="FootnoteAnchor"/>
          <w:rtl w:val="true"/>
        </w:rPr>
        <w:footnoteReference w:id="1633"/>
      </w:r>
      <w:r>
        <w:rPr>
          <w:rFonts w:ascii="IRNazanin" w:hAnsi="IRNazanin" w:eastAsia="IRNazanin"/>
          <w:color w:val="111111"/>
          <w:sz w:val="28"/>
          <w:sz w:val="28"/>
          <w:szCs w:val="28"/>
          <w:rtl w:val="true"/>
          <w:lang w:bidi="fa-IR"/>
        </w:rPr>
        <w:t xml:space="preserve">لحسنة عبد اللّٰه بن سنان عن أبی عبد اللّٰه علیه السلام </w:t>
      </w:r>
      <w:r>
        <w:rPr>
          <w:rStyle w:val="FootnoteAnchor"/>
          <w:rtl w:val="true"/>
        </w:rPr>
        <w:footnoteReference w:id="1634"/>
      </w:r>
      <w:r>
        <w:rPr>
          <w:rFonts w:ascii="IRNazanin" w:hAnsi="IRNazanin" w:eastAsia="IRNazanin"/>
          <w:color w:val="111111"/>
          <w:sz w:val="28"/>
          <w:sz w:val="28"/>
          <w:szCs w:val="28"/>
          <w:rtl w:val="true"/>
          <w:lang w:bidi="fa-IR"/>
        </w:rPr>
        <w:t xml:space="preserve">وروایة إسحاق بن عمّار عن الکاظم علیه السلام </w:t>
      </w:r>
      <w:r>
        <w:rPr>
          <w:rStyle w:val="FootnoteAnchor"/>
          <w:rtl w:val="true"/>
        </w:rPr>
        <w:footnoteReference w:id="1635"/>
      </w:r>
      <w:r>
        <w:rPr>
          <w:rFonts w:ascii="IRNazanin" w:hAnsi="IRNazanin" w:eastAsia="IRNazanin"/>
          <w:color w:val="111111"/>
          <w:sz w:val="28"/>
          <w:sz w:val="28"/>
          <w:szCs w:val="28"/>
          <w:rtl w:val="true"/>
          <w:lang w:bidi="fa-IR"/>
        </w:rPr>
        <w:t xml:space="preserve">والحسن بن خالد </w:t>
      </w:r>
      <w:r>
        <w:rPr>
          <w:rStyle w:val="FootnoteAnchor"/>
          <w:rtl w:val="true"/>
        </w:rPr>
        <w:footnoteReference w:id="1636"/>
      </w:r>
      <w:r>
        <w:rPr>
          <w:rFonts w:ascii="IRNazanin" w:hAnsi="IRNazanin" w:eastAsia="IRNazanin"/>
          <w:color w:val="111111"/>
          <w:sz w:val="28"/>
          <w:sz w:val="28"/>
          <w:szCs w:val="28"/>
          <w:rtl w:val="true"/>
          <w:lang w:bidi="fa-IR"/>
        </w:rPr>
        <w:t xml:space="preserve">عن الرضا علیه السلام </w:t>
      </w:r>
      <w:r>
        <w:rPr>
          <w:rStyle w:val="FootnoteAnchor"/>
          <w:rtl w:val="true"/>
        </w:rPr>
        <w:footnoteReference w:id="16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وقیل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کمال الحدّ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مئة جلدة حدَّ الزانی </w:t>
      </w:r>
      <w:r>
        <w:rPr>
          <w:rStyle w:val="FootnoteAnchor"/>
          <w:rtl w:val="true"/>
        </w:rPr>
        <w:footnoteReference w:id="1638"/>
      </w:r>
      <w:r>
        <w:rPr>
          <w:rFonts w:ascii="IRNazanin" w:hAnsi="IRNazanin" w:eastAsia="IRNazanin"/>
          <w:color w:val="111111"/>
          <w:sz w:val="28"/>
          <w:sz w:val="28"/>
          <w:szCs w:val="28"/>
          <w:rtl w:val="true"/>
          <w:lang w:bidi="fa-IR"/>
        </w:rPr>
        <w:t>لصحیحة أبی بصیر عن أبی عبد اللّٰه علیه السلام فی رجل أتی بهیمة فأولج،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الحدّ</w:t>
      </w:r>
      <w:r>
        <w:rPr>
          <w:rFonts w:eastAsia="IRNazanin" w:cs="IRNazanin"/>
          <w:color w:val="111111"/>
          <w:sz w:val="28"/>
          <w:szCs w:val="28"/>
          <w:rtl w:val="true"/>
          <w:lang w:bidi="fa-IR"/>
        </w:rPr>
        <w:t xml:space="preserve">» </w:t>
      </w:r>
      <w:r>
        <w:rPr>
          <w:rStyle w:val="FootnoteAnchor"/>
          <w:rtl w:val="true"/>
        </w:rPr>
        <w:footnoteReference w:id="1639"/>
      </w:r>
      <w:r>
        <w:rPr>
          <w:rFonts w:ascii="Amiri" w:hAnsi="Amiri" w:eastAsia="Amiri" w:cs="Amiri"/>
          <w:color w:val="111111"/>
          <w:sz w:val="28"/>
          <w:sz w:val="28"/>
          <w:szCs w:val="28"/>
          <w:rtl w:val="true"/>
          <w:lang w:bidi="ar-SA"/>
        </w:rPr>
        <w:t xml:space="preserve">وفی اُخری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 الزانی</w:t>
      </w:r>
      <w:r>
        <w:rPr>
          <w:rFonts w:eastAsia="Amiri" w:cs="Amiri" w:ascii="Amiri" w:hAnsi="Amiri"/>
          <w:color w:val="111111"/>
          <w:sz w:val="28"/>
          <w:szCs w:val="28"/>
          <w:rtl w:val="true"/>
          <w:lang w:bidi="ar-SA"/>
        </w:rPr>
        <w:t xml:space="preserve">» </w:t>
      </w:r>
      <w:r>
        <w:rPr>
          <w:rStyle w:val="FootnoteAnchor"/>
          <w:rtl w:val="true"/>
        </w:rPr>
        <w:footnoteReference w:id="16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القتل</w:t>
      </w:r>
      <w:r>
        <w:rPr>
          <w:rFonts w:eastAsia="IRNazanin" w:cs="IRNazanin"/>
          <w:color w:val="111111"/>
          <w:sz w:val="28"/>
          <w:szCs w:val="28"/>
          <w:rtl w:val="true"/>
          <w:lang w:bidi="fa-IR"/>
        </w:rPr>
        <w:t xml:space="preserve">» </w:t>
      </w:r>
      <w:r>
        <w:rPr>
          <w:rStyle w:val="FootnoteAnchor"/>
          <w:rtl w:val="true"/>
        </w:rPr>
        <w:footnoteReference w:id="1641"/>
      </w:r>
      <w:r>
        <w:rPr>
          <w:rFonts w:ascii="IRNazanin" w:hAnsi="IRNazanin" w:eastAsia="IRNazanin"/>
          <w:color w:val="111111"/>
          <w:sz w:val="28"/>
          <w:sz w:val="28"/>
          <w:szCs w:val="28"/>
          <w:rtl w:val="true"/>
          <w:lang w:bidi="fa-IR"/>
        </w:rPr>
        <w:t xml:space="preserve">لصحیحة جمیل بن درّاج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عبد اللّٰه علیه السلام فی رجل أتی بهیمة؟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یقتل</w:t>
      </w:r>
      <w:r>
        <w:rPr>
          <w:rFonts w:eastAsia="IRNazanin" w:cs="IRNazanin"/>
          <w:color w:val="111111"/>
          <w:sz w:val="28"/>
          <w:szCs w:val="28"/>
          <w:rtl w:val="true"/>
          <w:lang w:bidi="fa-IR"/>
        </w:rPr>
        <w:t xml:space="preserve">» </w:t>
      </w:r>
      <w:r>
        <w:rPr>
          <w:rStyle w:val="FootnoteAnchor"/>
          <w:rtl w:val="true"/>
        </w:rPr>
        <w:footnoteReference w:id="1642"/>
      </w:r>
      <w:r>
        <w:rPr>
          <w:rFonts w:eastAsia="Times New Roman" w:cs="Times New Roman" w:ascii="Times New Roman" w:hAnsi="Times New Roman"/>
          <w:color w:val="111111"/>
          <w:sz w:val="28"/>
          <w:szCs w:val="28"/>
          <w:rtl w:val="true"/>
          <w:lang w:val="en-US" w:bidi="en-US"/>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وجمع الشیخ فی الاستبصار بین هذه الأخبار بحمل التعزیر علی ما إذا کان الفعل دون الإیلاج، والحد إذا أولج حدّ الزانی وهو الرجم أو القتل إن کان محصناً والجلد إذا لم یکن محصناً، وبحمل أخبار القتل علی ما إذا تکرّر منه الفعل ثلاثاً مع تخلّل التعزیر؛ لما رُوی من قتل أصحاب الکبائر مطلقاً إذا اُقیم علیهم الحدّ</w:t>
      </w:r>
    </w:p>
    <w:p>
      <w:pPr>
        <w:pStyle w:val="BookText"/>
        <w:rPr/>
      </w:pPr>
      <w:r>
        <w:rPr>
          <w:rFonts w:ascii="Amiri" w:hAnsi="Amiri" w:eastAsia="Amiri" w:cs="Amiri"/>
          <w:color w:val="111111"/>
          <w:sz w:val="28"/>
          <w:sz w:val="28"/>
          <w:szCs w:val="28"/>
          <w:rtl w:val="true"/>
          <w:lang w:bidi="ar-SA"/>
        </w:rPr>
        <w:t xml:space="preserve">مرّتین </w:t>
      </w:r>
      <w:r>
        <w:rPr>
          <w:rStyle w:val="FootnoteAnchor"/>
          <w:rtl w:val="true"/>
        </w:rPr>
        <w:footnoteReference w:id="1643"/>
      </w:r>
      <w:r>
        <w:rPr>
          <w:rFonts w:ascii="IRNazanin" w:hAnsi="IRNazanin" w:eastAsia="IRNazanin"/>
          <w:color w:val="111111"/>
          <w:sz w:val="28"/>
          <w:sz w:val="28"/>
          <w:szCs w:val="28"/>
          <w:rtl w:val="true"/>
          <w:lang w:bidi="fa-IR"/>
        </w:rPr>
        <w:t xml:space="preserve">والتعزیر یُطلق علیه الحدّ </w:t>
      </w:r>
      <w:r>
        <w:rPr>
          <w:rStyle w:val="FootnoteAnchor"/>
          <w:rtl w:val="true"/>
        </w:rPr>
        <w:footnoteReference w:id="1644"/>
      </w:r>
      <w:r>
        <w:rPr>
          <w:rFonts w:ascii="IRNazanin" w:hAnsi="IRNazanin" w:eastAsia="IRNazanin"/>
          <w:color w:val="111111"/>
          <w:sz w:val="28"/>
          <w:sz w:val="28"/>
          <w:szCs w:val="28"/>
          <w:rtl w:val="true"/>
          <w:lang w:bidi="fa-IR"/>
        </w:rPr>
        <w:t xml:space="preserve">لکن یبقی علی الثانی </w:t>
      </w:r>
      <w:r>
        <w:rPr>
          <w:rStyle w:val="FootnoteAnchor"/>
          <w:rtl w:val="true"/>
        </w:rPr>
        <w:footnoteReference w:id="1645"/>
      </w:r>
      <w:r>
        <w:rPr>
          <w:rFonts w:ascii="IRNazanin" w:hAnsi="IRNazanin" w:eastAsia="IRNazanin"/>
          <w:color w:val="111111"/>
          <w:sz w:val="28"/>
          <w:sz w:val="28"/>
          <w:szCs w:val="28"/>
          <w:rtl w:val="true"/>
          <w:lang w:bidi="fa-IR"/>
        </w:rPr>
        <w:t>خبر الحدّ منافیاً للتعزیر بما دونه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بشهادة عدلین، وبالإقرار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جمیع الأحکام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کانت الدابّة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إقرار العقلاء علی أنفسهم جائز</w:t>
      </w:r>
      <w:r>
        <w:rPr>
          <w:rFonts w:eastAsia="IRNazanin" w:cs="IRNazanin"/>
          <w:color w:val="111111"/>
          <w:sz w:val="28"/>
          <w:szCs w:val="28"/>
          <w:rtl w:val="true"/>
          <w:lang w:bidi="fa-IR"/>
        </w:rPr>
        <w:t xml:space="preserve">» </w:t>
      </w:r>
      <w:r>
        <w:rPr>
          <w:rStyle w:val="FootnoteAnchor"/>
          <w:rtl w:val="true"/>
        </w:rPr>
        <w:footnoteReference w:id="1646"/>
      </w:r>
      <w:r>
        <w:rPr>
          <w:rFonts w:ascii="IRNazanin" w:hAnsi="IRNazanin" w:eastAsia="IRNazanin"/>
          <w:color w:val="111111"/>
          <w:sz w:val="28"/>
          <w:sz w:val="28"/>
          <w:szCs w:val="28"/>
          <w:rtl w:val="true"/>
          <w:lang w:bidi="fa-IR"/>
        </w:rPr>
        <w:t xml:space="preserve">خرج منه ما افتقر إلی التعدّد بنصّ خاصّ </w:t>
      </w:r>
      <w:r>
        <w:rPr>
          <w:rStyle w:val="FootnoteAnchor"/>
          <w:rtl w:val="true"/>
        </w:rPr>
        <w:footnoteReference w:id="1647"/>
      </w:r>
      <w:r>
        <w:rPr>
          <w:rFonts w:ascii="IRNazanin" w:hAnsi="IRNazanin" w:eastAsia="IRNazanin"/>
          <w:color w:val="111111"/>
          <w:sz w:val="28"/>
          <w:sz w:val="28"/>
          <w:szCs w:val="28"/>
          <w:rtl w:val="true"/>
          <w:lang w:bidi="fa-IR"/>
        </w:rPr>
        <w:t>فیبقی غیره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تکن الدابّة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الثابت بالإقرار مطلقاً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خاصّة دون غیره من الأحکام المذکورة؛ لأنّه إقرار فی حقّ الغیر فلا یُسمع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یصدّقه المالک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فتثبت باقی الأحکام؛ لزوال المانع من نفوذه 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بحسب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فی نفس الأمر فإن کانت له، هل یجب علیه فعل ما ذکر من الذبح والإحراق؟ الظاهر ذلک؛ لقولهم علیهم السلام فی الروایة السابقة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کانت البهیمة للفاعل ذُبِحت، فإذا ماتت اُحرِقت بالنار ولم یُنتفع بها</w:t>
      </w:r>
      <w:r>
        <w:rPr>
          <w:rFonts w:eastAsia="IRNazanin" w:cs="IRNazanin"/>
          <w:color w:val="111111"/>
          <w:sz w:val="28"/>
          <w:szCs w:val="28"/>
          <w:rtl w:val="true"/>
          <w:lang w:bidi="fa-IR"/>
        </w:rPr>
        <w:t xml:space="preserve">» </w:t>
      </w:r>
      <w:r>
        <w:rPr>
          <w:rStyle w:val="FootnoteAnchor"/>
          <w:rtl w:val="true"/>
        </w:rPr>
        <w:footnoteReference w:id="1648"/>
      </w:r>
      <w:r>
        <w:rPr>
          <w:rFonts w:eastAsia="Times New Roman" w:cs="Times New Roman" w:ascii="Times New Roman" w:hAnsi="Times New Roman"/>
          <w:color w:val="111111"/>
          <w:sz w:val="28"/>
          <w:szCs w:val="28"/>
          <w:rtl w:val="true"/>
          <w:lang w:val="en-US" w:bidi="en-US"/>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ولو لم تکن مأکولة ففی وجوب بیعها خارجَ البلد 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أجودهما العدم؛</w:t>
      </w:r>
      <w:bookmarkStart w:id="568" w:name="pg19815_253376"/>
    </w:p>
    <w:p>
      <w:pPr>
        <w:pStyle w:val="BookText"/>
        <w:rPr/>
      </w:pPr>
      <w:bookmarkEnd w:id="568"/>
      <w:r>
        <w:rPr>
          <w:rFonts w:ascii="IRNazanin" w:hAnsi="IRNazanin" w:eastAsia="IRNazanin"/>
          <w:color w:val="111111"/>
          <w:sz w:val="28"/>
          <w:sz w:val="28"/>
          <w:szCs w:val="28"/>
          <w:rtl w:val="true"/>
          <w:lang w:bidi="fa-IR"/>
        </w:rPr>
        <w:t xml:space="preserve">للأصل، وعدم دلالة النصوص علیه، وللتعلیل بأنّ بیعها خارجه لیخفی خبرها </w:t>
      </w:r>
      <w:r>
        <w:rPr>
          <w:rStyle w:val="FootnoteAnchor"/>
          <w:rtl w:val="true"/>
        </w:rPr>
        <w:footnoteReference w:id="1649"/>
      </w:r>
      <w:r>
        <w:rPr>
          <w:rFonts w:ascii="IRNazanin" w:hAnsi="IRNazanin" w:eastAsia="IRNazanin"/>
          <w:color w:val="111111"/>
          <w:sz w:val="28"/>
          <w:sz w:val="28"/>
          <w:szCs w:val="28"/>
          <w:rtl w:val="true"/>
          <w:lang w:bidi="fa-IR"/>
        </w:rPr>
        <w:t>وهو مخفیّ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کانت لغیره، فهل یثبت علیه الغرم ویجب علیه التوصّل إلی إتلاف المأکولة بإذن المالک ولو بالشراء منه؟ الظاهر العدم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صارت ملکه بوجه من الوجوه وجب علیه إتلاف المأکولة؛ لتحریمها فی نفس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وجوب کونه بالذبح ثمّ الإحراق وجه 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لم تنتقل إلی ملکه لکن ذبحها المالک أو غیره لم یحلّ للفاعل الأکل من لحمها لعلمه بتحریمه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القول فی نسلها ولبنها ونحوه</w:t>
      </w:r>
      <w:r>
        <w:rPr>
          <w:rFonts w:eastAsia="IRNazanin" w:cs="IRNazanin"/>
          <w:color w:val="111111"/>
          <w:sz w:val="28"/>
          <w:szCs w:val="28"/>
          <w:rtl w:val="true"/>
          <w:lang w:bidi="fa-IR"/>
        </w:rPr>
        <w:t>.</w:t>
      </w:r>
    </w:p>
    <w:p>
      <w:pPr>
        <w:pStyle w:val="Heading4"/>
        <w:numPr>
          <w:ilvl w:val="3"/>
          <w:numId w:val="1"/>
        </w:numPr>
        <w:rPr/>
      </w:pPr>
      <w:bookmarkStart w:id="569" w:name="__RefHeading___Toc2228105_2314609296"/>
      <w:bookmarkStart w:id="570" w:name="_Toc215"/>
      <w:bookmarkEnd w:id="569"/>
      <w:r>
        <w:rPr>
          <w:rtl w:val="true"/>
        </w:rPr>
        <w:t>[</w:t>
      </w:r>
      <w:r>
        <w:rPr>
          <w:rtl w:val="true"/>
        </w:rPr>
        <w:t>وطء الاموات</w:t>
      </w:r>
      <w:r>
        <w:rPr>
          <w:rtl w:val="true"/>
        </w:rPr>
        <w:t>]</w:t>
      </w:r>
      <w:bookmarkEnd w:id="57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وطء الأموات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 ولواطاً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وحکمه حکم الأحیاء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الحدّ والشرائط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یزید هنا أ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تغلظ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یراه الحاکم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إلّاأن تکون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الموطوءة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أمته المحلّلة له </w:t>
      </w:r>
      <w:r>
        <w:rPr>
          <w:rStyle w:val="FootnoteAnchor"/>
          <w:rtl w:val="true"/>
        </w:rPr>
        <w:footnoteReference w:id="16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فیعزّر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خاصّة، لتحریم وطئها، ولا یُحدّ؛ لعدم الزنا، إذ لم تخرج بالموت عن الزوجیّة، ومن ثَمّ جاز له تغسیلها</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شهود ذکور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الأقوی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کالزنا واللواط؛ لأنّه زنا ولواط فی الجملة، بل أفحش، فیتناوله عموم أدلّة توقّف ثبوته علی الأربعة </w:t>
      </w:r>
      <w:r>
        <w:rPr>
          <w:rStyle w:val="FootnoteAnchor"/>
          <w:rtl w:val="true"/>
        </w:rPr>
        <w:footnoteReference w:id="1651"/>
      </w:r>
      <w:r>
        <w:rPr>
          <w:rFonts w:eastAsia="Times New Roman" w:cs="Times New Roman" w:ascii="Times New Roman" w:hAnsi="Times New Roman"/>
          <w:color w:val="111111"/>
          <w:sz w:val="28"/>
          <w:szCs w:val="28"/>
          <w:rtl w:val="true"/>
          <w:lang w:val="en-US" w:bidi="en-US"/>
        </w:rPr>
        <w:t>.</w:t>
      </w:r>
      <w:bookmarkStart w:id="571" w:name="pg19815_253377"/>
    </w:p>
    <w:p>
      <w:pPr>
        <w:pStyle w:val="BookText"/>
        <w:rPr/>
      </w:pPr>
      <w:bookmarkEnd w:id="571"/>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یثبت بشهادة عدلین؛ لأنّه شهادة علی فعل واحد یوجب حدّاً واحداً کوطء البهیمة، بخلاف الزنا واللواط بالحیّ، فإنّه یوجب حدّین فاعتُبر فیه الأربعة؛ لأنّها شهادة علی اثنین </w:t>
      </w:r>
      <w:r>
        <w:rPr>
          <w:rStyle w:val="FootnoteAnchor"/>
          <w:rtl w:val="true"/>
        </w:rPr>
        <w:footnoteReference w:id="16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وفیه نظر؛ لانتقاضه بالوطء الإکراهی والزنا بالمجنونة، فإنّه کذلک مع اشتراط الأربعة إجماعاً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والمتحقّق اعتبار الأربعة من غیر تعلیل، بل فی کثیر من النصوص </w:t>
      </w:r>
      <w:r>
        <w:rPr>
          <w:rStyle w:val="FootnoteAnchor"/>
          <w:rtl w:val="true"/>
        </w:rPr>
        <w:footnoteReference w:id="1653"/>
      </w:r>
      <w:r>
        <w:rPr>
          <w:rFonts w:ascii="IRNazanin" w:hAnsi="IRNazanin" w:eastAsia="IRNazanin"/>
          <w:color w:val="111111"/>
          <w:sz w:val="28"/>
          <w:sz w:val="28"/>
          <w:szCs w:val="28"/>
          <w:rtl w:val="true"/>
          <w:lang w:bidi="fa-IR"/>
        </w:rPr>
        <w:t>ما ینافی تعلیله، وإنّ توقّف الزنا علی الأربعة والقتل علی الاثنین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 نّه 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علی بطلان القیاس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والإقرار فرع الشهادة، فحیث اعتبرنا الأربعة یثبت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إقراره </w:t>
      </w:r>
      <w:r>
        <w:rPr>
          <w:rStyle w:val="FootnoteAnchor"/>
          <w:rtl w:val="true"/>
        </w:rPr>
        <w:footnoteReference w:id="1654"/>
      </w:r>
      <w:r>
        <w:rPr>
          <w:rFonts w:ascii="IRNazanin" w:hAnsi="IRNazanin" w:eastAsia="IRNazanin"/>
          <w:color w:val="111111"/>
          <w:sz w:val="28"/>
          <w:sz w:val="28"/>
          <w:szCs w:val="28"/>
          <w:rtl w:val="true"/>
          <w:lang w:bidi="fa-IR"/>
        </w:rPr>
        <w:t>أربع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مرّات بشرائطها السابقة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اکتفی بالشاهدین اکتفی بالإقرار مرّتین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وحیث ألحقنا المیّت بالحیّ، فما یثبت بشهادة النساء فی الزنا بالحیّة یثبت هنا علی الأقوی؛ للعموم </w:t>
      </w:r>
      <w:r>
        <w:rPr>
          <w:rStyle w:val="FootnoteAnchor"/>
          <w:rtl w:val="true"/>
        </w:rPr>
        <w:footnoteReference w:id="1655"/>
      </w:r>
      <w:r>
        <w:rPr>
          <w:rFonts w:ascii="IRNazanin" w:hAnsi="IRNazanin" w:eastAsia="IRNazanin"/>
          <w:color w:val="111111"/>
          <w:sz w:val="28"/>
          <w:sz w:val="28"/>
          <w:szCs w:val="28"/>
          <w:rtl w:val="true"/>
          <w:lang w:bidi="fa-IR"/>
        </w:rPr>
        <w:t xml:space="preserve">مع احتمال العدم؛ لقیام الشبهة الدارئة للحدّ، وما تقدّم </w:t>
      </w:r>
      <w:r>
        <w:rPr>
          <w:rStyle w:val="FootnoteAnchor"/>
          <w:rtl w:val="true"/>
        </w:rPr>
        <w:footnoteReference w:id="165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72" w:name="__RefHeading___Toc2228107_2314609296"/>
      <w:bookmarkStart w:id="573" w:name="_Toc216"/>
      <w:bookmarkEnd w:id="572"/>
      <w:r>
        <w:rPr>
          <w:rtl w:val="true"/>
        </w:rPr>
        <w:t>[</w:t>
      </w:r>
      <w:r>
        <w:rPr>
          <w:rtl w:val="true"/>
        </w:rPr>
        <w:t>استمناء</w:t>
      </w:r>
      <w:r>
        <w:rPr>
          <w:rtl w:val="true"/>
        </w:rPr>
        <w:t>]</w:t>
      </w:r>
      <w:bookmarkEnd w:id="57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الاستمناء</w:t>
      </w:r>
      <w:r>
        <w:rPr>
          <w:rFonts w:eastAsia="IRNazanin" w:cs="IRNazanin"/>
          <w:color w:val="111111"/>
          <w:sz w:val="28"/>
          <w:szCs w:val="28"/>
          <w:rtl w:val="true"/>
          <w:lang w:bidi="fa-IR"/>
        </w:rPr>
        <w:t>» :</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وهو استدعاء إخراج المنیّ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ید المستمنی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یوجب التعزیر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یراه الحاکم، لقوله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هُمْ لِفُرُوجِهِمْ حٰافِظُونَ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عَلیٰ أَزْوٰاجِهِمْ إلی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فَمَنِ اِبْتَغیٰ وَرٰاءَ ذٰلِکَ فَأُولٰئِکَ هُمُ اَلعٰادُونَ </w:t>
      </w:r>
      <w:r>
        <w:rPr>
          <w:rStyle w:val="FootnoteAnchor"/>
          <w:rtl w:val="true"/>
        </w:rPr>
        <w:footnoteReference w:id="1657"/>
      </w:r>
      <w:r>
        <w:rPr>
          <w:rFonts w:ascii="IRNazanin" w:hAnsi="IRNazanin" w:eastAsia="IRNazanin"/>
          <w:color w:val="111111"/>
          <w:sz w:val="28"/>
          <w:sz w:val="28"/>
          <w:szCs w:val="28"/>
          <w:rtl w:val="true"/>
          <w:lang w:bidi="fa-IR"/>
        </w:rPr>
        <w:t>وهذا الفعل ممّا وراء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النبیّ صلی الله علیه و آله أ نّه لعن الناکح کفَّه </w:t>
      </w:r>
      <w:r>
        <w:rPr>
          <w:rStyle w:val="FootnoteAnchor"/>
          <w:rtl w:val="true"/>
        </w:rPr>
        <w:footnoteReference w:id="1658"/>
      </w:r>
      <w:r>
        <w:rPr>
          <w:rFonts w:ascii="IRNazanin" w:hAnsi="IRNazanin" w:eastAsia="IRNazanin"/>
          <w:color w:val="111111"/>
          <w:sz w:val="28"/>
          <w:sz w:val="28"/>
          <w:szCs w:val="28"/>
          <w:rtl w:val="true"/>
          <w:lang w:bidi="fa-IR"/>
        </w:rPr>
        <w:t>وفی معنی الید إخراجه بغیرها من جوارحه وغیرها ممّا عدا الزوجة والمملوکة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تحریمه بید زوجته ومملوکته المحلَّلة له 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وجود المقتضی للتحریم وهو إخراج المنیّ وتضییعه بغیر الجماع وبه قطع العلّامة فی التذکرة </w:t>
      </w:r>
      <w:r>
        <w:rPr>
          <w:rStyle w:val="FootnoteAnchor"/>
          <w:rtl w:val="true"/>
        </w:rPr>
        <w:footnoteReference w:id="1659"/>
      </w:r>
      <w:r>
        <w:rPr>
          <w:rFonts w:ascii="IRNazanin" w:hAnsi="IRNazanin" w:eastAsia="IRNazanin"/>
          <w:color w:val="111111"/>
          <w:sz w:val="28"/>
          <w:sz w:val="28"/>
          <w:szCs w:val="28"/>
          <w:rtl w:val="true"/>
          <w:lang w:bidi="fa-IR"/>
        </w:rPr>
        <w:t>ومن منع کون ذلک هو المقتضی، وعدم تناول الآیة والخبر له؛ إذ لم یخصّ حفظ الفرج فی الزوجة وملک الیمین بالجماع، فیتناول محلّ النزاع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تعدّی التحریم إلی غیر أیدیهما من بدنهما غیر الجماع احتمال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وأولی بالجواز هنا لو قیل به ثَمَّ؛ لأنّه ضرب من الاستمتاع</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 ضعیف </w:t>
      </w:r>
      <w:r>
        <w:rPr>
          <w:rStyle w:val="FootnoteAnchor"/>
          <w:rtl w:val="true"/>
        </w:rPr>
        <w:footnoteReference w:id="1660"/>
      </w:r>
      <w:r>
        <w:rPr>
          <w:rFonts w:ascii="IRNazanin" w:hAnsi="IRNazanin" w:eastAsia="IRNazanin"/>
          <w:color w:val="111111"/>
          <w:sz w:val="28"/>
          <w:sz w:val="28"/>
          <w:szCs w:val="28"/>
          <w:rtl w:val="true"/>
          <w:lang w:bidi="fa-IR"/>
        </w:rPr>
        <w:t xml:space="preserve">عن أبی جعفر وأبی عبد اللّٰه 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علیّاً علیه السلام ضرب یده</w:t>
      </w:r>
      <w:r>
        <w:rPr>
          <w:rFonts w:eastAsia="IRNazanin" w:cs="IRNazanin"/>
          <w:color w:val="111111"/>
          <w:sz w:val="28"/>
          <w:szCs w:val="28"/>
          <w:rtl w:val="true"/>
          <w:lang w:bidi="fa-IR"/>
        </w:rPr>
        <w:t xml:space="preserve">» </w:t>
      </w:r>
      <w:r>
        <w:rPr>
          <w:rStyle w:val="FootnoteAnchor"/>
          <w:rtl w:val="true"/>
        </w:rPr>
        <w:footnoteReference w:id="1661"/>
      </w:r>
      <w:r>
        <w:rPr>
          <w:rFonts w:ascii="IRNazanin" w:hAnsi="IRNazanin" w:eastAsia="IRNazanin"/>
          <w:color w:val="111111"/>
          <w:sz w:val="28"/>
          <w:sz w:val="28"/>
          <w:szCs w:val="28"/>
          <w:rtl w:val="true"/>
          <w:lang w:bidi="fa-IR"/>
        </w:rPr>
        <w:t>أی ید رجل استمنی بیده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عبث بذکره إلی أن أنزل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احمرّت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یده من الضرب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وزوَّجه من بیت المال</w:t>
      </w:r>
      <w:r>
        <w:rPr>
          <w:rFonts w:eastAsia="IRNazanin" w:cs="IRNazanin"/>
          <w:color w:val="111111"/>
          <w:sz w:val="28"/>
          <w:szCs w:val="28"/>
          <w:rtl w:val="true"/>
          <w:lang w:bidi="fa-IR"/>
        </w:rPr>
        <w:t xml:space="preserve">» </w:t>
      </w:r>
      <w:r>
        <w:rPr>
          <w:rStyle w:val="FootnoteAnchor"/>
          <w:rtl w:val="true"/>
        </w:rPr>
        <w:footnoteReference w:id="1662"/>
      </w:r>
      <w:bookmarkStart w:id="574" w:name="pg19815_253379"/>
    </w:p>
    <w:p>
      <w:pPr>
        <w:pStyle w:val="BookText"/>
        <w:rPr/>
      </w:pPr>
      <w:bookmarkEnd w:id="574"/>
      <w:r>
        <w:rPr>
          <w:rFonts w:ascii="IRNazanin" w:hAnsi="IRNazanin" w:eastAsia="IRNazanin"/>
          <w:color w:val="111111"/>
          <w:sz w:val="28"/>
          <w:sz w:val="28"/>
          <w:szCs w:val="28"/>
          <w:rtl w:val="true"/>
          <w:lang w:bidi="fa-IR"/>
        </w:rPr>
        <w:t>وهو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ما فی سنده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فی واقعة مخصوصة بما رآه، لا أنّ ذلک تعزیره مطلقاً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بشهادة عدلین والإقرار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واحدة؛ لعموم الخبر </w:t>
      </w:r>
      <w:r>
        <w:rPr>
          <w:rStyle w:val="FootnoteAnchor"/>
          <w:rtl w:val="true"/>
        </w:rPr>
        <w:footnoteReference w:id="1663"/>
      </w:r>
      <w:r>
        <w:rPr>
          <w:rFonts w:ascii="IRNazanin" w:hAnsi="IRNazanin" w:eastAsia="IRNazanin"/>
          <w:color w:val="111111"/>
          <w:sz w:val="28"/>
          <w:sz w:val="28"/>
          <w:szCs w:val="28"/>
          <w:rtl w:val="true"/>
          <w:lang w:bidi="fa-IR"/>
        </w:rPr>
        <w:t>إلّا ما أخرجه الدلیل من اعتبار العدد، وهو هنا منفیّ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ابن إدریس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یثبت بالإقرار مرّتین </w:t>
      </w:r>
      <w:r>
        <w:rPr>
          <w:rStyle w:val="FootnoteAnchor"/>
          <w:rtl w:val="true"/>
        </w:rPr>
        <w:footnoteReference w:id="1664"/>
      </w:r>
      <w:r>
        <w:rPr>
          <w:rFonts w:ascii="IRNazanin" w:hAnsi="IRNazanin" w:eastAsia="IRNazanin"/>
          <w:color w:val="111111"/>
          <w:sz w:val="28"/>
          <w:sz w:val="28"/>
          <w:szCs w:val="28"/>
          <w:rtl w:val="true"/>
          <w:lang w:bidi="fa-IR"/>
        </w:rPr>
        <w:t>وظاهره أ نّه لا یثبت بدونه، فإن أراد ذلک فهو ضعیف؛ لما ذکرناه</w:t>
      </w:r>
      <w:r>
        <w:rPr>
          <w:rFonts w:eastAsia="IRNazanin" w:cs="IRNazanin"/>
          <w:color w:val="111111"/>
          <w:sz w:val="28"/>
          <w:szCs w:val="28"/>
          <w:rtl w:val="true"/>
          <w:lang w:bidi="fa-IR"/>
        </w:rPr>
        <w:t>.</w:t>
      </w:r>
    </w:p>
    <w:p>
      <w:pPr>
        <w:pStyle w:val="Heading4"/>
        <w:numPr>
          <w:ilvl w:val="3"/>
          <w:numId w:val="1"/>
        </w:numPr>
        <w:rPr/>
      </w:pPr>
      <w:bookmarkStart w:id="575" w:name="__RefHeading___Toc2228109_2314609296"/>
      <w:bookmarkStart w:id="576" w:name="_Toc217"/>
      <w:bookmarkEnd w:id="575"/>
      <w:r>
        <w:rPr>
          <w:rtl w:val="true"/>
        </w:rPr>
        <w:t>[</w:t>
      </w:r>
      <w:r>
        <w:rPr>
          <w:rtl w:val="true"/>
        </w:rPr>
        <w:t>الارتداد</w:t>
      </w:r>
      <w:r>
        <w:rPr>
          <w:rtl w:val="true"/>
        </w:rPr>
        <w:t>]</w:t>
      </w:r>
      <w:bookmarkEnd w:id="57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الارتداد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الکفر بعد الإسلام، أعاذنا اللّٰه ممّا یوبق الأدیان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والکفر یکون بنیّةٍ </w:t>
      </w:r>
      <w:r>
        <w:rPr>
          <w:rStyle w:val="FootnoteAnchor"/>
          <w:rtl w:val="true"/>
        </w:rPr>
        <w:footnoteReference w:id="1665"/>
      </w:r>
      <w:r>
        <w:rPr>
          <w:rFonts w:ascii="Amiri" w:hAnsi="Amiri" w:eastAsia="Amiri" w:cs="Amiri"/>
          <w:color w:val="111111"/>
          <w:sz w:val="28"/>
          <w:sz w:val="28"/>
          <w:szCs w:val="28"/>
          <w:rtl w:val="true"/>
          <w:lang w:bidi="ar-SA"/>
        </w:rPr>
        <w:t>وبقولٍ کفرٍ، وفعلٍ مُکفِّر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العزم علی الکفر ولو فی وقت مترقَّب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حکمه التردّد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کنفی الصانع لفظاً، أو الرُسُل، وتکذیب رسولٍ، وتحلیل محرّم بالإجماع کالزنا، وعکسه کالنکاح، ونفی وجوب مجمع علیه کرکعة من الصلوات الخمس، وعکسه کوجوب صلاة سادسة یومیّة</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والضابط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إنکار ما علم من الدین ضرورة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فرق فی القول بین وقوعه عناداً أو اعتقاداً أو استهزاءً، حملاً علی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ویمکن ردّ هذه الأمثلة إلی الأوّل حیث یعتقدها من غیر لفظ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تعمّده استهزاءً صریحاً بالدین، أو جحوداً له، کإلقاء مصحف أو بعضه بقاذورة قصداً، وسجودٍ لصنم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ویعتبر فیما خالف الإجماع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کونه ممّا ثبت حکمه فی دین الإسلام ضرورةً کما ذکر لخفاء کثیر من الإجماعیّات علی الآحاد، وکون الإجماع من أهل الحلّ والعقد من المسلمین، فلا یکفر المخالف فی مسألة خلافیّة وإن کان نادراً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اختلف عبارات الأصحاب وغیرهم </w:t>
      </w:r>
      <w:r>
        <w:rPr>
          <w:rStyle w:val="FootnoteAnchor"/>
          <w:rtl w:val="true"/>
        </w:rPr>
        <w:footnoteReference w:id="1666"/>
      </w:r>
      <w:r>
        <w:rPr>
          <w:rFonts w:ascii="IRNazanin" w:hAnsi="IRNazanin" w:eastAsia="IRNazanin"/>
          <w:color w:val="111111"/>
          <w:sz w:val="28"/>
          <w:sz w:val="28"/>
          <w:szCs w:val="28"/>
          <w:rtl w:val="true"/>
          <w:lang w:bidi="fa-IR"/>
        </w:rPr>
        <w:t xml:space="preserve">فی هذا الشرط، فاقتصر بعضهم علی اعتبار مطلق الإجماع </w:t>
      </w:r>
      <w:r>
        <w:rPr>
          <w:rStyle w:val="FootnoteAnchor"/>
          <w:rtl w:val="true"/>
        </w:rPr>
        <w:footnoteReference w:id="1667"/>
      </w:r>
      <w:r>
        <w:rPr>
          <w:rFonts w:ascii="IRNazanin" w:hAnsi="IRNazanin" w:eastAsia="IRNazanin"/>
          <w:color w:val="111111"/>
          <w:sz w:val="28"/>
          <w:sz w:val="28"/>
          <w:szCs w:val="28"/>
          <w:rtl w:val="true"/>
          <w:lang w:bidi="fa-IR"/>
        </w:rPr>
        <w:t xml:space="preserve">وآخرون علی إضافة ما ذکرناه </w:t>
      </w:r>
      <w:r>
        <w:rPr>
          <w:rStyle w:val="FootnoteAnchor"/>
          <w:rtl w:val="true"/>
        </w:rPr>
        <w:footnoteReference w:id="1668"/>
      </w:r>
      <w:r>
        <w:rPr>
          <w:rFonts w:ascii="IRNazanin" w:hAnsi="IRNazanin" w:eastAsia="IRNazanin"/>
          <w:color w:val="111111"/>
          <w:sz w:val="28"/>
          <w:sz w:val="28"/>
          <w:szCs w:val="28"/>
          <w:rtl w:val="true"/>
          <w:lang w:bidi="fa-IR"/>
        </w:rPr>
        <w:t>وهو الأجود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یتّفق للشیخ رحمه الله الحکم بکفر مستحلّ ما خالف إجماعنا خاصّة کما تقدّم نقله عنه فی باب الأطعمة </w:t>
      </w:r>
      <w:r>
        <w:rPr>
          <w:rStyle w:val="FootnoteAnchor"/>
          <w:rtl w:val="true"/>
        </w:rPr>
        <w:footnoteReference w:id="1669"/>
      </w:r>
      <w:r>
        <w:rPr>
          <w:rFonts w:ascii="IRNazanin" w:hAnsi="IRNazanin" w:eastAsia="IRNazanin"/>
          <w:color w:val="111111"/>
          <w:sz w:val="28"/>
          <w:sz w:val="28"/>
          <w:szCs w:val="28"/>
          <w:rtl w:val="true"/>
          <w:lang w:bidi="fa-IR"/>
        </w:rPr>
        <w:t>وهو نادر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حکم الصنم ما یُقصد به العبادة للمسجود له، فلو کان مجرّد التعظیم مع اعتقاد عدم استحقاقه للعبادة لم یکن کفراً، بل بدعة قبیحة وإن استحقّ التعظیم بغیر هذا النوع؛ لأنّ اللّٰه تعالی لم ینصب السجود تعظیماً لغیره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فطرة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الإسلام؛ لقوله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بدّل دینه فاقتلوه</w:t>
      </w:r>
      <w:r>
        <w:rPr>
          <w:rFonts w:eastAsia="IRNazanin" w:cs="IRNazanin"/>
          <w:color w:val="111111"/>
          <w:sz w:val="28"/>
          <w:szCs w:val="28"/>
          <w:rtl w:val="true"/>
          <w:lang w:bidi="fa-IR"/>
        </w:rPr>
        <w:t xml:space="preserve">» </w:t>
      </w:r>
      <w:r>
        <w:rPr>
          <w:rStyle w:val="FootnoteAnchor"/>
          <w:rtl w:val="true"/>
        </w:rPr>
        <w:footnoteReference w:id="1670"/>
      </w:r>
      <w:r>
        <w:rPr>
          <w:rFonts w:eastAsia="Times New Roman" w:cs="Times New Roman" w:ascii="Times New Roman" w:hAnsi="Times New Roman"/>
          <w:color w:val="111111"/>
          <w:sz w:val="28"/>
          <w:szCs w:val="28"/>
          <w:rtl w:val="true"/>
          <w:lang w:val="en-US" w:bidi="en-US"/>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وصحیحة محمّد بن مسلم عن الباقر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رغب عن الإسلام وکفر</w:t>
      </w:r>
    </w:p>
    <w:p>
      <w:pPr>
        <w:pStyle w:val="BookText"/>
        <w:rPr/>
      </w:pPr>
      <w:r>
        <w:rPr>
          <w:rFonts w:ascii="IRNazanin" w:hAnsi="IRNazanin" w:eastAsia="IRNazanin"/>
          <w:color w:val="111111"/>
          <w:sz w:val="28"/>
          <w:sz w:val="28"/>
          <w:szCs w:val="28"/>
          <w:rtl w:val="true"/>
          <w:lang w:bidi="fa-IR"/>
        </w:rPr>
        <w:t>بما اُنزل علی محمّد صلی الله علیه و آله بعد إسلامه فلا توبة له، وقد وجب قتله وبانت منه امرأته، ویقسم ما ترک علی ولده</w:t>
      </w:r>
      <w:r>
        <w:rPr>
          <w:rFonts w:eastAsia="IRNazanin" w:cs="IRNazanin"/>
          <w:color w:val="111111"/>
          <w:sz w:val="28"/>
          <w:szCs w:val="28"/>
          <w:rtl w:val="true"/>
          <w:lang w:bidi="fa-IR"/>
        </w:rPr>
        <w:t xml:space="preserve">» </w:t>
      </w:r>
      <w:r>
        <w:rPr>
          <w:rStyle w:val="FootnoteAnchor"/>
          <w:rtl w:val="true"/>
        </w:rPr>
        <w:footnoteReference w:id="16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عمّار عن الصادق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مسلم بین مسلمین ارتدّ عن الإسلام وجحد محمّداً صلی الله علیه و آله نبوّته وکذّبه، فإنّ دمه مباح لکلّ من سمع ذلک منه، وامرأته بائنة منه یوم ارتدّ فلا تقربه، ویُقسم ماله علی ورثته، وتعتدّ امرأته عدّة المتوفّی عنها زوجها، وعلی الإمام أن یقتله ولا یستتیبه</w:t>
      </w:r>
      <w:r>
        <w:rPr>
          <w:rFonts w:eastAsia="IRNazanin" w:cs="IRNazanin"/>
          <w:color w:val="111111"/>
          <w:sz w:val="28"/>
          <w:szCs w:val="28"/>
          <w:rtl w:val="true"/>
          <w:lang w:bidi="fa-IR"/>
        </w:rPr>
        <w:t xml:space="preserve">» </w:t>
      </w:r>
      <w:r>
        <w:rPr>
          <w:rStyle w:val="FootnoteAnchor"/>
          <w:rtl w:val="true"/>
        </w:rPr>
        <w:footnoteReference w:id="16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تقبل توبته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لما ذکرناه وللإجماع، فیتعیّن قتله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قبولها باطناً قول قویّ </w:t>
      </w:r>
      <w:r>
        <w:rPr>
          <w:rStyle w:val="FootnoteAnchor"/>
          <w:rtl w:val="true"/>
        </w:rPr>
        <w:footnoteReference w:id="1673"/>
      </w:r>
      <w:r>
        <w:rPr>
          <w:rFonts w:ascii="IRNazanin" w:hAnsi="IRNazanin" w:eastAsia="IRNazanin"/>
          <w:color w:val="111111"/>
          <w:sz w:val="28"/>
          <w:sz w:val="28"/>
          <w:szCs w:val="28"/>
          <w:rtl w:val="true"/>
          <w:lang w:bidi="fa-IR"/>
        </w:rPr>
        <w:t>حذراً من تکلیف ما لا یطاق لو کان مکلَّفاً بالإسلام، أو خروجه عن التکلیف ما دام حیّاً کاملَ العقل، وهو باطل بالإجماع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وحینئذٍ فلو لم یطّلع علیه أحد أو لم یُقدَر علی قتله أو تأخّر قتله بوجهٍ وتاب قُبلت توبته فیما بینه وبین اللّٰه تعالی، وصحّت عباداته ومعاملاته، وطهر بدنه، ولا یعود ماله وزوجته إلیه بذلک، عملاً بالاستصحاب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یصحّ له تجدید العقد علیها بعد العدّة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جوازه فیها وجه، کما یجوز للزوج العقد علی المعتدّة منه بائناً</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وبالجملة، فیُقتصر من </w:t>
      </w:r>
      <w:r>
        <w:rPr>
          <w:rStyle w:val="FootnoteAnchor"/>
          <w:rtl w:val="true"/>
        </w:rPr>
        <w:footnoteReference w:id="1674"/>
      </w:r>
      <w:r>
        <w:rPr>
          <w:rFonts w:ascii="IRNazanin" w:hAnsi="IRNazanin" w:eastAsia="IRNazanin"/>
          <w:color w:val="111111"/>
          <w:sz w:val="28"/>
          <w:sz w:val="28"/>
          <w:szCs w:val="28"/>
          <w:rtl w:val="true"/>
          <w:lang w:bidi="fa-IR"/>
        </w:rPr>
        <w:t xml:space="preserve">الأحکام بعد توبته علی الاُمور الثلاثة </w:t>
      </w:r>
      <w:r>
        <w:rPr>
          <w:rStyle w:val="FootnoteAnchor"/>
          <w:rtl w:val="true"/>
        </w:rPr>
        <w:footnoteReference w:id="1675"/>
      </w:r>
      <w:r>
        <w:rPr>
          <w:rFonts w:ascii="IRNazanin" w:hAnsi="IRNazanin" w:eastAsia="IRNazanin"/>
          <w:color w:val="111111"/>
          <w:sz w:val="28"/>
          <w:sz w:val="28"/>
          <w:szCs w:val="28"/>
          <w:rtl w:val="true"/>
          <w:lang w:bidi="fa-IR"/>
        </w:rPr>
        <w:t>فی حقّه وحقّ غیره، وهذا أمر آخر وراء القبول باطناً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وتبین منه زوجته، وتعتدّ للوفاة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لم یدخل علی الأصحّ؛ لما تقدّم </w:t>
      </w:r>
      <w:r>
        <w:rPr>
          <w:rStyle w:val="FootnoteAnchor"/>
          <w:rtl w:val="true"/>
        </w:rPr>
        <w:footnoteReference w:id="16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وتورث أمواله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الموجودة حالة الردّة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قضاء دیونه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السابقة علیها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فی حکم المیّت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وهل یلحقه باقی أحکامه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إنفاذ وصایاه السابقة علی الردّة، وعدم قبوله التملّک بعدها؟ نظر من مساواته له فی الأحکام، وکونه حیّاً ولا یلزم من مساواته المیّت فی جملة من الأحکام إلحاقه به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أدخلنا المتجدّد فی ملکه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کالاحتطاب والاحتشاش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صار إرثاً؛ وعلی هذا لا ینقطع إرثه ما دام حیّاً، وهو بعید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ومعه ففی اختصاص وارثه عند ارتداده به أو عند التکسّب؟ وجهان </w:t>
      </w:r>
      <w:r>
        <w:rPr>
          <w:rStyle w:val="FootnoteAnchor"/>
          <w:rtl w:val="true"/>
        </w:rPr>
        <w:footnoteReference w:id="16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ویعتبر فی تحقّق الارتداد البلوغ والعقل والاختیار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حکم لارتداد الصبیّ، والمجنون، والمکرَه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یؤدَّب الأوّلان</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والسکران فی حکم المجنون، فلا یرتدّ بتلفّظه حالته بکلمة الکفر، أو فعله ما یوجبه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لا یُحکم بإسلامه بکلمة الإسلام لو کان کافراً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وإلحاقه بالصاحی فی وجوب قضاء العبادات لا یوجب إلحاقه به مطلقاً مع العلم بزوال عقله الرافع للخطاب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وکذا لا حکم لردّة الغالط والغافل والساهی والنائم، ومن رفع الغضبُ قصدَه،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وتقبل دعوی ذلک کلّه، وکذا الإکراه مع القرینة کالأسر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قبول دعوی عدم القصد إلی مدلول اللفظ مع تحقّق الکمال نظر، من الشبهة الدارئة للحدّ، وکونه خلاف الظاهر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ویستتاب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تاب، وإلّا 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ومدّة الاستتابة ثلاثة أیّام فی المرویّ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علیه السلام </w:t>
      </w:r>
      <w:r>
        <w:rPr>
          <w:rStyle w:val="FootnoteAnchor"/>
          <w:rtl w:val="true"/>
        </w:rPr>
        <w:footnoteReference w:id="1678"/>
      </w:r>
      <w:r>
        <w:rPr>
          <w:rFonts w:ascii="IRNazanin" w:hAnsi="IRNazanin" w:eastAsia="IRNazanin"/>
          <w:color w:val="111111"/>
          <w:sz w:val="28"/>
          <w:sz w:val="28"/>
          <w:szCs w:val="28"/>
          <w:rtl w:val="true"/>
          <w:lang w:bidi="fa-IR"/>
        </w:rPr>
        <w:t xml:space="preserve">بطریق ضعیف </w:t>
      </w:r>
      <w:r>
        <w:rPr>
          <w:rStyle w:val="FootnoteAnchor"/>
          <w:rtl w:val="true"/>
        </w:rPr>
        <w:footnoteReference w:id="1679"/>
      </w:r>
      <w:r>
        <w:rPr>
          <w:rFonts w:ascii="IRNazanin" w:hAnsi="IRNazanin" w:eastAsia="IRNazanin"/>
          <w:color w:val="111111"/>
          <w:sz w:val="28"/>
          <w:sz w:val="28"/>
          <w:szCs w:val="28"/>
          <w:rtl w:val="true"/>
          <w:lang w:bidi="fa-IR"/>
        </w:rPr>
        <w:t>والأقوی تحدیدها بما یؤمَّل معه عوده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ویُقتل بعد الیأس منه وإن کان من ساعته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ولعلّ الصبر علیه ثلاثة أیّام أولی رجاءً لعوده، وحملاً للخبر علی الاستحباب</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المرتدّ عن 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یزول ملکه عن أمواله إلّابموته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بقتله، لکن یُحجر علیه بنفس الردّة عن التصرّف فیها ویدخل فی ملکه ما یتجدّد، ویتعلّق به الحجر، ویُنفَق علیه منه ما دام حیّاً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عصمة نکاحه إلّاببقائه علی الکفر بعد خروج العدّة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تعتدّها زوجته من حین ردّته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وهی عدّة الطلاق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خرجت ولمّا یرجع بانت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وتؤدّی نفقة واجب النفقة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والد وولد وزوجة ومملوک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یموت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ووارثهما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المرتدّین فطریّاً وملّیّاً ورثتهما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المسلمون، لا بیت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عندنا؛ لما تقدّم </w:t>
      </w:r>
      <w:r>
        <w:rPr>
          <w:rStyle w:val="FootnoteAnchor"/>
          <w:rtl w:val="true"/>
        </w:rPr>
        <w:footnoteReference w:id="16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لم یکن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فللإمام </w:t>
      </w:r>
      <w:r>
        <w:rPr>
          <w:rStyle w:val="FootnoteAnchor"/>
          <w:rtl w:val="true"/>
        </w:rPr>
        <w:footnoteReference w:id="16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یرثهما الکافر مطلقاً؛ لأنّهما مرتبةً فوق الکافر ودون المسلم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والمرأة لا تُقتل وإن کانت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فطرة، بل تُحبس دائماً، وتُضرب أوقات الصلوات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بحسب ما یراه الحاکم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وتُستعمل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الحبس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أسوأ الأعمال، وتُلبس أخشن الثیاب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المتّخذة للبس عادة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وتُطعم أجشب </w:t>
      </w:r>
      <w:r>
        <w:rPr>
          <w:rStyle w:val="FootnoteAnchor"/>
          <w:rtl w:val="true"/>
        </w:rPr>
        <w:footnoteReference w:id="1682"/>
      </w:r>
      <w:r>
        <w:rPr>
          <w:rFonts w:ascii="IRNazanin" w:hAnsi="IRNazanin" w:eastAsia="IRNazanin"/>
          <w:color w:val="111111"/>
          <w:sz w:val="28"/>
          <w:sz w:val="28"/>
          <w:szCs w:val="28"/>
          <w:rtl w:val="true"/>
          <w:lang w:bidi="fa-IR"/>
        </w:rPr>
        <w:t>الطعام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ما غلظ منه وخشن قاله ابن الأثیر </w:t>
      </w:r>
      <w:r>
        <w:rPr>
          <w:rStyle w:val="FootnoteAnchor"/>
          <w:rtl w:val="true"/>
        </w:rPr>
        <w:footnoteReference w:id="1683"/>
      </w:r>
      <w:r>
        <w:rPr>
          <w:rFonts w:ascii="IRNazanin" w:hAnsi="IRNazanin" w:eastAsia="IRNazanin"/>
          <w:color w:val="111111"/>
          <w:sz w:val="28"/>
          <w:sz w:val="28"/>
          <w:szCs w:val="28"/>
          <w:rtl w:val="true"/>
          <w:lang w:bidi="fa-IR"/>
        </w:rPr>
        <w:t>ویعتبر فیه عادتها، فقد یکون الجشب حقیقة فی عادتها صالحاً وبالعکس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یفعل بها ذلک کلّه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تتوب، أو تموت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لصحیحة الحلبی عن أبی عبد اللّٰه علیه السلام وغیرها فی المرتدّة عن الإسلام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تُقتل، وتُستَخدم خدمة شدیدة، وتُمنع من الطعام والشراب إلّاما یُمسِک نفسَها، وتُلبَس خشن الثیاب، وتُضرب علی الصلوات</w:t>
      </w:r>
      <w:r>
        <w:rPr>
          <w:rFonts w:eastAsia="IRNazanin" w:cs="IRNazanin"/>
          <w:color w:val="111111"/>
          <w:sz w:val="28"/>
          <w:szCs w:val="28"/>
          <w:rtl w:val="true"/>
          <w:lang w:bidi="fa-IR"/>
        </w:rPr>
        <w:t xml:space="preserve">» </w:t>
      </w:r>
      <w:r>
        <w:rPr>
          <w:rStyle w:val="FootnoteAnchor"/>
          <w:rtl w:val="true"/>
        </w:rPr>
        <w:footnoteReference w:id="1684"/>
      </w:r>
      <w:r>
        <w:rPr>
          <w:rFonts w:eastAsia="Times New Roman" w:cs="Times New Roman" w:ascii="Times New Roman" w:hAnsi="Times New Roman"/>
          <w:color w:val="111111"/>
          <w:sz w:val="28"/>
          <w:szCs w:val="28"/>
          <w:rtl w:val="true"/>
          <w:lang w:val="en-US" w:bidi="en-US"/>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خبر آخر عنه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المرأة تُستتاب فإن تابت، وإلّا حُبست فی السجن واُضِرّ بها</w:t>
      </w:r>
      <w:r>
        <w:rPr>
          <w:rFonts w:eastAsia="IRNazanin" w:cs="IRNazanin"/>
          <w:color w:val="111111"/>
          <w:sz w:val="28"/>
          <w:szCs w:val="28"/>
          <w:rtl w:val="true"/>
          <w:lang w:bidi="fa-IR"/>
        </w:rPr>
        <w:t xml:space="preserve">» </w:t>
      </w:r>
      <w:r>
        <w:rPr>
          <w:rStyle w:val="FootnoteAnchor"/>
          <w:rtl w:val="true"/>
        </w:rPr>
        <w:footnoteReference w:id="16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فرق فیها بین الفطریّة والملّیّة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وفی إلحاق الخنثی بالرجل أو المرأة وجهان، تقدّما فی الإرث </w:t>
      </w:r>
      <w:r>
        <w:rPr>
          <w:rStyle w:val="FootnoteAnchor"/>
          <w:rtl w:val="true"/>
        </w:rPr>
        <w:footnoteReference w:id="1686"/>
      </w:r>
      <w:r>
        <w:rPr>
          <w:rFonts w:ascii="Amiri" w:hAnsi="Amiri" w:eastAsia="Amiri" w:cs="Amiri"/>
          <w:color w:val="111111"/>
          <w:sz w:val="28"/>
          <w:sz w:val="28"/>
          <w:szCs w:val="28"/>
          <w:rtl w:val="true"/>
          <w:lang w:bidi="ar-SA"/>
        </w:rPr>
        <w:t>وأنّ الأظهر إلحاقه بالمرأة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تکرّر الارتداد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والاستتابة من الملّی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فی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الثالثة علی الخلاف السابق </w:t>
      </w:r>
      <w:r>
        <w:rPr>
          <w:rStyle w:val="FootnoteAnchor"/>
          <w:rtl w:val="true"/>
        </w:rPr>
        <w:footnoteReference w:id="1687"/>
      </w:r>
      <w:r>
        <w:rPr>
          <w:rFonts w:ascii="IRNazanin" w:hAnsi="IRNazanin" w:eastAsia="IRNazanin"/>
          <w:color w:val="111111"/>
          <w:sz w:val="28"/>
          <w:sz w:val="28"/>
          <w:szCs w:val="28"/>
          <w:rtl w:val="true"/>
          <w:lang w:bidi="fa-IR"/>
        </w:rPr>
        <w:t xml:space="preserve">لأنّ الکفر باللّٰه تعالی أکبر الکبائر، وقد عرفت أنّ أصحاب الکبائر یُقتلون فی الثالثة </w:t>
      </w:r>
      <w:r>
        <w:rPr>
          <w:rStyle w:val="FootnoteAnchor"/>
          <w:rtl w:val="true"/>
        </w:rPr>
        <w:footnoteReference w:id="1688"/>
      </w:r>
      <w:r>
        <w:rPr>
          <w:rFonts w:ascii="IRNazanin" w:hAnsi="IRNazanin" w:eastAsia="IRNazanin"/>
          <w:color w:val="111111"/>
          <w:sz w:val="28"/>
          <w:sz w:val="28"/>
          <w:szCs w:val="28"/>
          <w:rtl w:val="true"/>
          <w:lang w:bidi="fa-IR"/>
        </w:rPr>
        <w:t>ولا نصّ هنا بالخصوص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والاحتیاط فی الدماء یقتضی قتله فی الرابعة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وتوبته الإقرار بما أنکره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کان الإنکار للّٰه‌أو </w:t>
      </w:r>
      <w:r>
        <w:rPr>
          <w:rStyle w:val="FootnoteAnchor"/>
          <w:rtl w:val="true"/>
        </w:rPr>
        <w:footnoteReference w:id="1689"/>
      </w:r>
      <w:r>
        <w:rPr>
          <w:rFonts w:ascii="IRNazanin" w:hAnsi="IRNazanin" w:eastAsia="IRNazanin"/>
          <w:color w:val="111111"/>
          <w:sz w:val="28"/>
          <w:sz w:val="28"/>
          <w:szCs w:val="28"/>
          <w:rtl w:val="true"/>
          <w:lang w:bidi="fa-IR"/>
        </w:rPr>
        <w:t>للرسول فإسلامه بالشهادتین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یُشترط التبرّی من غیر الإسلام وإن کان آکد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مقرّاً بهما منکراً عموم نبوّته صلی الله علیه و آله لم تکفِ الشهادتان، بل لا بدّ من الإقرار بعمومها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بجحد فریضة عُلم ثبوتها من الدین ضرورة فتوبته الإقرار بثبوتها علی وجهها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 باستحلال محرَّم فاعتقاد تحریمه مع إظهاره إن کان أظهر الاستحلال، وهکذا</w:t>
      </w:r>
      <w:r>
        <w:rPr>
          <w:rFonts w:eastAsia="IRNazanin" w:cs="IRNazanin"/>
          <w:color w:val="111111"/>
          <w:sz w:val="28"/>
          <w:szCs w:val="28"/>
          <w:rtl w:val="true"/>
          <w:lang w:bidi="fa-IR"/>
        </w:rPr>
        <w:t>. . .</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تکفی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إسلام الکافر مطلقاً وإن کان یجحدها؛ لأنّ فعلها أعمّ من اعتقاد وجوبها، فلا یدلّ علیه وإن کان کفره بجحد الإلهیّة أو الرسالة</w:t>
      </w:r>
      <w:bookmarkStart w:id="577" w:name="pg19815_253386"/>
    </w:p>
    <w:p>
      <w:pPr>
        <w:pStyle w:val="BookText"/>
        <w:rPr/>
      </w:pPr>
      <w:bookmarkEnd w:id="577"/>
      <w:r>
        <w:rPr>
          <w:rFonts w:ascii="IRNazanin" w:hAnsi="IRNazanin" w:eastAsia="IRNazanin"/>
          <w:color w:val="111111"/>
          <w:sz w:val="28"/>
          <w:sz w:val="28"/>
          <w:szCs w:val="28"/>
          <w:rtl w:val="true"/>
          <w:lang w:bidi="fa-IR"/>
        </w:rPr>
        <w:t>وسُمِع تشهّده فیها؛ لأنّه لم یوضع شرعاً ثَمَّ للإسلام، بل لیکون جزءاً من الصلاة، وهی لا توجبه، فکذا جزؤها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قولها منفردة؛ لأنّها موضوعة شرعاً 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جُنّ بعد ردّته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دام مجنوناً؛ لأنّ قتله مشروط بامتناعه من التوبة ولا حکم لامتناع المجنون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لو کان عن فطرة قُتل مطلقاً </w:t>
      </w:r>
      <w:r>
        <w:rPr>
          <w:rStyle w:val="FootnoteAnchor"/>
          <w:rtl w:val="true"/>
        </w:rPr>
        <w:footnoteReference w:id="169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یصحّ له تزویج ابنته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المولّی علیها، بل مطلق ولده؛ لأنّه محجور علیه فی نفسه فلا تثبت ولایته علی غیره، ولأ نّه کافر وولایة الکافر مسلوبة عن المسلم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أمته</w:t>
      </w:r>
      <w:r>
        <w:rPr>
          <w:rFonts w:eastAsia="IRNazanin" w:cs="IRNazanin"/>
          <w:color w:val="111111"/>
          <w:sz w:val="28"/>
          <w:szCs w:val="28"/>
          <w:rtl w:val="true"/>
          <w:lang w:bidi="fa-IR"/>
        </w:rPr>
        <w:t xml:space="preserve">» </w:t>
      </w:r>
      <w:r>
        <w:rPr>
          <w:rStyle w:val="FootnoteAnchor"/>
          <w:rtl w:val="true"/>
        </w:rPr>
        <w:footnoteReference w:id="1691"/>
      </w:r>
      <w:r>
        <w:rPr>
          <w:rFonts w:ascii="IRNazanin" w:hAnsi="IRNazanin" w:eastAsia="IRNazanin"/>
          <w:color w:val="111111"/>
          <w:sz w:val="28"/>
          <w:sz w:val="28"/>
          <w:szCs w:val="28"/>
          <w:rtl w:val="true"/>
          <w:lang w:bidi="fa-IR"/>
        </w:rPr>
        <w:t>مسلمة کانت الأمة أم کافرة؛ لما ذُکر فی البنت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واستقرب فی التحریر بقاء ولایته علیها مطلقاً </w:t>
      </w:r>
      <w:r>
        <w:rPr>
          <w:rStyle w:val="FootnoteAnchor"/>
          <w:rtl w:val="true"/>
        </w:rPr>
        <w:footnoteReference w:id="1692"/>
      </w:r>
      <w:r>
        <w:rPr>
          <w:rFonts w:ascii="IRNazanin" w:hAnsi="IRNazanin" w:eastAsia="IRNazanin"/>
          <w:color w:val="111111"/>
          <w:sz w:val="28"/>
          <w:sz w:val="28"/>
          <w:szCs w:val="28"/>
          <w:rtl w:val="true"/>
          <w:lang w:bidi="fa-IR"/>
        </w:rPr>
        <w:t xml:space="preserve">مع جزمه فی القواعد بزوالها کالولد </w:t>
      </w:r>
      <w:r>
        <w:rPr>
          <w:rStyle w:val="FootnoteAnchor"/>
          <w:rtl w:val="true"/>
        </w:rPr>
        <w:footnoteReference w:id="1693"/>
      </w:r>
      <w:r>
        <w:rPr>
          <w:rFonts w:ascii="IRNazanin" w:hAnsi="IRNazanin" w:eastAsia="IRNazanin"/>
          <w:color w:val="111111"/>
          <w:sz w:val="28"/>
          <w:sz w:val="28"/>
          <w:szCs w:val="28"/>
          <w:rtl w:val="true"/>
          <w:lang w:bidi="fa-IR"/>
        </w:rPr>
        <w:t xml:space="preserve">وحکایته هنا قولاً یشعر بتمریضه، نظراً إلی الأصل </w:t>
      </w:r>
      <w:r>
        <w:rPr>
          <w:rStyle w:val="FootnoteAnchor"/>
          <w:rtl w:val="true"/>
        </w:rPr>
        <w:footnoteReference w:id="1694"/>
      </w:r>
      <w:r>
        <w:rPr>
          <w:rFonts w:ascii="IRNazanin" w:hAnsi="IRNazanin" w:eastAsia="IRNazanin"/>
          <w:color w:val="111111"/>
          <w:sz w:val="28"/>
          <w:sz w:val="28"/>
          <w:szCs w:val="28"/>
          <w:rtl w:val="true"/>
          <w:lang w:bidi="fa-IR"/>
        </w:rPr>
        <w:t>وقوّة الولایة المالکیّة مع الشکّ فی المزیل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وثبوت الحجر یرفع ذلک کلّه</w:t>
      </w:r>
      <w:r>
        <w:rPr>
          <w:rFonts w:eastAsia="IRNazanin" w:cs="IRNazanin"/>
          <w:color w:val="111111"/>
          <w:sz w:val="28"/>
          <w:szCs w:val="28"/>
          <w:rtl w:val="true"/>
          <w:lang w:bidi="fa-IR"/>
        </w:rPr>
        <w:t>.</w:t>
      </w:r>
    </w:p>
    <w:p>
      <w:pPr>
        <w:pStyle w:val="Heading4"/>
        <w:numPr>
          <w:ilvl w:val="3"/>
          <w:numId w:val="1"/>
        </w:numPr>
        <w:rPr/>
      </w:pPr>
      <w:bookmarkStart w:id="578" w:name="__RefHeading___Toc2228111_2314609296"/>
      <w:bookmarkStart w:id="579" w:name="_Toc218"/>
      <w:bookmarkEnd w:id="578"/>
      <w:r>
        <w:rPr>
          <w:rtl w:val="true"/>
        </w:rPr>
        <w:t>[</w:t>
      </w:r>
      <w:r>
        <w:rPr>
          <w:rtl w:val="true"/>
        </w:rPr>
        <w:t>الدفاع عن النفس و المال و الحرم</w:t>
      </w:r>
      <w:r>
        <w:rPr>
          <w:rtl w:val="true"/>
        </w:rPr>
        <w:t>]</w:t>
      </w:r>
      <w:bookmarkEnd w:id="57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ومنها </w:t>
      </w:r>
      <w:r>
        <w:rPr>
          <w:rStyle w:val="FootnoteAnchor"/>
          <w:rtl w:val="true"/>
        </w:rPr>
        <w:footnoteReference w:id="16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الدفاع عن النفس والمال والحریم</w:t>
      </w:r>
      <w:r>
        <w:rPr>
          <w:rFonts w:eastAsia="IRNazanin" w:cs="IRNazanin"/>
          <w:color w:val="111111"/>
          <w:sz w:val="28"/>
          <w:szCs w:val="28"/>
          <w:rtl w:val="true"/>
          <w:lang w:bidi="fa-IR"/>
        </w:rPr>
        <w:t>» :</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وهو جائز فی الجمیع مع عدم ظنّ العطب، وواجب فی الأوّل والأخیر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بحسب القدرة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العجز یجب الهرب مع الإمکان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الدفاع عن المال فلا یجب إلّامع اضطراره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یجوز الدفع عن غیر من ذُکِر مع القدرة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والأقرب وجوبه مع أمن الضرر وظنّ السلامة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الدفاع مطلقاً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الأسهل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فالأسهل کالصیاح، ثمّ الخصام، ثمّ الضرب، ثمّ الجرح، ثمّ التعطیل </w:t>
      </w:r>
      <w:r>
        <w:rPr>
          <w:rStyle w:val="FootnoteAnchor"/>
          <w:rtl w:val="true"/>
        </w:rPr>
        <w:footnoteReference w:id="1696"/>
      </w:r>
      <w:r>
        <w:rPr>
          <w:rFonts w:ascii="Amiri" w:hAnsi="Amiri" w:eastAsia="Amiri" w:cs="Amiri"/>
          <w:color w:val="111111"/>
          <w:sz w:val="28"/>
          <w:sz w:val="28"/>
          <w:szCs w:val="28"/>
          <w:rtl w:val="true"/>
          <w:lang w:bidi="ar-SA"/>
        </w:rPr>
        <w:t xml:space="preserve">ثمّ التدفیف </w:t>
      </w:r>
      <w:r>
        <w:rPr>
          <w:rStyle w:val="FootnoteAnchor"/>
          <w:rtl w:val="true"/>
        </w:rPr>
        <w:footnoteReference w:id="16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ودم المدفوع هَدْر حیث یتوقّف الدفاع علی قتله، وکذا ما یُتلف من ماله إذا لم یمکن بدونه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الدافع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کالشهید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فی باقی الأحکام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التغسیل والتکفین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فکغیره، ولا یبدؤه إلّامع العلم أو الظنّ بقصده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کَفَّ کَفَّ عنه، فإن عاد عاد، فلو قطع یده مقبلاً ورِجله مدبراً ضمن الرِجل فإن سَرَتا ضمن النصف قصاصاً أو 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أقبل بعد ذلک فقطع عضواً ثالثاً رجع الضمان إلی الثلث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ولو وجد مع زوجته، أو مملوکته </w:t>
      </w:r>
      <w:r>
        <w:rPr>
          <w:rStyle w:val="FootnoteAnchor"/>
          <w:rtl w:val="true"/>
        </w:rPr>
        <w:footnoteReference w:id="1698"/>
      </w:r>
      <w:r>
        <w:rPr>
          <w:rFonts w:ascii="IRNazanin" w:hAnsi="IRNazanin" w:eastAsia="IRNazanin"/>
          <w:color w:val="111111"/>
          <w:sz w:val="28"/>
          <w:sz w:val="28"/>
          <w:szCs w:val="28"/>
          <w:rtl w:val="true"/>
          <w:lang w:bidi="fa-IR"/>
        </w:rPr>
        <w:t>أو غلامه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ولده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ینال دون الجماع فله دفعه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یرجو معه الاندفاع کما مرّ </w:t>
      </w:r>
      <w:r>
        <w:rPr>
          <w:rStyle w:val="FootnoteAnchor"/>
          <w:rtl w:val="true"/>
        </w:rPr>
        <w:footnoteReference w:id="16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أتی الدفع علیه وأفضی إلی 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لم یمکن دفعه بدونه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هَدْر</w:t>
      </w:r>
      <w:r>
        <w:rPr>
          <w:rFonts w:eastAsia="IRNazanin" w:cs="IRNazanin"/>
          <w:color w:val="111111"/>
          <w:sz w:val="28"/>
          <w:szCs w:val="28"/>
          <w:rtl w:val="true"/>
          <w:lang w:bidi="fa-IR"/>
        </w:rPr>
        <w:t>» .</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قتله فی منزله فادّعی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المقتول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نفسَه أو 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ما یجوز مدافعته عنه وأ نّه لم یندفع إلّابالقتل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فعلیه البیّنة أنّ الداخل کان معه سیف مشهور مقبلاً علی ربّ المنزل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لم تشهد بقصده القتل؛ لتعذّر العلم به، فیکتفی بذلک؛ لدلالة القرائن علیه المرجّحة لصدق المدّعی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اطّلع علی عورة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علی </w:t>
      </w:r>
      <w:r>
        <w:rPr>
          <w:rStyle w:val="FootnoteAnchor"/>
          <w:rtl w:val="true"/>
        </w:rPr>
        <w:footnoteReference w:id="1700"/>
      </w:r>
      <w:r>
        <w:rPr>
          <w:rFonts w:ascii="IRNazanin" w:hAnsi="IRNazanin" w:eastAsia="IRNazanin"/>
          <w:color w:val="111111"/>
          <w:sz w:val="28"/>
          <w:sz w:val="28"/>
          <w:szCs w:val="28"/>
          <w:rtl w:val="true"/>
          <w:lang w:bidi="fa-IR"/>
        </w:rPr>
        <w:t xml:space="preserve">وجه امرأة لیست بمحرم للمطّلع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فلهم زجره، فإن امتنع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وأصرّ علی النظر جاز لهم رمیه بما یندفع به، فإن فعلوا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فرموه بحصاة ونحوها فجُنی علیه کان هَدْراً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بَدَروه من غیر زجر ضمنوه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یجوز نظره للمطَّلع علیهم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یُزجر لا غیر، إلّاأن یکون </w:t>
      </w:r>
      <w:r>
        <w:rPr>
          <w:rStyle w:val="FootnoteAnchor"/>
          <w:rtl w:val="true"/>
        </w:rPr>
        <w:footnoteReference w:id="17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المنظور امرأة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مجرّدة، فیجوز رمیه بعد زجره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کالأجنبیّ؛ لمساواته له فی تحریم نظر العورة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ویجب التدرّج </w:t>
      </w:r>
      <w:r>
        <w:rPr>
          <w:rStyle w:val="FootnoteAnchor"/>
          <w:rtl w:val="true"/>
        </w:rPr>
        <w:footnoteReference w:id="1702"/>
      </w:r>
      <w:r>
        <w:rPr>
          <w:rFonts w:ascii="IRNazanin" w:hAnsi="IRNazanin" w:eastAsia="IRNazanin"/>
          <w:color w:val="111111"/>
          <w:sz w:val="28"/>
          <w:sz w:val="28"/>
          <w:szCs w:val="28"/>
          <w:rtl w:val="true"/>
          <w:lang w:bidi="fa-IR"/>
        </w:rPr>
        <w:t>فی المرمیّ به من الأسهل إلی الأقوی علی وجه ینزجر به، فإن لم یندفع إلّابرمیه بما یقتله فهَدْر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فرق بین المطّلع من ملک المنظور وغیره حتّی الطریق وملک الناظر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 المنظور فی الطریق لم یکن له رمی من ینظر إلیه؛ لتفریطه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له زجره؛ لتحریم نظره مطلقاً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ویجوز دفع الدابّة الصائلة عن نفسه، فلو تلفت بالدفع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یتوقّف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ضمان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لم تندفع إلّابالقتل جاز قتلها ابتداءً، ولا ضمان</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أدّب الصبیّ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مطلق الولد الصغیر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ولیُّه أو الزوجةَ زوجُها فماتا ضمن دیتهما فی ماله علی 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جزم به فی الدروس </w:t>
      </w:r>
      <w:r>
        <w:rPr>
          <w:rStyle w:val="FootnoteAnchor"/>
          <w:rtl w:val="true"/>
        </w:rPr>
        <w:footnoteReference w:id="1703"/>
      </w:r>
      <w:r>
        <w:rPr>
          <w:rFonts w:ascii="IRNazanin" w:hAnsi="IRNazanin" w:eastAsia="IRNazanin"/>
          <w:color w:val="111111"/>
          <w:sz w:val="28"/>
          <w:sz w:val="28"/>
          <w:szCs w:val="28"/>
          <w:rtl w:val="true"/>
          <w:lang w:bidi="fa-IR"/>
        </w:rPr>
        <w:t>لاشتراط التأدیب بالسلامة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ویحتمل عدم الضمان؛ للإذن فیه فلا یتعقّبه ضمان حیث لا تفریط کتأدیب الحاکم، وکذا معلّم الصبْیة</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عضّ علی ید غیره فانتزعها فندرت أسنانه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بالنون أی سقطت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لتعدّیه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للمعضوض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التخلّص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باللکم والجرح، ثمّ السکّین والخنجر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ونحوها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متدرّجاً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دفعه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الأیسر فالأیسر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انتقل إلی الصعب مع إمکان ما دونه ضمن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لم یندفع إلّابالقتل فعل ولا ضمان</w:t>
      </w:r>
      <w:r>
        <w:rPr>
          <w:rFonts w:eastAsia="IRNazanin" w:cs="IRNazanin"/>
          <w:color w:val="111111"/>
          <w:sz w:val="28"/>
          <w:szCs w:val="28"/>
          <w:rtl w:val="true"/>
          <w:lang w:bidi="fa-IR"/>
        </w:rPr>
        <w:t>.</w:t>
      </w:r>
      <w:bookmarkStart w:id="580" w:name="pg19815_253390"/>
    </w:p>
    <w:p>
      <w:pPr>
        <w:pStyle w:val="Heading2"/>
        <w:numPr>
          <w:ilvl w:val="1"/>
          <w:numId w:val="1"/>
        </w:numPr>
        <w:rPr/>
      </w:pPr>
      <w:bookmarkStart w:id="581" w:name="__RefHeading___Toc2228113_2314609296"/>
      <w:bookmarkStart w:id="582" w:name="_Toc219"/>
      <w:bookmarkEnd w:id="580"/>
      <w:bookmarkEnd w:id="581"/>
      <w:r>
        <w:rPr>
          <w:rtl w:val="true"/>
        </w:rPr>
        <w:t>کتاب القصاص</w:t>
      </w:r>
      <w:bookmarkEnd w:id="582"/>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83" w:name="__RefHeading___Toc2228115_2314609296"/>
      <w:bookmarkStart w:id="584" w:name="_Toc220"/>
      <w:bookmarkEnd w:id="583"/>
      <w:r>
        <w:rPr>
          <w:rtl w:val="true"/>
        </w:rPr>
        <w:t>اشارة</w:t>
      </w:r>
      <w:bookmarkStart w:id="585" w:name="pg19815_253392"/>
      <w:bookmarkEnd w:id="584"/>
    </w:p>
    <w:p>
      <w:pPr>
        <w:pStyle w:val="BookText"/>
        <w:rPr/>
      </w:pPr>
      <w:bookmarkEnd w:id="58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القصاص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بالکسر، وهو اسم لاستیفاء مثل الجنایة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قتل أو قطع أو ضرب أو جرح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وأصله اقتفاء الأثر،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 أثرَه إذا تبعه، فکأنّ المقتصّ یتبع أثر الجانی فیفعل مثل فعله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وفیه فصول</w:t>
      </w:r>
      <w:r>
        <w:rPr>
          <w:rFonts w:eastAsia="IRNazanin" w:cs="IRNazanin"/>
          <w:color w:val="111111"/>
          <w:sz w:val="28"/>
          <w:szCs w:val="28"/>
          <w:rtl w:val="true"/>
          <w:lang w:bidi="fa-IR"/>
        </w:rPr>
        <w:t>» :</w:t>
      </w:r>
    </w:p>
    <w:p>
      <w:pPr>
        <w:pStyle w:val="Heading3"/>
        <w:numPr>
          <w:ilvl w:val="2"/>
          <w:numId w:val="1"/>
        </w:numPr>
        <w:rPr/>
      </w:pPr>
      <w:bookmarkStart w:id="586" w:name="__RefHeading___Toc2228117_2314609296"/>
      <w:bookmarkStart w:id="587" w:name="_Toc221"/>
      <w:bookmarkEnd w:id="586"/>
      <w:r>
        <w:rPr>
          <w:rtl w:val="true"/>
        </w:rPr>
        <w:t xml:space="preserve">الفصل </w:t>
      </w:r>
      <w:r>
        <w:rPr>
          <w:rtl w:val="true"/>
        </w:rPr>
        <w:t>«</w:t>
      </w:r>
      <w:r>
        <w:rPr>
          <w:rtl w:val="true"/>
        </w:rPr>
        <w:t>الأوّل</w:t>
      </w:r>
      <w:r>
        <w:rPr>
          <w:rtl w:val="true"/>
        </w:rPr>
        <w:t>» «</w:t>
      </w:r>
      <w:r>
        <w:rPr>
          <w:rtl w:val="true"/>
        </w:rPr>
        <w:t>فی قصاص النفس</w:t>
      </w:r>
      <w:r>
        <w:rPr>
          <w:rtl w:val="true"/>
        </w:rPr>
        <w:t>»</w:t>
      </w:r>
      <w:bookmarkEnd w:id="587"/>
    </w:p>
    <w:p>
      <w:pPr>
        <w:pStyle w:val="Heading4"/>
        <w:numPr>
          <w:ilvl w:val="3"/>
          <w:numId w:val="1"/>
        </w:numPr>
        <w:rPr/>
      </w:pPr>
      <w:bookmarkStart w:id="588" w:name="__RefHeading___Toc2228119_2314609296"/>
      <w:bookmarkStart w:id="589" w:name="_Toc222"/>
      <w:bookmarkEnd w:id="588"/>
      <w:r>
        <w:rPr>
          <w:rtl w:val="true"/>
        </w:rPr>
        <w:t>[«</w:t>
      </w:r>
      <w:r>
        <w:rPr>
          <w:rtl w:val="true"/>
        </w:rPr>
        <w:t>وموجبه</w:t>
      </w:r>
      <w:r>
        <w:rPr>
          <w:rtl w:val="true"/>
        </w:rPr>
        <w:t>:]</w:t>
      </w:r>
      <w:bookmarkEnd w:id="589"/>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وموجبه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إزهاق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إخراجها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الجوهری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زهقت نفسه زهوقاً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خرجت </w:t>
      </w:r>
      <w:r>
        <w:rPr>
          <w:rStyle w:val="FootnoteAnchor"/>
          <w:rtl w:val="true"/>
        </w:rPr>
        <w:footnoteReference w:id="1704"/>
      </w:r>
      <w:r>
        <w:rPr>
          <w:rFonts w:ascii="IRNazanin" w:hAnsi="IRNazanin" w:eastAsia="IRNazanin"/>
          <w:color w:val="111111"/>
          <w:sz w:val="28"/>
          <w:sz w:val="28"/>
          <w:szCs w:val="28"/>
          <w:rtl w:val="true"/>
          <w:lang w:bidi="fa-IR"/>
        </w:rPr>
        <w:t xml:space="preserve">وهو هنا مجاز فی إخراجها عن التعلّق بالبدن؛ إذ لیست داخلة فیه حقیقة کما حقّق فی محلّه </w:t>
      </w:r>
      <w:r>
        <w:rPr>
          <w:rStyle w:val="FootnoteAnchor"/>
          <w:rtl w:val="true"/>
        </w:rPr>
        <w:footnoteReference w:id="17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المعصومة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لا یجوز إتلافها </w:t>
      </w:r>
      <w:r>
        <w:rPr>
          <w:rStyle w:val="FootnoteAnchor"/>
          <w:rtl w:val="true"/>
        </w:rPr>
        <w:footnoteReference w:id="1706"/>
      </w:r>
    </w:p>
    <w:p>
      <w:pPr>
        <w:pStyle w:val="BookText"/>
        <w:rPr/>
      </w:pPr>
      <w:r>
        <w:rPr>
          <w:rFonts w:ascii="IRNazanin" w:hAnsi="IRNazanin" w:eastAsia="IRNazanin"/>
          <w:color w:val="111111"/>
          <w:sz w:val="28"/>
          <w:sz w:val="28"/>
          <w:szCs w:val="28"/>
          <w:rtl w:val="true"/>
          <w:lang w:bidi="fa-IR"/>
        </w:rPr>
        <w:t xml:space="preserve">مأخوذ من العَصْم وهو المنع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المکافئة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لنفس المزهق لها فی الإسلام والحرّیّة، وغیرهما من الاعتبارات الآتیة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قید فی الإزهاق أی إزهاقها فی حالة العمد، وسیأتی تفسیره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عدواناً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احترز به عن نحو المقتول قصاصاً، فإنّه یصدق علیه التعریف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لا عدوان فیه، فخرج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ویمکن إخراجه بقید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المعصومة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غیر المعصوم أعمّ من کونه بالأصل کالحربی، والعارض کالقاتل علی وجهٍ یوجب القصاص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ولکنّه أراد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المعصومة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لا یباح إزهاقها للکلّ، وبالقید الأخیر إخراج ما یباح قتله بالنسبة إلی شخص دون آخر، فإنّ القاتل معصوم بالنسبة إلی غیر ولیّ القصاص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أن یرید بالعدوان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إخراج فعل الصبیّ والمجنون، فإنّ قتلهما للنفس المعصومة المکافئة لا یوجب علیهما القصاص؛ لأنّه لا یُعدّ عدواناً، لعدم التکلیف وإن استحقّا التأدیب حسماً للجرأة، فإنّ العدوان هنا بمعنی الظلم المحرَّم وهو منفیّ عنهما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لاحظ فی العدوان المعنی السابق احتاج فی إخراجهما إلی قید آخر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إزهاق البالغ العاقل النفس المعصومة</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rtl w:val="true"/>
          <w:lang w:bidi="fa-IR"/>
        </w:rPr>
        <w:t>ویمکن إخراجهما بقید العمد، لما سیأتی من تفسیره بأ نّه قصد البالغ</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وهو أوفق بالعبارة</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قَوَد بقتل المرتدّ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ونحوه من الکفّار الذین لا عصمة لنفوسهم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الواو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القصاص سُمّی قوداً؛ لأنّهم یقودون الجانی بحبل وغیره، قاله الأزهری </w:t>
      </w:r>
      <w:r>
        <w:rPr>
          <w:rStyle w:val="FootnoteAnchor"/>
          <w:rtl w:val="true"/>
        </w:rPr>
        <w:footnoteReference w:id="17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بقتل غیر المکافئ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کالعبد بالنسبة إلی الحرّ</w:t>
      </w:r>
      <w:r>
        <w:rPr>
          <w:rFonts w:eastAsia="IRNazanin" w:cs="IRNazanin"/>
          <w:color w:val="111111"/>
          <w:sz w:val="28"/>
          <w:szCs w:val="28"/>
          <w:rtl w:val="true"/>
          <w:lang w:bidi="fa-IR"/>
        </w:rPr>
        <w:t>.</w:t>
      </w:r>
      <w:bookmarkStart w:id="590" w:name="pg19815_253394"/>
    </w:p>
    <w:p>
      <w:pPr>
        <w:pStyle w:val="BookText"/>
        <w:rPr/>
      </w:pPr>
      <w:bookmarkEnd w:id="590"/>
      <w:r>
        <w:rPr>
          <w:rFonts w:ascii="IRNazanin" w:hAnsi="IRNazanin" w:eastAsia="IRNazanin"/>
          <w:color w:val="111111"/>
          <w:sz w:val="28"/>
          <w:sz w:val="28"/>
          <w:szCs w:val="28"/>
          <w:rtl w:val="true"/>
          <w:lang w:bidi="fa-IR"/>
        </w:rPr>
        <w:t>وإزهاق نفس الدابّة المحترمة بغیر إذن المالک وإن کان محرَّماً، إلّاأ نّه یمکن إخراجه بالمعصومة حیث یراد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لا یجوز إتلافه مطلقاً، ولو اُرید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لا یجوز إتلافه لشخص دون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خرجت بالمکافئة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وخرج بقید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القتل خطأً وشبهه فإنّه لا قصاص فیهما</w:t>
      </w:r>
      <w:r>
        <w:rPr>
          <w:rFonts w:eastAsia="IRNazanin" w:cs="IRNazanin"/>
          <w:color w:val="111111"/>
          <w:sz w:val="28"/>
          <w:szCs w:val="28"/>
          <w:rtl w:val="true"/>
          <w:lang w:bidi="fa-IR"/>
        </w:rPr>
        <w:t>.</w:t>
      </w:r>
    </w:p>
    <w:p>
      <w:pPr>
        <w:pStyle w:val="Heading4"/>
        <w:numPr>
          <w:ilvl w:val="3"/>
          <w:numId w:val="1"/>
        </w:numPr>
        <w:rPr/>
      </w:pPr>
      <w:bookmarkStart w:id="591" w:name="__RefHeading___Toc2228121_2314609296"/>
      <w:bookmarkStart w:id="592" w:name="_Toc223"/>
      <w:bookmarkEnd w:id="591"/>
      <w:r>
        <w:rPr>
          <w:rtl w:val="true"/>
        </w:rPr>
        <w:t>[</w:t>
      </w:r>
      <w:r>
        <w:rPr>
          <w:rtl w:val="true"/>
        </w:rPr>
        <w:t xml:space="preserve">بعض الصور العمد فی القتل </w:t>
      </w:r>
      <w:r>
        <w:rPr>
          <w:rtl w:val="true"/>
        </w:rPr>
        <w:t>]</w:t>
      </w:r>
      <w:bookmarkEnd w:id="59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والعمد یحصل بقصد البالغ إلی القتل بما یقتل غالباً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وینبغی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لأنّ عمد المجنون خطأ کالصبیّ، بل هو أولی بعدم القصد من الصبی الممیّز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وبعض الأصحاب جعل العمد هو القصد إلی القتل</w:t>
      </w:r>
      <w:r>
        <w:rPr>
          <w:rFonts w:eastAsia="IRNazanin" w:cs="IRNazanin"/>
          <w:color w:val="111111"/>
          <w:sz w:val="28"/>
          <w:szCs w:val="28"/>
          <w:rtl w:val="true"/>
          <w:lang w:bidi="fa-IR"/>
        </w:rPr>
        <w:t xml:space="preserve">. . . </w:t>
      </w:r>
      <w:r>
        <w:rPr>
          <w:rStyle w:val="FootnoteAnchor"/>
          <w:rtl w:val="true"/>
        </w:rPr>
        <w:footnoteReference w:id="1708"/>
      </w:r>
      <w:r>
        <w:rPr>
          <w:rFonts w:ascii="IRNazanin" w:hAnsi="IRNazanin" w:eastAsia="IRNazanin"/>
          <w:color w:val="111111"/>
          <w:sz w:val="28"/>
          <w:sz w:val="28"/>
          <w:szCs w:val="28"/>
          <w:rtl w:val="true"/>
          <w:lang w:bidi="fa-IR"/>
        </w:rPr>
        <w:t>من غیر اعتبار القیدین نظراً إلی إمکان قصدهما الفعل، فاحتاج إلی تقیید ما یوجب القصاص بإزهاق البالغ العاقل، کما مرّ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نادراً</w:t>
      </w:r>
      <w:r>
        <w:rPr>
          <w:rFonts w:eastAsia="IRNazanin" w:cs="IRNazanin"/>
          <w:color w:val="111111"/>
          <w:sz w:val="28"/>
          <w:szCs w:val="28"/>
          <w:rtl w:val="true"/>
          <w:lang w:bidi="fa-IR"/>
        </w:rPr>
        <w:t xml:space="preserve">» </w:t>
      </w:r>
      <w:r>
        <w:rPr>
          <w:rStyle w:val="FootnoteAnchor"/>
          <w:rtl w:val="true"/>
        </w:rPr>
        <w:footnoteReference w:id="1709"/>
      </w:r>
      <w:r>
        <w:rPr>
          <w:rFonts w:ascii="IRNazanin" w:hAnsi="IRNazanin" w:eastAsia="IRNazanin"/>
          <w:color w:val="111111"/>
          <w:sz w:val="28"/>
          <w:sz w:val="28"/>
          <w:szCs w:val="28"/>
          <w:rtl w:val="true"/>
          <w:lang w:bidi="fa-IR"/>
        </w:rPr>
        <w:t xml:space="preserve">إذا اتّفق به القتل، نظراً إلی أنّ العمد یتحقّق بقصد القتل من غیر نظر إلی الآلة، فیدخل فی عموم أدلّة العمد </w:t>
      </w:r>
      <w:r>
        <w:rPr>
          <w:rStyle w:val="FootnoteAnchor"/>
          <w:rtl w:val="true"/>
        </w:rPr>
        <w:footnoteReference w:id="1710"/>
      </w:r>
      <w:r>
        <w:rPr>
          <w:rFonts w:ascii="IRNazanin" w:hAnsi="IRNazanin" w:eastAsia="IRNazanin"/>
          <w:color w:val="111111"/>
          <w:sz w:val="28"/>
          <w:sz w:val="28"/>
          <w:szCs w:val="28"/>
          <w:rtl w:val="true"/>
          <w:lang w:bidi="fa-IR"/>
        </w:rPr>
        <w:t>وهذا أقوی</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وإذا لم یقصد القتل بالنادر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بما یقع القتل به نادراً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قَوَد وإن اتّفق الموت کالضرب بالعود الخفیف أو العصا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الخفیفة فی غیر مقتل بغیر قصد القتل؛ لانتفاء القصد إلی القتل وانتفاء القتل بذلک عادة، فیکون القتل</w:t>
      </w:r>
    </w:p>
    <w:p>
      <w:pPr>
        <w:pStyle w:val="BookText"/>
        <w:rPr/>
      </w:pPr>
      <w:r>
        <w:rPr>
          <w:rFonts w:ascii="IRNazanin" w:hAnsi="IRNazanin" w:eastAsia="IRNazanin"/>
          <w:color w:val="111111"/>
          <w:sz w:val="28"/>
          <w:sz w:val="28"/>
          <w:szCs w:val="28"/>
          <w:rtl w:val="true"/>
          <w:lang w:bidi="fa-IR"/>
        </w:rPr>
        <w:t>شبیه الخطأ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وللشیخ قول بأ نّه هنا عمدٌ </w:t>
      </w:r>
      <w:r>
        <w:rPr>
          <w:rStyle w:val="FootnoteAnchor"/>
          <w:rtl w:val="true"/>
        </w:rPr>
        <w:footnoteReference w:id="1711"/>
      </w:r>
      <w:r>
        <w:rPr>
          <w:rFonts w:ascii="IRNazanin" w:hAnsi="IRNazanin" w:eastAsia="IRNazanin"/>
          <w:color w:val="111111"/>
          <w:sz w:val="28"/>
          <w:sz w:val="28"/>
          <w:szCs w:val="28"/>
          <w:rtl w:val="true"/>
          <w:lang w:bidi="fa-IR"/>
        </w:rPr>
        <w:t xml:space="preserve">استناداً إلی روایات ضعیفة أو مرسلة </w:t>
      </w:r>
      <w:r>
        <w:rPr>
          <w:rStyle w:val="FootnoteAnchor"/>
          <w:rtl w:val="true"/>
        </w:rPr>
        <w:footnoteReference w:id="1712"/>
      </w:r>
      <w:r>
        <w:rPr>
          <w:rFonts w:ascii="IRNazanin" w:hAnsi="IRNazanin" w:eastAsia="IRNazanin"/>
          <w:color w:val="111111"/>
          <w:sz w:val="28"/>
          <w:sz w:val="28"/>
          <w:szCs w:val="28"/>
          <w:rtl w:val="true"/>
          <w:lang w:bidi="fa-IR"/>
        </w:rPr>
        <w:t>لا تُعتَمد فی الدماء المعصومة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لو کرّر ضربه بما لا یحتمله </w:t>
      </w:r>
      <w:r>
        <w:rPr>
          <w:rStyle w:val="FootnoteAnchor"/>
          <w:rtl w:val="true"/>
        </w:rPr>
        <w:footnoteReference w:id="1713"/>
      </w:r>
      <w:r>
        <w:rPr>
          <w:rFonts w:ascii="IRNazanin" w:hAnsi="IRNazanin" w:eastAsia="IRNazanin"/>
          <w:color w:val="111111"/>
          <w:sz w:val="28"/>
          <w:sz w:val="28"/>
          <w:szCs w:val="28"/>
          <w:rtl w:val="true"/>
          <w:lang w:bidi="fa-IR"/>
        </w:rPr>
        <w:t>مثله بالنسبة إلی بدنه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لصغره أو مرضه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لشدّة الحرّ أو البرد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عمد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حینئذٍ یکون الضرب بحسب العوارض بما یقتل غالباً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وکذا لو ضربه دون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غیر أن یقصد قتله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فأعقبه مرضاً ومات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الضرب مع المرض ممّا یحصل معه التلف، والمرض مسبَّب عنه وإن کان لا یوجبه منفرداً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ویشکل بتخلّف الأمرین معاً، وهما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القصد إلی القتل وکون الفعل ممّا یَقتُل غالباً، والسببیّة غیر کافیة فی العمدیّة، کما إذا اتّفق الموت بالضرب بالعود الخفیف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اعتبر هنا القصد لم یشترط أن یتعقّبه المرض</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رماه بسهم أو بحجر غامز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کابس </w:t>
      </w:r>
      <w:r>
        <w:rPr>
          <w:rStyle w:val="FootnoteAnchor"/>
          <w:rtl w:val="true"/>
        </w:rPr>
        <w:footnoteReference w:id="1714"/>
      </w:r>
      <w:r>
        <w:rPr>
          <w:rFonts w:ascii="IRNazanin" w:hAnsi="IRNazanin" w:eastAsia="IRNazanin"/>
          <w:color w:val="111111"/>
          <w:sz w:val="28"/>
          <w:sz w:val="28"/>
          <w:szCs w:val="28"/>
          <w:rtl w:val="true"/>
          <w:lang w:bidi="fa-IR"/>
        </w:rPr>
        <w:t xml:space="preserve">علی البدن لثقله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خنقه بحبل ولم یُرخِ عنه حتّی مات، أو بقی المخنوق ضَمِناً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الضاد وکسر المیم، أی مزمناً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طرحه فی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فمات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إلّاأن یُعلم قدرته علی الخروج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لقلّتها، أو کونه فی طرفها یمکنه الخروج بأدنی حرکة</w:t>
      </w:r>
    </w:p>
    <w:p>
      <w:pPr>
        <w:pStyle w:val="BookText"/>
        <w:rPr/>
      </w:pPr>
      <w:r>
        <w:rPr>
          <w:rFonts w:ascii="IRNazanin" w:hAnsi="IRNazanin" w:eastAsia="IRNazanin"/>
          <w:color w:val="111111"/>
          <w:sz w:val="28"/>
          <w:sz w:val="28"/>
          <w:szCs w:val="28"/>
          <w:rtl w:val="true"/>
          <w:lang w:bidi="fa-IR"/>
        </w:rPr>
        <w:t>فیترک؛ لأنّه حینئذٍ قاتل نفسه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اللُجّة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فمات منها ولم یقدر علی الخروج أیضاً</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rtl w:val="true"/>
          <w:lang w:bidi="fa-IR"/>
        </w:rPr>
        <w:t xml:space="preserve">وربما فُرّق بینهما واُوجب ضمان الدیة فی الأوّل دون الثانی </w:t>
      </w:r>
      <w:r>
        <w:rPr>
          <w:rStyle w:val="FootnoteAnchor"/>
          <w:rtl w:val="true"/>
        </w:rPr>
        <w:footnoteReference w:id="1715"/>
      </w:r>
      <w:r>
        <w:rPr>
          <w:rFonts w:ascii="IRNazanin" w:hAnsi="IRNazanin" w:eastAsia="IRNazanin"/>
          <w:color w:val="111111"/>
          <w:sz w:val="28"/>
          <w:sz w:val="28"/>
          <w:szCs w:val="28"/>
          <w:rtl w:val="true"/>
          <w:lang w:bidi="fa-IR"/>
        </w:rPr>
        <w:t>لأنّ الماء لا یحدث به ضرر بمجرّد دخوله، بخلاف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ویتّجه وجوبها مع عدم العلم باستناد الترک إلی تقصیره؛ لأنّ النار قد تدهشه وتُشنّج أعضاءه بالملاقاة فلا یظفر بوجه المخلص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لم یمکنه الخروج من الماء إلّاإلی مغرق آخر فکعدمه، وکذا من أحدهما </w:t>
      </w:r>
      <w:r>
        <w:rPr>
          <w:rStyle w:val="FootnoteAnchor"/>
          <w:rtl w:val="true"/>
        </w:rPr>
        <w:footnoteReference w:id="1716"/>
      </w:r>
      <w:r>
        <w:rPr>
          <w:rFonts w:ascii="IRNazanin" w:hAnsi="IRNazanin" w:eastAsia="IRNazanin"/>
          <w:color w:val="111111"/>
          <w:sz w:val="28"/>
          <w:sz w:val="28"/>
          <w:szCs w:val="28"/>
          <w:rtl w:val="true"/>
          <w:lang w:bidi="fa-IR"/>
        </w:rPr>
        <w:t>إلی الآخر أو ما فی حکمه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ویرجع فی القدرة وعدمها إلی إقراره بها، أو قرائن الأحوال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جرحه عمداً فسری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الجرح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أمکنه المداواة؛ لأنّ السرایة مع ترکها من الجرح المضمون، بخلاف المُلقی فی النار مع القدرة علی الخروج فتَرَکه تخاذلاً؛ لأنّ التلف حینئذٍ مستند إلی الاحتراق المتجدّد، ولولا المکث لما حصل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وأولی منه ما لو غرق بالماء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ومثله ما لو فصده فترک المفصودُ شدَّه؛ لأنّ خروج الدم هو المهلک والفاصد سببه </w:t>
      </w:r>
      <w:r>
        <w:rPr>
          <w:rStyle w:val="FootnoteAnchor"/>
          <w:rtl w:val="true"/>
        </w:rPr>
        <w:footnoteReference w:id="1717"/>
      </w:r>
      <w:r>
        <w:rPr>
          <w:rFonts w:ascii="IRNazanin" w:hAnsi="IRNazanin" w:eastAsia="IRNazanin"/>
          <w:color w:val="111111"/>
          <w:sz w:val="28"/>
          <w:sz w:val="28"/>
          <w:szCs w:val="28"/>
          <w:rtl w:val="true"/>
          <w:lang w:bidi="fa-IR"/>
        </w:rPr>
        <w:t>ویحتمل کونه کالنار؛ لأنّ التلف مستند إلی خروج الدم المتجدّد الممکن قطعه بالشدّ</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ألقی نفسه من علوٍ علی 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فقتله قصداً، أو کان مثله یَقتُل</w:t>
      </w:r>
    </w:p>
    <w:p>
      <w:pPr>
        <w:pStyle w:val="BookText"/>
        <w:rPr/>
      </w:pPr>
      <w:r>
        <w:rPr>
          <w:rFonts w:ascii="IRNazanin" w:hAnsi="IRNazanin" w:eastAsia="IRNazanin"/>
          <w:color w:val="111111"/>
          <w:sz w:val="28"/>
          <w:sz w:val="28"/>
          <w:szCs w:val="28"/>
          <w:rtl w:val="true"/>
          <w:lang w:bidi="fa-IR"/>
        </w:rPr>
        <w:t>غالباً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 المُلقی له غیره بقصد قتل الأسفل قیدَ به مطلقاً وبالواقع إن کان الوقوع ممّا یقتل غالباً، وإلّا ضمن دیته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انعکس انعکس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ألقاه من مکان شاهق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یقتل غالباً، أو مع قصد قتله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قدّم إلیه طعاماً مسموماً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یقتُل مثلُه کمّیّةً وکیفیّةً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یُعلمه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جعله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الطعامَ المسمومَ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منزله ولم یُعلِمه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ولو کان السمّ ممّا یقتل کثیره خاصّة فقدّم إلیه قلیلَه بقصد القتل فکالکثیر، وإلّا فلا، ویختلف باختلاف الأمزجة والخلیط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لو وضعه فی طعام نفسه أو فی ملکه، فأکله غیره بغیر إذنه فلا ضَمان، سواء قصد بوضعه قتل الآکل کما لو علم دخول الغیر داره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کاللصّ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لا، وکذا لو دخل بإذنه وأکله بغیر إذنه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حفر بئراً بعیدة القعر فی 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فی بیته بحیث یقتل وقوعها غالباً، أو قصَدَه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ودعا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المرور علیها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جهالته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فوقع فمات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لو دخل بغیر إذنه فوقع فیها فلا ضمان وإن وضعها لأجل وقوعه، کما لو وضعها للّص</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ألقاه فی البحر فالتقمه الحوت إذا قصد إلقامَ الحوت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کان وجوده والتقامه غالباً فی ذلک الماء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لم یقصد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إلقامَه ولا کان غالباً فاتّفق ذلک ضمنه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قولٍ </w:t>
      </w:r>
      <w:r>
        <w:rPr>
          <w:rStyle w:val="FootnoteAnchor"/>
          <w:rtl w:val="true"/>
        </w:rPr>
        <w:footnoteReference w:id="17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الإلقاء کافٍ فی الضمان، وفعل الحوت أمر زائد علیه، کنصل منصوب فی عُمق البئر الذی یقتل غالباً، ولأنّ البحر مظنّة الحوت، فیکون قصد إلقائه فی البحر کقصد إلقامه الحوت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ووجه العدم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السبب الذی قصده لم یُقتَل به والذی قُتِل به غیر مقصود، فلا یکون عمداً وإن أوجب الدیة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وحکایةُ المصنّف له قولاً یُشعر بتمریضه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قطع به العلّامة </w:t>
      </w:r>
      <w:r>
        <w:rPr>
          <w:rStyle w:val="FootnoteAnchor"/>
          <w:rtl w:val="true"/>
        </w:rPr>
        <w:footnoteReference w:id="1719"/>
      </w:r>
      <w:r>
        <w:rPr>
          <w:rFonts w:ascii="IRNazanin" w:hAnsi="IRNazanin" w:eastAsia="IRNazanin"/>
          <w:color w:val="111111"/>
          <w:sz w:val="28"/>
          <w:sz w:val="28"/>
          <w:szCs w:val="28"/>
          <w:rtl w:val="true"/>
          <w:lang w:bidi="fa-IR"/>
        </w:rPr>
        <w:t>وهو حسن؛ لأنّ الفرض کون الإلقاء موجباً للضمان کما ظهر من التعلیل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وکذا الخلاف لو التقمه الحوت قبل وصوله إلی الماء </w:t>
      </w:r>
      <w:r>
        <w:rPr>
          <w:rStyle w:val="FootnoteAnchor"/>
          <w:rtl w:val="true"/>
        </w:rPr>
        <w:footnoteReference w:id="1720"/>
      </w:r>
      <w:r>
        <w:rPr>
          <w:rFonts w:ascii="IRNazanin" w:hAnsi="IRNazanin" w:eastAsia="IRNazanin"/>
          <w:color w:val="111111"/>
          <w:sz w:val="28"/>
          <w:sz w:val="28"/>
          <w:szCs w:val="28"/>
          <w:rtl w:val="true"/>
          <w:lang w:bidi="fa-IR"/>
        </w:rPr>
        <w:t xml:space="preserve">من حیث إنّ الإلقاء فی البحر إتلاف فی العادة </w:t>
      </w:r>
      <w:r>
        <w:rPr>
          <w:rStyle w:val="FootnoteAnchor"/>
          <w:rtl w:val="true"/>
        </w:rPr>
        <w:footnoteReference w:id="1721"/>
      </w:r>
      <w:r>
        <w:rPr>
          <w:rFonts w:ascii="IRNazanin" w:hAnsi="IRNazanin" w:eastAsia="IRNazanin"/>
          <w:color w:val="111111"/>
          <w:sz w:val="28"/>
          <w:sz w:val="28"/>
          <w:szCs w:val="28"/>
          <w:rtl w:val="true"/>
          <w:lang w:bidi="fa-IR"/>
        </w:rPr>
        <w:t>وعدم قصد إتلافه بهذا النوع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والأوّل أقوی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أغری به کلباً عقوراً فقتله ولا یمکنه التخلّص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أمکن بالهرب أو قتلِه أو الصیاح به ونحوه فلا قَوَد؛ لأنّه أعان علی نفسه بالتفریط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کان التخلّص الممکن من مطلق أذاه فکإلقائه فی الماء فیموت مع قدرته علی الخروج، وإن لم یمکن إلّابعد عضّةٍ لا یقتُل مثلُها فکإلقائه فی النار کذلک، فیضمن جنایة لا یمکن دفعها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ألقاه إلی أسد بحیث لا یمکنه الفرارُ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 فقتله، سواء کان فی مضیق أم بریّة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أنهشه حیّةً قاتلة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طرحها علیه فنهشته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فهلک أو جمع بینه وبینها فی مضیق؛ لأنّه ممّا یقتُل غالباً</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دفعه فی بئر حفرها الغیر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متعدّیاً بحفرها أم غیر متعدٍّ فی حالة کون الدافع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عالماً بالبئر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مباشر للقتل فیُقدَّم علی السبب لو کان</w:t>
      </w:r>
      <w:bookmarkStart w:id="593" w:name="pg19815_253399"/>
    </w:p>
    <w:p>
      <w:pPr>
        <w:pStyle w:val="BookText"/>
        <w:rPr/>
      </w:pPr>
      <w:bookmarkEnd w:id="59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w:t>
      </w:r>
    </w:p>
    <w:p>
      <w:pPr>
        <w:pStyle w:val="BookText"/>
        <w:rPr/>
      </w:pPr>
      <w:r>
        <w:rPr>
          <w:rFonts w:ascii="IRNazanin" w:hAnsi="IRNazanin" w:eastAsia="IRNazanin"/>
          <w:color w:val="111111"/>
          <w:sz w:val="28"/>
          <w:sz w:val="28"/>
          <w:szCs w:val="28"/>
          <w:rtl w:val="true"/>
          <w:lang w:bidi="fa-IR"/>
        </w:rPr>
        <w:t>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الدافع بالبئر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قصاص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لعدم القصد إلی القتل حینئذٍ </w:t>
      </w:r>
      <w:r>
        <w:rPr>
          <w:rStyle w:val="FootnoteAnchor"/>
          <w:rtl w:val="true"/>
        </w:rPr>
        <w:footnoteReference w:id="1722"/>
      </w:r>
      <w:r>
        <w:rPr>
          <w:rFonts w:ascii="IRNazanin" w:hAnsi="IRNazanin" w:eastAsia="IRNazanin"/>
          <w:color w:val="111111"/>
          <w:sz w:val="28"/>
          <w:sz w:val="28"/>
          <w:szCs w:val="28"/>
          <w:rtl w:val="true"/>
          <w:lang w:bidi="fa-IR"/>
        </w:rPr>
        <w:t xml:space="preserve">لکن علیه الدیة؛ لأنّه شبیه عمد </w:t>
      </w:r>
      <w:r>
        <w:rPr>
          <w:rStyle w:val="FootnoteAnchor"/>
          <w:rtl w:val="true"/>
        </w:rPr>
        <w:footnoteReference w:id="17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شهد علیه زوراً بموجب القصاص فاقتُصّ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لضعف المباشر بإباحة الفعل بالنسبة إلیه فیرجَّح السبب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إلّاأن یعلم الولیّ التزویر ویباشر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فالقصاص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حینئذٍ قاتل عمداً بغیر حقّ</w:t>
      </w:r>
      <w:r>
        <w:rPr>
          <w:rFonts w:eastAsia="IRNazanin" w:cs="IRNazanin"/>
          <w:color w:val="111111"/>
          <w:sz w:val="28"/>
          <w:szCs w:val="28"/>
          <w:rtl w:val="true"/>
          <w:lang w:bidi="fa-IR"/>
        </w:rPr>
        <w:t>.</w:t>
      </w:r>
    </w:p>
    <w:p>
      <w:pPr>
        <w:pStyle w:val="Heading4"/>
        <w:numPr>
          <w:ilvl w:val="3"/>
          <w:numId w:val="1"/>
        </w:numPr>
        <w:rPr/>
      </w:pPr>
      <w:bookmarkStart w:id="594" w:name="__RefHeading___Toc2228123_2314609296"/>
      <w:bookmarkStart w:id="595" w:name="_Toc224"/>
      <w:bookmarkEnd w:id="594"/>
      <w:r>
        <w:rPr>
          <w:rtl w:val="true"/>
        </w:rPr>
        <w:t>[«</w:t>
      </w:r>
      <w:r>
        <w:rPr>
          <w:rtl w:val="true"/>
        </w:rPr>
        <w:t>وهنا مسائل</w:t>
      </w:r>
      <w:r>
        <w:rPr>
          <w:rtl w:val="true"/>
        </w:rPr>
        <w:t>»]</w:t>
      </w:r>
      <w:bookmarkEnd w:id="595"/>
    </w:p>
    <w:p>
      <w:pPr>
        <w:pStyle w:val="Heading5"/>
        <w:numPr>
          <w:ilvl w:val="4"/>
          <w:numId w:val="1"/>
        </w:numPr>
        <w:rPr/>
      </w:pPr>
      <w:bookmarkStart w:id="596" w:name="__RefHeading___Toc2228125_2314609296"/>
      <w:bookmarkStart w:id="597" w:name="_Toc225"/>
      <w:bookmarkEnd w:id="596"/>
      <w:r>
        <w:rPr>
          <w:rtl w:val="true"/>
        </w:rPr>
        <w:t>«</w:t>
      </w:r>
      <w:r>
        <w:rPr>
          <w:rtl w:val="true"/>
        </w:rPr>
        <w:t xml:space="preserve">الاُولی </w:t>
      </w:r>
      <w:r>
        <w:rPr>
          <w:rtl w:val="true"/>
        </w:rPr>
        <w:t>[</w:t>
      </w:r>
      <w:r>
        <w:rPr>
          <w:rtl w:val="true"/>
        </w:rPr>
        <w:t xml:space="preserve">حکم الاکراه علی القتل </w:t>
      </w:r>
      <w:r>
        <w:rPr>
          <w:rtl w:val="true"/>
        </w:rPr>
        <w:t>] » :</w:t>
      </w:r>
      <w:bookmarkEnd w:id="59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أکرهه علی القتل فالقصاص علی المباشر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القاتل عمداً ظلماً؛ إذ لا یتحقّق حکم الإکراه فی القتل عندنا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وجبت الدیة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لو کان المقتول غیر مکافئ</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فالدیة علی المباشر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الآمر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قصاص علیه ولا دیة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یحبس الآمر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دائماً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یموت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ویدلّ علیه مع الإجماع صحیحة زرارة عن الباقر علیه السلام فی رجل أمر رجلاً بقتل رجل، فقتله؟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یُقتل به الذی قتله، ویُحبس الآمر بقتله فی الحبس حتّی یموت</w:t>
      </w:r>
      <w:r>
        <w:rPr>
          <w:rFonts w:eastAsia="IRNazanin" w:cs="IRNazanin"/>
          <w:color w:val="111111"/>
          <w:sz w:val="28"/>
          <w:szCs w:val="28"/>
          <w:rtl w:val="true"/>
          <w:lang w:bidi="fa-IR"/>
        </w:rPr>
        <w:t xml:space="preserve">» </w:t>
      </w:r>
      <w:r>
        <w:rPr>
          <w:rStyle w:val="FootnoteAnchor"/>
          <w:rtl w:val="true"/>
        </w:rPr>
        <w:footnoteReference w:id="1724"/>
      </w:r>
      <w:r>
        <w:rPr>
          <w:rFonts w:ascii="IRNazanin" w:hAnsi="IRNazanin" w:eastAsia="IRNazanin"/>
          <w:color w:val="111111"/>
          <w:sz w:val="28"/>
          <w:sz w:val="28"/>
          <w:szCs w:val="28"/>
          <w:rtl w:val="true"/>
          <w:lang w:bidi="fa-IR"/>
        </w:rPr>
        <w:t>هذا إذا کان المقهور بالغاً عاقلاً</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أکره الصبیّ غیرَ الممیّز أو المجنون فالقصاص علی مُکرههما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المباشر حینئذٍ کالآلة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فرق فی ذلک بین الحرّ والعبد</w:t>
      </w:r>
      <w:r>
        <w:rPr>
          <w:rFonts w:eastAsia="IRNazanin" w:cs="IRNazanin"/>
          <w:color w:val="111111"/>
          <w:sz w:val="28"/>
          <w:szCs w:val="28"/>
          <w:rtl w:val="true"/>
          <w:lang w:bidi="fa-IR"/>
        </w:rPr>
        <w:t>.</w:t>
      </w:r>
      <w:bookmarkStart w:id="598" w:name="pg19815_253400"/>
    </w:p>
    <w:p>
      <w:pPr>
        <w:pStyle w:val="BookText"/>
        <w:rPr/>
      </w:pPr>
      <w:bookmarkEnd w:id="59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ویمکن الإکراه فیما دون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عملاً بالأصل فی غیر موضع النصّ، کالجَرح وقطع الید، فیسقط القصاص عن المباشر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ویکون القصاص علی المکرِه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بالکسر علی الأقوی؛ لقوّة السبب بضعف المباشر </w:t>
      </w:r>
      <w:r>
        <w:rPr>
          <w:rStyle w:val="FootnoteAnchor"/>
          <w:rtl w:val="true"/>
        </w:rPr>
        <w:footnoteReference w:id="1725"/>
      </w:r>
      <w:r>
        <w:rPr>
          <w:rFonts w:ascii="IRNazanin" w:hAnsi="IRNazanin" w:eastAsia="IRNazanin"/>
          <w:color w:val="111111"/>
          <w:sz w:val="28"/>
          <w:sz w:val="28"/>
          <w:szCs w:val="28"/>
          <w:rtl w:val="true"/>
          <w:lang w:bidi="fa-IR"/>
        </w:rPr>
        <w:t>بالإکراه، خصوصاً لو بلغ الإکراه حدّ الإلجاء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ویحتمل عدم الاقتصاص منه؛ لعدم المباشرة فتجب الدیة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ویضعَّف بأنّ المباشرة أخصّ من سببیّة القصاص، فعدمها أعمّ من عدمه</w:t>
      </w:r>
      <w:r>
        <w:rPr>
          <w:rFonts w:eastAsia="Amiri" w:cs="Amiri" w:ascii="Amiri" w:hAnsi="Amiri"/>
          <w:color w:val="111111"/>
          <w:sz w:val="28"/>
          <w:szCs w:val="28"/>
          <w:rtl w:val="true"/>
          <w:lang w:bidi="ar-SA"/>
        </w:rPr>
        <w:t>.</w:t>
      </w:r>
    </w:p>
    <w:p>
      <w:pPr>
        <w:pStyle w:val="Heading5"/>
        <w:numPr>
          <w:ilvl w:val="4"/>
          <w:numId w:val="1"/>
        </w:numPr>
        <w:rPr/>
      </w:pPr>
      <w:bookmarkStart w:id="599" w:name="__RefHeading___Toc2228127_2314609296"/>
      <w:bookmarkStart w:id="600" w:name="_Toc226"/>
      <w:bookmarkEnd w:id="599"/>
      <w:r>
        <w:rPr>
          <w:rtl w:val="true"/>
        </w:rPr>
        <w:t>«</w:t>
      </w:r>
      <w:r>
        <w:rPr>
          <w:rtl w:val="true"/>
        </w:rPr>
        <w:t xml:space="preserve">الثانیة </w:t>
      </w:r>
      <w:r>
        <w:rPr>
          <w:rtl w:val="true"/>
        </w:rPr>
        <w:t>[</w:t>
      </w:r>
      <w:r>
        <w:rPr>
          <w:rtl w:val="true"/>
        </w:rPr>
        <w:t xml:space="preserve">حکم الاشتراک فی القتل </w:t>
      </w:r>
      <w:r>
        <w:rPr>
          <w:rtl w:val="true"/>
        </w:rPr>
        <w:t>] » :</w:t>
      </w:r>
      <w:bookmarkEnd w:id="60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اشترک فی قتله 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ألقوه من شاهق أو فی بحر أو جرحوه جراحات مجتمعة أو متفرّقة ولو مختلفة کمّیّة وکیفیّة فمات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قُتلوا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جمیعاً إن شاء الولیّ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أن یردّ علیهم ما فضل عن دیته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فیأخذ کلّ واحد ما فضل من </w:t>
      </w:r>
      <w:r>
        <w:rPr>
          <w:rStyle w:val="FootnoteAnchor"/>
          <w:rtl w:val="true"/>
        </w:rPr>
        <w:footnoteReference w:id="1726"/>
      </w:r>
      <w:r>
        <w:rPr>
          <w:rFonts w:ascii="IRNazanin" w:hAnsi="IRNazanin" w:eastAsia="IRNazanin"/>
          <w:color w:val="111111"/>
          <w:sz w:val="28"/>
          <w:sz w:val="28"/>
          <w:szCs w:val="28"/>
          <w:rtl w:val="true"/>
          <w:lang w:bidi="fa-IR"/>
        </w:rPr>
        <w:t xml:space="preserve">دیته عن جنایته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وله قتل البعض، فیردّ الباقون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الدیة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بحسب جنایتهم، فإن فضل للمقتولین 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 ردّه شرکاؤهم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 به الولیّ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اشترک ثلاثة فی قتل واحد واختار ولیّه قتلهم أدّی إلیهم دیتین یقتسمونها بینهم بالسویّة، فنصیب کلّ واحد منهم ثلثا دیة ویسقط ما یخصّه من الجنایة، وهو الثلث الباقی</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ولو قتل اثنین أدّی الثالثُ ثلث الدیة عوض ما یخصّه من الجنایة ویضیف الولیّ إلیه دیة کاملة؛ لیصیر لکلّ واحد من المقتولَین ثلثا دیة، وهو فاضل دیته عن جنایته، ولأنّ الولیّ استوفی نفسین بنفس فیردّ دیة نفس</w:t>
      </w:r>
      <w:r>
        <w:rPr>
          <w:rFonts w:eastAsia="IRNazanin" w:cs="IRNazanin"/>
          <w:color w:val="111111"/>
          <w:sz w:val="28"/>
          <w:szCs w:val="28"/>
          <w:rtl w:val="true"/>
          <w:lang w:bidi="fa-IR"/>
        </w:rPr>
        <w:t>.</w:t>
      </w:r>
      <w:bookmarkStart w:id="601" w:name="pg19815_253401"/>
    </w:p>
    <w:p>
      <w:pPr>
        <w:pStyle w:val="BookText"/>
        <w:rPr/>
      </w:pPr>
      <w:bookmarkEnd w:id="601"/>
      <w:r>
        <w:rPr>
          <w:rFonts w:ascii="IRNazanin" w:hAnsi="IRNazanin" w:eastAsia="IRNazanin"/>
          <w:color w:val="111111"/>
          <w:sz w:val="28"/>
          <w:sz w:val="28"/>
          <w:szCs w:val="28"/>
          <w:rtl w:val="true"/>
          <w:lang w:bidi="fa-IR"/>
        </w:rPr>
        <w:t>ولو قتل واحداً أدّی الباقیان إلی ورثته ثلثی الدیة ولا شیء علی الولیّ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طلب الدیة کانت علیهم بالسویّة إن اتّفقوا علی أدائها، وإلّا فالواجب تسلیم نفس القاتل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مع اتّحاد ولیّ المقتول، أو اتّفاق المتعدّد علی الفعل 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اختلفوا فطلب بعضهم القصاص وبعض الدیة قدّم مختار القصاص بعد ردّ نصیب طالب الدیة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لو عفا البعض، إلّاأنّ الردّ هنا علی القاتل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وستأتی الإشارة إلیه </w:t>
      </w:r>
      <w:r>
        <w:rPr>
          <w:rStyle w:val="FootnoteAnchor"/>
          <w:rtl w:val="true"/>
        </w:rPr>
        <w:footnoteReference w:id="172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02" w:name="__RefHeading___Toc2228129_2314609296"/>
      <w:bookmarkStart w:id="603" w:name="_Toc227"/>
      <w:bookmarkEnd w:id="602"/>
      <w:r>
        <w:rPr>
          <w:rtl w:val="true"/>
        </w:rPr>
        <w:t>«</w:t>
      </w:r>
      <w:r>
        <w:rPr>
          <w:rtl w:val="true"/>
        </w:rPr>
        <w:t xml:space="preserve">الثالثة </w:t>
      </w:r>
      <w:r>
        <w:rPr>
          <w:rtl w:val="true"/>
        </w:rPr>
        <w:t>[</w:t>
      </w:r>
      <w:r>
        <w:rPr>
          <w:rtl w:val="true"/>
        </w:rPr>
        <w:t xml:space="preserve">حکم اشتراک امراتین فی القتل </w:t>
      </w:r>
      <w:r>
        <w:rPr>
          <w:rtl w:val="true"/>
        </w:rPr>
        <w:t>] » :</w:t>
      </w:r>
      <w:bookmarkEnd w:id="60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اشترک فی 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قتل الذکر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امرأتان قُتِلتا به ولا 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لا فاضل لهما عن دیته، وله قتل واحدة وتردّ الاُخری ما قابل جنایتها وهو دیتها علی الولیّ ولا شیء للمقتولة</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اشترک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قتله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خنثیان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إن شاء الولیّ کما یُقتل الرجلان والمرأتان المشترکتان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ویردّ علیهما نصف دیة الرجل بینهما نصفان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دیة کلّ واحد نصف دیة رجل ونصف دیة امرأة، وذلک ثلاثة أرباع دیة الرجل، فالفاضل لکلّ واحد من نفسه عن جنایته ربع دیة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اختار قتل أحدهما ردّ علیه ربع دیةٍ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 xml:space="preserve">] </w:t>
      </w:r>
      <w:r>
        <w:rPr>
          <w:rStyle w:val="FootnoteAnchor"/>
          <w:rtl w:val="true"/>
        </w:rPr>
        <w:footnoteReference w:id="1728"/>
      </w:r>
      <w:r>
        <w:rPr>
          <w:rFonts w:ascii="IRNazanin" w:hAnsi="IRNazanin" w:eastAsia="IRNazanin"/>
          <w:color w:val="111111"/>
          <w:sz w:val="28"/>
          <w:sz w:val="28"/>
          <w:szCs w:val="28"/>
          <w:rtl w:val="true"/>
          <w:lang w:bidi="fa-IR"/>
        </w:rPr>
        <w:t xml:space="preserve">ثلث دیته ودفع الباقی </w:t>
      </w:r>
      <w:r>
        <w:rPr>
          <w:rStyle w:val="FootnoteAnchor"/>
          <w:rtl w:val="true"/>
        </w:rPr>
        <w:footnoteReference w:id="1729"/>
      </w:r>
      <w:r>
        <w:rPr>
          <w:rFonts w:ascii="IRNazanin" w:hAnsi="IRNazanin" w:eastAsia="IRNazanin"/>
          <w:color w:val="111111"/>
          <w:sz w:val="28"/>
          <w:sz w:val="28"/>
          <w:szCs w:val="28"/>
          <w:rtl w:val="true"/>
          <w:lang w:bidi="fa-IR"/>
        </w:rPr>
        <w:t>نصف دیة الرجل، فیفضل للولیّ ربع دیته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اشترک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قتل الرجل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 قُتلن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إن شاء الولیّ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ورُدّ علیهنّ ما فضل عن دیته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کنّ ثلاثاً فقتلهنّ رُدّ علیهنّ دیة امرأة بینهنّ بالسویّة، أو أربعاً فدیة امرأتین کذلک، وهکذا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ولو اختار فی الثلاث قتل اثنتین ردّت الباقیة ثلث دیته بین المقتولتین بالسویّة؛ لأنّ ذلک هو الفاضل لهما عن جنایتهما، وهو ثلث دیتهما، أو قَتل واحدة ردّت الباقیتان علی المقتولة ثلث دیتها، وعلی الولیّ نصف دیة الرجل، وکذا قیاس الباقی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اشترک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قتل الرجل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وامرأةٌ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واختار الولیّ قتلَهما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ردّ للمرأة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لا فاضل لها من دیتها عمّا یخصّ جنایتها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ویردّ علی الرجل نصفَ دیته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الفاضل من دیته عن جنایته، والردّ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الولیّ إن قتلهما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من المرأة لو لم تُقتل؛ لأنّه مقدار جنایتها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قُتلت المرأة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خاصّة فلا شیء لها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الرجل علی الولیّ نصفَ 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 جنایته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المشهور بین الأصحاب، وعلیه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وللمفید رحمه الله قول بأنّ المردود علی تقدیر قتلهما یُقسَّم بینهما أثلاثاً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للمرأة ثلثه بناءً علی أنّ جنایة الرجل ضِعف جنایة المرأة؛ لأنّ الجانی نفس ونصفُ نفسٍ جنت علی نفس، فتکون الجنایة بینهما أثلاثاً بحسب ذلک </w:t>
      </w:r>
      <w:r>
        <w:rPr>
          <w:rStyle w:val="FootnoteAnchor"/>
          <w:rtl w:val="true"/>
        </w:rPr>
        <w:footnoteReference w:id="1730"/>
      </w:r>
      <w:r>
        <w:rPr>
          <w:rFonts w:eastAsia="Times New Roman" w:cs="Times New Roman" w:ascii="Times New Roman" w:hAnsi="Times New Roman"/>
          <w:color w:val="111111"/>
          <w:sz w:val="28"/>
          <w:szCs w:val="28"/>
          <w:rtl w:val="true"/>
          <w:lang w:val="en-US" w:bidi="en-US"/>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وضعفه ظاهر، وإنّما هما نفسان جنتا علی نفس، فکان علی کلّ واحدة نصف، ومع قتلهما فالفاضل للرجل خاصّة؛ لأنّ القدرَ المستوفی منه أکثر قیمة من جنایته بقدر ضِعفه، والمستوفی من المرأة بقدر جنایتها فلا شیء لها کما 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علی تقدیر قتله خاصّة</w:t>
      </w:r>
      <w:r>
        <w:rPr>
          <w:rFonts w:eastAsia="IRNazanin" w:cs="IRNazanin"/>
          <w:color w:val="111111"/>
          <w:sz w:val="28"/>
          <w:szCs w:val="28"/>
          <w:rtl w:val="true"/>
          <w:lang w:bidi="fa-IR"/>
        </w:rPr>
        <w:t>.</w:t>
      </w:r>
      <w:bookmarkStart w:id="604" w:name="pg19815_253403"/>
    </w:p>
    <w:p>
      <w:pPr>
        <w:pStyle w:val="Heading5"/>
        <w:numPr>
          <w:ilvl w:val="4"/>
          <w:numId w:val="1"/>
        </w:numPr>
        <w:rPr/>
      </w:pPr>
      <w:bookmarkStart w:id="605" w:name="__RefHeading___Toc2228131_2314609296"/>
      <w:bookmarkStart w:id="606" w:name="_Toc228"/>
      <w:bookmarkEnd w:id="604"/>
      <w:bookmarkEnd w:id="605"/>
      <w:r>
        <w:rPr>
          <w:rtl w:val="true"/>
        </w:rPr>
        <w:t>«</w:t>
      </w:r>
      <w:r>
        <w:rPr>
          <w:rtl w:val="true"/>
        </w:rPr>
        <w:t xml:space="preserve">الرابعة </w:t>
      </w:r>
      <w:r>
        <w:rPr>
          <w:rtl w:val="true"/>
        </w:rPr>
        <w:t>[</w:t>
      </w:r>
      <w:r>
        <w:rPr>
          <w:rtl w:val="true"/>
        </w:rPr>
        <w:t xml:space="preserve">اشتراک العبید فی القتل </w:t>
      </w:r>
      <w:r>
        <w:rPr>
          <w:rtl w:val="true"/>
        </w:rPr>
        <w:t>] » :</w:t>
      </w:r>
      <w:bookmarkEnd w:id="60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اشترک عبیدٌ فی 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قتل الذکر الحرّ، فللولیّ قتل الجمیع والبعض، فإن قَتَلهم أجمع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علیهم ما فَضُل من قیمتهم عن دیته إن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هناک فضل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تقدیر الفضل لا یردّ علی الجمیع کیف کان، 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عبد نقصت قیمته عن جنایته أو ساوت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قیمته جنایته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ردّ له، وإنّما الردّ لمن زادت قیمته عن جنایته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لم تتجاوز دیة الحرّ فتردّ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کان العبید ثلاثة قیمتهم عشرة آلاف درهم فما دون بالسویّة وقتلهم الولیّ فلا 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زادت قیمتهم عن ذلک، فعلی کلّ واحد ثلث دیة الحرّ، فمن زادت قیمته عن الثلث رُدَّ علی مولاه الزائد، ومن لا فلا</w:t>
      </w:r>
      <w:r>
        <w:rPr>
          <w:rFonts w:eastAsia="IRNazanin" w:cs="IRNazanin"/>
          <w:color w:val="111111"/>
          <w:sz w:val="28"/>
          <w:szCs w:val="28"/>
          <w:rtl w:val="true"/>
          <w:lang w:bidi="fa-IR"/>
        </w:rPr>
        <w:t>.</w:t>
      </w:r>
    </w:p>
    <w:p>
      <w:pPr>
        <w:pStyle w:val="Heading5"/>
        <w:numPr>
          <w:ilvl w:val="4"/>
          <w:numId w:val="1"/>
        </w:numPr>
        <w:rPr/>
      </w:pPr>
      <w:bookmarkStart w:id="607" w:name="__RefHeading___Toc2228133_2314609296"/>
      <w:bookmarkStart w:id="608" w:name="_Toc229"/>
      <w:bookmarkEnd w:id="607"/>
      <w:r>
        <w:rPr>
          <w:rtl w:val="true"/>
        </w:rPr>
        <w:t>«</w:t>
      </w:r>
      <w:r>
        <w:rPr>
          <w:rtl w:val="true"/>
        </w:rPr>
        <w:t xml:space="preserve">الخامسة </w:t>
      </w:r>
      <w:r>
        <w:rPr>
          <w:rtl w:val="true"/>
        </w:rPr>
        <w:t>[</w:t>
      </w:r>
      <w:r>
        <w:rPr>
          <w:rtl w:val="true"/>
        </w:rPr>
        <w:t xml:space="preserve">اشتراک الحر و العبد فی القتل </w:t>
      </w:r>
      <w:r>
        <w:rPr>
          <w:rtl w:val="true"/>
        </w:rPr>
        <w:t>] » :</w:t>
      </w:r>
      <w:bookmarkEnd w:id="608"/>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اشترک حرّ وعبد فی قتله، فله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لولیّه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ویردّ علی الحرّ نصف دیته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لأنّها الفاضل عن جنایته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وعلی مولی العبد ما فضل من قیمته عن نصف الدیة إن کان له 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لم تتجاوز دیةَ الحرّ فتُردّ إلیها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قتل أحدهما فالردّ علی الحرّ من مولی العبد أقلّ الأمرین من جنایته وقیمة عبده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اختار قتل الحرّ؛ لأنّ الأقلّ إن کان هو الجنایة وهی نصف دیة المقتول فلا یلزم الجانی سواها، وإن کان هو قیمة العبد فلا یجنی الجانی علی أکثر من نفسه، ولا یلزم مولاه الزائد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کان الأقلّ هو قیمة العبد فعلی الولیّ إکمال نصف الدیة لأولیاء الحرّ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والردّ علی مولی العبد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اختار الولیّ قتل العبد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وکان </w:t>
      </w:r>
      <w:r>
        <w:rPr>
          <w:rStyle w:val="FootnoteAnchor"/>
          <w:rtl w:val="true"/>
        </w:rPr>
        <w:footnoteReference w:id="1731"/>
      </w:r>
      <w:r>
        <w:rPr>
          <w:rFonts w:ascii="IRNazanin" w:hAnsi="IRNazanin" w:eastAsia="IRNazanin"/>
          <w:color w:val="111111"/>
          <w:sz w:val="28"/>
          <w:sz w:val="28"/>
          <w:szCs w:val="28"/>
          <w:rtl w:val="true"/>
          <w:lang w:bidi="fa-IR"/>
        </w:rPr>
        <w:t>له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قیمته عن جنایته، بأن تجاوزت قیمته نصف دیة الحرّ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استوعبت قیمته الدیة فله جمیع المردود من الحرّ، وإن کانت أقلّ فالزائد من المردود عن قیمته بعد حطّ مقابل جنایته لولیّ المقتول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یکن له فضل بأن کانت قیمة العبد نصف دیة الحرّ أو أنقص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الحرّ عوض جنایته وهو نصف الدیة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الولیّ </w:t>
      </w:r>
      <w:r>
        <w:rPr>
          <w:rStyle w:val="FootnoteAnchor"/>
          <w:rtl w:val="true"/>
        </w:rPr>
        <w:footnoteReference w:id="17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هو المحصّل فی المسألة، وفیها أقوال اُخر </w:t>
      </w:r>
      <w:r>
        <w:rPr>
          <w:rStyle w:val="FootnoteAnchor"/>
          <w:rtl w:val="true"/>
        </w:rPr>
        <w:footnoteReference w:id="1733"/>
      </w:r>
      <w:r>
        <w:rPr>
          <w:rFonts w:ascii="Amiri" w:hAnsi="Amiri" w:eastAsia="Amiri" w:cs="Amiri"/>
          <w:color w:val="111111"/>
          <w:sz w:val="28"/>
          <w:sz w:val="28"/>
          <w:szCs w:val="28"/>
          <w:rtl w:val="true"/>
          <w:lang w:bidi="ar-SA"/>
        </w:rPr>
        <w:t>مدخولة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 یعرف حکم اشتراک العبد والمرأة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قتل الحرّ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الفروض کاشتراک کلّ من الحرّ والعبد والمرأة مع الخنثی واجتماع الثلاثة وغیرها</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وضابطه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دیة المقتول إن کان حرّاً، فإن زادت عن جنایته دفع إلیه الزائد، وإن ساوت أو نقصت اقتصر علی 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وقیمة العبد کذلک ما لم تزد عن دیة الحرّ وردّ الشریکُ الذی لا یُقتل ما قابل جنایته من دیة المقتول علی الشریک إن استوعب فاضل دیته أو قیمته للمردود، وإلّا ردّ الفاضل إلی الولیّ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القول لو کان الاشتراک فی قتل امرأة أو خنثی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ویجب تقدیم الردّ علی الاستیفاء فی جمیع الفروض</w:t>
      </w:r>
      <w:r>
        <w:rPr>
          <w:rFonts w:eastAsia="IRNazanin" w:cs="IRNazanin"/>
          <w:color w:val="111111"/>
          <w:sz w:val="28"/>
          <w:szCs w:val="28"/>
          <w:rtl w:val="true"/>
          <w:lang w:bidi="fa-IR"/>
        </w:rPr>
        <w:t>.</w:t>
      </w:r>
      <w:bookmarkStart w:id="609" w:name="pg19815_253405"/>
    </w:p>
    <w:p>
      <w:pPr>
        <w:pStyle w:val="Heading4"/>
        <w:numPr>
          <w:ilvl w:val="3"/>
          <w:numId w:val="1"/>
        </w:numPr>
        <w:rPr/>
      </w:pPr>
      <w:bookmarkStart w:id="610" w:name="__RefHeading___Toc2228135_2314609296"/>
      <w:bookmarkStart w:id="611" w:name="_Toc230"/>
      <w:bookmarkEnd w:id="609"/>
      <w:bookmarkEnd w:id="610"/>
      <w:r>
        <w:rPr>
          <w:rtl w:val="true"/>
        </w:rPr>
        <w:t>«</w:t>
      </w:r>
      <w:r>
        <w:rPr>
          <w:rtl w:val="true"/>
        </w:rPr>
        <w:t>القول فی شرائط القصاص</w:t>
      </w:r>
      <w:r>
        <w:rPr>
          <w:rtl w:val="true"/>
        </w:rPr>
        <w:t xml:space="preserve">» </w:t>
      </w:r>
      <w:r>
        <w:rPr>
          <w:rtl w:val="true"/>
        </w:rPr>
        <w:t>وهی خمسة</w:t>
      </w:r>
      <w:r>
        <w:rPr>
          <w:rtl w:val="true"/>
        </w:rPr>
        <w:t>:</w:t>
      </w:r>
      <w:bookmarkEnd w:id="611"/>
    </w:p>
    <w:p>
      <w:pPr>
        <w:pStyle w:val="Heading5"/>
        <w:numPr>
          <w:ilvl w:val="4"/>
          <w:numId w:val="1"/>
        </w:numPr>
        <w:rPr/>
      </w:pPr>
      <w:bookmarkStart w:id="612" w:name="__RefHeading___Toc2228137_2314609296"/>
      <w:bookmarkStart w:id="613" w:name="_Toc231"/>
      <w:bookmarkEnd w:id="612"/>
      <w:r>
        <w:rPr>
          <w:rtl w:val="true"/>
        </w:rPr>
        <w:t>[</w:t>
      </w:r>
      <w:r>
        <w:rPr/>
        <w:t>1</w:t>
      </w:r>
      <w:r>
        <w:rPr>
          <w:rtl w:val="true"/>
        </w:rPr>
        <w:t xml:space="preserve">- </w:t>
      </w:r>
      <w:r>
        <w:rPr>
          <w:rtl w:val="true"/>
        </w:rPr>
        <w:t xml:space="preserve">التساوی فی الحریة او الرق </w:t>
      </w:r>
      <w:r>
        <w:rPr>
          <w:rtl w:val="true"/>
        </w:rPr>
        <w:t>]</w:t>
      </w:r>
      <w:bookmarkEnd w:id="61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التساوی فی الحرّیّة أو الرقّ</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فیقتل الحرّ بالحرّ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کان القاتل ناقص الأطراف عادم الحواسّ والمقتول صحیح، أم بالعکس؛ لعموم الآیة </w:t>
      </w:r>
      <w:r>
        <w:rPr>
          <w:rStyle w:val="FootnoteAnchor"/>
          <w:rtl w:val="true"/>
        </w:rPr>
        <w:footnoteReference w:id="1734"/>
      </w:r>
      <w:r>
        <w:rPr>
          <w:rFonts w:ascii="IRNazanin" w:hAnsi="IRNazanin" w:eastAsia="IRNazanin"/>
          <w:color w:val="111111"/>
          <w:sz w:val="28"/>
          <w:sz w:val="28"/>
          <w:szCs w:val="28"/>
          <w:rtl w:val="true"/>
          <w:lang w:bidi="fa-IR"/>
        </w:rPr>
        <w:t>سواء تساویا فی العلم والشرف والغنی والفقر والصحّة والمرض والقوّة والضعف والکبر والصغر، أم تفاوتا وإن أشرف المریض علی الهلاک، أو کان الطفل مولوداً فی الحال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بالحرّة مع 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ولیّها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نصف دیته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دیته ضِعفُ دیتها، وبالخنثی مع ردّ ربع الدیة، والخنثی بالمرأة مع ردّ الربع علیه کذلک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والحرّة بالحرّة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ردّ إجماعاً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والحرّ، ولا یردّ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أولیاؤها علی الحرّ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شیئاً علی الأقوی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النَّفْسَ بِالنَّفْسِ</w:t>
      </w:r>
      <w:r>
        <w:rPr>
          <w:rFonts w:eastAsia="Amiri" w:cs="Amiri" w:ascii="Amiri" w:hAnsi="Amiri"/>
          <w:color w:val="111111"/>
          <w:sz w:val="28"/>
          <w:szCs w:val="28"/>
          <w:rtl w:val="true"/>
          <w:lang w:bidi="ar-SA"/>
        </w:rPr>
        <w:t xml:space="preserve">) </w:t>
      </w:r>
      <w:r>
        <w:rPr>
          <w:rStyle w:val="FootnoteAnchor"/>
          <w:rtl w:val="true"/>
        </w:rPr>
        <w:footnoteReference w:id="1735"/>
      </w:r>
      <w:r>
        <w:rPr>
          <w:rFonts w:ascii="IRNazanin" w:hAnsi="IRNazanin" w:eastAsia="IRNazanin"/>
          <w:color w:val="111111"/>
          <w:sz w:val="28"/>
          <w:sz w:val="28"/>
          <w:szCs w:val="28"/>
          <w:rtl w:val="true"/>
          <w:lang w:bidi="fa-IR"/>
        </w:rPr>
        <w:t xml:space="preserve">وخصوص صحیحتی الحلبی وعبد اللّٰه بن سنان عن الصادق علیه السلام </w:t>
      </w:r>
      <w:r>
        <w:rPr>
          <w:rStyle w:val="FootnoteAnchor"/>
          <w:rtl w:val="true"/>
        </w:rPr>
        <w:footnoteReference w:id="1736"/>
      </w:r>
      <w:r>
        <w:rPr>
          <w:rFonts w:ascii="IRNazanin" w:hAnsi="IRNazanin" w:eastAsia="IRNazanin"/>
          <w:color w:val="111111"/>
          <w:sz w:val="28"/>
          <w:sz w:val="28"/>
          <w:szCs w:val="28"/>
          <w:rtl w:val="true"/>
          <w:lang w:bidi="fa-IR"/>
        </w:rPr>
        <w:t>الدالّتین علی ذلک صریحاً، وأنّ الجانی لا یجنی علی أکثر من نفسه</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ومقابل الأقوی روایة أبی مریم الأنصاری عن الباقر علیه السلام فی امرأة قتلت رجلاً؟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تُقتل ویؤدی ولیّها بقیّة المال</w:t>
      </w:r>
      <w:r>
        <w:rPr>
          <w:rFonts w:eastAsia="IRNazanin" w:cs="IRNazanin"/>
          <w:color w:val="111111"/>
          <w:sz w:val="28"/>
          <w:szCs w:val="28"/>
          <w:rtl w:val="true"/>
          <w:lang w:bidi="fa-IR"/>
        </w:rPr>
        <w:t xml:space="preserve">» </w:t>
      </w:r>
      <w:r>
        <w:rPr>
          <w:rStyle w:val="FootnoteAnchor"/>
          <w:rtl w:val="true"/>
        </w:rPr>
        <w:footnoteReference w:id="1737"/>
      </w:r>
      <w:r>
        <w:rPr>
          <w:rFonts w:ascii="IRNazanin" w:hAnsi="IRNazanin" w:eastAsia="IRNazanin"/>
          <w:color w:val="111111"/>
          <w:sz w:val="28"/>
          <w:sz w:val="28"/>
          <w:szCs w:val="28"/>
          <w:rtl w:val="true"/>
          <w:lang w:bidi="fa-IR"/>
        </w:rPr>
        <w:t>وهی مع شذوذها لا قائل</w:t>
      </w:r>
    </w:p>
    <w:p>
      <w:pPr>
        <w:pStyle w:val="BookText"/>
        <w:rPr/>
      </w:pPr>
      <w:r>
        <w:rPr>
          <w:rFonts w:ascii="IRNazanin" w:hAnsi="IRNazanin" w:eastAsia="IRNazanin"/>
          <w:color w:val="111111"/>
          <w:sz w:val="28"/>
          <w:sz w:val="28"/>
          <w:szCs w:val="28"/>
          <w:rtl w:val="true"/>
          <w:lang w:bidi="fa-IR"/>
        </w:rPr>
        <w:t>بمضمونها من الأصحاب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المصنّف فی الشرح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 ببعید دعوی الإجماع علی هذه المسألة </w:t>
      </w:r>
      <w:r>
        <w:rPr>
          <w:rStyle w:val="FootnoteAnchor"/>
          <w:rtl w:val="true"/>
        </w:rPr>
        <w:footnoteReference w:id="17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وأولی منه قتل المرأة بالخنثی، ولا 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وقتل الخنثی بالرجل کذلک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ویقتصّ للمرأة من الرجل فی الطرف من غیر ردٍّ حتّی تبلغ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دیةُ الطرف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ثلثَ دیةِ الحرّ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فصاعداً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فتصیر </w:t>
      </w:r>
      <w:r>
        <w:rPr>
          <w:rStyle w:val="FootnoteAnchor"/>
          <w:rtl w:val="true"/>
        </w:rPr>
        <w:footnoteReference w:id="1739"/>
      </w:r>
      <w:r>
        <w:rPr>
          <w:rFonts w:ascii="IRNazanin" w:hAnsi="IRNazanin" w:eastAsia="IRNazanin"/>
          <w:color w:val="111111"/>
          <w:sz w:val="28"/>
          <w:sz w:val="28"/>
          <w:szCs w:val="28"/>
          <w:rtl w:val="true"/>
          <w:lang w:bidi="fa-IR"/>
        </w:rPr>
        <w:t>علی النصف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البحث فی الجراح یتساویان فیها دیةً وقصاصاً ما لم تبلغ ثلث الدیة، فإذا بلغته رُدّت المرأة إلی النصف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ومستند التفصیل أخبار 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صحیحة أبان بن تغلب عن أبی عبد 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فی رجل قطع إصبعاً من أصابع المرأة کم فیها؟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 من الإبل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اثنتین؟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ثلاثاً؟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أربعاً؟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یقطع ثلاثاً فیکون علیه ثلاثون، ویقطع أربعاً فیکون علیه 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کان یبلغنا ونحن بالعراق، فنبرأ ممّن قاله، ونقول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جاء به 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مهلاً یا أبان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حکم رسول اللّٰه صلی الله علیه و آله، إنّ المرأة تعاقل الرجلَ إلی ثلث الدیة، فإذا بلغت الثلث رجعت إلی النصف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أبان إنّک أخذتنی بالقیاس، والسنّة إذا قیست مُحق الدین</w:t>
      </w:r>
      <w:r>
        <w:rPr>
          <w:rFonts w:eastAsia="IRNazanin" w:cs="IRNazanin"/>
          <w:color w:val="111111"/>
          <w:sz w:val="28"/>
          <w:szCs w:val="28"/>
          <w:rtl w:val="true"/>
          <w:lang w:bidi="fa-IR"/>
        </w:rPr>
        <w:t xml:space="preserve">» </w:t>
      </w:r>
      <w:r>
        <w:rPr>
          <w:rStyle w:val="FootnoteAnchor"/>
          <w:rtl w:val="true"/>
        </w:rPr>
        <w:footnoteReference w:id="1740"/>
      </w:r>
      <w:r>
        <w:rPr>
          <w:rFonts w:eastAsia="Times New Roman" w:cs="Times New Roman" w:ascii="Times New Roman" w:hAnsi="Times New Roman"/>
          <w:color w:val="111111"/>
          <w:sz w:val="28"/>
          <w:szCs w:val="28"/>
          <w:rtl w:val="true"/>
          <w:lang w:val="en-US" w:bidi="en-US"/>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وروی تفصیل الجراح جمیلُ بن درّاج عنه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المرأة </w:t>
      </w:r>
      <w:r>
        <w:rPr>
          <w:rFonts w:eastAsia="IRNazanin" w:cs="IRNazanin"/>
          <w:color w:val="111111"/>
          <w:sz w:val="28"/>
          <w:szCs w:val="28"/>
          <w:rtl w:val="true"/>
          <w:lang w:bidi="fa-IR"/>
        </w:rPr>
        <w:t xml:space="preserve">] </w:t>
      </w:r>
      <w:r>
        <w:rPr>
          <w:rStyle w:val="FootnoteAnchor"/>
          <w:rtl w:val="true"/>
        </w:rPr>
        <w:footnoteReference w:id="1741"/>
      </w:r>
      <w:r>
        <w:rPr>
          <w:rFonts w:ascii="IRNazanin" w:hAnsi="IRNazanin" w:eastAsia="IRNazanin"/>
          <w:color w:val="111111"/>
          <w:sz w:val="28"/>
          <w:sz w:val="28"/>
          <w:szCs w:val="28"/>
          <w:rtl w:val="true"/>
          <w:lang w:bidi="fa-IR"/>
        </w:rPr>
        <w:t>بینها وبین الرجل قصاص فی الجراحات حتّی تبلغ الثلث سواء،</w:t>
      </w:r>
    </w:p>
    <w:p>
      <w:pPr>
        <w:pStyle w:val="BookText"/>
        <w:rPr/>
      </w:pPr>
      <w:r>
        <w:rPr>
          <w:rFonts w:ascii="Amiri" w:hAnsi="Amiri" w:eastAsia="Amiri" w:cs="Amiri"/>
          <w:color w:val="111111"/>
          <w:sz w:val="28"/>
          <w:sz w:val="28"/>
          <w:szCs w:val="28"/>
          <w:rtl w:val="true"/>
          <w:lang w:bidi="ar-SA"/>
        </w:rPr>
        <w:t>فإذا بلغت الثلث سواء ارتفع الرجل وسفلت المرأة</w:t>
      </w:r>
      <w:r>
        <w:rPr>
          <w:rFonts w:eastAsia="Amiri" w:cs="Amiri" w:ascii="Amiri" w:hAnsi="Amiri"/>
          <w:color w:val="111111"/>
          <w:sz w:val="28"/>
          <w:szCs w:val="28"/>
          <w:rtl w:val="true"/>
          <w:lang w:bidi="ar-SA"/>
        </w:rPr>
        <w:t xml:space="preserve">» </w:t>
      </w:r>
      <w:r>
        <w:rPr>
          <w:rStyle w:val="FootnoteAnchor"/>
          <w:rtl w:val="true"/>
        </w:rPr>
        <w:footnoteReference w:id="17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الشیخ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لم تتجاوز الثلث </w:t>
      </w:r>
      <w:r>
        <w:rPr>
          <w:rStyle w:val="FootnoteAnchor"/>
          <w:rtl w:val="true"/>
        </w:rPr>
        <w:footnoteReference w:id="1743"/>
      </w:r>
      <w:r>
        <w:rPr>
          <w:rFonts w:ascii="IRNazanin" w:hAnsi="IRNazanin" w:eastAsia="IRNazanin"/>
          <w:color w:val="111111"/>
          <w:sz w:val="28"/>
          <w:sz w:val="28"/>
          <w:szCs w:val="28"/>
          <w:rtl w:val="true"/>
          <w:lang w:bidi="fa-IR"/>
        </w:rPr>
        <w:t xml:space="preserve">والأخبار الصحیحة </w:t>
      </w:r>
      <w:r>
        <w:rPr>
          <w:rStyle w:val="FootnoteAnchor"/>
          <w:rtl w:val="true"/>
        </w:rPr>
        <w:footnoteReference w:id="1744"/>
      </w:r>
      <w:r>
        <w:rPr>
          <w:rFonts w:ascii="Amiri" w:hAnsi="Amiri" w:eastAsia="Amiri" w:cs="Amiri"/>
          <w:color w:val="111111"/>
          <w:sz w:val="28"/>
          <w:sz w:val="28"/>
          <w:szCs w:val="28"/>
          <w:rtl w:val="true"/>
          <w:lang w:bidi="ar-SA"/>
        </w:rPr>
        <w:t xml:space="preserve">حجّة المشهور </w:t>
      </w:r>
      <w:r>
        <w:rPr>
          <w:rStyle w:val="FootnoteAnchor"/>
          <w:rtl w:val="true"/>
        </w:rPr>
        <w:footnoteReference w:id="17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تقرّر ذلک، فلو قطع منها ثلاث أصابع استوفت مثلها منه قصاصاً من غیر 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قطع أربعاً لم تقطع منه الأربع إلّابعد ردّ دیة إصبعین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وهل لها القصاص فی إصبعین من دون ردّ؟ 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منشؤهما وجود المقتضی لجوازه کذلک وانتفاء المانع، أمّا الأوّل فلأنّ قطع إصبعین منها یوجب ذلک فالزائد أولی، وأمّا الثانی فلأنّ قطع الزائد زیادة فی الجنایة، فلا یکون سبباً فی منع ما ثبت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النصّ </w:t>
      </w:r>
      <w:r>
        <w:rPr>
          <w:rStyle w:val="FootnoteAnchor"/>
          <w:rtl w:val="true"/>
        </w:rPr>
        <w:footnoteReference w:id="1746"/>
      </w:r>
      <w:r>
        <w:rPr>
          <w:rFonts w:ascii="IRNazanin" w:hAnsi="IRNazanin" w:eastAsia="IRNazanin"/>
          <w:color w:val="111111"/>
          <w:sz w:val="28"/>
          <w:sz w:val="28"/>
          <w:szCs w:val="28"/>
          <w:rtl w:val="true"/>
          <w:lang w:bidi="fa-IR"/>
        </w:rPr>
        <w:t>الدالّ علی أ نّه لیس لها الاقتصاص فی الجنایة الخاصّة إلّابعد الردّ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ویقوی الإشکال لو طلبت القصاص فی ثلاث والعفو فی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وعدم إجابتها هنا 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الأوّل تتخیّر بین قطع إصبعین من غیر ردّ وبین قطع أربع مع ردّ دیة إصبعین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طلبت الدیة فلیس لها أکثر من دیة إصبعین</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إذا کان القطع بضربة واحدة، ولو کان بأزید ثبتت لها دیة الأربع</w:t>
      </w:r>
    </w:p>
    <w:p>
      <w:pPr>
        <w:pStyle w:val="BookText"/>
        <w:rPr/>
      </w:pPr>
      <w:r>
        <w:rPr>
          <w:rFonts w:ascii="IRNazanin" w:hAnsi="IRNazanin" w:eastAsia="IRNazanin"/>
          <w:color w:val="111111"/>
          <w:sz w:val="28"/>
          <w:sz w:val="28"/>
          <w:szCs w:val="28"/>
          <w:rtl w:val="true"/>
          <w:lang w:bidi="fa-IR"/>
        </w:rPr>
        <w:t>أو القصاص فی الجمیع من غیر ردّ؛ لثبوت حکم السابق فیستصحب، وکذا حکم الباقی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ویُقتل العبد بالحرّ والحرّة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زادت قیمته عن 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یردّ علی مولاه الزائد لو فرض، کما لا یلزمه الإکمال لو نقص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وبالعبد وبالأمة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کانا لمالک واحد أم مالکین، وسواء تساوت قیمتهما أم اختلفت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الأمة بالحرّ والحرّة وبالعبد والأمة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اعتبار القیمة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فی قتل المملوک مثلَه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 </w:t>
      </w:r>
      <w:r>
        <w:rPr>
          <w:rStyle w:val="FootnoteAnchor"/>
          <w:rtl w:val="true"/>
        </w:rPr>
        <w:footnoteReference w:id="17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یُقتَل الکامل بالناقص إلّا مع ردّ التفاوت علی سیّد الکامل؛ لأنّ ضمان المملوک یراعی فیه المالیّة، فلا یستوفی الزائد بالناقص بل بالمساوی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ویحتمل جواز القصاص مطلقاً من غیر ردّ؛ لقوله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اَلنَّفْسَ بِالنَّفْسِ</w:t>
      </w:r>
      <w:r>
        <w:rPr>
          <w:rFonts w:eastAsia="Amiri" w:cs="Amiri" w:ascii="Amiri" w:hAnsi="Amiri"/>
          <w:color w:val="111111"/>
          <w:sz w:val="28"/>
          <w:szCs w:val="28"/>
          <w:rtl w:val="true"/>
          <w:lang w:bidi="ar-SA"/>
        </w:rPr>
        <w:t xml:space="preserve">) </w:t>
      </w:r>
      <w:r>
        <w:rPr>
          <w:rStyle w:val="FootnoteAnchor"/>
          <w:rtl w:val="true"/>
        </w:rPr>
        <w:footnoteReference w:id="1748"/>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اَلْحُرُّ بِالْحُرِّ وَ اَلْعَبْدُ بِالْعَبْدِ</w:t>
      </w:r>
      <w:r>
        <w:rPr>
          <w:rFonts w:eastAsia="Amiri" w:cs="Amiri" w:ascii="Amiri" w:hAnsi="Amiri"/>
          <w:color w:val="111111"/>
          <w:sz w:val="28"/>
          <w:szCs w:val="28"/>
          <w:rtl w:val="true"/>
          <w:lang w:bidi="ar-SA"/>
        </w:rPr>
        <w:t xml:space="preserve">) </w:t>
      </w:r>
      <w:r>
        <w:rPr>
          <w:rStyle w:val="FootnoteAnchor"/>
          <w:rtl w:val="true"/>
        </w:rPr>
        <w:footnoteReference w:id="1749"/>
      </w:r>
      <w:r>
        <w:rPr>
          <w:rFonts w:ascii="IRNazanin" w:hAnsi="IRNazanin" w:eastAsia="IRNazanin"/>
          <w:color w:val="111111"/>
          <w:sz w:val="28"/>
          <w:sz w:val="28"/>
          <w:szCs w:val="28"/>
          <w:rtl w:val="true"/>
          <w:lang w:bidi="fa-IR"/>
        </w:rPr>
        <w:t>أمّا قتل الناقص بالکامل فلا شبهة فیه، ولا یلزم مولاه الزائد عن نفسه مطلقاً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یقتل الحرّ بالعبد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إجماعاً وعملاً بظاهر الآیة وصحیحة الحلبی وغیره عن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یقتل الحرّ بالعبد</w:t>
      </w:r>
      <w:r>
        <w:rPr>
          <w:rFonts w:eastAsia="IRNazanin" w:cs="IRNazanin"/>
          <w:color w:val="111111"/>
          <w:sz w:val="28"/>
          <w:szCs w:val="28"/>
          <w:rtl w:val="true"/>
          <w:lang w:bidi="fa-IR"/>
        </w:rPr>
        <w:t xml:space="preserve">» </w:t>
      </w:r>
      <w:r>
        <w:rPr>
          <w:rStyle w:val="FootnoteAnchor"/>
          <w:rtl w:val="true"/>
        </w:rPr>
        <w:footnoteReference w:id="1750"/>
      </w:r>
      <w:r>
        <w:rPr>
          <w:rFonts w:ascii="IRNazanin" w:hAnsi="IRNazanin" w:eastAsia="IRNazanin"/>
          <w:color w:val="111111"/>
          <w:sz w:val="28"/>
          <w:sz w:val="28"/>
          <w:szCs w:val="28"/>
          <w:rtl w:val="true"/>
          <w:lang w:bidi="fa-IR"/>
        </w:rPr>
        <w:t xml:space="preserve">ورواه العامّة عن النبیّ صلی الله علیه و آله </w:t>
      </w:r>
      <w:r>
        <w:rPr>
          <w:rStyle w:val="FootnoteAnchor"/>
          <w:rtl w:val="true"/>
        </w:rPr>
        <w:footnoteReference w:id="1751"/>
      </w:r>
      <w:r>
        <w:rPr>
          <w:rFonts w:ascii="IRNazanin" w:hAnsi="IRNazanin" w:eastAsia="IRNazanin"/>
          <w:color w:val="111111"/>
          <w:sz w:val="28"/>
          <w:sz w:val="28"/>
          <w:szCs w:val="28"/>
          <w:rtl w:val="true"/>
          <w:lang w:bidi="fa-IR"/>
        </w:rPr>
        <w:t xml:space="preserve">وادّعی فی الخلاف إجماع الصحابة علیه </w:t>
      </w:r>
      <w:r>
        <w:rPr>
          <w:rStyle w:val="FootnoteAnchor"/>
          <w:rtl w:val="true"/>
        </w:rPr>
        <w:footnoteReference w:id="1752"/>
      </w:r>
      <w:r>
        <w:rPr>
          <w:rFonts w:eastAsia="Times New Roman" w:cs="Times New Roman" w:ascii="Times New Roman" w:hAnsi="Times New Roman"/>
          <w:color w:val="111111"/>
          <w:sz w:val="28"/>
          <w:szCs w:val="28"/>
          <w:rtl w:val="true"/>
          <w:lang w:val="en-US" w:bidi="en-US"/>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الحکم ثابت </w:t>
      </w:r>
      <w:r>
        <w:rPr>
          <w:rStyle w:val="FootnoteAnchor"/>
          <w:rtl w:val="true"/>
        </w:rPr>
        <w:footnoteReference w:id="1753"/>
      </w:r>
      <w:r>
        <w:rPr>
          <w:rFonts w:ascii="IRNazanin" w:hAnsi="IRNazanin" w:eastAsia="IRNazanin"/>
          <w:color w:val="111111"/>
          <w:sz w:val="28"/>
          <w:sz w:val="28"/>
          <w:szCs w:val="28"/>
          <w:rtl w:val="true"/>
          <w:lang w:bidi="fa-IR"/>
        </w:rPr>
        <w:t>وإن اعتاد قتلَ العبید عملاً بعموم الأدلّة وإطلاقها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والقائل الشیخ </w:t>
      </w:r>
      <w:r>
        <w:rPr>
          <w:rStyle w:val="FootnoteAnchor"/>
          <w:rtl w:val="true"/>
        </w:rPr>
        <w:footnoteReference w:id="1754"/>
      </w:r>
      <w:r>
        <w:rPr>
          <w:rFonts w:ascii="Amiri" w:hAnsi="Amiri" w:eastAsia="Amiri" w:cs="Amiri"/>
          <w:color w:val="111111"/>
          <w:sz w:val="28"/>
          <w:sz w:val="28"/>
          <w:szCs w:val="28"/>
          <w:rtl w:val="true"/>
          <w:lang w:bidi="ar-SA"/>
        </w:rPr>
        <w:t xml:space="preserve">وجماعة </w:t>
      </w:r>
      <w:r>
        <w:rPr>
          <w:rStyle w:val="FootnoteAnchor"/>
          <w:rtl w:val="true"/>
        </w:rPr>
        <w:footnoteReference w:id="175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اعتاد قتلَهم قُتل حسماً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لجرأته وفساده، واستناداً إلی روایات </w:t>
      </w:r>
      <w:r>
        <w:rPr>
          <w:rStyle w:val="FootnoteAnchor"/>
          <w:rtl w:val="true"/>
        </w:rPr>
        <w:footnoteReference w:id="1756"/>
      </w:r>
      <w:r>
        <w:rPr>
          <w:rFonts w:ascii="IRNazanin" w:hAnsi="IRNazanin" w:eastAsia="IRNazanin"/>
          <w:color w:val="111111"/>
          <w:sz w:val="28"/>
          <w:sz w:val="28"/>
          <w:szCs w:val="28"/>
          <w:rtl w:val="true"/>
          <w:lang w:bidi="fa-IR"/>
        </w:rPr>
        <w:t>لا تنهض فی مخالفة ظاهر الکتاب وصحیح الأخبار، وفتوی أکثر الأصحاب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هذا القول فالمرجع فی الاعتیاد إلی العرف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وهل یردّ علی أولیاء الحرّ ما فضل من دیته عن قیمة المقتول الذی تحقّقت به العادة؟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Style w:val="FootnoteAnchor"/>
          <w:rtl w:val="true"/>
        </w:rPr>
        <w:footnoteReference w:id="1757"/>
      </w:r>
      <w:r>
        <w:rPr>
          <w:rFonts w:ascii="IRNazanin" w:hAnsi="IRNazanin" w:eastAsia="IRNazanin"/>
          <w:color w:val="111111"/>
          <w:sz w:val="28"/>
          <w:sz w:val="28"/>
          <w:szCs w:val="28"/>
          <w:rtl w:val="true"/>
          <w:lang w:bidi="fa-IR"/>
        </w:rPr>
        <w:t>نظراً إلی زیادته عنه، کما لو قتل امرأةً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والأخبار خالیة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والتعلیل بقتله لإفساده لا یقتضیه</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قتل المولی عبدَه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أمته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کفّارة القتل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یلزمه شیء غیر ذلک علی الأقوی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تجب الصدقة بقیمته </w:t>
      </w:r>
      <w:r>
        <w:rPr>
          <w:rStyle w:val="FootnoteAnchor"/>
          <w:rtl w:val="true"/>
        </w:rPr>
        <w:footnoteReference w:id="1758"/>
      </w:r>
      <w:r>
        <w:rPr>
          <w:rFonts w:ascii="IRNazanin" w:hAnsi="IRNazanin" w:eastAsia="IRNazanin"/>
          <w:color w:val="111111"/>
          <w:sz w:val="28"/>
          <w:sz w:val="28"/>
          <w:szCs w:val="28"/>
          <w:rtl w:val="true"/>
          <w:lang w:bidi="fa-IR"/>
        </w:rPr>
        <w:t xml:space="preserve">استناداً إلی روایة ضعیفة </w:t>
      </w:r>
      <w:r>
        <w:rPr>
          <w:rStyle w:val="FootnoteAnchor"/>
          <w:rtl w:val="true"/>
        </w:rPr>
        <w:footnoteReference w:id="1759"/>
      </w:r>
      <w:r>
        <w:rPr>
          <w:rFonts w:ascii="IRNazanin" w:hAnsi="IRNazanin" w:eastAsia="IRNazanin"/>
          <w:color w:val="111111"/>
          <w:sz w:val="28"/>
          <w:sz w:val="28"/>
          <w:szCs w:val="28"/>
          <w:rtl w:val="true"/>
          <w:lang w:bidi="fa-IR"/>
        </w:rPr>
        <w:t>ویمکن حملها علی الاستحباب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اعتاد ذلک قُتل</w:t>
      </w:r>
      <w:r>
        <w:rPr>
          <w:rFonts w:eastAsia="IRNazanin" w:cs="IRNazanin"/>
          <w:color w:val="111111"/>
          <w:sz w:val="28"/>
          <w:szCs w:val="28"/>
          <w:rtl w:val="true"/>
          <w:lang w:bidi="fa-IR"/>
        </w:rPr>
        <w:t xml:space="preserve">» </w:t>
      </w:r>
      <w:r>
        <w:rPr>
          <w:rStyle w:val="FootnoteAnchor"/>
          <w:rtl w:val="true"/>
        </w:rPr>
        <w:footnoteReference w:id="1760"/>
      </w:r>
      <w:r>
        <w:rPr>
          <w:rFonts w:ascii="IRNazanin" w:hAnsi="IRNazanin" w:eastAsia="IRNazanin"/>
          <w:color w:val="111111"/>
          <w:sz w:val="28"/>
          <w:sz w:val="28"/>
          <w:szCs w:val="28"/>
          <w:rtl w:val="true"/>
          <w:lang w:bidi="fa-IR"/>
        </w:rPr>
        <w:t xml:space="preserve">کما لو اعتاد قتلَ غیر مملوکه؛ للأخبار السابقة </w:t>
      </w:r>
      <w:r>
        <w:rPr>
          <w:rStyle w:val="FootnoteAnchor"/>
          <w:rtl w:val="true"/>
        </w:rPr>
        <w:footnoteReference w:id="1761"/>
      </w:r>
      <w:r>
        <w:rPr>
          <w:rFonts w:ascii="IRNazanin" w:hAnsi="IRNazanin" w:eastAsia="IRNazanin"/>
          <w:color w:val="111111"/>
          <w:sz w:val="28"/>
          <w:sz w:val="28"/>
          <w:szCs w:val="28"/>
          <w:rtl w:val="true"/>
          <w:lang w:bidi="fa-IR"/>
        </w:rPr>
        <w:t>وهی مدخولة السند فالقول بعدم قتله مطلقاً أقوی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وإذا غرم الحرّ قیمة العبد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الأمة بأن کانا لغیره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یتجاوز بقیمة العبد </w:t>
      </w:r>
      <w:r>
        <w:rPr>
          <w:rStyle w:val="FootnoteAnchor"/>
          <w:rtl w:val="true"/>
        </w:rPr>
        <w:footnoteReference w:id="1762"/>
      </w:r>
      <w:r>
        <w:rPr>
          <w:rFonts w:ascii="IRNazanin" w:hAnsi="IRNazanin" w:eastAsia="IRNazanin"/>
          <w:color w:val="111111"/>
          <w:sz w:val="28"/>
          <w:sz w:val="28"/>
          <w:szCs w:val="28"/>
          <w:rtl w:val="true"/>
          <w:lang w:bidi="fa-IR"/>
        </w:rPr>
        <w:t>دیة الحرّ ولا بقیمة المملوکة دیة الحرّة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لروایة الحلبی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قتل الحرّ العبد غرم قیمته واُدّب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کانت قیمته عشرین ألف درهم؟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یجاوز بقیمة عبد دیة الأحرار</w:t>
      </w:r>
      <w:r>
        <w:rPr>
          <w:rFonts w:eastAsia="IRNazanin" w:cs="IRNazanin"/>
          <w:color w:val="111111"/>
          <w:sz w:val="28"/>
          <w:szCs w:val="28"/>
          <w:rtl w:val="true"/>
          <w:lang w:bidi="fa-IR"/>
        </w:rPr>
        <w:t xml:space="preserve">» </w:t>
      </w:r>
      <w:r>
        <w:rPr>
          <w:rStyle w:val="FootnoteAnchor"/>
          <w:rtl w:val="true"/>
        </w:rPr>
        <w:footnoteReference w:id="17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یضمن المولی جنایة عبده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غیره؛ لأنّ المولی لا یعقل عبداً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وله الخیار إن کانت الجنایة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صدرت عن المملوک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خطأً بین فکّه بأقلّ الأمرین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أرش الجنایة وقیمته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الأقلّ إن کان هو الأرش فظاهر، وإن کانت القیمةَ فهی بدل من العین فیقوم مقامها وإلّا لم تکن بدلاً، ولا سبیل إلی الزائد؛ لعدم عَقْل </w:t>
      </w:r>
      <w:r>
        <w:rPr>
          <w:rStyle w:val="FootnoteAnchor"/>
          <w:rtl w:val="true"/>
        </w:rPr>
        <w:footnoteReference w:id="1764"/>
      </w:r>
      <w:r>
        <w:rPr>
          <w:rFonts w:ascii="IRNazanin" w:hAnsi="IRNazanin" w:eastAsia="IRNazanin"/>
          <w:color w:val="111111"/>
          <w:sz w:val="28"/>
          <w:sz w:val="28"/>
          <w:szCs w:val="28"/>
          <w:rtl w:val="true"/>
          <w:lang w:bidi="fa-IR"/>
        </w:rPr>
        <w:t>المولی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بأرش الجنایة مطلقاً </w:t>
      </w:r>
      <w:r>
        <w:rPr>
          <w:rStyle w:val="FootnoteAnchor"/>
          <w:rtl w:val="true"/>
        </w:rPr>
        <w:footnoteReference w:id="1765"/>
      </w:r>
      <w:r>
        <w:rPr>
          <w:rFonts w:ascii="IRNazanin" w:hAnsi="IRNazanin" w:eastAsia="IRNazanin"/>
          <w:color w:val="111111"/>
          <w:sz w:val="28"/>
          <w:sz w:val="28"/>
          <w:szCs w:val="28"/>
          <w:rtl w:val="true"/>
          <w:lang w:bidi="fa-IR"/>
        </w:rPr>
        <w:t>والأوّل 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وبین تسلیمه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المجنیّ علیه أو ولیّه لیسترقّه أو یسترقّ منه ما قابل جنایته</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وفی العمد التخیّر </w:t>
      </w:r>
      <w:r>
        <w:rPr>
          <w:rStyle w:val="FootnoteAnchor"/>
          <w:rtl w:val="true"/>
        </w:rPr>
        <w:footnoteReference w:id="17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الاقتصاص منه أو استرقاقه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للمجنیّ علیه، أو ولیّه</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جمیع ذلک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کالقنّ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فیُقتل إن قَتَل عمداً حرّاً أو عبداً، أو یُدفع إلی ولیّ المقتول یسترقّه، أو یفدیه مولاه بالأقلّ کما 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إن فداه أو بقی منه شیء بعد أرش الجنایة بقی علی تدبیره وإلّا بطل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مات مولاه قبل استرقاقه وفکّه فالأقوی انعتاقه؛ لأنّه لا یخرج عن ملکه بالجنایة فعلاً، وحینئذٍ فیسعی فی فکّ رقبته من الجنایة إن لم توجب قتلَه حرّاً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وکذا المکاتب المشروط والمطلق الذی لم یؤدّ شیئاً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أدّی شیئاً منها تحرّر منه بحسابه، فإذا قتل حرّاً عمداً قُتل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قتل مملوکاً فلا قَوَد وتعلّقت الجنایة بما فیه من الرقّیّة مبعَّضة، فیسعی فی نصیب الحرّیّة، ویُستوفی الباقی منه، أو یُباع فیه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ولو کان القتل خطأً فعلی الإمام بقدر ما فیه من الحرّیّة، والمولی بالخیار فی الباقی کما مرّ، سواء أدّی نصف ما علیه فصاعداً أم لا </w:t>
      </w:r>
      <w:r>
        <w:rPr>
          <w:rStyle w:val="FootnoteAnchor"/>
          <w:rtl w:val="true"/>
        </w:rPr>
        <w:footnoteReference w:id="1767"/>
      </w:r>
      <w:r>
        <w:rPr>
          <w:rFonts w:ascii="Amiri" w:hAnsi="Amiri" w:eastAsia="Amiri" w:cs="Amiri"/>
          <w:color w:val="111111"/>
          <w:sz w:val="28"/>
          <w:sz w:val="28"/>
          <w:szCs w:val="28"/>
          <w:rtl w:val="true"/>
          <w:lang w:bidi="ar-SA"/>
        </w:rPr>
        <w:t>وکذا القول فی کلّ مبعَّض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یقتل المبعَّض مطلقاً </w:t>
      </w:r>
      <w:r>
        <w:rPr>
          <w:rStyle w:val="FootnoteAnchor"/>
          <w:rtl w:val="true"/>
        </w:rPr>
        <w:footnoteReference w:id="1768"/>
      </w:r>
      <w:r>
        <w:rPr>
          <w:rFonts w:ascii="IRNazanin" w:hAnsi="IRNazanin" w:eastAsia="IRNazanin"/>
          <w:color w:val="111111"/>
          <w:sz w:val="28"/>
          <w:sz w:val="28"/>
          <w:szCs w:val="28"/>
          <w:rtl w:val="true"/>
          <w:lang w:bidi="fa-IR"/>
        </w:rPr>
        <w:t>بمن انعتق منه أقلّ ممّا انعتق من الجانی کما لا یقتل بالقنّ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ویقتل بمن تحرّر منه مثله أو أزید، کما یقتل بالحرّ</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قتل حرٌّ حرّین فصاعداً فلیس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لأولیائهم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لقوله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یجنی الجانی علی أکثر من نفسه</w:t>
      </w:r>
      <w:r>
        <w:rPr>
          <w:rFonts w:eastAsia="IRNazanin" w:cs="IRNazanin"/>
          <w:color w:val="111111"/>
          <w:sz w:val="28"/>
          <w:szCs w:val="28"/>
          <w:rtl w:val="true"/>
          <w:lang w:bidi="fa-IR"/>
        </w:rPr>
        <w:t xml:space="preserve">» </w:t>
      </w:r>
      <w:r>
        <w:rPr>
          <w:rStyle w:val="FootnoteAnchor"/>
          <w:rtl w:val="true"/>
        </w:rPr>
        <w:footnoteReference w:id="1769"/>
      </w:r>
      <w:r>
        <w:rPr>
          <w:rFonts w:ascii="IRNazanin" w:hAnsi="IRNazanin" w:eastAsia="IRNazanin"/>
          <w:color w:val="111111"/>
          <w:sz w:val="28"/>
          <w:sz w:val="28"/>
          <w:szCs w:val="28"/>
          <w:rtl w:val="true"/>
          <w:lang w:bidi="fa-IR"/>
        </w:rPr>
        <w:t>ولا فرق بین قتله لهم جمیعاً ومرتَّباً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عفا بعضهم فللباقی القصاص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وهل لبعضهم المطالبة بالدیة، ولبعضٍ القصاص؟ 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ظاهر الخبر، وتعدّد المستحقّ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فی جواز قتله بواحد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إمّا الأوّل أو بالقرعة أو تخییراً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وأخذ الدیة من ماله للباقین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لو بدر واحد منهم فقتله عن حقّه استوفاه، وکان للباقین الدیة؛ لفوات محلّ القصاص إن قلنا بوجوبها حیث یفوت وسیأتی </w:t>
      </w:r>
      <w:r>
        <w:rPr>
          <w:rStyle w:val="FootnoteAnchor"/>
          <w:rtl w:val="true"/>
        </w:rPr>
        <w:footnoteReference w:id="1770"/>
      </w:r>
      <w:r>
        <w:rPr>
          <w:rFonts w:ascii="IRNazanin" w:hAnsi="IRNazanin" w:eastAsia="IRNazanin"/>
          <w:color w:val="111111"/>
          <w:sz w:val="28"/>
          <w:sz w:val="28"/>
          <w:szCs w:val="28"/>
          <w:rtl w:val="true"/>
          <w:lang w:bidi="fa-IR"/>
        </w:rPr>
        <w:t>وظاهر العبارة منع ذلک کلّه، لتخصیصه حقَّهم بقتله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یمین اثنین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قطعت یمینه بالأوّل ویسراه </w:t>
      </w:r>
      <w:r>
        <w:rPr>
          <w:rStyle w:val="FootnoteAnchor"/>
          <w:rtl w:val="true"/>
        </w:rPr>
        <w:footnoteReference w:id="1771"/>
      </w:r>
      <w:r>
        <w:rPr>
          <w:rFonts w:ascii="IRNazanin" w:hAnsi="IRNazanin" w:eastAsia="IRNazanin"/>
          <w:color w:val="111111"/>
          <w:sz w:val="28"/>
          <w:sz w:val="28"/>
          <w:szCs w:val="28"/>
          <w:rtl w:val="true"/>
          <w:lang w:bidi="fa-IR"/>
        </w:rPr>
        <w:t>بالثانی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لتساوی الیدین فی الحقیقة وإن تغایرا من وجهٍ یغتفر عند تعذّر المماثلة من کلّ وجه، ولصحیحة حبیب السجستانی عن أبی جعفر علیه السلام فی رجل قطع یدین لرجلین الیمینین، 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یقطع یمینه للرجل الذی قطع یمینه أوّلاً ویقطع یساره للرجل الذی قطع یمینه أخیراً؛ لأنّه إنّما قطع ید الرجل الأخیر ویمینه قصاص للرجل الأوّل</w:t>
      </w:r>
      <w:r>
        <w:rPr>
          <w:rFonts w:eastAsia="IRNazanin" w:cs="IRNazanin"/>
          <w:color w:val="111111"/>
          <w:sz w:val="28"/>
          <w:szCs w:val="28"/>
          <w:rtl w:val="true"/>
          <w:lang w:bidi="fa-IR"/>
        </w:rPr>
        <w:t xml:space="preserve">» </w:t>
      </w:r>
      <w:r>
        <w:rPr>
          <w:rStyle w:val="FootnoteAnchor"/>
          <w:rtl w:val="true"/>
        </w:rPr>
        <w:footnoteReference w:id="1772"/>
      </w:r>
      <w:r>
        <w:rPr>
          <w:rFonts w:eastAsia="Times New Roman" w:cs="Times New Roman" w:ascii="Times New Roman" w:hAnsi="Times New Roman"/>
          <w:color w:val="111111"/>
          <w:sz w:val="28"/>
          <w:szCs w:val="28"/>
          <w:rtl w:val="true"/>
          <w:lang w:val="en-US" w:bidi="en-US"/>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ولو قطع ید ثالثٍ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قطعت رجله </w:t>
      </w:r>
      <w:r>
        <w:rPr>
          <w:rStyle w:val="FootnoteAnchor"/>
          <w:rtl w:val="true"/>
        </w:rPr>
        <w:footnoteReference w:id="1773"/>
      </w:r>
      <w:r>
        <w:rPr>
          <w:rFonts w:ascii="IRNazanin" w:hAnsi="IRNazanin" w:eastAsia="IRNazanin"/>
          <w:color w:val="111111"/>
          <w:sz w:val="28"/>
          <w:sz w:val="28"/>
          <w:szCs w:val="28"/>
          <w:rtl w:val="true"/>
          <w:lang w:bidi="fa-IR"/>
        </w:rPr>
        <w:t>لقوله علیه السلام فی هذه الروایة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والرجل بالید إذا لم یکن للقاطع 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توجب له الدیة وتترک رجله؟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توجب علیه الدیة إذا قطع ید رجل ولیس للقاطع یدان ولا رجلان، فثَمَّ توجب علیه الدیة؛ لأنّه لیس له جارحة فیقاصّ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ولأنّ المساواة الحقیقیّة لو اعتبرت لم یجز التخطّی من الیمنی إلی الیسری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ینتقل هنا إلی الدیة </w:t>
      </w:r>
      <w:r>
        <w:rPr>
          <w:rStyle w:val="FootnoteAnchor"/>
          <w:rtl w:val="true"/>
        </w:rPr>
        <w:footnoteReference w:id="1774"/>
      </w:r>
      <w:r>
        <w:rPr>
          <w:rFonts w:ascii="Amiri" w:hAnsi="Amiri" w:eastAsia="Amiri" w:cs="Amiri"/>
          <w:color w:val="111111"/>
          <w:sz w:val="28"/>
          <w:sz w:val="28"/>
          <w:szCs w:val="28"/>
          <w:rtl w:val="true"/>
          <w:lang w:bidi="ar-SA"/>
        </w:rPr>
        <w:t>لفقد المماثل الذی یدلّ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اَلنَّفْسَ بِالنَّفْسِ</w:t>
      </w:r>
      <w:r>
        <w:rPr>
          <w:rFonts w:eastAsia="Amiri" w:cs="Amiri" w:ascii="Amiri" w:hAnsi="Amiri"/>
          <w:color w:val="111111"/>
          <w:sz w:val="28"/>
          <w:szCs w:val="28"/>
          <w:rtl w:val="true"/>
          <w:lang w:bidi="ar-SA"/>
        </w:rPr>
        <w:t xml:space="preserve">. . .) </w:t>
      </w:r>
      <w:r>
        <w:rPr>
          <w:rStyle w:val="FootnoteAnchor"/>
          <w:rtl w:val="true"/>
        </w:rPr>
        <w:footnoteReference w:id="1775"/>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والخبر یدفع فقد التماثل </w:t>
      </w:r>
      <w:r>
        <w:rPr>
          <w:rStyle w:val="FootnoteAnchor"/>
          <w:rtl w:val="true"/>
        </w:rPr>
        <w:footnoteReference w:id="1776"/>
      </w:r>
      <w:r>
        <w:rPr>
          <w:rFonts w:ascii="IRNazanin" w:hAnsi="IRNazanin" w:eastAsia="IRNazanin"/>
          <w:color w:val="111111"/>
          <w:sz w:val="28"/>
          <w:sz w:val="28"/>
          <w:szCs w:val="28"/>
          <w:rtl w:val="true"/>
          <w:lang w:bidi="fa-IR"/>
        </w:rPr>
        <w:t>ویدلّ علی مماثلة الرِجل للید شرعاً وإن انتفت لغةً وعرفاً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یبقی الکلام فی صحّته، فإنّ الأصحاب وصفوه بالصحّة </w:t>
      </w:r>
      <w:r>
        <w:rPr>
          <w:rStyle w:val="FootnoteAnchor"/>
          <w:rtl w:val="true"/>
        </w:rPr>
        <w:footnoteReference w:id="1777"/>
      </w:r>
      <w:r>
        <w:rPr>
          <w:rFonts w:ascii="IRNazanin" w:hAnsi="IRNazanin" w:eastAsia="IRNazanin"/>
          <w:color w:val="111111"/>
          <w:sz w:val="28"/>
          <w:sz w:val="28"/>
          <w:szCs w:val="28"/>
          <w:rtl w:val="true"/>
          <w:lang w:bidi="fa-IR"/>
        </w:rPr>
        <w:t xml:space="preserve">مع أ نّهم لم ینصّوا علی توثیق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ولعلّهم أرادوا بصحّته فیما عداه، فإنّهم کثیراً ما یطلقون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وحینئذٍ فوجوب الدیة للرجل أجود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وأولی منه لو قطع ید رابع وبعدها فالدیة قطعاً</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قتل العبد حرّین فهو لأولیاء الثانی إن کان القتل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قتله للثانی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الحکم به للأوّل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اختار الأوّل استرقاقه قبل جنایته علی الثانی </w:t>
      </w:r>
      <w:r>
        <w:rPr>
          <w:rStyle w:val="FootnoteAnchor"/>
          <w:rtl w:val="true"/>
        </w:rPr>
        <w:footnoteReference w:id="1778"/>
      </w:r>
      <w:r>
        <w:rPr>
          <w:rFonts w:ascii="IRNazanin" w:hAnsi="IRNazanin" w:eastAsia="IRNazanin"/>
          <w:color w:val="111111"/>
          <w:sz w:val="28"/>
          <w:sz w:val="28"/>
          <w:szCs w:val="28"/>
          <w:rtl w:val="true"/>
          <w:lang w:bidi="fa-IR"/>
        </w:rPr>
        <w:t xml:space="preserve">وإن لم یحکم به حاکمٌ لبراءته من الجنایة الاُولی باسترقاقه 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تکن جنایته علی الثانی بعد الحکم به للأوّل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لتعلّق حقّهما معاً به وهو علی ملک مالکه، ولصحیحة زرارة عن الباقر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عبد جرح رجلین،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بینهما إن کانت الجنایة محیطة بقیمته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جرح رجلاً فی أوّل النهار وجرح آخر فی آخر النهار،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بینهما ما لم یحکم الوالی فی المجروح الأوّل،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جنی بعد ذلک جنایة فإنّ جنایته علی الأخیر</w:t>
      </w:r>
      <w:r>
        <w:rPr>
          <w:rFonts w:eastAsia="IRNazanin" w:cs="IRNazanin"/>
          <w:color w:val="111111"/>
          <w:sz w:val="28"/>
          <w:szCs w:val="28"/>
          <w:rtl w:val="true"/>
          <w:lang w:bidi="fa-IR"/>
        </w:rPr>
        <w:t xml:space="preserve">» </w:t>
      </w:r>
      <w:r>
        <w:rPr>
          <w:rStyle w:val="FootnoteAnchor"/>
          <w:rtl w:val="true"/>
        </w:rPr>
        <w:footnoteReference w:id="1779"/>
      </w:r>
      <w:r>
        <w:rPr>
          <w:rFonts w:eastAsia="Times New Roman" w:cs="Times New Roman" w:ascii="Times New Roman" w:hAnsi="Times New Roman"/>
          <w:color w:val="111111"/>
          <w:sz w:val="28"/>
          <w:szCs w:val="28"/>
          <w:rtl w:val="true"/>
          <w:lang w:val="en-US" w:bidi="en-US"/>
        </w:rPr>
        <w:t>.</w:t>
      </w:r>
      <w:bookmarkStart w:id="614" w:name="pg19815_253414"/>
    </w:p>
    <w:p>
      <w:pPr>
        <w:pStyle w:val="BookText"/>
        <w:rPr/>
      </w:pPr>
      <w:bookmarkEnd w:id="614"/>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للثانی </w:t>
      </w:r>
      <w:r>
        <w:rPr>
          <w:rStyle w:val="FootnoteAnchor"/>
          <w:rtl w:val="true"/>
        </w:rPr>
        <w:footnoteReference w:id="1780"/>
      </w:r>
      <w:r>
        <w:rPr>
          <w:rFonts w:ascii="IRNazanin" w:hAnsi="IRNazanin" w:eastAsia="IRNazanin"/>
          <w:color w:val="111111"/>
          <w:sz w:val="28"/>
          <w:sz w:val="28"/>
          <w:szCs w:val="28"/>
          <w:rtl w:val="true"/>
          <w:lang w:bidi="fa-IR"/>
        </w:rPr>
        <w:t xml:space="preserve">لصیرورته لأولیاء الأوّل بالجنایة الاُولی، فإذا قتل الثانی انتقل إلی أولیائه، ولروایة علیّ بن عقبة عن الصادق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عبد قتل أربعة أحرار واحداً بعد واحد،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لأهل الأخیر من القتلی، إن شاؤوا قتلوه وإن شاؤوا استرقّوه؛ لأنّه إذا قتل الأوّل استحقّه أولیاؤه، فإذا قتل الثانی استحقّ من أولیاء الأوّل فصار لأولیاء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w:t>
      </w:r>
      <w:r>
        <w:rPr>
          <w:rFonts w:eastAsia="IRNazanin" w:cs="IRNazanin"/>
          <w:color w:val="111111"/>
          <w:sz w:val="28"/>
          <w:szCs w:val="28"/>
          <w:rtl w:val="true"/>
          <w:lang w:bidi="fa-IR"/>
        </w:rPr>
        <w:t xml:space="preserve">. . . </w:t>
      </w:r>
      <w:r>
        <w:rPr>
          <w:rStyle w:val="FootnoteAnchor"/>
          <w:rtl w:val="true"/>
        </w:rPr>
        <w:footnoteReference w:id="1781"/>
      </w:r>
      <w:r>
        <w:rPr>
          <w:rFonts w:ascii="IRNazanin" w:hAnsi="IRNazanin" w:eastAsia="IRNazanin"/>
          <w:color w:val="111111"/>
          <w:sz w:val="28"/>
          <w:sz w:val="28"/>
          <w:szCs w:val="28"/>
          <w:rtl w:val="true"/>
          <w:lang w:bidi="fa-IR"/>
        </w:rPr>
        <w:t xml:space="preserve">وهذا الخبر مع ضعف سنده </w:t>
      </w:r>
      <w:r>
        <w:rPr>
          <w:rStyle w:val="FootnoteAnchor"/>
          <w:rtl w:val="true"/>
        </w:rPr>
        <w:footnoteReference w:id="1782"/>
      </w:r>
      <w:r>
        <w:rPr>
          <w:rFonts w:ascii="IRNazanin" w:hAnsi="IRNazanin" w:eastAsia="IRNazanin"/>
          <w:color w:val="111111"/>
          <w:sz w:val="28"/>
          <w:sz w:val="28"/>
          <w:szCs w:val="28"/>
          <w:rtl w:val="true"/>
          <w:lang w:bidi="fa-IR"/>
        </w:rPr>
        <w:t>یمکن حمله علی ما لو اختار أولیاء السابق استرقاقه قبل جنایته علی اللاحق، جمعاً بینه وبین ما سبق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الحکم لو تعدّد مقتوله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وکذا لو قتل عبدین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لمالکین یستوعب کلٌّ منهما قیمتَه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 وعبداً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فإنّ مولیی العبدین یشترکان فیه ما لم یسبق مولی الأوّل إلی استرقاقه قبل جنایته علی الثانی، فیکون لمولی الثانی، وکذا ولیّ الحرّ ومولی العبد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اختار الأوّل المال ورضی به المولی تعلّق حقّ الثانی برقبته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یقدّم الأوّل </w:t>
      </w:r>
      <w:r>
        <w:rPr>
          <w:rStyle w:val="FootnoteAnchor"/>
          <w:rtl w:val="true"/>
        </w:rPr>
        <w:footnoteReference w:id="1783"/>
      </w:r>
      <w:r>
        <w:rPr>
          <w:rFonts w:ascii="IRNazanin" w:hAnsi="IRNazanin" w:eastAsia="IRNazanin"/>
          <w:color w:val="111111"/>
          <w:sz w:val="28"/>
          <w:sz w:val="28"/>
          <w:szCs w:val="28"/>
          <w:rtl w:val="true"/>
          <w:lang w:bidi="fa-IR"/>
        </w:rPr>
        <w:t>لأنّ حقّه أسبق، ویسقط الثانی؛ لفوات محلّ استحقاقه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والأوّل أقوی</w:t>
      </w:r>
      <w:r>
        <w:rPr>
          <w:rFonts w:eastAsia="IRNazanin" w:cs="IRNazanin"/>
          <w:color w:val="111111"/>
          <w:sz w:val="28"/>
          <w:szCs w:val="28"/>
          <w:rtl w:val="true"/>
          <w:lang w:bidi="fa-IR"/>
        </w:rPr>
        <w:t>.</w:t>
      </w:r>
    </w:p>
    <w:p>
      <w:pPr>
        <w:pStyle w:val="Heading5"/>
        <w:numPr>
          <w:ilvl w:val="4"/>
          <w:numId w:val="1"/>
        </w:numPr>
        <w:rPr/>
      </w:pPr>
      <w:bookmarkStart w:id="615" w:name="__RefHeading___Toc2228139_2314609296"/>
      <w:bookmarkStart w:id="616" w:name="_Toc232"/>
      <w:bookmarkEnd w:id="615"/>
      <w:r>
        <w:rPr>
          <w:rtl w:val="true"/>
        </w:rPr>
        <w:t>[</w:t>
      </w:r>
      <w:r>
        <w:rPr/>
        <w:t>2</w:t>
      </w:r>
      <w:r>
        <w:rPr>
          <w:rtl w:val="true"/>
        </w:rPr>
        <w:t xml:space="preserve">- </w:t>
      </w:r>
      <w:r>
        <w:rPr>
          <w:rtl w:val="true"/>
        </w:rPr>
        <w:t>التساوی فی الدین</w:t>
      </w:r>
      <w:r>
        <w:rPr>
          <w:rtl w:val="true"/>
        </w:rPr>
        <w:t>]</w:t>
      </w:r>
      <w:bookmarkEnd w:id="61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التساوی فی الدین</w:t>
      </w:r>
      <w:r>
        <w:rPr>
          <w:rFonts w:eastAsia="IRNazanin" w:cs="IRNazanin"/>
          <w:color w:val="111111"/>
          <w:sz w:val="28"/>
          <w:szCs w:val="28"/>
          <w:rtl w:val="true"/>
          <w:lang w:bidi="fa-IR"/>
        </w:rPr>
        <w:t>» :</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یقتل مسلم بکافر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حربیّاً کان الکافر أم ذمّیّاً، ومعاهداً کان الحربی</w:t>
      </w:r>
    </w:p>
    <w:p>
      <w:pPr>
        <w:pStyle w:val="BookText"/>
        <w:rPr/>
      </w:pPr>
      <w:r>
        <w:rPr>
          <w:rFonts w:ascii="IRNazanin" w:hAnsi="IRNazanin" w:eastAsia="IRNazanin"/>
          <w:color w:val="111111"/>
          <w:sz w:val="28"/>
          <w:sz w:val="28"/>
          <w:szCs w:val="28"/>
          <w:rtl w:val="true"/>
          <w:lang w:bidi="fa-IR"/>
        </w:rPr>
        <w:t xml:space="preserve">أم 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ولکن یعزَّر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بقتل الذمّی والمعاهد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لتحریم قتلهما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ویغرم دیة الذمّیّ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ویستفاد من ذلک جواز قتل الحربیّ بغیر إذن الإمام وإن توقّف جواز جهاده علیه، ویفرق بین قتله وقتاله جهاداً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کذلک؛ لأنّ الجهاد من وظائف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یتمّ فی أهل الکتاب؛ لأنّ جهادهم یترتّب علیه أحکامٌ غیرُ القتل تتوقّف علی الحاکم، أمّا غیرهم فلیس فی جهاده إلّاالقتل أو الإسلام، وکلاهما لا یتوقّف تحقیقه </w:t>
      </w:r>
      <w:r>
        <w:rPr>
          <w:rStyle w:val="FootnoteAnchor"/>
          <w:rtl w:val="true"/>
        </w:rPr>
        <w:footnoteReference w:id="1784"/>
      </w:r>
      <w:r>
        <w:rPr>
          <w:rFonts w:ascii="IRNazanin" w:hAnsi="IRNazanin" w:eastAsia="IRNazanin"/>
          <w:color w:val="111111"/>
          <w:sz w:val="28"/>
          <w:sz w:val="28"/>
          <w:szCs w:val="28"/>
          <w:rtl w:val="true"/>
          <w:lang w:bidi="fa-IR"/>
        </w:rPr>
        <w:t>علی الحاکم، لکن قد یترتّب علی القتل أحکام اُخر مثل أحکام ما یُغنَم منهم ونحوه، وتلک وظیفة الإمام 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والقائل جماعات من الأصحاب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منهم الشیخان </w:t>
      </w:r>
      <w:r>
        <w:rPr>
          <w:rStyle w:val="FootnoteAnchor"/>
          <w:rtl w:val="true"/>
        </w:rPr>
        <w:footnoteReference w:id="1785"/>
      </w:r>
      <w:r>
        <w:rPr>
          <w:rFonts w:ascii="IRNazanin" w:hAnsi="IRNazanin" w:eastAsia="IRNazanin"/>
          <w:color w:val="111111"/>
          <w:sz w:val="28"/>
          <w:sz w:val="28"/>
          <w:szCs w:val="28"/>
          <w:rtl w:val="true"/>
          <w:lang w:bidi="fa-IR"/>
        </w:rPr>
        <w:t xml:space="preserve">والمرتضی </w:t>
      </w:r>
      <w:r>
        <w:rPr>
          <w:rStyle w:val="FootnoteAnchor"/>
          <w:rtl w:val="true"/>
        </w:rPr>
        <w:footnoteReference w:id="1786"/>
      </w:r>
      <w:r>
        <w:rPr>
          <w:rFonts w:ascii="Amiri" w:hAnsi="Amiri" w:eastAsia="Amiri" w:cs="Amiri"/>
          <w:color w:val="111111"/>
          <w:sz w:val="28"/>
          <w:sz w:val="28"/>
          <w:szCs w:val="28"/>
          <w:rtl w:val="true"/>
          <w:lang w:bidi="ar-SA"/>
        </w:rPr>
        <w:t xml:space="preserve">والمحقّق </w:t>
      </w:r>
      <w:r>
        <w:rPr>
          <w:rStyle w:val="FootnoteAnchor"/>
          <w:rtl w:val="true"/>
        </w:rPr>
        <w:footnoteReference w:id="1787"/>
      </w:r>
      <w:r>
        <w:rPr>
          <w:rFonts w:ascii="IRNazanin" w:hAnsi="IRNazanin" w:eastAsia="IRNazanin"/>
          <w:color w:val="111111"/>
          <w:sz w:val="28"/>
          <w:sz w:val="28"/>
          <w:szCs w:val="28"/>
          <w:rtl w:val="true"/>
          <w:lang w:bidi="fa-IR"/>
        </w:rPr>
        <w:t xml:space="preserve">والعلّامة فی أحد قولیه </w:t>
      </w:r>
      <w:r>
        <w:rPr>
          <w:rStyle w:val="FootnoteAnchor"/>
          <w:rtl w:val="true"/>
        </w:rPr>
        <w:footnoteReference w:id="1788"/>
      </w:r>
      <w:r>
        <w:rPr>
          <w:rFonts w:ascii="IRNazanin" w:hAnsi="IRNazanin" w:eastAsia="IRNazanin"/>
          <w:color w:val="111111"/>
          <w:sz w:val="28"/>
          <w:sz w:val="28"/>
          <w:szCs w:val="28"/>
          <w:rtl w:val="true"/>
          <w:lang w:bidi="fa-IR"/>
        </w:rPr>
        <w:t xml:space="preserve">والمصنّف فی الشرح </w:t>
      </w:r>
      <w:r>
        <w:rPr>
          <w:rStyle w:val="FootnoteAnchor"/>
          <w:rtl w:val="true"/>
        </w:rPr>
        <w:footnoteReference w:id="1789"/>
      </w:r>
      <w:r>
        <w:rPr>
          <w:rFonts w:ascii="IRNazanin" w:hAnsi="IRNazanin" w:eastAsia="IRNazanin"/>
          <w:color w:val="111111"/>
          <w:sz w:val="28"/>
          <w:sz w:val="28"/>
          <w:szCs w:val="28"/>
          <w:rtl w:val="true"/>
          <w:lang w:bidi="fa-IR"/>
        </w:rPr>
        <w:t xml:space="preserve">مدّعیاً الإجماع، فإنّ المخالف ابن إدریس </w:t>
      </w:r>
      <w:r>
        <w:rPr>
          <w:rStyle w:val="FootnoteAnchor"/>
          <w:rtl w:val="true"/>
        </w:rPr>
        <w:footnoteReference w:id="1790"/>
      </w:r>
      <w:r>
        <w:rPr>
          <w:rFonts w:ascii="IRNazanin" w:hAnsi="IRNazanin" w:eastAsia="IRNazanin"/>
          <w:color w:val="111111"/>
          <w:sz w:val="28"/>
          <w:sz w:val="28"/>
          <w:szCs w:val="28"/>
          <w:rtl w:val="true"/>
          <w:lang w:bidi="fa-IR"/>
        </w:rPr>
        <w:t>وقد سبقه الإجماع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اعتاد قتل أهل الذمّة اقتُصّ منه بعد ردّ فاضل دیته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ومستند هذا القول مع الإجماع المذکور</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روایةُ إسماعیل بن الفضل عن الصادق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دماء النصاری والیهود والمجوس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علیهم وعلی من قتلهم شیء إذا غشّوا المسلمین وأظهروا العداوة لهم والغشّ؟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إلّاأن یکون متعوّداً لقتلهم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وسألته عن المسلم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یُقتل بأهل الذمّة وأهل الکتاب إذا قتلهم؟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إلّاأن یکون</w:t>
      </w:r>
    </w:p>
    <w:p>
      <w:pPr>
        <w:pStyle w:val="BookText"/>
        <w:rPr/>
      </w:pPr>
      <w:r>
        <w:rPr>
          <w:rFonts w:ascii="IRNazanin" w:hAnsi="IRNazanin" w:eastAsia="IRNazanin"/>
          <w:color w:val="111111"/>
          <w:sz w:val="28"/>
          <w:sz w:val="28"/>
          <w:szCs w:val="28"/>
          <w:rtl w:val="true"/>
          <w:lang w:bidi="fa-IR"/>
        </w:rPr>
        <w:t>معتاداً لذلک لا یدع قتلهم، فیقتل وهو صاغر</w:t>
      </w:r>
      <w:r>
        <w:rPr>
          <w:rFonts w:eastAsia="IRNazanin" w:cs="IRNazanin"/>
          <w:color w:val="111111"/>
          <w:sz w:val="28"/>
          <w:szCs w:val="28"/>
          <w:rtl w:val="true"/>
          <w:lang w:bidi="fa-IR"/>
        </w:rPr>
        <w:t xml:space="preserve">» </w:t>
      </w:r>
      <w:r>
        <w:rPr>
          <w:rStyle w:val="FootnoteAnchor"/>
          <w:rtl w:val="true"/>
        </w:rPr>
        <w:footnoteReference w:id="17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 نّه مفسد فی الأرض بارتکابه قتلَ من حرّم اللّٰه قتله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والعجب أنّ ابن إدریس احتجّ علی مذهبه بالإجماع علی عدم قتل المسلم بالکافر، وهو استدلال فی مقابلة الإجماع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المصنّف فی الشرح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والحقّ أنّ هذه المسألة إجماعیّة، فإنّه لم یخالف فیها أحد سوی ابن إدریس وقد سبقه الإجماع، ولو کان هذا الخلاف مؤثّراً فی الإجماع لم یوجد إجماع أصلاً </w:t>
      </w:r>
      <w:r>
        <w:rPr>
          <w:rStyle w:val="FootnoteAnchor"/>
          <w:rtl w:val="true"/>
        </w:rPr>
        <w:footnoteReference w:id="1792"/>
      </w:r>
      <w:r>
        <w:rPr>
          <w:rFonts w:ascii="IRNazanin" w:hAnsi="IRNazanin" w:eastAsia="IRNazanin"/>
          <w:color w:val="111111"/>
          <w:sz w:val="28"/>
          <w:sz w:val="28"/>
          <w:szCs w:val="28"/>
          <w:rtl w:val="true"/>
          <w:lang w:bidi="fa-IR"/>
        </w:rPr>
        <w:t>والإجماع علی عدم قتل المسلم بالکافر یختصّ بغیر المعتاد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وأعجب من ذلک نقل المصنّف ذلک قولاً مشعراً بضعفه، بعد ما قرّره من الإجماع علیه </w:t>
      </w:r>
      <w:r>
        <w:rPr>
          <w:rStyle w:val="FootnoteAnchor"/>
          <w:rtl w:val="true"/>
        </w:rPr>
        <w:footnoteReference w:id="1793"/>
      </w:r>
      <w:r>
        <w:rPr>
          <w:rFonts w:ascii="IRNazanin" w:hAnsi="IRNazanin" w:eastAsia="IRNazanin"/>
          <w:color w:val="111111"/>
          <w:sz w:val="28"/>
          <w:sz w:val="28"/>
          <w:szCs w:val="28"/>
          <w:rtl w:val="true"/>
          <w:lang w:bidi="fa-IR"/>
        </w:rPr>
        <w:t>مع أنّ تصنیفه لهذا الکتاب بعد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واحتجّ فی المختلف لابن إدریس بروایة محمّد بن قیس عن الباقر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یُقاد مسلم بذمّیّ</w:t>
      </w:r>
      <w:r>
        <w:rPr>
          <w:rFonts w:eastAsia="IRNazanin" w:cs="IRNazanin"/>
          <w:color w:val="111111"/>
          <w:sz w:val="28"/>
          <w:szCs w:val="28"/>
          <w:rtl w:val="true"/>
          <w:lang w:bidi="fa-IR"/>
        </w:rPr>
        <w:t xml:space="preserve">» </w:t>
      </w:r>
      <w:r>
        <w:rPr>
          <w:rStyle w:val="FootnoteAnchor"/>
          <w:rtl w:val="true"/>
        </w:rPr>
        <w:footnoteReference w:id="1794"/>
      </w:r>
      <w:r>
        <w:rPr>
          <w:rFonts w:ascii="Amiri" w:hAnsi="Amiri" w:eastAsia="Amiri" w:cs="Amiri"/>
          <w:color w:val="111111"/>
          <w:sz w:val="28"/>
          <w:sz w:val="28"/>
          <w:szCs w:val="28"/>
          <w:rtl w:val="true"/>
          <w:lang w:bidi="ar-SA"/>
        </w:rPr>
        <w:t xml:space="preserve">وأجاب بأ نّه مطلق فیحمل علی المفصِّل </w:t>
      </w:r>
      <w:r>
        <w:rPr>
          <w:rStyle w:val="FootnoteAnchor"/>
          <w:rtl w:val="true"/>
        </w:rPr>
        <w:footnoteReference w:id="17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نّه نکرة فی سیاق النفی فیعمّ، ومعه یخصّ العامّ بالمخصّص المفصِّل، والمناقشة لفظیّة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والأقوی المشهور</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اختلف القائلون بقتله، فمنهم من جعله قَوَداً کالشیخ </w:t>
      </w:r>
      <w:r>
        <w:rPr>
          <w:rStyle w:val="FootnoteAnchor"/>
          <w:rtl w:val="true"/>
        </w:rPr>
        <w:footnoteReference w:id="1796"/>
      </w:r>
      <w:r>
        <w:rPr>
          <w:rFonts w:ascii="IRNazanin" w:hAnsi="IRNazanin" w:eastAsia="IRNazanin"/>
          <w:color w:val="111111"/>
          <w:sz w:val="28"/>
          <w:sz w:val="28"/>
          <w:szCs w:val="28"/>
          <w:rtl w:val="true"/>
          <w:lang w:bidi="fa-IR"/>
        </w:rPr>
        <w:t xml:space="preserve">ومن تبعه </w:t>
      </w:r>
      <w:r>
        <w:rPr>
          <w:rStyle w:val="FootnoteAnchor"/>
          <w:rtl w:val="true"/>
        </w:rPr>
        <w:footnoteReference w:id="1797"/>
      </w:r>
      <w:r>
        <w:rPr>
          <w:rFonts w:ascii="IRNazanin" w:hAnsi="IRNazanin" w:eastAsia="IRNazanin"/>
          <w:color w:val="111111"/>
          <w:sz w:val="28"/>
          <w:sz w:val="28"/>
          <w:szCs w:val="28"/>
          <w:rtl w:val="true"/>
          <w:lang w:bidi="fa-IR"/>
        </w:rPr>
        <w:t>فأوجبوا ردّ الفاضل من دیته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ومنهم من جعله حدّاً؛ لفساده، وهو العلّامة فی المختلف </w:t>
      </w:r>
      <w:r>
        <w:rPr>
          <w:rStyle w:val="FootnoteAnchor"/>
          <w:rtl w:val="true"/>
        </w:rPr>
        <w:footnoteReference w:id="1798"/>
      </w:r>
      <w:r>
        <w:rPr>
          <w:rFonts w:ascii="IRNazanin" w:hAnsi="IRNazanin" w:eastAsia="IRNazanin"/>
          <w:color w:val="111111"/>
          <w:sz w:val="28"/>
          <w:sz w:val="28"/>
          <w:szCs w:val="28"/>
          <w:rtl w:val="true"/>
          <w:lang w:bidi="fa-IR"/>
        </w:rPr>
        <w:t xml:space="preserve">وقبله ابن الجنید </w:t>
      </w:r>
      <w:r>
        <w:rPr>
          <w:rStyle w:val="FootnoteAnchor"/>
          <w:rtl w:val="true"/>
        </w:rPr>
        <w:footnoteReference w:id="1799"/>
      </w:r>
      <w:r>
        <w:rPr>
          <w:rFonts w:ascii="IRNazanin" w:hAnsi="IRNazanin" w:eastAsia="IRNazanin"/>
          <w:color w:val="111111"/>
          <w:sz w:val="28"/>
          <w:sz w:val="28"/>
          <w:szCs w:val="28"/>
          <w:rtl w:val="true"/>
          <w:lang w:bidi="fa-IR"/>
        </w:rPr>
        <w:t xml:space="preserve">وأبو الصلاح </w:t>
      </w:r>
      <w:r>
        <w:rPr>
          <w:rStyle w:val="FootnoteAnchor"/>
          <w:rtl w:val="true"/>
        </w:rPr>
        <w:footnoteReference w:id="18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ویمکن الجمع بین الحکمین فیقتل؛ لقتله وإفساده، ویردّ الورثة الفاضل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وتظهر فائدة القولین فی سقوط القَوَد بعفو الولیّ، وتوقّفه علی طلبه علی الأوّل دون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الأوّل ففی توقّفه علی طلب جمیع أولیاء المقتولین أو الأخیر خاصّة وجهان، منشؤهما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قتل الأوّل جزءاً من السبب أو شرطاً فیه، فعلی الأوّل الأوّل، وعلی الثانی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ولعلّه 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ویتفرّع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المردود علیه هو الفاضل عن دیات جمیع المقتولین أو عن دیة الأخیر، فعلی الأوّل الأوّل أیضاً، وعلی الثانی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والمرجع فی الاعتیاد إلی العرف وربما تحقّق بالثانیة؛ لأنّه مشتقّ من العود فیقتل فیها، أو فی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الأجود؛ لأنّ الاعتیاد شرط فی القصاص، فلا بدّ من تقدّمه علی استحقاقه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ویُقتل الذمّی بالذمّی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اختلفت ملّتهما کالیهودی والنصرانی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وبالذمّیّة مع الردّ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ردّ أولیائها علیه فاضل دیته عن دیة الذمّیّة وهو نصف دیته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تقتل الذمّیّة بالذمّیّ مطلقاً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ولیس علیها غرم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کالمسلمة إذا قُتلت بالمسلم؛ لأنّ الجانی لا یجنی علی أکثر من نفسه</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ویُقتل الذمّیّ بالمسلم ویُدفع 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الموجود علی ملکه حالةَ القتل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ووُلده الصغار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المکلّفین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أولیاء المسلم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وجه الملک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المفید </w:t>
      </w:r>
      <w:r>
        <w:rPr>
          <w:rStyle w:val="FootnoteAnchor"/>
          <w:rtl w:val="true"/>
        </w:rPr>
        <w:footnoteReference w:id="1801"/>
      </w:r>
      <w:r>
        <w:rPr>
          <w:rFonts w:ascii="Amiri" w:hAnsi="Amiri" w:eastAsia="Amiri" w:cs="Amiri"/>
          <w:color w:val="111111"/>
          <w:sz w:val="28"/>
          <w:sz w:val="28"/>
          <w:szCs w:val="28"/>
          <w:rtl w:val="true"/>
          <w:lang w:bidi="ar-SA"/>
        </w:rPr>
        <w:t xml:space="preserve">وجماعة </w:t>
      </w:r>
      <w:r>
        <w:rPr>
          <w:rStyle w:val="FootnoteAnchor"/>
          <w:rtl w:val="true"/>
        </w:rPr>
        <w:footnoteReference w:id="1802"/>
      </w:r>
      <w:r>
        <w:rPr>
          <w:rFonts w:ascii="IRNazanin" w:hAnsi="IRNazanin" w:eastAsia="IRNazanin"/>
          <w:color w:val="111111"/>
          <w:sz w:val="28"/>
          <w:sz w:val="28"/>
          <w:szCs w:val="28"/>
          <w:rtl w:val="true"/>
          <w:lang w:bidi="fa-IR"/>
        </w:rPr>
        <w:t xml:space="preserve">وربما نُسب إلی الشیخ أیضاً </w:t>
      </w:r>
      <w:r>
        <w:rPr>
          <w:rStyle w:val="FootnoteAnchor"/>
          <w:rtl w:val="true"/>
        </w:rPr>
        <w:footnoteReference w:id="1803"/>
      </w:r>
      <w:r>
        <w:rPr>
          <w:rFonts w:ascii="IRNazanin" w:hAnsi="IRNazanin" w:eastAsia="IRNazanin"/>
          <w:color w:val="111111"/>
          <w:sz w:val="28"/>
          <w:sz w:val="28"/>
          <w:szCs w:val="28"/>
          <w:rtl w:val="true"/>
          <w:lang w:bidi="fa-IR"/>
        </w:rPr>
        <w:t>ولکن قال المصنّف فی الشرح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لم یجده فی کتبه </w:t>
      </w:r>
      <w:r>
        <w:rPr>
          <w:rStyle w:val="FootnoteAnchor"/>
          <w:rtl w:val="true"/>
        </w:rPr>
        <w:footnoteReference w:id="18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وإنّما نسب الحکم إلی قول </w:t>
      </w:r>
      <w:r>
        <w:rPr>
          <w:rStyle w:val="FootnoteAnchor"/>
          <w:rtl w:val="true"/>
        </w:rPr>
        <w:footnoteReference w:id="1805"/>
      </w:r>
      <w:r>
        <w:rPr>
          <w:rFonts w:ascii="IRNazanin" w:hAnsi="IRNazanin" w:eastAsia="IRNazanin"/>
          <w:color w:val="111111"/>
          <w:sz w:val="28"/>
          <w:sz w:val="28"/>
          <w:szCs w:val="28"/>
          <w:rtl w:val="true"/>
          <w:lang w:bidi="fa-IR"/>
        </w:rPr>
        <w:t xml:space="preserve">لعدم ظهور دلالة علیه، فإنّ روایة ضریس </w:t>
      </w:r>
      <w:r>
        <w:rPr>
          <w:rStyle w:val="FootnoteAnchor"/>
          <w:rtl w:val="true"/>
        </w:rPr>
        <w:footnoteReference w:id="1806"/>
      </w:r>
      <w:r>
        <w:rPr>
          <w:rFonts w:ascii="Amiri" w:hAnsi="Amiri" w:eastAsia="Amiri" w:cs="Amiri"/>
          <w:color w:val="111111"/>
          <w:sz w:val="28"/>
          <w:sz w:val="28"/>
          <w:szCs w:val="28"/>
          <w:rtl w:val="true"/>
          <w:lang w:bidi="ar-SA"/>
        </w:rPr>
        <w:t>التی هی مستند الحکم خالیة عن حکم أولاده، وأصالة حرّیّتهم لانعقادهم علیها، وعموم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تَزِرُ وٰازِرَةٌ وِزْرَ أُخْریٰ</w:t>
      </w:r>
      <w:r>
        <w:rPr>
          <w:rFonts w:eastAsia="Amiri" w:cs="Amiri" w:ascii="Amiri" w:hAnsi="Amiri"/>
          <w:color w:val="111111"/>
          <w:sz w:val="28"/>
          <w:szCs w:val="28"/>
          <w:rtl w:val="true"/>
          <w:lang w:bidi="ar-SA"/>
        </w:rPr>
        <w:t xml:space="preserve">) </w:t>
      </w:r>
      <w:r>
        <w:rPr>
          <w:rStyle w:val="FootnoteAnchor"/>
          <w:rtl w:val="true"/>
        </w:rPr>
        <w:footnoteReference w:id="1807"/>
      </w:r>
      <w:r>
        <w:rPr>
          <w:rFonts w:ascii="Amiri" w:hAnsi="Amiri" w:eastAsia="Amiri" w:cs="Amiri"/>
          <w:color w:val="111111"/>
          <w:sz w:val="28"/>
          <w:sz w:val="28"/>
          <w:szCs w:val="28"/>
          <w:rtl w:val="true"/>
          <w:lang w:bidi="ar-SA"/>
        </w:rPr>
        <w:t>ینفیه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ثَمّ ردّه ابن إدریس </w:t>
      </w:r>
      <w:r>
        <w:rPr>
          <w:rStyle w:val="FootnoteAnchor"/>
          <w:rtl w:val="true"/>
        </w:rPr>
        <w:footnoteReference w:id="1808"/>
      </w:r>
      <w:r>
        <w:rPr>
          <w:rFonts w:ascii="Amiri" w:hAnsi="Amiri" w:eastAsia="Amiri" w:cs="Amiri"/>
          <w:color w:val="111111"/>
          <w:sz w:val="28"/>
          <w:sz w:val="28"/>
          <w:szCs w:val="28"/>
          <w:rtl w:val="true"/>
          <w:lang w:bidi="ar-SA"/>
        </w:rPr>
        <w:t xml:space="preserve">وجماعة </w:t>
      </w:r>
      <w:r>
        <w:rPr>
          <w:rStyle w:val="FootnoteAnchor"/>
          <w:rtl w:val="true"/>
        </w:rPr>
        <w:footnoteReference w:id="1809"/>
      </w:r>
      <w:r>
        <w:rPr>
          <w:rFonts w:eastAsia="Times New Roman" w:cs="Times New Roman" w:ascii="Times New Roman" w:hAnsi="Times New Roman"/>
          <w:color w:val="111111"/>
          <w:sz w:val="28"/>
          <w:szCs w:val="28"/>
          <w:rtl w:val="true"/>
          <w:lang w:val="en-US" w:bidi="en-US"/>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ووُجّه القول </w:t>
      </w:r>
      <w:r>
        <w:rPr>
          <w:rStyle w:val="FootnoteAnchor"/>
          <w:rtl w:val="true"/>
        </w:rPr>
        <w:footnoteReference w:id="1810"/>
      </w:r>
      <w:r>
        <w:rPr>
          <w:rFonts w:ascii="IRNazanin" w:hAnsi="IRNazanin" w:eastAsia="IRNazanin"/>
          <w:color w:val="111111"/>
          <w:sz w:val="28"/>
          <w:sz w:val="28"/>
          <w:szCs w:val="28"/>
          <w:rtl w:val="true"/>
          <w:lang w:bidi="fa-IR"/>
        </w:rPr>
        <w:t>بأنّ الطفل یتبع أباه، فإذا ثبت له الاسترقاق شارکه فیه، وبأنّ المقتضی لحقن دمه واحترام ماله ووُلده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التزامه بالذمّة وقد خرقها بالقتل، فیجری علیه أحکام أهل الحرب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ذلک یوجب اشتراک المسلمین فیهم؛ لأنّهم فیء، أو اختصاص الإمام علیه السلام بهم، لا اختصاص أولیاء المقتول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الاقتصار علی ما اتّفق علیه الأصحاب ووردت به النصوص من جواز قتله، والعفو، والاسترقاق له، وأخذ ماله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وللولیّ استرقاقه إلّاأن یُسلم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فالقتل لا 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لامتناع استرقاق المسلم ابتداءً، وأخذُ ماله باقٍ علی التقدیرین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قتل الکافرُ مثلَه ثمّ أسلم القاتل فالدیة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غیر إن کان المقتول ذمّیّاً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لامتناع قتل المسلم بالکافر فی غیر ما استثنی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 المقتول الکافر غیر ذمّیّ فلا قتل علی قاتله مطلقاً ولا دیة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وولد الزنا إذا بلغ وعقل وأظهر الإسلام مسلم، یُقتل به ولد الرشدة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بفتح الراء وکسرها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 ولد الزنا وإن کان لشبهة؛ لتساویهما فی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قتله قبل البلوغ لم یُقتل به، وکذا لا یُقتل به المسلم مطلقاً عند من یری أ نّه کافر وإن أظهر الإسلام </w:t>
      </w:r>
      <w:r>
        <w:rPr>
          <w:rStyle w:val="FootnoteAnchor"/>
          <w:rtl w:val="true"/>
        </w:rPr>
        <w:footnoteReference w:id="18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ویُقتل الذمّی بالمرتدّ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فطریّاً کان أم ملّیّاً؛ لأنّه محقون الدم بالنسبة إلیه، لبقاء عُلقة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العکس علی الأقوی؛ لتساویهما فی أصل الکفر، کما یُقتل الیهودی بالنصرانی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لو رجع الملّی إلی الإسلام فلا قود، وعلیه دیة الذمّیّ</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یُقتل به المسلمُ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أساء بقتله؛ لأنّ أمره إلی الإمام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والأقرب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للمرتدّ مطلقاً بقتل المسلم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بمنزلة</w:t>
      </w:r>
      <w:bookmarkStart w:id="617" w:name="pg19815_253420"/>
    </w:p>
    <w:p>
      <w:pPr>
        <w:pStyle w:val="BookText"/>
        <w:rPr/>
      </w:pPr>
      <w:bookmarkEnd w:id="617"/>
      <w:r>
        <w:rPr>
          <w:rFonts w:ascii="IRNazanin" w:hAnsi="IRNazanin" w:eastAsia="IRNazanin"/>
          <w:color w:val="111111"/>
          <w:sz w:val="28"/>
          <w:sz w:val="28"/>
          <w:szCs w:val="28"/>
          <w:rtl w:val="true"/>
          <w:lang w:bidi="fa-IR"/>
        </w:rPr>
        <w:t>الکافر الذی لا دیة له، وإن کان قبل استتابة الملّیّ؛ لأنّ مفارقته للکافر بذلک لا یخرجه عن الکفر، ولأنّ الدیة مقدّر شرعیّ فیقف ثبوتها علی الدلیل الشرعیّ، وهو منتفٍ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ویُحتمل وجوب دیة الذمّیّ؛ لأنّه </w:t>
      </w:r>
      <w:r>
        <w:rPr>
          <w:rStyle w:val="FootnoteAnchor"/>
          <w:rtl w:val="true"/>
        </w:rPr>
        <w:footnoteReference w:id="1812"/>
      </w:r>
      <w:r>
        <w:rPr>
          <w:rFonts w:ascii="IRNazanin" w:hAnsi="IRNazanin" w:eastAsia="IRNazanin"/>
          <w:color w:val="111111"/>
          <w:sz w:val="28"/>
          <w:sz w:val="28"/>
          <w:szCs w:val="28"/>
          <w:rtl w:val="true"/>
          <w:lang w:bidi="fa-IR"/>
        </w:rPr>
        <w:t>أقرب منه إلی الإسلام، فلا أقلّ من کون دیته کدیته، مع أصالة البراءة من الزائد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ضعیف</w:t>
      </w:r>
      <w:r>
        <w:rPr>
          <w:rFonts w:eastAsia="IRNazanin" w:cs="IRNazanin"/>
          <w:color w:val="111111"/>
          <w:sz w:val="28"/>
          <w:szCs w:val="28"/>
          <w:rtl w:val="true"/>
          <w:lang w:bidi="fa-IR"/>
        </w:rPr>
        <w:t>.</w:t>
      </w:r>
    </w:p>
    <w:p>
      <w:pPr>
        <w:pStyle w:val="Heading5"/>
        <w:numPr>
          <w:ilvl w:val="4"/>
          <w:numId w:val="1"/>
        </w:numPr>
        <w:rPr/>
      </w:pPr>
      <w:bookmarkStart w:id="618" w:name="__RefHeading___Toc2228141_2314609296"/>
      <w:bookmarkStart w:id="619" w:name="_Toc233"/>
      <w:bookmarkEnd w:id="618"/>
      <w:r>
        <w:rPr>
          <w:rtl w:val="true"/>
        </w:rPr>
        <w:t>[</w:t>
      </w:r>
      <w:r>
        <w:rPr/>
        <w:t>3</w:t>
      </w:r>
      <w:r>
        <w:rPr>
          <w:rtl w:val="true"/>
        </w:rPr>
        <w:t xml:space="preserve">- </w:t>
      </w:r>
      <w:r>
        <w:rPr>
          <w:rtl w:val="true"/>
        </w:rPr>
        <w:t>انتفاء الابوة</w:t>
      </w:r>
      <w:r>
        <w:rPr>
          <w:rtl w:val="true"/>
        </w:rPr>
        <w:t>]</w:t>
      </w:r>
      <w:bookmarkEnd w:id="61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انتفاء الاُبوّة</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یُقتل الوالد وإن علا بابنه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نزل لقوله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یقاد للابن من أبیه</w:t>
      </w:r>
      <w:r>
        <w:rPr>
          <w:rFonts w:eastAsia="IRNazanin" w:cs="IRNazanin"/>
          <w:color w:val="111111"/>
          <w:sz w:val="28"/>
          <w:szCs w:val="28"/>
          <w:rtl w:val="true"/>
          <w:lang w:bidi="fa-IR"/>
        </w:rPr>
        <w:t xml:space="preserve">» </w:t>
      </w:r>
      <w:r>
        <w:rPr>
          <w:rStyle w:val="FootnoteAnchor"/>
          <w:rtl w:val="true"/>
        </w:rPr>
        <w:footnoteReference w:id="18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والبنت کالابن إجماعاً، أو بطریق 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بعض الأخبار عن الصادق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یُقتل والد بولده ویُقتل الولد بوالده</w:t>
      </w:r>
      <w:r>
        <w:rPr>
          <w:rFonts w:eastAsia="IRNazanin" w:cs="IRNazanin"/>
          <w:color w:val="111111"/>
          <w:sz w:val="28"/>
          <w:szCs w:val="28"/>
          <w:rtl w:val="true"/>
          <w:lang w:bidi="fa-IR"/>
        </w:rPr>
        <w:t xml:space="preserve">» </w:t>
      </w:r>
      <w:r>
        <w:rPr>
          <w:rStyle w:val="FootnoteAnchor"/>
          <w:rtl w:val="true"/>
        </w:rPr>
        <w:footnoteReference w:id="1814"/>
      </w:r>
      <w:r>
        <w:rPr>
          <w:rFonts w:ascii="IRNazanin" w:hAnsi="IRNazanin" w:eastAsia="IRNazanin"/>
          <w:color w:val="111111"/>
          <w:sz w:val="28"/>
          <w:sz w:val="28"/>
          <w:szCs w:val="28"/>
          <w:rtl w:val="true"/>
          <w:lang w:bidi="fa-IR"/>
        </w:rPr>
        <w:t>وهو شامل للاُنثی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وعُلّل أیضاً بأنّ الأب کان سبباً فی وجود الولد، فلا یکون الولد سبباً فی عدمه </w:t>
      </w:r>
      <w:r>
        <w:rPr>
          <w:rStyle w:val="FootnoteAnchor"/>
          <w:rtl w:val="true"/>
        </w:rPr>
        <w:footnoteReference w:id="1815"/>
      </w:r>
      <w:r>
        <w:rPr>
          <w:rFonts w:ascii="Amiri" w:hAnsi="Amiri" w:eastAsia="Amiri" w:cs="Amiri"/>
          <w:color w:val="111111"/>
          <w:sz w:val="28"/>
          <w:sz w:val="28"/>
          <w:szCs w:val="28"/>
          <w:rtl w:val="true"/>
          <w:lang w:bidi="ar-SA"/>
        </w:rPr>
        <w:t>وهو لا یتمّ فی الاُمّ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ویُعزَّر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الوالد بقتل الولد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وتجب 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لغیره من الورّاث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ویُقتل باقی الأقارب بعضهم ببعض، کالولد بوالده والاُمّ بابنها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والأجداد من قِبَلها، وإن کانت لأب، والجدّات مطلقاً، والإخوة والأعمام، والأخوال، وغیرهم</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فرق فی الوالد بین المساوی لولده فی الدین والحرّیّة والمخالف،</w:t>
      </w:r>
      <w:bookmarkStart w:id="620" w:name="pg19815_253421"/>
    </w:p>
    <w:p>
      <w:pPr>
        <w:pStyle w:val="BookText"/>
        <w:rPr/>
      </w:pPr>
      <w:bookmarkEnd w:id="620"/>
      <w:r>
        <w:rPr>
          <w:rFonts w:ascii="IRNazanin" w:hAnsi="IRNazanin" w:eastAsia="IRNazanin"/>
          <w:color w:val="111111"/>
          <w:sz w:val="28"/>
          <w:sz w:val="28"/>
          <w:szCs w:val="28"/>
          <w:rtl w:val="true"/>
          <w:lang w:bidi="fa-IR"/>
        </w:rPr>
        <w:t>فلا یُقتل الأب الکافر بولده المسلم، ولا الأب العبد بولده الحرّ؛ للعموم، ولأنّ المانع شرف الاُبوّة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یقتل الولد المسلم بالأب الکافر، ولا الحرّ بالعبد؛ لعدم التکافؤ</w:t>
      </w:r>
      <w:r>
        <w:rPr>
          <w:rFonts w:eastAsia="IRNazanin" w:cs="IRNazanin"/>
          <w:color w:val="111111"/>
          <w:sz w:val="28"/>
          <w:szCs w:val="28"/>
          <w:rtl w:val="true"/>
          <w:lang w:bidi="fa-IR"/>
        </w:rPr>
        <w:t>.</w:t>
      </w:r>
    </w:p>
    <w:p>
      <w:pPr>
        <w:pStyle w:val="Heading5"/>
        <w:numPr>
          <w:ilvl w:val="4"/>
          <w:numId w:val="1"/>
        </w:numPr>
        <w:rPr/>
      </w:pPr>
      <w:bookmarkStart w:id="621" w:name="__RefHeading___Toc2228143_2314609296"/>
      <w:bookmarkStart w:id="622" w:name="_Toc234"/>
      <w:bookmarkEnd w:id="621"/>
      <w:r>
        <w:rPr>
          <w:rtl w:val="true"/>
        </w:rPr>
        <w:t>[</w:t>
      </w:r>
      <w:r>
        <w:rPr/>
        <w:t>4</w:t>
      </w:r>
      <w:r>
        <w:rPr>
          <w:rtl w:val="true"/>
        </w:rPr>
        <w:t xml:space="preserve">- </w:t>
      </w:r>
      <w:r>
        <w:rPr>
          <w:rtl w:val="true"/>
        </w:rPr>
        <w:t xml:space="preserve">کمال العقل </w:t>
      </w:r>
      <w:r>
        <w:rPr>
          <w:rtl w:val="true"/>
        </w:rPr>
        <w:t>]</w:t>
      </w:r>
      <w:bookmarkEnd w:id="62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العقل</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یُقتل المجنونُ بعاقلٍ ولا مجنون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کان الجنون دائماً أم أدواراً إذا قتله حال جنونه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ثابتة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عاقلته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لعدم قصده القتلَ فیکون کخطأ العاقل، ولصحیحة محمّد بن مسلم عن أبی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أمیر المؤمنین علیه الصلاة والسلام یجعل جنایة المعتوه علی عاقلته خطأً کان أو عمداً</w:t>
      </w:r>
      <w:r>
        <w:rPr>
          <w:rFonts w:eastAsia="IRNazanin" w:cs="IRNazanin"/>
          <w:color w:val="111111"/>
          <w:sz w:val="28"/>
          <w:szCs w:val="28"/>
          <w:rtl w:val="true"/>
          <w:lang w:bidi="fa-IR"/>
        </w:rPr>
        <w:t xml:space="preserve">» </w:t>
      </w:r>
      <w:r>
        <w:rPr>
          <w:rStyle w:val="FootnoteAnchor"/>
          <w:rtl w:val="true"/>
        </w:rPr>
        <w:footnoteReference w:id="18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وکما یعتبر العقل فی طرف القاتل کذا یعتبر فی طرف المقتول، فلو قتل العاقلُ مجنوناً لم یُقتل به، بل الدیة إن کان القتل عمداً أو شبهه، وإلّا فعلی العاقلة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صال المجنون علیه ولم یمکنه دفعه إلّابقتله فهدر</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یقتل الصبیّ ببالغ ولا صبیّ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تثبت الدیة علی عاقلته بجعل عمده خطأً محضاً إلی أن یبلغ وإن میّز؛ لصحیحة محمّد بن مسلم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عمد الصبیّ وخطؤه واحد</w:t>
      </w:r>
      <w:r>
        <w:rPr>
          <w:rFonts w:eastAsia="IRNazanin" w:cs="IRNazanin"/>
          <w:color w:val="111111"/>
          <w:sz w:val="28"/>
          <w:szCs w:val="28"/>
          <w:rtl w:val="true"/>
          <w:lang w:bidi="fa-IR"/>
        </w:rPr>
        <w:t xml:space="preserve">» </w:t>
      </w:r>
      <w:r>
        <w:rPr>
          <w:rStyle w:val="FootnoteAnchor"/>
          <w:rtl w:val="true"/>
        </w:rPr>
        <w:footnoteReference w:id="1817"/>
      </w:r>
      <w:r>
        <w:rPr>
          <w:rFonts w:ascii="IRNazanin" w:hAnsi="IRNazanin" w:eastAsia="IRNazanin"/>
          <w:color w:val="111111"/>
          <w:sz w:val="28"/>
          <w:sz w:val="28"/>
          <w:szCs w:val="28"/>
          <w:rtl w:val="true"/>
          <w:lang w:bidi="fa-IR"/>
        </w:rPr>
        <w:t>وعنه أنّ علیّاً علیه السلام کان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عمد الصبیان خطأ نحمله علی العاقلة</w:t>
      </w:r>
      <w:r>
        <w:rPr>
          <w:rFonts w:eastAsia="IRNazanin" w:cs="IRNazanin"/>
          <w:color w:val="111111"/>
          <w:sz w:val="28"/>
          <w:szCs w:val="28"/>
          <w:rtl w:val="true"/>
          <w:lang w:bidi="fa-IR"/>
        </w:rPr>
        <w:t xml:space="preserve">» </w:t>
      </w:r>
      <w:r>
        <w:rPr>
          <w:rStyle w:val="FootnoteAnchor"/>
          <w:rtl w:val="true"/>
        </w:rPr>
        <w:footnoteReference w:id="1818"/>
      </w:r>
      <w:r>
        <w:rPr>
          <w:rFonts w:ascii="IRNazanin" w:hAnsi="IRNazanin" w:eastAsia="IRNazanin"/>
          <w:color w:val="111111"/>
          <w:sz w:val="28"/>
          <w:sz w:val="28"/>
          <w:szCs w:val="28"/>
          <w:rtl w:val="true"/>
          <w:lang w:bidi="fa-IR"/>
        </w:rPr>
        <w:t xml:space="preserve">واعتبر فی التحریر مع البلوغ الرشد </w:t>
      </w:r>
      <w:r>
        <w:rPr>
          <w:rStyle w:val="FootnoteAnchor"/>
          <w:rtl w:val="true"/>
        </w:rPr>
        <w:footnoteReference w:id="1819"/>
      </w:r>
      <w:r>
        <w:rPr>
          <w:rFonts w:ascii="IRNazanin" w:hAnsi="IRNazanin" w:eastAsia="IRNazanin"/>
          <w:color w:val="111111"/>
          <w:sz w:val="28"/>
          <w:sz w:val="28"/>
          <w:szCs w:val="28"/>
          <w:rtl w:val="true"/>
          <w:lang w:bidi="fa-IR"/>
        </w:rPr>
        <w:t>ولیس بواضح</w:t>
      </w:r>
      <w:r>
        <w:rPr>
          <w:rFonts w:eastAsia="IRNazanin" w:cs="IRNazanin"/>
          <w:color w:val="111111"/>
          <w:sz w:val="28"/>
          <w:szCs w:val="28"/>
          <w:rtl w:val="true"/>
          <w:lang w:bidi="fa-IR"/>
        </w:rPr>
        <w:t>.</w:t>
      </w:r>
      <w:bookmarkStart w:id="623" w:name="pg19815_253422"/>
    </w:p>
    <w:p>
      <w:pPr>
        <w:pStyle w:val="BookText"/>
        <w:rPr/>
      </w:pPr>
      <w:bookmarkEnd w:id="62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ویقتل البالغ بالصبیّ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أصحّ القولین؛ لعموم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اَلنَّفْسَ بِالنَّفْسِ</w:t>
      </w:r>
      <w:r>
        <w:rPr>
          <w:rFonts w:eastAsia="Amiri" w:cs="Amiri" w:ascii="Amiri" w:hAnsi="Amiri"/>
          <w:color w:val="111111"/>
          <w:sz w:val="28"/>
          <w:szCs w:val="28"/>
          <w:rtl w:val="true"/>
          <w:lang w:bidi="ar-SA"/>
        </w:rPr>
        <w:t xml:space="preserve">) </w:t>
      </w:r>
      <w:r>
        <w:rPr>
          <w:rStyle w:val="FootnoteAnchor"/>
          <w:rtl w:val="true"/>
        </w:rPr>
        <w:footnoteReference w:id="1820"/>
      </w:r>
      <w:r>
        <w:rPr>
          <w:rFonts w:ascii="IRNazanin" w:hAnsi="IRNazanin" w:eastAsia="IRNazanin"/>
          <w:color w:val="111111"/>
          <w:sz w:val="28"/>
          <w:sz w:val="28"/>
          <w:szCs w:val="28"/>
          <w:rtl w:val="true"/>
          <w:lang w:bidi="fa-IR"/>
        </w:rPr>
        <w:t xml:space="preserve">وأوجب أبو الصلاح فی قتل البالغ له </w:t>
      </w:r>
      <w:r>
        <w:rPr>
          <w:rStyle w:val="FootnoteAnchor"/>
          <w:rtl w:val="true"/>
        </w:rPr>
        <w:footnoteReference w:id="1821"/>
      </w:r>
      <w:r>
        <w:rPr>
          <w:rFonts w:ascii="IRNazanin" w:hAnsi="IRNazanin" w:eastAsia="IRNazanin"/>
          <w:color w:val="111111"/>
          <w:sz w:val="28"/>
          <w:sz w:val="28"/>
          <w:szCs w:val="28"/>
          <w:rtl w:val="true"/>
          <w:lang w:bidi="fa-IR"/>
        </w:rPr>
        <w:t xml:space="preserve">الدیة کالمجنون </w:t>
      </w:r>
      <w:r>
        <w:rPr>
          <w:rStyle w:val="FootnoteAnchor"/>
          <w:rtl w:val="true"/>
        </w:rPr>
        <w:footnoteReference w:id="1822"/>
      </w:r>
      <w:r>
        <w:rPr>
          <w:rFonts w:ascii="IRNazanin" w:hAnsi="IRNazanin" w:eastAsia="IRNazanin"/>
          <w:color w:val="111111"/>
          <w:sz w:val="28"/>
          <w:sz w:val="28"/>
          <w:szCs w:val="28"/>
          <w:rtl w:val="true"/>
          <w:lang w:bidi="fa-IR"/>
        </w:rPr>
        <w:t>لاشتراکهما فی نقصان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ویضعَّف بأنّ المجنون خرج بدلیل خارج وإلّا کانت الآیة متناولة له </w:t>
      </w:r>
      <w:r>
        <w:rPr>
          <w:rStyle w:val="FootnoteAnchor"/>
          <w:rtl w:val="true"/>
        </w:rPr>
        <w:footnoteReference w:id="1823"/>
      </w:r>
      <w:r>
        <w:rPr>
          <w:rFonts w:ascii="IRNazanin" w:hAnsi="IRNazanin" w:eastAsia="IRNazanin"/>
          <w:color w:val="111111"/>
          <w:sz w:val="28"/>
          <w:sz w:val="28"/>
          <w:szCs w:val="28"/>
          <w:rtl w:val="true"/>
          <w:lang w:bidi="fa-IR"/>
        </w:rPr>
        <w:t>بخلاف الصبیّ مع أنّ الفرق بینهما متحقّق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قتل العاقل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یثبت علیه بقتله القصاص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جُنَّ اقتُصّ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حالةَ الجنون؛ لثبوت الحقّ فی ذمّته عاقلاً، فیستصحب کغیره من الحقوق</w:t>
      </w:r>
      <w:r>
        <w:rPr>
          <w:rFonts w:eastAsia="IRNazanin" w:cs="IRNazanin"/>
          <w:color w:val="111111"/>
          <w:sz w:val="28"/>
          <w:szCs w:val="28"/>
          <w:rtl w:val="true"/>
          <w:lang w:bidi="fa-IR"/>
        </w:rPr>
        <w:t>.</w:t>
      </w:r>
    </w:p>
    <w:p>
      <w:pPr>
        <w:pStyle w:val="Heading5"/>
        <w:numPr>
          <w:ilvl w:val="4"/>
          <w:numId w:val="1"/>
        </w:numPr>
        <w:rPr/>
      </w:pPr>
      <w:bookmarkStart w:id="624" w:name="__RefHeading___Toc2228145_2314609296"/>
      <w:bookmarkStart w:id="625" w:name="_Toc235"/>
      <w:bookmarkEnd w:id="624"/>
      <w:r>
        <w:rPr>
          <w:rtl w:val="true"/>
        </w:rPr>
        <w:t>[</w:t>
      </w:r>
      <w:r>
        <w:rPr/>
        <w:t>5</w:t>
      </w:r>
      <w:r>
        <w:rPr>
          <w:rtl w:val="true"/>
        </w:rPr>
        <w:t xml:space="preserve">- </w:t>
      </w:r>
      <w:r>
        <w:rPr>
          <w:rtl w:val="true"/>
        </w:rPr>
        <w:t xml:space="preserve">ان یکون المقتول محقون الدم </w:t>
      </w:r>
      <w:r>
        <w:rPr>
          <w:rtl w:val="true"/>
        </w:rPr>
        <w:t>]</w:t>
      </w:r>
      <w:bookmarkEnd w:id="62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المقتول محقون الدم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أی غیر مباح القتل شرعاً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أباح الشرعُ 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لزناء أو لواط أو کفر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یُقتَل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قاتلُه وإن کان بغیر إذن الإمام؛ لأنّه مباح الدم فی الجملة وإن توقّفت المباشرة علی إذن الحاکم، فیأثم بدونه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والظاهر عدم الفرق بین استیفائه بنوع القتل الذی عیّنه الشارع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کالرجم والسیف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وغیره؛ لاشتراک الجمیع فی الأمر المطلوب شرعاً وهو إزهاق الروح</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قتل من وجب علیه قصاصٌ غیرُ الولیّ قُتل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محقون الدم بالنسبة إلی غیره</w:t>
      </w:r>
      <w:r>
        <w:rPr>
          <w:rFonts w:eastAsia="IRNazanin" w:cs="IRNazanin"/>
          <w:color w:val="111111"/>
          <w:sz w:val="28"/>
          <w:szCs w:val="28"/>
          <w:rtl w:val="true"/>
          <w:lang w:bidi="fa-IR"/>
        </w:rPr>
        <w:t>.</w:t>
      </w:r>
      <w:bookmarkStart w:id="626" w:name="pg19815_253423"/>
    </w:p>
    <w:p>
      <w:pPr>
        <w:pStyle w:val="Heading4"/>
        <w:numPr>
          <w:ilvl w:val="3"/>
          <w:numId w:val="1"/>
        </w:numPr>
        <w:rPr/>
      </w:pPr>
      <w:bookmarkStart w:id="627" w:name="__RefHeading___Toc2228147_2314609296"/>
      <w:bookmarkStart w:id="628" w:name="_Toc236"/>
      <w:bookmarkEnd w:id="626"/>
      <w:bookmarkEnd w:id="627"/>
      <w:r>
        <w:rPr>
          <w:rtl w:val="true"/>
        </w:rPr>
        <w:t>«</w:t>
      </w:r>
      <w:r>
        <w:rPr>
          <w:rtl w:val="true"/>
        </w:rPr>
        <w:t>القول فی ما یثبت به القتل</w:t>
      </w:r>
      <w:r>
        <w:rPr>
          <w:rtl w:val="true"/>
        </w:rPr>
        <w:t>»</w:t>
      </w:r>
      <w:bookmarkEnd w:id="628"/>
    </w:p>
    <w:p>
      <w:pPr>
        <w:pStyle w:val="Heading5"/>
        <w:numPr>
          <w:ilvl w:val="4"/>
          <w:numId w:val="1"/>
        </w:numPr>
        <w:rPr/>
      </w:pPr>
      <w:bookmarkStart w:id="629" w:name="__RefHeading___Toc2228149_2314609296"/>
      <w:bookmarkStart w:id="630" w:name="_Toc237"/>
      <w:bookmarkEnd w:id="629"/>
      <w:r>
        <w:rPr>
          <w:rtl w:val="true"/>
        </w:rPr>
        <w:t>اشارة</w:t>
      </w:r>
      <w:bookmarkEnd w:id="63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والبیّنة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والقَسامة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القاف وهی الأیمان یُقسَّم علی أولیاء الدم، قاله الجوهری </w:t>
      </w:r>
      <w:r>
        <w:rPr>
          <w:rStyle w:val="FootnoteAnchor"/>
          <w:rtl w:val="true"/>
        </w:rPr>
        <w:footnoteReference w:id="182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31" w:name="__RefHeading___Toc2228151_2314609296"/>
      <w:bookmarkStart w:id="632" w:name="_Toc238"/>
      <w:bookmarkEnd w:id="631"/>
      <w:r>
        <w:rPr>
          <w:rtl w:val="true"/>
        </w:rPr>
        <w:t>[</w:t>
      </w:r>
      <w:r>
        <w:rPr/>
        <w:t>1</w:t>
      </w:r>
      <w:r>
        <w:rPr>
          <w:rtl w:val="true"/>
        </w:rPr>
        <w:t xml:space="preserve">- </w:t>
      </w:r>
      <w:r>
        <w:rPr>
          <w:rtl w:val="true"/>
        </w:rPr>
        <w:t xml:space="preserve">الاقرار </w:t>
      </w:r>
      <w:r>
        <w:rPr>
          <w:rtl w:val="true"/>
        </w:rPr>
        <w:t>]</w:t>
      </w:r>
      <w:bookmarkEnd w:id="63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فالإقرار یکفی فیه المرّة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إقرار العقلاء علی أنفسهم جائز</w:t>
      </w:r>
      <w:r>
        <w:rPr>
          <w:rFonts w:eastAsia="IRNazanin" w:cs="IRNazanin"/>
          <w:color w:val="111111"/>
          <w:sz w:val="28"/>
          <w:szCs w:val="28"/>
          <w:rtl w:val="true"/>
          <w:lang w:bidi="fa-IR"/>
        </w:rPr>
        <w:t xml:space="preserve">» </w:t>
      </w:r>
      <w:r>
        <w:rPr>
          <w:rStyle w:val="FootnoteAnchor"/>
          <w:rtl w:val="true"/>
        </w:rPr>
        <w:footnoteReference w:id="1825"/>
      </w:r>
      <w:r>
        <w:rPr>
          <w:rFonts w:ascii="IRNazanin" w:hAnsi="IRNazanin" w:eastAsia="IRNazanin"/>
          <w:color w:val="111111"/>
          <w:sz w:val="28"/>
          <w:sz w:val="28"/>
          <w:szCs w:val="28"/>
          <w:rtl w:val="true"/>
          <w:lang w:bidi="fa-IR"/>
        </w:rPr>
        <w:t>وهو یتحقّق بالمرّة حیث لا دلیل علی اعتبار التعدّد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تعتبر المرّتان </w:t>
      </w:r>
      <w:r>
        <w:rPr>
          <w:rStyle w:val="FootnoteAnchor"/>
          <w:rtl w:val="true"/>
        </w:rPr>
        <w:footnoteReference w:id="1826"/>
      </w:r>
      <w:r>
        <w:rPr>
          <w:rFonts w:ascii="IRNazanin" w:hAnsi="IRNazanin" w:eastAsia="IRNazanin"/>
          <w:color w:val="111111"/>
          <w:sz w:val="28"/>
          <w:sz w:val="28"/>
          <w:szCs w:val="28"/>
          <w:rtl w:val="true"/>
          <w:lang w:bidi="fa-IR"/>
        </w:rPr>
        <w:t>وهو ضعیف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ویشترط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أهلیّة المقرّ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بالبلوغ والعقل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واختیاره وحرّیّته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عبرة بإقرار الصبیّ والمجنون والمکره والعبد ما دام رقّاً ولو بعضه، إلّاأن یُصدّقه مولاه، فالأقرب القبول؛ لأنّ سلب عبارته هنا إنّما کان لحقّ المولی حیث کان له نصیب فی نفسه، فإذا وافقه زال المانع مع وجود المقتضی،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إقرار العقلاء علی أنفسهم</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ووجه عدم القبول مطلقاً کونه مسلوب أهلیّة الإقرار کالصبیّ والمجنون؛ لأنّ العبودیّة صفة مانعة منه کالصِبا </w:t>
      </w:r>
      <w:r>
        <w:rPr>
          <w:rStyle w:val="FootnoteAnchor"/>
          <w:rtl w:val="true"/>
        </w:rPr>
        <w:footnoteReference w:id="1827"/>
      </w:r>
      <w:r>
        <w:rPr>
          <w:rFonts w:ascii="IRNazanin" w:hAnsi="IRNazanin" w:eastAsia="IRNazanin"/>
          <w:color w:val="111111"/>
          <w:sz w:val="28"/>
          <w:sz w:val="28"/>
          <w:szCs w:val="28"/>
          <w:rtl w:val="true"/>
          <w:lang w:bidi="fa-IR"/>
        </w:rPr>
        <w:t>ولأنّ المولی لیس له تعلّق بدم العبد، ولیس له جرحه، ولا قطع شیء من أعضائه فلا یقبل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فرق فی ذلک بین القنّ والمدبَّر واُمّ الولد والمکاتب وإن انعتق بعضه کمطلق المبعَّض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أقرّ بقتل یوجب علیه الدیة لزمه منها بنسبة ما فیه من الحرّیّة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أقرّ بالعمد ثمّ کمل عتقه اقتُصّ منه؛ لزوال المانع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ویُقبل إقرار السفیه والمفلَّس بالعمد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موجَبَه القَوَد وإنّما حُجر علیهما فی المال، فیستوفی منهما القصاص فی الحال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ولو أقرّا بالخطأ الموجب للمال علی الجانی </w:t>
      </w:r>
      <w:r>
        <w:rPr>
          <w:rStyle w:val="FootnoteAnchor"/>
          <w:rtl w:val="true"/>
        </w:rPr>
        <w:footnoteReference w:id="1828"/>
      </w:r>
      <w:r>
        <w:rPr>
          <w:rFonts w:ascii="IRNazanin" w:hAnsi="IRNazanin" w:eastAsia="IRNazanin"/>
          <w:color w:val="111111"/>
          <w:sz w:val="28"/>
          <w:sz w:val="28"/>
          <w:szCs w:val="28"/>
          <w:rtl w:val="true"/>
          <w:lang w:bidi="fa-IR"/>
        </w:rPr>
        <w:t xml:space="preserve">لم یقبل من السفیه مطلقاً، ویُقبل من المفلَّس لکن لا یشارک المقرَّ له الغرماء علی الأقوی، وقد تقدّم فی بابه </w:t>
      </w:r>
      <w:r>
        <w:rPr>
          <w:rStyle w:val="FootnoteAnchor"/>
          <w:rtl w:val="true"/>
        </w:rPr>
        <w:footnoteReference w:id="18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أقرّ واحدٌ بقتله عمداً، وآخرُ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بقتله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خطأً تخیّر الولیّ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تصدیق من شاء منهما وإلزامه بموجب جنایته؛ لأنّ کلّ واحد من الإقرارین سبب مستقلّ فی إیجاب مقتضاه علی المقرِّ به، ولمّا لم یمکن الجمع تخیّر الولیّ وإن جهل الحال کغیره، ولیس له علی الآخر سبیل</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أقرّ بقتله عمداً فأقرّ آخر ببراءة المقرّ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أقرّ به من قتله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 نّه هو القاتل ورجع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إقراره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وُدی المقتول من بیت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کان موجوداً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عنهما القصاص کما قضی به الحسن علیه السلام فی حیاة أبیه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علیه السلام معلّلاً بأنّ الثانی إن کان ذبح ذاک فقد أحیا هذا، وقد 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أَحْیٰاهٰا فَکَأَنَّمٰا أَحْیَا اَلنّٰاسَ جَمِیعاً</w:t>
      </w:r>
      <w:r>
        <w:rPr>
          <w:rFonts w:eastAsia="Amiri" w:cs="Amiri" w:ascii="Amiri" w:hAnsi="Amiri"/>
          <w:color w:val="111111"/>
          <w:sz w:val="28"/>
          <w:szCs w:val="28"/>
          <w:rtl w:val="true"/>
          <w:lang w:bidi="ar-SA"/>
        </w:rPr>
        <w:t xml:space="preserve">) </w:t>
      </w:r>
      <w:r>
        <w:rPr>
          <w:rStyle w:val="FootnoteAnchor"/>
          <w:rtl w:val="true"/>
        </w:rPr>
        <w:footnoteReference w:id="1830"/>
      </w:r>
      <w:r>
        <w:rPr>
          <w:rFonts w:ascii="IRNazanin" w:hAnsi="IRNazanin" w:eastAsia="IRNazanin"/>
          <w:color w:val="111111"/>
          <w:sz w:val="28"/>
          <w:sz w:val="28"/>
          <w:szCs w:val="28"/>
          <w:rtl w:val="true"/>
          <w:lang w:bidi="fa-IR"/>
        </w:rPr>
        <w:t>وقد عمل بالروایة أکثر</w:t>
      </w:r>
      <w:bookmarkStart w:id="633" w:name="pg19815_253425"/>
    </w:p>
    <w:p>
      <w:pPr>
        <w:pStyle w:val="BookText"/>
        <w:rPr/>
      </w:pPr>
      <w:bookmarkEnd w:id="633"/>
      <w:r>
        <w:rPr>
          <w:rFonts w:ascii="Amiri" w:hAnsi="Amiri" w:eastAsia="Amiri" w:cs="Amiri"/>
          <w:color w:val="111111"/>
          <w:sz w:val="28"/>
          <w:sz w:val="28"/>
          <w:szCs w:val="28"/>
          <w:rtl w:val="true"/>
          <w:lang w:bidi="ar-SA"/>
        </w:rPr>
        <w:t xml:space="preserve">الأصحاب مع أ نّها مرسلة مخالفة للأصل </w:t>
      </w:r>
      <w:r>
        <w:rPr>
          <w:rStyle w:val="FootnoteAnchor"/>
          <w:rtl w:val="true"/>
        </w:rPr>
        <w:footnoteReference w:id="1831"/>
      </w:r>
      <w:r>
        <w:rPr>
          <w:rFonts w:ascii="IRNazanin" w:hAnsi="IRNazanin" w:eastAsia="IRNazanin"/>
          <w:color w:val="111111"/>
          <w:sz w:val="28"/>
          <w:sz w:val="28"/>
          <w:szCs w:val="28"/>
          <w:rtl w:val="true"/>
          <w:lang w:bidi="fa-IR"/>
        </w:rPr>
        <w:t>والأقوی تخییر الولیّ فی تصدیق أ یّهما شاء والاستیفاء منه کما سبق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المشهور لو لم یکن بیت مال کهذا الزمان أشکل درء القصاص عنهما وإذهاب حقّ المُقَرّ له مع أنّ مقتضی التعلیل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لم یرجع الأوّل عن إقراره فمقتضی التعلیل بقاء الحکم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والمختار التخییر مطلقاً</w:t>
      </w:r>
      <w:r>
        <w:rPr>
          <w:rFonts w:eastAsia="IRNazanin" w:cs="IRNazanin"/>
          <w:color w:val="111111"/>
          <w:sz w:val="28"/>
          <w:szCs w:val="28"/>
          <w:rtl w:val="true"/>
          <w:lang w:bidi="fa-IR"/>
        </w:rPr>
        <w:t>.</w:t>
      </w:r>
    </w:p>
    <w:p>
      <w:pPr>
        <w:pStyle w:val="Heading5"/>
        <w:numPr>
          <w:ilvl w:val="4"/>
          <w:numId w:val="1"/>
        </w:numPr>
        <w:rPr/>
      </w:pPr>
      <w:bookmarkStart w:id="634" w:name="__RefHeading___Toc2228153_2314609296"/>
      <w:bookmarkStart w:id="635" w:name="_Toc239"/>
      <w:bookmarkEnd w:id="634"/>
      <w:r>
        <w:rPr>
          <w:rtl w:val="true"/>
        </w:rPr>
        <w:t>[</w:t>
      </w:r>
      <w:r>
        <w:rPr/>
        <w:t>2</w:t>
      </w:r>
      <w:r>
        <w:rPr>
          <w:rtl w:val="true"/>
        </w:rPr>
        <w:t xml:space="preserve">- </w:t>
      </w:r>
      <w:r>
        <w:rPr>
          <w:rtl w:val="true"/>
        </w:rPr>
        <w:t>البینة</w:t>
      </w:r>
      <w:r>
        <w:rPr>
          <w:rtl w:val="true"/>
        </w:rPr>
        <w:t>]</w:t>
      </w:r>
      <w:bookmarkEnd w:id="63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وأمّا البیّنة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فعدلان ذکران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عبرة بشهادة النساء منفردات ولا منضمّات ولا بالواحد مع الیمین؛ لأنّ متعلّقهما المال وإن عفا المستحقّ علی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یثبت بالشاهد والمرأتین الدیة </w:t>
      </w:r>
      <w:r>
        <w:rPr>
          <w:rStyle w:val="FootnoteAnchor"/>
          <w:rtl w:val="true"/>
        </w:rPr>
        <w:footnoteReference w:id="1832"/>
      </w:r>
      <w:r>
        <w:rPr>
          <w:rFonts w:ascii="Amiri" w:hAnsi="Amiri" w:eastAsia="Amiri" w:cs="Amiri"/>
          <w:color w:val="111111"/>
          <w:sz w:val="28"/>
          <w:sz w:val="28"/>
          <w:szCs w:val="28"/>
          <w:rtl w:val="true"/>
          <w:lang w:bidi="ar-SA"/>
        </w:rPr>
        <w:t xml:space="preserve">وهو شاذّ </w:t>
      </w:r>
      <w:r>
        <w:rPr>
          <w:rStyle w:val="FootnoteAnchor"/>
          <w:rtl w:val="true"/>
        </w:rPr>
        <w:footnoteReference w:id="18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ولتکن الشهادة صافیةً عن الاحتمال، فلو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جَرَحه لم یکف حتّی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من جرحه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الجرح لا یستلزم الموت مطلقاً</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أسالَ دمه، تثبت الدامیة </w:t>
      </w:r>
      <w:r>
        <w:rPr>
          <w:rStyle w:val="FootnoteAnchor"/>
          <w:rtl w:val="true"/>
        </w:rPr>
        <w:footnoteReference w:id="18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خاصّة؛ لأنّها المتیقّن من إطلاق 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یبقی الکلام فی تعیین الدامیة، فإنّ استیفاءها مشروط بتعیین</w:t>
      </w:r>
      <w:bookmarkStart w:id="636" w:name="pg19815_253426"/>
    </w:p>
    <w:p>
      <w:pPr>
        <w:pStyle w:val="BookText"/>
        <w:rPr/>
      </w:pPr>
      <w:bookmarkEnd w:id="636"/>
      <w:r>
        <w:rPr>
          <w:rFonts w:ascii="Amiri" w:hAnsi="Amiri" w:eastAsia="Amiri" w:cs="Amiri"/>
          <w:color w:val="111111"/>
          <w:sz w:val="28"/>
          <w:sz w:val="28"/>
          <w:szCs w:val="28"/>
          <w:rtl w:val="true"/>
          <w:lang w:bidi="ar-SA"/>
        </w:rPr>
        <w:t>محلّها، فلا یصحّ بدونه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بدّ من توافقهما علی الوصف 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الموجب لاتّحاد الفعل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اختلفا زماناً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شهد أحدهما أ نّه قتله غُدوةً والآخر عَشیّة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مکاناً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شهد أحدهما أ نّه قتله فی الدار والآخر فی السوق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آلةً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شهد أحدهما أ نّه قتله بالسکّین والآخر بالسیف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بطلت الشهادة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لأنّها شهادة علی فعلین، ولم یقم علی کلّ واحد إلّاشاهدٌ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یثبت بذلک لوث علی الأقوی؛ للتکاذب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شهد أحدهما بإقراره والآخر بالمشاهدة لم یثبت وکان لوثاً؛ لإمکان صدقهما وتحقّق الظنّ به</w:t>
      </w:r>
      <w:r>
        <w:rPr>
          <w:rFonts w:eastAsia="IRNazanin" w:cs="IRNazanin"/>
          <w:color w:val="111111"/>
          <w:sz w:val="28"/>
          <w:szCs w:val="28"/>
          <w:rtl w:val="true"/>
          <w:lang w:bidi="fa-IR"/>
        </w:rPr>
        <w:t>.</w:t>
      </w:r>
    </w:p>
    <w:p>
      <w:pPr>
        <w:pStyle w:val="Heading5"/>
        <w:numPr>
          <w:ilvl w:val="4"/>
          <w:numId w:val="1"/>
        </w:numPr>
        <w:rPr/>
      </w:pPr>
      <w:bookmarkStart w:id="637" w:name="__RefHeading___Toc2228155_2314609296"/>
      <w:bookmarkStart w:id="638" w:name="_Toc240"/>
      <w:bookmarkEnd w:id="637"/>
      <w:r>
        <w:rPr>
          <w:rtl w:val="true"/>
        </w:rPr>
        <w:t>[</w:t>
      </w:r>
      <w:r>
        <w:rPr/>
        <w:t>3</w:t>
      </w:r>
      <w:r>
        <w:rPr>
          <w:rtl w:val="true"/>
        </w:rPr>
        <w:t xml:space="preserve">- </w:t>
      </w:r>
      <w:r>
        <w:rPr>
          <w:rtl w:val="true"/>
        </w:rPr>
        <w:t>القسامة</w:t>
      </w:r>
      <w:r>
        <w:rPr>
          <w:rtl w:val="true"/>
        </w:rPr>
        <w:t>]</w:t>
      </w:r>
      <w:bookmarkEnd w:id="63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وأمّا القسامة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فتثبت مع اللوث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یحلف المنکر یمیناً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نفی الفعل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نکل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الیمین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حلف المدّعی یمیناً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علی عدم القضاء بالنکول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ویثبت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المنکر بیمین المدّعی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قضینا بالنکول قُضی علیه به </w:t>
      </w:r>
      <w:r>
        <w:rPr>
          <w:rStyle w:val="FootnoteAnchor"/>
          <w:rtl w:val="true"/>
        </w:rPr>
        <w:footnoteReference w:id="1835"/>
      </w:r>
      <w:r>
        <w:rPr>
          <w:rFonts w:ascii="Amiri" w:hAnsi="Amiri" w:eastAsia="Amiri" w:cs="Amiri"/>
          <w:color w:val="111111"/>
          <w:sz w:val="28"/>
          <w:sz w:val="28"/>
          <w:szCs w:val="28"/>
          <w:rtl w:val="true"/>
          <w:lang w:bidi="ar-SA"/>
        </w:rPr>
        <w:t>بمجرّده</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واللوث أمارة یُظنّ بها صدق المدّعی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ادّعاه من القتل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کوجود ذی سلاح ملطَّخ بالدم عند قتیل فی 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لو لم یوجد القتیل مُهرَق الدم لم یکن وجود الدم مع ذی السلاح لوثاً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وجد القتیل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دار قوم أو قریتهم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لا یطرقها غیرُهم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بین قریتین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یطرقهما غیر أهلهما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وقربهما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 إلی إحداهما أقرب اختصّت باللوث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طرق القریة غیر أهلها اعتبر فی ثبوت اللوث مع ذلک ثبوت العداوة بینهم وبینه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وکشهادة العدل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الواحد بقتل المدّعی علیه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الصبیّ ولا الفاسق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والکافر وإن کان مأموناً فی مذهبه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جماعة النساء والفُسّاق فتفید </w:t>
      </w:r>
      <w:r>
        <w:rPr>
          <w:rStyle w:val="FootnoteAnchor"/>
          <w:rtl w:val="true"/>
        </w:rPr>
        <w:footnoteReference w:id="1836"/>
      </w:r>
      <w:r>
        <w:rPr>
          <w:rFonts w:ascii="IRNazanin" w:hAnsi="IRNazanin" w:eastAsia="IRNazanin"/>
          <w:color w:val="111111"/>
          <w:sz w:val="28"/>
          <w:sz w:val="28"/>
          <w:szCs w:val="28"/>
          <w:rtl w:val="true"/>
          <w:lang w:bidi="fa-IR"/>
        </w:rPr>
        <w:t>اللوث مع الظنّ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بصدقهم </w:t>
      </w:r>
      <w:r>
        <w:rPr>
          <w:rStyle w:val="FootnoteAnchor"/>
          <w:rtl w:val="true"/>
        </w:rPr>
        <w:footnoteReference w:id="1837"/>
      </w:r>
      <w:r>
        <w:rPr>
          <w:rFonts w:ascii="IRNazanin" w:hAnsi="IRNazanin" w:eastAsia="IRNazanin"/>
          <w:color w:val="111111"/>
          <w:sz w:val="28"/>
          <w:sz w:val="28"/>
          <w:szCs w:val="28"/>
          <w:rtl w:val="true"/>
          <w:lang w:bidi="fa-IR"/>
        </w:rPr>
        <w:t>ویُفهم منه أنّ جماعة الصبیان لا یثبت بهم اللوث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کذلک، إلّاأن یبلغوا حدّ التواتر، وکذا الکفّار، والمشهور </w:t>
      </w:r>
      <w:r>
        <w:rPr>
          <w:rStyle w:val="FootnoteAnchor"/>
          <w:rtl w:val="true"/>
        </w:rPr>
        <w:footnoteReference w:id="1838"/>
      </w:r>
      <w:r>
        <w:rPr>
          <w:rFonts w:ascii="IRNazanin" w:hAnsi="IRNazanin" w:eastAsia="IRNazanin"/>
          <w:color w:val="111111"/>
          <w:sz w:val="28"/>
          <w:sz w:val="28"/>
          <w:szCs w:val="28"/>
          <w:rtl w:val="true"/>
          <w:lang w:bidi="fa-IR"/>
        </w:rPr>
        <w:t>حینئذٍ ثبوته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ویُشکل بأنّ التواتر یُثبت القتلَ؛ لأنّه أقوی من البیّنة، واللوث یکفی فیه الظنّ، وهو قد یحصل بدون تواترهم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وُجد قتیلاً فی جامع عظیم أو شارع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یطرقه غیرُ منحصر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فلاة أو فی زُحام علی قنطرة أو جسر أو بئر أو مصنع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مختصّ بمنحصر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فدیته علی بیت المال</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قدر القسامة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خمسون یمیناً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العمد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إجماعاً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والخطأ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الأشهر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خمسة وعشرون </w:t>
      </w:r>
      <w:r>
        <w:rPr>
          <w:rStyle w:val="FootnoteAnchor"/>
          <w:rtl w:val="true"/>
        </w:rPr>
        <w:footnoteReference w:id="1839"/>
      </w:r>
      <w:r>
        <w:rPr>
          <w:rFonts w:ascii="IRNazanin" w:hAnsi="IRNazanin" w:eastAsia="IRNazanin"/>
          <w:color w:val="111111"/>
          <w:sz w:val="28"/>
          <w:sz w:val="28"/>
          <w:szCs w:val="28"/>
          <w:rtl w:val="true"/>
          <w:lang w:bidi="fa-IR"/>
        </w:rPr>
        <w:t xml:space="preserve">لصحیحة عبد اللّٰه بن سنان عن الصادق علیه السلام </w:t>
      </w:r>
      <w:r>
        <w:rPr>
          <w:rStyle w:val="FootnoteAnchor"/>
          <w:rtl w:val="true"/>
        </w:rPr>
        <w:footnoteReference w:id="1840"/>
      </w:r>
      <w:r>
        <w:rPr>
          <w:rFonts w:ascii="Amiri" w:hAnsi="Amiri" w:eastAsia="Amiri" w:cs="Amiri"/>
          <w:color w:val="111111"/>
          <w:sz w:val="28"/>
          <w:sz w:val="28"/>
          <w:szCs w:val="28"/>
          <w:rtl w:val="true"/>
          <w:lang w:bidi="ar-SA"/>
        </w:rPr>
        <w:t xml:space="preserve">والأوّل أحوط وأنسب بمراعاة النفس </w:t>
      </w:r>
      <w:r>
        <w:rPr>
          <w:rStyle w:val="FootnoteAnchor"/>
          <w:rtl w:val="true"/>
        </w:rPr>
        <w:footnoteReference w:id="1841"/>
      </w:r>
      <w:r>
        <w:rPr>
          <w:rFonts w:eastAsia="Times New Roman" w:cs="Times New Roman" w:ascii="Times New Roman" w:hAnsi="Times New Roman"/>
          <w:color w:val="111111"/>
          <w:sz w:val="28"/>
          <w:szCs w:val="28"/>
          <w:rtl w:val="true"/>
          <w:lang w:val="en-US" w:bidi="en-US"/>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یحلفها المدّعی مع اللوث إن لم یکن له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للمدّعی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والمراد بهم هنا أقاربه وإن لم یکونوا وارثین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حلف کلّ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کانوا خمسین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زادوا عنها اقتصر علی حلف خمسین والمدّعی من</w:t>
      </w:r>
    </w:p>
    <w:p>
      <w:pPr>
        <w:pStyle w:val="BookText"/>
        <w:rPr/>
      </w:pPr>
      <w:r>
        <w:rPr>
          <w:rFonts w:ascii="IRNazanin" w:hAnsi="IRNazanin" w:eastAsia="IRNazanin"/>
          <w:color w:val="111111"/>
          <w:sz w:val="28"/>
          <w:sz w:val="28"/>
          <w:szCs w:val="28"/>
          <w:rtl w:val="true"/>
          <w:lang w:bidi="fa-IR"/>
        </w:rPr>
        <w:t>جملتهم، ویتخیّرون فی تعیین الحالف منهم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نقصوا عن الخمسین کرّرت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علی بعضهم حسبما یقتضیه العدد إلی أن یبلغ الخمسین </w:t>
      </w:r>
      <w:r>
        <w:rPr>
          <w:rStyle w:val="FootnoteAnchor"/>
          <w:rtl w:val="true"/>
        </w:rPr>
        <w:footnoteReference w:id="1842"/>
      </w:r>
      <w:r>
        <w:rPr>
          <w:rFonts w:ascii="IRNazanin" w:hAnsi="IRNazanin" w:eastAsia="IRNazanin"/>
          <w:color w:val="111111"/>
          <w:sz w:val="28"/>
          <w:sz w:val="28"/>
          <w:szCs w:val="28"/>
          <w:rtl w:val="true"/>
          <w:lang w:bidi="fa-IR"/>
        </w:rPr>
        <w:t>وکذا لو امتنع بعضهم کرّرت علی الباذل متساویاً ومتفاوتاً، وکذا لو امتنع البعض من تکریر الیمین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وتثبت القَسامة فی الأعضاء بالنسبة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بنسبتها إلی النفس فی الدیة، فما فیه منها الدیة فقسامته خمسون کالنفس، وما فیه النصف فنصفها، وهکذا</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قَسامة الأعضاء الموجبة للدیة ستّ أیمان، وما نقص عنها فبالنسبة </w:t>
      </w:r>
      <w:r>
        <w:rPr>
          <w:rStyle w:val="FootnoteAnchor"/>
          <w:rtl w:val="true"/>
        </w:rPr>
        <w:footnoteReference w:id="1843"/>
      </w:r>
      <w:r>
        <w:rPr>
          <w:rFonts w:ascii="IRNazanin" w:hAnsi="IRNazanin" w:eastAsia="IRNazanin"/>
          <w:color w:val="111111"/>
          <w:sz w:val="28"/>
          <w:sz w:val="28"/>
          <w:szCs w:val="28"/>
          <w:rtl w:val="true"/>
          <w:lang w:bidi="fa-IR"/>
        </w:rPr>
        <w:t>والأقوی الأوّل</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لم یکن له قَسامة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قوم یقسمون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القَسامة تُطلق علی الأیمان وعلی المُقْسِم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وعدم القسامة إمّا لعدم القوم، أو وجودهم مع عدم علمهم بالواقعة، فإنّ الحلف لا یصحّ إلّامع علمهم بالحال، أو لامتناعهم عنها تشهّیاً، فإنّ ذلک غیر واجب علیهم مطلقاً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امتنع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المدّعی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بذلها قومُه أو بعضُهم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اُحلف المنکر وقومه خمسین یمیناً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ببراءته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امتنع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المنکر من الحلف أو بعضه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اُلزم الدعوی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بذلها قومه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بناءً علی القضاء بالنکول، أو لخصوص </w:t>
      </w:r>
      <w:r>
        <w:rPr>
          <w:rStyle w:val="FootnoteAnchor"/>
          <w:rtl w:val="true"/>
        </w:rPr>
        <w:footnoteReference w:id="1844"/>
      </w:r>
      <w:r>
        <w:rPr>
          <w:rFonts w:ascii="IRNazanin" w:hAnsi="IRNazanin" w:eastAsia="IRNazanin"/>
          <w:color w:val="111111"/>
          <w:sz w:val="28"/>
          <w:sz w:val="28"/>
          <w:szCs w:val="28"/>
          <w:rtl w:val="true"/>
          <w:lang w:bidi="fa-IR"/>
        </w:rPr>
        <w:t>هذه المادّة من حیث إنّ أصل الیمین هنا علی المدّعی وإنّما انتقلت إلی المنکر بنکوله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تعود إلیه، کما لا تعود من المدّعی إلی المنکر بعد ردّها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والقائل الشیخ فی المبسوط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ردُّ الیمین علی المدّعی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کغیره من المنکرین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حینئذٍ الیمین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کغیره </w:t>
      </w:r>
      <w:r>
        <w:rPr>
          <w:rStyle w:val="FootnoteAnchor"/>
          <w:rtl w:val="true"/>
        </w:rPr>
        <w:footnoteReference w:id="1845"/>
      </w:r>
      <w:r>
        <w:rPr>
          <w:rFonts w:ascii="IRNazanin" w:hAnsi="IRNazanin" w:eastAsia="IRNazanin"/>
          <w:color w:val="111111"/>
          <w:sz w:val="28"/>
          <w:sz w:val="28"/>
          <w:szCs w:val="28"/>
          <w:rtl w:val="true"/>
          <w:lang w:bidi="fa-IR"/>
        </w:rPr>
        <w:t xml:space="preserve">وهو ضعیف؛ لما ذکر </w:t>
      </w:r>
      <w:r>
        <w:rPr>
          <w:rStyle w:val="FootnoteAnchor"/>
          <w:rtl w:val="true"/>
        </w:rPr>
        <w:footnoteReference w:id="1846"/>
      </w:r>
      <w:r>
        <w:rPr>
          <w:rFonts w:eastAsia="Times New Roman" w:cs="Times New Roman" w:ascii="Times New Roman" w:hAnsi="Times New Roman"/>
          <w:color w:val="111111"/>
          <w:sz w:val="28"/>
          <w:szCs w:val="28"/>
          <w:rtl w:val="true"/>
          <w:lang w:val="en-US" w:bidi="en-US"/>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ویستحبّ للحاکم العظة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للحالف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الأیمان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کغیره بل هنا أولی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وروی السکونی عن أبی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النبیّ کان یحبس فی تهمة الدم ستّة أیّام، فإن جاء الأولیاء ببیّنة </w:t>
      </w:r>
      <w:r>
        <w:rPr>
          <w:rStyle w:val="FootnoteAnchor"/>
          <w:rtl w:val="true"/>
        </w:rPr>
        <w:footnoteReference w:id="1847"/>
      </w:r>
      <w:r>
        <w:rPr>
          <w:rFonts w:ascii="Amiri" w:hAnsi="Amiri" w:eastAsia="Amiri" w:cs="Amiri"/>
          <w:color w:val="111111"/>
          <w:sz w:val="28"/>
          <w:sz w:val="28"/>
          <w:szCs w:val="28"/>
          <w:rtl w:val="true"/>
          <w:lang w:bidi="ar-SA"/>
        </w:rPr>
        <w:t xml:space="preserve">وإلّا خلّی سبیله </w:t>
      </w:r>
      <w:r>
        <w:rPr>
          <w:rStyle w:val="FootnoteAnchor"/>
          <w:rtl w:val="true"/>
        </w:rPr>
        <w:footnoteReference w:id="18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وعمل بمضمونها الشیخ </w:t>
      </w:r>
      <w:r>
        <w:rPr>
          <w:rStyle w:val="FootnoteAnchor"/>
          <w:rtl w:val="true"/>
        </w:rPr>
        <w:footnoteReference w:id="1849"/>
      </w:r>
      <w:r>
        <w:rPr>
          <w:rFonts w:ascii="IRNazanin" w:hAnsi="IRNazanin" w:eastAsia="IRNazanin"/>
          <w:color w:val="111111"/>
          <w:sz w:val="28"/>
          <w:sz w:val="28"/>
          <w:szCs w:val="28"/>
          <w:rtl w:val="true"/>
          <w:lang w:bidi="fa-IR"/>
        </w:rPr>
        <w:t xml:space="preserve">والروایة ضعیفة </w:t>
      </w:r>
      <w:r>
        <w:rPr>
          <w:rStyle w:val="FootnoteAnchor"/>
          <w:rtl w:val="true"/>
        </w:rPr>
        <w:footnoteReference w:id="1850"/>
      </w:r>
      <w:r>
        <w:rPr>
          <w:rFonts w:ascii="IRNazanin" w:hAnsi="IRNazanin" w:eastAsia="IRNazanin"/>
          <w:color w:val="111111"/>
          <w:sz w:val="28"/>
          <w:sz w:val="28"/>
          <w:szCs w:val="28"/>
          <w:rtl w:val="true"/>
          <w:lang w:bidi="fa-IR"/>
        </w:rPr>
        <w:t>والحبس تعجیل عقوبة لم یثبت موجبها، فعدم جوازه أجود</w:t>
      </w:r>
      <w:r>
        <w:rPr>
          <w:rFonts w:eastAsia="IRNazanin" w:cs="IRNazanin"/>
          <w:color w:val="111111"/>
          <w:sz w:val="28"/>
          <w:szCs w:val="28"/>
          <w:rtl w:val="true"/>
          <w:lang w:bidi="fa-IR"/>
        </w:rPr>
        <w:t>.</w:t>
      </w:r>
      <w:bookmarkStart w:id="639" w:name="pg19815_253430"/>
    </w:p>
    <w:p>
      <w:pPr>
        <w:pStyle w:val="Heading3"/>
        <w:numPr>
          <w:ilvl w:val="2"/>
          <w:numId w:val="1"/>
        </w:numPr>
        <w:rPr/>
      </w:pPr>
      <w:bookmarkStart w:id="640" w:name="__RefHeading___Toc2228157_2314609296"/>
      <w:bookmarkStart w:id="641" w:name="_Toc241"/>
      <w:bookmarkEnd w:id="639"/>
      <w:bookmarkEnd w:id="640"/>
      <w:r>
        <w:rPr>
          <w:rtl w:val="true"/>
        </w:rPr>
        <w:t>«</w:t>
      </w:r>
      <w:r>
        <w:rPr>
          <w:rtl w:val="true"/>
        </w:rPr>
        <w:t>الفصل الثانی</w:t>
      </w:r>
      <w:r>
        <w:rPr>
          <w:rtl w:val="true"/>
        </w:rPr>
        <w:t>» «</w:t>
      </w:r>
      <w:r>
        <w:rPr>
          <w:rtl w:val="true"/>
        </w:rPr>
        <w:t>فی قصاص الطرف</w:t>
      </w:r>
      <w:r>
        <w:rPr>
          <w:rtl w:val="true"/>
        </w:rPr>
        <w:t>»</w:t>
      </w:r>
      <w:bookmarkEnd w:id="641"/>
    </w:p>
    <w:p>
      <w:pPr>
        <w:pStyle w:val="Heading4"/>
        <w:numPr>
          <w:ilvl w:val="3"/>
          <w:numId w:val="1"/>
        </w:numPr>
        <w:rPr/>
      </w:pPr>
      <w:bookmarkStart w:id="642" w:name="__RefHeading___Toc2228159_2314609296"/>
      <w:bookmarkStart w:id="643" w:name="_Toc242"/>
      <w:bookmarkEnd w:id="642"/>
      <w:r>
        <w:rPr>
          <w:rtl w:val="true"/>
        </w:rPr>
        <w:t>اشارة</w:t>
      </w:r>
      <w:bookmarkEnd w:id="643"/>
    </w:p>
    <w:p>
      <w:pPr>
        <w:pStyle w:val="BookText"/>
        <w:rPr/>
      </w:pPr>
      <w:r>
        <w:rPr>
          <w:rFonts w:ascii="IRNazanin" w:hAnsi="IRNazanin" w:eastAsia="IRNazanin"/>
          <w:color w:val="111111"/>
          <w:sz w:val="28"/>
          <w:sz w:val="28"/>
          <w:szCs w:val="28"/>
          <w:rtl w:val="true"/>
          <w:lang w:bidi="fa-IR"/>
        </w:rPr>
        <w:t>والمراد به ما دون النفس وإن لم یتعلّق بالأطراف المشهورة</w:t>
      </w:r>
      <w:r>
        <w:rPr>
          <w:rFonts w:eastAsia="IRNazanin" w:cs="IRNazanin"/>
          <w:color w:val="111111"/>
          <w:sz w:val="28"/>
          <w:szCs w:val="28"/>
          <w:rtl w:val="true"/>
          <w:lang w:bidi="fa-IR"/>
        </w:rPr>
        <w:t>.</w:t>
      </w:r>
    </w:p>
    <w:p>
      <w:pPr>
        <w:pStyle w:val="Heading4"/>
        <w:numPr>
          <w:ilvl w:val="3"/>
          <w:numId w:val="1"/>
        </w:numPr>
        <w:rPr/>
      </w:pPr>
      <w:bookmarkStart w:id="644" w:name="__RefHeading___Toc2228161_2314609296"/>
      <w:bookmarkStart w:id="645" w:name="_Toc243"/>
      <w:bookmarkEnd w:id="644"/>
      <w:r>
        <w:rPr>
          <w:rtl w:val="true"/>
        </w:rPr>
        <w:t>[«</w:t>
      </w:r>
      <w:r>
        <w:rPr>
          <w:rtl w:val="true"/>
        </w:rPr>
        <w:t>وموجبه</w:t>
      </w:r>
      <w:r>
        <w:rPr>
          <w:rtl w:val="true"/>
        </w:rPr>
        <w:t>»]</w:t>
      </w:r>
      <w:bookmarkEnd w:id="645"/>
    </w:p>
    <w:p>
      <w:pPr>
        <w:pStyle w:val="BookText"/>
        <w:rPr/>
      </w:pPr>
      <w:r>
        <w:rPr>
          <w:rFonts w:ascii="IRNazanin" w:hAnsi="IRNazanin" w:eastAsia="IRNazanin"/>
          <w:color w:val="111111"/>
          <w:sz w:val="28"/>
          <w:sz w:val="28"/>
          <w:szCs w:val="28"/>
          <w:rtl w:val="true"/>
          <w:lang w:bidi="fa-IR"/>
        </w:rPr>
        <w:t xml:space="preserve">بکسر الجیم أی سببه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إتلاف العضو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فی حکمه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بالمتلف غالباً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لم یقصد الإتلاف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غیر المتلف غالباً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القصد إلی الإتلاف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کالجنایة علی النفس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وشروطه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شروط قصاص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التساوی فی الإسلام والحرّیّة، أو کون المقتصّ منه أخفض، وانتفاء الاُبوّة، إلی آخر ما فُصّل سابقاً </w:t>
      </w:r>
      <w:r>
        <w:rPr>
          <w:rStyle w:val="FootnoteAnchor"/>
          <w:rtl w:val="true"/>
        </w:rPr>
        <w:footnoteReference w:id="18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یزید هنا علی شروط النفس اشتراط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التساوی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تساوی العضوین المقتصّ به ومنه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السلامة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Style w:val="FootnoteAnchor"/>
          <w:rtl w:val="true"/>
        </w:rPr>
        <w:footnoteReference w:id="1852"/>
      </w:r>
      <w:r>
        <w:rPr>
          <w:rFonts w:ascii="IRNazanin" w:hAnsi="IRNazanin" w:eastAsia="IRNazanin"/>
          <w:color w:val="111111"/>
          <w:sz w:val="28"/>
          <w:sz w:val="28"/>
          <w:szCs w:val="28"/>
          <w:rtl w:val="true"/>
          <w:lang w:bidi="fa-IR"/>
        </w:rPr>
        <w:t xml:space="preserve">عدمها أو کون المقتصّ منه أخفض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تقطع الید الصحیحة بالشلّاء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الفاسدة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بذلها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بذل الیدَ الصحیحة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بذله لا یسوّغ قطع ما منع الشارع من قطعه، کما لو بذل قطعَها بغیر قصاص</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الشلّاء بالصحیحة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لأنّها دون حقّ المستوفی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إذا خیف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قطعها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النفس؛ لعدم انحسامها </w:t>
      </w:r>
      <w:r>
        <w:rPr>
          <w:rStyle w:val="FootnoteAnchor"/>
          <w:rtl w:val="true"/>
        </w:rPr>
        <w:footnoteReference w:id="1853"/>
      </w:r>
      <w:r>
        <w:rPr>
          <w:rFonts w:ascii="IRNazanin" w:hAnsi="IRNazanin" w:eastAsia="IRNazanin"/>
          <w:color w:val="111111"/>
          <w:sz w:val="28"/>
          <w:sz w:val="28"/>
          <w:szCs w:val="28"/>
          <w:rtl w:val="true"/>
          <w:lang w:bidi="fa-IR"/>
        </w:rPr>
        <w:t>فتثبت الدیة حینئذٍ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وحیث یقطع الشلّاء یقتصر علیها، ولا یضمّ إلیها أرش التفاوت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وتُقطع الیمین بالیمین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بالیُسری، ولا بالعکس، کما لا تقطع السبّابة بالوسطی ونحوها، ولا بالعکس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لم تکن له </w:t>
      </w:r>
      <w:r>
        <w:rPr>
          <w:rStyle w:val="FootnoteAnchor"/>
          <w:rtl w:val="true"/>
        </w:rPr>
        <w:footnoteReference w:id="18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لقاطع الیمین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یمین فالیسری، فإن لم تکن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یسری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الیمنی، فإن فقدت فالیسری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رواها حبیب السجستانی عن الباقر علیه السلام </w:t>
      </w:r>
      <w:r>
        <w:rPr>
          <w:rStyle w:val="FootnoteAnchor"/>
          <w:rtl w:val="true"/>
        </w:rPr>
        <w:footnoteReference w:id="18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وإنّما أسند الحکم إلیها لمخالفته للأصل من حیث عدم المماثلة بین الأطراف، خصوصاً بین الرِجل والید، إلّاأنّ الأصحاب تلقّوها بالقبول، وکثیر منهم لم یتوقّف فی حکمها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ذکرناه من ترتّب </w:t>
      </w:r>
      <w:r>
        <w:rPr>
          <w:rStyle w:val="FootnoteAnchor"/>
          <w:rtl w:val="true"/>
        </w:rPr>
        <w:footnoteReference w:id="1856"/>
      </w:r>
      <w:r>
        <w:rPr>
          <w:rFonts w:ascii="IRNazanin" w:hAnsi="IRNazanin" w:eastAsia="IRNazanin"/>
          <w:color w:val="111111"/>
          <w:sz w:val="28"/>
          <w:sz w:val="28"/>
          <w:szCs w:val="28"/>
          <w:rtl w:val="true"/>
          <w:lang w:bidi="fa-IR"/>
        </w:rPr>
        <w:t>الرِجلین مشهور، والروایة خالیة عنه، بل مطلقة فی قطع الرجل للید حیث لا یکون للجانی 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الروایة لو قَطع أیدی جماعة قُطعت یداه ورجلاه للأوّل فالأوّل، ثمّ تؤخذ الدیة للمتخلّف</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یتعدّی هذا الحکم إلی غیر الیدین ممّا له یمین ویسار کالعینین والاُذنین، وقوفاً فیما خالف الأصل علی موضع الیقین وهو الأخذ بالمماثل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ما ینقسم إلی أعلی وأسفل کالجفنین والشفتین، لا یؤخذ الأعلی بالأسفل، ولا بالعکس</w:t>
      </w:r>
      <w:r>
        <w:rPr>
          <w:rFonts w:eastAsia="IRNazanin" w:cs="IRNazanin"/>
          <w:color w:val="111111"/>
          <w:sz w:val="28"/>
          <w:szCs w:val="28"/>
          <w:rtl w:val="true"/>
          <w:lang w:bidi="fa-IR"/>
        </w:rPr>
        <w:t>.</w:t>
      </w:r>
      <w:bookmarkStart w:id="646" w:name="pg19815_253432"/>
    </w:p>
    <w:p>
      <w:pPr>
        <w:pStyle w:val="Heading4"/>
        <w:numPr>
          <w:ilvl w:val="3"/>
          <w:numId w:val="1"/>
        </w:numPr>
        <w:rPr/>
      </w:pPr>
      <w:bookmarkStart w:id="647" w:name="__RefHeading___Toc2228163_2314609296"/>
      <w:bookmarkStart w:id="648" w:name="_Toc244"/>
      <w:bookmarkEnd w:id="646"/>
      <w:bookmarkEnd w:id="647"/>
      <w:r>
        <w:rPr>
          <w:rtl w:val="true"/>
        </w:rPr>
        <w:t>[</w:t>
      </w:r>
      <w:r>
        <w:rPr>
          <w:rtl w:val="true"/>
        </w:rPr>
        <w:t xml:space="preserve">ما یثبت فیه القصاص و ما لایثبت </w:t>
      </w:r>
      <w:r>
        <w:rPr>
          <w:rtl w:val="true"/>
        </w:rPr>
        <w:t>]</w:t>
      </w:r>
      <w:bookmarkEnd w:id="64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القصاص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الحارصة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الشجاج </w:t>
      </w:r>
      <w:r>
        <w:rPr>
          <w:rStyle w:val="FootnoteAnchor"/>
          <w:rtl w:val="true"/>
        </w:rPr>
        <w:footnoteReference w:id="18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والباضعة والسمحاق والموضحة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وسیأتی تفسیرها </w:t>
      </w:r>
      <w:r>
        <w:rPr>
          <w:rStyle w:val="FootnoteAnchor"/>
          <w:rtl w:val="true"/>
        </w:rPr>
        <w:footnoteReference w:id="18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ویراعی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الاستیفاء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العادیة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طولاً وعرضاً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فیستوفی بقدرها فی البُعدین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یُعتبر قدر النزول مع صدق الاسم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اسم الشجّة المخصوصة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حارصة وباضعة وغیرها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لتفاوت الأعضاء بالسمن والهزال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عبرة باستلزام مراعاة الطول والعرض استیعاب رأس الجانی لصغره دون المجنیّ علیه، وبالعکس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یکمل الزائد عنه من القفا ولا من الجبهة؛ لخروجهما عن موضع الاستیفاء، بل یقتصر علی ما یحتمله العضو ویؤخذ للزائد بنسبة المتخلّف إلی أصل الجرح من الدیة، فیستوفی بقدر ما یحتمله الرأس من الشجّة وینسب الباقی إلی الجمیع، ویؤخذ للفائت بنسبته، فإن کان الباقی ثلثاً فله ثلث دیة تلک الشجّة، وهکذا</w:t>
      </w:r>
      <w:r>
        <w:rPr>
          <w:rFonts w:eastAsia="IRNazanin" w:cs="IRNazanin"/>
          <w:color w:val="111111"/>
          <w:sz w:val="28"/>
          <w:szCs w:val="28"/>
          <w:rtl w:val="true"/>
          <w:lang w:bidi="fa-IR"/>
        </w:rPr>
        <w:t>.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القصاص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الهاشمة </w:t>
      </w:r>
      <w:r>
        <w:rPr>
          <w:rStyle w:val="FootnoteAnchor"/>
          <w:rtl w:val="true"/>
        </w:rPr>
        <w:footnoteReference w:id="18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والمنقّلة </w:t>
      </w:r>
      <w:r>
        <w:rPr>
          <w:rStyle w:val="FootnoteAnchor"/>
          <w:rtl w:val="true"/>
        </w:rPr>
        <w:footnoteReference w:id="18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فی کسر العظام لتحقّق التغریر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بنفس المقتصّ منه، ولعدم إمکان استیفاء نحو الهاشمة والمنقّلة من غیر زیادة ولا نقصان</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القصاص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الاندمال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اندمال جنایة الجانی؛ لثبوت أصل الاستحقاق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کان الصبر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الاندمال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حذراً من السرایة الموجبة لتغیّر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یجوز؛ لجواز السرایة الموجبة للدخول </w:t>
      </w:r>
      <w:r>
        <w:rPr>
          <w:rStyle w:val="FootnoteAnchor"/>
          <w:rtl w:val="true"/>
        </w:rPr>
        <w:footnoteReference w:id="18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قصاص إلّابالحدید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لقوله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قَوَد إلّابحدید</w:t>
      </w:r>
      <w:r>
        <w:rPr>
          <w:rFonts w:eastAsia="IRNazanin" w:cs="IRNazanin"/>
          <w:color w:val="111111"/>
          <w:sz w:val="28"/>
          <w:szCs w:val="28"/>
          <w:rtl w:val="true"/>
          <w:lang w:bidi="fa-IR"/>
        </w:rPr>
        <w:t xml:space="preserve">» </w:t>
      </w:r>
      <w:r>
        <w:rPr>
          <w:rStyle w:val="FootnoteAnchor"/>
          <w:rtl w:val="true"/>
        </w:rPr>
        <w:footnoteReference w:id="18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فیقاس الجرح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طولاً وعرضاً بخیط وشبهه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ویعلَّم طرفاه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موضع الاقتصاص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یشقّ من إحدی العلامتین إلی الاُخری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تجوز الزیادة، فإن اتّفقت عمداً اقتصّ من المستوفی، أو خطأً فالدیة ویرجع إلی قوله فیهما بیمینه، أو لاضطراب المستوفی منه فلا شیء؛ لاستنادها إلی تفریطه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وینبغی ربطه علی خشبة ونحوها لئلّا یضطرب حالة الاستیفاء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ویؤخَّر قصاص الطرف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الحرّ والبرد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اعتدال 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حذراً من السرایة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ویثبت القصاص فی 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کان الجانی بعین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والمجنیّ علیه باثنتین قلعت عین الجانی وإن استلزم عماه، فإنّ الحقّ أعماه </w:t>
      </w:r>
      <w:r>
        <w:rPr>
          <w:rStyle w:val="FootnoteAnchor"/>
          <w:rtl w:val="true"/>
        </w:rPr>
        <w:footnoteReference w:id="1863"/>
      </w:r>
      <w:r>
        <w:rPr>
          <w:rFonts w:ascii="Amiri" w:hAnsi="Amiri" w:eastAsia="Amiri" w:cs="Amiri"/>
          <w:color w:val="111111"/>
          <w:sz w:val="28"/>
          <w:sz w:val="28"/>
          <w:szCs w:val="28"/>
          <w:rtl w:val="true"/>
          <w:lang w:bidi="ar-SA"/>
        </w:rPr>
        <w:t>ولإطلاق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اَلْعَیْنَ بِالْعَیْنِ</w:t>
      </w:r>
      <w:r>
        <w:rPr>
          <w:rFonts w:eastAsia="Amiri" w:cs="Amiri" w:ascii="Amiri" w:hAnsi="Amiri"/>
          <w:color w:val="111111"/>
          <w:sz w:val="28"/>
          <w:szCs w:val="28"/>
          <w:rtl w:val="true"/>
          <w:lang w:bidi="ar-SA"/>
        </w:rPr>
        <w:t xml:space="preserve">) </w:t>
      </w:r>
      <w:r>
        <w:rPr>
          <w:rStyle w:val="FootnoteAnchor"/>
          <w:rtl w:val="true"/>
        </w:rPr>
        <w:footnoteReference w:id="1864"/>
      </w:r>
      <w:r>
        <w:rPr>
          <w:rFonts w:ascii="Amiri" w:hAnsi="Amiri" w:eastAsia="Amiri" w:cs="Amiri"/>
          <w:color w:val="111111"/>
          <w:sz w:val="28"/>
          <w:sz w:val="28"/>
          <w:szCs w:val="28"/>
          <w:rtl w:val="true"/>
          <w:lang w:bidi="ar-SA"/>
        </w:rPr>
        <w:t>ولا ردّ</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انعکس بأن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قلع 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عین ذی العین الواحدة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العینین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فأذهب بصره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 له بعین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ذلک هو المماثل للجنایة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والقائل ابن الجنید </w:t>
      </w:r>
      <w:r>
        <w:rPr>
          <w:rStyle w:val="FootnoteAnchor"/>
          <w:rtl w:val="true"/>
        </w:rPr>
        <w:footnoteReference w:id="1865"/>
      </w:r>
      <w:r>
        <w:rPr>
          <w:rFonts w:ascii="IRNazanin" w:hAnsi="IRNazanin" w:eastAsia="IRNazanin"/>
          <w:color w:val="111111"/>
          <w:sz w:val="28"/>
          <w:sz w:val="28"/>
          <w:szCs w:val="28"/>
          <w:rtl w:val="true"/>
          <w:lang w:bidi="fa-IR"/>
        </w:rPr>
        <w:t xml:space="preserve">والشیخ فی أحد قولیه </w:t>
      </w:r>
      <w:r>
        <w:rPr>
          <w:rStyle w:val="FootnoteAnchor"/>
          <w:rtl w:val="true"/>
        </w:rPr>
        <w:footnoteReference w:id="1866"/>
      </w:r>
      <w:r>
        <w:rPr>
          <w:rFonts w:ascii="Amiri" w:hAnsi="Amiri" w:eastAsia="Amiri" w:cs="Amiri"/>
          <w:color w:val="111111"/>
          <w:sz w:val="28"/>
          <w:sz w:val="28"/>
          <w:szCs w:val="28"/>
          <w:rtl w:val="true"/>
          <w:lang w:bidi="ar-SA"/>
        </w:rPr>
        <w:t xml:space="preserve">وجماعة </w:t>
      </w:r>
      <w:r>
        <w:rPr>
          <w:rStyle w:val="FootnoteAnchor"/>
          <w:rtl w:val="true"/>
        </w:rPr>
        <w:footnoteReference w:id="186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وله مع القصاص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ذی العینین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نصف 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أذهب بصره أجمع وفیه الدیة، وقد استوفی منه ما فیه نصف الدیة وهو العین الواحدة فیبقی له النصف، ولروایة محمّد بن قیس عن الباقر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قضی أمیر المؤمنین علیه الصلاة والسلام فی رجل أعور اُصیبت عینه الصحیحة ففُقئت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تُفقأ إحدی عینی صاحبه ویعقل له نصف الدیة، وإن شاء أخذ دیة کاملة ویعفو عن عین صاحبه</w:t>
      </w:r>
      <w:r>
        <w:rPr>
          <w:rFonts w:eastAsia="IRNazanin" w:cs="IRNazanin"/>
          <w:color w:val="111111"/>
          <w:sz w:val="28"/>
          <w:szCs w:val="28"/>
          <w:rtl w:val="true"/>
          <w:lang w:bidi="fa-IR"/>
        </w:rPr>
        <w:t xml:space="preserve">» </w:t>
      </w:r>
      <w:r>
        <w:rPr>
          <w:rStyle w:val="FootnoteAnchor"/>
          <w:rtl w:val="true"/>
        </w:rPr>
        <w:footnoteReference w:id="1868"/>
      </w:r>
      <w:r>
        <w:rPr>
          <w:rFonts w:ascii="IRNazanin" w:hAnsi="IRNazanin" w:eastAsia="IRNazanin"/>
          <w:color w:val="111111"/>
          <w:sz w:val="28"/>
          <w:sz w:val="28"/>
          <w:szCs w:val="28"/>
          <w:rtl w:val="true"/>
          <w:lang w:bidi="fa-IR"/>
        </w:rPr>
        <w:t xml:space="preserve">ومثلها روایة عبد اللّٰه بن الحکم عن الصادق علیه السلام </w:t>
      </w:r>
      <w:r>
        <w:rPr>
          <w:rStyle w:val="FootnoteAnchor"/>
          <w:rtl w:val="true"/>
        </w:rPr>
        <w:footnoteReference w:id="18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ونسبة المصنّف الحکم إلی القیل مشعرة بردّه أو توقّفه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ومنشؤه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اَلْعَیْنَ بِالْعَیْنِ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وجب معها شیء آخر لم یتحقّق ذلک، خصوصاً علی القول بأنّ الزیادة علی النصّ نسخ </w:t>
      </w:r>
      <w:r>
        <w:rPr>
          <w:rStyle w:val="FootnoteAnchor"/>
          <w:rtl w:val="true"/>
        </w:rPr>
        <w:footnoteReference w:id="1870"/>
      </w:r>
      <w:r>
        <w:rPr>
          <w:rFonts w:ascii="Amiri" w:hAnsi="Amiri" w:eastAsia="Amiri" w:cs="Amiri"/>
          <w:color w:val="111111"/>
          <w:sz w:val="28"/>
          <w:sz w:val="28"/>
          <w:szCs w:val="28"/>
          <w:rtl w:val="true"/>
          <w:lang w:bidi="ar-SA"/>
        </w:rPr>
        <w:t>وأصالة البراءة من الزائد</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وإلیه </w:t>
      </w:r>
      <w:r>
        <w:rPr>
          <w:rStyle w:val="FootnoteAnchor"/>
          <w:rtl w:val="true"/>
        </w:rPr>
        <w:footnoteReference w:id="1871"/>
      </w:r>
      <w:r>
        <w:rPr>
          <w:rFonts w:ascii="IRNazanin" w:hAnsi="IRNazanin" w:eastAsia="IRNazanin"/>
          <w:color w:val="111111"/>
          <w:sz w:val="28"/>
          <w:sz w:val="28"/>
          <w:szCs w:val="28"/>
          <w:rtl w:val="true"/>
          <w:lang w:bidi="fa-IR"/>
        </w:rPr>
        <w:t xml:space="preserve">ذهب جماعة من الأصحاب، منهم المحقّق فی الشرائع </w:t>
      </w:r>
      <w:r>
        <w:rPr>
          <w:rStyle w:val="FootnoteAnchor"/>
          <w:rtl w:val="true"/>
        </w:rPr>
        <w:footnoteReference w:id="1872"/>
      </w:r>
      <w:r>
        <w:rPr>
          <w:rFonts w:ascii="Amiri" w:hAnsi="Amiri" w:eastAsia="Amiri" w:cs="Amiri"/>
          <w:color w:val="111111"/>
          <w:sz w:val="28"/>
          <w:sz w:val="28"/>
          <w:szCs w:val="28"/>
          <w:rtl w:val="true"/>
          <w:lang w:bidi="ar-SA"/>
        </w:rPr>
        <w:t>والعلّامة</w:t>
      </w:r>
    </w:p>
    <w:p>
      <w:pPr>
        <w:pStyle w:val="BookText"/>
        <w:rPr/>
      </w:pPr>
      <w:r>
        <w:rPr>
          <w:rFonts w:ascii="IRNazanin" w:hAnsi="IRNazanin" w:eastAsia="IRNazanin"/>
          <w:color w:val="111111"/>
          <w:sz w:val="28"/>
          <w:sz w:val="28"/>
          <w:szCs w:val="28"/>
          <w:rtl w:val="true"/>
          <w:lang w:bidi="fa-IR"/>
        </w:rPr>
        <w:t xml:space="preserve">فی التحریر </w:t>
      </w:r>
      <w:r>
        <w:rPr>
          <w:rStyle w:val="FootnoteAnchor"/>
          <w:rtl w:val="true"/>
        </w:rPr>
        <w:footnoteReference w:id="1873"/>
      </w:r>
      <w:r>
        <w:rPr>
          <w:rFonts w:ascii="IRNazanin" w:hAnsi="IRNazanin" w:eastAsia="IRNazanin"/>
          <w:color w:val="111111"/>
          <w:sz w:val="28"/>
          <w:sz w:val="28"/>
          <w:szCs w:val="28"/>
          <w:rtl w:val="true"/>
          <w:lang w:bidi="fa-IR"/>
        </w:rPr>
        <w:t xml:space="preserve">مع موافقته فی المختلف </w:t>
      </w:r>
      <w:r>
        <w:rPr>
          <w:rStyle w:val="FootnoteAnchor"/>
          <w:rtl w:val="true"/>
        </w:rPr>
        <w:footnoteReference w:id="1874"/>
      </w:r>
      <w:r>
        <w:rPr>
          <w:rFonts w:ascii="Amiri" w:hAnsi="Amiri" w:eastAsia="Amiri" w:cs="Amiri"/>
          <w:color w:val="111111"/>
          <w:sz w:val="28"/>
          <w:sz w:val="28"/>
          <w:szCs w:val="28"/>
          <w:rtl w:val="true"/>
          <w:lang w:bidi="ar-SA"/>
        </w:rPr>
        <w:t xml:space="preserve">للأوّل </w:t>
      </w:r>
      <w:r>
        <w:rPr>
          <w:rStyle w:val="FootnoteAnchor"/>
          <w:rtl w:val="true"/>
        </w:rPr>
        <w:footnoteReference w:id="1875"/>
      </w:r>
      <w:r>
        <w:rPr>
          <w:rFonts w:ascii="IRNazanin" w:hAnsi="IRNazanin" w:eastAsia="IRNazanin"/>
          <w:color w:val="111111"/>
          <w:sz w:val="28"/>
          <w:sz w:val="28"/>
          <w:szCs w:val="28"/>
          <w:rtl w:val="true"/>
          <w:lang w:bidi="fa-IR"/>
        </w:rPr>
        <w:t xml:space="preserve">وتردّده فی باقی کتبه </w:t>
      </w:r>
      <w:r>
        <w:rPr>
          <w:rStyle w:val="FootnoteAnchor"/>
          <w:rtl w:val="true"/>
        </w:rPr>
        <w:footnoteReference w:id="18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وللتوقّف وجه وإن کان الأوّل </w:t>
      </w:r>
      <w:r>
        <w:rPr>
          <w:rStyle w:val="FootnoteAnchor"/>
          <w:rtl w:val="true"/>
        </w:rPr>
        <w:footnoteReference w:id="1877"/>
      </w:r>
      <w:r>
        <w:rPr>
          <w:rFonts w:ascii="IRNazanin" w:hAnsi="IRNazanin" w:eastAsia="IRNazanin"/>
          <w:color w:val="111111"/>
          <w:sz w:val="28"/>
          <w:sz w:val="28"/>
          <w:szCs w:val="28"/>
          <w:rtl w:val="true"/>
          <w:lang w:bidi="fa-IR"/>
        </w:rPr>
        <w:t xml:space="preserve">لا یخلو من قوّة، وهو اختیار المصنّف فی الشرح </w:t>
      </w:r>
      <w:r>
        <w:rPr>
          <w:rStyle w:val="FootnoteAnchor"/>
          <w:rtl w:val="true"/>
        </w:rPr>
        <w:footnoteReference w:id="18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واُجیب عن الآیة بأنّ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مفرد محلّی فلا یعمّ، والأصل یُعدل عنه للدلیل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الآیة حکایة عن التوراة فلا یلزمنا </w:t>
      </w:r>
      <w:r>
        <w:rPr>
          <w:rStyle w:val="FootnoteAnchor"/>
          <w:rtl w:val="true"/>
        </w:rPr>
        <w:footnoteReference w:id="1879"/>
      </w:r>
      <w:r>
        <w:rPr>
          <w:rFonts w:ascii="IRNazanin" w:hAnsi="IRNazanin" w:eastAsia="IRNazanin"/>
          <w:color w:val="111111"/>
          <w:sz w:val="28"/>
          <w:sz w:val="28"/>
          <w:szCs w:val="28"/>
          <w:rtl w:val="true"/>
          <w:lang w:bidi="fa-IR"/>
        </w:rPr>
        <w:t>مندفع بإقرارها فی شرعنا؛ لروایة زرارة عن أحدهما 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إنّها محکمة</w:t>
      </w:r>
      <w:r>
        <w:rPr>
          <w:rFonts w:eastAsia="IRNazanin" w:cs="IRNazanin"/>
          <w:color w:val="111111"/>
          <w:sz w:val="28"/>
          <w:szCs w:val="28"/>
          <w:rtl w:val="true"/>
          <w:lang w:bidi="fa-IR"/>
        </w:rPr>
        <w:t xml:space="preserve">» </w:t>
      </w:r>
      <w:r>
        <w:rPr>
          <w:rStyle w:val="FootnoteAnchor"/>
          <w:rtl w:val="true"/>
        </w:rPr>
        <w:footnoteReference w:id="1880"/>
      </w:r>
      <w:r>
        <w:rPr>
          <w:rFonts w:ascii="Amiri" w:hAnsi="Amiri" w:eastAsia="Amiri" w:cs="Amiri"/>
          <w:color w:val="111111"/>
          <w:sz w:val="28"/>
          <w:sz w:val="28"/>
          <w:szCs w:val="28"/>
          <w:rtl w:val="true"/>
          <w:lang w:bidi="ar-SA"/>
        </w:rPr>
        <w:t>ولقوله تعالی بعدها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لَمْ یَحْکُمْ بِمٰا أَنْزَلَ اَللّٰهُ فَأُولٰئِکَ هُمُ اَلظّٰالِمُونَ</w:t>
      </w:r>
      <w:r>
        <w:rPr>
          <w:rFonts w:eastAsia="Amiri" w:cs="Amiri" w:ascii="Amiri" w:hAnsi="Amiri"/>
          <w:color w:val="111111"/>
          <w:sz w:val="28"/>
          <w:szCs w:val="28"/>
          <w:rtl w:val="true"/>
          <w:lang w:bidi="ar-SA"/>
        </w:rPr>
        <w:t xml:space="preserve">) </w:t>
      </w:r>
      <w:r>
        <w:rPr>
          <w:rStyle w:val="FootnoteAnchor"/>
          <w:rtl w:val="true"/>
        </w:rPr>
        <w:footnoteReference w:id="1881"/>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للعموم، والظلم حرام، فترکه واجب، وهو لا یتمّ إلّابالحکم بها</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ینقدح </w:t>
      </w:r>
      <w:r>
        <w:rPr>
          <w:rStyle w:val="FootnoteAnchor"/>
          <w:rtl w:val="true"/>
        </w:rPr>
        <w:footnoteReference w:id="1882"/>
      </w:r>
      <w:r>
        <w:rPr>
          <w:rFonts w:ascii="IRNazanin" w:hAnsi="IRNazanin" w:eastAsia="IRNazanin"/>
          <w:color w:val="111111"/>
          <w:sz w:val="28"/>
          <w:sz w:val="28"/>
          <w:szCs w:val="28"/>
          <w:rtl w:val="true"/>
          <w:lang w:bidi="fa-IR"/>
        </w:rPr>
        <w:t xml:space="preserve">الشکّ فی الثانی باحتمال کونه معطوفاً علی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Style w:val="FootnoteAnchor"/>
          <w:rtl w:val="true"/>
        </w:rPr>
        <w:footnoteReference w:id="1883"/>
      </w:r>
    </w:p>
    <w:p>
      <w:pPr>
        <w:pStyle w:val="BookText"/>
        <w:rPr/>
      </w:pPr>
      <w:r>
        <w:rPr>
          <w:rFonts w:ascii="Amiri" w:hAnsi="Amiri" w:eastAsia="Amiri" w:cs="Amiri"/>
          <w:color w:val="111111"/>
          <w:sz w:val="28"/>
          <w:sz w:val="28"/>
          <w:szCs w:val="28"/>
          <w:rtl w:val="true"/>
          <w:lang w:bidi="ar-SA"/>
        </w:rPr>
        <w:t>فلا یدلّ علی بقائه عندنا لولا النصّ علی کونها مُحکَمَة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ولو ذهب ضوء العین مع سلامة الحدقة، قیل </w:t>
      </w:r>
      <w:r>
        <w:rPr>
          <w:rStyle w:val="FootnoteAnchor"/>
          <w:rtl w:val="true"/>
        </w:rPr>
        <w:footnoteReference w:id="18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طریق الاقتصاص منه بإذهاب بصرها مع بقاء حدقته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طُرح علی الأجفان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أجفان الجانی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قطن مبلول وتُقابل بمرآة محماة مواجهة الشمس </w:t>
      </w:r>
      <w:r>
        <w:rPr>
          <w:rStyle w:val="FootnoteAnchor"/>
          <w:rtl w:val="true"/>
        </w:rPr>
        <w:footnoteReference w:id="18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یفتح عینه، ویُکلَّف النظر إلیها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یذهب الضوء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وتبقی الحدقة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والقول باستیفائه علی هذا الوجه هو المشهور بین الأصحاب ومستنده روایة رفاعة عن أبی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علیّاً علیه السلام فعل ذلک فی من لطم عین غیره فأنزل فیها الماء وأذهب بصرها</w:t>
      </w:r>
      <w:r>
        <w:rPr>
          <w:rFonts w:eastAsia="IRNazanin" w:cs="IRNazanin"/>
          <w:color w:val="111111"/>
          <w:sz w:val="28"/>
          <w:szCs w:val="28"/>
          <w:rtl w:val="true"/>
          <w:lang w:bidi="fa-IR"/>
        </w:rPr>
        <w:t xml:space="preserve">» </w:t>
      </w:r>
      <w:r>
        <w:rPr>
          <w:rStyle w:val="FootnoteAnchor"/>
          <w:rtl w:val="true"/>
        </w:rPr>
        <w:footnoteReference w:id="1886"/>
      </w:r>
      <w:r>
        <w:rPr>
          <w:rFonts w:ascii="IRNazanin" w:hAnsi="IRNazanin" w:eastAsia="IRNazanin"/>
          <w:color w:val="111111"/>
          <w:sz w:val="28"/>
          <w:sz w:val="28"/>
          <w:szCs w:val="28"/>
          <w:rtl w:val="true"/>
          <w:lang w:bidi="fa-IR"/>
        </w:rPr>
        <w:t xml:space="preserve">وإنّما حکاه قولاً؛ للتنبیه علی عدم دلیل یفید انحصار الاستیفاء فیه، بل یجوز بما یحصل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Style w:val="FootnoteAnchor"/>
          <w:rtl w:val="true"/>
        </w:rPr>
        <w:footnoteReference w:id="1887"/>
      </w:r>
      <w:r>
        <w:rPr>
          <w:rFonts w:ascii="IRNazanin" w:hAnsi="IRNazanin" w:eastAsia="IRNazanin"/>
          <w:color w:val="111111"/>
          <w:sz w:val="28"/>
          <w:sz w:val="28"/>
          <w:szCs w:val="28"/>
          <w:rtl w:val="true"/>
          <w:lang w:bidi="fa-IR"/>
        </w:rPr>
        <w:t xml:space="preserve">الغرض من إذهاب البصر وإبقاء الحدقة بأیّ وجه اتّفق </w:t>
      </w:r>
      <w:r>
        <w:rPr>
          <w:rStyle w:val="FootnoteAnchor"/>
          <w:rtl w:val="true"/>
        </w:rPr>
        <w:footnoteReference w:id="1888"/>
      </w:r>
      <w:r>
        <w:rPr>
          <w:rFonts w:ascii="IRNazanin" w:hAnsi="IRNazanin" w:eastAsia="IRNazanin"/>
          <w:color w:val="111111"/>
          <w:sz w:val="28"/>
          <w:sz w:val="28"/>
          <w:szCs w:val="28"/>
          <w:rtl w:val="true"/>
          <w:lang w:bidi="fa-IR"/>
        </w:rPr>
        <w:t xml:space="preserve">مع أنّ فی طریق الروایة ضعفاً وجهالة </w:t>
      </w:r>
      <w:r>
        <w:rPr>
          <w:rStyle w:val="FootnoteAnchor"/>
          <w:rtl w:val="true"/>
        </w:rPr>
        <w:footnoteReference w:id="1889"/>
      </w:r>
      <w:r>
        <w:rPr>
          <w:rFonts w:ascii="IRNazanin" w:hAnsi="IRNazanin" w:eastAsia="IRNazanin"/>
          <w:color w:val="111111"/>
          <w:sz w:val="28"/>
          <w:sz w:val="28"/>
          <w:szCs w:val="28"/>
          <w:rtl w:val="true"/>
          <w:lang w:bidi="fa-IR"/>
        </w:rPr>
        <w:t>یمنع من تعیین ما دلّت علیه وإن کان جائزاً</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القصاص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الشَعر إن أمکن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الاستیفاء المماثل للجنایة</w:t>
      </w:r>
    </w:p>
    <w:p>
      <w:pPr>
        <w:pStyle w:val="BookText"/>
        <w:rPr/>
      </w:pPr>
      <w:r>
        <w:rPr>
          <w:rFonts w:ascii="IRNazanin" w:hAnsi="IRNazanin" w:eastAsia="IRNazanin"/>
          <w:color w:val="111111"/>
          <w:sz w:val="28"/>
          <w:sz w:val="28"/>
          <w:szCs w:val="28"/>
          <w:rtl w:val="true"/>
          <w:lang w:bidi="fa-IR"/>
        </w:rPr>
        <w:t xml:space="preserve">بأن یُستوفی ما ینبت </w:t>
      </w:r>
      <w:r>
        <w:rPr>
          <w:rStyle w:val="FootnoteAnchor"/>
          <w:rtl w:val="true"/>
        </w:rPr>
        <w:footnoteReference w:id="1890"/>
      </w:r>
      <w:r>
        <w:rPr>
          <w:rFonts w:ascii="IRNazanin" w:hAnsi="IRNazanin" w:eastAsia="IRNazanin"/>
          <w:color w:val="111111"/>
          <w:sz w:val="28"/>
          <w:sz w:val="28"/>
          <w:szCs w:val="28"/>
          <w:rtl w:val="true"/>
          <w:lang w:bidi="fa-IR"/>
        </w:rPr>
        <w:t xml:space="preserve">علی وجه ینبت، وما لا ینبت </w:t>
      </w:r>
      <w:r>
        <w:rPr>
          <w:rStyle w:val="FootnoteAnchor"/>
          <w:rtl w:val="true"/>
        </w:rPr>
        <w:footnoteReference w:id="1891"/>
      </w:r>
      <w:r>
        <w:rPr>
          <w:rFonts w:ascii="IRNazanin" w:hAnsi="IRNazanin" w:eastAsia="IRNazanin"/>
          <w:color w:val="111111"/>
          <w:sz w:val="28"/>
          <w:sz w:val="28"/>
          <w:szCs w:val="28"/>
          <w:rtl w:val="true"/>
          <w:lang w:bidi="fa-IR"/>
        </w:rPr>
        <w:t xml:space="preserve">کذلک، علی وجه لا یتعدّی إلی فساد البشرة ولا الشعر زیادة عن </w:t>
      </w:r>
      <w:r>
        <w:rPr>
          <w:rStyle w:val="FootnoteAnchor"/>
          <w:rtl w:val="true"/>
        </w:rPr>
        <w:footnoteReference w:id="1892"/>
      </w:r>
      <w:r>
        <w:rPr>
          <w:rFonts w:ascii="IRNazanin" w:hAnsi="IRNazanin" w:eastAsia="IRNazanin"/>
          <w:color w:val="111111"/>
          <w:sz w:val="28"/>
          <w:sz w:val="28"/>
          <w:szCs w:val="28"/>
          <w:rtl w:val="true"/>
          <w:lang w:bidi="fa-IR"/>
        </w:rPr>
        <w:t>الجنایة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أمر بعید، ومن ثَمَّ منعه جماعة </w:t>
      </w:r>
      <w:r>
        <w:rPr>
          <w:rStyle w:val="FootnoteAnchor"/>
          <w:rtl w:val="true"/>
        </w:rPr>
        <w:footnoteReference w:id="1893"/>
      </w:r>
      <w:r>
        <w:rPr>
          <w:rFonts w:ascii="IRNazanin" w:hAnsi="IRNazanin" w:eastAsia="IRNazanin"/>
          <w:color w:val="111111"/>
          <w:sz w:val="28"/>
          <w:sz w:val="28"/>
          <w:szCs w:val="28"/>
          <w:rtl w:val="true"/>
          <w:lang w:bidi="fa-IR"/>
        </w:rPr>
        <w:t xml:space="preserve">وتوقّف آخرون منهم العلّامة فی القواعد </w:t>
      </w:r>
      <w:r>
        <w:rPr>
          <w:rStyle w:val="FootnoteAnchor"/>
          <w:rtl w:val="true"/>
        </w:rPr>
        <w:footnoteReference w:id="18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ویُقطع ذکر الشابّ بذکر الشیخ،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المختون بالأغلف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والفحل بمسلول الخصیتین؛ لثبوت أصل المماثلة، وعدم اعتبار زیادة المنفعة ونقصانها، کما تُقطع ید القویّ بید الضعیف، وعین الصحیح بالأعشی، ولسان الفصیح بغیره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یقطع الصحیح بالعنّین، ویثبت فی العکس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الخصیتین وفی إحداهما القصاص إن لم یُخف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بقطع الواحدة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ذهابُ منفعة الاُخری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خیف فالدیة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فرق فی جواز الاقتصاص فیهما بین کون الذکر صحیحاً وعدمه؛ لثبوت أصل المماثلة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وتقطع الاُذن الصحیحة بالصمّاء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السمع منفعة اُخری خارجة عن نفس الاُذن، فلیس الأمر کالذَکر الصحیح والعنّین، حتّی لو قطع اُذنه فأزال سمعه فهما جنایتان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تؤخذ الصحیحة بالمخرومة، بل یقتصّ إلی حدّ الخرم ویؤخذ حکومةً الباقی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الثقب فلیس بمانع</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والأنف الشامّ بالأخشم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بالمعجمتین وهو الذی لا یشمّ؛ لأنّ منفعة</w:t>
      </w:r>
    </w:p>
    <w:p>
      <w:pPr>
        <w:pStyle w:val="BookText"/>
        <w:rPr/>
      </w:pPr>
      <w:r>
        <w:rPr>
          <w:rFonts w:ascii="IRNazanin" w:hAnsi="IRNazanin" w:eastAsia="IRNazanin"/>
          <w:color w:val="111111"/>
          <w:sz w:val="28"/>
          <w:sz w:val="28"/>
          <w:szCs w:val="28"/>
          <w:rtl w:val="true"/>
          <w:lang w:bidi="fa-IR"/>
        </w:rPr>
        <w:t>الشمّ خارجة عن الأنف، والخلل حینئذٍ فی الدماغ، لا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وکذا یستوی </w:t>
      </w:r>
      <w:r>
        <w:rPr>
          <w:rStyle w:val="FootnoteAnchor"/>
          <w:rtl w:val="true"/>
        </w:rPr>
        <w:footnoteReference w:id="1895"/>
      </w:r>
      <w:r>
        <w:rPr>
          <w:rFonts w:ascii="IRNazanin" w:hAnsi="IRNazanin" w:eastAsia="IRNazanin"/>
          <w:color w:val="111111"/>
          <w:sz w:val="28"/>
          <w:sz w:val="28"/>
          <w:szCs w:val="28"/>
          <w:rtl w:val="true"/>
          <w:lang w:bidi="fa-IR"/>
        </w:rPr>
        <w:t xml:space="preserve">الأقنی </w:t>
      </w:r>
      <w:r>
        <w:rPr>
          <w:rStyle w:val="FootnoteAnchor"/>
          <w:rtl w:val="true"/>
        </w:rPr>
        <w:footnoteReference w:id="1896"/>
      </w:r>
      <w:r>
        <w:rPr>
          <w:rFonts w:ascii="IRNazanin" w:hAnsi="IRNazanin" w:eastAsia="IRNazanin"/>
          <w:color w:val="111111"/>
          <w:sz w:val="28"/>
          <w:sz w:val="28"/>
          <w:szCs w:val="28"/>
          <w:rtl w:val="true"/>
          <w:lang w:bidi="fa-IR"/>
        </w:rPr>
        <w:t xml:space="preserve">والأفطس </w:t>
      </w:r>
      <w:r>
        <w:rPr>
          <w:rStyle w:val="FootnoteAnchor"/>
          <w:rtl w:val="true"/>
        </w:rPr>
        <w:footnoteReference w:id="1897"/>
      </w:r>
      <w:r>
        <w:rPr>
          <w:rFonts w:ascii="IRNazanin" w:hAnsi="IRNazanin" w:eastAsia="IRNazanin"/>
          <w:color w:val="111111"/>
          <w:sz w:val="28"/>
          <w:sz w:val="28"/>
          <w:szCs w:val="28"/>
          <w:rtl w:val="true"/>
          <w:lang w:bidi="fa-IR"/>
        </w:rPr>
        <w:t>والکبیر والصغیر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وأحد المنخرین بصاحبه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المماثل له فی الیمین والیسار، کما یعتبر ذلک فی نحوهما من الاُذنین والیدین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وکما یثبت فی جمیعه فکذا فی بعضه، لکن ینسب المقطوع إلی أصله ویؤخذ من الجانی بحسابه؛ لئلّا یستوعب بالبعض أنفَ الصغیر، فالنصف بالنصف، والثلث بالثلث، وهکذا</w:t>
      </w:r>
      <w:r>
        <w:rPr>
          <w:rFonts w:eastAsia="IRNazanin" w:cs="IRNazanin"/>
          <w:color w:val="111111"/>
          <w:sz w:val="28"/>
          <w:szCs w:val="28"/>
          <w:rtl w:val="true"/>
          <w:lang w:bidi="fa-IR"/>
        </w:rPr>
        <w:t>.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ویُقلع السنّ بالسنّ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المماثلة کالثنیّة بالثنیّة، والرباعیّة بها، والضِرس </w:t>
      </w:r>
      <w:r>
        <w:rPr>
          <w:rStyle w:val="FootnoteAnchor"/>
          <w:rtl w:val="true"/>
        </w:rPr>
        <w:footnoteReference w:id="1898"/>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وإنّما یُقتصّ إذا لم تَعُد المجنیّ علیها، أو یقضِ أهل الخبرة بعودها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عادت السنّ فلا قصاص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 نّه لو قُضی بعودها اُخّر إلی أن یمضی مدّة القضاء، فإن لم تَعُد اقتُصّ وإن عادت بعده؛ لأنّها حینئذٍ هبة جدیدة، وعلی هذا فیُقتصّ وإن عادت علی هذا الوجه؛ لأنّها لیست بدلاً عادة، بخلاف ما تقضی العادة بعودها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انعکس الفرض بأن عادت سنّ الجانی بخلاف العادة لم یکن للمجنیّ علیه إزالتها؛ لما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عادت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السنّ المقضیّ بعودها عادة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متغیّرة فالحکومة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الأرش؛ لتفاوت ما بینها </w:t>
      </w:r>
      <w:r>
        <w:rPr>
          <w:rStyle w:val="FootnoteAnchor"/>
          <w:rtl w:val="true"/>
        </w:rPr>
        <w:footnoteReference w:id="1899"/>
      </w:r>
      <w:r>
        <w:rPr>
          <w:rFonts w:ascii="IRNazanin" w:hAnsi="IRNazanin" w:eastAsia="IRNazanin"/>
          <w:color w:val="111111"/>
          <w:sz w:val="28"/>
          <w:sz w:val="28"/>
          <w:szCs w:val="28"/>
          <w:rtl w:val="true"/>
          <w:lang w:bidi="fa-IR"/>
        </w:rPr>
        <w:t>صحیحة ومتغیّرة کما هی</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وینتظر بسنّ الصبی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لم تسقط سنّه وینبت بدلها؛ لقضاء العادة</w:t>
      </w:r>
    </w:p>
    <w:p>
      <w:pPr>
        <w:pStyle w:val="BookText"/>
        <w:rPr/>
      </w:pPr>
      <w:r>
        <w:rPr>
          <w:rFonts w:ascii="IRNazanin" w:hAnsi="IRNazanin" w:eastAsia="IRNazanin"/>
          <w:color w:val="111111"/>
          <w:sz w:val="28"/>
          <w:sz w:val="28"/>
          <w:szCs w:val="28"/>
          <w:rtl w:val="true"/>
          <w:lang w:bidi="fa-IR"/>
        </w:rPr>
        <w:t xml:space="preserve">بعودها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لم تعد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خلاف العادة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ففیها القصاص، وإلّا فالحکومة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أرش ما بین کونه فاقد السنّ زمن ذهابها وواجدها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عادت متغیّرة أو مائلة فعلیه الحکومة الاُولی ونقص الثانیة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الیأس من عودها فالأرش</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تقلع سنّ بضِرس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ثنیّة برباعیّة ولا بناب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بالعکس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یعتبر العلوّ والسفل والیمین والیسار وغیرها من الاعتبارات المماثلة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 أصلیّة بزائدة، ولا زائدة بزائدة </w:t>
      </w:r>
      <w:r>
        <w:rPr>
          <w:rStyle w:val="FootnoteAnchor"/>
          <w:rtl w:val="true"/>
        </w:rPr>
        <w:footnoteReference w:id="1900"/>
      </w:r>
      <w:r>
        <w:rPr>
          <w:rFonts w:ascii="IRNazanin" w:hAnsi="IRNazanin" w:eastAsia="IRNazanin"/>
          <w:color w:val="111111"/>
          <w:sz w:val="28"/>
          <w:sz w:val="28"/>
          <w:szCs w:val="28"/>
          <w:rtl w:val="true"/>
          <w:lang w:bidi="fa-IR"/>
        </w:rPr>
        <w:t>مع تغایر المحلّ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الحکومة فیهما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اتّحد المحلّ قُلعت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وکلّ عضو وجب القصاص فیه </w:t>
      </w:r>
      <w:r>
        <w:rPr>
          <w:rStyle w:val="FootnoteAnchor"/>
          <w:rtl w:val="true"/>
        </w:rPr>
        <w:footnoteReference w:id="1901"/>
      </w:r>
      <w:r>
        <w:rPr>
          <w:rFonts w:ascii="IRNazanin" w:hAnsi="IRNazanin" w:eastAsia="IRNazanin"/>
          <w:color w:val="111111"/>
          <w:sz w:val="28"/>
          <w:sz w:val="28"/>
          <w:szCs w:val="28"/>
          <w:rtl w:val="true"/>
          <w:lang w:bidi="fa-IR"/>
        </w:rPr>
        <w:t>لو فقد انتقل إلی 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لأنّها قیمة العضو حیث لا یمکن استیفاؤه</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قطع إصبع رَجُلٍ، وید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مناسبة </w:t>
      </w:r>
      <w:r>
        <w:rPr>
          <w:rStyle w:val="FootnoteAnchor"/>
          <w:rtl w:val="true"/>
        </w:rPr>
        <w:footnoteReference w:id="1902"/>
      </w:r>
      <w:r>
        <w:rPr>
          <w:rFonts w:ascii="IRNazanin" w:hAnsi="IRNazanin" w:eastAsia="IRNazanin"/>
          <w:color w:val="111111"/>
          <w:sz w:val="28"/>
          <w:sz w:val="28"/>
          <w:szCs w:val="28"/>
          <w:rtl w:val="true"/>
          <w:lang w:bidi="fa-IR"/>
        </w:rPr>
        <w:t xml:space="preserve">لذات الإصبع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 لصاحب الإصبع إن سبق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الجنایة؛ لسبق استحقاقه إصبع الجانی قبل تعلّق حقّ الثانی بالید المشتملة علیها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لصاحب 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الباقی من الید ویؤخذ دیة الإصبع؛ لعدم استیفاء تمام حقّه فیدخل فیما تقدّم من القاعدة بوجوب </w:t>
      </w:r>
      <w:r>
        <w:rPr>
          <w:rStyle w:val="FootnoteAnchor"/>
          <w:rtl w:val="true"/>
        </w:rPr>
        <w:footnoteReference w:id="1903"/>
      </w:r>
      <w:r>
        <w:rPr>
          <w:rFonts w:ascii="IRNazanin" w:hAnsi="IRNazanin" w:eastAsia="IRNazanin"/>
          <w:color w:val="111111"/>
          <w:sz w:val="28"/>
          <w:sz w:val="28"/>
          <w:szCs w:val="28"/>
          <w:rtl w:val="true"/>
          <w:lang w:bidi="fa-IR"/>
        </w:rPr>
        <w:t xml:space="preserve">الدیة لکلّ عضو مفقود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بدأ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بقطع الید قُطعت 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للجنایة الاُولی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وألزمه الثانی دیة إصبع </w:t>
      </w:r>
      <w:r>
        <w:rPr>
          <w:rStyle w:val="FootnoteAnchor"/>
          <w:rtl w:val="true"/>
        </w:rPr>
        <w:footnoteReference w:id="1904"/>
      </w:r>
      <w:r>
        <w:rPr>
          <w:rFonts w:ascii="IRNazanin" w:hAnsi="IRNazanin" w:eastAsia="IRNazanin"/>
          <w:color w:val="111111"/>
          <w:sz w:val="28"/>
          <w:sz w:val="28"/>
          <w:szCs w:val="28"/>
          <w:rtl w:val="true"/>
          <w:lang w:bidi="fa-IR"/>
        </w:rPr>
        <w:t>لفوات محلّ القصاص</w:t>
      </w:r>
      <w:r>
        <w:rPr>
          <w:rFonts w:eastAsia="IRNazanin" w:cs="IRNazanin"/>
          <w:color w:val="111111"/>
          <w:sz w:val="28"/>
          <w:szCs w:val="28"/>
          <w:rtl w:val="true"/>
          <w:lang w:bidi="fa-IR"/>
        </w:rPr>
        <w:t>» .</w:t>
      </w:r>
      <w:bookmarkStart w:id="649" w:name="pg19815_253440"/>
    </w:p>
    <w:p>
      <w:pPr>
        <w:pStyle w:val="Heading3"/>
        <w:numPr>
          <w:ilvl w:val="2"/>
          <w:numId w:val="1"/>
        </w:numPr>
        <w:rPr/>
      </w:pPr>
      <w:bookmarkStart w:id="650" w:name="__RefHeading___Toc2228165_2314609296"/>
      <w:bookmarkStart w:id="651" w:name="_Toc245"/>
      <w:bookmarkEnd w:id="649"/>
      <w:bookmarkEnd w:id="650"/>
      <w:r>
        <w:rPr>
          <w:rtl w:val="true"/>
        </w:rPr>
        <w:t>«</w:t>
      </w:r>
      <w:r>
        <w:rPr>
          <w:rtl w:val="true"/>
        </w:rPr>
        <w:t>الفصل الثالث</w:t>
      </w:r>
      <w:r>
        <w:rPr>
          <w:rtl w:val="true"/>
        </w:rPr>
        <w:t>» «</w:t>
      </w:r>
      <w:r>
        <w:rPr>
          <w:rtl w:val="true"/>
        </w:rPr>
        <w:t>فی اللواحق</w:t>
      </w:r>
      <w:r>
        <w:rPr>
          <w:rtl w:val="true"/>
        </w:rPr>
        <w:t>»</w:t>
      </w:r>
      <w:bookmarkEnd w:id="65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الواجب فی قتل العمد القصاص، لا أحد الأمرین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الدیة والقصاص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زعمه بعض العامّة </w:t>
      </w:r>
      <w:r>
        <w:rPr>
          <w:rStyle w:val="FootnoteAnchor"/>
          <w:rtl w:val="true"/>
        </w:rPr>
        <w:footnoteReference w:id="1905"/>
      </w:r>
      <w:r>
        <w:rPr>
          <w:rFonts w:ascii="Amiri" w:hAnsi="Amiri" w:eastAsia="Amiri" w:cs="Amiri"/>
          <w:color w:val="111111"/>
          <w:sz w:val="28"/>
          <w:sz w:val="28"/>
          <w:szCs w:val="28"/>
          <w:rtl w:val="true"/>
          <w:lang w:bidi="ar-SA"/>
        </w:rPr>
        <w:t>لقوله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اَلنَّفْسَ بِالنَّفْسِ</w:t>
      </w:r>
      <w:r>
        <w:rPr>
          <w:rFonts w:eastAsia="Amiri" w:cs="Amiri" w:ascii="Amiri" w:hAnsi="Amiri"/>
          <w:color w:val="111111"/>
          <w:sz w:val="28"/>
          <w:szCs w:val="28"/>
          <w:rtl w:val="true"/>
          <w:lang w:bidi="ar-SA"/>
        </w:rPr>
        <w:t xml:space="preserve">) </w:t>
      </w:r>
      <w:r>
        <w:rPr>
          <w:rStyle w:val="FootnoteAnchor"/>
          <w:rtl w:val="true"/>
        </w:rPr>
        <w:footnoteReference w:id="1906"/>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کُتِبَ عَلَیْکُمُ اَلْقِصٰاصُ فِی اَلْقَتْلیٰ اَلْحُرُّ بِالْحُرِّ</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الآیة </w:t>
      </w:r>
      <w:r>
        <w:rPr>
          <w:rStyle w:val="FootnoteAnchor"/>
          <w:rtl w:val="true"/>
        </w:rPr>
        <w:footnoteReference w:id="1907"/>
      </w:r>
      <w:r>
        <w:rPr>
          <w:rFonts w:ascii="IRNazanin" w:hAnsi="IRNazanin" w:eastAsia="IRNazanin"/>
          <w:color w:val="111111"/>
          <w:sz w:val="28"/>
          <w:sz w:val="28"/>
          <w:szCs w:val="28"/>
          <w:rtl w:val="true"/>
          <w:lang w:bidi="fa-IR"/>
        </w:rPr>
        <w:t>وصحیحة الحلبی وعبد اللّٰه بن سنان عن الصادق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قتل مؤمناً متعمّداً قید به، إلّاأن یرضی أولیاء المقتول أن یقبلوا الدیة، فإن رضوا بالدیة وأحبّ ذلک القاتل فالدیة</w:t>
      </w:r>
      <w:r>
        <w:rPr>
          <w:rFonts w:eastAsia="IRNazanin" w:cs="IRNazanin"/>
          <w:color w:val="111111"/>
          <w:sz w:val="28"/>
          <w:szCs w:val="28"/>
          <w:rtl w:val="true"/>
          <w:lang w:bidi="fa-IR"/>
        </w:rPr>
        <w:t xml:space="preserve">. . .» </w:t>
      </w:r>
      <w:r>
        <w:rPr>
          <w:rStyle w:val="FootnoteAnchor"/>
          <w:rtl w:val="true"/>
        </w:rPr>
        <w:footnoteReference w:id="190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لو اصطلحا علی الدیة 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للخبر، ولأنّ القصاص حقّ فیجوز الصلح علی إسقاطه بمال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ویجوز الزیادة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عن الدیة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والنقیصة مع التراضی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تراضی الجانی والولیّ؛ لأنّ الصلح إلیهما فلا یتقدّر إلّابرضاهما</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وجوبها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الدیة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الجانی بطلب الولیّ 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قول لابن الجنید </w:t>
      </w:r>
      <w:r>
        <w:rPr>
          <w:rStyle w:val="FootnoteAnchor"/>
          <w:rtl w:val="true"/>
        </w:rPr>
        <w:footnoteReference w:id="19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لوجوب حفظ نفسه الموقوف علی بذل 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فیجب مع القدرة،</w:t>
      </w:r>
    </w:p>
    <w:p>
      <w:pPr>
        <w:pStyle w:val="BookText"/>
        <w:rPr/>
      </w:pPr>
      <w:r>
        <w:rPr>
          <w:rFonts w:ascii="IRNazanin" w:hAnsi="IRNazanin" w:eastAsia="IRNazanin"/>
          <w:color w:val="111111"/>
          <w:sz w:val="28"/>
          <w:sz w:val="28"/>
          <w:szCs w:val="28"/>
          <w:rtl w:val="true"/>
          <w:lang w:bidi="fa-IR"/>
        </w:rPr>
        <w:t>ولروایة الفضیل عن الصادق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والعمد هو القود، أو رضا ولیّ المقتول</w:t>
      </w:r>
      <w:r>
        <w:rPr>
          <w:rFonts w:eastAsia="IRNazanin" w:cs="IRNazanin"/>
          <w:color w:val="111111"/>
          <w:sz w:val="28"/>
          <w:szCs w:val="28"/>
          <w:rtl w:val="true"/>
          <w:lang w:bidi="fa-IR"/>
        </w:rPr>
        <w:t xml:space="preserve">» </w:t>
      </w:r>
      <w:r>
        <w:rPr>
          <w:rStyle w:val="FootnoteAnchor"/>
          <w:rtl w:val="true"/>
        </w:rPr>
        <w:footnoteReference w:id="1910"/>
      </w:r>
      <w:r>
        <w:rPr>
          <w:rFonts w:ascii="IRNazanin" w:hAnsi="IRNazanin" w:eastAsia="IRNazanin"/>
          <w:color w:val="111111"/>
          <w:sz w:val="28"/>
          <w:sz w:val="28"/>
          <w:szCs w:val="28"/>
          <w:rtl w:val="true"/>
          <w:lang w:bidi="fa-IR"/>
        </w:rPr>
        <w:t>ولا بأس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التعلیل لا یتقدّر بالدیة، بل لو طلب منه أزید وتمکّن منه وجب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جنی علی الطرف ومات واشتبه استناد الموت إلی الجنایة فلا قصاص فی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للشکّ فی سببه، بل فی الطرف خاصّة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ویستحبّ إحضار شاهدین </w:t>
      </w:r>
      <w:r>
        <w:rPr>
          <w:rStyle w:val="FootnoteAnchor"/>
          <w:rtl w:val="true"/>
        </w:rPr>
        <w:footnoteReference w:id="1911"/>
      </w:r>
      <w:r>
        <w:rPr>
          <w:rFonts w:ascii="IRNazanin" w:hAnsi="IRNazanin" w:eastAsia="IRNazanin"/>
          <w:color w:val="111111"/>
          <w:sz w:val="28"/>
          <w:sz w:val="28"/>
          <w:szCs w:val="28"/>
          <w:rtl w:val="true"/>
          <w:lang w:bidi="fa-IR"/>
        </w:rPr>
        <w:t>عند الاستیفاء احتیاطاً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إیقاعه علی الوجه المعتبر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وللمنع من حصول الاختلاف فی الاستیفاء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فینکره الولیّ فیُدفع بالبیّنة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وتُعتبر الآلة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تُختبر بوجهٍ یظهر حالها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حذراً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قد وضع المستوفی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 وخصوصاً فی الطَرَف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البقاء معه مطلوب والسمّ ینافیه غالباً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حصل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من الآلة المقتصّ بها فی الطرف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جنایة بالسمّ ضمن المقتصّ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علم به، ولو کان القصاص فی النفس أساء واستوفی ولا شیء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یُقتصّ إلّابالسیف، فیضرب العُنُق لا 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الجانی أبانه، وإلّا ففی جوازه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صدق استیفاء النفس بالنفس، وزیادة الاستیفاء وبقاء حرمة الآدمی بعد موته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واستقرب فی القواعد المنع </w:t>
      </w:r>
      <w:r>
        <w:rPr>
          <w:rStyle w:val="FootnoteAnchor"/>
          <w:rtl w:val="true"/>
        </w:rPr>
        <w:footnoteReference w:id="1912"/>
      </w:r>
      <w:r>
        <w:rPr>
          <w:rFonts w:eastAsia="Times New Roman" w:cs="Times New Roman" w:ascii="Times New Roman" w:hAnsi="Times New Roman"/>
          <w:color w:val="111111"/>
          <w:sz w:val="28"/>
          <w:szCs w:val="28"/>
          <w:rtl w:val="true"/>
          <w:lang w:val="en-US" w:bidi="en-US"/>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یجوز التمثیل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بالجانی بأن یقطع بعض أعضائه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کانت جنایته تمثیلاً 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بالتغریق والتحریق والمثقَّل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یستوفی فی جمیع ذلک بالسیف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ابن الجنید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یجوز قتله بمثل القتلة التی قُتل بها </w:t>
      </w:r>
      <w:r>
        <w:rPr>
          <w:rStyle w:val="FootnoteAnchor"/>
          <w:rtl w:val="true"/>
        </w:rPr>
        <w:footnoteReference w:id="1913"/>
      </w:r>
      <w:r>
        <w:rPr>
          <w:rFonts w:ascii="Amiri" w:hAnsi="Amiri" w:eastAsia="Amiri" w:cs="Amiri"/>
          <w:color w:val="111111"/>
          <w:sz w:val="28"/>
          <w:sz w:val="28"/>
          <w:szCs w:val="28"/>
          <w:rtl w:val="true"/>
          <w:lang w:bidi="ar-SA"/>
        </w:rPr>
        <w:t>لقوله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بِمِثْلِ مَا اِعْتَدیٰ عَلَیْکُمْ</w:t>
      </w:r>
      <w:r>
        <w:rPr>
          <w:rFonts w:eastAsia="Amiri" w:cs="Amiri" w:ascii="Amiri" w:hAnsi="Amiri"/>
          <w:color w:val="111111"/>
          <w:sz w:val="28"/>
          <w:szCs w:val="28"/>
          <w:rtl w:val="true"/>
          <w:lang w:bidi="ar-SA"/>
        </w:rPr>
        <w:t xml:space="preserve">) </w:t>
      </w:r>
      <w:r>
        <w:rPr>
          <w:rStyle w:val="FootnoteAnchor"/>
          <w:rtl w:val="true"/>
        </w:rPr>
        <w:footnoteReference w:id="1914"/>
      </w:r>
      <w:r>
        <w:rPr>
          <w:rFonts w:ascii="Amiri" w:hAnsi="Amiri" w:eastAsia="Amiri" w:cs="Amiri"/>
          <w:color w:val="111111"/>
          <w:sz w:val="28"/>
          <w:sz w:val="28"/>
          <w:szCs w:val="28"/>
          <w:rtl w:val="true"/>
          <w:lang w:bidi="ar-SA"/>
        </w:rPr>
        <w:t xml:space="preserve">وهو متّجه </w:t>
      </w:r>
      <w:r>
        <w:rPr>
          <w:rStyle w:val="FootnoteAnchor"/>
          <w:rtl w:val="true"/>
        </w:rPr>
        <w:footnoteReference w:id="1915"/>
      </w:r>
      <w:r>
        <w:rPr>
          <w:rFonts w:ascii="IRNazanin" w:hAnsi="IRNazanin" w:eastAsia="IRNazanin"/>
          <w:color w:val="111111"/>
          <w:sz w:val="28"/>
          <w:sz w:val="28"/>
          <w:szCs w:val="28"/>
          <w:rtl w:val="true"/>
          <w:lang w:bidi="fa-IR"/>
        </w:rPr>
        <w:t>لولا الاتّفاق علی خلافه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قد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والقائل الشیخ فی النهایة </w:t>
      </w:r>
      <w:r>
        <w:rPr>
          <w:rStyle w:val="FootnoteAnchor"/>
          <w:rtl w:val="true"/>
        </w:rPr>
        <w:footnoteReference w:id="1916"/>
      </w:r>
      <w:r>
        <w:rPr>
          <w:rFonts w:ascii="IRNazanin" w:hAnsi="IRNazanin" w:eastAsia="IRNazanin"/>
          <w:color w:val="111111"/>
          <w:sz w:val="28"/>
          <w:sz w:val="28"/>
          <w:szCs w:val="28"/>
          <w:rtl w:val="true"/>
          <w:lang w:bidi="fa-IR"/>
        </w:rPr>
        <w:t xml:space="preserve">وأکثر المتأخّرین </w:t>
      </w:r>
      <w:r>
        <w:rPr>
          <w:rStyle w:val="FootnoteAnchor"/>
          <w:rtl w:val="true"/>
        </w:rPr>
        <w:footnoteReference w:id="1917"/>
      </w:r>
      <w:r>
        <w:rPr>
          <w:rFonts w:ascii="IRNazanin" w:hAnsi="IRNazanin" w:eastAsia="IRNazanin"/>
          <w:color w:val="111111"/>
          <w:sz w:val="28"/>
          <w:sz w:val="28"/>
          <w:szCs w:val="28"/>
          <w:rtl w:val="true"/>
          <w:lang w:bidi="fa-IR"/>
        </w:rPr>
        <w:t xml:space="preserve">إنّه مع جمع الجانی بین التمثیل بقطع شیء من أعضائه وقتله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یقتصّ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الولیّ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الطرف، ثمّ یقتصّ فی النفس إن کان الجانی فعل ذلک بضربات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متعدّدة؛ لأنّ ذلک بمنزلة جنایات متعدّدة وقد وجب القصاص بالجنایة الاُولی فیستصحب، ولروایة محمّد بن قیس عن أحدهما علیهما السلام </w:t>
      </w:r>
      <w:r>
        <w:rPr>
          <w:rStyle w:val="FootnoteAnchor"/>
          <w:rtl w:val="true"/>
        </w:rPr>
        <w:footnoteReference w:id="1918"/>
      </w:r>
      <w:r>
        <w:rPr>
          <w:rFonts w:ascii="IRNazanin" w:hAnsi="IRNazanin" w:eastAsia="IRNazanin"/>
          <w:color w:val="111111"/>
          <w:sz w:val="28"/>
          <w:sz w:val="28"/>
          <w:szCs w:val="28"/>
          <w:rtl w:val="true"/>
          <w:lang w:bidi="fa-IR"/>
        </w:rPr>
        <w:t>ولو فعل ذلک بضربة واحدة لم یکن علیه أکثر من القتل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یدخل قصاص الطرف فی قصاص النفس مطلقاً، ذهب إلیه الشیخ فی المبسوط والخلاف </w:t>
      </w:r>
      <w:r>
        <w:rPr>
          <w:rStyle w:val="FootnoteAnchor"/>
          <w:rtl w:val="true"/>
        </w:rPr>
        <w:footnoteReference w:id="1919"/>
      </w:r>
      <w:r>
        <w:rPr>
          <w:rFonts w:ascii="IRNazanin" w:hAnsi="IRNazanin" w:eastAsia="IRNazanin"/>
          <w:color w:val="111111"/>
          <w:sz w:val="28"/>
          <w:sz w:val="28"/>
          <w:szCs w:val="28"/>
          <w:rtl w:val="true"/>
          <w:lang w:bidi="fa-IR"/>
        </w:rPr>
        <w:t xml:space="preserve">ورواه أبو عبد اللّٰه عن الباقر علیه السلام </w:t>
      </w:r>
      <w:r>
        <w:rPr>
          <w:rStyle w:val="FootnoteAnchor"/>
          <w:rtl w:val="true"/>
        </w:rPr>
        <w:footnoteReference w:id="1920"/>
      </w:r>
      <w:r>
        <w:rPr>
          <w:rFonts w:ascii="IRNazanin" w:hAnsi="IRNazanin" w:eastAsia="IRNazanin"/>
          <w:color w:val="111111"/>
          <w:sz w:val="28"/>
          <w:sz w:val="28"/>
          <w:szCs w:val="28"/>
          <w:rtl w:val="true"/>
          <w:lang w:bidi="fa-IR"/>
        </w:rPr>
        <w:t>والأقرب الأوّل</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یقتصّ بالآلة الکالّة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لا تقطع أو </w:t>
      </w:r>
      <w:r>
        <w:rPr>
          <w:rStyle w:val="FootnoteAnchor"/>
          <w:rtl w:val="true"/>
        </w:rPr>
        <w:footnoteReference w:id="1921"/>
      </w:r>
      <w:r>
        <w:rPr>
          <w:rFonts w:ascii="IRNazanin" w:hAnsi="IRNazanin" w:eastAsia="IRNazanin"/>
          <w:color w:val="111111"/>
          <w:sz w:val="28"/>
          <w:sz w:val="28"/>
          <w:szCs w:val="28"/>
          <w:rtl w:val="true"/>
          <w:lang w:bidi="fa-IR"/>
        </w:rPr>
        <w:t>لا تقتل إلّابمبالغة کثیرة؛</w:t>
      </w:r>
    </w:p>
    <w:p>
      <w:pPr>
        <w:pStyle w:val="BookText"/>
        <w:rPr/>
      </w:pPr>
      <w:r>
        <w:rPr>
          <w:rFonts w:ascii="IRNazanin" w:hAnsi="IRNazanin" w:eastAsia="IRNazanin"/>
          <w:color w:val="111111"/>
          <w:sz w:val="28"/>
          <w:sz w:val="28"/>
          <w:szCs w:val="28"/>
          <w:rtl w:val="true"/>
          <w:lang w:bidi="fa-IR"/>
        </w:rPr>
        <w:t xml:space="preserve">لئلّا یتعذّب المقتصّ منه، سواء فی ذلک النفس والطرف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فیأثم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المقتصّ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شیء علیه سواه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یضمن المقتصّ سرایةَ القصاص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فعل سائغ، فلا یتعقّبه ضمان، ولقول الصادق علیه السلام فی حسنة الحلبی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یّما رجل قتله الحدّ والقصاص فلا دیة له</w:t>
      </w:r>
      <w:r>
        <w:rPr>
          <w:rFonts w:eastAsia="IRNazanin" w:cs="IRNazanin"/>
          <w:color w:val="111111"/>
          <w:sz w:val="28"/>
          <w:szCs w:val="28"/>
          <w:rtl w:val="true"/>
          <w:lang w:bidi="fa-IR"/>
        </w:rPr>
        <w:t xml:space="preserve">» </w:t>
      </w:r>
      <w:r>
        <w:rPr>
          <w:rStyle w:val="FootnoteAnchor"/>
          <w:rtl w:val="true"/>
        </w:rPr>
        <w:footnoteReference w:id="1922"/>
      </w:r>
      <w:r>
        <w:rPr>
          <w:rFonts w:ascii="IRNazanin" w:hAnsi="IRNazanin" w:eastAsia="IRNazanin"/>
          <w:color w:val="111111"/>
          <w:sz w:val="28"/>
          <w:sz w:val="28"/>
          <w:szCs w:val="28"/>
          <w:rtl w:val="true"/>
          <w:lang w:bidi="fa-IR"/>
        </w:rPr>
        <w:t>وغیرها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دیته فی بیت المال </w:t>
      </w:r>
      <w:r>
        <w:rPr>
          <w:rStyle w:val="FootnoteAnchor"/>
          <w:rtl w:val="true"/>
        </w:rPr>
        <w:footnoteReference w:id="1923"/>
      </w:r>
      <w:r>
        <w:rPr>
          <w:rFonts w:ascii="IRNazanin" w:hAnsi="IRNazanin" w:eastAsia="IRNazanin"/>
          <w:color w:val="111111"/>
          <w:sz w:val="28"/>
          <w:sz w:val="28"/>
          <w:szCs w:val="28"/>
          <w:rtl w:val="true"/>
          <w:lang w:bidi="fa-IR"/>
        </w:rPr>
        <w:t xml:space="preserve">استناداً إلی خبر ضعیف </w:t>
      </w:r>
      <w:r>
        <w:rPr>
          <w:rStyle w:val="FootnoteAnchor"/>
          <w:rtl w:val="true"/>
        </w:rPr>
        <w:footnoteReference w:id="19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لم یتعدّ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حقَّه، فیضمن حینئذٍ الزائد قصاصاً أو دیة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واُجرة المقتصّ من بیت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من جملة المصالح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فقد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المال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کان هناک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أهمّ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کسدّ ثغر ودفع عدوٍّ ولم یسع لهما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 الجانی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الحقّ لازم له، فتکون مؤونته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المجنیّ علیه؛ لأنّه لمصلحته </w:t>
      </w:r>
      <w:r>
        <w:rPr>
          <w:rStyle w:val="FootnoteAnchor"/>
          <w:rtl w:val="true"/>
        </w:rPr>
        <w:footnoteReference w:id="1925"/>
      </w:r>
      <w:r>
        <w:rPr>
          <w:rFonts w:eastAsia="Times New Roman" w:cs="Times New Roman" w:ascii="Times New Roman" w:hAnsi="Times New Roman"/>
          <w:color w:val="111111"/>
          <w:sz w:val="28"/>
          <w:szCs w:val="28"/>
          <w:rtl w:val="true"/>
          <w:lang w:val="en-US" w:bidi="en-US"/>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ویرثه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القصاصَ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وارثُ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إلّاالزوجین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لعموم آیة اُولی الأرحام </w:t>
      </w:r>
      <w:r>
        <w:rPr>
          <w:rStyle w:val="FootnoteAnchor"/>
          <w:rtl w:val="true"/>
        </w:rPr>
        <w:footnoteReference w:id="1926"/>
      </w:r>
      <w:r>
        <w:rPr>
          <w:rFonts w:ascii="IRNazanin" w:hAnsi="IRNazanin" w:eastAsia="IRNazanin"/>
          <w:color w:val="111111"/>
          <w:sz w:val="28"/>
          <w:sz w:val="28"/>
          <w:szCs w:val="28"/>
          <w:rtl w:val="true"/>
          <w:lang w:bidi="fa-IR"/>
        </w:rPr>
        <w:t>خرج منه الزوجان بالإجماع، فیبقی الباقی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العصبة</w:t>
      </w:r>
      <w:r>
        <w:rPr>
          <w:rFonts w:eastAsia="IRNazanin" w:cs="IRNazanin"/>
          <w:color w:val="111111"/>
          <w:sz w:val="28"/>
          <w:szCs w:val="28"/>
          <w:rtl w:val="true"/>
          <w:lang w:bidi="fa-IR"/>
        </w:rPr>
        <w:t xml:space="preserve">» </w:t>
      </w:r>
      <w:r>
        <w:rPr>
          <w:rStyle w:val="FootnoteAnchor"/>
          <w:rtl w:val="true"/>
        </w:rPr>
        <w:footnoteReference w:id="1927"/>
      </w:r>
      <w:r>
        <w:rPr>
          <w:rFonts w:ascii="IRNazanin" w:hAnsi="IRNazanin" w:eastAsia="IRNazanin"/>
          <w:color w:val="111111"/>
          <w:sz w:val="28"/>
          <w:sz w:val="28"/>
          <w:szCs w:val="28"/>
          <w:rtl w:val="true"/>
          <w:lang w:bidi="fa-IR"/>
        </w:rPr>
        <w:t xml:space="preserve">وهم الأب ومن تقرّب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الإخوة والأخوات من الاُمّ ومن یتقرّب بها من الخؤولة وأولادهم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ثالثٍ یختصّ المنع بالنساء </w:t>
      </w:r>
      <w:r>
        <w:rPr>
          <w:rStyle w:val="FootnoteAnchor"/>
          <w:rtl w:val="true"/>
        </w:rPr>
        <w:footnoteReference w:id="1928"/>
      </w:r>
      <w:r>
        <w:rPr>
          <w:rFonts w:ascii="IRNazanin" w:hAnsi="IRNazanin" w:eastAsia="IRNazanin"/>
          <w:color w:val="111111"/>
          <w:sz w:val="28"/>
          <w:sz w:val="28"/>
          <w:szCs w:val="28"/>
          <w:rtl w:val="true"/>
          <w:lang w:bidi="fa-IR"/>
        </w:rPr>
        <w:t xml:space="preserve">لروایة أبی العبّاس عن الصادق علیه السلام </w:t>
      </w:r>
      <w:r>
        <w:rPr>
          <w:rStyle w:val="FootnoteAnchor"/>
          <w:rtl w:val="true"/>
        </w:rPr>
        <w:footnoteReference w:id="1929"/>
      </w:r>
      <w:r>
        <w:rPr>
          <w:rFonts w:ascii="IRNazanin" w:hAnsi="IRNazanin" w:eastAsia="IRNazanin"/>
          <w:color w:val="111111"/>
          <w:sz w:val="28"/>
          <w:sz w:val="28"/>
          <w:szCs w:val="28"/>
          <w:rtl w:val="true"/>
          <w:lang w:bidi="fa-IR"/>
        </w:rPr>
        <w:t>والأوّل أقوی</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ویجوز للولیّ الواحد المبادرة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الاقتصاص من الجانی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غیر إذن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 جَعَلْنٰا لِوَلِیِّهِ سُلْطٰاناً</w:t>
      </w:r>
      <w:r>
        <w:rPr>
          <w:rFonts w:eastAsia="Amiri" w:cs="Amiri" w:ascii="Amiri" w:hAnsi="Amiri"/>
          <w:color w:val="111111"/>
          <w:sz w:val="28"/>
          <w:szCs w:val="28"/>
          <w:rtl w:val="true"/>
          <w:lang w:bidi="ar-SA"/>
        </w:rPr>
        <w:t xml:space="preserve">) </w:t>
      </w:r>
      <w:r>
        <w:rPr>
          <w:rStyle w:val="FootnoteAnchor"/>
          <w:rtl w:val="true"/>
        </w:rPr>
        <w:footnoteReference w:id="1930"/>
      </w:r>
      <w:r>
        <w:rPr>
          <w:rFonts w:ascii="IRNazanin" w:hAnsi="IRNazanin" w:eastAsia="IRNazanin"/>
          <w:color w:val="111111"/>
          <w:sz w:val="28"/>
          <w:sz w:val="28"/>
          <w:szCs w:val="28"/>
          <w:rtl w:val="true"/>
          <w:lang w:bidi="fa-IR"/>
        </w:rPr>
        <w:t xml:space="preserve">لأنّه حقّه، والأصل براءة الذمّة من توقّف استیفاء الحقّ علی استئذان غیر المستحقّ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کان استیذانه 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لخطره واحتیاجه إلی النظر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وخصوصاً فی قصاص الطرف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الغرض معه بقاء النفس، ولموضع الاستیفاء حدود لا یؤمَن من تخطّیها لغیره </w:t>
      </w:r>
      <w:r>
        <w:rPr>
          <w:rStyle w:val="FootnoteAnchor"/>
          <w:rtl w:val="true"/>
        </w:rPr>
        <w:footnoteReference w:id="19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وذهب جماعة إلی وجوب استیذانه مطلقاً </w:t>
      </w:r>
      <w:r>
        <w:rPr>
          <w:rStyle w:val="FootnoteAnchor"/>
          <w:rtl w:val="true"/>
        </w:rPr>
        <w:footnoteReference w:id="1932"/>
      </w:r>
      <w:r>
        <w:rPr>
          <w:rFonts w:ascii="Amiri" w:hAnsi="Amiri" w:eastAsia="Amiri" w:cs="Amiri"/>
          <w:color w:val="111111"/>
          <w:sz w:val="28"/>
          <w:sz w:val="28"/>
          <w:szCs w:val="28"/>
          <w:rtl w:val="true"/>
          <w:lang w:bidi="ar-SA"/>
        </w:rPr>
        <w:t xml:space="preserve">فیعزَّر </w:t>
      </w:r>
      <w:r>
        <w:rPr>
          <w:rStyle w:val="FootnoteAnchor"/>
          <w:rtl w:val="true"/>
        </w:rPr>
        <w:footnoteReference w:id="1933"/>
      </w:r>
      <w:r>
        <w:rPr>
          <w:rFonts w:ascii="Amiri" w:hAnsi="Amiri" w:eastAsia="Amiri" w:cs="Amiri"/>
          <w:color w:val="111111"/>
          <w:sz w:val="28"/>
          <w:sz w:val="28"/>
          <w:szCs w:val="28"/>
          <w:rtl w:val="true"/>
          <w:lang w:bidi="ar-SA"/>
        </w:rPr>
        <w:t>لو استقلّ، واعتدّ 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کانوا جماعة توقّف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الاستیفاء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إذنهم أجمع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کانوا حاضرین أم لا؛ لتساویهم فی السلطان، ولاشتراک الحقّ فلا یستوفیه بعضهم، ولأنّ القصاص موضوع للتشفّی ولا یحصل بفعل البعض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والقائل به جماعة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منهم الشیخ </w:t>
      </w:r>
      <w:r>
        <w:rPr>
          <w:rStyle w:val="FootnoteAnchor"/>
          <w:rtl w:val="true"/>
        </w:rPr>
        <w:footnoteReference w:id="1934"/>
      </w:r>
      <w:r>
        <w:rPr>
          <w:rFonts w:ascii="IRNazanin" w:hAnsi="IRNazanin" w:eastAsia="IRNazanin"/>
          <w:color w:val="111111"/>
          <w:sz w:val="28"/>
          <w:sz w:val="28"/>
          <w:szCs w:val="28"/>
          <w:rtl w:val="true"/>
          <w:lang w:bidi="fa-IR"/>
        </w:rPr>
        <w:t xml:space="preserve">والمرتضی </w:t>
      </w:r>
      <w:r>
        <w:rPr>
          <w:rStyle w:val="FootnoteAnchor"/>
          <w:rtl w:val="true"/>
        </w:rPr>
        <w:footnoteReference w:id="1935"/>
      </w:r>
      <w:r>
        <w:rPr>
          <w:rFonts w:ascii="IRNazanin" w:hAnsi="IRNazanin" w:eastAsia="IRNazanin"/>
          <w:color w:val="111111"/>
          <w:sz w:val="28"/>
          <w:sz w:val="28"/>
          <w:szCs w:val="28"/>
          <w:rtl w:val="true"/>
          <w:lang w:bidi="fa-IR"/>
        </w:rPr>
        <w:t>مدّعیین الإجماع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للحاضر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الأولیاء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الاستیفاء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غیر ارتقاب حضور الغائب ولا استیذانه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ویضمن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حصص الباقین من 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لتحقّق الولایة للحاضر، فیتناوله العموم </w:t>
      </w:r>
      <w:r>
        <w:rPr>
          <w:rStyle w:val="FootnoteAnchor"/>
          <w:rtl w:val="true"/>
        </w:rPr>
        <w:footnoteReference w:id="1936"/>
      </w:r>
      <w:r>
        <w:rPr>
          <w:rFonts w:ascii="IRNazanin" w:hAnsi="IRNazanin" w:eastAsia="IRNazanin"/>
          <w:color w:val="111111"/>
          <w:sz w:val="28"/>
          <w:sz w:val="28"/>
          <w:szCs w:val="28"/>
          <w:rtl w:val="true"/>
          <w:lang w:bidi="fa-IR"/>
        </w:rPr>
        <w:t>ولبناء القصاص علی التغلیب، ومن ثَمَّ لا یسقط بعفو البعض علی مال أو مطلقاً، بل للباقین الاقتصاص مع أنّ القاتل قد أحرز بعض نفسه، فهنا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وتظهر الفائدة فی تعزیر المبادر إلیه وعدمه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قتله فلا؛ لأنّه مَهْدَر </w:t>
      </w:r>
      <w:r>
        <w:rPr>
          <w:rStyle w:val="FootnoteAnchor"/>
          <w:rtl w:val="true"/>
        </w:rPr>
        <w:footnoteReference w:id="1937"/>
      </w:r>
      <w:r>
        <w:rPr>
          <w:rFonts w:ascii="IRNazanin" w:hAnsi="IRNazanin" w:eastAsia="IRNazanin"/>
          <w:color w:val="111111"/>
          <w:sz w:val="28"/>
          <w:sz w:val="28"/>
          <w:szCs w:val="28"/>
          <w:rtl w:val="true"/>
          <w:lang w:bidi="fa-IR"/>
        </w:rPr>
        <w:t>بالنسبة إلیه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کان الولیّ صغیراً وله أب أو جدّ لم یکن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لولیّه من الأب والجدّ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الاستیفاء إلی بلوغه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الحقّ له ولا یعلم ما یریده حینئذٍ، ولأنّ الغرض التشفّی ولا یتحقّق بتعجیله قبلَه، وحینئذٍ فیُحبس القاتل حتّی یبلغ</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والقائل الشیخ وأکثر المتأخّرین </w:t>
      </w:r>
      <w:r>
        <w:rPr>
          <w:rStyle w:val="FootnoteAnchor"/>
          <w:rtl w:val="true"/>
        </w:rPr>
        <w:footnoteReference w:id="19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تراعی المصلحة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اقتضت تعجیله جاز؛ لأنّ مصالح الطفل منوطة بنظر الولیّ، ولأنّ التأخیر ربما استلزم تفویت القصاص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حکمه المجنون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صالحه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الدیة لم یسقط القَوَد عنه للباقین علی الأشهر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لا نعلم فیه خلافاً، وقد تقدّم ما یدلّ علیه، ورواه الحسنُ بن محبوب عن أبی ولّاد عن أبی عبد 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رجل قُتل وله أبٌ واُمّ وابنٌ، فقال الابن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اُرید أن أقتل قاتل أبی، وقال الأب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أعفو، وقالت الاُمّ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آخذ بالدیة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فلیعط الابن لاُمّ المقتول السدسَ من الدیة، ویُعطی ورثةَ القاتل السدسَ الآخر حقَّ الأب الذی عفا، ولیقتله</w:t>
      </w:r>
      <w:r>
        <w:rPr>
          <w:rFonts w:eastAsia="IRNazanin" w:cs="IRNazanin"/>
          <w:color w:val="111111"/>
          <w:sz w:val="28"/>
          <w:szCs w:val="28"/>
          <w:rtl w:val="true"/>
          <w:lang w:bidi="fa-IR"/>
        </w:rPr>
        <w:t xml:space="preserve">» </w:t>
      </w:r>
      <w:r>
        <w:rPr>
          <w:rStyle w:val="FootnoteAnchor"/>
          <w:rtl w:val="true"/>
        </w:rPr>
        <w:footnoteReference w:id="1939"/>
      </w:r>
      <w:r>
        <w:rPr>
          <w:rFonts w:ascii="IRNazanin" w:hAnsi="IRNazanin" w:eastAsia="IRNazanin"/>
          <w:color w:val="111111"/>
          <w:sz w:val="28"/>
          <w:sz w:val="28"/>
          <w:szCs w:val="28"/>
          <w:rtl w:val="true"/>
          <w:lang w:bidi="fa-IR"/>
        </w:rPr>
        <w:t>وکثیر من الأصحاب لم یتوقّف فی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وإنّما نسبه المصنّف إلی الشهرة لورود روایات بسقوط القَوَد وثبوت الدیة، کروایة زرارة عن الباقر علیه السلام </w:t>
      </w:r>
      <w:r>
        <w:rPr>
          <w:rStyle w:val="FootnoteAnchor"/>
          <w:rtl w:val="true"/>
        </w:rPr>
        <w:footnoteReference w:id="19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من یرید القود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علی المقتول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نصیبَ المُصالح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الدیة وإن کان قد صالح علی أقلّ من نصیبه؛ لأ نّه قد ملک من نفسه بمقدار النصیب، فیستحقّ دیته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اشترک الأب والأجنبیّ فی قتل الولد اقتُصّ من الأجنبیّ وردّ الأبُ نصفَ الدیة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وکذا لو اشترک المسلم والکافر فی قتل الذمّی، فیقتل الکافر إن شاء الولیّ ویردّ المسلم نصف دیته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وکذا الکلام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اشتراک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العامد والخاطئ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یجوز قتل العامد بعد أن یردّ علیه نصف دیته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والرادّ هنا العاقلة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عاقلة الخاطئ لو کان الخطأ محضاً، ولو کان شبیه عمد فالخاطئ</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ویجوز للمحجور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للسفه والفلس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استیفاء القصاص إذا کان</w:t>
      </w:r>
    </w:p>
    <w:p>
      <w:pPr>
        <w:pStyle w:val="BookText"/>
        <w:rPr/>
      </w:pPr>
      <w:r>
        <w:rPr>
          <w:rFonts w:ascii="IRNazanin" w:hAnsi="IRNazanin" w:eastAsia="IRNazanin"/>
          <w:color w:val="111111"/>
          <w:sz w:val="28"/>
          <w:sz w:val="28"/>
          <w:szCs w:val="28"/>
          <w:rtl w:val="true"/>
          <w:lang w:bidi="fa-IR"/>
        </w:rPr>
        <w:t>بالغاً عاقلاً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القصاص لیس بمال، فلا یتعلّق به الحجر فیهما ولأ نّه موضوع للتشفّی وهو أهل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ویجوز له العفو أیضاً عنه والصلح علی مال، لکن لا یدفع إلیه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جواز استیفاء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المقتول مدیوناً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القصاصَ من دون ضمان الدین علی المیّت 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أصحّهما الجواز </w:t>
      </w:r>
      <w:r>
        <w:rPr>
          <w:rStyle w:val="FootnoteAnchor"/>
          <w:rtl w:val="true"/>
        </w:rPr>
        <w:footnoteReference w:id="1941"/>
      </w:r>
      <w:r>
        <w:rPr>
          <w:rFonts w:ascii="IRNazanin" w:hAnsi="IRNazanin" w:eastAsia="IRNazanin"/>
          <w:color w:val="111111"/>
          <w:sz w:val="28"/>
          <w:sz w:val="28"/>
          <w:szCs w:val="28"/>
          <w:rtl w:val="true"/>
          <w:lang w:bidi="fa-IR"/>
        </w:rPr>
        <w:t xml:space="preserve">لأنّ موجَب العمد القصاص، وأخذ الدیة اکتساب، وهو غیر واجب علی الوارث فی دین مورّثه، ولعموم الآیة </w:t>
      </w:r>
      <w:r>
        <w:rPr>
          <w:rStyle w:val="FootnoteAnchor"/>
          <w:rtl w:val="true"/>
        </w:rPr>
        <w:footnoteReference w:id="19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وذهب الشیخ </w:t>
      </w:r>
      <w:r>
        <w:rPr>
          <w:rStyle w:val="FootnoteAnchor"/>
          <w:rtl w:val="true"/>
        </w:rPr>
        <w:footnoteReference w:id="1943"/>
      </w:r>
      <w:r>
        <w:rPr>
          <w:rFonts w:ascii="Amiri" w:hAnsi="Amiri" w:eastAsia="Amiri" w:cs="Amiri"/>
          <w:color w:val="111111"/>
          <w:sz w:val="28"/>
          <w:sz w:val="28"/>
          <w:szCs w:val="28"/>
          <w:rtl w:val="true"/>
          <w:lang w:bidi="ar-SA"/>
        </w:rPr>
        <w:t xml:space="preserve">وجماعة </w:t>
      </w:r>
      <w:r>
        <w:rPr>
          <w:rStyle w:val="FootnoteAnchor"/>
          <w:rtl w:val="true"/>
        </w:rPr>
        <w:footnoteReference w:id="1944"/>
      </w:r>
      <w:r>
        <w:rPr>
          <w:rFonts w:ascii="IRNazanin" w:hAnsi="IRNazanin" w:eastAsia="IRNazanin"/>
          <w:color w:val="111111"/>
          <w:sz w:val="28"/>
          <w:sz w:val="28"/>
          <w:szCs w:val="28"/>
          <w:rtl w:val="true"/>
          <w:lang w:bidi="fa-IR"/>
        </w:rPr>
        <w:t xml:space="preserve">إلی المنع استناداً إلی روایات </w:t>
      </w:r>
      <w:r>
        <w:rPr>
          <w:rStyle w:val="FootnoteAnchor"/>
          <w:rtl w:val="true"/>
        </w:rPr>
        <w:footnoteReference w:id="1945"/>
      </w:r>
      <w:r>
        <w:rPr>
          <w:rFonts w:ascii="IRNazanin" w:hAnsi="IRNazanin" w:eastAsia="IRNazanin"/>
          <w:color w:val="111111"/>
          <w:sz w:val="28"/>
          <w:sz w:val="28"/>
          <w:szCs w:val="28"/>
          <w:rtl w:val="true"/>
          <w:lang w:bidi="fa-IR"/>
        </w:rPr>
        <w:t>مع سلامة سندها لا تدلّ علی مطلوبهم</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ویجوز التوکیل فی استیفائه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من الأفعال التی تدخلها النیابة؛ إذ لا تعلّق لغرض الشارع فیه بشخص </w:t>
      </w:r>
      <w:r>
        <w:rPr>
          <w:rStyle w:val="FootnoteAnchor"/>
          <w:rtl w:val="true"/>
        </w:rPr>
        <w:footnoteReference w:id="1946"/>
      </w:r>
      <w:r>
        <w:rPr>
          <w:rFonts w:ascii="IRNazanin" w:hAnsi="IRNazanin" w:eastAsia="IRNazanin"/>
          <w:color w:val="111111"/>
          <w:sz w:val="28"/>
          <w:sz w:val="28"/>
          <w:szCs w:val="28"/>
          <w:rtl w:val="true"/>
          <w:lang w:bidi="fa-IR"/>
        </w:rPr>
        <w:t xml:space="preserve">معیَّن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عزله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واقتصّ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الوکیل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ولمّا یعلم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بالعزل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من قصاص ولا دیة؛ لأنّ الوکیل لا ینعزل إلّامع علمه بالعزل کما تقدّم </w:t>
      </w:r>
      <w:r>
        <w:rPr>
          <w:rStyle w:val="FootnoteAnchor"/>
          <w:rtl w:val="true"/>
        </w:rPr>
        <w:footnoteReference w:id="1947"/>
      </w:r>
      <w:r>
        <w:rPr>
          <w:rFonts w:ascii="IRNazanin" w:hAnsi="IRNazanin" w:eastAsia="IRNazanin"/>
          <w:color w:val="111111"/>
          <w:sz w:val="28"/>
          <w:sz w:val="28"/>
          <w:szCs w:val="28"/>
          <w:rtl w:val="true"/>
          <w:lang w:bidi="fa-IR"/>
        </w:rPr>
        <w:t>فوقع استیفاؤه موقعه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لو عفا الموکّل فاستوفی الوکیل بعدَه قبل العلم فلا قصاص أیضاً، لکن علیه الدیة؛ لمباشرته وبطلان وکالته بالعفو، کما لو اتّفق الاستیفاء بعد موت الموکّل أو خروجه عن أهلیّة الوکالة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ویرجع بها علی الموکّل؛ لغروره بعدم إعلامه بالعفو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یتمّ مع تمکّنه من الإعلام، وإلّا فلا غرور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ویحتمل حینئذٍ عدم وجوبها علی الوکیل؛ لحصول العفو بعد وجود سبب الهلاک، کما لو عفا بعد رمی السهم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یقتصّ من الحامل حتّی تضع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وترضعه اللباء مراعاةً لحقّ الولد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ویُقبل قولها فی الحمل وإن لم تشهد القوابل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لأنّ له أمارات قد تخفی علی غیرها وتجدها من نفسها، فتنتظر المخیّلة </w:t>
      </w:r>
      <w:r>
        <w:rPr>
          <w:rStyle w:val="FootnoteAnchor"/>
          <w:rtl w:val="true"/>
        </w:rPr>
        <w:footnoteReference w:id="1948"/>
      </w:r>
      <w:r>
        <w:rPr>
          <w:rFonts w:ascii="IRNazanin" w:hAnsi="IRNazanin" w:eastAsia="IRNazanin"/>
          <w:color w:val="111111"/>
          <w:sz w:val="28"/>
          <w:sz w:val="28"/>
          <w:szCs w:val="28"/>
          <w:rtl w:val="true"/>
          <w:lang w:bidi="fa-IR"/>
        </w:rPr>
        <w:t>إلی أن تستبین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یقبل قولها مع عدم شهادتهنّ </w:t>
      </w:r>
      <w:r>
        <w:rPr>
          <w:rStyle w:val="FootnoteAnchor"/>
          <w:rtl w:val="true"/>
        </w:rPr>
        <w:footnoteReference w:id="1949"/>
      </w:r>
      <w:r>
        <w:rPr>
          <w:rFonts w:ascii="IRNazanin" w:hAnsi="IRNazanin" w:eastAsia="IRNazanin"/>
          <w:color w:val="111111"/>
          <w:sz w:val="28"/>
          <w:sz w:val="28"/>
          <w:szCs w:val="28"/>
          <w:rtl w:val="true"/>
          <w:lang w:bidi="fa-IR"/>
        </w:rPr>
        <w:t>لأصالة عدمه، ولأنّ فیه دفعاً للولیّ عن السلطان الثابت له بمجرّد الاحتمال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والأوّل أجود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یجب الصبر بعد ذلک إلّاأن تتوقّف حیاة الولد علی إرضاعها، فینتظر مقدار ما تندفع حاجته</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هلک قاتل العمد، فالمرویّ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الباقر والصادق علیهما السلام </w:t>
      </w:r>
      <w:r>
        <w:rPr>
          <w:rStyle w:val="FootnoteAnchor"/>
          <w:rtl w:val="true"/>
        </w:rPr>
        <w:footnoteReference w:id="19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 الدیة من ماله، وإلّا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یکن له 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الأقرب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فالأقرب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نسب الحکم إلی الروایة؛ لقصورها عنه من حیث السند، فإنّهما روایتان فی إحداهما ضعف </w:t>
      </w:r>
      <w:r>
        <w:rPr>
          <w:rStyle w:val="FootnoteAnchor"/>
          <w:rtl w:val="true"/>
        </w:rPr>
        <w:footnoteReference w:id="1951"/>
      </w:r>
    </w:p>
    <w:p>
      <w:pPr>
        <w:pStyle w:val="BookText"/>
        <w:rPr/>
      </w:pPr>
      <w:r>
        <w:rPr>
          <w:rFonts w:ascii="IRNazanin" w:hAnsi="IRNazanin" w:eastAsia="IRNazanin"/>
          <w:color w:val="111111"/>
          <w:sz w:val="28"/>
          <w:sz w:val="28"/>
          <w:szCs w:val="28"/>
          <w:rtl w:val="true"/>
          <w:lang w:bidi="fa-IR"/>
        </w:rPr>
        <w:t xml:space="preserve">وفی الاُخری إرسال </w:t>
      </w:r>
      <w:r>
        <w:rPr>
          <w:rStyle w:val="FootnoteAnchor"/>
          <w:rtl w:val="true"/>
        </w:rPr>
        <w:footnoteReference w:id="1952"/>
      </w:r>
      <w:r>
        <w:rPr>
          <w:rFonts w:ascii="IRNazanin" w:hAnsi="IRNazanin" w:eastAsia="IRNazanin"/>
          <w:color w:val="111111"/>
          <w:sz w:val="28"/>
          <w:sz w:val="28"/>
          <w:szCs w:val="28"/>
          <w:rtl w:val="true"/>
          <w:lang w:bidi="fa-IR"/>
        </w:rPr>
        <w:t xml:space="preserve">لکن عمل بهما جماعة </w:t>
      </w:r>
      <w:r>
        <w:rPr>
          <w:rStyle w:val="FootnoteAnchor"/>
          <w:rtl w:val="true"/>
        </w:rPr>
        <w:footnoteReference w:id="1953"/>
      </w:r>
      <w:r>
        <w:rPr>
          <w:rFonts w:ascii="IRNazanin" w:hAnsi="IRNazanin" w:eastAsia="IRNazanin"/>
          <w:color w:val="111111"/>
          <w:sz w:val="28"/>
          <w:sz w:val="28"/>
          <w:szCs w:val="28"/>
          <w:rtl w:val="true"/>
          <w:lang w:bidi="fa-IR"/>
        </w:rPr>
        <w:t>بل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إجماع </w:t>
      </w:r>
      <w:r>
        <w:rPr>
          <w:rStyle w:val="FootnoteAnchor"/>
          <w:rtl w:val="true"/>
        </w:rPr>
        <w:footnoteReference w:id="1954"/>
      </w:r>
      <w:r>
        <w:rPr>
          <w:rFonts w:ascii="IRNazanin" w:hAnsi="IRNazanin" w:eastAsia="IRNazanin"/>
          <w:color w:val="111111"/>
          <w:sz w:val="28"/>
          <w:sz w:val="28"/>
          <w:szCs w:val="28"/>
          <w:rtl w:val="true"/>
          <w:lang w:bidi="fa-IR"/>
        </w:rPr>
        <w:t>ویؤیّده قوله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یطلّ </w:t>
      </w:r>
      <w:r>
        <w:rPr>
          <w:rStyle w:val="FootnoteAnchor"/>
          <w:rtl w:val="true"/>
        </w:rPr>
        <w:footnoteReference w:id="1955"/>
      </w:r>
      <w:r>
        <w:rPr>
          <w:rFonts w:ascii="IRNazanin" w:hAnsi="IRNazanin" w:eastAsia="IRNazanin"/>
          <w:color w:val="111111"/>
          <w:sz w:val="28"/>
          <w:sz w:val="28"/>
          <w:szCs w:val="28"/>
          <w:rtl w:val="true"/>
          <w:lang w:bidi="fa-IR"/>
        </w:rPr>
        <w:t>دم امرء مسلم</w:t>
      </w:r>
      <w:r>
        <w:rPr>
          <w:rFonts w:eastAsia="IRNazanin" w:cs="IRNazanin"/>
          <w:color w:val="111111"/>
          <w:sz w:val="28"/>
          <w:szCs w:val="28"/>
          <w:rtl w:val="true"/>
          <w:lang w:bidi="fa-IR"/>
        </w:rPr>
        <w:t xml:space="preserve">» </w:t>
      </w:r>
      <w:r>
        <w:rPr>
          <w:rStyle w:val="FootnoteAnchor"/>
          <w:rtl w:val="true"/>
        </w:rPr>
        <w:footnoteReference w:id="1956"/>
      </w:r>
      <w:r>
        <w:rPr>
          <w:rFonts w:ascii="IRNazanin" w:hAnsi="IRNazanin" w:eastAsia="IRNazanin"/>
          <w:color w:val="111111"/>
          <w:sz w:val="28"/>
          <w:sz w:val="28"/>
          <w:szCs w:val="28"/>
          <w:rtl w:val="true"/>
          <w:lang w:bidi="fa-IR"/>
        </w:rPr>
        <w:t xml:space="preserve">وذهب ابن إدریس إلی سقوط القصاص لا إلی بدل؛ لفوات محلّه بل ادّعی علیه الإجماع </w:t>
      </w:r>
      <w:r>
        <w:rPr>
          <w:rStyle w:val="FootnoteAnchor"/>
          <w:rtl w:val="true"/>
        </w:rPr>
        <w:footnoteReference w:id="1957"/>
      </w:r>
      <w:r>
        <w:rPr>
          <w:rFonts w:ascii="IRNazanin" w:hAnsi="IRNazanin" w:eastAsia="IRNazanin"/>
          <w:color w:val="111111"/>
          <w:sz w:val="28"/>
          <w:sz w:val="28"/>
          <w:szCs w:val="28"/>
          <w:rtl w:val="true"/>
          <w:lang w:bidi="fa-IR"/>
        </w:rPr>
        <w:t>وهو غریب</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واعلم أنّ الروایتین دلّتا علی وجوب الدیة علی تقدیر هرب القاتل إلی أن مات، والمصنّف جعل متعلّق المرویّ هلاکه مطلقاً، ولیس کذلک، مع أ نّه فی الشرح أجاب عن حجّة المختلف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بوجوب الدیة من حیث إنّه فوّت العوض مع مباشرة إتلاف المعوَّض فیضمن البدل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 نّه لو مات فجأة أو لم یمتنع من القصاص ولم یهرب حتّی مات لم یتحقّق منه تفویت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إلّاأن تخصّص الدعوی بالهارب فیموت، وبه نطقت الروایات وأکثرُ کلام الأصحاب </w:t>
      </w:r>
      <w:r>
        <w:rPr>
          <w:rStyle w:val="FootnoteAnchor"/>
          <w:rtl w:val="true"/>
        </w:rPr>
        <w:footnoteReference w:id="1958"/>
      </w:r>
      <w:r>
        <w:rPr>
          <w:rFonts w:ascii="IRNazanin" w:hAnsi="IRNazanin" w:eastAsia="IRNazanin"/>
          <w:color w:val="111111"/>
          <w:sz w:val="28"/>
          <w:sz w:val="28"/>
          <w:szCs w:val="28"/>
          <w:rtl w:val="true"/>
          <w:lang w:bidi="fa-IR"/>
        </w:rPr>
        <w:t>وهذا مخالف لما أطلقه هنا کما لا یخفی</w:t>
      </w:r>
      <w:r>
        <w:rPr>
          <w:rFonts w:eastAsia="IRNazanin" w:cs="IRNazanin"/>
          <w:color w:val="111111"/>
          <w:sz w:val="28"/>
          <w:szCs w:val="28"/>
          <w:rtl w:val="true"/>
          <w:lang w:bidi="fa-IR"/>
        </w:rPr>
        <w:t>.</w:t>
      </w:r>
      <w:bookmarkStart w:id="652" w:name="pg19815_253450"/>
    </w:p>
    <w:p>
      <w:pPr>
        <w:pStyle w:val="Heading2"/>
        <w:numPr>
          <w:ilvl w:val="1"/>
          <w:numId w:val="1"/>
        </w:numPr>
        <w:rPr/>
      </w:pPr>
      <w:bookmarkStart w:id="653" w:name="__RefHeading___Toc2228167_2314609296"/>
      <w:bookmarkStart w:id="654" w:name="_Toc246"/>
      <w:bookmarkEnd w:id="652"/>
      <w:bookmarkEnd w:id="653"/>
      <w:r>
        <w:rPr>
          <w:rtl w:val="true"/>
        </w:rPr>
        <w:t>کتاب الدیات</w:t>
      </w:r>
      <w:bookmarkEnd w:id="654"/>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55" w:name="__RefHeading___Toc2228169_2314609296"/>
      <w:bookmarkStart w:id="656" w:name="_Toc247"/>
      <w:bookmarkEnd w:id="655"/>
      <w:r>
        <w:rPr>
          <w:rtl w:val="true"/>
        </w:rPr>
        <w:t>اشارة</w:t>
      </w:r>
      <w:bookmarkStart w:id="657" w:name="pg19815_253452"/>
      <w:bookmarkEnd w:id="656"/>
    </w:p>
    <w:p>
      <w:pPr>
        <w:pStyle w:val="BookText"/>
        <w:rPr/>
      </w:pPr>
      <w:bookmarkEnd w:id="65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الدیات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جمع دیة، والهاء عوض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فاء الکلمة،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ودیت القتیل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أعطیت دیته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وفیه 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أربعة</w:t>
      </w:r>
      <w:r>
        <w:rPr>
          <w:rFonts w:eastAsia="IRNazanin" w:cs="IRNazanin"/>
          <w:color w:val="111111"/>
          <w:sz w:val="28"/>
          <w:szCs w:val="28"/>
          <w:rtl w:val="true"/>
          <w:lang w:bidi="fa-IR"/>
        </w:rPr>
        <w:t>:</w:t>
      </w:r>
    </w:p>
    <w:p>
      <w:pPr>
        <w:pStyle w:val="Heading3"/>
        <w:numPr>
          <w:ilvl w:val="2"/>
          <w:numId w:val="1"/>
        </w:numPr>
        <w:rPr/>
      </w:pPr>
      <w:bookmarkStart w:id="658" w:name="__RefHeading___Toc2228171_2314609296"/>
      <w:bookmarkStart w:id="659" w:name="_Toc248"/>
      <w:bookmarkEnd w:id="658"/>
      <w:r>
        <w:rPr>
          <w:rtl w:val="true"/>
        </w:rPr>
        <w:t xml:space="preserve">الفصل </w:t>
      </w:r>
      <w:r>
        <w:rPr>
          <w:rtl w:val="true"/>
        </w:rPr>
        <w:t>«</w:t>
      </w:r>
      <w:r>
        <w:rPr>
          <w:rtl w:val="true"/>
        </w:rPr>
        <w:t>الأوّل</w:t>
      </w:r>
      <w:r>
        <w:rPr>
          <w:rtl w:val="true"/>
        </w:rPr>
        <w:t>» «</w:t>
      </w:r>
      <w:r>
        <w:rPr>
          <w:rtl w:val="true"/>
        </w:rPr>
        <w:t>فی مورد الدیة</w:t>
      </w:r>
      <w:r>
        <w:rPr>
          <w:rtl w:val="true"/>
        </w:rPr>
        <w:t>»</w:t>
      </w:r>
      <w:bookmarkEnd w:id="659"/>
    </w:p>
    <w:p>
      <w:pPr>
        <w:pStyle w:val="Heading4"/>
        <w:numPr>
          <w:ilvl w:val="3"/>
          <w:numId w:val="1"/>
        </w:numPr>
        <w:rPr/>
      </w:pPr>
      <w:bookmarkStart w:id="660" w:name="__RefHeading___Toc2228173_2314609296"/>
      <w:bookmarkStart w:id="661" w:name="_Toc249"/>
      <w:bookmarkEnd w:id="660"/>
      <w:r>
        <w:rPr>
          <w:rtl w:val="true"/>
        </w:rPr>
        <w:t>اشارة</w:t>
      </w:r>
      <w:bookmarkEnd w:id="661"/>
    </w:p>
    <w:p>
      <w:pPr>
        <w:pStyle w:val="BookText"/>
        <w:rPr/>
      </w:pPr>
      <w:r>
        <w:rPr>
          <w:rFonts w:ascii="IRNazanin" w:hAnsi="IRNazanin" w:eastAsia="IRNazanin"/>
          <w:color w:val="111111"/>
          <w:sz w:val="28"/>
          <w:sz w:val="28"/>
          <w:szCs w:val="28"/>
          <w:rtl w:val="true"/>
          <w:lang w:bidi="fa-IR"/>
        </w:rPr>
        <w:t xml:space="preserve">الفصل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مورد الدیة</w:t>
      </w:r>
      <w:r>
        <w:rPr>
          <w:rFonts w:eastAsia="IRNazanin" w:cs="IRNazanin"/>
          <w:color w:val="111111"/>
          <w:sz w:val="28"/>
          <w:szCs w:val="28"/>
          <w:rtl w:val="true"/>
          <w:lang w:bidi="fa-IR"/>
        </w:rPr>
        <w:t xml:space="preserve">» </w:t>
      </w:r>
      <w:r>
        <w:rPr>
          <w:rStyle w:val="FootnoteAnchor"/>
          <w:rtl w:val="true"/>
        </w:rPr>
        <w:footnoteReference w:id="1959"/>
      </w:r>
    </w:p>
    <w:p>
      <w:pPr>
        <w:pStyle w:val="BookText"/>
        <w:rPr/>
      </w:pPr>
      <w:r>
        <w:rPr>
          <w:rFonts w:ascii="IRNazanin" w:hAnsi="IRNazanin" w:eastAsia="IRNazanin"/>
          <w:color w:val="111111"/>
          <w:sz w:val="28"/>
          <w:sz w:val="28"/>
          <w:szCs w:val="28"/>
          <w:rtl w:val="true"/>
          <w:lang w:bidi="fa-IR"/>
        </w:rPr>
        <w:t xml:space="preserve">بفتح المیم، وهو موضع ورودها مجازاً، والمراد بیان ما تجب فیه الدیة من أنواع القتل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تثبت الدیة بالأصالة فی الخطأ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العمد الذی یُشبه الخطأ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واحترز بالأصالة عمّا لو وجبت صلحاً، فإنّها تقع حینئذٍ عن العمد</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الخطأ المحض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أن یرمی حیواناً فیصیب إنساناً،</w:t>
      </w:r>
      <w:bookmarkStart w:id="662" w:name="pg19815_253453"/>
    </w:p>
    <w:p>
      <w:pPr>
        <w:pStyle w:val="BookText"/>
        <w:rPr/>
      </w:pPr>
      <w:bookmarkEnd w:id="662"/>
      <w:r>
        <w:rPr>
          <w:rFonts w:ascii="IRNazanin" w:hAnsi="IRNazanin" w:eastAsia="IRNazanin"/>
          <w:color w:val="111111"/>
          <w:sz w:val="28"/>
          <w:sz w:val="28"/>
          <w:szCs w:val="28"/>
          <w:rtl w:val="true"/>
          <w:lang w:bidi="fa-IR"/>
        </w:rPr>
        <w:t>أو إنساناً معیَّناً فیصیب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ومرجعه إلی عدم قصد الإنسان أو الشخص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والثانی لازم للأوّل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الخطأ الشبیه بالعمد وبالعکس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یقصدهما بما لا یقتل غالباً وإن لم یکن عدواناً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أن یضرب للتأدیب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ضرباً لا یقتل عادة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المضروب</w:t>
      </w:r>
      <w:r>
        <w:rPr>
          <w:rFonts w:eastAsia="IRNazanin" w:cs="IRNazanin"/>
          <w:color w:val="111111"/>
          <w:sz w:val="28"/>
          <w:szCs w:val="28"/>
          <w:rtl w:val="true"/>
          <w:lang w:bidi="fa-IR"/>
        </w:rPr>
        <w:t>.</w:t>
      </w:r>
    </w:p>
    <w:p>
      <w:pPr>
        <w:pStyle w:val="Heading4"/>
        <w:numPr>
          <w:ilvl w:val="3"/>
          <w:numId w:val="1"/>
        </w:numPr>
        <w:rPr/>
      </w:pPr>
      <w:bookmarkStart w:id="663" w:name="__RefHeading___Toc2228175_2314609296"/>
      <w:bookmarkStart w:id="664" w:name="_Toc250"/>
      <w:bookmarkEnd w:id="663"/>
      <w:r>
        <w:rPr>
          <w:rtl w:val="true"/>
        </w:rPr>
        <w:t>[</w:t>
      </w:r>
      <w:r>
        <w:rPr>
          <w:rtl w:val="true"/>
        </w:rPr>
        <w:t>الضابط فی العمد و الخطاء</w:t>
      </w:r>
      <w:r>
        <w:rPr>
          <w:rtl w:val="true"/>
        </w:rPr>
        <w:t>]</w:t>
      </w:r>
      <w:bookmarkEnd w:id="66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والضابط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العمد وقسیمیه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العمد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یتعمّد الفعل والقصد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أن یقصد قتل الشخص المعیّن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حکمه تعمّد الفعل دون القصد إذا کان الفعل ممّا یقتل غالباً کما سبق </w:t>
      </w:r>
      <w:r>
        <w:rPr>
          <w:rStyle w:val="FootnoteAnchor"/>
          <w:rtl w:val="true"/>
        </w:rPr>
        <w:footnoteReference w:id="19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والخطأ المحض أن لا یتعمّد فعلاً ولا قصداً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بالمجنیّ علیه وإن قصد الفعل فی غیره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الخطأ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بالعمد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یتعمّد 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ویقصد إیقاعه بالشخص المعیّن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ویُخطئ فی القصد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القتل أی لا یقصده مع أنّ الفعل</w:t>
      </w:r>
    </w:p>
    <w:p>
      <w:pPr>
        <w:pStyle w:val="Heading4"/>
        <w:numPr>
          <w:ilvl w:val="3"/>
          <w:numId w:val="1"/>
        </w:numPr>
        <w:rPr/>
      </w:pPr>
      <w:bookmarkStart w:id="665" w:name="__RefHeading___Toc2228177_2314609296"/>
      <w:bookmarkStart w:id="666" w:name="_Toc251"/>
      <w:bookmarkEnd w:id="665"/>
      <w:r>
        <w:rPr>
          <w:rtl w:val="true"/>
        </w:rPr>
        <w:t>[</w:t>
      </w:r>
      <w:r>
        <w:rPr>
          <w:rtl w:val="true"/>
        </w:rPr>
        <w:t>موجبات الضمان</w:t>
      </w:r>
      <w:r>
        <w:rPr>
          <w:rtl w:val="true"/>
        </w:rPr>
        <w:t>]</w:t>
      </w:r>
      <w:bookmarkEnd w:id="666"/>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یقتل غالباً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فالطبیب یضمن فی ماله ما یتلف بعلاجه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نفساً وطرفاً؛ لحصول التلف المستند إلی فعله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یطلّ دمُ امرئ مسلم</w:t>
      </w:r>
      <w:r>
        <w:rPr>
          <w:rFonts w:eastAsia="IRNazanin" w:cs="IRNazanin"/>
          <w:color w:val="111111"/>
          <w:sz w:val="28"/>
          <w:szCs w:val="28"/>
          <w:rtl w:val="true"/>
          <w:lang w:bidi="fa-IR"/>
        </w:rPr>
        <w:t xml:space="preserve">» </w:t>
      </w:r>
      <w:r>
        <w:rPr>
          <w:rStyle w:val="FootnoteAnchor"/>
          <w:rtl w:val="true"/>
        </w:rPr>
        <w:footnoteReference w:id="1961"/>
      </w:r>
      <w:r>
        <w:rPr>
          <w:rFonts w:ascii="IRNazanin" w:hAnsi="IRNazanin" w:eastAsia="IRNazanin"/>
          <w:color w:val="111111"/>
          <w:sz w:val="28"/>
          <w:sz w:val="28"/>
          <w:szCs w:val="28"/>
          <w:rtl w:val="true"/>
          <w:lang w:bidi="fa-IR"/>
        </w:rPr>
        <w:t xml:space="preserve">ولأ نّه قاصد إلی الفعل مخطئ فی القصد، فکان فعله شبیه عمد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احتاط واجتهد وأذِن المریضُ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ذلک لا دخل له فی عدم الضمان هنا؛ لتحقّق الضمان مع الخطأ المحض، فهنا أولی وإن اختلف الضامن </w:t>
      </w:r>
      <w:r>
        <w:rPr>
          <w:rStyle w:val="FootnoteAnchor"/>
          <w:rtl w:val="true"/>
        </w:rPr>
        <w:footnoteReference w:id="19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ابن إدریس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یضمن مع العلم والاجتهاد؛ للأصل، ولسقوطه بإذنه، ولأ نّه فعل سائغ شرعاً فلا یستعقب ضماناً </w:t>
      </w:r>
      <w:r>
        <w:rPr>
          <w:rStyle w:val="FootnoteAnchor"/>
          <w:rtl w:val="true"/>
        </w:rPr>
        <w:footnoteReference w:id="19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أصالة البراءة تنقطع بدلیل الشغل، والإذن فی العلاج لا فی الإتلاف، ولا منافاة بین الجواز والضمان، کالضارب للتأدیب، وقد رُوی أنّ أمیر المؤمنین علیه السلام ضمَّن ختّاناً قطع حشفة غلام </w:t>
      </w:r>
      <w:r>
        <w:rPr>
          <w:rStyle w:val="FootnoteAnchor"/>
          <w:rtl w:val="true"/>
        </w:rPr>
        <w:footnoteReference w:id="1964"/>
      </w:r>
      <w:r>
        <w:rPr>
          <w:rFonts w:ascii="IRNazanin" w:hAnsi="IRNazanin" w:eastAsia="IRNazanin"/>
          <w:color w:val="111111"/>
          <w:sz w:val="28"/>
          <w:sz w:val="28"/>
          <w:szCs w:val="28"/>
          <w:rtl w:val="true"/>
          <w:lang w:bidi="fa-IR"/>
        </w:rPr>
        <w:t xml:space="preserve">والأولی الاعتماد علی الإجماع، فقد نقله المصنّف فی الشرح </w:t>
      </w:r>
      <w:r>
        <w:rPr>
          <w:rStyle w:val="FootnoteAnchor"/>
          <w:rtl w:val="true"/>
        </w:rPr>
        <w:footnoteReference w:id="1965"/>
      </w:r>
      <w:r>
        <w:rPr>
          <w:rFonts w:ascii="Amiri" w:hAnsi="Amiri" w:eastAsia="Amiri" w:cs="Amiri"/>
          <w:color w:val="111111"/>
          <w:sz w:val="28"/>
          <w:sz w:val="28"/>
          <w:szCs w:val="28"/>
          <w:rtl w:val="true"/>
          <w:lang w:bidi="ar-SA"/>
        </w:rPr>
        <w:t xml:space="preserve">وجماعة </w:t>
      </w:r>
      <w:r>
        <w:rPr>
          <w:rStyle w:val="FootnoteAnchor"/>
          <w:rtl w:val="true"/>
        </w:rPr>
        <w:footnoteReference w:id="1966"/>
      </w:r>
      <w:r>
        <w:rPr>
          <w:rFonts w:ascii="IRNazanin" w:hAnsi="IRNazanin" w:eastAsia="IRNazanin"/>
          <w:color w:val="111111"/>
          <w:sz w:val="28"/>
          <w:sz w:val="28"/>
          <w:szCs w:val="28"/>
          <w:rtl w:val="true"/>
          <w:lang w:bidi="fa-IR"/>
        </w:rPr>
        <w:t>لا علی الروایة؛ لضعف سندها بالسکونی</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أبرأه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المعالَجُ من الجنایة قبل وقوعها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فالأقرب الصحّة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لمسیس الحاجة إلی مثل ذلک؛ إذ لا غنی عن العلاج، وإذا عرف الطبیب أ نّه لا مخلص له عن الضمان توقّف عن العمل مع الضرورة إلیه، فوجب فی الحکمة شرع الإبراء دفعاً للضرورة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ولروایة السکونی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تطبَّب أو تبیطر فلیأخذ البراءة من ولیّه وإلّا فهو ضامن</w:t>
      </w:r>
      <w:r>
        <w:rPr>
          <w:rFonts w:eastAsia="IRNazanin" w:cs="IRNazanin"/>
          <w:color w:val="111111"/>
          <w:sz w:val="28"/>
          <w:szCs w:val="28"/>
          <w:rtl w:val="true"/>
          <w:lang w:bidi="fa-IR"/>
        </w:rPr>
        <w:t xml:space="preserve">» </w:t>
      </w:r>
      <w:r>
        <w:rPr>
          <w:rStyle w:val="FootnoteAnchor"/>
          <w:rtl w:val="true"/>
        </w:rPr>
        <w:footnoteReference w:id="1967"/>
      </w:r>
      <w:r>
        <w:rPr>
          <w:rFonts w:ascii="IRNazanin" w:hAnsi="IRNazanin" w:eastAsia="IRNazanin"/>
          <w:color w:val="111111"/>
          <w:sz w:val="28"/>
          <w:sz w:val="28"/>
          <w:szCs w:val="28"/>
          <w:rtl w:val="true"/>
          <w:lang w:bidi="fa-IR"/>
        </w:rPr>
        <w:t>وإنّما ذکر الولیّ؛ لأنّه هو المطالب علی تقدیر التلف، فلمّا شُرع الإبراء قبل الاستقرار صُرف إلی من یتولّی المطالبة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وظاهر العبارة أنّ المبرئ المریضُ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وحکمه کذلک؛ للعلّة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ویمکن تکلّف إدخاله فی الولیّ </w:t>
      </w:r>
      <w:r>
        <w:rPr>
          <w:rStyle w:val="FootnoteAnchor"/>
          <w:rtl w:val="true"/>
        </w:rPr>
        <w:footnoteReference w:id="1968"/>
      </w:r>
    </w:p>
    <w:p>
      <w:pPr>
        <w:pStyle w:val="BookText"/>
        <w:rPr/>
      </w:pPr>
      <w:r>
        <w:rPr>
          <w:rFonts w:ascii="IRNazanin" w:hAnsi="IRNazanin" w:eastAsia="IRNazanin"/>
          <w:color w:val="111111"/>
          <w:sz w:val="28"/>
          <w:sz w:val="28"/>
          <w:szCs w:val="28"/>
          <w:rtl w:val="true"/>
          <w:lang w:bidi="fa-IR"/>
        </w:rPr>
        <w:t xml:space="preserve">و </w:t>
      </w:r>
      <w:r>
        <w:rPr>
          <w:rStyle w:val="FootnoteAnchor"/>
          <w:rtl w:val="true"/>
        </w:rPr>
        <w:footnoteReference w:id="1969"/>
      </w:r>
      <w:r>
        <w:rPr>
          <w:rFonts w:ascii="IRNazanin" w:hAnsi="IRNazanin" w:eastAsia="IRNazanin"/>
          <w:color w:val="111111"/>
          <w:sz w:val="28"/>
          <w:sz w:val="28"/>
          <w:szCs w:val="28"/>
          <w:rtl w:val="true"/>
          <w:lang w:bidi="fa-IR"/>
        </w:rPr>
        <w:t>لأنّ المجنیّ علیه إذا أذن فی الجنایة سقط ضمانها، فکیف بإذنه فی المباح المأذون فی فعله؟</w:t>
      </w:r>
    </w:p>
    <w:p>
      <w:pPr>
        <w:pStyle w:val="BookText"/>
        <w:rPr/>
      </w:pPr>
      <w:r>
        <w:rPr>
          <w:rFonts w:ascii="IRNazanin" w:hAnsi="IRNazanin" w:eastAsia="IRNazanin"/>
          <w:color w:val="111111"/>
          <w:sz w:val="28"/>
          <w:sz w:val="28"/>
          <w:szCs w:val="28"/>
          <w:rtl w:val="true"/>
          <w:lang w:bidi="fa-IR"/>
        </w:rPr>
        <w:t>ولا یخفی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هذه الأدلّة، فإنّ الحاجة لا تکفی فی شرعیّة الحکم بمجرّدها مع قیام الأدلّة علی خلافه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والخبر سکونیّ </w:t>
      </w:r>
      <w:r>
        <w:rPr>
          <w:rStyle w:val="FootnoteAnchor"/>
          <w:rtl w:val="true"/>
        </w:rPr>
        <w:footnoteReference w:id="1970"/>
      </w:r>
      <w:r>
        <w:rPr>
          <w:rFonts w:ascii="IRNazanin" w:hAnsi="IRNazanin" w:eastAsia="IRNazanin"/>
          <w:color w:val="111111"/>
          <w:sz w:val="28"/>
          <w:sz w:val="28"/>
          <w:szCs w:val="28"/>
          <w:rtl w:val="true"/>
          <w:lang w:bidi="fa-IR"/>
        </w:rPr>
        <w:t>مع أنّ البراءة حقیقة لا تکون إلّابعد ثبوت الحقّ؛ لأنّها إسقاط ما فی الذمّة من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وینبّه علیه أیضاً أخذها من الولیّ؛ إذ لا حقّ له قبل الجنایة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لا یصار </w:t>
      </w:r>
      <w:r>
        <w:rPr>
          <w:rStyle w:val="FootnoteAnchor"/>
          <w:rtl w:val="true"/>
        </w:rPr>
        <w:footnoteReference w:id="1971"/>
      </w:r>
      <w:r>
        <w:rPr>
          <w:rFonts w:ascii="IRNazanin" w:hAnsi="IRNazanin" w:eastAsia="IRNazanin"/>
          <w:color w:val="111111"/>
          <w:sz w:val="28"/>
          <w:sz w:val="28"/>
          <w:szCs w:val="28"/>
          <w:rtl w:val="true"/>
          <w:lang w:bidi="fa-IR"/>
        </w:rPr>
        <w:t>إلیه بتقدیر عدم بلوغها القتل إذا أدّت إلی الأذی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ثَمَّ ذهب ابن إدریس إلی عدم صحّتها قبلَه </w:t>
      </w:r>
      <w:r>
        <w:rPr>
          <w:rStyle w:val="FootnoteAnchor"/>
          <w:rtl w:val="true"/>
        </w:rPr>
        <w:footnoteReference w:id="1972"/>
      </w:r>
      <w:r>
        <w:rPr>
          <w:rFonts w:ascii="IRNazanin" w:hAnsi="IRNazanin" w:eastAsia="IRNazanin"/>
          <w:color w:val="111111"/>
          <w:sz w:val="28"/>
          <w:sz w:val="28"/>
          <w:szCs w:val="28"/>
          <w:rtl w:val="true"/>
          <w:lang w:bidi="fa-IR"/>
        </w:rPr>
        <w:t>وهو حسن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والنائم یضمن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یجنیه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مال العاقلة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مخطئ فی فعله وقصده، فیکون خطأً محضاً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والقائل الشیخ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یضمنه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ماله</w:t>
      </w:r>
      <w:r>
        <w:rPr>
          <w:rFonts w:eastAsia="IRNazanin" w:cs="IRNazanin"/>
          <w:color w:val="111111"/>
          <w:sz w:val="28"/>
          <w:szCs w:val="28"/>
          <w:rtl w:val="true"/>
          <w:lang w:bidi="fa-IR"/>
        </w:rPr>
        <w:t xml:space="preserve">» </w:t>
      </w:r>
      <w:r>
        <w:rPr>
          <w:rStyle w:val="FootnoteAnchor"/>
          <w:rtl w:val="true"/>
        </w:rPr>
        <w:footnoteReference w:id="1973"/>
      </w:r>
      <w:r>
        <w:rPr>
          <w:rFonts w:ascii="IRNazanin" w:hAnsi="IRNazanin" w:eastAsia="IRNazanin"/>
          <w:color w:val="111111"/>
          <w:sz w:val="28"/>
          <w:sz w:val="28"/>
          <w:szCs w:val="28"/>
          <w:rtl w:val="true"/>
          <w:lang w:bidi="fa-IR"/>
        </w:rPr>
        <w:t>جعلاً له من باب الأسباب، لا الجنایات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والأقوی الأوّل، اطّراداً للقاعدة</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وحامل المتاع یضمن لو أصاب به إنساناً فی 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أصل الضمان فلاستناد تلفه إلی فعله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کونه فی ماله فلقصده الفعل الذی هو</w:t>
      </w:r>
    </w:p>
    <w:p>
      <w:pPr>
        <w:pStyle w:val="BookText"/>
        <w:rPr/>
      </w:pPr>
      <w:r>
        <w:rPr>
          <w:rFonts w:ascii="IRNazanin" w:hAnsi="IRNazanin" w:eastAsia="IRNazanin"/>
          <w:color w:val="111111"/>
          <w:sz w:val="28"/>
          <w:sz w:val="28"/>
          <w:szCs w:val="28"/>
          <w:rtl w:val="true"/>
          <w:lang w:bidi="fa-IR"/>
        </w:rPr>
        <w:t>سبب الجنایة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ویشکل إذا لم یقصد الفعل بالمجنیّ علیه، فإنّه حینئذٍ یکون خطأً محضاً کما مرّ </w:t>
      </w:r>
      <w:r>
        <w:rPr>
          <w:rStyle w:val="FootnoteAnchor"/>
          <w:rtl w:val="true"/>
        </w:rPr>
        <w:footnoteReference w:id="1974"/>
      </w:r>
      <w:r>
        <w:rPr>
          <w:rFonts w:ascii="Amiri" w:hAnsi="Amiri" w:eastAsia="Amiri" w:cs="Amiri"/>
          <w:color w:val="111111"/>
          <w:sz w:val="28"/>
          <w:sz w:val="28"/>
          <w:szCs w:val="28"/>
          <w:rtl w:val="true"/>
          <w:lang w:bidi="ar-SA"/>
        </w:rPr>
        <w:t xml:space="preserve">إلّاأ نّهم أطلقوا الحکم </w:t>
      </w:r>
      <w:r>
        <w:rPr>
          <w:rStyle w:val="FootnoteAnchor"/>
          <w:rtl w:val="true"/>
        </w:rPr>
        <w:footnoteReference w:id="1975"/>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یضمن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المُعنِّف بزوجته جماعاً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قبلاً أو دبراً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ضمّاً فیجنی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علیها فی ماله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واضح؛ لقصده الفعل، وإنّما أخطأ فی القصد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القول فی الزوجة لو أعنفت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وللشیخ قول بأ نّهما إن کانا مأمونین فلا شیء علیهما، وإن کانا متّهمین فالدیة </w:t>
      </w:r>
      <w:r>
        <w:rPr>
          <w:rStyle w:val="FootnoteAnchor"/>
          <w:rtl w:val="true"/>
        </w:rPr>
        <w:footnoteReference w:id="1976"/>
      </w:r>
      <w:r>
        <w:rPr>
          <w:rFonts w:ascii="IRNazanin" w:hAnsi="IRNazanin" w:eastAsia="IRNazanin"/>
          <w:color w:val="111111"/>
          <w:sz w:val="28"/>
          <w:sz w:val="28"/>
          <w:szCs w:val="28"/>
          <w:rtl w:val="true"/>
          <w:lang w:bidi="fa-IR"/>
        </w:rPr>
        <w:t xml:space="preserve">استناداً إلی روایة مرسلة </w:t>
      </w:r>
      <w:r>
        <w:rPr>
          <w:rStyle w:val="FootnoteAnchor"/>
          <w:rtl w:val="true"/>
        </w:rPr>
        <w:footnoteReference w:id="1977"/>
      </w:r>
      <w:r>
        <w:rPr>
          <w:rFonts w:ascii="IRNazanin" w:hAnsi="IRNazanin" w:eastAsia="IRNazanin"/>
          <w:color w:val="111111"/>
          <w:sz w:val="28"/>
          <w:sz w:val="28"/>
          <w:szCs w:val="28"/>
          <w:rtl w:val="true"/>
          <w:lang w:bidi="fa-IR"/>
        </w:rPr>
        <w:t xml:space="preserve">والأقوی الأوّل؛ لروایة سلیمان بن خالد عن الصادق علیه السلام </w:t>
      </w:r>
      <w:r>
        <w:rPr>
          <w:rStyle w:val="FootnoteAnchor"/>
          <w:rtl w:val="true"/>
        </w:rPr>
        <w:footnoteReference w:id="1978"/>
      </w:r>
      <w:r>
        <w:rPr>
          <w:rFonts w:ascii="IRNazanin" w:hAnsi="IRNazanin" w:eastAsia="IRNazanin"/>
          <w:color w:val="111111"/>
          <w:sz w:val="28"/>
          <w:sz w:val="28"/>
          <w:szCs w:val="28"/>
          <w:rtl w:val="true"/>
          <w:lang w:bidi="fa-IR"/>
        </w:rPr>
        <w:t>ولتحقّق الجنایة ولیست بخطأ محض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ونفی التهمة ینفی العمد، لا أصل القتل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والصائح بالطفل أو المجنون أو المریض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الصحیح علی حین غفلة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یضمن فی ماله أیضاً؛ لأنّه خطأ مقصود</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والقائل الشیخ فی المبسوط </w:t>
      </w:r>
      <w:r>
        <w:rPr>
          <w:rStyle w:val="FootnoteAnchor"/>
          <w:rtl w:val="true"/>
        </w:rPr>
        <w:footnoteReference w:id="19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الضامن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جعلاً له من قبیل الأسباب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ضعیف </w:t>
      </w:r>
      <w:r>
        <w:rPr>
          <w:rStyle w:val="FootnoteAnchor"/>
          <w:rtl w:val="true"/>
        </w:rPr>
        <w:footnoteReference w:id="1980"/>
      </w:r>
      <w:r>
        <w:rPr>
          <w:rFonts w:ascii="IRNazanin" w:hAnsi="IRNazanin" w:eastAsia="IRNazanin"/>
          <w:color w:val="111111"/>
          <w:sz w:val="28"/>
          <w:sz w:val="28"/>
          <w:szCs w:val="28"/>
          <w:rtl w:val="true"/>
          <w:lang w:bidi="fa-IR"/>
        </w:rPr>
        <w:t>ولأنّ ضمان الغیر جنایة غیره علی خلاف الأصل، فلا یصار إلیه بمثل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کان الصیاح بالصحیح الکامل علی غیر غفلة فلا ضمان؛ لأنّه لیس من أسباب الإتلاف، بل هو اتّفاقی لا بسبب الصیحة، إلّاأن یعلم استناده إلیها، فالدیة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والصادم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یضمن فی ماله دیة المصدوم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لاستناد التلف إلیه مع قصد الفعل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مات الصادم فهدر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لموته بفعل نفسه إن کان المصدوم فی ملکه أو مباح أو طریق واسع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وقف المصدوم فی موضع لیس له الوقوف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فمات الصادم بصدمه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لتعدّیه بالوقوف فیما لیس له الوقوف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لم یکن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Style w:val="FootnoteAnchor"/>
          <w:rtl w:val="true"/>
        </w:rPr>
        <w:footnoteReference w:id="1981"/>
      </w:r>
      <w:r>
        <w:rPr>
          <w:rFonts w:ascii="IRNazanin" w:hAnsi="IRNazanin" w:eastAsia="IRNazanin"/>
          <w:color w:val="111111"/>
          <w:sz w:val="28"/>
          <w:sz w:val="28"/>
          <w:szCs w:val="28"/>
          <w:rtl w:val="true"/>
          <w:lang w:bidi="fa-IR"/>
        </w:rPr>
        <w:t xml:space="preserve">للصادم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مندوحة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العدول عنه کالطریق الضیّق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تصادم حرّان فماتا فلورثة 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 منهما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نصف دیته، ویسقط النصف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لاستناد موت کلّ منهما إلی سببین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من فعله والآخر من غیره، فیسقط ما قابل فعله، وهو النصف</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کانا فارسین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مطلق الراکبین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علی کلّ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إلی نصف الدیة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نصف قیمة فرس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تلفت بالتصادم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ویقع</w:t>
      </w:r>
    </w:p>
    <w:p>
      <w:pPr>
        <w:pStyle w:val="BookText"/>
        <w:rPr/>
      </w:pPr>
      <w:r>
        <w:rPr>
          <w:rFonts w:ascii="IRNazanin" w:hAnsi="IRNazanin" w:eastAsia="IRNazanin"/>
          <w:color w:val="111111"/>
          <w:sz w:val="28"/>
          <w:sz w:val="28"/>
          <w:szCs w:val="28"/>
          <w:rtl w:val="true"/>
          <w:lang w:bidi="fa-IR"/>
        </w:rPr>
        <w:t>التقاصّ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الدیة والقیمة، ویرجع صاحب الفضل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إذا استند الصدم إلی اختیارهما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لو غلبتهما الدابّتان احتمل کونه کذلک، إحالةً علی رکوبهما مختارین فکان السبب من فعلهما، وإهدار الهالک إحالةً علی فعل الدابّتین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کان أحدهما فارساً والآخر راجلاً، ضمن الراجل نصف دیة الفارس ونصف قیمة فرسه، والفارس نصف دیة الراجل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کانا صبیّین والرکوب منهما فنصف دیة کلّ علی عاقلة الآخر؛ لأنّ فعلهما خطأ مطلقاً، وکذا لو أرکبهما ولیّهما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أرکبهما أجنبیّ ضمن دیتهما معاً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کانا عبدین بالغین فهدر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نصیب کلّ منهما هدر، وما علی صاحبه فات بموته لا یضمنه المولی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مات أحدهما خاصّة تعلّقت قیمته برقبة الحیّ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هلک قبل استیفائها منه فاتت؛ لفوات محلّها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 أحدهما حرّاً والآخر عبداً فماتا، تعلّقت نصف دیة الحرّ برقبة العبد، وتعلّقت نصف قیمة العبد بترکة الحرّ فیتقاصّان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مات أحدهما خاصّة تعلّقت جنایته بالآخر، کما مرّ</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قال الرامی حَذارِ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بفتح الحاء وکسر آخره مبنیّاً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هو الأصل فی الکلمة، لکن ینبغی أن یراد هنا ما دلّ علی معناها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ضمان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سماع المجنیّ علیه؛ لما روی من حکم أمیر المؤمنین علیه الصلاة والسلام فیه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أعذَرَ من حذّر</w:t>
      </w:r>
      <w:r>
        <w:rPr>
          <w:rFonts w:eastAsia="IRNazanin" w:cs="IRNazanin"/>
          <w:color w:val="111111"/>
          <w:sz w:val="28"/>
          <w:szCs w:val="28"/>
          <w:rtl w:val="true"/>
          <w:lang w:bidi="fa-IR"/>
        </w:rPr>
        <w:t xml:space="preserve">» </w:t>
      </w:r>
      <w:r>
        <w:rPr>
          <w:rStyle w:val="FootnoteAnchor"/>
          <w:rtl w:val="true"/>
        </w:rPr>
        <w:footnoteReference w:id="1982"/>
      </w:r>
      <w:r>
        <w:rPr>
          <w:rFonts w:ascii="Amiri" w:hAnsi="Amiri" w:eastAsia="Amiri" w:cs="Amiri"/>
          <w:color w:val="111111"/>
          <w:sz w:val="28"/>
          <w:sz w:val="28"/>
          <w:szCs w:val="28"/>
          <w:rtl w:val="true"/>
          <w:lang w:bidi="ar-SA"/>
        </w:rPr>
        <w:t>ولو لم یقل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حَذارِ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 قالها فی وقت لا یتمکّن المرمیّ من الحذر، أو لم یسمع، فالدیة علی عاقلة الرامی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وقع من عِلْوٍ علی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قاصداً للوقوع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 یقصد القتل فقتل فهو شبیه عمد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یلزمه الدیة فی ماله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الوقوع لا یقتل غالباً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وإلّا فهو عامد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وقع مضطرّاً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الوقوع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قصد الوقوع علی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لغیر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 العاقلة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دیة جنایته؛ لأنّه خطأ محض، حیث لم یقصد الفعل الخاصّ المتعلّق بالمجنیّ علیه وإن قصد غیره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لو ألقته الریح أو زلق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فوقع بغیر اختیاره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فهدر جنایته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تؤخذ دیة المجنیّ علیه من بیت المال </w:t>
      </w:r>
      <w:r>
        <w:rPr>
          <w:rStyle w:val="FootnoteAnchor"/>
          <w:rtl w:val="true"/>
        </w:rPr>
        <w:footnoteReference w:id="198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دفع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الواقع من إنسان غیره </w:t>
      </w:r>
      <w:r>
        <w:rPr>
          <w:rStyle w:val="FootnoteAnchor"/>
          <w:rtl w:val="true"/>
        </w:rPr>
        <w:footnoteReference w:id="19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ضمنه الدافع وما یجنیه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لکونه سبباً فی الجنایتین </w:t>
      </w:r>
      <w:r>
        <w:rPr>
          <w:rStyle w:val="FootnoteAnchor"/>
          <w:rtl w:val="true"/>
        </w:rPr>
        <w:footnoteReference w:id="1985"/>
      </w:r>
      <w:r>
        <w:rPr>
          <w:rFonts w:eastAsia="Times New Roman" w:cs="Times New Roman" w:ascii="Times New Roman" w:hAnsi="Times New Roman"/>
          <w:color w:val="111111"/>
          <w:sz w:val="28"/>
          <w:szCs w:val="28"/>
          <w:rtl w:val="true"/>
          <w:lang w:val="en-US" w:bidi="en-US"/>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دیة الأسفل علی الواقع ویرجع بها علی الدافع </w:t>
      </w:r>
      <w:r>
        <w:rPr>
          <w:rStyle w:val="FootnoteAnchor"/>
          <w:rtl w:val="true"/>
        </w:rPr>
        <w:footnoteReference w:id="1986"/>
      </w:r>
      <w:r>
        <w:rPr>
          <w:rFonts w:ascii="IRNazanin" w:hAnsi="IRNazanin" w:eastAsia="IRNazanin"/>
          <w:color w:val="111111"/>
          <w:sz w:val="28"/>
          <w:sz w:val="28"/>
          <w:szCs w:val="28"/>
          <w:rtl w:val="true"/>
          <w:lang w:bidi="fa-IR"/>
        </w:rPr>
        <w:t xml:space="preserve">لصحیحة عبد اللّٰه بن سنان عن الصادق علیه السلام </w:t>
      </w:r>
      <w:r>
        <w:rPr>
          <w:rStyle w:val="FootnoteAnchor"/>
          <w:rtl w:val="true"/>
        </w:rPr>
        <w:footnoteReference w:id="1987"/>
      </w:r>
      <w:r>
        <w:rPr>
          <w:rFonts w:ascii="IRNazanin" w:hAnsi="IRNazanin" w:eastAsia="IRNazanin"/>
          <w:color w:val="111111"/>
          <w:sz w:val="28"/>
          <w:sz w:val="28"/>
          <w:szCs w:val="28"/>
          <w:rtl w:val="true"/>
          <w:lang w:bidi="fa-IR"/>
        </w:rPr>
        <w:t>والأوّل أشهر</w:t>
      </w:r>
      <w:r>
        <w:rPr>
          <w:rFonts w:eastAsia="IRNazanin" w:cs="IRNazanin"/>
          <w:color w:val="111111"/>
          <w:sz w:val="28"/>
          <w:szCs w:val="28"/>
          <w:rtl w:val="true"/>
          <w:lang w:bidi="fa-IR"/>
        </w:rPr>
        <w:t>.</w:t>
      </w:r>
      <w:bookmarkStart w:id="667" w:name="pg19815_253460"/>
    </w:p>
    <w:p>
      <w:pPr>
        <w:pStyle w:val="Heading4"/>
        <w:numPr>
          <w:ilvl w:val="3"/>
          <w:numId w:val="1"/>
        </w:numPr>
        <w:rPr/>
      </w:pPr>
      <w:bookmarkStart w:id="668" w:name="__RefHeading___Toc2228179_2314609296"/>
      <w:bookmarkStart w:id="669" w:name="_Toc252"/>
      <w:bookmarkEnd w:id="667"/>
      <w:bookmarkEnd w:id="668"/>
      <w:r>
        <w:rPr>
          <w:rtl w:val="true"/>
        </w:rPr>
        <w:t>«</w:t>
      </w:r>
      <w:r>
        <w:rPr>
          <w:rtl w:val="true"/>
        </w:rPr>
        <w:t>وهنا مسائل</w:t>
      </w:r>
      <w:r>
        <w:rPr>
          <w:rtl w:val="true"/>
        </w:rPr>
        <w:t>»</w:t>
      </w:r>
      <w:bookmarkEnd w:id="669"/>
    </w:p>
    <w:p>
      <w:pPr>
        <w:pStyle w:val="Heading5"/>
        <w:numPr>
          <w:ilvl w:val="4"/>
          <w:numId w:val="1"/>
        </w:numPr>
        <w:rPr/>
      </w:pPr>
      <w:bookmarkStart w:id="670" w:name="__RefHeading___Toc2228181_2314609296"/>
      <w:bookmarkStart w:id="671" w:name="_Toc253"/>
      <w:bookmarkEnd w:id="670"/>
      <w:r>
        <w:rPr>
          <w:rtl w:val="true"/>
        </w:rPr>
        <w:t>«</w:t>
      </w:r>
      <w:r>
        <w:rPr>
          <w:rtl w:val="true"/>
        </w:rPr>
        <w:t>الاُولی</w:t>
      </w:r>
      <w:r>
        <w:rPr>
          <w:rtl w:val="true"/>
        </w:rPr>
        <w:t>» : «</w:t>
      </w:r>
      <w:r>
        <w:rPr>
          <w:rtl w:val="true"/>
        </w:rPr>
        <w:t>من دعا غیره لیلاً فأخرجه من منزله</w:t>
      </w:r>
      <w:r>
        <w:rPr>
          <w:rtl w:val="true"/>
        </w:rPr>
        <w:t>»</w:t>
      </w:r>
      <w:bookmarkEnd w:id="671"/>
    </w:p>
    <w:p>
      <w:pPr>
        <w:pStyle w:val="BookText"/>
        <w:rPr/>
      </w:pPr>
      <w:r>
        <w:rPr>
          <w:rFonts w:ascii="IRNazanin" w:hAnsi="IRNazanin" w:eastAsia="IRNazanin"/>
          <w:color w:val="111111"/>
          <w:sz w:val="28"/>
          <w:sz w:val="28"/>
          <w:szCs w:val="28"/>
          <w:rtl w:val="true"/>
          <w:lang w:bidi="fa-IR"/>
        </w:rPr>
        <w:t xml:space="preserve">بغیر سؤاله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ضامن له إن وُجد مقتولاً، بالدیة علی الأقرب</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أمّا ضمانه فی 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موضع وفاق، ورواه عبد اللّٰه بن میمون عن الصادق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دعا الرجل أخاه باللیل فهو ضامن له حتّی یرجع إلی بیته</w:t>
      </w:r>
      <w:r>
        <w:rPr>
          <w:rFonts w:eastAsia="IRNazanin" w:cs="IRNazanin"/>
          <w:color w:val="111111"/>
          <w:sz w:val="28"/>
          <w:szCs w:val="28"/>
          <w:rtl w:val="true"/>
          <w:lang w:bidi="fa-IR"/>
        </w:rPr>
        <w:t xml:space="preserve">» </w:t>
      </w:r>
      <w:r>
        <w:rPr>
          <w:rStyle w:val="FootnoteAnchor"/>
          <w:rtl w:val="true"/>
        </w:rPr>
        <w:footnoteReference w:id="1988"/>
      </w:r>
      <w:r>
        <w:rPr>
          <w:rFonts w:ascii="IRNazanin" w:hAnsi="IRNazanin" w:eastAsia="IRNazanin"/>
          <w:color w:val="111111"/>
          <w:sz w:val="28"/>
          <w:sz w:val="28"/>
          <w:szCs w:val="28"/>
          <w:rtl w:val="true"/>
          <w:lang w:bidi="fa-IR"/>
        </w:rPr>
        <w:t xml:space="preserve">ورواه عبد اللّٰه بن المقدام </w:t>
      </w:r>
      <w:r>
        <w:rPr>
          <w:rStyle w:val="FootnoteAnchor"/>
          <w:rtl w:val="true"/>
        </w:rPr>
        <w:footnoteReference w:id="1989"/>
      </w:r>
      <w:r>
        <w:rPr>
          <w:rFonts w:ascii="IRNazanin" w:hAnsi="IRNazanin" w:eastAsia="IRNazanin"/>
          <w:color w:val="111111"/>
          <w:sz w:val="28"/>
          <w:sz w:val="28"/>
          <w:szCs w:val="28"/>
          <w:rtl w:val="true"/>
          <w:lang w:bidi="fa-IR"/>
        </w:rPr>
        <w:t>عنه علیه السلام فی حدیث طویل، وفیه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من طرق رجلاً آناء اللیل فأخرجه من منزله، فهو له ضامن، إلّا أن یقیم البیّنة أ نّه ردّه إلی منزله</w:t>
      </w:r>
      <w:r>
        <w:rPr>
          <w:rFonts w:eastAsia="IRNazanin" w:cs="IRNazanin"/>
          <w:color w:val="111111"/>
          <w:sz w:val="28"/>
          <w:szCs w:val="28"/>
          <w:rtl w:val="true"/>
          <w:lang w:bidi="fa-IR"/>
        </w:rPr>
        <w:t xml:space="preserve">» </w:t>
      </w:r>
      <w:r>
        <w:rPr>
          <w:rStyle w:val="FootnoteAnchor"/>
          <w:rtl w:val="true"/>
        </w:rPr>
        <w:footnoteReference w:id="19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ضمانه بالدیة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فللشکّ فی موجب القصاص فینتفی؛ للشبهة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والضمان المذکور فی الأخبار یتحقّق بضمان الدیة؛ لأنّها بدل النفس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تخصیصه الضمانَ بما لو وُجِد مقتولاً، فلأصالة البراءة من الضمان دیة ونفساً حتّی یتحقّق سببه، وهو فی غیر حالة القتل مشکوک فیه</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وُجد میتاً ففی الضمان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إطلاق الأخبار وفتوی الأصحاب </w:t>
      </w:r>
      <w:r>
        <w:rPr>
          <w:rStyle w:val="FootnoteAnchor"/>
          <w:rtl w:val="true"/>
        </w:rPr>
        <w:footnoteReference w:id="1991"/>
      </w:r>
      <w:r>
        <w:rPr>
          <w:rFonts w:ascii="IRNazanin" w:hAnsi="IRNazanin" w:eastAsia="IRNazanin"/>
          <w:color w:val="111111"/>
          <w:sz w:val="28"/>
          <w:sz w:val="28"/>
          <w:szCs w:val="28"/>
          <w:rtl w:val="true"/>
          <w:lang w:bidi="fa-IR"/>
        </w:rPr>
        <w:t>ضمانَه الشامل لحالة الموت بل للشکّ فیه، ومن أصالة البراءة</w:t>
      </w:r>
    </w:p>
    <w:p>
      <w:pPr>
        <w:pStyle w:val="BookText"/>
        <w:rPr/>
      </w:pPr>
      <w:r>
        <w:rPr>
          <w:rFonts w:ascii="IRNazanin" w:hAnsi="IRNazanin" w:eastAsia="IRNazanin"/>
          <w:color w:val="111111"/>
          <w:sz w:val="28"/>
          <w:sz w:val="28"/>
          <w:szCs w:val="28"/>
          <w:rtl w:val="true"/>
          <w:lang w:bidi="fa-IR"/>
        </w:rPr>
        <w:t>والاقتصار فی الحکم المخالف للأصل علی موضع الیقین وهو القتل، ولأ نّه مع الموت لم یوجد أثر القتل ولا لوث ولا تهمة، وعلی تقدیرها فحکمه حکم اللوث، لا أ نّه یوجب الضمان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وإلی الضمان ذهب الأکثر، بل حکموا به مع اشتباه حاله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اختلفوا فی أنّ ضمانه مطلقاً هل هو بالقَوَد، أو بالدیة؟ فذهب الشیخ </w:t>
      </w:r>
      <w:r>
        <w:rPr>
          <w:rStyle w:val="FootnoteAnchor"/>
          <w:rtl w:val="true"/>
        </w:rPr>
        <w:footnoteReference w:id="1992"/>
      </w:r>
      <w:r>
        <w:rPr>
          <w:rFonts w:ascii="Amiri" w:hAnsi="Amiri" w:eastAsia="Amiri" w:cs="Amiri"/>
          <w:color w:val="111111"/>
          <w:sz w:val="28"/>
          <w:sz w:val="28"/>
          <w:szCs w:val="28"/>
          <w:rtl w:val="true"/>
          <w:lang w:bidi="ar-SA"/>
        </w:rPr>
        <w:t xml:space="preserve">وجماعة </w:t>
      </w:r>
      <w:r>
        <w:rPr>
          <w:rStyle w:val="FootnoteAnchor"/>
          <w:rtl w:val="true"/>
        </w:rPr>
        <w:footnoteReference w:id="1993"/>
      </w:r>
      <w:r>
        <w:rPr>
          <w:rFonts w:ascii="IRNazanin" w:hAnsi="IRNazanin" w:eastAsia="IRNazanin"/>
          <w:color w:val="111111"/>
          <w:sz w:val="28"/>
          <w:sz w:val="28"/>
          <w:szCs w:val="28"/>
          <w:rtl w:val="true"/>
          <w:lang w:bidi="fa-IR"/>
        </w:rPr>
        <w:t>إلی ضمانه بالقَوَد إن وُجد مقتولاً إلّاأن یقیم البیّنة علی قتل غیره له، والدیة إن لم یُعلم قتله</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واختلف کلام المحقّق فحکم فی الشرائع بضمانه بالدیة إن وُجِد مقتولاً وعدم الضمان لو وُجد میّتاً </w:t>
      </w:r>
      <w:r>
        <w:rPr>
          <w:rStyle w:val="FootnoteAnchor"/>
          <w:rtl w:val="true"/>
        </w:rPr>
        <w:footnoteReference w:id="1994"/>
      </w:r>
      <w:r>
        <w:rPr>
          <w:rFonts w:ascii="IRNazanin" w:hAnsi="IRNazanin" w:eastAsia="IRNazanin"/>
          <w:color w:val="111111"/>
          <w:sz w:val="28"/>
          <w:sz w:val="28"/>
          <w:szCs w:val="28"/>
          <w:rtl w:val="true"/>
          <w:lang w:bidi="fa-IR"/>
        </w:rPr>
        <w:t xml:space="preserve">وفی النافع بضمانه بالدیة فیهما </w:t>
      </w:r>
      <w:r>
        <w:rPr>
          <w:rStyle w:val="FootnoteAnchor"/>
          <w:rtl w:val="true"/>
        </w:rPr>
        <w:footnoteReference w:id="1995"/>
      </w:r>
      <w:r>
        <w:rPr>
          <w:rFonts w:ascii="IRNazanin" w:hAnsi="IRNazanin" w:eastAsia="IRNazanin"/>
          <w:color w:val="111111"/>
          <w:sz w:val="28"/>
          <w:sz w:val="28"/>
          <w:szCs w:val="28"/>
          <w:rtl w:val="true"/>
          <w:lang w:bidi="fa-IR"/>
        </w:rPr>
        <w:t xml:space="preserve">وکذلک العلّامة فحکم فی التحریر بضمان الدیة مع فقده أو قتله حیث لا یُقیم البیّنة به علی غیره، وبعدمها لو وُجد میّتاً </w:t>
      </w:r>
      <w:r>
        <w:rPr>
          <w:rStyle w:val="FootnoteAnchor"/>
          <w:rtl w:val="true"/>
        </w:rPr>
        <w:footnoteReference w:id="1996"/>
      </w:r>
      <w:r>
        <w:rPr>
          <w:rFonts w:ascii="IRNazanin" w:hAnsi="IRNazanin" w:eastAsia="IRNazanin"/>
          <w:color w:val="111111"/>
          <w:sz w:val="28"/>
          <w:sz w:val="28"/>
          <w:szCs w:val="28"/>
          <w:rtl w:val="true"/>
          <w:lang w:bidi="fa-IR"/>
        </w:rPr>
        <w:t xml:space="preserve">وفی المختلف بالدیة مع فقده، وبالقَوَد إن وُجِد مقتولاً مع التهمة والقسامة، إلّاأن یقیم البیّنة علی غیره، وبالدیة إن وُجِد میّتاً مع دعواه موته حتف أنفه ووجود اللوث وقَسامةِ الوارث </w:t>
      </w:r>
      <w:r>
        <w:rPr>
          <w:rStyle w:val="FootnoteAnchor"/>
          <w:rtl w:val="true"/>
        </w:rPr>
        <w:footnoteReference w:id="1997"/>
      </w:r>
      <w:r>
        <w:rPr>
          <w:rFonts w:ascii="IRNazanin" w:hAnsi="IRNazanin" w:eastAsia="IRNazanin"/>
          <w:color w:val="111111"/>
          <w:sz w:val="28"/>
          <w:sz w:val="28"/>
          <w:szCs w:val="28"/>
          <w:rtl w:val="true"/>
          <w:lang w:bidi="fa-IR"/>
        </w:rPr>
        <w:t xml:space="preserve">وتوقّف فی القواعد والإرشاد </w:t>
      </w:r>
      <w:r>
        <w:rPr>
          <w:rStyle w:val="FootnoteAnchor"/>
          <w:rtl w:val="true"/>
        </w:rPr>
        <w:footnoteReference w:id="1998"/>
      </w:r>
    </w:p>
    <w:p>
      <w:pPr>
        <w:pStyle w:val="BookText"/>
        <w:rPr/>
      </w:pPr>
      <w:r>
        <w:rPr>
          <w:rFonts w:ascii="IRNazanin" w:hAnsi="IRNazanin" w:eastAsia="IRNazanin"/>
          <w:color w:val="111111"/>
          <w:sz w:val="28"/>
          <w:sz w:val="28"/>
          <w:szCs w:val="28"/>
          <w:rtl w:val="true"/>
          <w:lang w:bidi="fa-IR"/>
        </w:rPr>
        <w:t>فی الضمان مع الموت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والأجود فی هذه المسألة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الاقتصار بالضمان علی موضع الوفاق </w:t>
      </w:r>
      <w:r>
        <w:rPr>
          <w:rStyle w:val="FootnoteAnchor"/>
          <w:rtl w:val="true"/>
        </w:rPr>
        <w:footnoteReference w:id="1999"/>
      </w:r>
      <w:r>
        <w:rPr>
          <w:rFonts w:ascii="IRNazanin" w:hAnsi="IRNazanin" w:eastAsia="IRNazanin"/>
          <w:color w:val="111111"/>
          <w:sz w:val="28"/>
          <w:sz w:val="28"/>
          <w:szCs w:val="28"/>
          <w:rtl w:val="true"/>
          <w:lang w:bidi="fa-IR"/>
        </w:rPr>
        <w:t xml:space="preserve">لضعف أدلّته، فإنّ فی سند الخبرین من لا تثبت عدالته </w:t>
      </w:r>
      <w:r>
        <w:rPr>
          <w:rStyle w:val="FootnoteAnchor"/>
          <w:rtl w:val="true"/>
        </w:rPr>
        <w:footnoteReference w:id="2000"/>
      </w:r>
      <w:r>
        <w:rPr>
          <w:rFonts w:ascii="IRNazanin" w:hAnsi="IRNazanin" w:eastAsia="IRNazanin"/>
          <w:color w:val="111111"/>
          <w:sz w:val="28"/>
          <w:sz w:val="28"/>
          <w:szCs w:val="28"/>
          <w:rtl w:val="true"/>
          <w:lang w:bidi="fa-IR"/>
        </w:rPr>
        <w:t xml:space="preserve">والمشترک بین الضعیف والثقة </w:t>
      </w:r>
      <w:r>
        <w:rPr>
          <w:rStyle w:val="FootnoteAnchor"/>
          <w:rtl w:val="true"/>
        </w:rPr>
        <w:footnoteReference w:id="2001"/>
      </w:r>
      <w:r>
        <w:rPr>
          <w:rFonts w:ascii="IRNazanin" w:hAnsi="IRNazanin" w:eastAsia="IRNazanin"/>
          <w:color w:val="111111"/>
          <w:sz w:val="28"/>
          <w:sz w:val="28"/>
          <w:szCs w:val="28"/>
          <w:rtl w:val="true"/>
          <w:lang w:bidi="fa-IR"/>
        </w:rPr>
        <w:t>وأصالةُ البراءة تدلّ علی عدم الضمان فی موضع الشکّ، مع مخالفة حکم المسألة للأصل من ضمان الحرّ بإثبات الید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واللازم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ضمانُه بالدیة إن وُجد مقتولاً ولا لوث هناک، وإلّا فبموجب ما اُقسم علیه الولیّ من عمد أو خطأ، ومع عدم قَسامته یقسم المُخرج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وعدمُ ضمانه إن وجد میّتاً؛ للشکّ مع احتمال موته حتف أنفه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یعتمد الأخبار یلزمه الحکم بضمانه مطلقاً إلی أن یرجع؛ لدلالتها علی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یحتمل کونه القَوَد مطلقاً </w:t>
      </w:r>
      <w:r>
        <w:rPr>
          <w:rStyle w:val="FootnoteAnchor"/>
          <w:rtl w:val="true"/>
        </w:rPr>
        <w:footnoteReference w:id="2002"/>
      </w:r>
      <w:r>
        <w:rPr>
          <w:rFonts w:ascii="IRNazanin" w:hAnsi="IRNazanin" w:eastAsia="IRNazanin"/>
          <w:color w:val="111111"/>
          <w:sz w:val="28"/>
          <w:sz w:val="28"/>
          <w:szCs w:val="28"/>
          <w:rtl w:val="true"/>
          <w:lang w:bidi="fa-IR"/>
        </w:rPr>
        <w:t xml:space="preserve">لظاهر الروایة </w:t>
      </w:r>
      <w:r>
        <w:rPr>
          <w:rStyle w:val="FootnoteAnchor"/>
          <w:rtl w:val="true"/>
        </w:rPr>
        <w:footnoteReference w:id="2003"/>
      </w:r>
      <w:r>
        <w:rPr>
          <w:rFonts w:ascii="IRNazanin" w:hAnsi="IRNazanin" w:eastAsia="IRNazanin"/>
          <w:color w:val="111111"/>
          <w:sz w:val="28"/>
          <w:sz w:val="28"/>
          <w:szCs w:val="28"/>
          <w:rtl w:val="true"/>
          <w:lang w:bidi="fa-IR"/>
        </w:rPr>
        <w:t xml:space="preserve">والدیة؛ لما مرّ </w:t>
      </w:r>
      <w:r>
        <w:rPr>
          <w:rStyle w:val="FootnoteAnchor"/>
          <w:rtl w:val="true"/>
        </w:rPr>
        <w:footnoteReference w:id="2004"/>
      </w:r>
      <w:r>
        <w:rPr>
          <w:rFonts w:ascii="IRNazanin" w:hAnsi="IRNazanin" w:eastAsia="IRNazanin"/>
          <w:color w:val="111111"/>
          <w:sz w:val="28"/>
          <w:sz w:val="28"/>
          <w:szCs w:val="28"/>
          <w:rtl w:val="true"/>
          <w:lang w:bidi="fa-IR"/>
        </w:rPr>
        <w:t xml:space="preserve">والتفصیل </w:t>
      </w:r>
      <w:r>
        <w:rPr>
          <w:rStyle w:val="FootnoteAnchor"/>
          <w:rtl w:val="true"/>
        </w:rPr>
        <w:footnoteReference w:id="2005"/>
      </w:r>
      <w:r>
        <w:rPr>
          <w:rFonts w:eastAsia="Times New Roman" w:cs="Times New Roman" w:ascii="Times New Roman" w:hAnsi="Times New Roman"/>
          <w:color w:val="111111"/>
          <w:sz w:val="28"/>
          <w:szCs w:val="28"/>
          <w:rtl w:val="true"/>
          <w:lang w:val="en-US" w:bidi="en-US"/>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فرق فی الداعی بین الذکر والاُنثی والکبیر والصغیر والحرّ والعبد؛ للعموم أو الإطلاق </w:t>
      </w:r>
      <w:r>
        <w:rPr>
          <w:rStyle w:val="FootnoteAnchor"/>
          <w:rtl w:val="true"/>
        </w:rPr>
        <w:footnoteReference w:id="2006"/>
      </w:r>
      <w:r>
        <w:rPr>
          <w:rFonts w:ascii="IRNazanin" w:hAnsi="IRNazanin" w:eastAsia="IRNazanin"/>
          <w:color w:val="111111"/>
          <w:sz w:val="28"/>
          <w:sz w:val="28"/>
          <w:szCs w:val="28"/>
          <w:rtl w:val="true"/>
          <w:lang w:bidi="fa-IR"/>
        </w:rPr>
        <w:t>ولا بین أن یُعلم سبب الدعاء وعدمه، ولا بین أن یقتل بسبب</w:t>
      </w:r>
      <w:bookmarkStart w:id="672" w:name="pg19815_253463"/>
    </w:p>
    <w:p>
      <w:pPr>
        <w:pStyle w:val="BookText"/>
        <w:rPr/>
      </w:pPr>
      <w:bookmarkEnd w:id="672"/>
      <w:r>
        <w:rPr>
          <w:rFonts w:ascii="IRNazanin" w:hAnsi="IRNazanin" w:eastAsia="IRNazanin"/>
          <w:color w:val="111111"/>
          <w:sz w:val="28"/>
          <w:sz w:val="28"/>
          <w:szCs w:val="28"/>
          <w:rtl w:val="true"/>
          <w:lang w:bidi="fa-IR"/>
        </w:rPr>
        <w:t>الدعاء وعدمه، ولا فی المنزل بین البیت وغیره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ویختصّ الحکم باللیل، فلا یضمن المخرج نهاراً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وغایة الضمان وصوله إلی منزله وإن خرج بعد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ناداه وعرض علیه الخروج مخیّراً له من غیر دعاء، ففی إلحاقه بالإخراج نظر، وأصالة البراءة تقتضی العدم، مع أنّ الإخراج والدعاء لا یتحقّق بمثل 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کان إخراجه بالتماسه الدعاء فلا ضمان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لزوال التهمة حینئذٍ وأصالة البراءة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ویحتمل الضمان؛ لعموم النصّ والفتوی </w:t>
      </w:r>
      <w:r>
        <w:rPr>
          <w:rStyle w:val="FootnoteAnchor"/>
          <w:rtl w:val="true"/>
        </w:rPr>
        <w:footnoteReference w:id="2007"/>
      </w:r>
      <w:r>
        <w:rPr>
          <w:rFonts w:ascii="IRNazanin" w:hAnsi="IRNazanin" w:eastAsia="IRNazanin"/>
          <w:color w:val="111111"/>
          <w:sz w:val="28"/>
          <w:sz w:val="28"/>
          <w:szCs w:val="28"/>
          <w:rtl w:val="true"/>
          <w:lang w:bidi="fa-IR"/>
        </w:rPr>
        <w:t xml:space="preserve">وتوقّف المصنّفُ فی الشرح هنا وجعل السقوط احتمالاً </w:t>
      </w:r>
      <w:r>
        <w:rPr>
          <w:rStyle w:val="FootnoteAnchor"/>
          <w:rtl w:val="true"/>
        </w:rPr>
        <w:footnoteReference w:id="2008"/>
      </w:r>
      <w:r>
        <w:rPr>
          <w:rFonts w:ascii="IRNazanin" w:hAnsi="IRNazanin" w:eastAsia="IRNazanin"/>
          <w:color w:val="111111"/>
          <w:sz w:val="28"/>
          <w:sz w:val="28"/>
          <w:szCs w:val="28"/>
          <w:rtl w:val="true"/>
          <w:lang w:bidi="fa-IR"/>
        </w:rPr>
        <w:t>وللتوقّف مجال حیث یُعمل بالنصّ وإلّا فعدم الضمان أقوی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ینسحب الحکم لو دعا غیرَه فخرج هو قطعاً؛ لعدم تناول النصّ والفتوی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تعدّد الداعی اشترکوا فی الضمان حیث یثبت قصاصاً ودیةً، کما لو اشترکوا فی الجنایة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کان المدعوّ جماعة ضمن الداعی مطلقاً کلَّ واحد منهم باستقلاله، علی الوجه الذی فصّل </w:t>
      </w:r>
      <w:r>
        <w:rPr>
          <w:rStyle w:val="FootnoteAnchor"/>
          <w:rtl w:val="true"/>
        </w:rPr>
        <w:footnoteReference w:id="200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73" w:name="__RefHeading___Toc2228183_2314609296"/>
      <w:bookmarkStart w:id="674" w:name="_Toc254"/>
      <w:bookmarkEnd w:id="673"/>
      <w:r>
        <w:rPr>
          <w:rtl w:val="true"/>
        </w:rPr>
        <w:t>«</w:t>
      </w:r>
      <w:r>
        <w:rPr>
          <w:rtl w:val="true"/>
        </w:rPr>
        <w:t>الثانیة</w:t>
      </w:r>
      <w:r>
        <w:rPr>
          <w:rtl w:val="true"/>
        </w:rPr>
        <w:t>» : «</w:t>
      </w:r>
      <w:r>
        <w:rPr>
          <w:rtl w:val="true"/>
        </w:rPr>
        <w:t>لو انقلبت الظئر</w:t>
      </w:r>
      <w:r>
        <w:rPr>
          <w:rtl w:val="true"/>
        </w:rPr>
        <w:t>»</w:t>
      </w:r>
      <w:bookmarkEnd w:id="674"/>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بکسر الظاء المُشالة فالهمز ساکناً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المرضعة غیرَ</w:t>
      </w:r>
    </w:p>
    <w:p>
      <w:pPr>
        <w:pStyle w:val="BookText"/>
        <w:rPr/>
      </w:pPr>
      <w:r>
        <w:rPr>
          <w:rFonts w:ascii="IRNazanin" w:hAnsi="IRNazanin" w:eastAsia="IRNazanin"/>
          <w:color w:val="111111"/>
          <w:sz w:val="28"/>
          <w:sz w:val="28"/>
          <w:szCs w:val="28"/>
          <w:rtl w:val="true"/>
          <w:lang w:bidi="fa-IR"/>
        </w:rPr>
        <w:t xml:space="preserve">ولدها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فقتلت الولدَ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بانقلابها نائمة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ضمنته فی مالها إن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فعلها المظاءرة وقع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للفخر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کان للحاجة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والضرورة إلی الاُجرة والبرّ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الضمان لدیته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عاقلتها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ومستند التفصیل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عبد الرحمن بن سالم عن الباقر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یّما ظِئرُ قوم قتلت صبیّاً لهم وهی نائمة فانقلبت علیه فقتلته، فإنّما علیها الدیة فی مالها خاصّة إن کانت إنّما ظاءرت طلبَ العزّ والفخر، وإن کانت إنّما ظاءرت من الفقر فإنّ الدیة علی عاقلتها</w:t>
      </w:r>
      <w:r>
        <w:rPr>
          <w:rFonts w:eastAsia="IRNazanin" w:cs="IRNazanin"/>
          <w:color w:val="111111"/>
          <w:sz w:val="28"/>
          <w:szCs w:val="28"/>
          <w:rtl w:val="true"/>
          <w:lang w:bidi="fa-IR"/>
        </w:rPr>
        <w:t xml:space="preserve">» </w:t>
      </w:r>
      <w:r>
        <w:rPr>
          <w:rStyle w:val="FootnoteAnchor"/>
          <w:rtl w:val="true"/>
        </w:rPr>
        <w:footnoteReference w:id="2010"/>
      </w:r>
      <w:r>
        <w:rPr>
          <w:rFonts w:ascii="IRNazanin" w:hAnsi="IRNazanin" w:eastAsia="IRNazanin"/>
          <w:color w:val="111111"/>
          <w:sz w:val="28"/>
          <w:sz w:val="28"/>
          <w:szCs w:val="28"/>
          <w:rtl w:val="true"/>
          <w:lang w:bidi="fa-IR"/>
        </w:rPr>
        <w:t xml:space="preserve">وفی سند الروایة ضعف أو جهالة </w:t>
      </w:r>
      <w:r>
        <w:rPr>
          <w:rStyle w:val="FootnoteAnchor"/>
          <w:rtl w:val="true"/>
        </w:rPr>
        <w:footnoteReference w:id="2011"/>
      </w:r>
      <w:r>
        <w:rPr>
          <w:rFonts w:ascii="IRNazanin" w:hAnsi="IRNazanin" w:eastAsia="IRNazanin"/>
          <w:color w:val="111111"/>
          <w:sz w:val="28"/>
          <w:sz w:val="28"/>
          <w:szCs w:val="28"/>
          <w:rtl w:val="true"/>
          <w:lang w:bidi="fa-IR"/>
        </w:rPr>
        <w:t xml:space="preserve">تمنع من العمل بها وإن کانت مشهورة، مع مخالفتها للأصل </w:t>
      </w:r>
      <w:r>
        <w:rPr>
          <w:rStyle w:val="FootnoteAnchor"/>
          <w:rtl w:val="true"/>
        </w:rPr>
        <w:footnoteReference w:id="2012"/>
      </w:r>
      <w:r>
        <w:rPr>
          <w:rFonts w:ascii="IRNazanin" w:hAnsi="IRNazanin" w:eastAsia="IRNazanin"/>
          <w:color w:val="111111"/>
          <w:sz w:val="28"/>
          <w:sz w:val="28"/>
          <w:szCs w:val="28"/>
          <w:rtl w:val="true"/>
          <w:lang w:bidi="fa-IR"/>
        </w:rPr>
        <w:t xml:space="preserve">من أنّ قتل النائم خطأً علی العاقلة أو فی ماله علی ما تقدّم </w:t>
      </w:r>
      <w:r>
        <w:rPr>
          <w:rStyle w:val="FootnoteAnchor"/>
          <w:rtl w:val="true"/>
        </w:rPr>
        <w:footnoteReference w:id="2013"/>
      </w:r>
      <w:r>
        <w:rPr>
          <w:rFonts w:ascii="IRNazanin" w:hAnsi="IRNazanin" w:eastAsia="IRNazanin"/>
          <w:color w:val="111111"/>
          <w:sz w:val="28"/>
          <w:sz w:val="28"/>
          <w:szCs w:val="28"/>
          <w:rtl w:val="true"/>
          <w:lang w:bidi="fa-IR"/>
        </w:rPr>
        <w:t>والأقوی أنّ دیته علی العاقلة مطلقاً</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أعادت الولد فأنکره أهله صُدّقت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لصحیحة الحلبی عن أبی عبد اللّٰه علیه السلام </w:t>
      </w:r>
      <w:r>
        <w:rPr>
          <w:rStyle w:val="FootnoteAnchor"/>
          <w:rtl w:val="true"/>
        </w:rPr>
        <w:footnoteReference w:id="2014"/>
      </w:r>
      <w:r>
        <w:rPr>
          <w:rFonts w:ascii="IRNazanin" w:hAnsi="IRNazanin" w:eastAsia="IRNazanin"/>
          <w:color w:val="111111"/>
          <w:sz w:val="28"/>
          <w:sz w:val="28"/>
          <w:szCs w:val="28"/>
          <w:rtl w:val="true"/>
          <w:lang w:bidi="fa-IR"/>
        </w:rPr>
        <w:t xml:space="preserve">ولأ نّها أمینة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إلّامع کذبها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فیلزمها الدیة حتّی تحضره أو من یحتمله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لأنّها لا تدّعی موته وقد تسلّمته فیکون فی ضمانها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ادّعت الموت فلا ضمان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وحیث تُحضِر من یحتمله یُقبل وإن کَذِبت سابقاً؛ لأ نّها أمینة لم یُعلم کذبها ثانیاً</w:t>
      </w:r>
      <w:r>
        <w:rPr>
          <w:rFonts w:eastAsia="IRNazanin" w:cs="IRNazanin"/>
          <w:color w:val="111111"/>
          <w:sz w:val="28"/>
          <w:szCs w:val="28"/>
          <w:rtl w:val="true"/>
          <w:lang w:bidi="fa-IR"/>
        </w:rPr>
        <w:t>.</w:t>
      </w:r>
      <w:bookmarkStart w:id="675" w:name="pg19815_253465"/>
    </w:p>
    <w:p>
      <w:pPr>
        <w:pStyle w:val="Heading5"/>
        <w:numPr>
          <w:ilvl w:val="4"/>
          <w:numId w:val="1"/>
        </w:numPr>
        <w:rPr/>
      </w:pPr>
      <w:bookmarkStart w:id="676" w:name="__RefHeading___Toc2228185_2314609296"/>
      <w:bookmarkStart w:id="677" w:name="_Toc255"/>
      <w:bookmarkEnd w:id="675"/>
      <w:bookmarkEnd w:id="676"/>
      <w:r>
        <w:rPr>
          <w:rtl w:val="true"/>
        </w:rPr>
        <w:t>«</w:t>
      </w:r>
      <w:r>
        <w:rPr>
          <w:rtl w:val="true"/>
        </w:rPr>
        <w:t>الثالثة</w:t>
      </w:r>
      <w:r>
        <w:rPr>
          <w:rtl w:val="true"/>
        </w:rPr>
        <w:t>» : «</w:t>
      </w:r>
      <w:r>
        <w:rPr>
          <w:rtl w:val="true"/>
        </w:rPr>
        <w:t>لو رکبت جاریةٌ اُخری فنخستها</w:t>
      </w:r>
      <w:bookmarkEnd w:id="67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لو رکبت جاریةٌ اُخری فنخستها </w:t>
      </w:r>
      <w:r>
        <w:rPr>
          <w:rStyle w:val="FootnoteAnchor"/>
          <w:rtl w:val="true"/>
        </w:rPr>
        <w:footnoteReference w:id="2015"/>
      </w:r>
      <w:r>
        <w:rPr>
          <w:rFonts w:ascii="Amiri" w:hAnsi="Amiri" w:eastAsia="Amiri" w:cs="Amiri"/>
          <w:color w:val="111111"/>
          <w:sz w:val="28"/>
          <w:sz w:val="28"/>
          <w:szCs w:val="28"/>
          <w:rtl w:val="true"/>
          <w:lang w:bidi="ar-SA"/>
        </w:rPr>
        <w:t xml:space="preserve">ثالثةٌ فقمصت </w:t>
      </w:r>
      <w:r>
        <w:rPr>
          <w:rStyle w:val="FootnoteAnchor"/>
          <w:rtl w:val="true"/>
        </w:rPr>
        <w:footnoteReference w:id="2016"/>
      </w:r>
      <w:r>
        <w:rPr>
          <w:rFonts w:ascii="IRNazanin" w:hAnsi="IRNazanin" w:eastAsia="IRNazanin"/>
          <w:color w:val="111111"/>
          <w:sz w:val="28"/>
          <w:sz w:val="28"/>
          <w:szCs w:val="28"/>
          <w:rtl w:val="true"/>
          <w:lang w:bidi="fa-IR"/>
        </w:rPr>
        <w:t>المرکوبة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 نفرت ورفعت یدیها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وطرحتها </w:t>
      </w:r>
      <w:r>
        <w:rPr>
          <w:rFonts w:eastAsia="IRNazanin" w:cs="IRNazanin"/>
          <w:color w:val="111111"/>
          <w:sz w:val="28"/>
          <w:szCs w:val="28"/>
          <w:rtl w:val="true"/>
          <w:lang w:bidi="fa-IR"/>
        </w:rPr>
        <w:t xml:space="preserve">] </w:t>
      </w:r>
      <w:r>
        <w:rPr>
          <w:rStyle w:val="FootnoteAnchor"/>
          <w:rtl w:val="true"/>
        </w:rPr>
        <w:footnoteReference w:id="20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فصرعت الراکبة فماتت فالمرویّ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أمیر المؤمنین علیه السلام بطریق ضعیف </w:t>
      </w:r>
      <w:r>
        <w:rPr>
          <w:rStyle w:val="FootnoteAnchor"/>
          <w:rtl w:val="true"/>
        </w:rPr>
        <w:footnoteReference w:id="20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دیتها علی الناخسة والقامصة نصفین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وعمل بمضمونها الشیخ </w:t>
      </w:r>
      <w:r>
        <w:rPr>
          <w:rStyle w:val="FootnoteAnchor"/>
          <w:rtl w:val="true"/>
        </w:rPr>
        <w:footnoteReference w:id="2019"/>
      </w:r>
      <w:r>
        <w:rPr>
          <w:rFonts w:ascii="Amiri" w:hAnsi="Amiri" w:eastAsia="Amiri" w:cs="Amiri"/>
          <w:color w:val="111111"/>
          <w:sz w:val="28"/>
          <w:sz w:val="28"/>
          <w:szCs w:val="28"/>
          <w:rtl w:val="true"/>
          <w:lang w:bidi="ar-SA"/>
        </w:rPr>
        <w:t xml:space="preserve">وجماعة </w:t>
      </w:r>
      <w:r>
        <w:rPr>
          <w:rStyle w:val="FootnoteAnchor"/>
          <w:rtl w:val="true"/>
        </w:rPr>
        <w:footnoteReference w:id="2020"/>
      </w:r>
      <w:r>
        <w:rPr>
          <w:rFonts w:ascii="IRNazanin" w:hAnsi="IRNazanin" w:eastAsia="IRNazanin"/>
          <w:color w:val="111111"/>
          <w:sz w:val="28"/>
          <w:sz w:val="28"/>
          <w:szCs w:val="28"/>
          <w:rtl w:val="true"/>
          <w:lang w:bidi="fa-IR"/>
        </w:rPr>
        <w:t>وضعفُ سندها یمنعه</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وقائله المفید </w:t>
      </w:r>
      <w:r>
        <w:rPr>
          <w:rStyle w:val="FootnoteAnchor"/>
          <w:rtl w:val="true"/>
        </w:rPr>
        <w:footnoteReference w:id="2021"/>
      </w:r>
      <w:r>
        <w:rPr>
          <w:rFonts w:ascii="IRNazanin" w:hAnsi="IRNazanin" w:eastAsia="IRNazanin"/>
          <w:color w:val="111111"/>
          <w:sz w:val="28"/>
          <w:sz w:val="28"/>
          <w:szCs w:val="28"/>
          <w:rtl w:val="true"/>
          <w:lang w:bidi="fa-IR"/>
        </w:rPr>
        <w:t xml:space="preserve">ونسبه إلی الروایة </w:t>
      </w:r>
      <w:r>
        <w:rPr>
          <w:rStyle w:val="FootnoteAnchor"/>
          <w:rtl w:val="true"/>
        </w:rPr>
        <w:footnoteReference w:id="2022"/>
      </w:r>
      <w:r>
        <w:rPr>
          <w:rFonts w:ascii="Amiri" w:hAnsi="Amiri" w:eastAsia="Amiri" w:cs="Amiri"/>
          <w:color w:val="111111"/>
          <w:sz w:val="28"/>
          <w:sz w:val="28"/>
          <w:szCs w:val="28"/>
          <w:rtl w:val="true"/>
          <w:lang w:bidi="ar-SA"/>
        </w:rPr>
        <w:t xml:space="preserve">وتبعه جماعة منهم المحقّق </w:t>
      </w:r>
      <w:r>
        <w:rPr>
          <w:rStyle w:val="FootnoteAnchor"/>
          <w:rtl w:val="true"/>
        </w:rPr>
        <w:footnoteReference w:id="2023"/>
      </w:r>
      <w:r>
        <w:rPr>
          <w:rFonts w:ascii="Amiri" w:hAnsi="Amiri" w:eastAsia="Amiri" w:cs="Amiri"/>
          <w:color w:val="111111"/>
          <w:sz w:val="28"/>
          <w:sz w:val="28"/>
          <w:szCs w:val="28"/>
          <w:rtl w:val="true"/>
          <w:lang w:bidi="ar-SA"/>
        </w:rPr>
        <w:t xml:space="preserve">والعلّامة </w:t>
      </w:r>
      <w:r>
        <w:rPr>
          <w:rStyle w:val="FootnoteAnchor"/>
          <w:rtl w:val="true"/>
        </w:rPr>
        <w:footnoteReference w:id="2024"/>
      </w:r>
      <w:r>
        <w:rPr>
          <w:rFonts w:ascii="IRNazanin" w:hAnsi="IRNazanin" w:eastAsia="IRNazanin"/>
          <w:color w:val="111111"/>
          <w:sz w:val="28"/>
          <w:sz w:val="28"/>
          <w:szCs w:val="28"/>
          <w:rtl w:val="true"/>
          <w:lang w:bidi="fa-IR"/>
        </w:rPr>
        <w:t>فی أحد قولیهما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الناخسة والقامصة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الثلثان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ویسقط ثلث الدیة؛ لرکوبها عبثاً، وکون القتل مستنداً إلی فعل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وخرَّج ابن إدریس ثالثاً </w:t>
      </w:r>
      <w:r>
        <w:rPr>
          <w:rStyle w:val="FootnoteAnchor"/>
          <w:rtl w:val="true"/>
        </w:rPr>
        <w:footnoteReference w:id="2025"/>
      </w:r>
      <w:r>
        <w:rPr>
          <w:rFonts w:ascii="IRNazanin" w:hAnsi="IRNazanin" w:eastAsia="IRNazanin"/>
          <w:color w:val="111111"/>
          <w:sz w:val="28"/>
          <w:sz w:val="28"/>
          <w:szCs w:val="28"/>
          <w:rtl w:val="true"/>
          <w:lang w:bidi="fa-IR"/>
        </w:rPr>
        <w:t>وهو وجوب الدیة بأجمعها علی الناخسة إن</w:t>
      </w:r>
      <w:bookmarkStart w:id="678" w:name="pg19815_253466"/>
    </w:p>
    <w:p>
      <w:pPr>
        <w:pStyle w:val="BookText"/>
        <w:rPr/>
      </w:pPr>
      <w:bookmarkEnd w:id="678"/>
      <w:r>
        <w:rPr>
          <w:rFonts w:ascii="IRNazanin" w:hAnsi="IRNazanin" w:eastAsia="IRNazanin"/>
          <w:color w:val="111111"/>
          <w:sz w:val="28"/>
          <w:sz w:val="28"/>
          <w:szCs w:val="28"/>
          <w:rtl w:val="true"/>
          <w:lang w:bidi="fa-IR"/>
        </w:rPr>
        <w:t>کانت ملجئة للمرکوبة إلی القموص، وإلّا فعلی القامصة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فعل المکرَه مستند إلی مکرِهه، فیکون توسّط المکرَه کالآلة، فیتعلّق </w:t>
      </w:r>
      <w:r>
        <w:rPr>
          <w:rStyle w:val="FootnoteAnchor"/>
          <w:rtl w:val="true"/>
        </w:rPr>
        <w:footnoteReference w:id="2026"/>
      </w:r>
      <w:r>
        <w:rPr>
          <w:rFonts w:ascii="IRNazanin" w:hAnsi="IRNazanin" w:eastAsia="IRNazanin"/>
          <w:color w:val="111111"/>
          <w:sz w:val="28"/>
          <w:sz w:val="28"/>
          <w:szCs w:val="28"/>
          <w:rtl w:val="true"/>
          <w:lang w:bidi="fa-IR"/>
        </w:rPr>
        <w:t>الحکم بالمکرِه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فلاستناد القتل إلی القامصة وحدها حیث فعلت ذلک مختارة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هو الأقوی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یشکل بما أورده المصنّف فی الشرح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الإکراه علی القتل لا یُسقِط الضمان </w:t>
      </w:r>
      <w:r>
        <w:rPr>
          <w:rStyle w:val="FootnoteAnchor"/>
          <w:rtl w:val="true"/>
        </w:rPr>
        <w:footnoteReference w:id="2027"/>
      </w:r>
      <w:r>
        <w:rPr>
          <w:rFonts w:ascii="IRNazanin" w:hAnsi="IRNazanin" w:eastAsia="IRNazanin"/>
          <w:color w:val="111111"/>
          <w:sz w:val="28"/>
          <w:sz w:val="28"/>
          <w:szCs w:val="28"/>
          <w:rtl w:val="true"/>
          <w:lang w:bidi="fa-IR"/>
        </w:rPr>
        <w:t>وأنّ القمص فی الحالة الثانیة ربما کان یقتل غالباً فیجب القصاص؛ لأنّ الإکراه الذی لا یُسقِط الضمان ما کان معه قصد المکرَه إلی الفعل، وبالإلجاء یسقط ذلک، فیکون کالآلة، ومن ثمّ وجب القصاص علی الدافع دون الواقع حیث یبلغ الإلجاء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والقمص لا یستلزم الوقوع بحسب ذاته فضلاً عن کونه ممّا یقتل غالباً، فیکون من باب الأسباب، لا الجنایات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لو فرض استلزامه له قطعاً وقصدته </w:t>
      </w:r>
      <w:r>
        <w:rPr>
          <w:rStyle w:val="FootnoteAnchor"/>
          <w:rtl w:val="true"/>
        </w:rPr>
        <w:footnoteReference w:id="2028"/>
      </w:r>
      <w:r>
        <w:rPr>
          <w:rFonts w:ascii="Amiri" w:hAnsi="Amiri" w:eastAsia="Amiri" w:cs="Amiri"/>
          <w:color w:val="111111"/>
          <w:sz w:val="28"/>
          <w:sz w:val="28"/>
          <w:szCs w:val="28"/>
          <w:rtl w:val="true"/>
          <w:lang w:bidi="ar-SA"/>
        </w:rPr>
        <w:t>توجّه القصاص، إلّاأ نّه خلاف الظاهر</w:t>
      </w:r>
      <w:r>
        <w:rPr>
          <w:rFonts w:eastAsia="Amiri" w:cs="Amiri" w:ascii="Amiri" w:hAnsi="Amiri"/>
          <w:color w:val="111111"/>
          <w:sz w:val="28"/>
          <w:szCs w:val="28"/>
          <w:rtl w:val="true"/>
          <w:lang w:bidi="ar-SA"/>
        </w:rPr>
        <w:t>.</w:t>
      </w:r>
    </w:p>
    <w:p>
      <w:pPr>
        <w:pStyle w:val="Heading5"/>
        <w:numPr>
          <w:ilvl w:val="4"/>
          <w:numId w:val="1"/>
        </w:numPr>
        <w:rPr/>
      </w:pPr>
      <w:bookmarkStart w:id="679" w:name="__RefHeading___Toc2228187_2314609296"/>
      <w:bookmarkStart w:id="680" w:name="_Toc256"/>
      <w:bookmarkEnd w:id="679"/>
      <w:r>
        <w:rPr>
          <w:rtl w:val="true"/>
        </w:rPr>
        <w:t>«</w:t>
      </w:r>
      <w:r>
        <w:rPr>
          <w:rtl w:val="true"/>
        </w:rPr>
        <w:t>الرابعة</w:t>
      </w:r>
      <w:r>
        <w:rPr>
          <w:rtl w:val="true"/>
        </w:rPr>
        <w:t>» : «</w:t>
      </w:r>
      <w:r>
        <w:rPr>
          <w:rtl w:val="true"/>
        </w:rPr>
        <w:t>روی عبد اللّٰه بن طلحة عن أبی عبد اللّٰه علیه السلام فی لُصّ جمع ثیاباً، ووطئ</w:t>
      </w:r>
      <w:bookmarkEnd w:id="680"/>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امرأة، وقتل ولدها، فقتلته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المرأة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نّه هدر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دمه باطل لا عوض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وفی‌ماله أربعة آلاف درهم </w:t>
      </w:r>
      <w:r>
        <w:rPr>
          <w:rStyle w:val="FootnoteAnchor"/>
          <w:rtl w:val="true"/>
        </w:rPr>
        <w:footnoteReference w:id="20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عوضاً عن البُضع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ویضمن موالیه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وورثته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دیة الغلام</w:t>
      </w:r>
      <w:r>
        <w:rPr>
          <w:rFonts w:eastAsia="IRNazanin" w:cs="IRNazanin"/>
          <w:color w:val="111111"/>
          <w:sz w:val="28"/>
          <w:szCs w:val="28"/>
          <w:rtl w:val="true"/>
          <w:lang w:bidi="fa-IR"/>
        </w:rPr>
        <w:t xml:space="preserve">» </w:t>
      </w:r>
      <w:r>
        <w:rPr>
          <w:rStyle w:val="FootnoteAnchor"/>
          <w:rtl w:val="true"/>
        </w:rPr>
        <w:footnoteReference w:id="2030"/>
      </w:r>
      <w:r>
        <w:rPr>
          <w:rFonts w:ascii="IRNazanin" w:hAnsi="IRNazanin" w:eastAsia="IRNazanin"/>
          <w:color w:val="111111"/>
          <w:sz w:val="28"/>
          <w:sz w:val="28"/>
          <w:szCs w:val="28"/>
          <w:rtl w:val="true"/>
          <w:lang w:bidi="fa-IR"/>
        </w:rPr>
        <w:t>الذی قتله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نّه محارِب یُقتل إذا لم یندفع إلّابه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ویحمل المقدّر من الدراهم علی أ نّه مهر أمثالها، بناءً علی أ نّه لا یتقدّر بالسنّة؛ لأنّه جنایة یغلب فیها جانب المالیّة، کما یضمن الغاصب قیمة العبد المغصوب وإن تجاوزت دیةَ الحرّ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ووجه ضمان دیة الغلام مع أ نّه مقتول عمداً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فوات محلّ القصاص، وقد تقدّم </w:t>
      </w:r>
      <w:r>
        <w:rPr>
          <w:rStyle w:val="FootnoteAnchor"/>
          <w:rtl w:val="true"/>
        </w:rPr>
        <w:footnoteReference w:id="2031"/>
      </w:r>
      <w:r>
        <w:rPr>
          <w:rFonts w:ascii="IRNazanin" w:hAnsi="IRNazanin" w:eastAsia="IRNazanin"/>
          <w:color w:val="111111"/>
          <w:sz w:val="28"/>
          <w:sz w:val="28"/>
          <w:szCs w:val="28"/>
          <w:rtl w:val="true"/>
          <w:lang w:bidi="fa-IR"/>
        </w:rPr>
        <w:t>وبهذا التنزیل لا تنافی الروایة الاُصولَ، لکن لا یتعیّن ما قدّر فیها من عوض البُضع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فُرض قتل المرأة له قصاصاً عن ولدها، سقط غُرم الأولیاء أو أسقطنا الحقّ بفوات محلّ القصاص، فلا 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قتلته دفاعاً، أو قتلته لا لذلک قیدت 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بالطریق السابق </w:t>
      </w:r>
      <w:r>
        <w:rPr>
          <w:rStyle w:val="FootnoteAnchor"/>
          <w:rtl w:val="true"/>
        </w:rPr>
        <w:footnoteReference w:id="20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صدیق عروس قتله الزوج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وجده عندها فی الحجلة لیلة العرس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فقتلت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المرأة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الزوج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 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تُقتل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بالزوج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وتضمن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أ نّها سبب تلفه، بغرورها إیّاه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والأقرب أ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الصدیق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هَدر إن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بالحال؛ لأنّ للزوج قتلَ من یجد فی داره للزنا، فسقط القَوَد عن الزوج</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ویشکل بأنّ دخوله أعمّ من قصد الزنا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سُلّم منعنا الحکم بجواز قتل</w:t>
      </w:r>
    </w:p>
    <w:p>
      <w:pPr>
        <w:pStyle w:val="BookText"/>
        <w:rPr/>
      </w:pPr>
      <w:r>
        <w:rPr>
          <w:rFonts w:ascii="IRNazanin" w:hAnsi="IRNazanin" w:eastAsia="IRNazanin"/>
          <w:color w:val="111111"/>
          <w:sz w:val="28"/>
          <w:sz w:val="28"/>
          <w:szCs w:val="28"/>
          <w:rtl w:val="true"/>
          <w:lang w:bidi="fa-IR"/>
        </w:rPr>
        <w:t>مریده مطلقاً، والحکم المذکور فی 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 ضعف سندها </w:t>
      </w:r>
      <w:r>
        <w:rPr>
          <w:rStyle w:val="FootnoteAnchor"/>
          <w:rtl w:val="true"/>
        </w:rPr>
        <w:footnoteReference w:id="20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واقعة مخالفاً للاُصول، فلا یتعدّی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فلعلّه علیه السلام علم بموجب 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وروی محمّد بن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قضی أمیر المؤمنین علیه الصلاة والسلام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أربعة سکاری فجُرح اثنان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وقُتِل اثنان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یُعلم القاتل والجارح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یضمنهما الجارحان بعد وضع جراحاتهما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الدیة </w:t>
      </w:r>
      <w:r>
        <w:rPr>
          <w:rStyle w:val="FootnoteAnchor"/>
          <w:rtl w:val="true"/>
        </w:rPr>
        <w:footnoteReference w:id="20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 اشتراک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یروی عن الباقر علیه السلام بین الثقة وغیره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استلزام الاجتماع المذکور والاقتتال کونَ القاتل هو المجروح وبالعکس، فیختصّ حکمها بواقعتها؛ لجواز علمه علیه السلام بما أوجبه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یمکن الحکم بکون ذلک لوثاً یثبُت الفعل بالقَسامة من عمد أو خطأ، وقتل وجرح</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ما استشکله المصنّف فی الشرح علی 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 نّه إذا حُکِم بأنّ المجروحَین قاتلان فلِمَ لا یُستعدی منهما؟ وأنّ إطلاق الحکم بأخذ دیة الجُرح وإهدار الدیة لو ماتا لا یتمّ أیضاً، وکذا الحکم بوجوب الدیة فی جراحتهما؛ لأنّ موجب العمد القصاص </w:t>
      </w:r>
      <w:r>
        <w:rPr>
          <w:rStyle w:val="FootnoteAnchor"/>
          <w:rtl w:val="true"/>
        </w:rPr>
        <w:footnoteReference w:id="2035"/>
      </w:r>
      <w:r>
        <w:rPr>
          <w:rFonts w:ascii="IRNazanin" w:hAnsi="IRNazanin" w:eastAsia="IRNazanin"/>
          <w:color w:val="111111"/>
          <w:sz w:val="28"/>
          <w:sz w:val="28"/>
          <w:szCs w:val="28"/>
          <w:rtl w:val="true"/>
          <w:lang w:bidi="fa-IR"/>
        </w:rPr>
        <w:t>فیمکن دفعه بکون القتل وقع منهما حالةَ السکر</w:t>
      </w:r>
    </w:p>
    <w:p>
      <w:pPr>
        <w:pStyle w:val="BookText"/>
        <w:rPr/>
      </w:pPr>
      <w:r>
        <w:rPr>
          <w:rFonts w:ascii="IRNazanin" w:hAnsi="IRNazanin" w:eastAsia="IRNazanin"/>
          <w:color w:val="111111"/>
          <w:sz w:val="28"/>
          <w:sz w:val="28"/>
          <w:szCs w:val="28"/>
          <w:rtl w:val="true"/>
          <w:lang w:bidi="fa-IR"/>
        </w:rPr>
        <w:t xml:space="preserve">فلا یوجب إلّاالدیة علی أصحّ القولین </w:t>
      </w:r>
      <w:r>
        <w:rPr>
          <w:rStyle w:val="FootnoteAnchor"/>
          <w:rtl w:val="true"/>
        </w:rPr>
        <w:footnoteReference w:id="2036"/>
      </w:r>
      <w:r>
        <w:rPr>
          <w:rFonts w:ascii="IRNazanin" w:hAnsi="IRNazanin" w:eastAsia="IRNazanin"/>
          <w:color w:val="111111"/>
          <w:sz w:val="28"/>
          <w:sz w:val="28"/>
          <w:szCs w:val="28"/>
          <w:rtl w:val="true"/>
          <w:lang w:bidi="fa-IR"/>
        </w:rPr>
        <w:t xml:space="preserve">وفرض الجُرح غیر قاتل کما هو ظاهر الروایة، ووجوبِ </w:t>
      </w:r>
      <w:r>
        <w:rPr>
          <w:rStyle w:val="FootnoteAnchor"/>
          <w:rtl w:val="true"/>
        </w:rPr>
        <w:footnoteReference w:id="2037"/>
      </w:r>
      <w:r>
        <w:rPr>
          <w:rFonts w:ascii="IRNazanin" w:hAnsi="IRNazanin" w:eastAsia="IRNazanin"/>
          <w:color w:val="111111"/>
          <w:sz w:val="28"/>
          <w:sz w:val="28"/>
          <w:szCs w:val="28"/>
          <w:rtl w:val="true"/>
          <w:lang w:bidi="fa-IR"/>
        </w:rPr>
        <w:t>دیة الجرح لوقوعه أیضاً من السکران کالقتل، أو لفوات محلّ القصاص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والحقّ الاقتصار علی الحکم باللوث وإثبات ما یوجبه فیهما </w:t>
      </w:r>
      <w:r>
        <w:rPr>
          <w:rStyle w:val="FootnoteAnchor"/>
          <w:rtl w:val="true"/>
        </w:rPr>
        <w:footnoteReference w:id="20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وعن أبی جعفر الباقر عن علیّ علیهما السلام فی ستّة غلمان بالفرات فغرق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وبقی خمسة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فشهد اثنان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نّهم غرّقوه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شهد الثلاثة علی الاثنین أ نّهما </w:t>
      </w:r>
      <w:r>
        <w:rPr>
          <w:rStyle w:val="FootnoteAnchor"/>
          <w:rtl w:val="true"/>
        </w:rPr>
        <w:footnoteReference w:id="2039"/>
      </w:r>
      <w:r>
        <w:rPr>
          <w:rFonts w:ascii="Amiri" w:hAnsi="Amiri" w:eastAsia="Amiri" w:cs="Amiri"/>
          <w:color w:val="111111"/>
          <w:sz w:val="28"/>
          <w:sz w:val="28"/>
          <w:szCs w:val="28"/>
          <w:rtl w:val="true"/>
          <w:lang w:bidi="ar-SA"/>
        </w:rPr>
        <w:t xml:space="preserve">غرّقوه </w:t>
      </w:r>
      <w:r>
        <w:rPr>
          <w:rStyle w:val="FootnoteAnchor"/>
          <w:rtl w:val="true"/>
        </w:rPr>
        <w:footnoteReference w:id="2040"/>
      </w:r>
      <w:r>
        <w:rPr>
          <w:rFonts w:ascii="IRNazanin" w:hAnsi="IRNazanin" w:eastAsia="IRNazanin"/>
          <w:color w:val="111111"/>
          <w:sz w:val="28"/>
          <w:sz w:val="28"/>
          <w:szCs w:val="28"/>
          <w:rtl w:val="true"/>
          <w:lang w:bidi="fa-IR"/>
        </w:rPr>
        <w:t xml:space="preserve">فحکم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الدیة أخماس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کلّ واحد منهم خمس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بنسبة الشهادة</w:t>
      </w:r>
      <w:r>
        <w:rPr>
          <w:rFonts w:eastAsia="IRNazanin" w:cs="IRNazanin"/>
          <w:color w:val="111111"/>
          <w:sz w:val="28"/>
          <w:szCs w:val="28"/>
          <w:rtl w:val="true"/>
          <w:lang w:bidi="fa-IR"/>
        </w:rPr>
        <w:t xml:space="preserve">» </w:t>
      </w:r>
      <w:r>
        <w:rPr>
          <w:rStyle w:val="FootnoteAnchor"/>
          <w:rtl w:val="true"/>
        </w:rPr>
        <w:footnoteReference w:id="2041"/>
      </w:r>
      <w:r>
        <w:rPr>
          <w:rFonts w:eastAsia="Times New Roman" w:cs="Times New Roman" w:ascii="Times New Roman" w:hAnsi="Times New Roman"/>
          <w:color w:val="111111"/>
          <w:sz w:val="28"/>
          <w:szCs w:val="28"/>
          <w:rtl w:val="true"/>
          <w:lang w:val="en-US" w:bidi="en-US"/>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مع ضعف سندها </w:t>
      </w:r>
      <w:r>
        <w:rPr>
          <w:rStyle w:val="FootnoteAnchor"/>
          <w:rtl w:val="true"/>
        </w:rPr>
        <w:footnoteReference w:id="20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قضیّة فی واقعة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مخالفة لاُصول</w:t>
      </w:r>
      <w:bookmarkStart w:id="681" w:name="pg19815_253470"/>
    </w:p>
    <w:p>
      <w:pPr>
        <w:pStyle w:val="BookText"/>
        <w:rPr/>
      </w:pPr>
      <w:bookmarkEnd w:id="681"/>
      <w:r>
        <w:rPr>
          <w:rFonts w:ascii="IRNazanin" w:hAnsi="IRNazanin" w:eastAsia="IRNazanin"/>
          <w:color w:val="111111"/>
          <w:sz w:val="28"/>
          <w:sz w:val="28"/>
          <w:szCs w:val="28"/>
          <w:rtl w:val="true"/>
          <w:lang w:bidi="fa-IR"/>
        </w:rPr>
        <w:t>المذهب فلا یتعدّی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والموافق لها من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شهادة السابقین إن کانت مع استدعاء الولیّ وعدالتهم قُبلت ثمّ لا تقبل شهادة الآخرین؛ للتهمة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کانت الدعوی علی الجمیع أو حصلت التهمة علیهم لم تُقبل شهادة أحدهم مطلقاً </w:t>
      </w:r>
      <w:r>
        <w:rPr>
          <w:rStyle w:val="FootnoteAnchor"/>
          <w:rtl w:val="true"/>
        </w:rPr>
        <w:footnoteReference w:id="2043"/>
      </w:r>
      <w:r>
        <w:rPr>
          <w:rFonts w:ascii="IRNazanin" w:hAnsi="IRNazanin" w:eastAsia="IRNazanin"/>
          <w:color w:val="111111"/>
          <w:sz w:val="28"/>
          <w:sz w:val="28"/>
          <w:szCs w:val="28"/>
          <w:rtl w:val="true"/>
          <w:lang w:bidi="fa-IR"/>
        </w:rPr>
        <w:t>ویکون ذلک لوثاً یمکن إثباته بالقَسامة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واعلم أنّ عادة الأصحاب جرت بحکایة هذه الأحکام هنا بلفظ الروایة، نظراً إلی مخالفتها للأصل، واحتیاجها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بعضها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ردّها إلیه إلی التأویل أو التقیید، أو </w:t>
      </w:r>
      <w:r>
        <w:rPr>
          <w:rStyle w:val="FootnoteAnchor"/>
          <w:rtl w:val="true"/>
        </w:rPr>
        <w:footnoteReference w:id="2044"/>
      </w:r>
      <w:r>
        <w:rPr>
          <w:rFonts w:ascii="IRNazanin" w:hAnsi="IRNazanin" w:eastAsia="IRNazanin"/>
          <w:color w:val="111111"/>
          <w:sz w:val="28"/>
          <w:sz w:val="28"/>
          <w:szCs w:val="28"/>
          <w:rtl w:val="true"/>
          <w:lang w:bidi="fa-IR"/>
        </w:rPr>
        <w:t xml:space="preserve">للتنبیه علی مأخذ الحکم المخالف للأصل </w:t>
      </w:r>
      <w:r>
        <w:rPr>
          <w:rStyle w:val="FootnoteAnchor"/>
          <w:rtl w:val="true"/>
        </w:rPr>
        <w:footnoteReference w:id="2045"/>
      </w:r>
      <w:r>
        <w:rPr>
          <w:rFonts w:ascii="IRNazanin" w:hAnsi="IRNazanin" w:eastAsia="IRNazanin"/>
          <w:color w:val="111111"/>
          <w:sz w:val="28"/>
          <w:sz w:val="28"/>
          <w:szCs w:val="28"/>
          <w:rtl w:val="true"/>
          <w:lang w:bidi="fa-IR"/>
        </w:rPr>
        <w:t xml:space="preserve">وقد یزید بعضهم التنبیه علی ضعف المستند </w:t>
      </w:r>
      <w:r>
        <w:rPr>
          <w:rStyle w:val="FootnoteAnchor"/>
          <w:rtl w:val="true"/>
        </w:rPr>
        <w:footnoteReference w:id="2046"/>
      </w:r>
      <w:r>
        <w:rPr>
          <w:rFonts w:ascii="IRNazanin" w:hAnsi="IRNazanin" w:eastAsia="IRNazanin"/>
          <w:color w:val="111111"/>
          <w:sz w:val="28"/>
          <w:sz w:val="28"/>
          <w:szCs w:val="28"/>
          <w:rtl w:val="true"/>
          <w:lang w:bidi="fa-IR"/>
        </w:rPr>
        <w:t>تحقیقاً لعذر إطراحها</w:t>
      </w:r>
      <w:r>
        <w:rPr>
          <w:rFonts w:eastAsia="IRNazanin" w:cs="IRNazanin"/>
          <w:color w:val="111111"/>
          <w:sz w:val="28"/>
          <w:szCs w:val="28"/>
          <w:rtl w:val="true"/>
          <w:lang w:bidi="fa-IR"/>
        </w:rPr>
        <w:t>.</w:t>
      </w:r>
    </w:p>
    <w:p>
      <w:pPr>
        <w:pStyle w:val="Heading5"/>
        <w:numPr>
          <w:ilvl w:val="4"/>
          <w:numId w:val="1"/>
        </w:numPr>
        <w:rPr/>
      </w:pPr>
      <w:bookmarkStart w:id="682" w:name="__RefHeading___Toc2228189_2314609296"/>
      <w:bookmarkStart w:id="683" w:name="_Toc257"/>
      <w:bookmarkEnd w:id="682"/>
      <w:r>
        <w:rPr>
          <w:rtl w:val="true"/>
        </w:rPr>
        <w:t>«</w:t>
      </w:r>
      <w:r>
        <w:rPr>
          <w:rtl w:val="true"/>
        </w:rPr>
        <w:t>الخامسة</w:t>
      </w:r>
      <w:r>
        <w:rPr>
          <w:rtl w:val="true"/>
        </w:rPr>
        <w:t>» : «</w:t>
      </w:r>
      <w:r>
        <w:rPr>
          <w:rtl w:val="true"/>
        </w:rPr>
        <w:t>یَضمَن معلّم السباحة</w:t>
      </w:r>
      <w:r>
        <w:rPr>
          <w:rtl w:val="true"/>
        </w:rPr>
        <w:t xml:space="preserve">» </w:t>
      </w:r>
      <w:r>
        <w:rPr>
          <w:rtl w:val="true"/>
        </w:rPr>
        <w:t xml:space="preserve">المتعلّم </w:t>
      </w:r>
      <w:r>
        <w:rPr>
          <w:rtl w:val="true"/>
        </w:rPr>
        <w:t>«</w:t>
      </w:r>
      <w:r>
        <w:rPr>
          <w:rtl w:val="true"/>
        </w:rPr>
        <w:t>الصغیر</w:t>
      </w:r>
      <w:r>
        <w:rPr>
          <w:rtl w:val="true"/>
        </w:rPr>
        <w:t>»</w:t>
      </w:r>
      <w:bookmarkEnd w:id="683"/>
    </w:p>
    <w:p>
      <w:pPr>
        <w:pStyle w:val="BookText"/>
        <w:rPr/>
      </w:pPr>
      <w:r>
        <w:rPr>
          <w:rFonts w:ascii="IRNazanin" w:hAnsi="IRNazanin" w:eastAsia="IRNazanin"/>
          <w:color w:val="111111"/>
          <w:sz w:val="28"/>
          <w:sz w:val="28"/>
          <w:szCs w:val="28"/>
          <w:rtl w:val="true"/>
          <w:lang w:bidi="fa-IR"/>
        </w:rPr>
        <w:t xml:space="preserve">غیر البالغ لو جنی علیه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شبیه عمد، سواء فرّط أم لا علی ما یقتضیه إطلاق العبارة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ویؤیّده ما رُوی من ضمان الصانع وإن اجتهد </w:t>
      </w:r>
      <w:r>
        <w:rPr>
          <w:rStyle w:val="FootnoteAnchor"/>
          <w:rtl w:val="true"/>
        </w:rPr>
        <w:footnoteReference w:id="2047"/>
      </w:r>
      <w:r>
        <w:rPr>
          <w:rFonts w:eastAsia="Times New Roman" w:cs="Times New Roman" w:ascii="Times New Roman" w:hAnsi="Times New Roman"/>
          <w:color w:val="111111"/>
          <w:sz w:val="28"/>
          <w:szCs w:val="28"/>
          <w:rtl w:val="true"/>
          <w:lang w:val="en-US" w:bidi="en-US"/>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القواعد علّل الضمان بالتفریط </w:t>
      </w:r>
      <w:r>
        <w:rPr>
          <w:rStyle w:val="FootnoteAnchor"/>
          <w:rtl w:val="true"/>
        </w:rPr>
        <w:footnoteReference w:id="2048"/>
      </w:r>
      <w:r>
        <w:rPr>
          <w:rFonts w:ascii="IRNazanin" w:hAnsi="IRNazanin" w:eastAsia="IRNazanin"/>
          <w:color w:val="111111"/>
          <w:sz w:val="28"/>
          <w:sz w:val="28"/>
          <w:szCs w:val="28"/>
          <w:rtl w:val="true"/>
          <w:lang w:bidi="fa-IR"/>
        </w:rPr>
        <w:t>ومقتضاه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نّه لو لم یفرّط فلا ضمان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وتوقّف فی التحریر فی الضمان علی تقدیر عدمه </w:t>
      </w:r>
      <w:r>
        <w:rPr>
          <w:rStyle w:val="FootnoteAnchor"/>
          <w:rtl w:val="true"/>
        </w:rPr>
        <w:footnoteReference w:id="20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إذا کان قد دفعه إلیه ولیّه ومن بحکمه، وإلّا ضمن الصغیر مطلقاً قطعاً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حکمه المجنون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بخلاف البالغ الرشید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لا یضمنه وإن فرَّط؛ لأنّه فی ید نفسه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بنی مسجداً فی الطریق ضمن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للعدوان بوضعه فیما لا یصحّ الانتفاع فیه بما ینافی الاستطراق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إلّاأن 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زائداً عن القدر المحتاج إلیه للاستطراق کزاویة فی الطریق، أو کونه زائداً عن المقدّر شرعاً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واعلم أنّ الطریق مؤنّث سماعی، فکان ینبغی إلحاق التاء فی خبره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ویأذن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فی عمارته فلا ضمان 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یدلّ علی عدم جواز إحیاء الزائد من الطریق عن المقدّر بدون إذن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الدروس أطلق جواز إحیاء الزائد وغرسه والبناء فیه </w:t>
      </w:r>
      <w:r>
        <w:rPr>
          <w:rStyle w:val="FootnoteAnchor"/>
          <w:rtl w:val="true"/>
        </w:rPr>
        <w:footnoteReference w:id="2050"/>
      </w:r>
      <w:r>
        <w:rPr>
          <w:rFonts w:ascii="IRNazanin" w:hAnsi="IRNazanin" w:eastAsia="IRNazanin"/>
          <w:color w:val="111111"/>
          <w:sz w:val="28"/>
          <w:sz w:val="28"/>
          <w:szCs w:val="28"/>
          <w:rtl w:val="true"/>
          <w:lang w:bidi="fa-IR"/>
        </w:rPr>
        <w:t xml:space="preserve">وکذا أطلق فی التحریر جواز وضع المسجد فی القدر الزائد </w:t>
      </w:r>
      <w:r>
        <w:rPr>
          <w:rStyle w:val="FootnoteAnchor"/>
          <w:rtl w:val="true"/>
        </w:rPr>
        <w:footnoteReference w:id="2051"/>
      </w:r>
      <w:r>
        <w:rPr>
          <w:rFonts w:ascii="IRNazanin" w:hAnsi="IRNazanin" w:eastAsia="IRNazanin"/>
          <w:color w:val="111111"/>
          <w:sz w:val="28"/>
          <w:sz w:val="28"/>
          <w:szCs w:val="28"/>
          <w:rtl w:val="true"/>
          <w:lang w:bidi="fa-IR"/>
        </w:rPr>
        <w:t>وهو حسن مع عدم الحاجة إلیه بحسب العادة فی تلک الطریق، وإلّا فالمنع أحسن</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ویضمن واضع الحجر فی ملک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مطلقاً إذا حصل بسببه جنایة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طریق مباح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عبثاً، أو لمصلحة نفسه، أو لیتضرّر به المارّة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لو وضعه لمصلحة عامّة، کوضعه فی الطین لیطأ الناس علیه، أو سقَّف به ساقیة فیها ونحوه فلا ضمان؛ لأنّه محسن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 قطع فی التحریر </w:t>
      </w:r>
      <w:r>
        <w:rPr>
          <w:rStyle w:val="FootnoteAnchor"/>
          <w:rtl w:val="true"/>
        </w:rPr>
        <w:footnoteReference w:id="2052"/>
      </w:r>
      <w:r>
        <w:rPr>
          <w:rFonts w:eastAsia="Times New Roman" w:cs="Times New Roman" w:ascii="Times New Roman" w:hAnsi="Times New Roman"/>
          <w:color w:val="111111"/>
          <w:sz w:val="28"/>
          <w:szCs w:val="28"/>
          <w:rtl w:val="true"/>
          <w:lang w:val="en-US" w:bidi="en-US"/>
        </w:rPr>
        <w:t>.</w:t>
      </w:r>
      <w:bookmarkStart w:id="684" w:name="pg19815_253472"/>
    </w:p>
    <w:p>
      <w:pPr>
        <w:pStyle w:val="Heading5"/>
        <w:numPr>
          <w:ilvl w:val="4"/>
          <w:numId w:val="1"/>
        </w:numPr>
        <w:rPr/>
      </w:pPr>
      <w:bookmarkStart w:id="685" w:name="__RefHeading___Toc2228191_2314609296"/>
      <w:bookmarkStart w:id="686" w:name="_Toc258"/>
      <w:bookmarkEnd w:id="684"/>
      <w:bookmarkEnd w:id="685"/>
      <w:r>
        <w:rPr>
          <w:rtl w:val="true"/>
        </w:rPr>
        <w:t>«</w:t>
      </w:r>
      <w:r>
        <w:rPr>
          <w:rtl w:val="true"/>
        </w:rPr>
        <w:t>السادسة</w:t>
      </w:r>
      <w:r>
        <w:rPr>
          <w:rtl w:val="true"/>
        </w:rPr>
        <w:t>» : «</w:t>
      </w:r>
      <w:r>
        <w:rPr>
          <w:rtl w:val="true"/>
        </w:rPr>
        <w:t>لو وقع حائطه</w:t>
      </w:r>
      <w:r>
        <w:rPr>
          <w:rtl w:val="true"/>
        </w:rPr>
        <w:t>»</w:t>
      </w:r>
      <w:bookmarkEnd w:id="686"/>
    </w:p>
    <w:p>
      <w:pPr>
        <w:pStyle w:val="BookText"/>
        <w:rPr/>
      </w:pPr>
      <w:r>
        <w:rPr>
          <w:rFonts w:ascii="IRNazanin" w:hAnsi="IRNazanin" w:eastAsia="IRNazanin"/>
          <w:color w:val="111111"/>
          <w:sz w:val="28"/>
          <w:sz w:val="28"/>
          <w:szCs w:val="28"/>
          <w:rtl w:val="true"/>
          <w:lang w:bidi="fa-IR"/>
        </w:rPr>
        <w:t xml:space="preserve">المائل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علمه بمیله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الطریق أو ملک الغیر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وتمکّنه من إصلاحه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العلم وقبل الوقوع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بناه مائلاً إلی الطریق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ومثله ما لو بناه علی غیر أساس مثله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یتلف بسببه من نفس ومال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یتّفق ذلک بقیوده أجمع، بأن لم یعلم بفساده حتّی وقع مع کونه مؤسّساً علی الوجه المعتبر فی مثله، أو علم ولکن لم یتمکّن من إصلاحه حتّی وقع، أو کان میله إلی ملکه أو ملکٍ اُذِنَ فیه ولو بعد المیل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ضمان؛ لعدم العدوان، إلّاأن یعلم علی تقدیر علمه بفساده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کمیله إلی ملکه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بوقوع أطراف الخشب والآلات إلی الطریق، فیکون کمیله إلی الطریق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 الحائط لمولّی علیه فإصلاحه وضمان حَدَثه متعلّق بالولیّ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وضع علیه إناء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فسقط فأتلف فلا ضمان إذا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الحائط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له التصرّف فی ملکه کیف شاء، فلا یکون عادیاً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لم یکن مستقرّاً استقرار مثله ضمن؛ للعدوان بتعریضه للوقوع علی المارّة والجارّ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ومثله ما لو وضعه علی سطحه أو شجرته الموضوعة فی ملکه، أو مباح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وقع المیزاب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المنصوب إلی الطریق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تفریط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کان مثبتاً علی عادة أمثاله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فالأقرب عدم الضمان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للإذن فی وضع المیازیب شرعاً کذلک، فلا یتعقّبه الضمان، ولأصالة البراءة</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یضمن وإن جاز وضعه </w:t>
      </w:r>
      <w:r>
        <w:rPr>
          <w:rStyle w:val="FootnoteAnchor"/>
          <w:rtl w:val="true"/>
        </w:rPr>
        <w:footnoteReference w:id="2053"/>
      </w:r>
      <w:r>
        <w:rPr>
          <w:rFonts w:ascii="IRNazanin" w:hAnsi="IRNazanin" w:eastAsia="IRNazanin"/>
          <w:color w:val="111111"/>
          <w:sz w:val="28"/>
          <w:sz w:val="28"/>
          <w:szCs w:val="28"/>
          <w:rtl w:val="true"/>
          <w:lang w:bidi="fa-IR"/>
        </w:rPr>
        <w:t>لأنّه سبب الإتلاف وإن اُبیح السبب</w:t>
      </w:r>
    </w:p>
    <w:p>
      <w:pPr>
        <w:pStyle w:val="BookText"/>
        <w:rPr/>
      </w:pPr>
      <w:r>
        <w:rPr>
          <w:rFonts w:ascii="IRNazanin" w:hAnsi="IRNazanin" w:eastAsia="IRNazanin"/>
          <w:color w:val="111111"/>
          <w:sz w:val="28"/>
          <w:sz w:val="28"/>
          <w:szCs w:val="28"/>
          <w:rtl w:val="true"/>
          <w:lang w:bidi="fa-IR"/>
        </w:rPr>
        <w:t>کالطبیب والبیطار والمؤدِّب، ولصحیحة أبی الصباح الکنانی عن الصادق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أضرّ بشیء من طریق المسلمین فهو له ضامن</w:t>
      </w:r>
      <w:r>
        <w:rPr>
          <w:rFonts w:eastAsia="IRNazanin" w:cs="IRNazanin"/>
          <w:color w:val="111111"/>
          <w:sz w:val="28"/>
          <w:szCs w:val="28"/>
          <w:rtl w:val="true"/>
          <w:lang w:bidi="fa-IR"/>
        </w:rPr>
        <w:t xml:space="preserve">» </w:t>
      </w:r>
      <w:r>
        <w:rPr>
          <w:rStyle w:val="FootnoteAnchor"/>
          <w:rtl w:val="true"/>
        </w:rPr>
        <w:footnoteReference w:id="2054"/>
      </w:r>
      <w:r>
        <w:rPr>
          <w:rFonts w:ascii="IRNazanin" w:hAnsi="IRNazanin" w:eastAsia="IRNazanin"/>
          <w:color w:val="111111"/>
          <w:sz w:val="28"/>
          <w:sz w:val="28"/>
          <w:szCs w:val="28"/>
          <w:rtl w:val="true"/>
          <w:lang w:bidi="fa-IR"/>
        </w:rPr>
        <w:t>ولروایة السکونی عن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رسول اللّٰه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أخرج میزاباً أو کنیفاً أو وتداً، أو أوثق دابّة، أو حفر بئراً فی طریق المسلمین فأصاب شیئاً فعطب فهو له ضامن</w:t>
      </w:r>
      <w:r>
        <w:rPr>
          <w:rFonts w:eastAsia="IRNazanin" w:cs="IRNazanin"/>
          <w:color w:val="111111"/>
          <w:sz w:val="28"/>
          <w:szCs w:val="28"/>
          <w:rtl w:val="true"/>
          <w:lang w:bidi="fa-IR"/>
        </w:rPr>
        <w:t xml:space="preserve">» </w:t>
      </w:r>
      <w:r>
        <w:rPr>
          <w:rStyle w:val="FootnoteAnchor"/>
          <w:rtl w:val="true"/>
        </w:rPr>
        <w:footnoteReference w:id="2055"/>
      </w:r>
      <w:r>
        <w:rPr>
          <w:rFonts w:ascii="IRNazanin" w:hAnsi="IRNazanin" w:eastAsia="IRNazanin"/>
          <w:color w:val="111111"/>
          <w:sz w:val="28"/>
          <w:sz w:val="28"/>
          <w:szCs w:val="28"/>
          <w:rtl w:val="true"/>
          <w:lang w:bidi="fa-IR"/>
        </w:rPr>
        <w:t>وهو نصّ فی الباب لو صحّ طریقه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وفصّل آخرون فحکموا بالضمان مطلقاً </w:t>
      </w:r>
      <w:r>
        <w:rPr>
          <w:rStyle w:val="FootnoteAnchor"/>
          <w:rtl w:val="true"/>
        </w:rPr>
        <w:footnoteReference w:id="2056"/>
      </w:r>
      <w:r>
        <w:rPr>
          <w:rFonts w:ascii="IRNazanin" w:hAnsi="IRNazanin" w:eastAsia="IRNazanin"/>
          <w:color w:val="111111"/>
          <w:sz w:val="28"/>
          <w:sz w:val="28"/>
          <w:szCs w:val="28"/>
          <w:rtl w:val="true"/>
          <w:lang w:bidi="fa-IR"/>
        </w:rPr>
        <w:t xml:space="preserve">إن کان الساقط الخارج منه عن </w:t>
      </w:r>
      <w:r>
        <w:rPr>
          <w:rStyle w:val="FootnoteAnchor"/>
          <w:rtl w:val="true"/>
        </w:rPr>
        <w:footnoteReference w:id="2057"/>
      </w:r>
      <w:r>
        <w:rPr>
          <w:rFonts w:ascii="IRNazanin" w:hAnsi="IRNazanin" w:eastAsia="IRNazanin"/>
          <w:color w:val="111111"/>
          <w:sz w:val="28"/>
          <w:sz w:val="28"/>
          <w:szCs w:val="28"/>
          <w:rtl w:val="true"/>
          <w:lang w:bidi="fa-IR"/>
        </w:rPr>
        <w:t xml:space="preserve">الحائط؛ لأنّ وضعه فی الطریق مشروط بعدم الإضرار کالروشن والساباط، وبضمان النصف إن کان الساقط الجمیع </w:t>
      </w:r>
      <w:r>
        <w:rPr>
          <w:rStyle w:val="FootnoteAnchor"/>
          <w:rtl w:val="true"/>
        </w:rPr>
        <w:footnoteReference w:id="2058"/>
      </w:r>
      <w:r>
        <w:rPr>
          <w:rFonts w:ascii="IRNazanin" w:hAnsi="IRNazanin" w:eastAsia="IRNazanin"/>
          <w:color w:val="111111"/>
          <w:sz w:val="28"/>
          <w:sz w:val="28"/>
          <w:szCs w:val="28"/>
          <w:rtl w:val="true"/>
          <w:lang w:bidi="fa-IR"/>
        </w:rPr>
        <w:t>لحصول التلف بأمرین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غیر مضمون؛ لأنّ ما فی الحائط منه بمنزلة أجزاء الحائط، وقد تقدّم أ نّها لا توجب ضماناً حیث لا تقصیر فی حفظها</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الجناح والروشن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یضمن ما یتلف بسببهما إلّا مع التفریط؛ لما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التفصیل لو کانت خشبة موضوعة فی حائطه </w:t>
      </w:r>
      <w:r>
        <w:rPr>
          <w:rStyle w:val="FootnoteAnchor"/>
          <w:rtl w:val="true"/>
        </w:rPr>
        <w:footnoteReference w:id="2059"/>
      </w:r>
      <w:r>
        <w:rPr>
          <w:rFonts w:ascii="IRNazanin" w:hAnsi="IRNazanin" w:eastAsia="IRNazanin"/>
          <w:color w:val="111111"/>
          <w:sz w:val="28"/>
          <w:sz w:val="28"/>
          <w:szCs w:val="28"/>
          <w:rtl w:val="true"/>
          <w:lang w:bidi="fa-IR"/>
        </w:rPr>
        <w:t>ضمن النصف إن سقطت أجمع، وإن انتصفت وسقط الخارج عنه أو کانت موضوعة</w:t>
      </w:r>
      <w:bookmarkStart w:id="687" w:name="pg19815_253474"/>
    </w:p>
    <w:p>
      <w:pPr>
        <w:pStyle w:val="BookText"/>
        <w:rPr/>
      </w:pPr>
      <w:bookmarkEnd w:id="687"/>
      <w:r>
        <w:rPr>
          <w:rFonts w:ascii="IRNazanin" w:hAnsi="IRNazanin" w:eastAsia="IRNazanin"/>
          <w:color w:val="111111"/>
          <w:sz w:val="28"/>
          <w:sz w:val="28"/>
          <w:szCs w:val="28"/>
          <w:rtl w:val="true"/>
          <w:lang w:bidi="fa-IR"/>
        </w:rPr>
        <w:t>علی غیر ملکه ضمن الجمیع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فی الطریق النافذة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المرفوعة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یجوز فعل ذلک فیها إلّابإذن أربابها أجمع؛ لأنّها ملک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الواضع أحدَهم، فبدون الإذن یضمن مطلقاً إلّا القدر الداخل فی ملکه؛ لأنّه سائغ لا یتعقّبه ضمان</w:t>
      </w:r>
      <w:r>
        <w:rPr>
          <w:rFonts w:eastAsia="IRNazanin" w:cs="IRNazanin"/>
          <w:color w:val="111111"/>
          <w:sz w:val="28"/>
          <w:szCs w:val="28"/>
          <w:rtl w:val="true"/>
          <w:lang w:bidi="fa-IR"/>
        </w:rPr>
        <w:t>.</w:t>
      </w:r>
    </w:p>
    <w:p>
      <w:pPr>
        <w:pStyle w:val="Heading5"/>
        <w:numPr>
          <w:ilvl w:val="4"/>
          <w:numId w:val="1"/>
        </w:numPr>
        <w:rPr/>
      </w:pPr>
      <w:bookmarkStart w:id="688" w:name="__RefHeading___Toc2228193_2314609296"/>
      <w:bookmarkStart w:id="689" w:name="_Toc259"/>
      <w:bookmarkEnd w:id="688"/>
      <w:r>
        <w:rPr>
          <w:rtl w:val="true"/>
        </w:rPr>
        <w:t>«</w:t>
      </w:r>
      <w:r>
        <w:rPr>
          <w:rtl w:val="true"/>
        </w:rPr>
        <w:t>السابعة</w:t>
      </w:r>
      <w:r>
        <w:rPr>
          <w:rtl w:val="true"/>
        </w:rPr>
        <w:t>» : «</w:t>
      </w:r>
      <w:r>
        <w:rPr>
          <w:rtl w:val="true"/>
        </w:rPr>
        <w:t>لو أجَّج ناراً فی ملکه</w:t>
      </w:r>
      <w:r>
        <w:rPr>
          <w:rtl w:val="true"/>
        </w:rPr>
        <w:t>»</w:t>
      </w:r>
      <w:bookmarkEnd w:id="689"/>
    </w:p>
    <w:p>
      <w:pPr>
        <w:pStyle w:val="BookText"/>
        <w:rPr/>
      </w:pPr>
      <w:r>
        <w:rPr>
          <w:rFonts w:ascii="IRNazanin" w:hAnsi="IRNazanin" w:eastAsia="IRNazanin"/>
          <w:color w:val="111111"/>
          <w:sz w:val="28"/>
          <w:sz w:val="28"/>
          <w:szCs w:val="28"/>
          <w:rtl w:val="true"/>
          <w:lang w:bidi="fa-IR"/>
        </w:rPr>
        <w:t xml:space="preserve">ولو للمنفعة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ریح معتدلة أو ساکنة ولم تزد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قدر الحاجة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أضرمها لأجلها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ضمان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له التصرّف فی ملکه کیف شاء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عصفت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الریح بعد إضرامها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لعدم التفریط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یفعل کذلک، بأن کانت الریح عاصفة حالة الإضرام علی وجهٍ یوجب ظنّ التعدّی إلی ملک الغیر، أو زاد عن قَدْر الحاجة وإن کانت ساکنة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سرایتها إلی ملک غیره، فالضمان علی هذا مشروط بأحد الأمرین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الزیادة، أو عصف الریح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یشترط اجتماعهما معاً </w:t>
      </w:r>
      <w:r>
        <w:rPr>
          <w:rStyle w:val="FootnoteAnchor"/>
          <w:rtl w:val="true"/>
        </w:rPr>
        <w:footnoteReference w:id="20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یکفی ظنّ التعدّی إلی ملک الغیر مطلقاً </w:t>
      </w:r>
      <w:r>
        <w:rPr>
          <w:rStyle w:val="FootnoteAnchor"/>
          <w:rtl w:val="true"/>
        </w:rPr>
        <w:footnoteReference w:id="2061"/>
      </w:r>
      <w:r>
        <w:rPr>
          <w:rFonts w:ascii="IRNazanin" w:hAnsi="IRNazanin" w:eastAsia="IRNazanin"/>
          <w:color w:val="111111"/>
          <w:sz w:val="28"/>
          <w:sz w:val="28"/>
          <w:szCs w:val="28"/>
          <w:rtl w:val="true"/>
          <w:lang w:bidi="fa-IR"/>
        </w:rPr>
        <w:t xml:space="preserve">ومثله القول فی إرسال الماء، وقد تقدّم الکلام فی ذلک کلّه فی باب الغصب </w:t>
      </w:r>
      <w:r>
        <w:rPr>
          <w:rStyle w:val="FootnoteAnchor"/>
          <w:rtl w:val="true"/>
        </w:rPr>
        <w:footnoteReference w:id="2062"/>
      </w:r>
      <w:r>
        <w:rPr>
          <w:rFonts w:ascii="IRNazanin" w:hAnsi="IRNazanin" w:eastAsia="IRNazanin"/>
          <w:color w:val="111111"/>
          <w:sz w:val="28"/>
          <w:sz w:val="28"/>
          <w:szCs w:val="28"/>
          <w:rtl w:val="true"/>
          <w:lang w:bidi="fa-IR"/>
        </w:rPr>
        <w:t>فلا وجه لذکرها فی هذا المختصر مرّتین</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أجّج فی موضع لیس له ذلک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کملک 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 الأنفس</w:t>
      </w:r>
      <w:bookmarkStart w:id="690" w:name="pg19815_253475"/>
    </w:p>
    <w:p>
      <w:pPr>
        <w:pStyle w:val="BookText"/>
        <w:rPr/>
      </w:pPr>
      <w:bookmarkEnd w:id="690"/>
      <w:r>
        <w:rPr>
          <w:rFonts w:ascii="IRNazanin" w:hAnsi="IRNazanin" w:eastAsia="IRNazanin"/>
          <w:color w:val="111111"/>
          <w:sz w:val="28"/>
          <w:sz w:val="28"/>
          <w:szCs w:val="28"/>
          <w:rtl w:val="true"/>
          <w:lang w:bidi="fa-IR"/>
        </w:rPr>
        <w:t>والأموال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تعذّر التخلّص فی 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قصد الإتلاف فهو عامد یقاد فی النفس مع ضمان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أجّجها فی المباح فالظاهر أ نّه کالملک؛ لجواز التصرّف فیه</w:t>
      </w:r>
      <w:r>
        <w:rPr>
          <w:rFonts w:eastAsia="IRNazanin" w:cs="IRNazanin"/>
          <w:color w:val="111111"/>
          <w:sz w:val="28"/>
          <w:szCs w:val="28"/>
          <w:rtl w:val="true"/>
          <w:lang w:bidi="fa-IR"/>
        </w:rPr>
        <w:t>.</w:t>
      </w:r>
    </w:p>
    <w:p>
      <w:pPr>
        <w:pStyle w:val="Heading5"/>
        <w:numPr>
          <w:ilvl w:val="4"/>
          <w:numId w:val="1"/>
        </w:numPr>
        <w:rPr/>
      </w:pPr>
      <w:bookmarkStart w:id="691" w:name="__RefHeading___Toc2228195_2314609296"/>
      <w:bookmarkStart w:id="692" w:name="_Toc260"/>
      <w:bookmarkEnd w:id="691"/>
      <w:r>
        <w:rPr>
          <w:rtl w:val="true"/>
        </w:rPr>
        <w:t>«</w:t>
      </w:r>
      <w:r>
        <w:rPr>
          <w:rtl w:val="true"/>
        </w:rPr>
        <w:t>الثامنة</w:t>
      </w:r>
      <w:r>
        <w:rPr>
          <w:rtl w:val="true"/>
        </w:rPr>
        <w:t>» : «</w:t>
      </w:r>
      <w:r>
        <w:rPr>
          <w:rtl w:val="true"/>
        </w:rPr>
        <w:t>لو فرّط فی</w:t>
      </w:r>
      <w:r>
        <w:rPr>
          <w:rtl w:val="true"/>
        </w:rPr>
        <w:t xml:space="preserve">» </w:t>
      </w:r>
      <w:r>
        <w:rPr>
          <w:rtl w:val="true"/>
        </w:rPr>
        <w:t xml:space="preserve">حفظ </w:t>
      </w:r>
      <w:r>
        <w:rPr>
          <w:rtl w:val="true"/>
        </w:rPr>
        <w:t>«</w:t>
      </w:r>
      <w:r>
        <w:rPr>
          <w:rtl w:val="true"/>
        </w:rPr>
        <w:t>دابّته فدخلت علی اُخری فجنت</w:t>
      </w:r>
      <w:r>
        <w:rPr>
          <w:rtl w:val="true"/>
        </w:rPr>
        <w:t>»</w:t>
      </w:r>
      <w:bookmarkEnd w:id="692"/>
    </w:p>
    <w:p>
      <w:pPr>
        <w:pStyle w:val="BookText"/>
        <w:rPr/>
      </w:pPr>
      <w:r>
        <w:rPr>
          <w:rFonts w:ascii="IRNazanin" w:hAnsi="IRNazanin" w:eastAsia="IRNazanin"/>
          <w:color w:val="111111"/>
          <w:sz w:val="28"/>
          <w:sz w:val="28"/>
          <w:szCs w:val="28"/>
          <w:rtl w:val="true"/>
          <w:lang w:bidi="fa-IR"/>
        </w:rPr>
        <w:t xml:space="preserve">علیها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جنایتها؛ لتفریطه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جُنی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جنت المدخول علیها علی دابّته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لم یفرّط فی حفظ دابّته بأن انفلتت من الإصطبل الموثَق أو حلّها غیره فلا ضمان؛ لأصالة البراءة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وأطلق الشیخ </w:t>
      </w:r>
      <w:r>
        <w:rPr>
          <w:rStyle w:val="FootnoteAnchor"/>
          <w:rtl w:val="true"/>
        </w:rPr>
        <w:footnoteReference w:id="2063"/>
      </w:r>
      <w:r>
        <w:rPr>
          <w:rFonts w:ascii="Amiri" w:hAnsi="Amiri" w:eastAsia="Amiri" w:cs="Amiri"/>
          <w:color w:val="111111"/>
          <w:sz w:val="28"/>
          <w:sz w:val="28"/>
          <w:szCs w:val="28"/>
          <w:rtl w:val="true"/>
          <w:lang w:bidi="ar-SA"/>
        </w:rPr>
        <w:t xml:space="preserve">وجماعة </w:t>
      </w:r>
      <w:r>
        <w:rPr>
          <w:rStyle w:val="FootnoteAnchor"/>
          <w:rtl w:val="true"/>
        </w:rPr>
        <w:footnoteReference w:id="2064"/>
      </w:r>
      <w:r>
        <w:rPr>
          <w:rFonts w:ascii="IRNazanin" w:hAnsi="IRNazanin" w:eastAsia="IRNazanin"/>
          <w:color w:val="111111"/>
          <w:sz w:val="28"/>
          <w:sz w:val="28"/>
          <w:szCs w:val="28"/>
          <w:rtl w:val="true"/>
          <w:lang w:bidi="fa-IR"/>
        </w:rPr>
        <w:t>ضمان صاحب الداخلة ما تجنیه؛ لقضیّة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الصلاة والسلام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زمن النبیّ صلی الله علیه و آله </w:t>
      </w:r>
      <w:r>
        <w:rPr>
          <w:rStyle w:val="FootnoteAnchor"/>
          <w:rtl w:val="true"/>
        </w:rPr>
        <w:footnoteReference w:id="2065"/>
      </w:r>
      <w:r>
        <w:rPr>
          <w:rFonts w:ascii="IRNazanin" w:hAnsi="IRNazanin" w:eastAsia="IRNazanin"/>
          <w:color w:val="111111"/>
          <w:sz w:val="28"/>
          <w:sz w:val="28"/>
          <w:szCs w:val="28"/>
          <w:rtl w:val="true"/>
          <w:lang w:bidi="fa-IR"/>
        </w:rPr>
        <w:t xml:space="preserve">والروایة ضعیفة السند </w:t>
      </w:r>
      <w:r>
        <w:rPr>
          <w:rStyle w:val="FootnoteAnchor"/>
          <w:rtl w:val="true"/>
        </w:rPr>
        <w:footnoteReference w:id="2066"/>
      </w:r>
      <w:r>
        <w:rPr>
          <w:rFonts w:ascii="IRNazanin" w:hAnsi="IRNazanin" w:eastAsia="IRNazanin"/>
          <w:color w:val="111111"/>
          <w:sz w:val="28"/>
          <w:sz w:val="28"/>
          <w:szCs w:val="28"/>
          <w:rtl w:val="true"/>
          <w:lang w:bidi="fa-IR"/>
        </w:rPr>
        <w:t>فاعتبار التفریط وعدمه متّجه</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ویجب حفظ البعیر المغتلم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الهائج لشهوة الضراب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والکلب العقور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وشبههما علی مالکه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یجنیه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بدونه إذا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بحاله وأهمل حفظه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جهل حاله أو علم ولم یفرّط فلا ضمان</w:t>
      </w:r>
      <w:r>
        <w:rPr>
          <w:rFonts w:eastAsia="IRNazanin" w:cs="IRNazanin"/>
          <w:color w:val="111111"/>
          <w:sz w:val="28"/>
          <w:szCs w:val="28"/>
          <w:rtl w:val="true"/>
          <w:lang w:bidi="fa-IR"/>
        </w:rPr>
        <w:t>.</w:t>
      </w:r>
      <w:bookmarkStart w:id="693" w:name="pg19815_253476"/>
    </w:p>
    <w:p>
      <w:pPr>
        <w:pStyle w:val="BookText"/>
        <w:rPr/>
      </w:pPr>
      <w:bookmarkEnd w:id="693"/>
      <w:r>
        <w:rPr>
          <w:rFonts w:ascii="IRNazanin" w:hAnsi="IRNazanin" w:eastAsia="IRNazanin"/>
          <w:color w:val="111111"/>
          <w:sz w:val="28"/>
          <w:sz w:val="28"/>
          <w:szCs w:val="28"/>
          <w:rtl w:val="true"/>
          <w:lang w:bidi="fa-IR"/>
        </w:rPr>
        <w:t xml:space="preserve">وفی إلحاق الهرّة الضاریة بهما قولان </w:t>
      </w:r>
      <w:r>
        <w:rPr>
          <w:rStyle w:val="FootnoteAnchor"/>
          <w:rtl w:val="true"/>
        </w:rPr>
        <w:footnoteReference w:id="2067"/>
      </w:r>
      <w:r>
        <w:rPr>
          <w:rFonts w:ascii="IRNazanin" w:hAnsi="IRNazanin" w:eastAsia="IRNazanin"/>
          <w:color w:val="111111"/>
          <w:sz w:val="28"/>
          <w:sz w:val="28"/>
          <w:szCs w:val="28"/>
          <w:rtl w:val="true"/>
          <w:lang w:bidi="fa-IR"/>
        </w:rPr>
        <w:t>من استناد التلف إلی تفریطه فی حفظها، وعدمِ جریان العادة بربطها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والأجود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یجوز قتلها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دافعها عنه إنسان فأدّی الدفع إلی تلفها، أو تعیّبها فلا ضمان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لجواز دفعها عن نفسه فلا یتعقّبه ضمان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یجب الاقتصار علی ما یندفع به، فإن زاد عنه ضمن، وکذا لو جنی علیها لا للدفع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وإذا أذن له قوم فی دخول دار فعقره کلبها ضمنوه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لم یعلموا أنّ الکلب فیها حین دخوله أو دخل بعده؛ لإطلاق النصّ </w:t>
      </w:r>
      <w:r>
        <w:rPr>
          <w:rStyle w:val="FootnoteAnchor"/>
          <w:rtl w:val="true"/>
        </w:rPr>
        <w:footnoteReference w:id="2068"/>
      </w:r>
      <w:r>
        <w:rPr>
          <w:rFonts w:ascii="IRNazanin" w:hAnsi="IRNazanin" w:eastAsia="IRNazanin"/>
          <w:color w:val="111111"/>
          <w:sz w:val="28"/>
          <w:sz w:val="28"/>
          <w:szCs w:val="28"/>
          <w:rtl w:val="true"/>
          <w:lang w:bidi="fa-IR"/>
        </w:rPr>
        <w:t xml:space="preserve">والفتوی </w:t>
      </w:r>
      <w:r>
        <w:rPr>
          <w:rStyle w:val="FootnoteAnchor"/>
          <w:rtl w:val="true"/>
        </w:rPr>
        <w:footnoteReference w:id="2069"/>
      </w:r>
      <w:r>
        <w:rPr>
          <w:rFonts w:ascii="IRNazanin" w:hAnsi="IRNazanin" w:eastAsia="IRNazanin"/>
          <w:color w:val="111111"/>
          <w:sz w:val="28"/>
          <w:sz w:val="28"/>
          <w:szCs w:val="28"/>
          <w:rtl w:val="true"/>
          <w:lang w:bidi="fa-IR"/>
        </w:rPr>
        <w:t>وإن دخلها بغیر إذن المالک لم یضمن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أذن بعض من فی الدار دون بعض، فإن کان ممّن یجوز الدخول مع إذنه اختصّ الضمان به وإلّا فکما لو لم یأذن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اختلفا فی الإذن قُدّم المنکر</w:t>
      </w:r>
      <w:r>
        <w:rPr>
          <w:rFonts w:eastAsia="IRNazanin" w:cs="IRNazanin"/>
          <w:color w:val="111111"/>
          <w:sz w:val="28"/>
          <w:szCs w:val="28"/>
          <w:rtl w:val="true"/>
          <w:lang w:bidi="fa-IR"/>
        </w:rPr>
        <w:t>.</w:t>
      </w:r>
    </w:p>
    <w:p>
      <w:pPr>
        <w:pStyle w:val="Heading5"/>
        <w:numPr>
          <w:ilvl w:val="4"/>
          <w:numId w:val="1"/>
        </w:numPr>
        <w:rPr/>
      </w:pPr>
      <w:bookmarkStart w:id="694" w:name="__RefHeading___Toc2228197_2314609296"/>
      <w:bookmarkStart w:id="695" w:name="_Toc261"/>
      <w:bookmarkEnd w:id="694"/>
      <w:r>
        <w:rPr>
          <w:rtl w:val="true"/>
        </w:rPr>
        <w:t>«</w:t>
      </w:r>
      <w:r>
        <w:rPr>
          <w:rtl w:val="true"/>
        </w:rPr>
        <w:t>التاسعة</w:t>
      </w:r>
      <w:r>
        <w:rPr>
          <w:rtl w:val="true"/>
        </w:rPr>
        <w:t>» : «</w:t>
      </w:r>
      <w:r>
        <w:rPr>
          <w:rtl w:val="true"/>
        </w:rPr>
        <w:t>یضمن راکب الدابّة ما تجنیه بیدیها ورأسها</w:t>
      </w:r>
      <w:r>
        <w:rPr>
          <w:rtl w:val="true"/>
        </w:rPr>
        <w:t>»</w:t>
      </w:r>
      <w:bookmarkEnd w:id="695"/>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دون رجلیها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والقائد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یضمن جنایة یدیها ورأسها خاصّة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والسائق یضمنها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یضمن جنایتها مطلقاً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وقف بها الراکب أو القائد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ومستند التفصیل أخبار کثیرة </w:t>
      </w:r>
      <w:r>
        <w:rPr>
          <w:rStyle w:val="FootnoteAnchor"/>
          <w:rtl w:val="true"/>
        </w:rPr>
        <w:footnoteReference w:id="2070"/>
      </w:r>
      <w:r>
        <w:rPr>
          <w:rFonts w:ascii="IRNazanin" w:hAnsi="IRNazanin" w:eastAsia="IRNazanin"/>
          <w:color w:val="111111"/>
          <w:sz w:val="28"/>
          <w:sz w:val="28"/>
          <w:szCs w:val="28"/>
          <w:rtl w:val="true"/>
          <w:lang w:bidi="fa-IR"/>
        </w:rPr>
        <w:t xml:space="preserve">نبّه فی بعضها </w:t>
      </w:r>
      <w:r>
        <w:rPr>
          <w:rStyle w:val="FootnoteAnchor"/>
          <w:rtl w:val="true"/>
        </w:rPr>
        <w:footnoteReference w:id="2071"/>
      </w:r>
      <w:r>
        <w:rPr>
          <w:rFonts w:ascii="IRNazanin" w:hAnsi="IRNazanin" w:eastAsia="IRNazanin"/>
          <w:color w:val="111111"/>
          <w:sz w:val="28"/>
          <w:sz w:val="28"/>
          <w:szCs w:val="28"/>
          <w:rtl w:val="true"/>
          <w:lang w:bidi="fa-IR"/>
        </w:rPr>
        <w:t>علی الفرق بأنّ الراکب والقائد یملکان یدیها ورأسها ویوجّهانها کیف شاءا ولا یملکان رجلیها؛ لأنّهما خلفهما، والسائق یملک الجمیع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رکبها اثنان تساویا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الضمان؛ لاشتراکهما فی الید والسببیّة إلّا أن یکون أحدهما ضعیفاً لصغر أو مرض، فیختصّ الضمان بالآخر؛ لأنّه المتولّی أمرها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کان صاحبها معها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مراعیاً 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ضمان علی الراکب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ویبقی فی المالک ما سبق من التفصیل باعتبار کونه سائقاً أو قائداً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لم یکن المالک مراعیاً لها بل تولّی أمرها الراکب ضمن، دون المالک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ویضمنه مالکها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الراکب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نفّرها فألقته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إن ألقته بغیر سببه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اجتمع للدابّة سائق وقائد، أو أحدُهما وراکب، أو الثلاثة اشترکوا فی ضمان المشترک واختصّ السائق بجنایة الرِجلین</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ولو کان المَقُود أو المَسُوق قطاراً ففی إلحاق الجمیع بالواحد حکماً 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صدق السوق والقود للجمیع، ومن فقد علّة الضمان وهی القدرة علی حفظ ما ضمن جنایته، فإنّ القائد لا یقدر علی حفظ یدی ما تأخّر عن الأوّل غالباً، وکذا السائق بالنسبة إلی غیر المتأخّر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أقوی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رکب واحداً وقاد الباقی تعلّق به حکم المرکوب، وأوّلِ المقطور، وکذا لو ساق مع ذلک واحداً أو أکثر</w:t>
      </w:r>
      <w:r>
        <w:rPr>
          <w:rFonts w:eastAsia="IRNazanin" w:cs="IRNazanin"/>
          <w:color w:val="111111"/>
          <w:sz w:val="28"/>
          <w:szCs w:val="28"/>
          <w:rtl w:val="true"/>
          <w:lang w:bidi="fa-IR"/>
        </w:rPr>
        <w:t>.</w:t>
      </w:r>
      <w:bookmarkStart w:id="696" w:name="pg19815_253478"/>
    </w:p>
    <w:p>
      <w:pPr>
        <w:pStyle w:val="Heading5"/>
        <w:numPr>
          <w:ilvl w:val="4"/>
          <w:numId w:val="1"/>
        </w:numPr>
        <w:rPr/>
      </w:pPr>
      <w:bookmarkStart w:id="697" w:name="__RefHeading___Toc2228199_2314609296"/>
      <w:bookmarkStart w:id="698" w:name="_Toc262"/>
      <w:bookmarkEnd w:id="696"/>
      <w:bookmarkEnd w:id="697"/>
      <w:r>
        <w:rPr>
          <w:rtl w:val="true"/>
        </w:rPr>
        <w:t>العاشرة</w:t>
      </w:r>
      <w:r>
        <w:rPr>
          <w:rtl w:val="true"/>
        </w:rPr>
        <w:t>» : «</w:t>
      </w:r>
      <w:r>
        <w:rPr>
          <w:rtl w:val="true"/>
        </w:rPr>
        <w:t>یضمن المباشر لو جامعه السبب</w:t>
      </w:r>
      <w:r>
        <w:rPr>
          <w:rtl w:val="true"/>
        </w:rPr>
        <w:t>»</w:t>
      </w:r>
      <w:bookmarkEnd w:id="698"/>
    </w:p>
    <w:p>
      <w:pPr>
        <w:pStyle w:val="BookText"/>
        <w:rPr/>
      </w:pPr>
      <w:r>
        <w:rPr>
          <w:rFonts w:ascii="IRNazanin" w:hAnsi="IRNazanin" w:eastAsia="IRNazanin"/>
          <w:color w:val="111111"/>
          <w:sz w:val="28"/>
          <w:sz w:val="28"/>
          <w:szCs w:val="28"/>
          <w:rtl w:val="true"/>
          <w:lang w:bidi="fa-IR"/>
        </w:rPr>
        <w:t>دونه؛ لأنّه أقوی وأقرب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مع علم المباشر بالسبب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جهل المباشر ضمن السبب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فالسبب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کالحافر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للبئر فی غیر ملکه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المباشر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کالدافع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فیها، فالضمان علی الدافع دون الحافر، إلّاأن تکون البئر مغطّاة ولا یعلم بها الدافع فالضمان علی الحافر؛ لضعف المباشرة </w:t>
      </w:r>
      <w:r>
        <w:rPr>
          <w:rStyle w:val="FootnoteAnchor"/>
          <w:rtl w:val="true"/>
        </w:rPr>
        <w:footnoteReference w:id="2072"/>
      </w:r>
      <w:r>
        <w:rPr>
          <w:rFonts w:ascii="IRNazanin" w:hAnsi="IRNazanin" w:eastAsia="IRNazanin"/>
          <w:color w:val="111111"/>
          <w:sz w:val="28"/>
          <w:sz w:val="28"/>
          <w:szCs w:val="28"/>
          <w:rtl w:val="true"/>
          <w:lang w:bidi="fa-IR"/>
        </w:rPr>
        <w:t xml:space="preserve">بالجهل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ویضمن أسبق السببین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اجتمعا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کواضع الحجر وحافر البئر فیعثر بالحجر فیقع فی البئر، فیضمن واضع الحجر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أسبق السببین فعلاً وإن تأخّر الوضع عن الحفر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تقدّم الحافر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لو نصب إنسان سکّیناً فی قعر البئر فوقع فیها إنسان من غیر عثار فأصابته السکّین فمات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فالضمان علی الحافر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إذا کانا متعدّیین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کان فعل أحدهما فی ملکه فالضمان علی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لاختصاصه بالعدوان</w:t>
      </w:r>
      <w:r>
        <w:rPr>
          <w:rFonts w:eastAsia="IRNazanin" w:cs="IRNazanin"/>
          <w:color w:val="111111"/>
          <w:sz w:val="28"/>
          <w:szCs w:val="28"/>
          <w:rtl w:val="true"/>
          <w:lang w:bidi="fa-IR"/>
        </w:rPr>
        <w:t>.</w:t>
      </w:r>
    </w:p>
    <w:p>
      <w:pPr>
        <w:pStyle w:val="Heading5"/>
        <w:numPr>
          <w:ilvl w:val="4"/>
          <w:numId w:val="1"/>
        </w:numPr>
        <w:rPr/>
      </w:pPr>
      <w:bookmarkStart w:id="699" w:name="__RefHeading___Toc2228201_2314609296"/>
      <w:bookmarkStart w:id="700" w:name="_Toc263"/>
      <w:bookmarkEnd w:id="699"/>
      <w:r>
        <w:rPr>
          <w:rtl w:val="true"/>
        </w:rPr>
        <w:t>«</w:t>
      </w:r>
      <w:r>
        <w:rPr>
          <w:rtl w:val="true"/>
        </w:rPr>
        <w:t>الحادیة عشرة</w:t>
      </w:r>
      <w:r>
        <w:rPr>
          <w:rtl w:val="true"/>
        </w:rPr>
        <w:t>» : «</w:t>
      </w:r>
      <w:r>
        <w:rPr>
          <w:rtl w:val="true"/>
        </w:rPr>
        <w:t>لو وقع واحد فی الزُبیة</w:t>
      </w:r>
      <w:r>
        <w:rPr>
          <w:rtl w:val="true"/>
        </w:rPr>
        <w:t>»</w:t>
      </w:r>
      <w:bookmarkEnd w:id="70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بضمّ الزای المعجمة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وهی الحفرة تحفر للأسد، سُمّیت بذلک؛ لأنّهم کانوا یحفرونها فی موضع عال، وأصلها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الزابیة التی لا یعلوها الماء، وفی المثل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بلغ السیل الزبی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بثانٍ، والثانی بثالث، والثالث برابع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فوقعوا جمیعاً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فافترسهم الأسد، ففی روایة</w:t>
      </w:r>
    </w:p>
    <w:p>
      <w:pPr>
        <w:pStyle w:val="BookText"/>
        <w:rPr/>
      </w:pPr>
      <w:r>
        <w:rPr>
          <w:rFonts w:ascii="IRNazanin" w:hAnsi="IRNazanin" w:eastAsia="IRNazanin"/>
          <w:color w:val="111111"/>
          <w:sz w:val="28"/>
          <w:sz w:val="28"/>
          <w:szCs w:val="28"/>
          <w:rtl w:val="true"/>
          <w:lang w:bidi="fa-IR"/>
        </w:rPr>
        <w:t>محمّد بن قیس عن الباقر عن علیّ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نّه قضی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 فریسة الأسد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یلزم أحداً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ویَغْرَم أهله ثلث الدیة للثانی، ویَغرم الثانی للثالث ثلثی الدیة، ویغرم الثالث للرابع الدیة کاملة</w:t>
      </w:r>
      <w:r>
        <w:rPr>
          <w:rFonts w:eastAsia="IRNazanin" w:cs="IRNazanin"/>
          <w:color w:val="111111"/>
          <w:sz w:val="28"/>
          <w:szCs w:val="28"/>
          <w:rtl w:val="true"/>
          <w:lang w:bidi="fa-IR"/>
        </w:rPr>
        <w:t xml:space="preserve">» </w:t>
      </w:r>
      <w:r>
        <w:rPr>
          <w:rStyle w:val="FootnoteAnchor"/>
          <w:rtl w:val="true"/>
        </w:rPr>
        <w:footnoteReference w:id="2073"/>
      </w:r>
      <w:r>
        <w:rPr>
          <w:rFonts w:ascii="IRNazanin" w:hAnsi="IRNazanin" w:eastAsia="IRNazanin"/>
          <w:color w:val="111111"/>
          <w:sz w:val="28"/>
          <w:sz w:val="28"/>
          <w:szCs w:val="28"/>
          <w:rtl w:val="true"/>
          <w:lang w:bidi="fa-IR"/>
        </w:rPr>
        <w:t xml:space="preserve">وعمل بها أکثر الأصحاب </w:t>
      </w:r>
      <w:r>
        <w:rPr>
          <w:rStyle w:val="FootnoteAnchor"/>
          <w:rtl w:val="true"/>
        </w:rPr>
        <w:footnoteReference w:id="20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لکن توجیهها علی الاُصول مشکل،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عرفت </w:t>
      </w:r>
      <w:r>
        <w:rPr>
          <w:rStyle w:val="FootnoteAnchor"/>
          <w:rtl w:val="true"/>
        </w:rPr>
        <w:footnoteReference w:id="2075"/>
      </w:r>
      <w:r>
        <w:rPr>
          <w:rFonts w:ascii="IRNazanin" w:hAnsi="IRNazanin" w:eastAsia="IRNazanin"/>
          <w:color w:val="111111"/>
          <w:sz w:val="28"/>
          <w:sz w:val="28"/>
          <w:szCs w:val="28"/>
          <w:rtl w:val="true"/>
          <w:lang w:bidi="fa-IR"/>
        </w:rPr>
        <w:t>مشترک، وتخصیص حکمها بواقعتها ممکن، فترک العمل بمضمونها مطلقاً متوجّه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وتوجیهها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الأوّل لم یقتله أحد، والثانی قتله الأوّل وقتل هو الثالث والرابع فقُسّطت الدیة علی الثلاثة فاستحقّ منها بحسب ما جُنِی علیه، والثالث قتله اثنان وقتل هو واحداً فاستحقّ ثلثین کذلک، والرابع قتله الثلاثة فاستحقّ تمام الدیة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تعلیل بموضع النزاع؛ إذ لا یلزم من قتله لغیره سقوط شیء من دیته عن قاتله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وربما قیل بأنّ دیة الرابع علی الثلاثة بالسویّة؛ لاشتراکهم جمیعاً فی سببیّة قتله </w:t>
      </w:r>
      <w:r>
        <w:rPr>
          <w:rStyle w:val="FootnoteAnchor"/>
          <w:rtl w:val="true"/>
        </w:rPr>
        <w:footnoteReference w:id="2076"/>
      </w:r>
      <w:r>
        <w:rPr>
          <w:rFonts w:ascii="IRNazanin" w:hAnsi="IRNazanin" w:eastAsia="IRNazanin"/>
          <w:color w:val="111111"/>
          <w:sz w:val="28"/>
          <w:sz w:val="28"/>
          <w:szCs w:val="28"/>
          <w:rtl w:val="true"/>
          <w:lang w:bidi="fa-IR"/>
        </w:rPr>
        <w:t xml:space="preserve">وإنّما نسبها </w:t>
      </w:r>
      <w:r>
        <w:rPr>
          <w:rStyle w:val="FootnoteAnchor"/>
          <w:rtl w:val="true"/>
        </w:rPr>
        <w:footnoteReference w:id="2077"/>
      </w:r>
      <w:r>
        <w:rPr>
          <w:rFonts w:ascii="IRNazanin" w:hAnsi="IRNazanin" w:eastAsia="IRNazanin"/>
          <w:color w:val="111111"/>
          <w:sz w:val="28"/>
          <w:sz w:val="28"/>
          <w:szCs w:val="28"/>
          <w:rtl w:val="true"/>
          <w:lang w:bidi="fa-IR"/>
        </w:rPr>
        <w:t>إلی الثالث لأنّ الثانی استحقّ علی الأوّل ثلث الدیة فیضیف إلیه ثلثاً آخر ویدفعه إلی الثالث، فیضیف إلی ذلک ثلثاً آخر ویدفعه إلی الرابع</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مخالفته لظاهر 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یتمّ فی الآخرین؛ لاستلزامه کون دیة</w:t>
      </w:r>
    </w:p>
    <w:p>
      <w:pPr>
        <w:pStyle w:val="BookText"/>
        <w:rPr/>
      </w:pPr>
      <w:r>
        <w:rPr>
          <w:rFonts w:ascii="IRNazanin" w:hAnsi="IRNazanin" w:eastAsia="IRNazanin"/>
          <w:color w:val="111111"/>
          <w:sz w:val="28"/>
          <w:sz w:val="28"/>
          <w:szCs w:val="28"/>
          <w:rtl w:val="true"/>
          <w:lang w:bidi="fa-IR"/>
        </w:rPr>
        <w:t>الثالث علی الأوّلین ودیة الثانی علی الأوّل؛ إذ لا مدخل لقتله مَن بعده فی إسقاط حقّه کما مرّ، إلّاأن یفرض کون الواقع علیه سبباً فی افتراس الأسد له فیقرب، إلّا أ نّه خلاف الظاهر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روایة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رواها سهل بن زیاد، عن ابن شمّون، عن عبد اللّٰه الأصمّ، عن مسمع، عن أبی عبد 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علیّاً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للأوّل ربع الدیة، وللثانی ثلث </w:t>
      </w:r>
      <w:r>
        <w:rPr>
          <w:rStyle w:val="FootnoteAnchor"/>
          <w:rtl w:val="true"/>
        </w:rPr>
        <w:footnoteReference w:id="2078"/>
      </w:r>
      <w:r>
        <w:rPr>
          <w:rFonts w:ascii="IRNazanin" w:hAnsi="IRNazanin" w:eastAsia="IRNazanin"/>
          <w:color w:val="111111"/>
          <w:sz w:val="28"/>
          <w:sz w:val="28"/>
          <w:szCs w:val="28"/>
          <w:rtl w:val="true"/>
          <w:lang w:bidi="fa-IR"/>
        </w:rPr>
        <w:t xml:space="preserve">وللثالث نصف </w:t>
      </w:r>
      <w:r>
        <w:rPr>
          <w:rStyle w:val="FootnoteAnchor"/>
          <w:rtl w:val="true"/>
        </w:rPr>
        <w:footnoteReference w:id="2079"/>
      </w:r>
      <w:r>
        <w:rPr>
          <w:rFonts w:ascii="IRNazanin" w:hAnsi="IRNazanin" w:eastAsia="IRNazanin"/>
          <w:color w:val="111111"/>
          <w:sz w:val="28"/>
          <w:sz w:val="28"/>
          <w:szCs w:val="28"/>
          <w:rtl w:val="true"/>
          <w:lang w:bidi="fa-IR"/>
        </w:rPr>
        <w:t>وللرابع 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کلّه علی عاقلة المزدحمین</w:t>
      </w:r>
      <w:r>
        <w:rPr>
          <w:rFonts w:eastAsia="IRNazanin" w:cs="IRNazanin"/>
          <w:color w:val="111111"/>
          <w:sz w:val="28"/>
          <w:szCs w:val="28"/>
          <w:rtl w:val="true"/>
          <w:lang w:bidi="fa-IR"/>
        </w:rPr>
        <w:t xml:space="preserve">» » </w:t>
      </w:r>
      <w:r>
        <w:rPr>
          <w:rStyle w:val="FootnoteAnchor"/>
          <w:rtl w:val="true"/>
        </w:rPr>
        <w:footnoteReference w:id="20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ووُجّهت </w:t>
      </w:r>
      <w:r>
        <w:rPr>
          <w:rStyle w:val="FootnoteAnchor"/>
          <w:rtl w:val="true"/>
        </w:rPr>
        <w:footnoteReference w:id="2081"/>
      </w:r>
      <w:r>
        <w:rPr>
          <w:rFonts w:ascii="IRNazanin" w:hAnsi="IRNazanin" w:eastAsia="IRNazanin"/>
          <w:color w:val="111111"/>
          <w:sz w:val="28"/>
          <w:sz w:val="28"/>
          <w:szCs w:val="28"/>
          <w:rtl w:val="true"/>
          <w:lang w:bidi="fa-IR"/>
        </w:rPr>
        <w:t xml:space="preserve">بکون البئر حفرت عدواناً والافتراس مستنداً </w:t>
      </w:r>
      <w:r>
        <w:rPr>
          <w:rStyle w:val="FootnoteAnchor"/>
          <w:rtl w:val="true"/>
        </w:rPr>
        <w:footnoteReference w:id="2082"/>
      </w:r>
      <w:r>
        <w:rPr>
          <w:rFonts w:ascii="IRNazanin" w:hAnsi="IRNazanin" w:eastAsia="IRNazanin"/>
          <w:color w:val="111111"/>
          <w:sz w:val="28"/>
          <w:sz w:val="28"/>
          <w:szCs w:val="28"/>
          <w:rtl w:val="true"/>
          <w:lang w:bidi="fa-IR"/>
        </w:rPr>
        <w:t>إلی الازدحام المانع من التخلّص، فالأوّل مات بسبب الوقوع فی البئر ووقوع الثلاثة فوقَه، إلّا أ نّه بسببه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ثلاثة أرباع السبب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فیبقی الربع علی الحافر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والثانی مات بسبب جذب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ثلث السبب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ووقوع الباقین فوقَه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ثلثاه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ووقوعهما علیه من فعله فیبقی له ثلث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والثالث مات من جذب الثانی ووقوعِ الرابع، وکلّ منهما نصف السبب، لکن الرابع من فعله فیبقی له نصف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والرابع موته بسبب جذب الثالث فله کمال الدیة</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والحقّ أنّ ضعف سندها یمنع من تکلّف تنزیلها، فإنّ سهلاً عامّی وابن شمّون غالٍ والأصمّ ضعیف، فردّها مطلقاً متّجه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وردّها المصنّف أیضاً بأنّ الجنایة إمّا عمد أو شبیهه </w:t>
      </w:r>
      <w:r>
        <w:rPr>
          <w:rStyle w:val="FootnoteAnchor"/>
          <w:rtl w:val="true"/>
        </w:rPr>
        <w:footnoteReference w:id="2083"/>
      </w:r>
      <w:r>
        <w:rPr>
          <w:rFonts w:ascii="IRNazanin" w:hAnsi="IRNazanin" w:eastAsia="IRNazanin"/>
          <w:color w:val="111111"/>
          <w:sz w:val="28"/>
          <w:sz w:val="28"/>
          <w:szCs w:val="28"/>
          <w:rtl w:val="true"/>
          <w:lang w:bidi="fa-IR"/>
        </w:rPr>
        <w:t xml:space="preserve">وکلاهما یمنع تعلّق العاقلة به وأنّ فی الروایة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فازدحم الناس علیها ینظرون إلی الأسد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ینافی ضمان حافر البئر </w:t>
      </w:r>
      <w:r>
        <w:rPr>
          <w:rStyle w:val="FootnoteAnchor"/>
          <w:rtl w:val="true"/>
        </w:rPr>
        <w:footnoteReference w:id="2084"/>
      </w:r>
      <w:r>
        <w:rPr>
          <w:rFonts w:eastAsia="Times New Roman" w:cs="Times New Roman" w:ascii="Times New Roman" w:hAnsi="Times New Roman"/>
          <w:color w:val="111111"/>
          <w:sz w:val="28"/>
          <w:szCs w:val="28"/>
          <w:rtl w:val="true"/>
          <w:lang w:val="en-US" w:bidi="en-US"/>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وحیث یطرح الخبران </w:t>
      </w:r>
      <w:r>
        <w:rPr>
          <w:rStyle w:val="FootnoteAnchor"/>
          <w:rtl w:val="true"/>
        </w:rPr>
        <w:footnoteReference w:id="2085"/>
      </w:r>
      <w:r>
        <w:rPr>
          <w:rFonts w:ascii="IRNazanin" w:hAnsi="IRNazanin" w:eastAsia="IRNazanin"/>
          <w:color w:val="111111"/>
          <w:sz w:val="28"/>
          <w:sz w:val="28"/>
          <w:szCs w:val="28"/>
          <w:rtl w:val="true"/>
          <w:lang w:bidi="fa-IR"/>
        </w:rPr>
        <w:t xml:space="preserve">فالمتّجه ضمان کلٍّ دیةَ من أمسکه أجمع؛ لاستقلاله بإتلافه، وهو خیرة العلّامة فی التحریر </w:t>
      </w:r>
      <w:r>
        <w:rPr>
          <w:rStyle w:val="FootnoteAnchor"/>
          <w:rtl w:val="true"/>
        </w:rPr>
        <w:footnoteReference w:id="2086"/>
      </w:r>
      <w:r>
        <w:rPr>
          <w:rFonts w:eastAsia="Times New Roman" w:cs="Times New Roman" w:ascii="Times New Roman" w:hAnsi="Times New Roman"/>
          <w:color w:val="111111"/>
          <w:sz w:val="28"/>
          <w:szCs w:val="28"/>
          <w:rtl w:val="true"/>
          <w:lang w:val="en-US" w:bidi="en-US"/>
        </w:rPr>
        <w:t>.</w:t>
      </w:r>
      <w:bookmarkStart w:id="701" w:name="pg19815_253482"/>
    </w:p>
    <w:p>
      <w:pPr>
        <w:pStyle w:val="Heading3"/>
        <w:numPr>
          <w:ilvl w:val="2"/>
          <w:numId w:val="1"/>
        </w:numPr>
        <w:rPr/>
      </w:pPr>
      <w:bookmarkStart w:id="702" w:name="__RefHeading___Toc2228203_2314609296"/>
      <w:bookmarkStart w:id="703" w:name="_Toc264"/>
      <w:bookmarkEnd w:id="701"/>
      <w:bookmarkEnd w:id="702"/>
      <w:r>
        <w:rPr>
          <w:rtl w:val="true"/>
        </w:rPr>
        <w:t>«</w:t>
      </w:r>
      <w:r>
        <w:rPr>
          <w:rtl w:val="true"/>
        </w:rPr>
        <w:t>الفصل الثانی</w:t>
      </w:r>
      <w:r>
        <w:rPr>
          <w:rtl w:val="true"/>
        </w:rPr>
        <w:t>» «</w:t>
      </w:r>
      <w:r>
        <w:rPr>
          <w:rtl w:val="true"/>
        </w:rPr>
        <w:t>فی التقدیرات</w:t>
      </w:r>
      <w:r>
        <w:rPr>
          <w:rtl w:val="true"/>
        </w:rPr>
        <w:t>»</w:t>
      </w:r>
      <w:bookmarkEnd w:id="703"/>
    </w:p>
    <w:p>
      <w:pPr>
        <w:pStyle w:val="Heading4"/>
        <w:numPr>
          <w:ilvl w:val="3"/>
          <w:numId w:val="1"/>
        </w:numPr>
        <w:rPr/>
      </w:pPr>
      <w:bookmarkStart w:id="704" w:name="__RefHeading___Toc2228205_2314609296"/>
      <w:bookmarkStart w:id="705" w:name="_Toc265"/>
      <w:bookmarkEnd w:id="704"/>
      <w:r>
        <w:rPr>
          <w:rtl w:val="true"/>
        </w:rPr>
        <w:t>[«</w:t>
      </w:r>
      <w:r>
        <w:rPr>
          <w:rtl w:val="true"/>
        </w:rPr>
        <w:t>وفیه مسائل</w:t>
      </w:r>
      <w:r>
        <w:rPr>
          <w:rtl w:val="true"/>
        </w:rPr>
        <w:t>»]</w:t>
      </w:r>
      <w:bookmarkEnd w:id="705"/>
    </w:p>
    <w:p>
      <w:pPr>
        <w:pStyle w:val="Heading5"/>
        <w:numPr>
          <w:ilvl w:val="4"/>
          <w:numId w:val="1"/>
        </w:numPr>
        <w:rPr/>
      </w:pPr>
      <w:bookmarkStart w:id="706" w:name="__RefHeading___Toc2228207_2314609296"/>
      <w:bookmarkStart w:id="707" w:name="_Toc266"/>
      <w:bookmarkEnd w:id="706"/>
      <w:r>
        <w:rPr>
          <w:rtl w:val="true"/>
        </w:rPr>
        <w:t>«</w:t>
      </w:r>
      <w:r>
        <w:rPr>
          <w:rtl w:val="true"/>
        </w:rPr>
        <w:t xml:space="preserve">الاُولی </w:t>
      </w:r>
      <w:r>
        <w:rPr>
          <w:rtl w:val="true"/>
        </w:rPr>
        <w:t>[</w:t>
      </w:r>
      <w:r>
        <w:rPr>
          <w:rtl w:val="true"/>
        </w:rPr>
        <w:t xml:space="preserve">فی النفس </w:t>
      </w:r>
      <w:r>
        <w:rPr>
          <w:rtl w:val="true"/>
        </w:rPr>
        <w:t>] » :</w:t>
      </w:r>
      <w:bookmarkEnd w:id="707"/>
    </w:p>
    <w:p>
      <w:pPr>
        <w:pStyle w:val="Heading6"/>
        <w:numPr>
          <w:ilvl w:val="5"/>
          <w:numId w:val="1"/>
        </w:numPr>
        <w:rPr/>
      </w:pPr>
      <w:bookmarkStart w:id="708" w:name="__RefHeading___Toc2228209_2314609296"/>
      <w:bookmarkStart w:id="709" w:name="_Toc267"/>
      <w:bookmarkEnd w:id="708"/>
      <w:r>
        <w:rPr>
          <w:rtl w:val="true"/>
        </w:rPr>
        <w:t>[</w:t>
      </w:r>
      <w:r>
        <w:rPr>
          <w:rtl w:val="true"/>
        </w:rPr>
        <w:t>دیة العمد</w:t>
      </w:r>
      <w:r>
        <w:rPr>
          <w:rtl w:val="true"/>
        </w:rPr>
        <w:t>]</w:t>
      </w:r>
      <w:bookmarkEnd w:id="70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دیة العمد أحد اُمور ستّة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یتخیّر الجانی فی دفع ما شاء منها، وهی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مئة من مسانّ الإبل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الثنایا فصاعداً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بعض کلام المصنّف </w:t>
      </w:r>
      <w:r>
        <w:rPr>
          <w:rStyle w:val="FootnoteAnchor"/>
          <w:rtl w:val="true"/>
        </w:rPr>
        <w:footnoteReference w:id="20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المُسنّة من الثنیّة </w:t>
      </w:r>
      <w:r>
        <w:rPr>
          <w:rStyle w:val="FootnoteAnchor"/>
          <w:rtl w:val="true"/>
        </w:rPr>
        <w:footnoteReference w:id="2088"/>
      </w:r>
      <w:r>
        <w:rPr>
          <w:rFonts w:ascii="IRNazanin" w:hAnsi="IRNazanin" w:eastAsia="IRNazanin"/>
          <w:color w:val="111111"/>
          <w:sz w:val="28"/>
          <w:sz w:val="28"/>
          <w:szCs w:val="28"/>
          <w:rtl w:val="true"/>
          <w:lang w:bidi="fa-IR"/>
        </w:rPr>
        <w:t xml:space="preserve">إلی بازل </w:t>
      </w:r>
      <w:r>
        <w:rPr>
          <w:rStyle w:val="FootnoteAnchor"/>
          <w:rtl w:val="true"/>
        </w:rPr>
        <w:footnoteReference w:id="2089"/>
      </w:r>
      <w:r>
        <w:rPr>
          <w:rFonts w:ascii="IRNazanin" w:hAnsi="IRNazanin" w:eastAsia="IRNazanin"/>
          <w:color w:val="111111"/>
          <w:sz w:val="28"/>
          <w:sz w:val="28"/>
          <w:szCs w:val="28"/>
          <w:rtl w:val="true"/>
          <w:lang w:bidi="fa-IR"/>
        </w:rPr>
        <w:t>عامها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مئتا بقرة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ما یُطلق علیه اسمها</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مئتا حُلّة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حُلّة ثوبان من برود الیمن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القید للتوضیح، فإنّ الحُلّة لا تکون أقلّ من ثوبین، قال </w:t>
      </w:r>
      <w:r>
        <w:rPr>
          <w:rStyle w:val="FootnoteAnchor"/>
          <w:rtl w:val="true"/>
        </w:rPr>
        <w:footnoteReference w:id="2090"/>
      </w:r>
      <w:r>
        <w:rPr>
          <w:rFonts w:ascii="IRNazanin" w:hAnsi="IRNazanin" w:eastAsia="IRNazanin"/>
          <w:color w:val="111111"/>
          <w:sz w:val="28"/>
          <w:sz w:val="28"/>
          <w:szCs w:val="28"/>
          <w:rtl w:val="true"/>
          <w:lang w:bidi="fa-IR"/>
        </w:rPr>
        <w:t>الجوهری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الحُلّة إزار ورداء</w:t>
      </w:r>
      <w:bookmarkStart w:id="710" w:name="pg19815_253483"/>
    </w:p>
    <w:p>
      <w:pPr>
        <w:pStyle w:val="BookText"/>
        <w:rPr/>
      </w:pPr>
      <w:bookmarkEnd w:id="710"/>
      <w:r>
        <w:rPr>
          <w:rFonts w:ascii="Amiri" w:hAnsi="Amiri" w:eastAsia="Amiri" w:cs="Amiri"/>
          <w:color w:val="111111"/>
          <w:sz w:val="28"/>
          <w:sz w:val="28"/>
          <w:szCs w:val="28"/>
          <w:rtl w:val="true"/>
          <w:lang w:bidi="ar-SA"/>
        </w:rPr>
        <w:t xml:space="preserve">لا تسمّی حلّة حتّی تکون ثوبین </w:t>
      </w:r>
      <w:r>
        <w:rPr>
          <w:rStyle w:val="FootnoteAnchor"/>
          <w:rtl w:val="true"/>
        </w:rPr>
        <w:footnoteReference w:id="2091"/>
      </w:r>
      <w:r>
        <w:rPr>
          <w:rFonts w:ascii="IRNazanin" w:hAnsi="IRNazanin" w:eastAsia="IRNazanin"/>
          <w:color w:val="111111"/>
          <w:sz w:val="28"/>
          <w:sz w:val="28"/>
          <w:szCs w:val="28"/>
          <w:rtl w:val="true"/>
          <w:lang w:bidi="fa-IR"/>
        </w:rPr>
        <w:t>والمعتبر اسم الثوب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ألف شاة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ما یطلق علیها اسمها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ألف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مثقال ذهب خالص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عشرة آلاف درهم</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وتُستأدی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دیة العمد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سنة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تأخیرها عنها بغیر رضی المستحقّ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یجب علیه المبادرة إلی أدائها قبل تمام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مال الجانی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یطلبها الولیّ</w:t>
      </w:r>
      <w:r>
        <w:rPr>
          <w:rFonts w:eastAsia="IRNazanin" w:cs="IRNazanin"/>
          <w:color w:val="111111"/>
          <w:sz w:val="28"/>
          <w:szCs w:val="28"/>
          <w:rtl w:val="true"/>
          <w:lang w:bidi="fa-IR"/>
        </w:rPr>
        <w:t>.</w:t>
      </w:r>
    </w:p>
    <w:p>
      <w:pPr>
        <w:pStyle w:val="Heading6"/>
        <w:numPr>
          <w:ilvl w:val="5"/>
          <w:numId w:val="1"/>
        </w:numPr>
        <w:rPr/>
      </w:pPr>
      <w:bookmarkStart w:id="711" w:name="__RefHeading___Toc2228211_2314609296"/>
      <w:bookmarkStart w:id="712" w:name="_Toc268"/>
      <w:bookmarkEnd w:id="711"/>
      <w:r>
        <w:rPr>
          <w:rtl w:val="true"/>
        </w:rPr>
        <w:t>[</w:t>
      </w:r>
      <w:r>
        <w:rPr>
          <w:rtl w:val="true"/>
        </w:rPr>
        <w:t>دیة الشبیه للعمد</w:t>
      </w:r>
      <w:r>
        <w:rPr>
          <w:rtl w:val="true"/>
        </w:rPr>
        <w:t>]</w:t>
      </w:r>
      <w:bookmarkEnd w:id="71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ودیة الشبیه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للعمد مئة من الإبل أیضاً، إلّاأ نّها دونها </w:t>
      </w:r>
      <w:r>
        <w:rPr>
          <w:rStyle w:val="FootnoteAnchor"/>
          <w:rtl w:val="true"/>
        </w:rPr>
        <w:footnoteReference w:id="2092"/>
      </w:r>
      <w:r>
        <w:rPr>
          <w:rFonts w:ascii="IRNazanin" w:hAnsi="IRNazanin" w:eastAsia="IRNazanin"/>
          <w:color w:val="111111"/>
          <w:sz w:val="28"/>
          <w:sz w:val="28"/>
          <w:szCs w:val="28"/>
          <w:rtl w:val="true"/>
          <w:lang w:bidi="fa-IR"/>
        </w:rPr>
        <w:t xml:space="preserve">فی السنّ؛ لأ 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أربع وثلاثون ثنیّة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سنّها خمس سنین فصاعداً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طروقةَ الفحل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وثلاث وثلاثون بنت لبون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سنّها سنتان فصاعداً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وثلاث وثلاثون حِقّة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سنّها ثلاث سنین فصاعداً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أحد الاُمور الخمسة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المتقدّمة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وتستأدی فی سنتین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یجب آخر کلّ حول نصفها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مال الجانی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وتحدید أسنان المئة بما ذکر أحد الأقوال فی المسألة </w:t>
      </w:r>
      <w:r>
        <w:rPr>
          <w:rStyle w:val="FootnoteAnchor"/>
          <w:rtl w:val="true"/>
        </w:rPr>
        <w:footnoteReference w:id="2093"/>
      </w:r>
      <w:r>
        <w:rPr>
          <w:rFonts w:ascii="IRNazanin" w:hAnsi="IRNazanin" w:eastAsia="IRNazanin"/>
          <w:color w:val="111111"/>
          <w:sz w:val="28"/>
          <w:sz w:val="28"/>
          <w:szCs w:val="28"/>
          <w:rtl w:val="true"/>
          <w:lang w:bidi="fa-IR"/>
        </w:rPr>
        <w:t>ومستنده روایتا</w:t>
      </w:r>
    </w:p>
    <w:p>
      <w:pPr>
        <w:pStyle w:val="BookText"/>
        <w:rPr/>
      </w:pPr>
      <w:r>
        <w:rPr>
          <w:rFonts w:ascii="IRNazanin" w:hAnsi="IRNazanin" w:eastAsia="IRNazanin"/>
          <w:color w:val="111111"/>
          <w:sz w:val="28"/>
          <w:sz w:val="28"/>
          <w:szCs w:val="28"/>
          <w:rtl w:val="true"/>
          <w:lang w:bidi="fa-IR"/>
        </w:rPr>
        <w:t xml:space="preserve">أبی بصیر </w:t>
      </w:r>
      <w:r>
        <w:rPr>
          <w:rStyle w:val="FootnoteAnchor"/>
          <w:rtl w:val="true"/>
        </w:rPr>
        <w:footnoteReference w:id="2094"/>
      </w:r>
      <w:r>
        <w:rPr>
          <w:rFonts w:ascii="IRNazanin" w:hAnsi="IRNazanin" w:eastAsia="IRNazanin"/>
          <w:color w:val="111111"/>
          <w:sz w:val="28"/>
          <w:sz w:val="28"/>
          <w:szCs w:val="28"/>
          <w:rtl w:val="true"/>
          <w:lang w:bidi="fa-IR"/>
        </w:rPr>
        <w:t xml:space="preserve">والعلاء بن الفضیل </w:t>
      </w:r>
      <w:r>
        <w:rPr>
          <w:rStyle w:val="FootnoteAnchor"/>
          <w:rtl w:val="true"/>
        </w:rPr>
        <w:footnoteReference w:id="2095"/>
      </w:r>
      <w:r>
        <w:rPr>
          <w:rFonts w:ascii="IRNazanin" w:hAnsi="IRNazanin" w:eastAsia="IRNazanin"/>
          <w:color w:val="111111"/>
          <w:sz w:val="28"/>
          <w:sz w:val="28"/>
          <w:szCs w:val="28"/>
          <w:rtl w:val="true"/>
          <w:lang w:bidi="fa-IR"/>
        </w:rPr>
        <w:t>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واشتملت الاُولی علی کون الثنیّة طروقةَ الفحل، والثانیة علی کونها خَلِفة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بفتح الخاء فکسر اللام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الحامل، فمن ثَمّ فسّرناها بها </w:t>
      </w:r>
      <w:r>
        <w:rPr>
          <w:rStyle w:val="FootnoteAnchor"/>
          <w:rtl w:val="true"/>
        </w:rPr>
        <w:footnoteReference w:id="2096"/>
      </w:r>
      <w:r>
        <w:rPr>
          <w:rFonts w:ascii="IRNazanin" w:hAnsi="IRNazanin" w:eastAsia="IRNazanin"/>
          <w:color w:val="111111"/>
          <w:sz w:val="28"/>
          <w:sz w:val="28"/>
          <w:szCs w:val="28"/>
          <w:rtl w:val="true"/>
          <w:lang w:bidi="fa-IR"/>
        </w:rPr>
        <w:t>وإن کانت بحسب اللفظ أعمّ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فی سند الروایتین ضعف </w:t>
      </w:r>
      <w:r>
        <w:rPr>
          <w:rStyle w:val="FootnoteAnchor"/>
          <w:rtl w:val="true"/>
        </w:rPr>
        <w:footnoteReference w:id="2097"/>
      </w:r>
      <w:r>
        <w:rPr>
          <w:rFonts w:eastAsia="Times New Roman" w:cs="Times New Roman" w:ascii="Times New Roman" w:hAnsi="Times New Roman"/>
          <w:color w:val="111111"/>
          <w:sz w:val="28"/>
          <w:szCs w:val="28"/>
          <w:rtl w:val="true"/>
          <w:lang w:val="en-US" w:bidi="en-US"/>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تأدیتها فی سنتین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فذکره المفید </w:t>
      </w:r>
      <w:r>
        <w:rPr>
          <w:rStyle w:val="FootnoteAnchor"/>
          <w:rtl w:val="true"/>
        </w:rPr>
        <w:footnoteReference w:id="2098"/>
      </w:r>
      <w:r>
        <w:rPr>
          <w:rFonts w:ascii="Amiri" w:hAnsi="Amiri" w:eastAsia="Amiri" w:cs="Amiri"/>
          <w:color w:val="111111"/>
          <w:sz w:val="28"/>
          <w:sz w:val="28"/>
          <w:szCs w:val="28"/>
          <w:rtl w:val="true"/>
          <w:lang w:bidi="ar-SA"/>
        </w:rPr>
        <w:t xml:space="preserve">وتبعه الجماعة </w:t>
      </w:r>
      <w:r>
        <w:rPr>
          <w:rStyle w:val="FootnoteAnchor"/>
          <w:rtl w:val="true"/>
        </w:rPr>
        <w:footnoteReference w:id="2099"/>
      </w:r>
      <w:r>
        <w:rPr>
          <w:rFonts w:ascii="IRNazanin" w:hAnsi="IRNazanin" w:eastAsia="IRNazanin"/>
          <w:color w:val="111111"/>
          <w:sz w:val="28"/>
          <w:sz w:val="28"/>
          <w:szCs w:val="28"/>
          <w:rtl w:val="true"/>
          <w:lang w:bidi="fa-IR"/>
        </w:rPr>
        <w:t>ولم نقف علی مستنده وإنّما الموجود فی روایة أبی ولّاد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تُستأدی دیة الخطأ فی ثلاث سنین وتستأدی دیة العمد فی سنة</w:t>
      </w:r>
      <w:r>
        <w:rPr>
          <w:rFonts w:eastAsia="IRNazanin" w:cs="IRNazanin"/>
          <w:color w:val="111111"/>
          <w:sz w:val="28"/>
          <w:szCs w:val="28"/>
          <w:rtl w:val="true"/>
          <w:lang w:bidi="fa-IR"/>
        </w:rPr>
        <w:t xml:space="preserve">» </w:t>
      </w:r>
      <w:r>
        <w:rPr>
          <w:rStyle w:val="FootnoteAnchor"/>
          <w:rtl w:val="true"/>
        </w:rPr>
        <w:footnoteReference w:id="2100"/>
      </w:r>
      <w:r>
        <w:rPr>
          <w:rFonts w:eastAsia="Times New Roman" w:cs="Times New Roman" w:ascii="Times New Roman" w:hAnsi="Times New Roman"/>
          <w:color w:val="111111"/>
          <w:sz w:val="28"/>
          <w:szCs w:val="28"/>
          <w:rtl w:val="true"/>
          <w:lang w:val="en-US" w:bidi="en-US"/>
        </w:rPr>
        <w:t>.</w:t>
      </w:r>
      <w:bookmarkStart w:id="713" w:name="pg19815_253485"/>
    </w:p>
    <w:p>
      <w:pPr>
        <w:pStyle w:val="BookText"/>
        <w:rPr/>
      </w:pPr>
      <w:bookmarkEnd w:id="71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فی دیة شبیه العمد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صحیحة عبد اللّٰه بن سنان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الخطأ شبیه العمد أن یُقتل بالسوط أو العصا أو الحجر، إنّ دیة ذلک تغلظ وهی مئة من الإبل، منها أربعون خَلِفة من ثنیّة إلی بازل عامها، وثلاثون حِقّة، وثلاثون بنت لبون</w:t>
      </w:r>
      <w:r>
        <w:rPr>
          <w:rFonts w:eastAsia="IRNazanin" w:cs="IRNazanin"/>
          <w:color w:val="111111"/>
          <w:sz w:val="28"/>
          <w:szCs w:val="28"/>
          <w:rtl w:val="true"/>
          <w:lang w:bidi="fa-IR"/>
        </w:rPr>
        <w:t xml:space="preserve">» </w:t>
      </w:r>
      <w:r>
        <w:rPr>
          <w:rStyle w:val="FootnoteAnchor"/>
          <w:rtl w:val="true"/>
        </w:rPr>
        <w:footnoteReference w:id="21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وهذه هی المعتمد؛ لصحّة طریقها، وعلیها العلّامة فی المختلف </w:t>
      </w:r>
      <w:r>
        <w:rPr>
          <w:rStyle w:val="FootnoteAnchor"/>
          <w:rtl w:val="true"/>
        </w:rPr>
        <w:footnoteReference w:id="2102"/>
      </w:r>
      <w:r>
        <w:rPr>
          <w:rFonts w:ascii="IRNazanin" w:hAnsi="IRNazanin" w:eastAsia="IRNazanin"/>
          <w:color w:val="111111"/>
          <w:sz w:val="28"/>
          <w:sz w:val="28"/>
          <w:szCs w:val="28"/>
          <w:rtl w:val="true"/>
          <w:lang w:bidi="fa-IR"/>
        </w:rPr>
        <w:t xml:space="preserve">والتحریر </w:t>
      </w:r>
      <w:r>
        <w:rPr>
          <w:rStyle w:val="FootnoteAnchor"/>
          <w:rtl w:val="true"/>
        </w:rPr>
        <w:footnoteReference w:id="2103"/>
      </w:r>
      <w:r>
        <w:rPr>
          <w:rFonts w:ascii="IRNazanin" w:hAnsi="IRNazanin" w:eastAsia="IRNazanin"/>
          <w:color w:val="111111"/>
          <w:sz w:val="28"/>
          <w:sz w:val="28"/>
          <w:szCs w:val="28"/>
          <w:rtl w:val="true"/>
          <w:lang w:bidi="fa-IR"/>
        </w:rPr>
        <w:t xml:space="preserve">وهو فی غیرهما </w:t>
      </w:r>
      <w:r>
        <w:rPr>
          <w:rStyle w:val="FootnoteAnchor"/>
          <w:rtl w:val="true"/>
        </w:rPr>
        <w:footnoteReference w:id="2104"/>
      </w:r>
      <w:r>
        <w:rPr>
          <w:rFonts w:ascii="Amiri" w:hAnsi="Amiri" w:eastAsia="Amiri" w:cs="Amiri"/>
          <w:color w:val="111111"/>
          <w:sz w:val="28"/>
          <w:sz w:val="28"/>
          <w:szCs w:val="28"/>
          <w:rtl w:val="true"/>
          <w:lang w:bidi="ar-SA"/>
        </w:rPr>
        <w:t>علی الأوّل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والمراد ببازل عامها، ما فَطَر نابُها أی انشقّ فی سنته، وذلک فی السنة التاسعة، وربما بزل فی الثامنة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کانت الثنیّة ما دخلت فی السنة السادسة کان المعتبر من الخَلِفة ما بین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ویُرجع فی معرفة الحامل إلی أهل الخبرة، فإن ظهر الغلط وجب البدل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لو أسقطت قبل التسلیم وإن أحضرها قبلَه</w:t>
      </w:r>
      <w:r>
        <w:rPr>
          <w:rFonts w:eastAsia="IRNazanin" w:cs="IRNazanin"/>
          <w:color w:val="111111"/>
          <w:sz w:val="28"/>
          <w:szCs w:val="28"/>
          <w:rtl w:val="true"/>
          <w:lang w:bidi="fa-IR"/>
        </w:rPr>
        <w:t>.</w:t>
      </w:r>
    </w:p>
    <w:p>
      <w:pPr>
        <w:pStyle w:val="Heading6"/>
        <w:numPr>
          <w:ilvl w:val="5"/>
          <w:numId w:val="1"/>
        </w:numPr>
        <w:rPr/>
      </w:pPr>
      <w:bookmarkStart w:id="714" w:name="__RefHeading___Toc2228213_2314609296"/>
      <w:bookmarkStart w:id="715" w:name="_Toc269"/>
      <w:bookmarkEnd w:id="714"/>
      <w:r>
        <w:rPr>
          <w:rtl w:val="true"/>
        </w:rPr>
        <w:t>[</w:t>
      </w:r>
      <w:r>
        <w:rPr>
          <w:rtl w:val="true"/>
        </w:rPr>
        <w:t>دیة الخطا المحض</w:t>
      </w:r>
      <w:r>
        <w:rPr>
          <w:rtl w:val="true"/>
        </w:rPr>
        <w:t>]</w:t>
      </w:r>
      <w:bookmarkEnd w:id="71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ودیة الخطأ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عشرون بنت مخاض، وعشرون ابن لبون وثلاثون بنت لبون، وثلاثون حِقّة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ذلک دلّت صحیحة ابن سنان السابقة</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وفیه روایة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روایة العلاء بن الفضیل عنه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قتل الخطأ مئة من الإبل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وعشرون بنت مخاض، وخمس وعشرون بنت لبون، وخمس وعشرون حِقّة، وخمس وعشرون جَذَعة</w:t>
      </w:r>
      <w:r>
        <w:rPr>
          <w:rFonts w:eastAsia="IRNazanin" w:cs="IRNazanin"/>
          <w:color w:val="111111"/>
          <w:sz w:val="28"/>
          <w:szCs w:val="28"/>
          <w:rtl w:val="true"/>
          <w:lang w:bidi="fa-IR"/>
        </w:rPr>
        <w:t xml:space="preserve">» </w:t>
      </w:r>
      <w:r>
        <w:rPr>
          <w:rStyle w:val="FootnoteAnchor"/>
          <w:rtl w:val="true"/>
        </w:rPr>
        <w:footnoteReference w:id="2105"/>
      </w:r>
      <w:r>
        <w:rPr>
          <w:rFonts w:ascii="Amiri" w:hAnsi="Amiri" w:eastAsia="Amiri" w:cs="Amiri"/>
          <w:color w:val="111111"/>
          <w:sz w:val="28"/>
          <w:sz w:val="28"/>
          <w:szCs w:val="28"/>
          <w:rtl w:val="true"/>
          <w:lang w:bidi="ar-SA"/>
        </w:rPr>
        <w:t>وقد عرفت أنّ</w:t>
      </w:r>
      <w:bookmarkStart w:id="716" w:name="pg19815_253486"/>
    </w:p>
    <w:p>
      <w:pPr>
        <w:pStyle w:val="BookText"/>
        <w:rPr/>
      </w:pPr>
      <w:bookmarkEnd w:id="716"/>
      <w:r>
        <w:rPr>
          <w:rFonts w:ascii="IRNazanin" w:hAnsi="IRNazanin" w:eastAsia="IRNazanin"/>
          <w:color w:val="111111"/>
          <w:sz w:val="28"/>
          <w:sz w:val="28"/>
          <w:szCs w:val="28"/>
          <w:rtl w:val="true"/>
          <w:lang w:bidi="fa-IR"/>
        </w:rPr>
        <w:t>الاُولی صحیحة الطریق، دون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لیتَه رحمه الله عمل بالصحیحة فی الموضعین </w:t>
      </w:r>
      <w:r>
        <w:rPr>
          <w:rStyle w:val="FootnoteAnchor"/>
          <w:rtl w:val="true"/>
        </w:rPr>
        <w:footnoteReference w:id="2106"/>
      </w:r>
      <w:r>
        <w:rPr>
          <w:rFonts w:ascii="Amiri" w:hAnsi="Amiri" w:eastAsia="Amiri" w:cs="Amiri"/>
          <w:color w:val="111111"/>
          <w:sz w:val="28"/>
          <w:sz w:val="28"/>
          <w:szCs w:val="28"/>
          <w:rtl w:val="true"/>
          <w:lang w:bidi="ar-SA"/>
        </w:rPr>
        <w:t>مع أ نّها أشهر روایةً وفتویً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وتستأدی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دیة الخطأ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ثلاث 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سنة ثلث؛ لما تقدّم </w:t>
      </w:r>
      <w:r>
        <w:rPr>
          <w:rStyle w:val="FootnoteAnchor"/>
          <w:rtl w:val="true"/>
        </w:rPr>
        <w:footnoteReference w:id="21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ومبدأ السنة من حین وجوبها، لا من حین حکم الحاکم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مال العاقلة أو أحد الاُمور الخمسة</w:t>
      </w:r>
      <w:r>
        <w:rPr>
          <w:rFonts w:eastAsia="IRNazanin" w:cs="IRNazanin"/>
          <w:color w:val="111111"/>
          <w:sz w:val="28"/>
          <w:szCs w:val="28"/>
          <w:rtl w:val="true"/>
          <w:lang w:bidi="fa-IR"/>
        </w:rPr>
        <w:t xml:space="preserve">» </w:t>
      </w:r>
      <w:r>
        <w:rPr>
          <w:rStyle w:val="FootnoteAnchor"/>
          <w:rtl w:val="true"/>
        </w:rPr>
        <w:footnoteReference w:id="2108"/>
      </w:r>
      <w:r>
        <w:rPr>
          <w:rFonts w:ascii="IRNazanin" w:hAnsi="IRNazanin" w:eastAsia="IRNazanin"/>
          <w:color w:val="111111"/>
          <w:sz w:val="28"/>
          <w:sz w:val="28"/>
          <w:szCs w:val="28"/>
          <w:rtl w:val="true"/>
          <w:lang w:bidi="fa-IR"/>
        </w:rPr>
        <w:t>ولا یشترط تساویها قیمة، بل یجوز دفع أقلّها علی الأقوی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لا یعتبر قیمة الإبل، بل ما صدق علیه الوصف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رُوی من اعتبار قیمة کلّ بعیر بمئة وعشرین درهماً </w:t>
      </w:r>
      <w:r>
        <w:rPr>
          <w:rStyle w:val="FootnoteAnchor"/>
          <w:rtl w:val="true"/>
        </w:rPr>
        <w:footnoteReference w:id="2109"/>
      </w:r>
      <w:r>
        <w:rPr>
          <w:rFonts w:ascii="IRNazanin" w:hAnsi="IRNazanin" w:eastAsia="IRNazanin"/>
          <w:color w:val="111111"/>
          <w:sz w:val="28"/>
          <w:sz w:val="28"/>
          <w:szCs w:val="28"/>
          <w:rtl w:val="true"/>
          <w:lang w:bidi="fa-IR"/>
        </w:rPr>
        <w:t>محمول علی الأغلب أو الأفضل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القول فی البقر والغنم والحُلَل</w:t>
      </w:r>
      <w:r>
        <w:rPr>
          <w:rFonts w:eastAsia="IRNazanin" w:cs="IRNazanin"/>
          <w:color w:val="111111"/>
          <w:sz w:val="28"/>
          <w:szCs w:val="28"/>
          <w:rtl w:val="true"/>
          <w:lang w:bidi="fa-IR"/>
        </w:rPr>
        <w:t>.</w:t>
      </w:r>
    </w:p>
    <w:p>
      <w:pPr>
        <w:pStyle w:val="Heading6"/>
        <w:numPr>
          <w:ilvl w:val="5"/>
          <w:numId w:val="1"/>
        </w:numPr>
        <w:rPr/>
      </w:pPr>
      <w:bookmarkStart w:id="717" w:name="__RefHeading___Toc2228215_2314609296"/>
      <w:bookmarkStart w:id="718" w:name="_Toc270"/>
      <w:bookmarkEnd w:id="717"/>
      <w:r>
        <w:rPr>
          <w:rtl w:val="true"/>
        </w:rPr>
        <w:t>[</w:t>
      </w:r>
      <w:r>
        <w:rPr>
          <w:rtl w:val="true"/>
        </w:rPr>
        <w:t xml:space="preserve">حکم القتل فی الشهر الحرام او الحرم </w:t>
      </w:r>
      <w:r>
        <w:rPr>
          <w:rtl w:val="true"/>
        </w:rPr>
        <w:t>]</w:t>
      </w:r>
      <w:bookmarkEnd w:id="71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قتل فی الشهر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أحد الأربعة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 القعدة، وذو الحجّة، والمحرّم، ورجب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فی الحرم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الشریف المکّی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علیه ثلث 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أیّ الأجناس کان لمستحقّ الأصل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تغلیظاً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لانتهاکه </w:t>
      </w:r>
      <w:r>
        <w:rPr>
          <w:rStyle w:val="FootnoteAnchor"/>
          <w:rtl w:val="true"/>
        </w:rPr>
        <w:footnoteReference w:id="2110"/>
      </w:r>
      <w:r>
        <w:rPr>
          <w:rFonts w:ascii="IRNazanin" w:hAnsi="IRNazanin" w:eastAsia="IRNazanin"/>
          <w:color w:val="111111"/>
          <w:sz w:val="28"/>
          <w:sz w:val="28"/>
          <w:szCs w:val="28"/>
          <w:rtl w:val="true"/>
          <w:lang w:bidi="fa-IR"/>
        </w:rPr>
        <w:t>حرمتهما</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تغلیظها بالقتل فی أشهر الحرم فإجماعیّ، وبه نصوص کثیرة </w:t>
      </w:r>
      <w:r>
        <w:rPr>
          <w:rStyle w:val="FootnoteAnchor"/>
          <w:rtl w:val="true"/>
        </w:rPr>
        <w:footnoteReference w:id="2111"/>
      </w:r>
    </w:p>
    <w:p>
      <w:pPr>
        <w:pStyle w:val="BookText"/>
        <w:rPr/>
      </w:pPr>
      <w:r>
        <w:rPr>
          <w:rFonts w:ascii="IRNazanin" w:hAnsi="IRNazanin" w:eastAsia="IRNazanin"/>
          <w:color w:val="111111"/>
          <w:sz w:val="28"/>
          <w:sz w:val="28"/>
          <w:szCs w:val="28"/>
          <w:rtl w:val="true"/>
          <w:lang w:bidi="fa-IR"/>
        </w:rPr>
        <w:t xml:space="preserve">وأمّا الحرم فألحقه الشیخان </w:t>
      </w:r>
      <w:r>
        <w:rPr>
          <w:rStyle w:val="FootnoteAnchor"/>
          <w:rtl w:val="true"/>
        </w:rPr>
        <w:footnoteReference w:id="2112"/>
      </w:r>
      <w:r>
        <w:rPr>
          <w:rFonts w:ascii="Amiri" w:hAnsi="Amiri" w:eastAsia="Amiri" w:cs="Amiri"/>
          <w:color w:val="111111"/>
          <w:sz w:val="28"/>
          <w:sz w:val="28"/>
          <w:szCs w:val="28"/>
          <w:rtl w:val="true"/>
          <w:lang w:bidi="ar-SA"/>
        </w:rPr>
        <w:t xml:space="preserve">وتبعهما جماعة </w:t>
      </w:r>
      <w:r>
        <w:rPr>
          <w:rStyle w:val="FootnoteAnchor"/>
          <w:rtl w:val="true"/>
        </w:rPr>
        <w:footnoteReference w:id="2113"/>
      </w:r>
      <w:r>
        <w:rPr>
          <w:rFonts w:ascii="IRNazanin" w:hAnsi="IRNazanin" w:eastAsia="IRNazanin"/>
          <w:color w:val="111111"/>
          <w:sz w:val="28"/>
          <w:sz w:val="28"/>
          <w:szCs w:val="28"/>
          <w:rtl w:val="true"/>
          <w:lang w:bidi="fa-IR"/>
        </w:rPr>
        <w:t>لاشتراکهما فی الحرمة وتغلیظ قتل الصید فیه المناسبِ لتغلیظ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نظر 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وألحق به بعضهم ما لو رمی فی الحِلّ فأصاب فی الحرم أو بالعکس </w:t>
      </w:r>
      <w:r>
        <w:rPr>
          <w:rStyle w:val="FootnoteAnchor"/>
          <w:rtl w:val="true"/>
        </w:rPr>
        <w:footnoteReference w:id="2114"/>
      </w:r>
      <w:r>
        <w:rPr>
          <w:rFonts w:ascii="IRNazanin" w:hAnsi="IRNazanin" w:eastAsia="IRNazanin"/>
          <w:color w:val="111111"/>
          <w:sz w:val="28"/>
          <w:sz w:val="28"/>
          <w:szCs w:val="28"/>
          <w:rtl w:val="true"/>
          <w:lang w:bidi="fa-IR"/>
        </w:rPr>
        <w:t>وهو ضعف فی 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والتغلیظ مختصّ بدیة النفس، فلا یثبت فی الطَرَف وإن أوجب الدیة؛ للأصل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والخیار إلی الجانی فی الستّة فی العمد والشبیه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إلی ولیّ الدم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ظاهر فی الشبیه؛ لأنّ لازمه 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فی العمد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کان الواجب القصاص وإنّما تثبت الدیة برضاه کما مرّ </w:t>
      </w:r>
      <w:r>
        <w:rPr>
          <w:rStyle w:val="FootnoteAnchor"/>
          <w:rtl w:val="true"/>
        </w:rPr>
        <w:footnoteReference w:id="2115"/>
      </w:r>
      <w:r>
        <w:rPr>
          <w:rFonts w:ascii="IRNazanin" w:hAnsi="IRNazanin" w:eastAsia="IRNazanin"/>
          <w:color w:val="111111"/>
          <w:sz w:val="28"/>
          <w:sz w:val="28"/>
          <w:szCs w:val="28"/>
          <w:rtl w:val="true"/>
          <w:lang w:bidi="fa-IR"/>
        </w:rPr>
        <w:t xml:space="preserve">لم یتقیّد الحکم بالستّة، بل لو رضی بالأقلّ أو طلب الأکثر وجب الدفع مع القدرة؛ لما ذکر من العلّة </w:t>
      </w:r>
      <w:r>
        <w:rPr>
          <w:rStyle w:val="FootnoteAnchor"/>
          <w:rtl w:val="true"/>
        </w:rPr>
        <w:footnoteReference w:id="2116"/>
      </w:r>
      <w:r>
        <w:rPr>
          <w:rFonts w:ascii="IRNazanin" w:hAnsi="IRNazanin" w:eastAsia="IRNazanin"/>
          <w:color w:val="111111"/>
          <w:sz w:val="28"/>
          <w:sz w:val="28"/>
          <w:szCs w:val="28"/>
          <w:rtl w:val="true"/>
          <w:lang w:bidi="fa-IR"/>
        </w:rPr>
        <w:t xml:space="preserve">فلا یتحقّق التخییر حینئذٍ، وإنّما یتحقّق علی تقدیر تعیّنها علیه مطلقة </w:t>
      </w:r>
      <w:r>
        <w:rPr>
          <w:rStyle w:val="FootnoteAnchor"/>
          <w:rtl w:val="true"/>
        </w:rPr>
        <w:footnoteReference w:id="2117"/>
      </w:r>
      <w:r>
        <w:rPr>
          <w:rFonts w:eastAsia="Times New Roman" w:cs="Times New Roman" w:ascii="Times New Roman" w:hAnsi="Times New Roman"/>
          <w:color w:val="111111"/>
          <w:sz w:val="28"/>
          <w:szCs w:val="28"/>
          <w:rtl w:val="true"/>
          <w:lang w:val="en-US" w:bidi="en-US"/>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ویمکن فرضه </w:t>
      </w:r>
      <w:r>
        <w:rPr>
          <w:rStyle w:val="FootnoteAnchor"/>
          <w:rtl w:val="true"/>
        </w:rPr>
        <w:footnoteReference w:id="2118"/>
      </w:r>
      <w:r>
        <w:rPr>
          <w:rFonts w:ascii="IRNazanin" w:hAnsi="IRNazanin" w:eastAsia="IRNazanin"/>
          <w:color w:val="111111"/>
          <w:sz w:val="28"/>
          <w:sz w:val="28"/>
          <w:szCs w:val="28"/>
          <w:rtl w:val="true"/>
          <w:lang w:bidi="fa-IR"/>
        </w:rPr>
        <w:t>فیما لو صالحه علی الدیة وأطلق، أو عفا علیها، أو مات القاتل، أو هرب فلم یُقدر علیه وقلنا بأخذ الدیة من ماله، أو بادر بعض الشرکاء</w:t>
      </w:r>
      <w:bookmarkStart w:id="719" w:name="pg19815_253488"/>
    </w:p>
    <w:p>
      <w:pPr>
        <w:pStyle w:val="BookText"/>
        <w:rPr/>
      </w:pPr>
      <w:bookmarkEnd w:id="719"/>
      <w:r>
        <w:rPr>
          <w:rFonts w:ascii="IRNazanin" w:hAnsi="IRNazanin" w:eastAsia="IRNazanin"/>
          <w:color w:val="111111"/>
          <w:sz w:val="28"/>
          <w:sz w:val="28"/>
          <w:szCs w:val="28"/>
          <w:rtl w:val="true"/>
          <w:lang w:bidi="fa-IR"/>
        </w:rPr>
        <w:t>إلی الاقتصاص بغیر إذن الباقین، أو قتل فی الشهر الحرام وما فی حکمه فإنّه یلزمه ثلث دیة زیادةً علی القصاص، أو قتل الأبُ ولدَه، أو قتل العاقل مجنوناً، أو جماعة علی التعاقب فقتله الأوّل وقلنا بوجوب الدیة حیث یفوت المحلّ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التخییر </w:t>
      </w:r>
      <w:r>
        <w:rPr>
          <w:rStyle w:val="FootnoteAnchor"/>
          <w:rtl w:val="true"/>
        </w:rPr>
        <w:footnoteReference w:id="2119"/>
      </w:r>
      <w:r>
        <w:rPr>
          <w:rFonts w:ascii="IRNazanin" w:hAnsi="IRNazanin" w:eastAsia="IRNazanin"/>
          <w:color w:val="111111"/>
          <w:sz w:val="28"/>
          <w:sz w:val="28"/>
          <w:szCs w:val="28"/>
          <w:rtl w:val="true"/>
          <w:lang w:bidi="fa-IR"/>
        </w:rPr>
        <w:t xml:space="preserve">بین الستّة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العاقلة فی الخطأ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وثبوت التخییر فی الموضعین هو المشهور وظاهر النصوص </w:t>
      </w:r>
      <w:r>
        <w:rPr>
          <w:rStyle w:val="FootnoteAnchor"/>
          <w:rtl w:val="true"/>
        </w:rPr>
        <w:footnoteReference w:id="2120"/>
      </w:r>
      <w:r>
        <w:rPr>
          <w:rFonts w:ascii="Amiri" w:hAnsi="Amiri" w:eastAsia="Amiri" w:cs="Amiri"/>
          <w:color w:val="111111"/>
          <w:sz w:val="28"/>
          <w:sz w:val="28"/>
          <w:szCs w:val="28"/>
          <w:rtl w:val="true"/>
          <w:lang w:bidi="ar-SA"/>
        </w:rPr>
        <w:t>یدلّ علیه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وربما قیل بعدمه بل یتعیّن الذهب والفضّة علی أهلهما، والأنعام علی أهلها، والحُلل علی أهل البزّ </w:t>
      </w:r>
      <w:r>
        <w:rPr>
          <w:rStyle w:val="FootnoteAnchor"/>
          <w:rtl w:val="true"/>
        </w:rPr>
        <w:footnoteReference w:id="2121"/>
      </w:r>
      <w:r>
        <w:rPr>
          <w:rFonts w:ascii="IRNazanin" w:hAnsi="IRNazanin" w:eastAsia="IRNazanin"/>
          <w:color w:val="111111"/>
          <w:sz w:val="28"/>
          <w:sz w:val="28"/>
          <w:szCs w:val="28"/>
          <w:rtl w:val="true"/>
          <w:lang w:bidi="fa-IR"/>
        </w:rPr>
        <w:t>والأقوی الأوّل</w:t>
      </w:r>
      <w:r>
        <w:rPr>
          <w:rFonts w:eastAsia="IRNazanin" w:cs="IRNazanin"/>
          <w:color w:val="111111"/>
          <w:sz w:val="28"/>
          <w:szCs w:val="28"/>
          <w:rtl w:val="true"/>
          <w:lang w:bidi="fa-IR"/>
        </w:rPr>
        <w:t>.</w:t>
      </w:r>
    </w:p>
    <w:p>
      <w:pPr>
        <w:pStyle w:val="Heading6"/>
        <w:numPr>
          <w:ilvl w:val="5"/>
          <w:numId w:val="1"/>
        </w:numPr>
        <w:rPr/>
      </w:pPr>
      <w:bookmarkStart w:id="720" w:name="__RefHeading___Toc2228217_2314609296"/>
      <w:bookmarkStart w:id="721" w:name="_Toc271"/>
      <w:bookmarkEnd w:id="720"/>
      <w:r>
        <w:rPr>
          <w:rtl w:val="true"/>
        </w:rPr>
        <w:t>[</w:t>
      </w:r>
      <w:r>
        <w:rPr>
          <w:rtl w:val="true"/>
        </w:rPr>
        <w:t>دیة المراة و الخنثی</w:t>
      </w:r>
      <w:r>
        <w:rPr>
          <w:rtl w:val="true"/>
        </w:rPr>
        <w:t>]</w:t>
      </w:r>
      <w:bookmarkEnd w:id="72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ودیة المرأة النصف من ذلک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والخنثی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ثلاثة أرباعه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الأحوال الثلاثة، وکذا الجراحات والأطراف علی النصف ما لم یقصر عن ثلث الدیة، فیتساویان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إلحاق الحکم </w:t>
      </w:r>
      <w:r>
        <w:rPr>
          <w:rStyle w:val="FootnoteAnchor"/>
          <w:rtl w:val="true"/>
        </w:rPr>
        <w:footnoteReference w:id="2122"/>
      </w:r>
      <w:r>
        <w:rPr>
          <w:rFonts w:ascii="IRNazanin" w:hAnsi="IRNazanin" w:eastAsia="IRNazanin"/>
          <w:color w:val="111111"/>
          <w:sz w:val="28"/>
          <w:sz w:val="28"/>
          <w:szCs w:val="28"/>
          <w:rtl w:val="true"/>
          <w:lang w:bidi="fa-IR"/>
        </w:rPr>
        <w:t>بالخنثی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والمتّجه العدم؛ للأصل</w:t>
      </w:r>
      <w:r>
        <w:rPr>
          <w:rFonts w:eastAsia="IRNazanin" w:cs="IRNazanin"/>
          <w:color w:val="111111"/>
          <w:sz w:val="28"/>
          <w:szCs w:val="28"/>
          <w:rtl w:val="true"/>
          <w:lang w:bidi="fa-IR"/>
        </w:rPr>
        <w:t>.</w:t>
      </w:r>
    </w:p>
    <w:p>
      <w:pPr>
        <w:pStyle w:val="Heading6"/>
        <w:numPr>
          <w:ilvl w:val="5"/>
          <w:numId w:val="1"/>
        </w:numPr>
        <w:rPr/>
      </w:pPr>
      <w:bookmarkStart w:id="722" w:name="__RefHeading___Toc2228219_2314609296"/>
      <w:bookmarkStart w:id="723" w:name="_Toc272"/>
      <w:bookmarkEnd w:id="722"/>
      <w:r>
        <w:rPr>
          <w:rtl w:val="true"/>
        </w:rPr>
        <w:t>[</w:t>
      </w:r>
      <w:r>
        <w:rPr>
          <w:rtl w:val="true"/>
        </w:rPr>
        <w:t>دیة الذمی و الذمیة</w:t>
      </w:r>
      <w:r>
        <w:rPr>
          <w:rtl w:val="true"/>
        </w:rPr>
        <w:t>]</w:t>
      </w:r>
      <w:bookmarkEnd w:id="723"/>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یهودیّاً کان أم نصرانیّاً أو مجوسیّاً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ثمانمئة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الأشهر روایةً </w:t>
      </w:r>
      <w:r>
        <w:rPr>
          <w:rStyle w:val="FootnoteAnchor"/>
          <w:rtl w:val="true"/>
        </w:rPr>
        <w:footnoteReference w:id="2123"/>
      </w:r>
      <w:r>
        <w:rPr>
          <w:rFonts w:ascii="Amiri" w:hAnsi="Amiri" w:eastAsia="Amiri" w:cs="Amiri"/>
          <w:color w:val="111111"/>
          <w:sz w:val="28"/>
          <w:sz w:val="28"/>
          <w:szCs w:val="28"/>
          <w:rtl w:val="true"/>
          <w:lang w:bidi="ar-SA"/>
        </w:rPr>
        <w:t xml:space="preserve">وفتویً </w:t>
      </w:r>
      <w:r>
        <w:rPr>
          <w:rStyle w:val="FootnoteAnchor"/>
          <w:rtl w:val="true"/>
        </w:rPr>
        <w:footnoteReference w:id="2124"/>
      </w:r>
      <w:r>
        <w:rPr>
          <w:rFonts w:ascii="Amiri" w:hAnsi="Amiri" w:eastAsia="Amiri" w:cs="Amiri"/>
          <w:color w:val="111111"/>
          <w:sz w:val="28"/>
          <w:sz w:val="28"/>
          <w:szCs w:val="28"/>
          <w:rtl w:val="true"/>
          <w:lang w:bidi="ar-SA"/>
        </w:rPr>
        <w:t xml:space="preserve">ورُوی صحیحاً أنّ دیته کدیة المسلم </w:t>
      </w:r>
      <w:r>
        <w:rPr>
          <w:rStyle w:val="FootnoteAnchor"/>
          <w:rtl w:val="true"/>
        </w:rPr>
        <w:footnoteReference w:id="2125"/>
      </w:r>
      <w:r>
        <w:rPr>
          <w:rFonts w:ascii="Amiri" w:hAnsi="Amiri" w:eastAsia="Amiri" w:cs="Amiri"/>
          <w:color w:val="111111"/>
          <w:sz w:val="28"/>
          <w:sz w:val="28"/>
          <w:szCs w:val="28"/>
          <w:rtl w:val="true"/>
          <w:lang w:bidi="ar-SA"/>
        </w:rPr>
        <w:t xml:space="preserve">وأ نّها أربعة آلاف درهم </w:t>
      </w:r>
      <w:r>
        <w:rPr>
          <w:rStyle w:val="FootnoteAnchor"/>
          <w:rtl w:val="true"/>
        </w:rPr>
        <w:footnoteReference w:id="2126"/>
      </w:r>
      <w:r>
        <w:rPr>
          <w:rFonts w:ascii="IRNazanin" w:hAnsi="IRNazanin" w:eastAsia="IRNazanin"/>
          <w:color w:val="111111"/>
          <w:sz w:val="28"/>
          <w:sz w:val="28"/>
          <w:szCs w:val="28"/>
          <w:rtl w:val="true"/>
          <w:lang w:bidi="fa-IR"/>
        </w:rPr>
        <w:t>والعمل بهما نادر، وحملهما الشیخ علی من یعتاد</w:t>
      </w:r>
      <w:bookmarkStart w:id="724" w:name="pg19815_253489"/>
    </w:p>
    <w:p>
      <w:pPr>
        <w:pStyle w:val="BookText"/>
        <w:rPr/>
      </w:pPr>
      <w:bookmarkEnd w:id="724"/>
      <w:r>
        <w:rPr>
          <w:rFonts w:ascii="IRNazanin" w:hAnsi="IRNazanin" w:eastAsia="IRNazanin"/>
          <w:color w:val="111111"/>
          <w:sz w:val="28"/>
          <w:sz w:val="28"/>
          <w:szCs w:val="28"/>
          <w:rtl w:val="true"/>
          <w:lang w:bidi="fa-IR"/>
        </w:rPr>
        <w:t xml:space="preserve">قتلهم </w:t>
      </w:r>
      <w:r>
        <w:rPr>
          <w:rStyle w:val="FootnoteAnchor"/>
          <w:rtl w:val="true"/>
        </w:rPr>
        <w:footnoteReference w:id="2127"/>
      </w:r>
      <w:r>
        <w:rPr>
          <w:rFonts w:ascii="IRNazanin" w:hAnsi="IRNazanin" w:eastAsia="IRNazanin"/>
          <w:color w:val="111111"/>
          <w:sz w:val="28"/>
          <w:sz w:val="28"/>
          <w:szCs w:val="28"/>
          <w:rtl w:val="true"/>
          <w:lang w:bidi="fa-IR"/>
        </w:rPr>
        <w:t>فللإمام أن یکلّفه ما شاء منهما، کما لَه قتلُه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الذمّیّة نصفها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أربعمئة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ودیة أعضائهما وجراحاتهما من دیتهما کدیة أعضاء المسلم وجراحاته من دیته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التغلیظ بما یغلظ به علی المسلم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عموم الأخبار، وکون التغلیظ علی خلاف الأصل، فیقتصر فیه علی موضع الوفاق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الأوّل أقوی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وکذا تتساوی دیة الرجل منهم والمرأة إلی أن تبلغ ثلث الدیة فتنتصف کالمسلم </w:t>
      </w:r>
      <w:r>
        <w:rPr>
          <w:rStyle w:val="FootnoteAnchor"/>
          <w:rtl w:val="true"/>
        </w:rPr>
        <w:footnoteReference w:id="21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دیة لغیر الثلاثة من أصناف الکفّار مطلقاً </w:t>
      </w:r>
      <w:r>
        <w:rPr>
          <w:rStyle w:val="FootnoteAnchor"/>
          <w:rtl w:val="true"/>
        </w:rPr>
        <w:footnoteReference w:id="212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25" w:name="__RefHeading___Toc2228221_2314609296"/>
      <w:bookmarkStart w:id="726" w:name="_Toc273"/>
      <w:bookmarkEnd w:id="725"/>
      <w:r>
        <w:rPr>
          <w:rtl w:val="true"/>
        </w:rPr>
        <w:t>[</w:t>
      </w:r>
      <w:r>
        <w:rPr>
          <w:rtl w:val="true"/>
        </w:rPr>
        <w:t xml:space="preserve">دیة العبد </w:t>
      </w:r>
      <w:r>
        <w:rPr>
          <w:rtl w:val="true"/>
        </w:rPr>
        <w:t>]</w:t>
      </w:r>
      <w:bookmarkEnd w:id="72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العبد قیمته ما لم تتجاوز دیة الحرّ، فتردّ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تجاوزتها، وتؤخذ من الجانی إن کان عمداً أو شبه عمد، ومن عاقلته إن کان خطأً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ودیة الأمة قیمتها ما لم تتجاوز دیة الحرّة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الاعتبار بدیة الحرّ المسلم إن کان المملوک مسلماً وإن کان مولاه ذمّیّاً علی الأقوی، وبدیة الذمّی إن کان المملوک ذمّیّاً وإن کان مولاه مسلماً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ویُستثنی من ذلک ما لو کان الجانی هو الغاصب، فیلزمه القیمة وإن زادت عن دیة الحرّ</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ودیة أعضائه وجراحاته بنسبة دیة الحرّ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له مقدّر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والحرّ أصل له فی المقدَّر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قطع یده نصف قیمته، وهکذا</w:t>
      </w:r>
      <w:r>
        <w:rPr>
          <w:rFonts w:eastAsia="IRNazanin" w:cs="IRNazanin"/>
          <w:color w:val="111111"/>
          <w:sz w:val="28"/>
          <w:szCs w:val="28"/>
          <w:rtl w:val="true"/>
          <w:lang w:bidi="fa-IR"/>
        </w:rPr>
        <w:t>. . . «</w:t>
      </w:r>
      <w:r>
        <w:rPr>
          <w:rFonts w:ascii="IRNazanin" w:hAnsi="IRNazanin" w:eastAsia="IRNazanin"/>
          <w:color w:val="111111"/>
          <w:sz w:val="28"/>
          <w:sz w:val="28"/>
          <w:szCs w:val="28"/>
          <w:rtl w:val="true"/>
          <w:lang w:bidi="fa-IR"/>
        </w:rPr>
        <w:t>وینعکس فی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فیصیر العبد أصلاً للحرّ فیما لا تقدیر لدیته من الحرّ، فیُفرض الحرّ عبداً</w:t>
      </w:r>
      <w:bookmarkStart w:id="727" w:name="pg19815_253490"/>
    </w:p>
    <w:p>
      <w:pPr>
        <w:pStyle w:val="BookText"/>
        <w:rPr/>
      </w:pPr>
      <w:bookmarkEnd w:id="727"/>
      <w:r>
        <w:rPr>
          <w:rFonts w:ascii="IRNazanin" w:hAnsi="IRNazanin" w:eastAsia="IRNazanin"/>
          <w:color w:val="111111"/>
          <w:sz w:val="28"/>
          <w:sz w:val="28"/>
          <w:szCs w:val="28"/>
          <w:rtl w:val="true"/>
          <w:lang w:bidi="fa-IR"/>
        </w:rPr>
        <w:t>سلیماً من الجنایة، ویُنظر کم قیمته حینئذٍ، ویُفرض عبداً فیه تلک الجنایة وینظر قیمته، وتنسب إحدی القیمتین إلی الاُخری ویؤخذ له من الدیة بتلک النسبة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جُنی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علی المملوک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فیه قیمته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کقطع اللسان والأنف والذکر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تخیّر مولاه فی أخذ قیمته ودفعه إلی الجانی وبین الرضا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بغیر عوض؛ لئلّا یجمع بین العوض والمعوَّض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إذا کانت الجنایة عمداً أو شبهه، فلو کانت خطأً لم یدفع إلی الجانی؛ لأ نّه لم یغرم شیئاً، بل إلی عاقلته علی الظاهر إن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العاقلة تعقله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ویستثنی من ذلک أیضاً الغاصب لو جنی علی المغصوب بما فیه قیمته، فإنّه یؤخذ منه القیمة والمملوک علی أصحّ القولین </w:t>
      </w:r>
      <w:r>
        <w:rPr>
          <w:rStyle w:val="FootnoteAnchor"/>
          <w:rtl w:val="true"/>
        </w:rPr>
        <w:footnoteReference w:id="2130"/>
      </w:r>
      <w:r>
        <w:rPr>
          <w:rFonts w:ascii="IRNazanin" w:hAnsi="IRNazanin" w:eastAsia="IRNazanin"/>
          <w:color w:val="111111"/>
          <w:sz w:val="28"/>
          <w:sz w:val="28"/>
          <w:szCs w:val="28"/>
          <w:rtl w:val="true"/>
          <w:lang w:bidi="fa-IR"/>
        </w:rPr>
        <w:t>لأنّ جانب المالیّة فیه ملحوظ، والجمع بین العوض والمعوض مندفع مطلقاً؛ لأنّ القیمة عوض الجزء الفائت، لا الباقی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ولولا الاتّفاق علیه هنا اتّجه الجمع مطلقاً فیقتصر فی دفعه علی محلّ الوفاق</w:t>
      </w:r>
      <w:r>
        <w:rPr>
          <w:rFonts w:eastAsia="IRNazanin" w:cs="IRNazanin"/>
          <w:color w:val="111111"/>
          <w:sz w:val="28"/>
          <w:szCs w:val="28"/>
          <w:rtl w:val="true"/>
          <w:lang w:bidi="fa-IR"/>
        </w:rPr>
        <w:t>.</w:t>
      </w:r>
    </w:p>
    <w:p>
      <w:pPr>
        <w:pStyle w:val="Heading5"/>
        <w:numPr>
          <w:ilvl w:val="4"/>
          <w:numId w:val="1"/>
        </w:numPr>
        <w:rPr/>
      </w:pPr>
      <w:bookmarkStart w:id="728" w:name="__RefHeading___Toc2228223_2314609296"/>
      <w:bookmarkStart w:id="729" w:name="_Toc274"/>
      <w:bookmarkEnd w:id="728"/>
      <w:r>
        <w:rPr>
          <w:rtl w:val="true"/>
        </w:rPr>
        <w:t>«</w:t>
      </w:r>
      <w:r>
        <w:rPr>
          <w:rtl w:val="true"/>
        </w:rPr>
        <w:t xml:space="preserve">الثانیة </w:t>
      </w:r>
      <w:r>
        <w:rPr>
          <w:rtl w:val="true"/>
        </w:rPr>
        <w:t>[</w:t>
      </w:r>
      <w:r>
        <w:rPr>
          <w:rtl w:val="true"/>
        </w:rPr>
        <w:t>فی شعر الراس و اللحیة</w:t>
      </w:r>
      <w:r>
        <w:rPr>
          <w:rtl w:val="true"/>
        </w:rPr>
        <w:t>] » :</w:t>
      </w:r>
      <w:bookmarkEnd w:id="729"/>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شعر الرأس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لم ینبت، لرجل کان أم لغیره؛ لروایة سلیمان بن خالد </w:t>
      </w:r>
      <w:r>
        <w:rPr>
          <w:rStyle w:val="FootnoteAnchor"/>
          <w:rtl w:val="true"/>
        </w:rPr>
        <w:footnoteReference w:id="2131"/>
      </w:r>
      <w:r>
        <w:rPr>
          <w:rFonts w:ascii="IRNazanin" w:hAnsi="IRNazanin" w:eastAsia="IRNazanin"/>
          <w:color w:val="111111"/>
          <w:sz w:val="28"/>
          <w:sz w:val="28"/>
          <w:szCs w:val="28"/>
          <w:rtl w:val="true"/>
          <w:lang w:bidi="fa-IR"/>
        </w:rPr>
        <w:t xml:space="preserve">وغیرها </w:t>
      </w:r>
      <w:r>
        <w:rPr>
          <w:rStyle w:val="FootnoteAnchor"/>
          <w:rtl w:val="true"/>
        </w:rPr>
        <w:footnoteReference w:id="21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وکذا فی شعر اللحیة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لحیة</w:t>
      </w:r>
    </w:p>
    <w:p>
      <w:pPr>
        <w:pStyle w:val="BookText"/>
        <w:rPr/>
      </w:pPr>
      <w:r>
        <w:rPr>
          <w:rFonts w:ascii="IRNazanin" w:hAnsi="IRNazanin" w:eastAsia="IRNazanin"/>
          <w:color w:val="111111"/>
          <w:sz w:val="28"/>
          <w:sz w:val="28"/>
          <w:szCs w:val="28"/>
          <w:rtl w:val="true"/>
          <w:lang w:bidi="fa-IR"/>
        </w:rPr>
        <w:t xml:space="preserve">المرأة ففیها الأرش مطلقاً </w:t>
      </w:r>
      <w:r>
        <w:rPr>
          <w:rStyle w:val="FootnoteAnchor"/>
          <w:rtl w:val="true"/>
        </w:rPr>
        <w:footnoteReference w:id="2133"/>
      </w:r>
      <w:r>
        <w:rPr>
          <w:rFonts w:ascii="IRNazanin" w:hAnsi="IRNazanin" w:eastAsia="IRNazanin"/>
          <w:color w:val="111111"/>
          <w:sz w:val="28"/>
          <w:sz w:val="28"/>
          <w:szCs w:val="28"/>
          <w:rtl w:val="true"/>
          <w:lang w:bidi="fa-IR"/>
        </w:rPr>
        <w:t xml:space="preserve">وکذا الخنثی المشکل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نبتا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شعر الرأس واللحیة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الجنایة علیهما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فالأرش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لم یکن شعر الرأس لامرأة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نبت شعر رأس المرأة ففیه مهر نسائها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الشعرین أقوال </w:t>
      </w:r>
      <w:r>
        <w:rPr>
          <w:rStyle w:val="FootnoteAnchor"/>
          <w:rtl w:val="true"/>
        </w:rPr>
        <w:footnoteReference w:id="2134"/>
      </w:r>
      <w:r>
        <w:rPr>
          <w:rFonts w:ascii="IRNazanin" w:hAnsi="IRNazanin" w:eastAsia="IRNazanin"/>
          <w:color w:val="111111"/>
          <w:sz w:val="28"/>
          <w:sz w:val="28"/>
          <w:szCs w:val="28"/>
          <w:rtl w:val="true"/>
          <w:lang w:bidi="fa-IR"/>
        </w:rPr>
        <w:t>هذا أجودها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شعر الحاجبین خمسمئة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نصف الدیة، وفی کلّ واحد منهما نصف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المشهور، بل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إجماع </w:t>
      </w:r>
      <w:r>
        <w:rPr>
          <w:rStyle w:val="FootnoteAnchor"/>
          <w:rtl w:val="true"/>
        </w:rPr>
        <w:footnoteReference w:id="21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فیهما الدیة </w:t>
      </w:r>
      <w:r>
        <w:rPr>
          <w:rStyle w:val="FootnoteAnchor"/>
          <w:rtl w:val="true"/>
        </w:rPr>
        <w:footnoteReference w:id="2136"/>
      </w:r>
      <w:r>
        <w:rPr>
          <w:rFonts w:ascii="IRNazanin" w:hAnsi="IRNazanin" w:eastAsia="IRNazanin"/>
          <w:color w:val="111111"/>
          <w:sz w:val="28"/>
          <w:sz w:val="28"/>
          <w:szCs w:val="28"/>
          <w:rtl w:val="true"/>
          <w:lang w:bidi="fa-IR"/>
        </w:rPr>
        <w:t>کغیرهما ممّا فی الإنسان منه اثنان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عاد شعرهما فالأرش علی الأظهر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بعضه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بعض کلّ واحد من الشعور المذکورة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یثبت فیه من الدیة المذکورة بنسبة مساحة محلّ الشعر المجنیّ علیه إلی محلّ الجمیع وإن اختلف کثافةً وخفّةً</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والمرجع فی نبات الشعر وعدمه إلی أهل الخبرة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اشتبه فالمرویّ أ نّه ینتظر سنة ثمّ تؤخذ الدیة إن لم یَعُد </w:t>
      </w:r>
      <w:r>
        <w:rPr>
          <w:rStyle w:val="FootnoteAnchor"/>
          <w:rtl w:val="true"/>
        </w:rPr>
        <w:footnoteReference w:id="2137"/>
      </w:r>
      <w:r>
        <w:rPr>
          <w:rFonts w:ascii="Amiri" w:hAnsi="Amiri" w:eastAsia="Amiri" w:cs="Amiri"/>
          <w:color w:val="111111"/>
          <w:sz w:val="28"/>
          <w:sz w:val="28"/>
          <w:szCs w:val="28"/>
          <w:rtl w:val="true"/>
          <w:lang w:bidi="ar-SA"/>
        </w:rPr>
        <w:t>ولو طلب الأرش قبلَها دُفع إلیه؛ لأنّه إمّا</w:t>
      </w:r>
      <w:bookmarkStart w:id="730" w:name="pg19815_253492"/>
    </w:p>
    <w:p>
      <w:pPr>
        <w:pStyle w:val="BookText"/>
        <w:rPr/>
      </w:pPr>
      <w:bookmarkEnd w:id="730"/>
      <w:r>
        <w:rPr>
          <w:rFonts w:ascii="IRNazanin" w:hAnsi="IRNazanin" w:eastAsia="IRNazanin"/>
          <w:color w:val="111111"/>
          <w:sz w:val="28"/>
          <w:sz w:val="28"/>
          <w:szCs w:val="28"/>
          <w:rtl w:val="true"/>
          <w:lang w:bidi="fa-IR"/>
        </w:rPr>
        <w:t>الحقّ أو بعضه، فإن مضت ولم یعد اُکمِل له علی الدیة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الأهداب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بالمعجمة والمهملة جمع هُدْب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بضمّ الهاء فسکون الدال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وهو شعر الأجفان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الأرش علی 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إدریس </w:t>
      </w:r>
      <w:r>
        <w:rPr>
          <w:rStyle w:val="FootnoteAnchor"/>
          <w:rtl w:val="true"/>
        </w:rPr>
        <w:footnoteReference w:id="2138"/>
      </w:r>
      <w:r>
        <w:rPr>
          <w:rFonts w:ascii="IRNazanin" w:hAnsi="IRNazanin" w:eastAsia="IRNazanin"/>
          <w:color w:val="111111"/>
          <w:sz w:val="28"/>
          <w:sz w:val="28"/>
          <w:szCs w:val="28"/>
          <w:rtl w:val="true"/>
          <w:lang w:bidi="fa-IR"/>
        </w:rPr>
        <w:t xml:space="preserve">والعلّامة فی أکثر کتبه </w:t>
      </w:r>
      <w:r>
        <w:rPr>
          <w:rStyle w:val="FootnoteAnchor"/>
          <w:rtl w:val="true"/>
        </w:rPr>
        <w:footnoteReference w:id="2139"/>
      </w:r>
      <w:r>
        <w:rPr>
          <w:rFonts w:ascii="IRNazanin" w:hAnsi="IRNazanin" w:eastAsia="IRNazanin"/>
          <w:color w:val="111111"/>
          <w:sz w:val="28"/>
          <w:sz w:val="28"/>
          <w:szCs w:val="28"/>
          <w:rtl w:val="true"/>
          <w:lang w:bidi="fa-IR"/>
        </w:rPr>
        <w:t xml:space="preserve">کشعر الساعدین وغیره؛ لأصالة البراءة من الزائد حیث لا یثبت له مقدّر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والدیة علی قول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w:t>
      </w:r>
      <w:r>
        <w:rPr>
          <w:rStyle w:val="FootnoteAnchor"/>
          <w:rtl w:val="true"/>
        </w:rPr>
        <w:footnoteReference w:id="2140"/>
      </w:r>
      <w:r>
        <w:rPr>
          <w:rFonts w:ascii="IRNazanin" w:hAnsi="IRNazanin" w:eastAsia="IRNazanin"/>
          <w:color w:val="111111"/>
          <w:sz w:val="28"/>
          <w:sz w:val="28"/>
          <w:szCs w:val="28"/>
          <w:rtl w:val="true"/>
          <w:lang w:bidi="fa-IR"/>
        </w:rPr>
        <w:t xml:space="preserve">والأکثر منهم العلّامة فی القواعد </w:t>
      </w:r>
      <w:r>
        <w:rPr>
          <w:rStyle w:val="FootnoteAnchor"/>
          <w:rtl w:val="true"/>
        </w:rPr>
        <w:footnoteReference w:id="2141"/>
      </w:r>
      <w:r>
        <w:rPr>
          <w:rFonts w:ascii="IRNazanin" w:hAnsi="IRNazanin" w:eastAsia="IRNazanin"/>
          <w:color w:val="111111"/>
          <w:sz w:val="28"/>
          <w:sz w:val="28"/>
          <w:szCs w:val="28"/>
          <w:rtl w:val="true"/>
          <w:lang w:bidi="fa-IR"/>
        </w:rPr>
        <w:t xml:space="preserve">للحدیث العامّ الدالّ علی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 ما فی البدن منه واحد ففیه الدیة، أو اثنان ففیهما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الدیة </w:t>
      </w:r>
      <w:r>
        <w:rPr>
          <w:rFonts w:eastAsia="IRNazanin" w:cs="IRNazanin"/>
          <w:color w:val="111111"/>
          <w:sz w:val="28"/>
          <w:szCs w:val="28"/>
          <w:rtl w:val="true"/>
          <w:lang w:bidi="fa-IR"/>
        </w:rPr>
        <w:t xml:space="preserve">] </w:t>
      </w:r>
      <w:r>
        <w:rPr>
          <w:rStyle w:val="FootnoteAnchor"/>
          <w:rtl w:val="true"/>
        </w:rPr>
        <w:footnoteReference w:id="2142"/>
      </w:r>
      <w:r>
        <w:rPr>
          <w:rStyle w:val="FootnoteAnchor"/>
          <w:rtl w:val="true"/>
        </w:rPr>
        <w:footnoteReference w:id="21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وفیها قول ثالث للقاضی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فیهما نصف الدیة کالحاجبین </w:t>
      </w:r>
      <w:r>
        <w:rPr>
          <w:rStyle w:val="FootnoteAnchor"/>
          <w:rtl w:val="true"/>
        </w:rPr>
        <w:footnoteReference w:id="2144"/>
      </w:r>
      <w:r>
        <w:rPr>
          <w:rFonts w:ascii="IRNazanin" w:hAnsi="IRNazanin" w:eastAsia="IRNazanin"/>
          <w:color w:val="111111"/>
          <w:sz w:val="28"/>
          <w:sz w:val="28"/>
          <w:szCs w:val="28"/>
          <w:rtl w:val="true"/>
          <w:lang w:bidi="fa-IR"/>
        </w:rPr>
        <w:t>والأوّل أقوی</w:t>
      </w:r>
      <w:r>
        <w:rPr>
          <w:rFonts w:eastAsia="IRNazanin" w:cs="IRNazanin"/>
          <w:color w:val="111111"/>
          <w:sz w:val="28"/>
          <w:szCs w:val="28"/>
          <w:rtl w:val="true"/>
          <w:lang w:bidi="fa-IR"/>
        </w:rPr>
        <w:t>.</w:t>
      </w:r>
    </w:p>
    <w:p>
      <w:pPr>
        <w:pStyle w:val="Heading5"/>
        <w:numPr>
          <w:ilvl w:val="4"/>
          <w:numId w:val="1"/>
        </w:numPr>
        <w:rPr/>
      </w:pPr>
      <w:bookmarkStart w:id="731" w:name="__RefHeading___Toc2228225_2314609296"/>
      <w:bookmarkStart w:id="732" w:name="_Toc275"/>
      <w:bookmarkEnd w:id="731"/>
      <w:r>
        <w:rPr>
          <w:rtl w:val="true"/>
        </w:rPr>
        <w:t>«</w:t>
      </w:r>
      <w:r>
        <w:rPr>
          <w:rtl w:val="true"/>
        </w:rPr>
        <w:t xml:space="preserve">الثالثة </w:t>
      </w:r>
      <w:r>
        <w:rPr>
          <w:rtl w:val="true"/>
        </w:rPr>
        <w:t>[</w:t>
      </w:r>
      <w:r>
        <w:rPr>
          <w:rtl w:val="true"/>
        </w:rPr>
        <w:t>فی العنیین و الاجفان</w:t>
      </w:r>
      <w:r>
        <w:rPr>
          <w:rtl w:val="true"/>
        </w:rPr>
        <w:t>] » :</w:t>
      </w:r>
      <w:bookmarkEnd w:id="732"/>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العینین الدیة، وفی کلّ واحدة النصف، صحیحةً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العین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حولاء أو عمشاء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ضعیفة البصر مع سیلان دمعها فی أکثر أوقاتها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جاحظة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عظیمة المُقْلَة </w:t>
      </w:r>
      <w:r>
        <w:rPr>
          <w:rStyle w:val="FootnoteAnchor"/>
          <w:rtl w:val="true"/>
        </w:rPr>
        <w:footnoteReference w:id="2145"/>
      </w:r>
      <w:r>
        <w:rPr>
          <w:rFonts w:ascii="IRNazanin" w:hAnsi="IRNazanin" w:eastAsia="IRNazanin"/>
          <w:color w:val="111111"/>
          <w:sz w:val="28"/>
          <w:sz w:val="28"/>
          <w:szCs w:val="28"/>
          <w:rtl w:val="true"/>
          <w:lang w:bidi="fa-IR"/>
        </w:rPr>
        <w:t xml:space="preserve">أو غیر ذلک کالجهراء </w:t>
      </w:r>
      <w:r>
        <w:rPr>
          <w:rStyle w:val="FootnoteAnchor"/>
          <w:rtl w:val="true"/>
        </w:rPr>
        <w:footnoteReference w:id="2146"/>
      </w:r>
      <w:r>
        <w:rPr>
          <w:rFonts w:ascii="IRNazanin" w:hAnsi="IRNazanin" w:eastAsia="IRNazanin"/>
          <w:color w:val="111111"/>
          <w:sz w:val="28"/>
          <w:sz w:val="28"/>
          <w:szCs w:val="28"/>
          <w:rtl w:val="true"/>
          <w:lang w:bidi="fa-IR"/>
        </w:rPr>
        <w:t xml:space="preserve">والرمدی </w:t>
      </w:r>
      <w:r>
        <w:rPr>
          <w:rStyle w:val="FootnoteAnchor"/>
          <w:rtl w:val="true"/>
        </w:rPr>
        <w:footnoteReference w:id="2147"/>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لو کان علیها بیاض، فإن بقی البصر معه تامّاً فکذلک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نقص نقص من الدیة بحسبه، ویرجع فیه إلی رأی الحاکم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الأجفان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الأربعة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الدیة، وفی کلّ واحد الربع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للخبر العامّ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الأعلی ثلثا الدیة، وفی الأسفل الثلث </w:t>
      </w:r>
      <w:r>
        <w:rPr>
          <w:rStyle w:val="FootnoteAnchor"/>
          <w:rtl w:val="true"/>
        </w:rPr>
        <w:footnoteReference w:id="21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الأعلی الثلث، وفی الأسفل النصف </w:t>
      </w:r>
      <w:r>
        <w:rPr>
          <w:rStyle w:val="FootnoteAnchor"/>
          <w:rtl w:val="true"/>
        </w:rPr>
        <w:footnoteReference w:id="2149"/>
      </w:r>
      <w:r>
        <w:rPr>
          <w:rFonts w:ascii="IRNazanin" w:hAnsi="IRNazanin" w:eastAsia="IRNazanin"/>
          <w:color w:val="111111"/>
          <w:sz w:val="28"/>
          <w:sz w:val="28"/>
          <w:szCs w:val="28"/>
          <w:rtl w:val="true"/>
          <w:lang w:bidi="fa-IR"/>
        </w:rPr>
        <w:t xml:space="preserve">فینقص دیة المجموع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بسدس </w:t>
      </w:r>
      <w:r>
        <w:rPr>
          <w:rFonts w:eastAsia="IRNazanin" w:cs="IRNazanin"/>
          <w:color w:val="111111"/>
          <w:sz w:val="28"/>
          <w:szCs w:val="28"/>
          <w:rtl w:val="true"/>
          <w:lang w:bidi="fa-IR"/>
        </w:rPr>
        <w:t xml:space="preserve">] </w:t>
      </w:r>
      <w:r>
        <w:rPr>
          <w:rStyle w:val="FootnoteAnchor"/>
          <w:rtl w:val="true"/>
        </w:rPr>
        <w:footnoteReference w:id="2150"/>
      </w:r>
      <w:r>
        <w:rPr>
          <w:rFonts w:ascii="IRNazanin" w:hAnsi="IRNazanin" w:eastAsia="IRNazanin"/>
          <w:color w:val="111111"/>
          <w:sz w:val="28"/>
          <w:sz w:val="28"/>
          <w:szCs w:val="28"/>
          <w:rtl w:val="true"/>
          <w:lang w:bidi="fa-IR"/>
        </w:rPr>
        <w:t xml:space="preserve">الدیة، استناداً إلی خبر ظریف </w:t>
      </w:r>
      <w:r>
        <w:rPr>
          <w:rStyle w:val="FootnoteAnchor"/>
          <w:rtl w:val="true"/>
        </w:rPr>
        <w:footnoteReference w:id="2151"/>
      </w:r>
      <w:r>
        <w:rPr>
          <w:rFonts w:ascii="IRNazanin" w:hAnsi="IRNazanin" w:eastAsia="IRNazanin"/>
          <w:color w:val="111111"/>
          <w:sz w:val="28"/>
          <w:sz w:val="28"/>
          <w:szCs w:val="28"/>
          <w:rtl w:val="true"/>
          <w:lang w:bidi="fa-IR"/>
        </w:rPr>
        <w:t xml:space="preserve">وعلیه الأکثر، لکن فی طریقه ضعف وجهالة </w:t>
      </w:r>
      <w:r>
        <w:rPr>
          <w:rStyle w:val="FootnoteAnchor"/>
          <w:rtl w:val="true"/>
        </w:rPr>
        <w:footnoteReference w:id="21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وربما قیل بأنّ هذا النقص إنّما هو علی تقدیر کون الجنایة من اثنین، أو من واحد بعد دفع أرش الجنایة الاُولی، وإلّا وجب دیة کاملة إجماعاً </w:t>
      </w:r>
      <w:r>
        <w:rPr>
          <w:rStyle w:val="FootnoteAnchor"/>
          <w:rtl w:val="true"/>
        </w:rPr>
        <w:footnoteReference w:id="2153"/>
      </w:r>
      <w:r>
        <w:rPr>
          <w:rFonts w:ascii="IRNazanin" w:hAnsi="IRNazanin" w:eastAsia="IRNazanin"/>
          <w:color w:val="111111"/>
          <w:sz w:val="28"/>
          <w:sz w:val="28"/>
          <w:szCs w:val="28"/>
          <w:rtl w:val="true"/>
          <w:lang w:bidi="fa-IR"/>
        </w:rPr>
        <w:t xml:space="preserve">وهذا هو الظاهر من الروایة </w:t>
      </w:r>
      <w:r>
        <w:rPr>
          <w:rStyle w:val="FootnoteAnchor"/>
          <w:rtl w:val="true"/>
        </w:rPr>
        <w:footnoteReference w:id="2154"/>
      </w:r>
      <w:r>
        <w:rPr>
          <w:rFonts w:ascii="IRNazanin" w:hAnsi="IRNazanin" w:eastAsia="IRNazanin"/>
          <w:color w:val="111111"/>
          <w:sz w:val="28"/>
          <w:sz w:val="28"/>
          <w:szCs w:val="28"/>
          <w:rtl w:val="true"/>
          <w:lang w:bidi="fa-IR"/>
        </w:rPr>
        <w:t>لکن فتوی الأصحاب مطلقة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فرق بین أجفان صحیح العین وغیره حتّی الأعمی، ولا بین ما علیه هُدب وغیره</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تتداخل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دیة الأجفان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العینین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قلعهما معاً، بل تجب</w:t>
      </w:r>
    </w:p>
    <w:p>
      <w:pPr>
        <w:pStyle w:val="BookText"/>
        <w:rPr/>
      </w:pPr>
      <w:r>
        <w:rPr>
          <w:rFonts w:ascii="IRNazanin" w:hAnsi="IRNazanin" w:eastAsia="IRNazanin"/>
          <w:color w:val="111111"/>
          <w:sz w:val="28"/>
          <w:sz w:val="28"/>
          <w:szCs w:val="28"/>
          <w:rtl w:val="true"/>
          <w:lang w:bidi="fa-IR"/>
        </w:rPr>
        <w:t>علیه الدیتان؛ لأصالة عدم التداخل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عین ذی الواحدة کمال الدیة إذا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خلقة أو بآفة من اللّٰه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من غیره حیث لا یستحقّ علیه أرشاً، کما لو جنی علیه حیوان غیر مضمون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استحقّ دیتها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لم یأخذها أو ذهبت فی قصاص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فالنصف فی الصحیحة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موضع وفاقٍ، علی ما ذکره جماعة </w:t>
      </w:r>
      <w:r>
        <w:rPr>
          <w:rStyle w:val="FootnoteAnchor"/>
          <w:rtl w:val="true"/>
        </w:rPr>
        <w:footnoteReference w:id="21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مقتضی الأصل فی دیة العین الواحدة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وذهب ابن إدریس إلی أنّ فیها هنا ثلث الدیة خاصّة، وجعله الأظهر فی المذهب </w:t>
      </w:r>
      <w:r>
        <w:rPr>
          <w:rStyle w:val="FootnoteAnchor"/>
          <w:rtl w:val="true"/>
        </w:rPr>
        <w:footnoteReference w:id="2156"/>
      </w:r>
      <w:r>
        <w:rPr>
          <w:rFonts w:ascii="IRNazanin" w:hAnsi="IRNazanin" w:eastAsia="IRNazanin"/>
          <w:color w:val="111111"/>
          <w:sz w:val="28"/>
          <w:sz w:val="28"/>
          <w:szCs w:val="28"/>
          <w:rtl w:val="true"/>
          <w:lang w:bidi="fa-IR"/>
        </w:rPr>
        <w:t>وهو وهم</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خسف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هنا </w:t>
      </w:r>
      <w:r>
        <w:rPr>
          <w:rStyle w:val="FootnoteAnchor"/>
          <w:rtl w:val="true"/>
        </w:rPr>
        <w:footnoteReference w:id="2157"/>
      </w:r>
      <w:r>
        <w:rPr>
          <w:rFonts w:ascii="IRNazanin" w:hAnsi="IRNazanin" w:eastAsia="IRNazanin"/>
          <w:color w:val="111111"/>
          <w:sz w:val="28"/>
          <w:sz w:val="28"/>
          <w:szCs w:val="28"/>
          <w:rtl w:val="true"/>
          <w:lang w:bidi="fa-IR"/>
        </w:rPr>
        <w:t xml:space="preserve">الفاسدة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ثلث دیتها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کونها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الأشهر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ربعها </w:t>
      </w:r>
      <w:r>
        <w:rPr>
          <w:rStyle w:val="FootnoteAnchor"/>
          <w:rtl w:val="true"/>
        </w:rPr>
        <w:footnoteReference w:id="2158"/>
      </w:r>
      <w:r>
        <w:rPr>
          <w:rFonts w:ascii="IRNazanin" w:hAnsi="IRNazanin" w:eastAsia="IRNazanin"/>
          <w:color w:val="111111"/>
          <w:sz w:val="28"/>
          <w:sz w:val="28"/>
          <w:szCs w:val="28"/>
          <w:rtl w:val="true"/>
          <w:lang w:bidi="fa-IR"/>
        </w:rPr>
        <w:t>والأوّل أصحّ طریقاً، سواء کان العور من اللّٰه تعالی أم من جنایة جانٍ، وسواء أخذ الأرش أم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ووهم ابن إدریس هنا ففرّق هنا أیضاً کالسابق وجعل فی الأوّل النصف، وفی الثانی الثلث </w:t>
      </w:r>
      <w:r>
        <w:rPr>
          <w:rStyle w:val="FootnoteAnchor"/>
          <w:rtl w:val="true"/>
        </w:rPr>
        <w:footnoteReference w:id="2159"/>
      </w:r>
      <w:r>
        <w:rPr>
          <w:rFonts w:eastAsia="Times New Roman" w:cs="Times New Roman" w:ascii="Times New Roman" w:hAnsi="Times New Roman"/>
          <w:color w:val="111111"/>
          <w:sz w:val="28"/>
          <w:szCs w:val="28"/>
          <w:rtl w:val="true"/>
          <w:lang w:val="en-US" w:bidi="en-US"/>
        </w:rPr>
        <w:t>.</w:t>
      </w:r>
      <w:bookmarkStart w:id="733" w:name="pg19815_253495"/>
    </w:p>
    <w:p>
      <w:pPr>
        <w:pStyle w:val="Heading5"/>
        <w:numPr>
          <w:ilvl w:val="4"/>
          <w:numId w:val="1"/>
        </w:numPr>
        <w:rPr/>
      </w:pPr>
      <w:bookmarkStart w:id="734" w:name="__RefHeading___Toc2228227_2314609296"/>
      <w:bookmarkStart w:id="735" w:name="_Toc276"/>
      <w:bookmarkEnd w:id="733"/>
      <w:bookmarkEnd w:id="734"/>
      <w:r>
        <w:rPr>
          <w:rtl w:val="true"/>
        </w:rPr>
        <w:t>«</w:t>
      </w:r>
      <w:r>
        <w:rPr>
          <w:rtl w:val="true"/>
        </w:rPr>
        <w:t xml:space="preserve">الرابعة </w:t>
      </w:r>
      <w:r>
        <w:rPr>
          <w:rtl w:val="true"/>
        </w:rPr>
        <w:t>[</w:t>
      </w:r>
      <w:r>
        <w:rPr>
          <w:rtl w:val="true"/>
        </w:rPr>
        <w:t>فی الاذنین</w:t>
      </w:r>
      <w:r>
        <w:rPr>
          <w:rtl w:val="true"/>
        </w:rPr>
        <w:t>] » :</w:t>
      </w:r>
      <w:bookmarkEnd w:id="73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الاُذنین الدیة، وفی کلّ واحدة النصف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سمیعة کانت أم صمّاء؛ لأنّ الصمم عیب فی غیرها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بحسابه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تعتبر مساحة المجموع من أصل الاُذن وینسب المقطوع إلیه ویؤخذ له من الدیة بنسبته إلیه، فإن کان المقطوع النصف فالنصف، أو الثلث فالثلث، وهکذا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وتعتبر الشحمة فی مساحتها حیث لا تکون هی المقطوعة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شحمتها ثلث دیتها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المشهور وبه روایة ضعیفة </w:t>
      </w:r>
      <w:r>
        <w:rPr>
          <w:rStyle w:val="FootnoteAnchor"/>
          <w:rtl w:val="true"/>
        </w:rPr>
        <w:footnoteReference w:id="21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خَرْمها ثلث دیتها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ذکره الشیخ </w:t>
      </w:r>
      <w:r>
        <w:rPr>
          <w:rStyle w:val="FootnoteAnchor"/>
          <w:rtl w:val="true"/>
        </w:rPr>
        <w:footnoteReference w:id="2161"/>
      </w:r>
      <w:r>
        <w:rPr>
          <w:rFonts w:ascii="IRNazanin" w:hAnsi="IRNazanin" w:eastAsia="IRNazanin"/>
          <w:color w:val="111111"/>
          <w:sz w:val="28"/>
          <w:sz w:val="28"/>
          <w:szCs w:val="28"/>
          <w:rtl w:val="true"/>
          <w:lang w:bidi="fa-IR"/>
        </w:rPr>
        <w:t xml:space="preserve">وتبعه علیه جماعة </w:t>
      </w:r>
      <w:r>
        <w:rPr>
          <w:rStyle w:val="FootnoteAnchor"/>
          <w:rtl w:val="true"/>
        </w:rPr>
        <w:footnoteReference w:id="2162"/>
      </w:r>
      <w:r>
        <w:rPr>
          <w:rFonts w:ascii="IRNazanin" w:hAnsi="IRNazanin" w:eastAsia="IRNazanin"/>
          <w:color w:val="111111"/>
          <w:sz w:val="28"/>
          <w:sz w:val="28"/>
          <w:szCs w:val="28"/>
          <w:rtl w:val="true"/>
          <w:lang w:bidi="fa-IR"/>
        </w:rPr>
        <w:t xml:space="preserve">وفسّره ابن إدریس بخرم الشَحمة وثلث دیة الشحمة </w:t>
      </w:r>
      <w:r>
        <w:rPr>
          <w:rStyle w:val="FootnoteAnchor"/>
          <w:rtl w:val="true"/>
        </w:rPr>
        <w:footnoteReference w:id="2163"/>
      </w:r>
      <w:r>
        <w:rPr>
          <w:rFonts w:ascii="IRNazanin" w:hAnsi="IRNazanin" w:eastAsia="IRNazanin"/>
          <w:color w:val="111111"/>
          <w:sz w:val="28"/>
          <w:sz w:val="28"/>
          <w:szCs w:val="28"/>
          <w:rtl w:val="true"/>
          <w:lang w:bidi="fa-IR"/>
        </w:rPr>
        <w:t xml:space="preserve">مع احتمال </w:t>
      </w:r>
      <w:r>
        <w:rPr>
          <w:rStyle w:val="FootnoteAnchor"/>
          <w:rtl w:val="true"/>
        </w:rPr>
        <w:footnoteReference w:id="2164"/>
      </w:r>
      <w:r>
        <w:rPr>
          <w:rFonts w:ascii="IRNazanin" w:hAnsi="IRNazanin" w:eastAsia="IRNazanin"/>
          <w:color w:val="111111"/>
          <w:sz w:val="28"/>
          <w:sz w:val="28"/>
          <w:szCs w:val="28"/>
          <w:rtl w:val="true"/>
          <w:lang w:bidi="fa-IR"/>
        </w:rPr>
        <w:t>إرادة الاُذُن أو ما هو أعمّ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سند لذلک یُرجع إلیه</w:t>
      </w:r>
      <w:r>
        <w:rPr>
          <w:rFonts w:eastAsia="IRNazanin" w:cs="IRNazanin"/>
          <w:color w:val="111111"/>
          <w:sz w:val="28"/>
          <w:szCs w:val="28"/>
          <w:rtl w:val="true"/>
          <w:lang w:bidi="fa-IR"/>
        </w:rPr>
        <w:t>.</w:t>
      </w:r>
    </w:p>
    <w:p>
      <w:pPr>
        <w:pStyle w:val="Heading5"/>
        <w:numPr>
          <w:ilvl w:val="4"/>
          <w:numId w:val="1"/>
        </w:numPr>
        <w:rPr/>
      </w:pPr>
      <w:bookmarkStart w:id="736" w:name="__RefHeading___Toc2228229_2314609296"/>
      <w:bookmarkStart w:id="737" w:name="_Toc277"/>
      <w:bookmarkEnd w:id="736"/>
      <w:r>
        <w:rPr>
          <w:rtl w:val="true"/>
        </w:rPr>
        <w:t>«</w:t>
      </w:r>
      <w:r>
        <w:rPr>
          <w:rtl w:val="true"/>
        </w:rPr>
        <w:t xml:space="preserve">الخامسة </w:t>
      </w:r>
      <w:r>
        <w:rPr>
          <w:rtl w:val="true"/>
        </w:rPr>
        <w:t>[</w:t>
      </w:r>
      <w:r>
        <w:rPr>
          <w:rtl w:val="true"/>
        </w:rPr>
        <w:t>فی الانف</w:t>
      </w:r>
      <w:r>
        <w:rPr>
          <w:rtl w:val="true"/>
        </w:rPr>
        <w:t>] » :</w:t>
      </w:r>
      <w:bookmarkEnd w:id="737"/>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الأنف 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قطع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مستأصلاً 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خاصّة، وهو ما لان منه فی طرفه الأسفل یشتمل علی طرفین وحاجز</w:t>
      </w:r>
      <w:r>
        <w:rPr>
          <w:rFonts w:eastAsia="IRNazanin" w:cs="IRNazanin"/>
          <w:color w:val="111111"/>
          <w:sz w:val="28"/>
          <w:szCs w:val="28"/>
          <w:rtl w:val="true"/>
          <w:lang w:bidi="fa-IR"/>
        </w:rPr>
        <w:t>.</w:t>
      </w:r>
      <w:bookmarkStart w:id="738" w:name="pg19815_253496"/>
    </w:p>
    <w:p>
      <w:pPr>
        <w:pStyle w:val="BookText"/>
        <w:rPr/>
      </w:pPr>
      <w:bookmarkEnd w:id="738"/>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الدیة فی مارنه خاصّة، دون القصبة حتّی لو قطع المارن والقصبة معاً فعلیه دیة وحکومة للزائد </w:t>
      </w:r>
      <w:r>
        <w:rPr>
          <w:rStyle w:val="FootnoteAnchor"/>
          <w:rtl w:val="true"/>
        </w:rPr>
        <w:footnoteReference w:id="2165"/>
      </w:r>
      <w:r>
        <w:rPr>
          <w:rFonts w:ascii="IRNazanin" w:hAnsi="IRNazanin" w:eastAsia="IRNazanin"/>
          <w:color w:val="111111"/>
          <w:sz w:val="28"/>
          <w:sz w:val="28"/>
          <w:szCs w:val="28"/>
          <w:rtl w:val="true"/>
          <w:lang w:bidi="fa-IR"/>
        </w:rPr>
        <w:t>وهو أقوی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قطع بعضه فبحسابه من المارن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وکذا لو کسر ففسد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جُبر علی صحّة فمئة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غیر صحّة مئة وزیادة حکومة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شلله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فساده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ثلثا دیته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قطعه أشلّ الثلث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روثته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بفتح الراء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وهی الحاجز بین المنخرین </w:t>
      </w:r>
      <w:r>
        <w:rPr>
          <w:rStyle w:val="FootnoteAnchor"/>
          <w:rtl w:val="true"/>
        </w:rPr>
        <w:footnoteReference w:id="21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کلّ منخر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ثلث 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الأشهر؛ لأنّ الأنف الموجب للدیة یشتمل علی حاجز ومنخرین، ولروایة غیاث عن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علیّاً علیه السلام قضی به</w:t>
      </w:r>
      <w:r>
        <w:rPr>
          <w:rFonts w:eastAsia="IRNazanin" w:cs="IRNazanin"/>
          <w:color w:val="111111"/>
          <w:sz w:val="28"/>
          <w:szCs w:val="28"/>
          <w:rtl w:val="true"/>
          <w:lang w:bidi="fa-IR"/>
        </w:rPr>
        <w:t xml:space="preserve">» </w:t>
      </w:r>
      <w:r>
        <w:rPr>
          <w:rStyle w:val="FootnoteAnchor"/>
          <w:rtl w:val="true"/>
        </w:rPr>
        <w:footnoteReference w:id="21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النصف؛ لأنّه ذهب بنصف المنفعة ونصف الجمال </w:t>
      </w:r>
      <w:r>
        <w:rPr>
          <w:rStyle w:val="FootnoteAnchor"/>
          <w:rtl w:val="true"/>
        </w:rPr>
        <w:footnoteReference w:id="2168"/>
      </w:r>
      <w:r>
        <w:rPr>
          <w:rFonts w:ascii="IRNazanin" w:hAnsi="IRNazanin" w:eastAsia="IRNazanin"/>
          <w:color w:val="111111"/>
          <w:sz w:val="28"/>
          <w:sz w:val="28"/>
          <w:szCs w:val="28"/>
          <w:rtl w:val="true"/>
          <w:lang w:bidi="fa-IR"/>
        </w:rPr>
        <w:t xml:space="preserve">واستضعافاً لروایة غیاث به </w:t>
      </w:r>
      <w:r>
        <w:rPr>
          <w:rStyle w:val="FootnoteAnchor"/>
          <w:rtl w:val="true"/>
        </w:rPr>
        <w:footnoteReference w:id="2169"/>
      </w:r>
      <w:r>
        <w:rPr>
          <w:rFonts w:ascii="IRNazanin" w:hAnsi="IRNazanin" w:eastAsia="IRNazanin"/>
          <w:color w:val="111111"/>
          <w:sz w:val="28"/>
          <w:sz w:val="28"/>
          <w:szCs w:val="28"/>
          <w:rtl w:val="true"/>
          <w:lang w:bidi="fa-IR"/>
        </w:rPr>
        <w:t>لکنّه أشهر موافقاً لأصالة البراءة من الزائد</w:t>
      </w:r>
      <w:r>
        <w:rPr>
          <w:rFonts w:eastAsia="IRNazanin" w:cs="IRNazanin"/>
          <w:color w:val="111111"/>
          <w:sz w:val="28"/>
          <w:szCs w:val="28"/>
          <w:rtl w:val="true"/>
          <w:lang w:bidi="fa-IR"/>
        </w:rPr>
        <w:t>.</w:t>
      </w:r>
    </w:p>
    <w:p>
      <w:pPr>
        <w:pStyle w:val="Heading5"/>
        <w:numPr>
          <w:ilvl w:val="4"/>
          <w:numId w:val="1"/>
        </w:numPr>
        <w:rPr/>
      </w:pPr>
      <w:bookmarkStart w:id="739" w:name="__RefHeading___Toc2228231_2314609296"/>
      <w:bookmarkStart w:id="740" w:name="_Toc278"/>
      <w:bookmarkEnd w:id="739"/>
      <w:r>
        <w:rPr>
          <w:rtl w:val="true"/>
        </w:rPr>
        <w:t>«</w:t>
      </w:r>
      <w:r>
        <w:rPr>
          <w:rtl w:val="true"/>
        </w:rPr>
        <w:t xml:space="preserve">السادسة </w:t>
      </w:r>
      <w:r>
        <w:rPr>
          <w:rtl w:val="true"/>
        </w:rPr>
        <w:t>[</w:t>
      </w:r>
      <w:r>
        <w:rPr>
          <w:rtl w:val="true"/>
        </w:rPr>
        <w:t>فی الشفتین</w:t>
      </w:r>
      <w:r>
        <w:rPr>
          <w:rtl w:val="true"/>
        </w:rPr>
        <w:t>] » :</w:t>
      </w:r>
      <w:bookmarkEnd w:id="740"/>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کلّ من الشفتین نصف 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للخبر العامّ </w:t>
      </w:r>
      <w:r>
        <w:rPr>
          <w:rStyle w:val="FootnoteAnchor"/>
          <w:rtl w:val="true"/>
        </w:rPr>
        <w:footnoteReference w:id="2170"/>
      </w:r>
      <w:r>
        <w:rPr>
          <w:rFonts w:ascii="IRNazanin" w:hAnsi="IRNazanin" w:eastAsia="IRNazanin"/>
          <w:color w:val="111111"/>
          <w:sz w:val="28"/>
          <w:sz w:val="28"/>
          <w:szCs w:val="28"/>
          <w:rtl w:val="true"/>
          <w:lang w:bidi="fa-IR"/>
        </w:rPr>
        <w:t>وهو صحیح، لکنّه</w:t>
      </w:r>
    </w:p>
    <w:p>
      <w:pPr>
        <w:pStyle w:val="BookText"/>
        <w:rPr/>
      </w:pPr>
      <w:r>
        <w:rPr>
          <w:rFonts w:ascii="IRNazanin" w:hAnsi="IRNazanin" w:eastAsia="IRNazanin"/>
          <w:color w:val="111111"/>
          <w:sz w:val="28"/>
          <w:sz w:val="28"/>
          <w:szCs w:val="28"/>
          <w:rtl w:val="true"/>
          <w:lang w:bidi="fa-IR"/>
        </w:rPr>
        <w:t xml:space="preserve">مقطوع </w:t>
      </w:r>
      <w:r>
        <w:rPr>
          <w:rStyle w:val="FootnoteAnchor"/>
          <w:rtl w:val="true"/>
        </w:rPr>
        <w:footnoteReference w:id="2171"/>
      </w:r>
      <w:r>
        <w:rPr>
          <w:rFonts w:ascii="IRNazanin" w:hAnsi="IRNazanin" w:eastAsia="IRNazanin"/>
          <w:color w:val="111111"/>
          <w:sz w:val="28"/>
          <w:sz w:val="28"/>
          <w:szCs w:val="28"/>
          <w:rtl w:val="true"/>
          <w:lang w:bidi="fa-IR"/>
        </w:rPr>
        <w:t>وتعضده روایة سماعة عن الصادق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الشفتان العلیا والسفلی سواء فی الدیة</w:t>
      </w:r>
      <w:r>
        <w:rPr>
          <w:rFonts w:eastAsia="IRNazanin" w:cs="IRNazanin"/>
          <w:color w:val="111111"/>
          <w:sz w:val="28"/>
          <w:szCs w:val="28"/>
          <w:rtl w:val="true"/>
          <w:lang w:bidi="fa-IR"/>
        </w:rPr>
        <w:t xml:space="preserve">» </w:t>
      </w:r>
      <w:r>
        <w:rPr>
          <w:rStyle w:val="FootnoteAnchor"/>
          <w:rtl w:val="true"/>
        </w:rPr>
        <w:footnoteReference w:id="21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وقیل فی السفلی الثلثان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لإمساکها الطعام والشراب </w:t>
      </w:r>
      <w:r>
        <w:rPr>
          <w:rStyle w:val="FootnoteAnchor"/>
          <w:rtl w:val="true"/>
        </w:rPr>
        <w:footnoteReference w:id="2173"/>
      </w:r>
      <w:r>
        <w:rPr>
          <w:rFonts w:ascii="IRNazanin" w:hAnsi="IRNazanin" w:eastAsia="IRNazanin"/>
          <w:color w:val="111111"/>
          <w:sz w:val="28"/>
          <w:sz w:val="28"/>
          <w:szCs w:val="28"/>
          <w:rtl w:val="true"/>
          <w:lang w:bidi="fa-IR"/>
        </w:rPr>
        <w:t>وردّها اللعاب، وحینئذٍ ففی العلیا الثلث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النصف </w:t>
      </w:r>
      <w:r>
        <w:rPr>
          <w:rStyle w:val="FootnoteAnchor"/>
          <w:rtl w:val="true"/>
        </w:rPr>
        <w:footnoteReference w:id="2174"/>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ندوره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اشتماله علی زیادة لا معنی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وفیهما قول رابع ذهب إلیه جماعة </w:t>
      </w:r>
      <w:r>
        <w:rPr>
          <w:rStyle w:val="FootnoteAnchor"/>
          <w:rtl w:val="true"/>
        </w:rPr>
        <w:footnoteReference w:id="2175"/>
      </w:r>
      <w:r>
        <w:rPr>
          <w:rFonts w:ascii="IRNazanin" w:hAnsi="IRNazanin" w:eastAsia="IRNazanin"/>
          <w:color w:val="111111"/>
          <w:sz w:val="28"/>
          <w:sz w:val="28"/>
          <w:szCs w:val="28"/>
          <w:rtl w:val="true"/>
          <w:lang w:bidi="fa-IR"/>
        </w:rPr>
        <w:t xml:space="preserve">منهم العلّامة فی المختلف </w:t>
      </w:r>
      <w:r>
        <w:rPr>
          <w:rStyle w:val="FootnoteAnchor"/>
          <w:rtl w:val="true"/>
        </w:rPr>
        <w:footnoteReference w:id="2176"/>
      </w:r>
      <w:r>
        <w:rPr>
          <w:rFonts w:ascii="IRNazanin" w:hAnsi="IRNazanin" w:eastAsia="IRNazanin"/>
          <w:color w:val="111111"/>
          <w:sz w:val="28"/>
          <w:sz w:val="28"/>
          <w:szCs w:val="28"/>
          <w:rtl w:val="true"/>
          <w:lang w:bidi="fa-IR"/>
        </w:rPr>
        <w:t>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فی العلیا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أربعمئة دینار، وفی السفلی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ستمئة؛ لما ذکر ولروایة أبان بن تغلب عن الصادق علیه السلام </w:t>
      </w:r>
      <w:r>
        <w:rPr>
          <w:rStyle w:val="FootnoteAnchor"/>
          <w:rtl w:val="true"/>
        </w:rPr>
        <w:footnoteReference w:id="2177"/>
      </w:r>
      <w:r>
        <w:rPr>
          <w:rFonts w:ascii="IRNazanin" w:hAnsi="IRNazanin" w:eastAsia="IRNazanin"/>
          <w:color w:val="111111"/>
          <w:sz w:val="28"/>
          <w:sz w:val="28"/>
          <w:szCs w:val="28"/>
          <w:rtl w:val="true"/>
          <w:lang w:bidi="fa-IR"/>
        </w:rPr>
        <w:t xml:space="preserve">وفی طریقها ضعف </w:t>
      </w:r>
      <w:r>
        <w:rPr>
          <w:rStyle w:val="FootnoteAnchor"/>
          <w:rtl w:val="true"/>
        </w:rPr>
        <w:footnoteReference w:id="2178"/>
      </w:r>
      <w:r>
        <w:rPr>
          <w:rFonts w:eastAsia="Times New Roman" w:cs="Times New Roman" w:ascii="Times New Roman" w:hAnsi="Times New Roman"/>
          <w:color w:val="111111"/>
          <w:sz w:val="28"/>
          <w:szCs w:val="28"/>
          <w:rtl w:val="true"/>
          <w:lang w:val="en-US" w:bidi="en-US"/>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وفی بعضها </w:t>
      </w:r>
      <w:r>
        <w:rPr>
          <w:rStyle w:val="FootnoteAnchor"/>
          <w:rtl w:val="true"/>
        </w:rPr>
        <w:footnoteReference w:id="2179"/>
      </w:r>
      <w:r>
        <w:rPr>
          <w:rFonts w:ascii="IRNazanin" w:hAnsi="IRNazanin" w:eastAsia="IRNazanin"/>
          <w:color w:val="111111"/>
          <w:sz w:val="28"/>
          <w:sz w:val="28"/>
          <w:szCs w:val="28"/>
          <w:rtl w:val="true"/>
          <w:lang w:bidi="fa-IR"/>
        </w:rPr>
        <w:t>بالنسبة مساحةً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نصفها النصف، وفی ثلثها الثلث، وهکذا</w:t>
      </w:r>
      <w:r>
        <w:rPr>
          <w:rFonts w:eastAsia="IRNazanin" w:cs="IRNazanin"/>
          <w:color w:val="111111"/>
          <w:sz w:val="28"/>
          <w:szCs w:val="28"/>
          <w:rtl w:val="true"/>
          <w:lang w:bidi="fa-IR"/>
        </w:rPr>
        <w:t>. . .</w:t>
      </w:r>
      <w:bookmarkStart w:id="741" w:name="pg19815_253498"/>
    </w:p>
    <w:p>
      <w:pPr>
        <w:pStyle w:val="BookText"/>
        <w:rPr/>
      </w:pPr>
      <w:bookmarkEnd w:id="741"/>
      <w:r>
        <w:rPr>
          <w:rFonts w:ascii="IRNazanin" w:hAnsi="IRNazanin" w:eastAsia="IRNazanin"/>
          <w:color w:val="111111"/>
          <w:sz w:val="28"/>
          <w:sz w:val="28"/>
          <w:szCs w:val="28"/>
          <w:rtl w:val="true"/>
          <w:lang w:bidi="fa-IR"/>
        </w:rPr>
        <w:t>وحدّ الشفة السفلی ما تجافی عن اللثّة مع طول الفمّ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والعلیا کذلک متّصلاً بالمنخرین مع طول الفم، دون حاشیة الشِدقین </w:t>
      </w:r>
      <w:r>
        <w:rPr>
          <w:rStyle w:val="FootnoteAnchor"/>
          <w:rtl w:val="true"/>
        </w:rPr>
        <w:footnoteReference w:id="21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استرختا فثلثا 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ذلک بمنزلة الشَلَل فلو قطعتا بعد ذلک فالثلث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تقلّصتا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انزوتا علی وجهٍ لا ینطبقان علی الأسنان ضدّ الاسترخاء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فالحکومة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لعدم ثبوت مقدّرٍ لذلک، فیُرجع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الدیة؛ لزوال المنفعة المخلوقة لأجلها والجمال </w:t>
      </w:r>
      <w:r>
        <w:rPr>
          <w:rStyle w:val="FootnoteAnchor"/>
          <w:rtl w:val="true"/>
        </w:rPr>
        <w:footnoteReference w:id="2181"/>
      </w:r>
      <w:r>
        <w:rPr>
          <w:rFonts w:ascii="IRNazanin" w:hAnsi="IRNazanin" w:eastAsia="IRNazanin"/>
          <w:color w:val="111111"/>
          <w:sz w:val="28"/>
          <w:sz w:val="28"/>
          <w:szCs w:val="28"/>
          <w:rtl w:val="true"/>
          <w:lang w:bidi="fa-IR"/>
        </w:rPr>
        <w:t>فیجری وجودها مجری عدمها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ویضعَّف بأنّ ذلک لا یزید علی الشَلَل وهو لا یوجب زیادة علی الثلثین، مع أصالة البراءة من الزائد علی الحکومة</w:t>
      </w:r>
      <w:r>
        <w:rPr>
          <w:rFonts w:eastAsia="IRNazanin" w:cs="IRNazanin"/>
          <w:color w:val="111111"/>
          <w:sz w:val="28"/>
          <w:szCs w:val="28"/>
          <w:rtl w:val="true"/>
          <w:lang w:bidi="fa-IR"/>
        </w:rPr>
        <w:t>.</w:t>
      </w:r>
    </w:p>
    <w:p>
      <w:pPr>
        <w:pStyle w:val="Heading5"/>
        <w:numPr>
          <w:ilvl w:val="4"/>
          <w:numId w:val="1"/>
        </w:numPr>
        <w:rPr/>
      </w:pPr>
      <w:bookmarkStart w:id="742" w:name="__RefHeading___Toc2228233_2314609296"/>
      <w:bookmarkStart w:id="743" w:name="_Toc279"/>
      <w:bookmarkEnd w:id="742"/>
      <w:r>
        <w:rPr>
          <w:rtl w:val="true"/>
        </w:rPr>
        <w:t>«</w:t>
      </w:r>
      <w:r>
        <w:rPr>
          <w:rtl w:val="true"/>
        </w:rPr>
        <w:t xml:space="preserve">السابعة </w:t>
      </w:r>
      <w:r>
        <w:rPr>
          <w:rtl w:val="true"/>
        </w:rPr>
        <w:t>[</w:t>
      </w:r>
      <w:r>
        <w:rPr>
          <w:rtl w:val="true"/>
        </w:rPr>
        <w:t>فی استئصال اللسان</w:t>
      </w:r>
      <w:r>
        <w:rPr>
          <w:rtl w:val="true"/>
        </w:rPr>
        <w:t>] » :</w:t>
      </w:r>
      <w:bookmarkEnd w:id="743"/>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استئصال اللسان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بالقطع، بأن لا یبقی شیء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فیما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فی قطع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یذهب به الحروف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أجمع وهی ثمانیة وعشرون حرفاً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إذهاب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البعض بحساب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الذاهب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تُبسط الدیة علیها أجمع، فیؤخذ للذاهب من الدیة بحسابه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ویستوی فی ذلک اللَسَنیّة </w:t>
      </w:r>
      <w:r>
        <w:rPr>
          <w:rStyle w:val="FootnoteAnchor"/>
          <w:rtl w:val="true"/>
        </w:rPr>
        <w:footnoteReference w:id="2182"/>
      </w:r>
      <w:r>
        <w:rPr>
          <w:rFonts w:ascii="IRNazanin" w:hAnsi="IRNazanin" w:eastAsia="IRNazanin"/>
          <w:color w:val="111111"/>
          <w:sz w:val="28"/>
          <w:sz w:val="28"/>
          <w:szCs w:val="28"/>
          <w:rtl w:val="true"/>
          <w:lang w:bidi="fa-IR"/>
        </w:rPr>
        <w:t xml:space="preserve">وغیرها، والخفیفة </w:t>
      </w:r>
      <w:r>
        <w:rPr>
          <w:rStyle w:val="FootnoteAnchor"/>
          <w:rtl w:val="true"/>
        </w:rPr>
        <w:footnoteReference w:id="2183"/>
      </w:r>
      <w:r>
        <w:rPr>
          <w:rFonts w:ascii="IRNazanin" w:hAnsi="IRNazanin" w:eastAsia="IRNazanin"/>
          <w:color w:val="111111"/>
          <w:sz w:val="28"/>
          <w:sz w:val="28"/>
          <w:szCs w:val="28"/>
          <w:rtl w:val="true"/>
          <w:lang w:bidi="fa-IR"/>
        </w:rPr>
        <w:t xml:space="preserve">والثقیلة </w:t>
      </w:r>
      <w:r>
        <w:rPr>
          <w:rStyle w:val="FootnoteAnchor"/>
          <w:rtl w:val="true"/>
        </w:rPr>
        <w:footnoteReference w:id="2184"/>
      </w:r>
      <w:r>
        <w:rPr>
          <w:rFonts w:ascii="IRNazanin" w:hAnsi="IRNazanin" w:eastAsia="IRNazanin"/>
          <w:color w:val="111111"/>
          <w:sz w:val="28"/>
          <w:sz w:val="28"/>
          <w:szCs w:val="28"/>
          <w:rtl w:val="true"/>
          <w:lang w:bidi="fa-IR"/>
        </w:rPr>
        <w:t xml:space="preserve">لإطلاق النصّ </w:t>
      </w:r>
      <w:r>
        <w:rPr>
          <w:rStyle w:val="FootnoteAnchor"/>
          <w:rtl w:val="true"/>
        </w:rPr>
        <w:footnoteReference w:id="2185"/>
      </w:r>
    </w:p>
    <w:p>
      <w:pPr>
        <w:pStyle w:val="BookText"/>
        <w:rPr/>
      </w:pPr>
      <w:r>
        <w:rPr>
          <w:rFonts w:ascii="IRNazanin" w:hAnsi="IRNazanin" w:eastAsia="IRNazanin"/>
          <w:color w:val="111111"/>
          <w:sz w:val="28"/>
          <w:sz w:val="28"/>
          <w:szCs w:val="28"/>
          <w:rtl w:val="true"/>
          <w:lang w:bidi="fa-IR"/>
        </w:rPr>
        <w:t>ولا اعتبار هنا بمساحة اللسان، فلو قطع نصفه فذهب ربع الحروف فربع الدیة خاصّة، وبالعکس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یعتبر هنا أکثر الأمرین من الذاهب من اللسان ومن الحروف </w:t>
      </w:r>
      <w:r>
        <w:rPr>
          <w:rStyle w:val="FootnoteAnchor"/>
          <w:rtl w:val="true"/>
        </w:rPr>
        <w:footnoteReference w:id="2186"/>
      </w:r>
      <w:r>
        <w:rPr>
          <w:rFonts w:ascii="IRNazanin" w:hAnsi="IRNazanin" w:eastAsia="IRNazanin"/>
          <w:color w:val="111111"/>
          <w:sz w:val="28"/>
          <w:sz w:val="28"/>
          <w:szCs w:val="28"/>
          <w:rtl w:val="true"/>
          <w:lang w:bidi="fa-IR"/>
        </w:rPr>
        <w:t>لأنّ اللسان عضو متّحد فی الإنسان ففیه الدیة وفی بعضه بحسابه، والنطق منفعة توجب الدیة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أقوی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لسان الأخرس ثلث 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تنزیلاً له منزلة الأشلّ؛ لاشتراکهما فی فساد العضو المؤدّی إلی زوال المنفعة المقصودة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بعضه بحسابه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مساحةً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ادّعی الصحیح ذهاب نطقه بالجنایة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یحتمل ذهابه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بالقَسامة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خمسین یمیناً بالإشارة؛ لتعذّر إقامة البیّنة علی ذلک وحصول الظنّ المستند إلی الأمارة بصدقه، فیکون لوثاً</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یُضرب لسانه بإبرة فإن خرج الدم أسود 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غیر یمین، علی ما یظهر من الروایة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وإن خرج أحمر کُذِّب </w:t>
      </w:r>
      <w:r>
        <w:rPr>
          <w:rStyle w:val="FootnoteAnchor"/>
          <w:rtl w:val="true"/>
        </w:rPr>
        <w:footnoteReference w:id="21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والمستند روایة الأصبغ بن نباتة عن أمیر المؤمنین علیه السلام </w:t>
      </w:r>
      <w:r>
        <w:rPr>
          <w:rStyle w:val="FootnoteAnchor"/>
          <w:rtl w:val="true"/>
        </w:rPr>
        <w:footnoteReference w:id="2188"/>
      </w:r>
      <w:r>
        <w:rPr>
          <w:rFonts w:ascii="IRNazanin" w:hAnsi="IRNazanin" w:eastAsia="IRNazanin"/>
          <w:color w:val="111111"/>
          <w:sz w:val="28"/>
          <w:sz w:val="28"/>
          <w:szCs w:val="28"/>
          <w:rtl w:val="true"/>
          <w:lang w:bidi="fa-IR"/>
        </w:rPr>
        <w:t xml:space="preserve">وفی طریقها ضعف وإرسال </w:t>
      </w:r>
      <w:r>
        <w:rPr>
          <w:rStyle w:val="FootnoteAnchor"/>
          <w:rtl w:val="true"/>
        </w:rPr>
        <w:footnoteReference w:id="2189"/>
      </w:r>
      <w:r>
        <w:rPr>
          <w:rFonts w:eastAsia="Times New Roman" w:cs="Times New Roman" w:ascii="Times New Roman" w:hAnsi="Times New Roman"/>
          <w:color w:val="111111"/>
          <w:sz w:val="28"/>
          <w:szCs w:val="28"/>
          <w:rtl w:val="true"/>
          <w:lang w:val="en-US" w:bidi="en-US"/>
        </w:rPr>
        <w:t>.</w:t>
      </w:r>
      <w:bookmarkStart w:id="744" w:name="pg19815_253500"/>
    </w:p>
    <w:p>
      <w:pPr>
        <w:pStyle w:val="Heading5"/>
        <w:numPr>
          <w:ilvl w:val="4"/>
          <w:numId w:val="1"/>
        </w:numPr>
        <w:rPr/>
      </w:pPr>
      <w:bookmarkStart w:id="745" w:name="__RefHeading___Toc2228235_2314609296"/>
      <w:bookmarkStart w:id="746" w:name="_Toc280"/>
      <w:bookmarkEnd w:id="744"/>
      <w:bookmarkEnd w:id="745"/>
      <w:r>
        <w:rPr>
          <w:rtl w:val="true"/>
        </w:rPr>
        <w:t>«</w:t>
      </w:r>
      <w:r>
        <w:rPr>
          <w:rtl w:val="true"/>
        </w:rPr>
        <w:t xml:space="preserve">الثامنة </w:t>
      </w:r>
      <w:r>
        <w:rPr>
          <w:rtl w:val="true"/>
        </w:rPr>
        <w:t>[</w:t>
      </w:r>
      <w:r>
        <w:rPr>
          <w:rtl w:val="true"/>
        </w:rPr>
        <w:t>فی الاسنان</w:t>
      </w:r>
      <w:r>
        <w:rPr>
          <w:rtl w:val="true"/>
        </w:rPr>
        <w:t>] » :</w:t>
      </w:r>
      <w:bookmarkEnd w:id="74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الهمزة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الدیة، وهی ثمان وعشرون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سنّاً، توزّع الدیة علیها متفاوتة، کما یذکر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المقادیم الاثنی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الثنیّتان والرباعیّتان والنابان من أعلی، ومثلها من أسفل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ستمئة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کلّ واحدة خمسون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المآخیر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الستّة عشر، أربعة من کلّ جانب من الجوانب الأربعة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ضاحک وثلاثة أضراس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أربعمئة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کلّ واحد خمسة وعشرون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ویستوی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البیضاء والسوداء والصفراء خلقةً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کانت قبل أن یُثغِر </w:t>
      </w:r>
      <w:r>
        <w:rPr>
          <w:rStyle w:val="FootnoteAnchor"/>
          <w:rtl w:val="true"/>
        </w:rPr>
        <w:footnoteReference w:id="2190"/>
      </w:r>
      <w:r>
        <w:rPr>
          <w:rFonts w:ascii="IRNazanin" w:hAnsi="IRNazanin" w:eastAsia="IRNazanin"/>
          <w:color w:val="111111"/>
          <w:sz w:val="28"/>
          <w:sz w:val="28"/>
          <w:szCs w:val="28"/>
          <w:rtl w:val="true"/>
          <w:lang w:bidi="fa-IR"/>
        </w:rPr>
        <w:t>متغیّرة ثمّ نبتت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لو کانت بیضاء قبل أن یثغر ثمّ نبتت سوداء رُجِع إلی العارفین، فإن حکموا بکونه لعلّة فالحکومة، وإلّا فالدیة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وتثبت دیة السنّ بقلعها مع سنخها </w:t>
      </w:r>
      <w:r>
        <w:rPr>
          <w:rStyle w:val="FootnoteAnchor"/>
          <w:rtl w:val="true"/>
        </w:rPr>
        <w:footnoteReference w:id="2191"/>
      </w:r>
      <w:r>
        <w:rPr>
          <w:rFonts w:ascii="IRNazanin" w:hAnsi="IRNazanin" w:eastAsia="IRNazanin"/>
          <w:color w:val="111111"/>
          <w:sz w:val="28"/>
          <w:sz w:val="28"/>
          <w:szCs w:val="28"/>
          <w:rtl w:val="true"/>
          <w:lang w:bidi="fa-IR"/>
        </w:rPr>
        <w:t>إجماعاً، وبدونه مع استیعاب ما برز من اللثّة علی الأقوی</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الزائدة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العدد المذکور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ثلث الأصلیّة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بحسب ما تقرّر لها، بمعنی أ نّها إن کانت فی الأضراس فثلث الخمسة والعشرین، وفی المقادیم فثلث الخمسین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قلعت منفردة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الأصلیّة المتّصلة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شیء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قلعت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منضمّة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إلیها کما لو قطع العضو المقدّر دیته المشتمل علی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فیها حکومة لو انقلعت منفردة، بناءً علی أ نّه لا تقدیر لها شرعاً </w:t>
      </w:r>
      <w:r>
        <w:rPr>
          <w:rStyle w:val="FootnoteAnchor"/>
          <w:rtl w:val="true"/>
        </w:rPr>
        <w:footnoteReference w:id="2192"/>
      </w:r>
      <w:r>
        <w:rPr>
          <w:rFonts w:ascii="IRNazanin" w:hAnsi="IRNazanin" w:eastAsia="IRNazanin"/>
          <w:color w:val="111111"/>
          <w:sz w:val="28"/>
          <w:sz w:val="28"/>
          <w:szCs w:val="28"/>
          <w:rtl w:val="true"/>
          <w:lang w:bidi="fa-IR"/>
        </w:rPr>
        <w:t>والأشهر الأوّل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اسودّت السنّ بالجنایة ولمّا تسقط فثلثا دیتها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لدلالته علی فسادها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یجب الثلثان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انصداعها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تقلقلها؛ لأنّه فی حکم الشلل، وللروایة </w:t>
      </w:r>
      <w:r>
        <w:rPr>
          <w:rStyle w:val="FootnoteAnchor"/>
          <w:rtl w:val="true"/>
        </w:rPr>
        <w:footnoteReference w:id="2193"/>
      </w:r>
      <w:r>
        <w:rPr>
          <w:rFonts w:ascii="IRNazanin" w:hAnsi="IRNazanin" w:eastAsia="IRNazanin"/>
          <w:color w:val="111111"/>
          <w:sz w:val="28"/>
          <w:sz w:val="28"/>
          <w:szCs w:val="28"/>
          <w:rtl w:val="true"/>
          <w:lang w:bidi="fa-IR"/>
        </w:rPr>
        <w:t>لکنّها ضعیفة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انصداعها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الحکومة</w:t>
      </w:r>
      <w:r>
        <w:rPr>
          <w:rFonts w:eastAsia="IRNazanin" w:cs="IRNazanin"/>
          <w:color w:val="111111"/>
          <w:sz w:val="28"/>
          <w:szCs w:val="28"/>
          <w:rtl w:val="true"/>
          <w:lang w:bidi="fa-IR"/>
        </w:rPr>
        <w:t xml:space="preserve">» </w:t>
      </w:r>
      <w:r>
        <w:rPr>
          <w:rStyle w:val="FootnoteAnchor"/>
          <w:rtl w:val="true"/>
        </w:rPr>
        <w:footnoteReference w:id="2194"/>
      </w:r>
      <w:r>
        <w:rPr>
          <w:rFonts w:ascii="IRNazanin" w:hAnsi="IRNazanin" w:eastAsia="IRNazanin"/>
          <w:color w:val="111111"/>
          <w:sz w:val="28"/>
          <w:sz w:val="28"/>
          <w:szCs w:val="28"/>
          <w:rtl w:val="true"/>
          <w:lang w:bidi="fa-IR"/>
        </w:rPr>
        <w:t>لعدم دلیل صالح علی التقدیر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وإلحاقه بالشلل بعید؛ لبقاء القوّة فی 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والمشهور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قلعها قالع بعد الاسوداد أو الانصداع فثلث دیتها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وسنّ الصبیّ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لم تبدّل أسنانه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ینتظر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مدّة یمکن أن تعود فیها عادة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نبتت فالأرش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لمدّة ذهابه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فدیة المتّغر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بالتاء المشدّدة، مثنّاة ومثلّثة، والأصل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المثتغر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بهما </w:t>
      </w:r>
      <w:r>
        <w:rPr>
          <w:rStyle w:val="FootnoteAnchor"/>
          <w:rtl w:val="true"/>
        </w:rPr>
        <w:footnoteReference w:id="2195"/>
      </w:r>
      <w:r>
        <w:rPr>
          <w:rFonts w:ascii="IRNazanin" w:hAnsi="IRNazanin" w:eastAsia="IRNazanin"/>
          <w:color w:val="111111"/>
          <w:sz w:val="28"/>
          <w:sz w:val="28"/>
          <w:szCs w:val="28"/>
          <w:rtl w:val="true"/>
          <w:lang w:bidi="fa-IR"/>
        </w:rPr>
        <w:t>فقُلبت الثاء تاءً ثمّ اُدغمت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المُثغَر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بسکون المثلّثة وفتح الثالثة المعجمة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الذی سقطت أسنانه الرواضع التی من شأنها السقوط ونَبْتُ بدلها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ودیة سنّ المُثغَر ما تقدّم من التفصیل فی مطلق السنّ </w:t>
      </w:r>
      <w:r>
        <w:rPr>
          <w:rStyle w:val="FootnoteAnchor"/>
          <w:rtl w:val="true"/>
        </w:rPr>
        <w:footnoteReference w:id="2196"/>
      </w:r>
      <w:r>
        <w:rPr>
          <w:rFonts w:eastAsia="Times New Roman" w:cs="Times New Roman" w:ascii="Times New Roman" w:hAnsi="Times New Roman"/>
          <w:color w:val="111111"/>
          <w:sz w:val="28"/>
          <w:szCs w:val="28"/>
          <w:rtl w:val="true"/>
          <w:lang w:val="en-US" w:bidi="en-US"/>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والقائل الشیخ </w:t>
      </w:r>
      <w:r>
        <w:rPr>
          <w:rStyle w:val="FootnoteAnchor"/>
          <w:rtl w:val="true"/>
        </w:rPr>
        <w:footnoteReference w:id="2197"/>
      </w:r>
      <w:r>
        <w:rPr>
          <w:rFonts w:ascii="Amiri" w:hAnsi="Amiri" w:eastAsia="Amiri" w:cs="Amiri"/>
          <w:color w:val="111111"/>
          <w:sz w:val="28"/>
          <w:sz w:val="28"/>
          <w:szCs w:val="28"/>
          <w:rtl w:val="true"/>
          <w:lang w:bidi="ar-SA"/>
        </w:rPr>
        <w:t xml:space="preserve">وجماعة </w:t>
      </w:r>
      <w:r>
        <w:rPr>
          <w:rStyle w:val="FootnoteAnchor"/>
          <w:rtl w:val="true"/>
        </w:rPr>
        <w:footnoteReference w:id="2198"/>
      </w:r>
      <w:r>
        <w:rPr>
          <w:rFonts w:ascii="IRNazanin" w:hAnsi="IRNazanin" w:eastAsia="IRNazanin"/>
          <w:color w:val="111111"/>
          <w:sz w:val="28"/>
          <w:sz w:val="28"/>
          <w:szCs w:val="28"/>
          <w:rtl w:val="true"/>
          <w:lang w:bidi="fa-IR"/>
        </w:rPr>
        <w:t xml:space="preserve">منهم العلّامة فی المختلف </w:t>
      </w:r>
      <w:r>
        <w:rPr>
          <w:rStyle w:val="FootnoteAnchor"/>
          <w:rtl w:val="true"/>
        </w:rPr>
        <w:footnoteReference w:id="2199"/>
      </w:r>
      <w:r>
        <w:rPr>
          <w:rFonts w:eastAsia="Times New Roman" w:cs="Times New Roman" w:ascii="Times New Roman" w:hAnsi="Times New Roman"/>
          <w:color w:val="111111"/>
          <w:sz w:val="28"/>
          <w:szCs w:val="28"/>
          <w:rtl w:val="true"/>
          <w:lang w:val="en-US" w:bidi="en-US"/>
        </w:rPr>
        <w:t>:</w:t>
      </w:r>
      <w:bookmarkStart w:id="747" w:name="pg19815_253502"/>
    </w:p>
    <w:p>
      <w:pPr>
        <w:pStyle w:val="BookText"/>
        <w:rPr/>
      </w:pPr>
      <w:bookmarkEnd w:id="74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 بعیر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مطلقاً؛ لما رُوی من أنّ أمیر المؤمنین علیه الصلاة والسلام قضی بذلک </w:t>
      </w:r>
      <w:r>
        <w:rPr>
          <w:rStyle w:val="FootnoteAnchor"/>
          <w:rtl w:val="true"/>
        </w:rPr>
        <w:footnoteReference w:id="2200"/>
      </w:r>
      <w:r>
        <w:rPr>
          <w:rFonts w:ascii="IRNazanin" w:hAnsi="IRNazanin" w:eastAsia="IRNazanin"/>
          <w:color w:val="111111"/>
          <w:sz w:val="28"/>
          <w:sz w:val="28"/>
          <w:szCs w:val="28"/>
          <w:rtl w:val="true"/>
          <w:lang w:bidi="fa-IR"/>
        </w:rPr>
        <w:t xml:space="preserve">والطریق ضعیف </w:t>
      </w:r>
      <w:r>
        <w:rPr>
          <w:rStyle w:val="FootnoteAnchor"/>
          <w:rtl w:val="true"/>
        </w:rPr>
        <w:footnoteReference w:id="2201"/>
      </w:r>
      <w:r>
        <w:rPr>
          <w:rFonts w:ascii="IRNazanin" w:hAnsi="IRNazanin" w:eastAsia="IRNazanin"/>
          <w:color w:val="111111"/>
          <w:sz w:val="28"/>
          <w:sz w:val="28"/>
          <w:szCs w:val="28"/>
          <w:rtl w:val="true"/>
          <w:lang w:bidi="fa-IR"/>
        </w:rPr>
        <w:t>فالقول به کذلک</w:t>
      </w:r>
      <w:r>
        <w:rPr>
          <w:rFonts w:eastAsia="IRNazanin" w:cs="IRNazanin"/>
          <w:color w:val="111111"/>
          <w:sz w:val="28"/>
          <w:szCs w:val="28"/>
          <w:rtl w:val="true"/>
          <w:lang w:bidi="fa-IR"/>
        </w:rPr>
        <w:t>.</w:t>
      </w:r>
    </w:p>
    <w:p>
      <w:pPr>
        <w:pStyle w:val="Heading5"/>
        <w:numPr>
          <w:ilvl w:val="4"/>
          <w:numId w:val="1"/>
        </w:numPr>
        <w:rPr/>
      </w:pPr>
      <w:bookmarkStart w:id="748" w:name="__RefHeading___Toc2228237_2314609296"/>
      <w:bookmarkStart w:id="749" w:name="_Toc281"/>
      <w:bookmarkEnd w:id="748"/>
      <w:r>
        <w:rPr>
          <w:rtl w:val="true"/>
        </w:rPr>
        <w:t>«</w:t>
      </w:r>
      <w:r>
        <w:rPr>
          <w:rtl w:val="true"/>
        </w:rPr>
        <w:t xml:space="preserve">التاسعة </w:t>
      </w:r>
      <w:r>
        <w:rPr>
          <w:rtl w:val="true"/>
        </w:rPr>
        <w:t>[</w:t>
      </w:r>
      <w:r>
        <w:rPr>
          <w:rtl w:val="true"/>
        </w:rPr>
        <w:t>فی اللحیین</w:t>
      </w:r>
      <w:r>
        <w:rPr>
          <w:rtl w:val="true"/>
        </w:rPr>
        <w:t>] » :</w:t>
      </w:r>
      <w:bookmarkEnd w:id="74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اللحیین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بفتح اللام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العظمان اللذان ینبت علی بشرتهما اللِحیة، ویقال لملتقاهما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الذَقَن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بالتحریک المفتوح، ویتّصل کلّ واحد منهما بالاُذُن، وعلیهما نبات الأسنان السفلی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قُلعا منفردین عن الأسنان کلحیی الطفل والشیخ الذی تساقطت أسنانه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الدیة،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الأسنان دیتان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کلّ واحد منهما نصف الدیة منفرداً، ومع الأسنان بحسابها</w:t>
      </w:r>
      <w:r>
        <w:rPr>
          <w:rFonts w:eastAsia="IRNazanin" w:cs="IRNazanin"/>
          <w:color w:val="111111"/>
          <w:sz w:val="28"/>
          <w:szCs w:val="28"/>
          <w:rtl w:val="true"/>
          <w:lang w:bidi="fa-IR"/>
        </w:rPr>
        <w:t>.</w:t>
      </w:r>
    </w:p>
    <w:p>
      <w:pPr>
        <w:pStyle w:val="Heading5"/>
        <w:numPr>
          <w:ilvl w:val="4"/>
          <w:numId w:val="1"/>
        </w:numPr>
        <w:rPr/>
      </w:pPr>
      <w:bookmarkStart w:id="750" w:name="__RefHeading___Toc2228239_2314609296"/>
      <w:bookmarkStart w:id="751" w:name="_Toc282"/>
      <w:bookmarkEnd w:id="750"/>
      <w:r>
        <w:rPr>
          <w:rtl w:val="true"/>
        </w:rPr>
        <w:t>«</w:t>
      </w:r>
      <w:r>
        <w:rPr>
          <w:rtl w:val="true"/>
        </w:rPr>
        <w:t xml:space="preserve">العاشرة </w:t>
      </w:r>
      <w:r>
        <w:rPr>
          <w:rtl w:val="true"/>
        </w:rPr>
        <w:t>[</w:t>
      </w:r>
      <w:r>
        <w:rPr>
          <w:rtl w:val="true"/>
        </w:rPr>
        <w:t xml:space="preserve">فی العنق </w:t>
      </w:r>
      <w:r>
        <w:rPr>
          <w:rtl w:val="true"/>
        </w:rPr>
        <w:t>] » :</w:t>
      </w:r>
      <w:bookmarkEnd w:id="75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العنق إذا کُسر فصار أصورَ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مائلاً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الدیة، وکذا لو منع الازدراد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زال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الفساد ورجع إلی الصلاح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فالأرش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بین المدّتین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لم یبلغ الأذی ذلک، بل صار الازدراد أو الالتفات علیه عَسِراً فالحکومة</w:t>
      </w:r>
      <w:r>
        <w:rPr>
          <w:rFonts w:eastAsia="IRNazanin" w:cs="IRNazanin"/>
          <w:color w:val="111111"/>
          <w:sz w:val="28"/>
          <w:szCs w:val="28"/>
          <w:rtl w:val="true"/>
          <w:lang w:bidi="fa-IR"/>
        </w:rPr>
        <w:t>.</w:t>
      </w:r>
    </w:p>
    <w:p>
      <w:pPr>
        <w:pStyle w:val="Heading5"/>
        <w:numPr>
          <w:ilvl w:val="4"/>
          <w:numId w:val="1"/>
        </w:numPr>
        <w:rPr/>
      </w:pPr>
      <w:bookmarkStart w:id="752" w:name="__RefHeading___Toc2228241_2314609296"/>
      <w:bookmarkStart w:id="753" w:name="_Toc283"/>
      <w:bookmarkEnd w:id="752"/>
      <w:r>
        <w:rPr>
          <w:rtl w:val="true"/>
        </w:rPr>
        <w:t>«</w:t>
      </w:r>
      <w:r>
        <w:rPr>
          <w:rtl w:val="true"/>
        </w:rPr>
        <w:t xml:space="preserve">الحادیة عشرة </w:t>
      </w:r>
      <w:r>
        <w:rPr>
          <w:rtl w:val="true"/>
        </w:rPr>
        <w:t>[</w:t>
      </w:r>
      <w:r>
        <w:rPr>
          <w:rtl w:val="true"/>
        </w:rPr>
        <w:t>فی کل من الیدین و الاصابع</w:t>
      </w:r>
      <w:r>
        <w:rPr>
          <w:rtl w:val="true"/>
        </w:rPr>
        <w:t>] » :</w:t>
      </w:r>
      <w:bookmarkEnd w:id="753"/>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کلّ من الیدین نصف 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الیمین والشمال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وحدّها</w:t>
      </w:r>
    </w:p>
    <w:p>
      <w:pPr>
        <w:pStyle w:val="BookText"/>
        <w:rPr/>
      </w:pPr>
      <w:r>
        <w:rPr>
          <w:rFonts w:ascii="IRNazanin" w:hAnsi="IRNazanin" w:eastAsia="IRNazanin"/>
          <w:color w:val="111111"/>
          <w:sz w:val="28"/>
          <w:sz w:val="28"/>
          <w:szCs w:val="28"/>
          <w:rtl w:val="true"/>
          <w:lang w:bidi="fa-IR"/>
        </w:rPr>
        <w:t>المِعصَم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بکسر المیم فسکون العین ففتح الصاد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المَفصِل الذی بین الکفّ والذراع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وتدخل دیة الأصابع فی دیتها حیث یجتمعان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الأصابع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تُقطع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وَحْدَها دیتها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دیة 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قَطَع آخَرُ بقیّةَ الید فالحکومة خاصّة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قُطِع معها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مع الید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 من الزَند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بفتح الزای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والمراد شیء من الذراع؛ لأنّ الزند علی ما ذکره الجوهری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مَوصِل طرف الذراع بالکفّ </w:t>
      </w:r>
      <w:r>
        <w:rPr>
          <w:rStyle w:val="FootnoteAnchor"/>
          <w:rtl w:val="true"/>
        </w:rPr>
        <w:footnoteReference w:id="22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فحکومة زائدة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دیة الید لِما قُطِع من الزند، أمّا لو قطعت من المرفق أو المنکب فدیة الید 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تناول الید لذلک حقیقة وانفصاله بمفصل محسوس کأصل الید، بخلاف ما إذا قُطع شیء من الزند، فإنّ الید إنّما صدقت علیها من الزند، والزند من جنایة لا تقدیر فیها، فیکون فیها الحکومة، کذا فرّق المصنّف وغیره </w:t>
      </w:r>
      <w:r>
        <w:rPr>
          <w:rStyle w:val="FootnoteAnchor"/>
          <w:rtl w:val="true"/>
        </w:rPr>
        <w:footnoteReference w:id="22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وفیه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ومثله ما لو قطعت من بعض العضد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العضدین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للخبر العامّ </w:t>
      </w:r>
      <w:r>
        <w:rPr>
          <w:rStyle w:val="FootnoteAnchor"/>
          <w:rtl w:val="true"/>
        </w:rPr>
        <w:footnoteReference w:id="2204"/>
      </w:r>
      <w:r>
        <w:rPr>
          <w:rFonts w:ascii="IRNazanin" w:hAnsi="IRNazanin" w:eastAsia="IRNazanin"/>
          <w:color w:val="111111"/>
          <w:sz w:val="28"/>
          <w:sz w:val="28"/>
          <w:szCs w:val="28"/>
          <w:rtl w:val="true"/>
          <w:lang w:bidi="fa-IR"/>
        </w:rPr>
        <w:t xml:space="preserve">بثبوتها للاثنین فیما فی البدن منه اثنان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وکذا فی الذراعین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هذا إذا قطعا منفردین عن الید وأحدهما عن الآخر، أمّا لو قطعت الید من المرفق أو الکتف فالمشهور أنّ فیه دیة الید، کما تقدّم</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ویحتمل أن یرید ما هو أعمّ من ذلک، حتّی لو قطعها من الکتف وجب ثلاث دیات؛ لعموم الخبر فإنّه قول فی المسألة </w:t>
      </w:r>
      <w:r>
        <w:rPr>
          <w:rStyle w:val="FootnoteAnchor"/>
          <w:rtl w:val="true"/>
        </w:rPr>
        <w:footnoteReference w:id="2205"/>
      </w:r>
      <w:r>
        <w:rPr>
          <w:rFonts w:ascii="IRNazanin" w:hAnsi="IRNazanin" w:eastAsia="IRNazanin"/>
          <w:color w:val="111111"/>
          <w:sz w:val="28"/>
          <w:sz w:val="28"/>
          <w:szCs w:val="28"/>
          <w:rtl w:val="true"/>
          <w:lang w:bidi="fa-IR"/>
        </w:rPr>
        <w:t>ووجوبَ دیة الید وحکومة فی الزائد،</w:t>
      </w:r>
    </w:p>
    <w:p>
      <w:pPr>
        <w:pStyle w:val="BookText"/>
        <w:rPr/>
      </w:pPr>
      <w:r>
        <w:rPr>
          <w:rFonts w:ascii="IRNazanin" w:hAnsi="IRNazanin" w:eastAsia="IRNazanin"/>
          <w:color w:val="111111"/>
          <w:sz w:val="28"/>
          <w:sz w:val="28"/>
          <w:szCs w:val="28"/>
          <w:rtl w:val="true"/>
          <w:lang w:bidi="fa-IR"/>
        </w:rPr>
        <w:t xml:space="preserve">فإنّه قول ثالث </w:t>
      </w:r>
      <w:r>
        <w:rPr>
          <w:rStyle w:val="FootnoteAnchor"/>
          <w:rtl w:val="true"/>
        </w:rPr>
        <w:footnoteReference w:id="2206"/>
      </w:r>
      <w:r>
        <w:rPr>
          <w:rFonts w:ascii="IRNazanin" w:hAnsi="IRNazanin" w:eastAsia="IRNazanin"/>
          <w:color w:val="111111"/>
          <w:sz w:val="28"/>
          <w:sz w:val="28"/>
          <w:szCs w:val="28"/>
          <w:rtl w:val="true"/>
          <w:lang w:bidi="fa-IR"/>
        </w:rPr>
        <w:t>وکلام الأصحاب هنا لا یخلو من إجمال أو اختلاف أو إخلال، وکذلک الحکم لا یخلو من إشکال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الید الزائدة الحکومة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وتتمیّز عن الأصلیّة بفقد البطش أو ضعفه ومیلها عن السمت الطبیعی ونقصان خلقتها ولو فی إصبع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تساوتا فیها فإحداهما زائدة لا بعینها، ففیهما جمیعاً دیة وحکومة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الزائدة ثلث دیة الأصلیّة </w:t>
      </w:r>
      <w:r>
        <w:rPr>
          <w:rStyle w:val="FootnoteAnchor"/>
          <w:rtl w:val="true"/>
        </w:rPr>
        <w:footnoteReference w:id="2207"/>
      </w:r>
      <w:r>
        <w:rPr>
          <w:rFonts w:ascii="IRNazanin" w:hAnsi="IRNazanin" w:eastAsia="IRNazanin"/>
          <w:color w:val="111111"/>
          <w:sz w:val="28"/>
          <w:sz w:val="28"/>
          <w:szCs w:val="28"/>
          <w:rtl w:val="true"/>
          <w:lang w:bidi="fa-IR"/>
        </w:rPr>
        <w:t>ففیهما هنا دیة وثلث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قطعت إحداهما خاصّة احتمل ثبوت نصفِ دیةِ یدٍ وحکومةٍ؛ لأنّها نصف المجموع، وحکومة خاصّة للأصل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الإصبع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مثلّث الهمزة والباء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 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لید کانت أم لِرجلٍ، إبهاماً کانت أم غیرها علی الأقوی؛ لصحیحة عبد اللّٰه بن سنان </w:t>
      </w:r>
      <w:r>
        <w:rPr>
          <w:rStyle w:val="FootnoteAnchor"/>
          <w:rtl w:val="true"/>
        </w:rPr>
        <w:footnoteReference w:id="2208"/>
      </w:r>
      <w:r>
        <w:rPr>
          <w:rFonts w:ascii="IRNazanin" w:hAnsi="IRNazanin" w:eastAsia="IRNazanin"/>
          <w:color w:val="111111"/>
          <w:sz w:val="28"/>
          <w:sz w:val="28"/>
          <w:szCs w:val="28"/>
          <w:rtl w:val="true"/>
          <w:lang w:bidi="fa-IR"/>
        </w:rPr>
        <w:t xml:space="preserve">وغیرها </w:t>
      </w:r>
      <w:r>
        <w:rPr>
          <w:rStyle w:val="FootnoteAnchor"/>
          <w:rtl w:val="true"/>
        </w:rPr>
        <w:footnoteReference w:id="22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وقیل فی الإبهام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ثلث دیة العضو </w:t>
      </w:r>
      <w:r>
        <w:rPr>
          <w:rStyle w:val="FootnoteAnchor"/>
          <w:rtl w:val="true"/>
        </w:rPr>
        <w:footnoteReference w:id="2210"/>
      </w:r>
      <w:r>
        <w:rPr>
          <w:rFonts w:ascii="IRNazanin" w:hAnsi="IRNazanin" w:eastAsia="IRNazanin"/>
          <w:color w:val="111111"/>
          <w:sz w:val="28"/>
          <w:sz w:val="28"/>
          <w:szCs w:val="28"/>
          <w:rtl w:val="true"/>
          <w:lang w:bidi="fa-IR"/>
        </w:rPr>
        <w:t>وباقی الثلثین یُقسم علی سائر الأصابع</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الإصبِع الزائدة ثلث دیة الأصلیّة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شللها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شلل الاصبع مطلقاً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ثلثا دیتها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الشلّاء الثلث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الباقی من دیتها، سواء کان</w:t>
      </w:r>
      <w:bookmarkStart w:id="754" w:name="pg19815_253505"/>
    </w:p>
    <w:p>
      <w:pPr>
        <w:pStyle w:val="BookText"/>
        <w:rPr/>
      </w:pPr>
      <w:bookmarkEnd w:id="754"/>
      <w:r>
        <w:rPr>
          <w:rFonts w:ascii="IRNazanin" w:hAnsi="IRNazanin" w:eastAsia="IRNazanin"/>
          <w:color w:val="111111"/>
          <w:sz w:val="28"/>
          <w:sz w:val="28"/>
          <w:szCs w:val="28"/>
          <w:rtl w:val="true"/>
          <w:lang w:bidi="fa-IR"/>
        </w:rPr>
        <w:t>الشلل خلقة أم بجنایة جانٍ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الظُفُر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بضمّ الظاء المُشالة والفاء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لم ینبت أو نبت أسودَ عشرة دنانیر، ولو نبت أبیضَ فخمسة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دنانیر علی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والمستند روایة ضعیفة </w:t>
      </w:r>
      <w:r>
        <w:rPr>
          <w:rStyle w:val="FootnoteAnchor"/>
          <w:rtl w:val="true"/>
        </w:rPr>
        <w:footnoteReference w:id="2211"/>
      </w:r>
      <w:r>
        <w:rPr>
          <w:rFonts w:ascii="IRNazanin" w:hAnsi="IRNazanin" w:eastAsia="IRNazanin"/>
          <w:color w:val="111111"/>
          <w:sz w:val="28"/>
          <w:sz w:val="28"/>
          <w:szCs w:val="28"/>
          <w:rtl w:val="true"/>
          <w:lang w:bidi="fa-IR"/>
        </w:rPr>
        <w:t>وفی صحیحة عبد اللّٰه بن سنان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الظفر خمسة دنانیر</w:t>
      </w:r>
      <w:r>
        <w:rPr>
          <w:rFonts w:eastAsia="IRNazanin" w:cs="IRNazanin"/>
          <w:color w:val="111111"/>
          <w:sz w:val="28"/>
          <w:szCs w:val="28"/>
          <w:rtl w:val="true"/>
          <w:lang w:bidi="fa-IR"/>
        </w:rPr>
        <w:t xml:space="preserve">» </w:t>
      </w:r>
      <w:r>
        <w:rPr>
          <w:rStyle w:val="FootnoteAnchor"/>
          <w:rtl w:val="true"/>
        </w:rPr>
        <w:footnoteReference w:id="2212"/>
      </w:r>
      <w:r>
        <w:rPr>
          <w:rFonts w:ascii="IRNazanin" w:hAnsi="IRNazanin" w:eastAsia="IRNazanin"/>
          <w:color w:val="111111"/>
          <w:sz w:val="28"/>
          <w:sz w:val="28"/>
          <w:szCs w:val="28"/>
          <w:rtl w:val="true"/>
          <w:lang w:bidi="fa-IR"/>
        </w:rPr>
        <w:t xml:space="preserve">وحُملت علی ما لو عاد أبیض </w:t>
      </w:r>
      <w:r>
        <w:rPr>
          <w:rStyle w:val="FootnoteAnchor"/>
          <w:rtl w:val="true"/>
        </w:rPr>
        <w:footnoteReference w:id="2213"/>
      </w:r>
      <w:r>
        <w:rPr>
          <w:rFonts w:ascii="IRNazanin" w:hAnsi="IRNazanin" w:eastAsia="IRNazanin"/>
          <w:color w:val="111111"/>
          <w:sz w:val="28"/>
          <w:sz w:val="28"/>
          <w:szCs w:val="28"/>
          <w:rtl w:val="true"/>
          <w:lang w:bidi="fa-IR"/>
        </w:rPr>
        <w:t>جمعاً، وهو غریب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المسألة قول آخر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عشرة دنانیر متی قُلِع ولم یخرج، ومتی خرج أسودَ فثلثا دیته </w:t>
      </w:r>
      <w:r>
        <w:rPr>
          <w:rStyle w:val="FootnoteAnchor"/>
          <w:rtl w:val="true"/>
        </w:rPr>
        <w:footnoteReference w:id="2214"/>
      </w:r>
      <w:r>
        <w:rPr>
          <w:rFonts w:ascii="IRNazanin" w:hAnsi="IRNazanin" w:eastAsia="IRNazanin"/>
          <w:color w:val="111111"/>
          <w:sz w:val="28"/>
          <w:sz w:val="28"/>
          <w:szCs w:val="28"/>
          <w:rtl w:val="true"/>
          <w:lang w:bidi="fa-IR"/>
        </w:rPr>
        <w:t>لأنّه فی معنی الشلل، ولأصالة براءة الذمّة من وجوب الزائد مع ضعف المأخذ، وبُعد مساواة عوده لعدمه أصلاً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حسن</w:t>
      </w:r>
      <w:r>
        <w:rPr>
          <w:rFonts w:eastAsia="IRNazanin" w:cs="IRNazanin"/>
          <w:color w:val="111111"/>
          <w:sz w:val="28"/>
          <w:szCs w:val="28"/>
          <w:rtl w:val="true"/>
          <w:lang w:bidi="fa-IR"/>
        </w:rPr>
        <w:t>.</w:t>
      </w:r>
    </w:p>
    <w:p>
      <w:pPr>
        <w:pStyle w:val="Heading5"/>
        <w:numPr>
          <w:ilvl w:val="4"/>
          <w:numId w:val="1"/>
        </w:numPr>
        <w:rPr/>
      </w:pPr>
      <w:bookmarkStart w:id="755" w:name="__RefHeading___Toc2228243_2314609296"/>
      <w:bookmarkStart w:id="756" w:name="_Toc284"/>
      <w:bookmarkEnd w:id="755"/>
      <w:r>
        <w:rPr>
          <w:rtl w:val="true"/>
        </w:rPr>
        <w:t>«</w:t>
      </w:r>
      <w:r>
        <w:rPr>
          <w:rtl w:val="true"/>
        </w:rPr>
        <w:t xml:space="preserve">الثانیة عشرة </w:t>
      </w:r>
      <w:r>
        <w:rPr>
          <w:rtl w:val="true"/>
        </w:rPr>
        <w:t>[</w:t>
      </w:r>
      <w:r>
        <w:rPr>
          <w:rtl w:val="true"/>
        </w:rPr>
        <w:t xml:space="preserve">فی کسر الظهر و الصلب </w:t>
      </w:r>
      <w:r>
        <w:rPr>
          <w:rtl w:val="true"/>
        </w:rPr>
        <w:t>] » :</w:t>
      </w:r>
      <w:bookmarkEnd w:id="75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الظهر إذا کُسر 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لصحیحة الحلبی عن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الرجل یُکسر ظهره،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الدیة کاملة</w:t>
      </w:r>
      <w:r>
        <w:rPr>
          <w:rFonts w:eastAsia="IRNazanin" w:cs="IRNazanin"/>
          <w:color w:val="111111"/>
          <w:sz w:val="28"/>
          <w:szCs w:val="28"/>
          <w:rtl w:val="true"/>
          <w:lang w:bidi="fa-IR"/>
        </w:rPr>
        <w:t xml:space="preserve">» </w:t>
      </w:r>
      <w:r>
        <w:rPr>
          <w:rStyle w:val="FootnoteAnchor"/>
          <w:rtl w:val="true"/>
        </w:rPr>
        <w:footnoteReference w:id="22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وکذا لو احدودب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صار بحیث لا یقدر علی القعود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ولو صَلُح </w:t>
      </w:r>
      <w:r>
        <w:rPr>
          <w:rStyle w:val="FootnoteAnchor"/>
          <w:rtl w:val="true"/>
        </w:rPr>
        <w:footnoteReference w:id="2216"/>
      </w:r>
      <w:r>
        <w:rPr>
          <w:rFonts w:ascii="IRNazanin" w:hAnsi="IRNazanin" w:eastAsia="IRNazanin"/>
          <w:color w:val="111111"/>
          <w:sz w:val="28"/>
          <w:sz w:val="28"/>
          <w:szCs w:val="28"/>
          <w:rtl w:val="true"/>
          <w:lang w:bidi="fa-IR"/>
        </w:rPr>
        <w:t>فثلث 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المشهور</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روایة ظریف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کُسِر الصلب فجُبِر علی غیر عیب فمئة دینار،</w:t>
      </w:r>
    </w:p>
    <w:p>
      <w:pPr>
        <w:pStyle w:val="BookText"/>
        <w:rPr/>
      </w:pPr>
      <w:r>
        <w:rPr>
          <w:rFonts w:ascii="Amiri" w:hAnsi="Amiri" w:eastAsia="Amiri" w:cs="Amiri"/>
          <w:color w:val="111111"/>
          <w:sz w:val="28"/>
          <w:sz w:val="28"/>
          <w:szCs w:val="28"/>
          <w:rtl w:val="true"/>
          <w:lang w:bidi="ar-SA"/>
        </w:rPr>
        <w:t xml:space="preserve">وإن عَثَم </w:t>
      </w:r>
      <w:r>
        <w:rPr>
          <w:rStyle w:val="FootnoteAnchor"/>
          <w:rtl w:val="true"/>
        </w:rPr>
        <w:footnoteReference w:id="2217"/>
      </w:r>
      <w:r>
        <w:rPr>
          <w:rFonts w:ascii="IRNazanin" w:hAnsi="IRNazanin" w:eastAsia="IRNazanin"/>
          <w:color w:val="111111"/>
          <w:sz w:val="28"/>
          <w:sz w:val="28"/>
          <w:szCs w:val="28"/>
          <w:rtl w:val="true"/>
          <w:lang w:bidi="fa-IR"/>
        </w:rPr>
        <w:t>فألف دینار</w:t>
      </w:r>
      <w:r>
        <w:rPr>
          <w:rFonts w:eastAsia="IRNazanin" w:cs="IRNazanin"/>
          <w:color w:val="111111"/>
          <w:sz w:val="28"/>
          <w:szCs w:val="28"/>
          <w:rtl w:val="true"/>
          <w:lang w:bidi="fa-IR"/>
        </w:rPr>
        <w:t xml:space="preserve">» </w:t>
      </w:r>
      <w:r>
        <w:rPr>
          <w:rStyle w:val="FootnoteAnchor"/>
          <w:rtl w:val="true"/>
        </w:rPr>
        <w:footnoteReference w:id="22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کُسِر فشلّت الرجلان فدیة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لکسره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وثلثا دیة للرجلین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لأنّهما دیة شلل کلّ عضو بحسبه</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کُسِر الصلب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الظهر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فذهب مشیه وجماعه فدیتان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إحداهما للکسر، والاُخری لفوات منفعة الجماع، ذکر ذلک الشیخ فی الخلاف </w:t>
      </w:r>
      <w:r>
        <w:rPr>
          <w:rStyle w:val="FootnoteAnchor"/>
          <w:rtl w:val="true"/>
        </w:rPr>
        <w:footnoteReference w:id="2219"/>
      </w:r>
      <w:r>
        <w:rPr>
          <w:rFonts w:ascii="IRNazanin" w:hAnsi="IRNazanin" w:eastAsia="IRNazanin"/>
          <w:color w:val="111111"/>
          <w:sz w:val="28"/>
          <w:sz w:val="28"/>
          <w:szCs w:val="28"/>
          <w:rtl w:val="true"/>
          <w:lang w:bidi="fa-IR"/>
        </w:rPr>
        <w:t xml:space="preserve">وتبعه علیه الجماعة </w:t>
      </w:r>
      <w:r>
        <w:rPr>
          <w:rStyle w:val="FootnoteAnchor"/>
          <w:rtl w:val="true"/>
        </w:rPr>
        <w:footnoteReference w:id="2220"/>
      </w:r>
      <w:r>
        <w:rPr>
          <w:rFonts w:ascii="IRNazanin" w:hAnsi="IRNazanin" w:eastAsia="IRNazanin"/>
          <w:color w:val="111111"/>
          <w:sz w:val="28"/>
          <w:sz w:val="28"/>
          <w:szCs w:val="28"/>
          <w:rtl w:val="true"/>
          <w:lang w:bidi="fa-IR"/>
        </w:rPr>
        <w:t xml:space="preserve">واقتصر المحقّق والعلّامة فی الشرائع </w:t>
      </w:r>
      <w:r>
        <w:rPr>
          <w:rStyle w:val="FootnoteAnchor"/>
          <w:rtl w:val="true"/>
        </w:rPr>
        <w:footnoteReference w:id="2221"/>
      </w:r>
      <w:r>
        <w:rPr>
          <w:rFonts w:ascii="IRNazanin" w:hAnsi="IRNazanin" w:eastAsia="IRNazanin"/>
          <w:color w:val="111111"/>
          <w:sz w:val="28"/>
          <w:sz w:val="28"/>
          <w:szCs w:val="28"/>
          <w:rtl w:val="true"/>
          <w:lang w:bidi="fa-IR"/>
        </w:rPr>
        <w:t xml:space="preserve">والتحریر </w:t>
      </w:r>
      <w:r>
        <w:rPr>
          <w:rStyle w:val="FootnoteAnchor"/>
          <w:rtl w:val="true"/>
        </w:rPr>
        <w:footnoteReference w:id="2222"/>
      </w:r>
      <w:r>
        <w:rPr>
          <w:rFonts w:ascii="IRNazanin" w:hAnsi="IRNazanin" w:eastAsia="IRNazanin"/>
          <w:color w:val="111111"/>
          <w:sz w:val="28"/>
          <w:sz w:val="28"/>
          <w:szCs w:val="28"/>
          <w:rtl w:val="true"/>
          <w:lang w:bidi="fa-IR"/>
        </w:rPr>
        <w:t>علی حکایته عنه قولاً، إشعاراً بتمریضه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وعلیه لو عادت </w:t>
      </w:r>
      <w:r>
        <w:rPr>
          <w:rStyle w:val="FootnoteAnchor"/>
          <w:rtl w:val="true"/>
        </w:rPr>
        <w:footnoteReference w:id="2223"/>
      </w:r>
      <w:r>
        <w:rPr>
          <w:rFonts w:ascii="IRNazanin" w:hAnsi="IRNazanin" w:eastAsia="IRNazanin"/>
          <w:color w:val="111111"/>
          <w:sz w:val="28"/>
          <w:sz w:val="28"/>
          <w:szCs w:val="28"/>
          <w:rtl w:val="true"/>
          <w:lang w:bidi="fa-IR"/>
        </w:rPr>
        <w:t xml:space="preserve">إحدی المنفعتین وجبت دیة واحدة، ولو عادت ناقصة فدیة وحکومة عن نقص العائدة، إلّاأن یکون العود بصلاح الصُلب، فالثلث کما مرّ مضافاً إلی ذلک </w:t>
      </w:r>
      <w:r>
        <w:rPr>
          <w:rStyle w:val="FootnoteAnchor"/>
          <w:rtl w:val="true"/>
        </w:rPr>
        <w:footnoteReference w:id="2224"/>
      </w:r>
      <w:r>
        <w:rPr>
          <w:rFonts w:eastAsia="Times New Roman" w:cs="Times New Roman" w:ascii="Times New Roman" w:hAnsi="Times New Roman"/>
          <w:color w:val="111111"/>
          <w:sz w:val="28"/>
          <w:szCs w:val="28"/>
          <w:rtl w:val="true"/>
          <w:lang w:val="en-US" w:bidi="en-US"/>
        </w:rPr>
        <w:t>.</w:t>
      </w:r>
      <w:bookmarkStart w:id="757" w:name="pg19815_253507"/>
    </w:p>
    <w:p>
      <w:pPr>
        <w:pStyle w:val="Heading5"/>
        <w:numPr>
          <w:ilvl w:val="4"/>
          <w:numId w:val="1"/>
        </w:numPr>
        <w:rPr/>
      </w:pPr>
      <w:bookmarkStart w:id="758" w:name="__RefHeading___Toc2228245_2314609296"/>
      <w:bookmarkStart w:id="759" w:name="_Toc285"/>
      <w:bookmarkEnd w:id="757"/>
      <w:bookmarkEnd w:id="758"/>
      <w:r>
        <w:rPr>
          <w:rtl w:val="true"/>
        </w:rPr>
        <w:t>«</w:t>
      </w:r>
      <w:r>
        <w:rPr>
          <w:rtl w:val="true"/>
        </w:rPr>
        <w:t xml:space="preserve">الثالثة عشرة </w:t>
      </w:r>
      <w:r>
        <w:rPr>
          <w:rtl w:val="true"/>
        </w:rPr>
        <w:t>[</w:t>
      </w:r>
      <w:r>
        <w:rPr>
          <w:rtl w:val="true"/>
        </w:rPr>
        <w:t>فی النخاع</w:t>
      </w:r>
      <w:r>
        <w:rPr>
          <w:rtl w:val="true"/>
        </w:rPr>
        <w:t>] »</w:t>
      </w:r>
      <w:bookmarkEnd w:id="75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النخاع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الخیط الأبیض فی وسط فقر الظهر إذا قطع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کاملة؛ لأنّه واحد فی الإنسان، ومع ذلک لا قوام له بدونه</w:t>
      </w:r>
      <w:r>
        <w:rPr>
          <w:rFonts w:eastAsia="IRNazanin" w:cs="IRNazanin"/>
          <w:color w:val="111111"/>
          <w:sz w:val="28"/>
          <w:szCs w:val="28"/>
          <w:rtl w:val="true"/>
          <w:lang w:bidi="fa-IR"/>
        </w:rPr>
        <w:t>.</w:t>
      </w:r>
    </w:p>
    <w:p>
      <w:pPr>
        <w:pStyle w:val="Heading5"/>
        <w:numPr>
          <w:ilvl w:val="4"/>
          <w:numId w:val="1"/>
        </w:numPr>
        <w:rPr/>
      </w:pPr>
      <w:bookmarkStart w:id="760" w:name="__RefHeading___Toc2228247_2314609296"/>
      <w:bookmarkStart w:id="761" w:name="_Toc286"/>
      <w:bookmarkEnd w:id="760"/>
      <w:r>
        <w:rPr>
          <w:rtl w:val="true"/>
        </w:rPr>
        <w:t>«</w:t>
      </w:r>
      <w:r>
        <w:rPr>
          <w:rtl w:val="true"/>
        </w:rPr>
        <w:t xml:space="preserve">الرابعة عشرة </w:t>
      </w:r>
      <w:r>
        <w:rPr>
          <w:rtl w:val="true"/>
        </w:rPr>
        <w:t>[</w:t>
      </w:r>
      <w:r>
        <w:rPr>
          <w:rtl w:val="true"/>
        </w:rPr>
        <w:t>الثدیان و الحملتان</w:t>
      </w:r>
      <w:r>
        <w:rPr>
          <w:rtl w:val="true"/>
        </w:rPr>
        <w:t>] » :</w:t>
      </w:r>
      <w:bookmarkEnd w:id="76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وهما للرجل </w:t>
      </w:r>
      <w:r>
        <w:rPr>
          <w:rStyle w:val="FootnoteAnchor"/>
          <w:rtl w:val="true"/>
        </w:rPr>
        <w:footnoteReference w:id="2225"/>
      </w:r>
      <w:r>
        <w:rPr>
          <w:rFonts w:ascii="IRNazanin" w:hAnsi="IRNazanin" w:eastAsia="IRNazanin"/>
          <w:color w:val="111111"/>
          <w:sz w:val="28"/>
          <w:sz w:val="28"/>
          <w:szCs w:val="28"/>
          <w:rtl w:val="true"/>
          <w:lang w:bidi="fa-IR"/>
        </w:rPr>
        <w:t xml:space="preserve">والمرأة، ولکن ذکر هنا حکمهما لها خاصّة، وهو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کلّ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نصف دیة المرأة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الیمین والیسار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موضع وفاق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انقطاع اللبن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لو تعذّر نزوله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حینئذٍ بمنزلة المنقطع</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الحَلَمتین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وهما اللتان فی رأسهما کالزرّ یلتقمهما الطفل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قطعتا منفردتین </w:t>
      </w:r>
      <w:r>
        <w:rPr>
          <w:rStyle w:val="FootnoteAnchor"/>
          <w:rtl w:val="true"/>
        </w:rPr>
        <w:footnoteReference w:id="22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الشیخ</w:t>
      </w:r>
      <w:r>
        <w:rPr>
          <w:rFonts w:eastAsia="IRNazanin" w:cs="IRNazanin"/>
          <w:color w:val="111111"/>
          <w:sz w:val="28"/>
          <w:szCs w:val="28"/>
          <w:rtl w:val="true"/>
          <w:lang w:bidi="fa-IR"/>
        </w:rPr>
        <w:t xml:space="preserve">» </w:t>
      </w:r>
      <w:r>
        <w:rPr>
          <w:rStyle w:val="FootnoteAnchor"/>
          <w:rtl w:val="true"/>
        </w:rPr>
        <w:footnoteReference w:id="2227"/>
      </w:r>
      <w:r>
        <w:rPr>
          <w:rFonts w:ascii="IRNazanin" w:hAnsi="IRNazanin" w:eastAsia="IRNazanin"/>
          <w:color w:val="111111"/>
          <w:sz w:val="28"/>
          <w:sz w:val="28"/>
          <w:szCs w:val="28"/>
          <w:rtl w:val="true"/>
          <w:lang w:bidi="fa-IR"/>
        </w:rPr>
        <w:t xml:space="preserve">لأنّهما ممّا فی الإنسان منه اثنان، فیدخلان فی الخبر العامّ </w:t>
      </w:r>
      <w:r>
        <w:rPr>
          <w:rStyle w:val="FootnoteAnchor"/>
          <w:rtl w:val="true"/>
        </w:rPr>
        <w:footnoteReference w:id="2228"/>
      </w:r>
      <w:r>
        <w:rPr>
          <w:rFonts w:ascii="IRNazanin" w:hAnsi="IRNazanin" w:eastAsia="IRNazanin"/>
          <w:color w:val="111111"/>
          <w:sz w:val="28"/>
          <w:sz w:val="28"/>
          <w:szCs w:val="28"/>
          <w:rtl w:val="true"/>
          <w:lang w:bidi="fa-IR"/>
        </w:rPr>
        <w:t xml:space="preserve">ونسبه إلی الشیخ مؤذناً بردّه؛ لأنّهما کالجزء من الثدیین اللذین فیهما جمیعاً الدیة، ففیهما الحکومة خاصّة؛ لأصالة البراءة من الزائد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وکذا حَلَمتا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الدیة عند الشیخ فی المبسوط </w:t>
      </w:r>
      <w:r>
        <w:rPr>
          <w:rStyle w:val="FootnoteAnchor"/>
          <w:rtl w:val="true"/>
        </w:rPr>
        <w:footnoteReference w:id="2229"/>
      </w:r>
      <w:r>
        <w:rPr>
          <w:rFonts w:ascii="IRNazanin" w:hAnsi="IRNazanin" w:eastAsia="IRNazanin"/>
          <w:color w:val="111111"/>
          <w:sz w:val="28"/>
          <w:sz w:val="28"/>
          <w:szCs w:val="28"/>
          <w:rtl w:val="true"/>
          <w:lang w:bidi="fa-IR"/>
        </w:rPr>
        <w:t xml:space="preserve">والخلاف </w:t>
      </w:r>
      <w:r>
        <w:rPr>
          <w:rStyle w:val="FootnoteAnchor"/>
          <w:rtl w:val="true"/>
        </w:rPr>
        <w:footnoteReference w:id="2230"/>
      </w:r>
      <w:r>
        <w:rPr>
          <w:rFonts w:ascii="IRNazanin" w:hAnsi="IRNazanin" w:eastAsia="IRNazanin"/>
          <w:color w:val="111111"/>
          <w:sz w:val="28"/>
          <w:sz w:val="28"/>
          <w:szCs w:val="28"/>
          <w:rtl w:val="true"/>
          <w:lang w:bidi="fa-IR"/>
        </w:rPr>
        <w:t>لما ذکر</w:t>
      </w:r>
      <w:r>
        <w:rPr>
          <w:rFonts w:eastAsia="IRNazanin" w:cs="IRNazanin"/>
          <w:color w:val="111111"/>
          <w:sz w:val="28"/>
          <w:szCs w:val="28"/>
          <w:rtl w:val="true"/>
          <w:lang w:bidi="fa-IR"/>
        </w:rPr>
        <w:t>.</w:t>
      </w:r>
      <w:bookmarkStart w:id="762" w:name="pg19815_253508"/>
    </w:p>
    <w:p>
      <w:pPr>
        <w:pStyle w:val="BookText"/>
        <w:rPr/>
      </w:pPr>
      <w:bookmarkEnd w:id="76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والقائل ابن بابویه </w:t>
      </w:r>
      <w:r>
        <w:rPr>
          <w:rStyle w:val="FootnoteAnchor"/>
          <w:rtl w:val="true"/>
        </w:rPr>
        <w:footnoteReference w:id="2231"/>
      </w:r>
      <w:r>
        <w:rPr>
          <w:rFonts w:ascii="Amiri" w:hAnsi="Amiri" w:eastAsia="Amiri" w:cs="Amiri"/>
          <w:color w:val="111111"/>
          <w:sz w:val="28"/>
          <w:sz w:val="28"/>
          <w:szCs w:val="28"/>
          <w:rtl w:val="true"/>
          <w:lang w:bidi="ar-SA"/>
        </w:rPr>
        <w:t xml:space="preserve">وابن حمزة </w:t>
      </w:r>
      <w:r>
        <w:rPr>
          <w:rStyle w:val="FootnoteAnchor"/>
          <w:rtl w:val="true"/>
        </w:rPr>
        <w:footnoteReference w:id="223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حَلَمتی الرجل الربع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ربع الدیة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کلّ واحدة الثمن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استناداً إلی کتاب ظریف </w:t>
      </w:r>
      <w:r>
        <w:rPr>
          <w:rStyle w:val="FootnoteAnchor"/>
          <w:rtl w:val="true"/>
        </w:rPr>
        <w:footnoteReference w:id="22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فیهما الحکومة خاصّة </w:t>
      </w:r>
      <w:r>
        <w:rPr>
          <w:rStyle w:val="FootnoteAnchor"/>
          <w:rtl w:val="true"/>
        </w:rPr>
        <w:footnoteReference w:id="2234"/>
      </w:r>
      <w:r>
        <w:rPr>
          <w:rFonts w:ascii="IRNazanin" w:hAnsi="IRNazanin" w:eastAsia="IRNazanin"/>
          <w:color w:val="111111"/>
          <w:sz w:val="28"/>
          <w:sz w:val="28"/>
          <w:szCs w:val="28"/>
          <w:rtl w:val="true"/>
          <w:lang w:bidi="fa-IR"/>
        </w:rPr>
        <w:t>للأصل، واستضعافاً لمستند غیرها</w:t>
      </w:r>
      <w:r>
        <w:rPr>
          <w:rFonts w:eastAsia="IRNazanin" w:cs="IRNazanin"/>
          <w:color w:val="111111"/>
          <w:sz w:val="28"/>
          <w:szCs w:val="28"/>
          <w:rtl w:val="true"/>
          <w:lang w:bidi="fa-IR"/>
        </w:rPr>
        <w:t>.</w:t>
      </w:r>
    </w:p>
    <w:p>
      <w:pPr>
        <w:pStyle w:val="Heading5"/>
        <w:numPr>
          <w:ilvl w:val="4"/>
          <w:numId w:val="1"/>
        </w:numPr>
        <w:rPr/>
      </w:pPr>
      <w:bookmarkStart w:id="763" w:name="__RefHeading___Toc2228249_2314609296"/>
      <w:bookmarkStart w:id="764" w:name="_Toc287"/>
      <w:bookmarkEnd w:id="763"/>
      <w:r>
        <w:rPr>
          <w:rtl w:val="true"/>
        </w:rPr>
        <w:t>«</w:t>
      </w:r>
      <w:r>
        <w:rPr>
          <w:rtl w:val="true"/>
        </w:rPr>
        <w:t xml:space="preserve">الخامسة عشرة </w:t>
      </w:r>
      <w:r>
        <w:rPr>
          <w:rtl w:val="true"/>
        </w:rPr>
        <w:t>[</w:t>
      </w:r>
      <w:r>
        <w:rPr>
          <w:rtl w:val="true"/>
        </w:rPr>
        <w:t xml:space="preserve">فی الذکر </w:t>
      </w:r>
      <w:r>
        <w:rPr>
          <w:rtl w:val="true"/>
        </w:rPr>
        <w:t>] » :</w:t>
      </w:r>
      <w:bookmarkEnd w:id="76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الذکر مستأصلاً، أو الحشفة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زاد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لشیخٍ کان أم لشابٍّ أم لطفل صغیر، قادرٍ علی الجماع أم عاجز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کان مسلول الخصیتین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ممّا فی الإنسان منه واحد، فتثبت فیه الدیة مطلقاً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بعض الحشفة بحسابه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حساب ذلک البعض منسوباً إلی مجموعها خاصّة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العنّین ثلث 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عضو أشلّ، ودیته ذلک، کما أنّ فی الجنایة علیه صحیحاً حتّی صار أشلّ ثلثی دیته</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ولو قُطِع بعض ذکر العنّین اعتبر بحسابه من المجموع، لا من الحشفة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والفرق بینه وبین 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الحشفة فی الصحیح هی الرکن الأعظم فی لذّة الجماع، بخلافها فی العنّین؛ لاستواء الجمیع فی عدم المنفعة مع کونه عضواً واحداً، فینسب بعضه إلی مجموعه، علی الأصل </w:t>
      </w:r>
      <w:r>
        <w:rPr>
          <w:rStyle w:val="FootnoteAnchor"/>
          <w:rtl w:val="true"/>
        </w:rPr>
        <w:footnoteReference w:id="2235"/>
      </w:r>
      <w:r>
        <w:rPr>
          <w:rFonts w:eastAsia="Times New Roman" w:cs="Times New Roman" w:ascii="Times New Roman" w:hAnsi="Times New Roman"/>
          <w:color w:val="111111"/>
          <w:sz w:val="28"/>
          <w:szCs w:val="28"/>
          <w:rtl w:val="true"/>
          <w:lang w:val="en-US" w:bidi="en-US"/>
        </w:rPr>
        <w:t>.</w:t>
      </w:r>
      <w:bookmarkStart w:id="765" w:name="pg19815_253509"/>
    </w:p>
    <w:p>
      <w:pPr>
        <w:pStyle w:val="Heading5"/>
        <w:numPr>
          <w:ilvl w:val="4"/>
          <w:numId w:val="1"/>
        </w:numPr>
        <w:rPr/>
      </w:pPr>
      <w:bookmarkStart w:id="766" w:name="__RefHeading___Toc2228251_2314609296"/>
      <w:bookmarkStart w:id="767" w:name="_Toc288"/>
      <w:bookmarkEnd w:id="765"/>
      <w:bookmarkEnd w:id="766"/>
      <w:r>
        <w:rPr>
          <w:rtl w:val="true"/>
        </w:rPr>
        <w:t>«</w:t>
      </w:r>
      <w:r>
        <w:rPr>
          <w:rtl w:val="true"/>
        </w:rPr>
        <w:t xml:space="preserve">السادسة عشرة </w:t>
      </w:r>
      <w:r>
        <w:rPr>
          <w:rtl w:val="true"/>
        </w:rPr>
        <w:t>[</w:t>
      </w:r>
      <w:r>
        <w:rPr>
          <w:rtl w:val="true"/>
        </w:rPr>
        <w:t>فی الخصیتین</w:t>
      </w:r>
      <w:r>
        <w:rPr>
          <w:rtl w:val="true"/>
        </w:rPr>
        <w:t>] » :</w:t>
      </w:r>
      <w:bookmarkEnd w:id="76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الخصیتین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الدیة، وفی 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للخبر العامّ </w:t>
      </w:r>
      <w:r>
        <w:rPr>
          <w:rStyle w:val="FootnoteAnchor"/>
          <w:rtl w:val="true"/>
        </w:rPr>
        <w:footnoteReference w:id="22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والقائل به جماعة، منهم الشیخ فی الخلاف </w:t>
      </w:r>
      <w:r>
        <w:rPr>
          <w:rStyle w:val="FootnoteAnchor"/>
          <w:rtl w:val="true"/>
        </w:rPr>
        <w:footnoteReference w:id="2237"/>
      </w:r>
      <w:r>
        <w:rPr>
          <w:rFonts w:ascii="IRNazanin" w:hAnsi="IRNazanin" w:eastAsia="IRNazanin"/>
          <w:color w:val="111111"/>
          <w:sz w:val="28"/>
          <w:sz w:val="28"/>
          <w:szCs w:val="28"/>
          <w:rtl w:val="true"/>
          <w:lang w:bidi="fa-IR"/>
        </w:rPr>
        <w:t xml:space="preserve">وأتباعه </w:t>
      </w:r>
      <w:r>
        <w:rPr>
          <w:rStyle w:val="FootnoteAnchor"/>
          <w:rtl w:val="true"/>
        </w:rPr>
        <w:footnoteReference w:id="2238"/>
      </w:r>
      <w:r>
        <w:rPr>
          <w:rFonts w:ascii="IRNazanin" w:hAnsi="IRNazanin" w:eastAsia="IRNazanin"/>
          <w:color w:val="111111"/>
          <w:sz w:val="28"/>
          <w:sz w:val="28"/>
          <w:szCs w:val="28"/>
          <w:rtl w:val="true"/>
          <w:lang w:bidi="fa-IR"/>
        </w:rPr>
        <w:t xml:space="preserve">والعلّامة فی المختلف </w:t>
      </w:r>
      <w:r>
        <w:rPr>
          <w:rStyle w:val="FootnoteAnchor"/>
          <w:rtl w:val="true"/>
        </w:rPr>
        <w:footnoteReference w:id="223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الیسری الثلثان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الیمنی الثلث؛ لحسنة عبد اللّٰه بن سنان عن الصادق علیه السلام </w:t>
      </w:r>
      <w:r>
        <w:rPr>
          <w:rStyle w:val="FootnoteAnchor"/>
          <w:rtl w:val="true"/>
        </w:rPr>
        <w:footnoteReference w:id="2240"/>
      </w:r>
      <w:r>
        <w:rPr>
          <w:rFonts w:ascii="IRNazanin" w:hAnsi="IRNazanin" w:eastAsia="IRNazanin"/>
          <w:color w:val="111111"/>
          <w:sz w:val="28"/>
          <w:sz w:val="28"/>
          <w:szCs w:val="28"/>
          <w:rtl w:val="true"/>
          <w:lang w:bidi="fa-IR"/>
        </w:rPr>
        <w:t xml:space="preserve">وغیرها </w:t>
      </w:r>
      <w:r>
        <w:rPr>
          <w:rStyle w:val="FootnoteAnchor"/>
          <w:rtl w:val="true"/>
        </w:rPr>
        <w:footnoteReference w:id="2241"/>
      </w:r>
      <w:r>
        <w:rPr>
          <w:rFonts w:ascii="IRNazanin" w:hAnsi="IRNazanin" w:eastAsia="IRNazanin"/>
          <w:color w:val="111111"/>
          <w:sz w:val="28"/>
          <w:sz w:val="28"/>
          <w:szCs w:val="28"/>
          <w:rtl w:val="true"/>
          <w:lang w:bidi="fa-IR"/>
        </w:rPr>
        <w:t xml:space="preserve">ولما رُوی من أنّ الولد یکون من الیسری </w:t>
      </w:r>
      <w:r>
        <w:rPr>
          <w:rStyle w:val="FootnoteAnchor"/>
          <w:rtl w:val="true"/>
        </w:rPr>
        <w:footnoteReference w:id="2242"/>
      </w:r>
      <w:r>
        <w:rPr>
          <w:rFonts w:ascii="IRNazanin" w:hAnsi="IRNazanin" w:eastAsia="IRNazanin"/>
          <w:color w:val="111111"/>
          <w:sz w:val="28"/>
          <w:sz w:val="28"/>
          <w:szCs w:val="28"/>
          <w:rtl w:val="true"/>
          <w:lang w:bidi="fa-IR"/>
        </w:rPr>
        <w:t>ولتفاوتهما فی المنفعة المناسب لتفاوت الدیة</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ویُعارَض بالید القویّة الباطشة والضعیفة، والعین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وتخلّق الولد منها لم یثبت، وخبره مرسل </w:t>
      </w:r>
      <w:r>
        <w:rPr>
          <w:rStyle w:val="FootnoteAnchor"/>
          <w:rtl w:val="true"/>
        </w:rPr>
        <w:footnoteReference w:id="2243"/>
      </w:r>
      <w:r>
        <w:rPr>
          <w:rFonts w:ascii="IRNazanin" w:hAnsi="IRNazanin" w:eastAsia="IRNazanin"/>
          <w:color w:val="111111"/>
          <w:sz w:val="28"/>
          <w:sz w:val="28"/>
          <w:szCs w:val="28"/>
          <w:rtl w:val="true"/>
          <w:lang w:bidi="fa-IR"/>
        </w:rPr>
        <w:t xml:space="preserve">وقد أنکره بعض الأطبّاء </w:t>
      </w:r>
      <w:r>
        <w:rPr>
          <w:rStyle w:val="FootnoteAnchor"/>
          <w:rtl w:val="true"/>
        </w:rPr>
        <w:footnoteReference w:id="2244"/>
      </w:r>
      <w:r>
        <w:rPr>
          <w:rFonts w:eastAsia="Times New Roman" w:cs="Times New Roman" w:ascii="Times New Roman" w:hAnsi="Times New Roman"/>
          <w:color w:val="111111"/>
          <w:sz w:val="28"/>
          <w:szCs w:val="28"/>
          <w:rtl w:val="true"/>
          <w:lang w:val="en-US" w:bidi="en-US"/>
        </w:rPr>
        <w:t>.</w:t>
      </w:r>
      <w:bookmarkStart w:id="768" w:name="pg19815_253510"/>
    </w:p>
    <w:p>
      <w:pPr>
        <w:pStyle w:val="BookText"/>
        <w:rPr/>
      </w:pPr>
      <w:bookmarkEnd w:id="76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اُدرتهما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بضمّ الهمزة فسکون الدال ففتح الراء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وهی انتفاخهما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أربعمئة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فحج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بفتح الفاء فالحاء المهملة فالجیم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تباعدت رجلاه أعقاباً مع تقارب صدور قدمیه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یقدر علی المشی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 زائد علی الفحج؛ لأنّ مطلقه یمکن معه المشی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الجوهری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بالتسکین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مِشیة الأفحج، وتفحّج فی مِشیته مثله </w:t>
      </w:r>
      <w:r>
        <w:rPr>
          <w:rStyle w:val="FootnoteAnchor"/>
          <w:rtl w:val="true"/>
        </w:rPr>
        <w:footnoteReference w:id="2245"/>
      </w:r>
      <w:r>
        <w:rPr>
          <w:rFonts w:ascii="IRNazanin" w:hAnsi="IRNazanin" w:eastAsia="IRNazanin"/>
          <w:color w:val="111111"/>
          <w:sz w:val="28"/>
          <w:sz w:val="28"/>
          <w:szCs w:val="28"/>
          <w:rtl w:val="true"/>
          <w:lang w:bidi="fa-IR"/>
        </w:rPr>
        <w:t xml:space="preserve">وفی حکمه ما إذا مشی مشیاً لا ینتفع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فثمانمئة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ومستنده کتاب ظریف </w:t>
      </w:r>
      <w:r>
        <w:rPr>
          <w:rStyle w:val="FootnoteAnchor"/>
          <w:rtl w:val="true"/>
        </w:rPr>
        <w:footnoteReference w:id="224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69" w:name="__RefHeading___Toc2228253_2314609296"/>
      <w:bookmarkStart w:id="770" w:name="_Toc289"/>
      <w:bookmarkEnd w:id="769"/>
      <w:r>
        <w:rPr>
          <w:rtl w:val="true"/>
        </w:rPr>
        <w:t>«</w:t>
      </w:r>
      <w:r>
        <w:rPr>
          <w:rtl w:val="true"/>
        </w:rPr>
        <w:t xml:space="preserve">السابعة عشرة </w:t>
      </w:r>
      <w:r>
        <w:rPr>
          <w:rtl w:val="true"/>
        </w:rPr>
        <w:t>[</w:t>
      </w:r>
      <w:r>
        <w:rPr>
          <w:rtl w:val="true"/>
        </w:rPr>
        <w:t>فی الشُفْرین</w:t>
      </w:r>
      <w:r>
        <w:rPr>
          <w:rtl w:val="true"/>
        </w:rPr>
        <w:t>] » :</w:t>
      </w:r>
      <w:bookmarkEnd w:id="77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الشُفْرین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بضمّ الشین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اللحم المحیط بالفرج إحاطةَ الشفتین بالفم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کلّ واحد النصف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السلیمة والرتقاء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والبکر والثیّب، والکبیرة والصغیرة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الرَکَب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بالفتح محرّکاً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وهو من المرأة مثل موضع العانة من الرجل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الحکومة</w:t>
      </w:r>
      <w:r>
        <w:rPr>
          <w:rFonts w:eastAsia="IRNazanin" w:cs="IRNazanin"/>
          <w:color w:val="111111"/>
          <w:sz w:val="28"/>
          <w:szCs w:val="28"/>
          <w:rtl w:val="true"/>
          <w:lang w:bidi="fa-IR"/>
        </w:rPr>
        <w:t>» .</w:t>
      </w:r>
    </w:p>
    <w:p>
      <w:pPr>
        <w:pStyle w:val="Heading5"/>
        <w:numPr>
          <w:ilvl w:val="4"/>
          <w:numId w:val="1"/>
        </w:numPr>
        <w:rPr/>
      </w:pPr>
      <w:bookmarkStart w:id="771" w:name="__RefHeading___Toc2228255_2314609296"/>
      <w:bookmarkStart w:id="772" w:name="_Toc290"/>
      <w:bookmarkEnd w:id="771"/>
      <w:r>
        <w:rPr>
          <w:rtl w:val="true"/>
        </w:rPr>
        <w:t>«</w:t>
      </w:r>
      <w:r>
        <w:rPr>
          <w:rtl w:val="true"/>
        </w:rPr>
        <w:t xml:space="preserve">الثامنة عشرة </w:t>
      </w:r>
      <w:r>
        <w:rPr>
          <w:rtl w:val="true"/>
        </w:rPr>
        <w:t>[</w:t>
      </w:r>
      <w:r>
        <w:rPr>
          <w:rtl w:val="true"/>
        </w:rPr>
        <w:t>فی الافضاء</w:t>
      </w:r>
      <w:r>
        <w:rPr>
          <w:rtl w:val="true"/>
        </w:rPr>
        <w:t>] » :</w:t>
      </w:r>
      <w:bookmarkEnd w:id="77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الإفضاء الدیة، وهو تصییر مسلک البول والحیض واحداً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مسلک الحیض والغائط </w:t>
      </w:r>
      <w:r>
        <w:rPr>
          <w:rStyle w:val="FootnoteAnchor"/>
          <w:rtl w:val="true"/>
        </w:rPr>
        <w:footnoteReference w:id="2247"/>
      </w:r>
      <w:r>
        <w:rPr>
          <w:rFonts w:ascii="IRNazanin" w:hAnsi="IRNazanin" w:eastAsia="IRNazanin"/>
          <w:color w:val="111111"/>
          <w:sz w:val="28"/>
          <w:sz w:val="28"/>
          <w:szCs w:val="28"/>
          <w:rtl w:val="true"/>
          <w:lang w:bidi="fa-IR"/>
        </w:rPr>
        <w:t>وهو أقوی فی تحقّقه، فتجب الدیة بأ یّهما کان؛ لذهاب منفعة الجماع معهما</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فرق بین الزوج وغیره إذا کان قبل بلوغها، وتختصّ بغیره بعده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وتسقط عن الزوج إذا کان بعد البلوغ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فعل مأذون فیه شرعاً إذا لم یکن</w:t>
      </w:r>
      <w:bookmarkStart w:id="773" w:name="pg19815_253511"/>
    </w:p>
    <w:p>
      <w:pPr>
        <w:pStyle w:val="BookText"/>
        <w:rPr/>
      </w:pPr>
      <w:bookmarkEnd w:id="773"/>
      <w:r>
        <w:rPr>
          <w:rFonts w:ascii="IRNazanin" w:hAnsi="IRNazanin" w:eastAsia="IRNazanin"/>
          <w:color w:val="111111"/>
          <w:sz w:val="28"/>
          <w:sz w:val="28"/>
          <w:szCs w:val="28"/>
          <w:rtl w:val="true"/>
          <w:lang w:bidi="fa-IR"/>
        </w:rPr>
        <w:t xml:space="preserve">بتفریط، وإلّا فالمتّجه ضمان الدیة، کالضعیفة التی یغلب الظنّ بإفضائها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کان قبله ضمن مع المهر دیتها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وقع بالجماع؛ لتحقّق الدخول الموجب لاستقراره، ولو وقع بغیره بُنی استقراره علی عدم عروض موجب التنصیف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حتّی یموت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تقدّم فی النکاح أ نّها تحرم علیه مؤبَّداً مضافاً إلی ذلک وإن لم تخرج عن حباله بدون الطلاق </w:t>
      </w:r>
      <w:r>
        <w:rPr>
          <w:rStyle w:val="FootnoteAnchor"/>
          <w:rtl w:val="true"/>
        </w:rPr>
        <w:footnoteReference w:id="2248"/>
      </w:r>
      <w:r>
        <w:rPr>
          <w:rFonts w:ascii="IRNazanin" w:hAnsi="IRNazanin" w:eastAsia="IRNazanin"/>
          <w:color w:val="111111"/>
          <w:sz w:val="28"/>
          <w:sz w:val="28"/>
          <w:szCs w:val="28"/>
          <w:rtl w:val="true"/>
          <w:lang w:bidi="fa-IR"/>
        </w:rPr>
        <w:t>وکذا لا تسقط عنه النفقة وإن طلّقها؛ لصحیحة الحلبی عن أبی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الإجراء علیها ما دامت حیّة</w:t>
      </w:r>
      <w:r>
        <w:rPr>
          <w:rFonts w:eastAsia="IRNazanin" w:cs="IRNazanin"/>
          <w:color w:val="111111"/>
          <w:sz w:val="28"/>
          <w:szCs w:val="28"/>
          <w:rtl w:val="true"/>
          <w:lang w:bidi="fa-IR"/>
        </w:rPr>
        <w:t xml:space="preserve">» </w:t>
      </w:r>
      <w:r>
        <w:rPr>
          <w:rStyle w:val="FootnoteAnchor"/>
          <w:rtl w:val="true"/>
        </w:rPr>
        <w:footnoteReference w:id="22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سقوطها بتزویجها بغیره 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إطلاق النصّ بثبوتها إلی أن یموت أحدهما، ومن حصول الغرض بوجوبها علی غیره، وزوال الموجب لها، وأنّ العلّة عدم صلاحیّتها لغیره بذلک وتعطّلها عن الأزواج وقد زال فیزول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انحصار الغرض فی ذلک، ومنع العلّیّة المؤثّرة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وزوالُ الزوجیّة لو کان کافیاً لسقطت بدون التزویج، وهو باطل اتّفاقاً</w:t>
      </w:r>
      <w:r>
        <w:rPr>
          <w:rFonts w:eastAsia="IRNazanin" w:cs="IRNazanin"/>
          <w:color w:val="111111"/>
          <w:sz w:val="28"/>
          <w:szCs w:val="28"/>
          <w:rtl w:val="true"/>
          <w:lang w:bidi="fa-IR"/>
        </w:rPr>
        <w:t>.</w:t>
      </w:r>
    </w:p>
    <w:p>
      <w:pPr>
        <w:pStyle w:val="Heading5"/>
        <w:numPr>
          <w:ilvl w:val="4"/>
          <w:numId w:val="1"/>
        </w:numPr>
        <w:rPr/>
      </w:pPr>
      <w:bookmarkStart w:id="774" w:name="__RefHeading___Toc2228257_2314609296"/>
      <w:bookmarkStart w:id="775" w:name="_Toc291"/>
      <w:bookmarkEnd w:id="774"/>
      <w:r>
        <w:rPr>
          <w:rtl w:val="true"/>
        </w:rPr>
        <w:t>«</w:t>
      </w:r>
      <w:r>
        <w:rPr>
          <w:rtl w:val="true"/>
        </w:rPr>
        <w:t xml:space="preserve">التاسعة عشرة </w:t>
      </w:r>
      <w:r>
        <w:rPr>
          <w:rtl w:val="true"/>
        </w:rPr>
        <w:t>[</w:t>
      </w:r>
      <w:r>
        <w:rPr>
          <w:rtl w:val="true"/>
        </w:rPr>
        <w:t>فی الألیین</w:t>
      </w:r>
      <w:r>
        <w:rPr>
          <w:rtl w:val="true"/>
        </w:rPr>
        <w:t>] » :</w:t>
      </w:r>
      <w:bookmarkEnd w:id="775"/>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الألیین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وهما اللحم الناتئ بین الظَهر والفخذین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الدیة وفی 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اُخِذت إلی العظم الذی تحتها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ذهاب بعضهما بقدره، فإن جُهِل المقدار قال فی التحریر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وجبت حکومةً </w:t>
      </w:r>
      <w:r>
        <w:rPr>
          <w:rStyle w:val="FootnoteAnchor"/>
          <w:rtl w:val="true"/>
        </w:rPr>
        <w:footnoteReference w:id="2250"/>
      </w:r>
      <w:r>
        <w:rPr>
          <w:rFonts w:eastAsia="Times New Roman" w:cs="Times New Roman" w:ascii="Times New Roman" w:hAnsi="Times New Roman"/>
          <w:color w:val="111111"/>
          <w:sz w:val="28"/>
          <w:szCs w:val="28"/>
          <w:rtl w:val="true"/>
          <w:lang w:val="en-US" w:bidi="en-US"/>
        </w:rPr>
        <w:t>.</w:t>
      </w:r>
      <w:bookmarkStart w:id="776" w:name="pg19815_253512"/>
    </w:p>
    <w:p>
      <w:pPr>
        <w:pStyle w:val="BookText"/>
        <w:rPr/>
      </w:pPr>
      <w:bookmarkEnd w:id="776"/>
      <w:r>
        <w:rPr>
          <w:rFonts w:ascii="IRNazanin" w:hAnsi="IRNazanin" w:eastAsia="IRNazanin"/>
          <w:color w:val="111111"/>
          <w:sz w:val="28"/>
          <w:sz w:val="28"/>
          <w:szCs w:val="28"/>
          <w:rtl w:val="true"/>
          <w:lang w:bidi="fa-IR"/>
        </w:rPr>
        <w:t xml:space="preserve">ویشکل بما لو قطع بزیادة مقداره عن الحکومة أو نقصانها </w:t>
      </w:r>
      <w:r>
        <w:rPr>
          <w:rStyle w:val="FootnoteAnchor"/>
          <w:rtl w:val="true"/>
        </w:rPr>
        <w:footnoteReference w:id="2251"/>
      </w:r>
      <w:r>
        <w:rPr>
          <w:rFonts w:ascii="IRNazanin" w:hAnsi="IRNazanin" w:eastAsia="IRNazanin"/>
          <w:color w:val="111111"/>
          <w:sz w:val="28"/>
          <w:sz w:val="28"/>
          <w:szCs w:val="28"/>
          <w:rtl w:val="true"/>
          <w:lang w:bidi="fa-IR"/>
        </w:rPr>
        <w:t>مع الجهل بمجموع المقدار، فینبغی الحکم بثبوت المحقَّق منه کیف کان</w:t>
      </w:r>
      <w:r>
        <w:rPr>
          <w:rFonts w:eastAsia="IRNazanin" w:cs="IRNazanin"/>
          <w:color w:val="111111"/>
          <w:sz w:val="28"/>
          <w:szCs w:val="28"/>
          <w:rtl w:val="true"/>
          <w:lang w:bidi="fa-IR"/>
        </w:rPr>
        <w:t>.</w:t>
      </w:r>
    </w:p>
    <w:p>
      <w:pPr>
        <w:pStyle w:val="Heading5"/>
        <w:numPr>
          <w:ilvl w:val="4"/>
          <w:numId w:val="1"/>
        </w:numPr>
        <w:rPr/>
      </w:pPr>
      <w:bookmarkStart w:id="777" w:name="__RefHeading___Toc2228259_2314609296"/>
      <w:bookmarkStart w:id="778" w:name="_Toc292"/>
      <w:bookmarkEnd w:id="777"/>
      <w:r>
        <w:rPr>
          <w:rtl w:val="true"/>
        </w:rPr>
        <w:t>«</w:t>
      </w:r>
      <w:r>
        <w:rPr>
          <w:rtl w:val="true"/>
        </w:rPr>
        <w:t xml:space="preserve">العشرون </w:t>
      </w:r>
      <w:r>
        <w:rPr>
          <w:rtl w:val="true"/>
        </w:rPr>
        <w:t>[</w:t>
      </w:r>
      <w:r>
        <w:rPr>
          <w:rtl w:val="true"/>
        </w:rPr>
        <w:t>الرجلان</w:t>
      </w:r>
      <w:r>
        <w:rPr>
          <w:rtl w:val="true"/>
        </w:rPr>
        <w:t>] » :</w:t>
      </w:r>
      <w:bookmarkEnd w:id="77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فیهما الدیة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کلّ واحدة النصف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وحدُّها مَفصل الساق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اشتملت علی الأصابع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الأصابع منفردةً الدیة، وفی کلّ واحدة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الإبهام وغیره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والخلاف هنا کما سبق </w:t>
      </w:r>
      <w:r>
        <w:rPr>
          <w:rStyle w:val="FootnoteAnchor"/>
          <w:rtl w:val="true"/>
        </w:rPr>
        <w:footnoteReference w:id="22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ودیة کلّ إصبَع مقسومة علی ثلاث أنامل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بالسویّة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الإبهام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مقسومة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اثنین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بالسویّة 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الساقین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وحدّها </w:t>
      </w:r>
      <w:r>
        <w:rPr>
          <w:rStyle w:val="FootnoteAnchor"/>
          <w:rtl w:val="true"/>
        </w:rPr>
        <w:footnoteReference w:id="2253"/>
      </w:r>
      <w:r>
        <w:rPr>
          <w:rFonts w:ascii="IRNazanin" w:hAnsi="IRNazanin" w:eastAsia="IRNazanin"/>
          <w:color w:val="111111"/>
          <w:sz w:val="28"/>
          <w:sz w:val="28"/>
          <w:szCs w:val="28"/>
          <w:rtl w:val="true"/>
          <w:lang w:bidi="fa-IR"/>
        </w:rPr>
        <w:t xml:space="preserve">الرکبة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فی الفخذین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کلّ واحد منهما ممّا فی الإنسان منه اثنان</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إذا قُطعا منفردین عن الرِجل، وقُطع الفخذ منفرداً عن الساق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لو جمع بینهما أو بینها </w:t>
      </w:r>
      <w:r>
        <w:rPr>
          <w:rStyle w:val="FootnoteAnchor"/>
          <w:rtl w:val="true"/>
        </w:rPr>
        <w:footnoteReference w:id="2254"/>
      </w:r>
      <w:r>
        <w:rPr>
          <w:rFonts w:ascii="IRNazanin" w:hAnsi="IRNazanin" w:eastAsia="IRNazanin"/>
          <w:color w:val="111111"/>
          <w:sz w:val="28"/>
          <w:sz w:val="28"/>
          <w:szCs w:val="28"/>
          <w:rtl w:val="true"/>
          <w:lang w:bidi="fa-IR"/>
        </w:rPr>
        <w:t>ففیه ما مرّ فی الیدین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احتمال دیة واحدة إذا قطع من المفصل، ودیة وحکومة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وتعدّد الدیة بتعدّد موجبه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والکلام فی الإصبع الزائدة والرِجل ما تقدّم </w:t>
      </w:r>
      <w:r>
        <w:rPr>
          <w:rStyle w:val="FootnoteAnchor"/>
          <w:rtl w:val="true"/>
        </w:rPr>
        <w:footnoteReference w:id="2255"/>
      </w:r>
      <w:r>
        <w:rPr>
          <w:rFonts w:eastAsia="Times New Roman" w:cs="Times New Roman" w:ascii="Times New Roman" w:hAnsi="Times New Roman"/>
          <w:color w:val="111111"/>
          <w:sz w:val="28"/>
          <w:szCs w:val="28"/>
          <w:rtl w:val="true"/>
          <w:lang w:val="en-US" w:bidi="en-US"/>
        </w:rPr>
        <w:t>.</w:t>
      </w:r>
      <w:bookmarkStart w:id="779" w:name="pg19815_253513"/>
    </w:p>
    <w:p>
      <w:pPr>
        <w:pStyle w:val="Heading5"/>
        <w:numPr>
          <w:ilvl w:val="4"/>
          <w:numId w:val="1"/>
        </w:numPr>
        <w:rPr/>
      </w:pPr>
      <w:bookmarkStart w:id="780" w:name="__RefHeading___Toc2228261_2314609296"/>
      <w:bookmarkStart w:id="781" w:name="_Toc293"/>
      <w:bookmarkEnd w:id="779"/>
      <w:bookmarkEnd w:id="780"/>
      <w:r>
        <w:rPr>
          <w:rtl w:val="true"/>
        </w:rPr>
        <w:t>«</w:t>
      </w:r>
      <w:r>
        <w:rPr>
          <w:rtl w:val="true"/>
        </w:rPr>
        <w:t xml:space="preserve">الحادیة والعشرون </w:t>
      </w:r>
      <w:r>
        <w:rPr>
          <w:rtl w:val="true"/>
        </w:rPr>
        <w:t>[</w:t>
      </w:r>
      <w:r>
        <w:rPr>
          <w:rtl w:val="true"/>
        </w:rPr>
        <w:t>فی کسر الترقوه و العظم</w:t>
      </w:r>
      <w:r>
        <w:rPr>
          <w:rtl w:val="true"/>
        </w:rPr>
        <w:t>] » :</w:t>
      </w:r>
      <w:bookmarkEnd w:id="78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التَرقُوة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بفتح التاء فسکون الراء فضمّ القاف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وهی العظم الذی بین ثُغرة النحر والعاتق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کُسِرت فجُبرت علی غیر عیب أربعون دیناراً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ذلک فی کتاب ظریف </w:t>
      </w:r>
      <w:r>
        <w:rPr>
          <w:rStyle w:val="FootnoteAnchor"/>
          <w:rtl w:val="true"/>
        </w:rPr>
        <w:footnoteReference w:id="2256"/>
      </w:r>
      <w:r>
        <w:rPr>
          <w:rFonts w:ascii="IRNazanin" w:hAnsi="IRNazanin" w:eastAsia="IRNazanin"/>
          <w:color w:val="111111"/>
          <w:sz w:val="28"/>
          <w:sz w:val="28"/>
          <w:szCs w:val="28"/>
          <w:rtl w:val="true"/>
          <w:lang w:bidi="fa-IR"/>
        </w:rPr>
        <w:t>ولو جُبِرت علی عیب احتُمل استصحاب الدیة کما لو لم تُجبر، والحکومة رجوعاً إلی القاعدة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ویشکل لو نقصت عن الأربعین؛ لوجوبها فیما لو عدم العیب فکیف لا تجب معه؟ ولو قیل بوجوب أکثر الأمرین کان حسناً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وتَرقُوة المرأة کالرجل فی وجوب الأربعین، عملاً بالعموم </w:t>
      </w:r>
      <w:r>
        <w:rPr>
          <w:rStyle w:val="FootnoteAnchor"/>
          <w:rtl w:val="true"/>
        </w:rPr>
        <w:footnoteReference w:id="2257"/>
      </w:r>
      <w:r>
        <w:rPr>
          <w:rFonts w:ascii="IRNazanin" w:hAnsi="IRNazanin" w:eastAsia="IRNazanin"/>
          <w:color w:val="111111"/>
          <w:sz w:val="28"/>
          <w:sz w:val="28"/>
          <w:szCs w:val="28"/>
          <w:rtl w:val="true"/>
          <w:lang w:bidi="fa-IR"/>
        </w:rPr>
        <w:t>ولو کان ذمّیّاً فنسبتها إلی دیة المسلم من دیته</w:t>
      </w:r>
      <w:r>
        <w:rPr>
          <w:rFonts w:eastAsia="IRNazanin" w:cs="IRNazanin"/>
          <w:color w:val="111111"/>
          <w:sz w:val="28"/>
          <w:szCs w:val="28"/>
          <w:rtl w:val="true"/>
          <w:lang w:bidi="fa-IR"/>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کسر عظمٍ من عضوٍ خُمس 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العضو، فإن صلح علی صحّةٍ فأربعة أخماس دیة کسره، وفی موضحته ربع دیة کسره وفی رضّه ثلث </w:t>
      </w:r>
      <w:r>
        <w:rPr>
          <w:rStyle w:val="FootnoteAnchor"/>
          <w:rtl w:val="true"/>
        </w:rPr>
        <w:footnoteReference w:id="2258"/>
      </w:r>
      <w:r>
        <w:rPr>
          <w:rFonts w:ascii="IRNazanin" w:hAnsi="IRNazanin" w:eastAsia="IRNazanin"/>
          <w:color w:val="111111"/>
          <w:sz w:val="28"/>
          <w:sz w:val="28"/>
          <w:szCs w:val="28"/>
          <w:rtl w:val="true"/>
          <w:lang w:bidi="fa-IR"/>
        </w:rPr>
        <w:t>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العضو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نسخ </w:t>
      </w:r>
      <w:r>
        <w:rPr>
          <w:rStyle w:val="FootnoteAnchor"/>
          <w:rtl w:val="true"/>
        </w:rPr>
        <w:footnoteReference w:id="2259"/>
      </w: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ثلثا دیته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بألف التثنیة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والظاهر أ نّه سهو؛ لأنّ الثلث هو المشهور والمرویّ </w:t>
      </w:r>
      <w:r>
        <w:rPr>
          <w:rStyle w:val="FootnoteAnchor"/>
          <w:rtl w:val="true"/>
        </w:rPr>
        <w:footnoteReference w:id="22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المرضوض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صحّةٍ فأربعةُ أخماس دیةِ رضّه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صلح بغیر صحّة فالظاهر استصحاب دیته</w:t>
      </w:r>
      <w:r>
        <w:rPr>
          <w:rFonts w:eastAsia="IRNazanin" w:cs="IRNazanin"/>
          <w:color w:val="111111"/>
          <w:sz w:val="28"/>
          <w:szCs w:val="28"/>
          <w:rtl w:val="true"/>
          <w:lang w:bidi="fa-IR"/>
        </w:rPr>
        <w:t>.</w:t>
      </w:r>
      <w:bookmarkStart w:id="782" w:name="pg19815_253514"/>
    </w:p>
    <w:p>
      <w:pPr>
        <w:pStyle w:val="BookText"/>
        <w:rPr/>
      </w:pPr>
      <w:bookmarkEnd w:id="78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فکّه بحیث یتعطّل العضو ثلثا دیته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ذلک بمنزلة الشَلَل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صلح علی صحّة فأربعة أخماس دیة فکّه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لم یتعطّل فالحکومة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والأکثر لم یتوقّفوا فی حکمه إلّاالمحقّق فی النافع فنسبه إلی الشیخین </w:t>
      </w:r>
      <w:r>
        <w:rPr>
          <w:rStyle w:val="FootnoteAnchor"/>
          <w:rtl w:val="true"/>
        </w:rPr>
        <w:footnoteReference w:id="2261"/>
      </w:r>
      <w:r>
        <w:rPr>
          <w:rFonts w:ascii="IRNazanin" w:hAnsi="IRNazanin" w:eastAsia="IRNazanin"/>
          <w:color w:val="111111"/>
          <w:sz w:val="28"/>
          <w:sz w:val="28"/>
          <w:szCs w:val="28"/>
          <w:rtl w:val="true"/>
          <w:lang w:bidi="fa-IR"/>
        </w:rPr>
        <w:t xml:space="preserve">والمستند کتاب ظریف </w:t>
      </w:r>
      <w:r>
        <w:rPr>
          <w:rStyle w:val="FootnoteAnchor"/>
          <w:rtl w:val="true"/>
        </w:rPr>
        <w:footnoteReference w:id="2262"/>
      </w:r>
      <w:r>
        <w:rPr>
          <w:rFonts w:ascii="IRNazanin" w:hAnsi="IRNazanin" w:eastAsia="IRNazanin"/>
          <w:color w:val="111111"/>
          <w:sz w:val="28"/>
          <w:sz w:val="28"/>
          <w:szCs w:val="28"/>
          <w:rtl w:val="true"/>
          <w:lang w:bidi="fa-IR"/>
        </w:rPr>
        <w:t xml:space="preserve">مع اختلاف یسیر، فلعلّه نسبه إلیهما لذلک </w:t>
      </w:r>
      <w:r>
        <w:rPr>
          <w:rStyle w:val="FootnoteAnchor"/>
          <w:rtl w:val="true"/>
        </w:rPr>
        <w:footnoteReference w:id="226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83" w:name="__RefHeading___Toc2228263_2314609296"/>
      <w:bookmarkStart w:id="784" w:name="_Toc294"/>
      <w:bookmarkEnd w:id="783"/>
      <w:r>
        <w:rPr>
          <w:rtl w:val="true"/>
        </w:rPr>
        <w:t>«</w:t>
      </w:r>
      <w:r>
        <w:rPr>
          <w:rtl w:val="true"/>
        </w:rPr>
        <w:t xml:space="preserve">الثانیة والعشرون </w:t>
      </w:r>
      <w:r>
        <w:rPr>
          <w:rtl w:val="true"/>
        </w:rPr>
        <w:t>[</w:t>
      </w:r>
      <w:r>
        <w:rPr>
          <w:rtl w:val="true"/>
        </w:rPr>
        <w:t>فی کل ضلع مما یلی القلب و العصعص</w:t>
      </w:r>
      <w:r>
        <w:rPr>
          <w:rtl w:val="true"/>
        </w:rPr>
        <w:t>] » :</w:t>
      </w:r>
      <w:bookmarkEnd w:id="78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کلّ ضلع ممّا یلی القلب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من الجانب الذی فیه القلب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کُسِرت خمسة وعشرون دیناراً، وإذا کُسِرت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تلک الضلع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یلی العضد عشرة دنانیر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ویستوی فی ذلک جمیع الأضلاع والمستند کتاب ظریف </w:t>
      </w:r>
      <w:r>
        <w:rPr>
          <w:rStyle w:val="FootnoteAnchor"/>
          <w:rtl w:val="true"/>
        </w:rPr>
        <w:footnoteReference w:id="2264"/>
      </w:r>
      <w:r>
        <w:rPr>
          <w:rFonts w:eastAsia="Times New Roman" w:cs="Times New Roman" w:ascii="Times New Roman" w:hAnsi="Times New Roman"/>
          <w:color w:val="111111"/>
          <w:sz w:val="28"/>
          <w:szCs w:val="28"/>
          <w:rtl w:val="true"/>
          <w:lang w:val="en-US" w:bidi="en-US"/>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کُسِر عُصعُصه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بضمّ عینیه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عَجْب الذَ 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عینه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عظمه،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أوّل ما یُخلق وآخر ما یَبلی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یملک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کسر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غائطَه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یقدر علی إمساکه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ففیه 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لصحیحة سلیمان بن خالد عن أبی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رجل کُسِر بُعصوصه فلم یملک أسته،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الدیة کاملة</w:t>
      </w:r>
      <w:r>
        <w:rPr>
          <w:rFonts w:eastAsia="IRNazanin" w:cs="IRNazanin"/>
          <w:color w:val="111111"/>
          <w:sz w:val="28"/>
          <w:szCs w:val="28"/>
          <w:rtl w:val="true"/>
          <w:lang w:bidi="fa-IR"/>
        </w:rPr>
        <w:t xml:space="preserve">» </w:t>
      </w:r>
      <w:r>
        <w:rPr>
          <w:rStyle w:val="FootnoteAnchor"/>
          <w:rtl w:val="true"/>
        </w:rPr>
        <w:footnoteReference w:id="2265"/>
      </w:r>
      <w:r>
        <w:rPr>
          <w:rFonts w:ascii="IRNazanin" w:hAnsi="IRNazanin" w:eastAsia="IRNazanin"/>
          <w:color w:val="111111"/>
          <w:sz w:val="28"/>
          <w:sz w:val="28"/>
          <w:szCs w:val="28"/>
          <w:rtl w:val="true"/>
          <w:lang w:bidi="fa-IR"/>
        </w:rPr>
        <w:t>والبُعصوص هو العُصعُص، لکن لم یذکره أهل اللغة، فمن ثمّ عدل المصنّف عنه إلی العُصعُص المعروف 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البُعصُوص عظم رقیق حول الدبر </w:t>
      </w:r>
      <w:r>
        <w:rPr>
          <w:rStyle w:val="FootnoteAnchor"/>
          <w:rtl w:val="true"/>
        </w:rPr>
        <w:footnoteReference w:id="22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ضُرِب عِجانه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بکسر العین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ما بین الخصیة والفَقْحَة </w:t>
      </w:r>
      <w:r>
        <w:rPr>
          <w:rStyle w:val="FootnoteAnchor"/>
          <w:rtl w:val="true"/>
        </w:rPr>
        <w:footnoteReference w:id="22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یملک غائطه ولا بوله ففیه 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إسحاق بن عمّار عن أبی عبد اللّٰه علیه السلام </w:t>
      </w:r>
      <w:r>
        <w:rPr>
          <w:rStyle w:val="FootnoteAnchor"/>
          <w:rtl w:val="true"/>
        </w:rPr>
        <w:footnoteReference w:id="2268"/>
      </w:r>
      <w:r>
        <w:rPr>
          <w:rFonts w:ascii="IRNazanin" w:hAnsi="IRNazanin" w:eastAsia="IRNazanin"/>
          <w:color w:val="111111"/>
          <w:sz w:val="28"/>
          <w:sz w:val="28"/>
          <w:szCs w:val="28"/>
          <w:rtl w:val="true"/>
          <w:lang w:bidi="fa-IR"/>
        </w:rPr>
        <w:t>ونسبه إلی الروایة؛ لأنّ إسحاق فطحیّ وإن کان ثقة، والعمل بروایته مشهور کالسابق وکثیر من الأصحاب لم یذکر فیه خلافاً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اقتضّ بکراً بإصبعه فخرق مثانتها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بفتح المیم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وهو مجمع البول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تملک بولها فدیتها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لخرق المثانة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ومهر مثل نسائها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للاقتضاض علی الأشهر؛ لتفویت تلک المنفعة الواحدة فی البدن، ولروایة هشام بن إبراهیم عن أبی الحسن علیه السلام </w:t>
      </w:r>
      <w:r>
        <w:rPr>
          <w:rStyle w:val="FootnoteAnchor"/>
          <w:rtl w:val="true"/>
        </w:rPr>
        <w:footnoteReference w:id="2269"/>
      </w:r>
      <w:r>
        <w:rPr>
          <w:rFonts w:ascii="IRNazanin" w:hAnsi="IRNazanin" w:eastAsia="IRNazanin"/>
          <w:color w:val="111111"/>
          <w:sz w:val="28"/>
          <w:sz w:val="28"/>
          <w:szCs w:val="28"/>
          <w:rtl w:val="true"/>
          <w:lang w:bidi="fa-IR"/>
        </w:rPr>
        <w:t>لکنّ الطریق ضعیف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ثلث دیتها</w:t>
      </w:r>
      <w:r>
        <w:rPr>
          <w:rFonts w:eastAsia="IRNazanin" w:cs="IRNazanin"/>
          <w:color w:val="111111"/>
          <w:sz w:val="28"/>
          <w:szCs w:val="28"/>
          <w:rtl w:val="true"/>
          <w:lang w:bidi="fa-IR"/>
        </w:rPr>
        <w:t xml:space="preserve">» </w:t>
      </w:r>
      <w:r>
        <w:rPr>
          <w:rStyle w:val="FootnoteAnchor"/>
          <w:rtl w:val="true"/>
        </w:rPr>
        <w:footnoteReference w:id="2270"/>
      </w:r>
      <w:r>
        <w:rPr>
          <w:rFonts w:ascii="IRNazanin" w:hAnsi="IRNazanin" w:eastAsia="IRNazanin"/>
          <w:color w:val="111111"/>
          <w:sz w:val="28"/>
          <w:sz w:val="28"/>
          <w:szCs w:val="28"/>
          <w:rtl w:val="true"/>
          <w:lang w:bidi="fa-IR"/>
        </w:rPr>
        <w:t xml:space="preserve">لروایة ظریف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علیّاً علیه الصلاة والسلام قضی بذلک</w:t>
      </w:r>
      <w:r>
        <w:rPr>
          <w:rFonts w:eastAsia="IRNazanin" w:cs="IRNazanin"/>
          <w:color w:val="111111"/>
          <w:sz w:val="28"/>
          <w:szCs w:val="28"/>
          <w:rtl w:val="true"/>
          <w:lang w:bidi="fa-IR"/>
        </w:rPr>
        <w:t xml:space="preserve">» </w:t>
      </w:r>
      <w:r>
        <w:rPr>
          <w:rStyle w:val="FootnoteAnchor"/>
          <w:rtl w:val="true"/>
        </w:rPr>
        <w:footnoteReference w:id="2271"/>
      </w:r>
      <w:r>
        <w:rPr>
          <w:rFonts w:ascii="IRNazanin" w:hAnsi="IRNazanin" w:eastAsia="IRNazanin"/>
          <w:color w:val="111111"/>
          <w:sz w:val="28"/>
          <w:sz w:val="28"/>
          <w:szCs w:val="28"/>
          <w:rtl w:val="true"/>
          <w:lang w:bidi="fa-IR"/>
        </w:rPr>
        <w:t>وهی أشهر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الاُولی أولی؛ لما ذکرناه </w:t>
      </w:r>
      <w:r>
        <w:rPr>
          <w:rStyle w:val="FootnoteAnchor"/>
          <w:rtl w:val="true"/>
        </w:rPr>
        <w:footnoteReference w:id="2272"/>
      </w:r>
      <w:r>
        <w:rPr>
          <w:rFonts w:ascii="IRNazanin" w:hAnsi="IRNazanin" w:eastAsia="IRNazanin"/>
          <w:color w:val="111111"/>
          <w:sz w:val="28"/>
          <w:sz w:val="28"/>
          <w:szCs w:val="28"/>
          <w:rtl w:val="true"/>
          <w:lang w:bidi="fa-IR"/>
        </w:rPr>
        <w:t xml:space="preserve">وإن اشترکتا فی عدم صحّة السند </w:t>
      </w:r>
      <w:r>
        <w:rPr>
          <w:rStyle w:val="FootnoteAnchor"/>
          <w:rtl w:val="true"/>
        </w:rPr>
        <w:footnoteReference w:id="2273"/>
      </w:r>
      <w:r>
        <w:rPr>
          <w:rFonts w:eastAsia="Times New Roman" w:cs="Times New Roman" w:ascii="Times New Roman" w:hAnsi="Times New Roman"/>
          <w:color w:val="111111"/>
          <w:sz w:val="28"/>
          <w:szCs w:val="28"/>
          <w:rtl w:val="true"/>
          <w:lang w:val="en-US" w:bidi="en-US"/>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داس بطن إنسان حتّی أحدث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بریح أو بول أو غائط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دیس</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بطنه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یحدث کذلک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یفتدی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بثلث الدیة علی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السکونی عن أبی عبد 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أمیر المؤمنین علیه السلام قضی بذلک</w:t>
      </w:r>
      <w:r>
        <w:rPr>
          <w:rFonts w:eastAsia="IRNazanin" w:cs="IRNazanin"/>
          <w:color w:val="111111"/>
          <w:sz w:val="28"/>
          <w:szCs w:val="28"/>
          <w:rtl w:val="true"/>
          <w:lang w:bidi="fa-IR"/>
        </w:rPr>
        <w:t xml:space="preserve">» </w:t>
      </w:r>
      <w:r>
        <w:rPr>
          <w:rStyle w:val="FootnoteAnchor"/>
          <w:rtl w:val="true"/>
        </w:rPr>
        <w:footnoteReference w:id="2274"/>
      </w:r>
      <w:r>
        <w:rPr>
          <w:rFonts w:ascii="IRNazanin" w:hAnsi="IRNazanin" w:eastAsia="IRNazanin"/>
          <w:color w:val="111111"/>
          <w:sz w:val="28"/>
          <w:sz w:val="28"/>
          <w:szCs w:val="28"/>
          <w:rtl w:val="true"/>
          <w:lang w:bidi="fa-IR"/>
        </w:rPr>
        <w:t xml:space="preserve">وعمل بمضمونها الأکثر، ونسبه المصنّف إلی الروایة لضعفها </w:t>
      </w:r>
      <w:r>
        <w:rPr>
          <w:rStyle w:val="FootnoteAnchor"/>
          <w:rtl w:val="true"/>
        </w:rPr>
        <w:footnoteReference w:id="2275"/>
      </w:r>
      <w:r>
        <w:rPr>
          <w:rFonts w:ascii="IRNazanin" w:hAnsi="IRNazanin" w:eastAsia="IRNazanin"/>
          <w:color w:val="111111"/>
          <w:sz w:val="28"/>
          <w:sz w:val="28"/>
          <w:szCs w:val="28"/>
          <w:rtl w:val="true"/>
          <w:lang w:bidi="fa-IR"/>
        </w:rPr>
        <w:t xml:space="preserve">ومن ثمّ أوجب جماعة الحکومة </w:t>
      </w:r>
      <w:r>
        <w:rPr>
          <w:rStyle w:val="FootnoteAnchor"/>
          <w:rtl w:val="true"/>
        </w:rPr>
        <w:footnoteReference w:id="2276"/>
      </w:r>
      <w:r>
        <w:rPr>
          <w:rFonts w:ascii="Amiri" w:hAnsi="Amiri" w:eastAsia="Amiri" w:cs="Amiri"/>
          <w:color w:val="111111"/>
          <w:sz w:val="28"/>
          <w:sz w:val="28"/>
          <w:szCs w:val="28"/>
          <w:rtl w:val="true"/>
          <w:lang w:bidi="ar-SA"/>
        </w:rPr>
        <w:t>لأنّه المتیقّن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قویّ</w:t>
      </w:r>
      <w:r>
        <w:rPr>
          <w:rFonts w:eastAsia="Amiri" w:cs="Amiri" w:ascii="Amiri" w:hAnsi="Amiri"/>
          <w:color w:val="111111"/>
          <w:sz w:val="28"/>
          <w:szCs w:val="28"/>
          <w:rtl w:val="true"/>
          <w:lang w:bidi="ar-SA"/>
        </w:rPr>
        <w:t>.</w:t>
      </w:r>
      <w:bookmarkStart w:id="785" w:name="pg19815_253517"/>
    </w:p>
    <w:p>
      <w:pPr>
        <w:pStyle w:val="Heading4"/>
        <w:numPr>
          <w:ilvl w:val="3"/>
          <w:numId w:val="1"/>
        </w:numPr>
        <w:rPr/>
      </w:pPr>
      <w:bookmarkStart w:id="786" w:name="__RefHeading___Toc2228265_2314609296"/>
      <w:bookmarkStart w:id="787" w:name="_Toc295"/>
      <w:bookmarkEnd w:id="785"/>
      <w:bookmarkEnd w:id="786"/>
      <w:r>
        <w:rPr>
          <w:rtl w:val="true"/>
        </w:rPr>
        <w:t>«</w:t>
      </w:r>
      <w:r>
        <w:rPr>
          <w:rtl w:val="true"/>
        </w:rPr>
        <w:t>القول فی دیة المنافع</w:t>
      </w:r>
      <w:r>
        <w:rPr>
          <w:rtl w:val="true"/>
        </w:rPr>
        <w:t>» «</w:t>
      </w:r>
      <w:r>
        <w:rPr>
          <w:rtl w:val="true"/>
        </w:rPr>
        <w:t>وهی ثمانیة</w:t>
      </w:r>
      <w:r>
        <w:rPr>
          <w:rtl w:val="true"/>
        </w:rPr>
        <w:t>»</w:t>
      </w:r>
      <w:bookmarkEnd w:id="787"/>
    </w:p>
    <w:p>
      <w:pPr>
        <w:pStyle w:val="Heading5"/>
        <w:numPr>
          <w:ilvl w:val="4"/>
          <w:numId w:val="1"/>
        </w:numPr>
        <w:rPr/>
      </w:pPr>
      <w:bookmarkStart w:id="788" w:name="__RefHeading___Toc2228267_2314609296"/>
      <w:bookmarkStart w:id="789" w:name="_Toc296"/>
      <w:bookmarkEnd w:id="788"/>
      <w:r>
        <w:rPr>
          <w:rtl w:val="true"/>
        </w:rPr>
        <w:t>اشارة</w:t>
      </w:r>
      <w:bookmarkEnd w:id="789"/>
    </w:p>
    <w:p>
      <w:pPr>
        <w:pStyle w:val="BookText"/>
        <w:rPr/>
      </w:pPr>
      <w:r>
        <w:rPr>
          <w:rFonts w:ascii="IRNazanin" w:hAnsi="IRNazanin" w:eastAsia="IRNazanin"/>
          <w:color w:val="111111"/>
          <w:sz w:val="28"/>
          <w:sz w:val="28"/>
          <w:szCs w:val="28"/>
          <w:rtl w:val="true"/>
          <w:lang w:bidi="fa-IR"/>
        </w:rPr>
        <w:t>أشیاء</w:t>
      </w:r>
      <w:r>
        <w:rPr>
          <w:rFonts w:eastAsia="IRNazanin" w:cs="IRNazanin"/>
          <w:color w:val="111111"/>
          <w:sz w:val="28"/>
          <w:szCs w:val="28"/>
          <w:rtl w:val="true"/>
          <w:lang w:bidi="fa-IR"/>
        </w:rPr>
        <w:t>:</w:t>
      </w:r>
    </w:p>
    <w:p>
      <w:pPr>
        <w:pStyle w:val="Heading5"/>
        <w:numPr>
          <w:ilvl w:val="4"/>
          <w:numId w:val="1"/>
        </w:numPr>
        <w:rPr/>
      </w:pPr>
      <w:bookmarkStart w:id="790" w:name="__RefHeading___Toc2228269_2314609296"/>
      <w:bookmarkStart w:id="791" w:name="_Toc297"/>
      <w:bookmarkEnd w:id="790"/>
      <w:r>
        <w:rPr>
          <w:rtl w:val="true"/>
        </w:rPr>
        <w:t>«</w:t>
      </w:r>
      <w:r>
        <w:rPr>
          <w:rtl w:val="true"/>
        </w:rPr>
        <w:t>الأوّل</w:t>
      </w:r>
      <w:r>
        <w:rPr>
          <w:rtl w:val="true"/>
        </w:rPr>
        <w:t>: [</w:t>
      </w:r>
      <w:r>
        <w:rPr>
          <w:rtl w:val="true"/>
        </w:rPr>
        <w:t xml:space="preserve">العقل </w:t>
      </w:r>
      <w:r>
        <w:rPr>
          <w:rtl w:val="true"/>
        </w:rPr>
        <w:t>]</w:t>
      </w:r>
      <w:bookmarkEnd w:id="791"/>
    </w:p>
    <w:p>
      <w:pPr>
        <w:pStyle w:val="BookText"/>
        <w:rPr/>
      </w:pP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العقل 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بعضه بحسابه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حساب الذاهب من المجموع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بحسب نظر الحاکم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لا یمکن ضبط الناقص علی الیقین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یقدَّر بالزمان </w:t>
      </w:r>
      <w:r>
        <w:rPr>
          <w:rStyle w:val="FootnoteAnchor"/>
          <w:rtl w:val="true"/>
        </w:rPr>
        <w:footnoteReference w:id="2277"/>
      </w:r>
      <w:r>
        <w:rPr>
          <w:rFonts w:ascii="Amiri" w:hAnsi="Amiri" w:eastAsia="Amiri" w:cs="Amiri"/>
          <w:color w:val="111111"/>
          <w:sz w:val="28"/>
          <w:sz w:val="28"/>
          <w:szCs w:val="28"/>
          <w:rtl w:val="true"/>
          <w:lang w:bidi="ar-SA"/>
        </w:rPr>
        <w:t xml:space="preserve">فإن جُنّ یوماً وأفاق یوماً فالذاهب النصف،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 </w:t>
      </w:r>
      <w:r>
        <w:rPr>
          <w:rFonts w:eastAsia="Amiri" w:cs="Amiri" w:ascii="Amiri" w:hAnsi="Amiri"/>
          <w:color w:val="111111"/>
          <w:sz w:val="28"/>
          <w:szCs w:val="28"/>
          <w:rtl w:val="true"/>
          <w:lang w:bidi="ar-SA"/>
        </w:rPr>
        <w:t xml:space="preserve">] </w:t>
      </w:r>
      <w:r>
        <w:rPr>
          <w:rStyle w:val="FootnoteAnchor"/>
          <w:rtl w:val="true"/>
        </w:rPr>
        <w:footnoteReference w:id="2278"/>
      </w:r>
      <w:r>
        <w:rPr>
          <w:rFonts w:ascii="IRNazanin" w:hAnsi="IRNazanin" w:eastAsia="IRNazanin"/>
          <w:color w:val="111111"/>
          <w:sz w:val="28"/>
          <w:sz w:val="28"/>
          <w:szCs w:val="28"/>
          <w:rtl w:val="true"/>
          <w:lang w:bidi="fa-IR"/>
        </w:rPr>
        <w:t>یوماً وأفاق یومین فالثلث، وهکذا</w:t>
      </w:r>
      <w:r>
        <w:rPr>
          <w:rFonts w:eastAsia="IRNazanin" w:cs="IRNazanin"/>
          <w:color w:val="111111"/>
          <w:sz w:val="28"/>
          <w:szCs w:val="28"/>
          <w:rtl w:val="true"/>
          <w:lang w:bidi="fa-IR"/>
        </w:rPr>
        <w:t>. . . «</w:t>
      </w:r>
      <w:r>
        <w:rPr>
          <w:rFonts w:ascii="IRNazanin" w:hAnsi="IRNazanin" w:eastAsia="IRNazanin"/>
          <w:color w:val="111111"/>
          <w:sz w:val="28"/>
          <w:sz w:val="28"/>
          <w:szCs w:val="28"/>
          <w:rtl w:val="true"/>
          <w:lang w:bidi="fa-IR"/>
        </w:rPr>
        <w:t>ولو شجّه فذهب عقله لم تتداخل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دیة الشجّة ودیة العقل، بل تجب الدیتان وإن کان بضربة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لو قطع له عضواً غیر الشجّة فذهب عقله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عاد العقل بعد ذهابه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وأخذ دیته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تُستعد 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هبة من اللّٰه تعالی مجدَّدة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حکم أهل الخبرة بذهابه بالکلّیّة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مع الشکّ فی ذهابه فالحکومة</w:t>
      </w:r>
      <w:r>
        <w:rPr>
          <w:rFonts w:eastAsia="IRNazanin" w:cs="IRNazanin"/>
          <w:color w:val="111111"/>
          <w:sz w:val="28"/>
          <w:szCs w:val="28"/>
          <w:rtl w:val="true"/>
          <w:lang w:bidi="fa-IR"/>
        </w:rPr>
        <w:t>.</w:t>
      </w:r>
    </w:p>
    <w:p>
      <w:pPr>
        <w:pStyle w:val="Heading5"/>
        <w:numPr>
          <w:ilvl w:val="4"/>
          <w:numId w:val="1"/>
        </w:numPr>
        <w:rPr/>
      </w:pPr>
      <w:bookmarkStart w:id="792" w:name="__RefHeading___Toc2228271_2314609296"/>
      <w:bookmarkStart w:id="793" w:name="_Toc298"/>
      <w:bookmarkEnd w:id="792"/>
      <w:r>
        <w:rPr>
          <w:rtl w:val="true"/>
        </w:rPr>
        <w:t>«</w:t>
      </w:r>
      <w:r>
        <w:rPr>
          <w:rtl w:val="true"/>
        </w:rPr>
        <w:t>الثانی</w:t>
      </w:r>
      <w:r>
        <w:rPr>
          <w:rtl w:val="true"/>
        </w:rPr>
        <w:t>: [</w:t>
      </w:r>
      <w:r>
        <w:rPr>
          <w:rtl w:val="true"/>
        </w:rPr>
        <w:t>فی السمع</w:t>
      </w:r>
      <w:r>
        <w:rPr>
          <w:rtl w:val="true"/>
        </w:rPr>
        <w:t>]</w:t>
      </w:r>
      <w:bookmarkEnd w:id="793"/>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السمع، وفیه 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ذهب من الاُذنین معاً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الیأس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عودُه من أهل الخبرة ولو بعد مدّة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انتُظر، فإن لم یَعُد فالدیة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عاد فالأرش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لنقصه زمن فواته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تنازعا فی ذهابه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فادّعاه المجنیّ علیه وأنکره الجانی، أو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أعلم صدقه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وحصل</w:t>
      </w:r>
      <w:bookmarkStart w:id="794" w:name="pg19815_253518"/>
    </w:p>
    <w:p>
      <w:pPr>
        <w:pStyle w:val="BookText"/>
        <w:rPr/>
      </w:pPr>
      <w:bookmarkEnd w:id="794"/>
      <w:r>
        <w:rPr>
          <w:rFonts w:ascii="IRNazanin" w:hAnsi="IRNazanin" w:eastAsia="IRNazanin"/>
          <w:color w:val="111111"/>
          <w:sz w:val="28"/>
          <w:sz w:val="28"/>
          <w:szCs w:val="28"/>
          <w:rtl w:val="true"/>
          <w:lang w:bidi="fa-IR"/>
        </w:rPr>
        <w:t xml:space="preserve">الشکّ فی ذهابه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اعتبر حاله عند الصوت العظیم والرعد القویّ والصیحة عند غفلته، فإن تحقّق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الأمر بالذهاب وعدمه حکم بموجبه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وإلّا حلف القسامة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وحکم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والکلام فی ذهابه بشجّة وقطع اُذن کما تقدّم من عدم التداخل </w:t>
      </w:r>
      <w:r>
        <w:rPr>
          <w:rStyle w:val="FootnoteAnchor"/>
          <w:rtl w:val="true"/>
        </w:rPr>
        <w:footnoteReference w:id="22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 إحدی الاُذنین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نصف الدیة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نقص سمعها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غیر أن یذهب أجمع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قیس إلی الاُخری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تُسدّ الناقصة وتطلق الصحیحة ثمّ یصاح به بصوت لا یختلف کمّیّة کصوت الجرس حتّی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یعاد علیه ثانیاً من جهة اُخری، فإن تساوت المسافتان صُدّق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فعل به کذلک فی الجهات الأربع کان 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تُسدّ الصحیحة وتُطلق الناقصة وتعتبر بالصوت کذلک حتّی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یکرّر علیه الاعتبار کما مرّ، وینظر التفاوت بین الصحیح والناقص ویؤخذ من الدیة بحسابه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ولیکن القیاس فی وقت سکون الهواء فی موضع معتدل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نقصا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قیس إلی أبناء 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الجهات المختلفة بأن یجلس قِرْنُه بجنبه ویصاح بهما بالصوت المنضبط من مسافة بعیدة لا یسمعه واحد منهما، ثمّ یقرب المنادی شیئاً فشیئاً إلی أن یقول القرن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فیُعرف الموضع، ثمّ یدام الصوت ویُقرّب إلی أن یقول المجنیّ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فیُضبط ما بینهما من التفاوت، ویکرّر کذلک ویؤخذ بنسبته من الدیة حیث لا یختلف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ویجوز الابتداء من قرب کما ذکر</w:t>
      </w:r>
      <w:r>
        <w:rPr>
          <w:rFonts w:eastAsia="IRNazanin" w:cs="IRNazanin"/>
          <w:color w:val="111111"/>
          <w:sz w:val="28"/>
          <w:szCs w:val="28"/>
          <w:rtl w:val="true"/>
          <w:lang w:bidi="fa-IR"/>
        </w:rPr>
        <w:t>.</w:t>
      </w:r>
    </w:p>
    <w:p>
      <w:pPr>
        <w:pStyle w:val="Heading5"/>
        <w:numPr>
          <w:ilvl w:val="4"/>
          <w:numId w:val="1"/>
        </w:numPr>
        <w:rPr/>
      </w:pPr>
      <w:bookmarkStart w:id="795" w:name="__RefHeading___Toc2228273_2314609296"/>
      <w:bookmarkStart w:id="796" w:name="_Toc299"/>
      <w:bookmarkEnd w:id="795"/>
      <w:r>
        <w:rPr>
          <w:rtl w:val="true"/>
        </w:rPr>
        <w:t>«</w:t>
      </w:r>
      <w:r>
        <w:rPr>
          <w:rtl w:val="true"/>
        </w:rPr>
        <w:t>الثالث</w:t>
      </w:r>
      <w:r>
        <w:rPr>
          <w:rtl w:val="true"/>
        </w:rPr>
        <w:t>: [</w:t>
      </w:r>
      <w:r>
        <w:rPr>
          <w:rtl w:val="true"/>
        </w:rPr>
        <w:t>فی ذهاب الإبصار</w:t>
      </w:r>
      <w:r>
        <w:rPr>
          <w:rtl w:val="true"/>
        </w:rPr>
        <w:t>]</w:t>
      </w:r>
      <w:bookmarkEnd w:id="796"/>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ذهاب الإبصار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العینین معاً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ضوء کلّ عین نصفها، سواء فقأ الحدقة أم أبقاها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بخلاف إزالة الاُذُن وإبطال السمع منها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وسواء صحیح البصر والأعمش </w:t>
      </w:r>
      <w:r>
        <w:rPr>
          <w:rStyle w:val="FootnoteAnchor"/>
          <w:rtl w:val="true"/>
        </w:rPr>
        <w:footnoteReference w:id="2280"/>
      </w:r>
      <w:r>
        <w:rPr>
          <w:rFonts w:ascii="IRNazanin" w:hAnsi="IRNazanin" w:eastAsia="IRNazanin"/>
          <w:color w:val="111111"/>
          <w:sz w:val="28"/>
          <w:sz w:val="28"/>
          <w:szCs w:val="28"/>
          <w:rtl w:val="true"/>
          <w:lang w:bidi="fa-IR"/>
        </w:rPr>
        <w:t xml:space="preserve">والأخفش </w:t>
      </w:r>
      <w:r>
        <w:rPr>
          <w:rStyle w:val="FootnoteAnchor"/>
          <w:rtl w:val="true"/>
        </w:rPr>
        <w:footnoteReference w:id="2281"/>
      </w:r>
      <w:r>
        <w:rPr>
          <w:rFonts w:ascii="IRNazanin" w:hAnsi="IRNazanin" w:eastAsia="IRNazanin"/>
          <w:color w:val="111111"/>
          <w:sz w:val="28"/>
          <w:sz w:val="28"/>
          <w:szCs w:val="28"/>
          <w:rtl w:val="true"/>
          <w:lang w:bidi="fa-IR"/>
        </w:rPr>
        <w:t>ومن فی حدقته بیاض لا یمنع أصل البصر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وإنّما یحکم بذهابه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شهد به شاهدان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صدّقه الجانی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ویکفی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إثباته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 وامرأتان إن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ذهابه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عمد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حینئذٍ یوجب المال وشهادتهما مقبولة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مع بقاء الحدقة وإلّا لم یفتقر إلی 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عدم الشهود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یفتقر إلیهما </w:t>
      </w:r>
      <w:r>
        <w:rPr>
          <w:rStyle w:val="FootnoteAnchor"/>
          <w:rtl w:val="true"/>
        </w:rPr>
        <w:footnoteReference w:id="2282"/>
      </w:r>
      <w:r>
        <w:rPr>
          <w:rFonts w:ascii="IRNazanin" w:hAnsi="IRNazanin" w:eastAsia="IRNazanin"/>
          <w:color w:val="111111"/>
          <w:sz w:val="28"/>
          <w:sz w:val="28"/>
          <w:szCs w:val="28"/>
          <w:rtl w:val="true"/>
          <w:lang w:bidi="fa-IR"/>
        </w:rPr>
        <w:t xml:space="preserve">وکان الضرب ممّا یحتمل زوال النظر 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المجنیّ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القسامة إذا کانت العین قائمة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وقضی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یقابل بالشمس، فإن بقیتا مفتوحتین صدق، وإلّا کذب </w:t>
      </w:r>
      <w:r>
        <w:rPr>
          <w:rStyle w:val="FootnoteAnchor"/>
          <w:rtl w:val="true"/>
        </w:rPr>
        <w:footnoteReference w:id="2283"/>
      </w:r>
      <w:r>
        <w:rPr>
          <w:rFonts w:ascii="IRNazanin" w:hAnsi="IRNazanin" w:eastAsia="IRNazanin"/>
          <w:color w:val="111111"/>
          <w:sz w:val="28"/>
          <w:sz w:val="28"/>
          <w:szCs w:val="28"/>
          <w:rtl w:val="true"/>
          <w:lang w:bidi="fa-IR"/>
        </w:rPr>
        <w:t xml:space="preserve">لروایة الأصبغ عن أمیر المؤمنین علیه الصلاة والسلام </w:t>
      </w:r>
      <w:r>
        <w:rPr>
          <w:rStyle w:val="FootnoteAnchor"/>
          <w:rtl w:val="true"/>
        </w:rPr>
        <w:footnoteReference w:id="2284"/>
      </w:r>
      <w:r>
        <w:rPr>
          <w:rFonts w:ascii="IRNazanin" w:hAnsi="IRNazanin" w:eastAsia="IRNazanin"/>
          <w:color w:val="111111"/>
          <w:sz w:val="28"/>
          <w:sz w:val="28"/>
          <w:szCs w:val="28"/>
          <w:rtl w:val="true"/>
          <w:lang w:bidi="fa-IR"/>
        </w:rPr>
        <w:t xml:space="preserve">وفی الطریق ضعف </w:t>
      </w:r>
      <w:r>
        <w:rPr>
          <w:rStyle w:val="FootnoteAnchor"/>
          <w:rtl w:val="true"/>
        </w:rPr>
        <w:footnoteReference w:id="2285"/>
      </w:r>
      <w:r>
        <w:rPr>
          <w:rFonts w:eastAsia="Times New Roman" w:cs="Times New Roman" w:ascii="Times New Roman" w:hAnsi="Times New Roman"/>
          <w:color w:val="111111"/>
          <w:sz w:val="28"/>
          <w:szCs w:val="28"/>
          <w:rtl w:val="true"/>
          <w:lang w:val="en-US" w:bidi="en-US"/>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ادّعی نقصان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إحداهما قیست إلی الاُخری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ذکر فی السمع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وأجود ما یعتبر به ما روی صحیحاً عن الصادق علیه السلام أن تربط عینه الصحیحة ویأخذ رجلٌ بیضة ویبعد حتّی یقول المجنیّ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بقیت اُبصرها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فیُعلم </w:t>
      </w:r>
      <w:r>
        <w:rPr>
          <w:rStyle w:val="FootnoteAnchor"/>
          <w:rtl w:val="true"/>
        </w:rPr>
        <w:footnoteReference w:id="2286"/>
      </w:r>
      <w:r>
        <w:rPr>
          <w:rFonts w:ascii="IRNazanin" w:hAnsi="IRNazanin" w:eastAsia="IRNazanin"/>
          <w:color w:val="111111"/>
          <w:sz w:val="28"/>
          <w:sz w:val="28"/>
          <w:szCs w:val="28"/>
          <w:rtl w:val="true"/>
          <w:lang w:bidi="fa-IR"/>
        </w:rPr>
        <w:t>عنده، ثمّ تشدّ المصابة وتطلق الصحیحة وتعتبر کذلک، ثمّ تعتبر فی جهة</w:t>
      </w:r>
      <w:bookmarkStart w:id="797" w:name="pg19815_253520"/>
    </w:p>
    <w:p>
      <w:pPr>
        <w:pStyle w:val="BookText"/>
        <w:rPr/>
      </w:pPr>
      <w:bookmarkEnd w:id="797"/>
      <w:r>
        <w:rPr>
          <w:rFonts w:ascii="IRNazanin" w:hAnsi="IRNazanin" w:eastAsia="IRNazanin"/>
          <w:color w:val="111111"/>
          <w:sz w:val="28"/>
          <w:sz w:val="28"/>
          <w:szCs w:val="28"/>
          <w:rtl w:val="true"/>
          <w:lang w:bidi="fa-IR"/>
        </w:rPr>
        <w:t xml:space="preserve">اُخری أو فی الجهات الأربع، فإن تساوت صُدّق وإلّا کُذّب، ثمّ ینظر مع صدقه ما بین المسافتین ویؤخذ من الدیة بنسبة النقصان </w:t>
      </w:r>
      <w:r>
        <w:rPr>
          <w:rStyle w:val="FootnoteAnchor"/>
          <w:rtl w:val="true"/>
        </w:rPr>
        <w:footnoteReference w:id="2287"/>
      </w: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نقصانهما قیستا إلی أبناء 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یوقف معه وینظر ما یبلغه نظره ثمّ یعتبر ما یبلغه نظر المجنیّ علیه، ویعلم نسبة ما بینهما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استوت المسافات الأربع صُدّق، وإلّا کُذّب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وحینئذٍ فیحلف الجانی علی عدم النقصان إن ادّعاه </w:t>
      </w:r>
      <w:r>
        <w:rPr>
          <w:rStyle w:val="FootnoteAnchor"/>
          <w:rtl w:val="true"/>
        </w:rPr>
        <w:footnoteReference w:id="2288"/>
      </w:r>
      <w:r>
        <w:rPr>
          <w:rFonts w:ascii="IRNazanin" w:hAnsi="IRNazanin" w:eastAsia="IRNazanin"/>
          <w:color w:val="111111"/>
          <w:sz w:val="28"/>
          <w:sz w:val="28"/>
          <w:szCs w:val="28"/>
          <w:rtl w:val="true"/>
          <w:lang w:bidi="fa-IR"/>
        </w:rPr>
        <w:t>وإن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یتوجّه علیه 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یقاس النظر فی یوم غیم ولا فی أرض مختلفة الجهات؛ لئلّا یحصل الاختلاف بالعارض</w:t>
      </w:r>
      <w:r>
        <w:rPr>
          <w:rFonts w:eastAsia="IRNazanin" w:cs="IRNazanin"/>
          <w:color w:val="111111"/>
          <w:sz w:val="28"/>
          <w:szCs w:val="28"/>
          <w:rtl w:val="true"/>
          <w:lang w:bidi="fa-IR"/>
        </w:rPr>
        <w:t>.</w:t>
      </w:r>
    </w:p>
    <w:p>
      <w:pPr>
        <w:pStyle w:val="Heading5"/>
        <w:numPr>
          <w:ilvl w:val="4"/>
          <w:numId w:val="1"/>
        </w:numPr>
        <w:rPr/>
      </w:pPr>
      <w:bookmarkStart w:id="798" w:name="__RefHeading___Toc2228275_2314609296"/>
      <w:bookmarkStart w:id="799" w:name="_Toc300"/>
      <w:bookmarkEnd w:id="798"/>
      <w:r>
        <w:rPr>
          <w:rtl w:val="true"/>
        </w:rPr>
        <w:t>[«</w:t>
      </w:r>
      <w:r>
        <w:rPr>
          <w:rtl w:val="true"/>
        </w:rPr>
        <w:t>الرابع</w:t>
      </w:r>
      <w:r>
        <w:rPr>
          <w:rtl w:val="true"/>
        </w:rPr>
        <w:t xml:space="preserve">: </w:t>
      </w:r>
      <w:r>
        <w:rPr>
          <w:rtl w:val="true"/>
        </w:rPr>
        <w:t>فی إبطال الشم</w:t>
      </w:r>
      <w:r>
        <w:rPr>
          <w:rtl w:val="true"/>
        </w:rPr>
        <w:t>]</w:t>
      </w:r>
      <w:bookmarkEnd w:id="799"/>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من المنخرین معاً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أحدهما خاصّة نصفها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ادّعی ذهابه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وکذّبه الجانی عقیب جنایة یمکن زواله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اعتبر بالروائح الطیّبة والخبیثة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والروائح الحادّة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تبیّن حاله حکم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القسامة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لم یظهر بالامتحان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وقضی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أمیر المؤمنین علیه السلام بالطریق السابق </w:t>
      </w:r>
      <w:r>
        <w:rPr>
          <w:rStyle w:val="FootnoteAnchor"/>
          <w:rtl w:val="true"/>
        </w:rPr>
        <w:footnoteReference w:id="2289"/>
      </w:r>
      <w:r>
        <w:rPr>
          <w:rFonts w:ascii="IRNazanin" w:hAnsi="IRNazanin" w:eastAsia="IRNazanin"/>
          <w:color w:val="111111"/>
          <w:sz w:val="28"/>
          <w:sz w:val="28"/>
          <w:szCs w:val="28"/>
          <w:rtl w:val="true"/>
          <w:lang w:bidi="fa-IR"/>
        </w:rPr>
        <w:t xml:space="preserve">فی البصر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تقریب الحُراق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بضمّ الحاء وتخفیف الراء، وتشدیده من لحن العامّة، قاله الجوهری، وهو ما یقع فیه النار عند القدح </w:t>
      </w:r>
      <w:r>
        <w:rPr>
          <w:rStyle w:val="FootnoteAnchor"/>
          <w:rtl w:val="true"/>
        </w:rPr>
        <w:footnoteReference w:id="2290"/>
      </w:r>
      <w:r>
        <w:rPr>
          <w:rFonts w:ascii="IRNazanin" w:hAnsi="IRNazanin" w:eastAsia="IRNazanin"/>
          <w:color w:val="111111"/>
          <w:sz w:val="28"/>
          <w:sz w:val="28"/>
          <w:szCs w:val="28"/>
          <w:rtl w:val="true"/>
          <w:lang w:bidi="fa-IR"/>
        </w:rPr>
        <w:t xml:space="preserve">أی یقرَّب بعد علوق النار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فإن دمعت عیناه ونحّی أنفه فکاذب، وإلّا فصادق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وضعف طریق الروایة بمحمّد بن الفرات یمنع من العمل</w:t>
      </w:r>
      <w:bookmarkStart w:id="800" w:name="pg19815_253521"/>
    </w:p>
    <w:p>
      <w:pPr>
        <w:pStyle w:val="BookText"/>
        <w:rPr/>
      </w:pPr>
      <w:bookmarkEnd w:id="800"/>
      <w:r>
        <w:rPr>
          <w:rFonts w:ascii="IRNazanin" w:hAnsi="IRNazanin" w:eastAsia="IRNazanin"/>
          <w:color w:val="111111"/>
          <w:sz w:val="28"/>
          <w:sz w:val="28"/>
          <w:szCs w:val="28"/>
          <w:rtl w:val="true"/>
          <w:lang w:bidi="fa-IR"/>
        </w:rPr>
        <w:t>بها وإثبات الدیة بذلک، مع أصالة البراءة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ادّعی نقصه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یحلف ویوجب له الحاکم شیئاً بحسب اجتهاده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لا طریق إلی البیّنة ولا إلی الامتحان </w:t>
      </w:r>
      <w:r>
        <w:rPr>
          <w:rStyle w:val="FootnoteAnchor"/>
          <w:rtl w:val="true"/>
        </w:rPr>
        <w:footnoteReference w:id="2291"/>
      </w:r>
      <w:r>
        <w:rPr>
          <w:rFonts w:ascii="IRNazanin" w:hAnsi="IRNazanin" w:eastAsia="IRNazanin"/>
          <w:color w:val="111111"/>
          <w:sz w:val="28"/>
          <w:sz w:val="28"/>
          <w:szCs w:val="28"/>
          <w:rtl w:val="true"/>
          <w:lang w:bidi="fa-IR"/>
        </w:rPr>
        <w:t>وإنّما نسبه إلی القول؛ لعدم دلیل علیه، مع أصالة البراءة وکون حلف المدّعی خلاف الأصل، وإنّما مقتضاه حلف المدّعی علیه علی البراءة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قطع الأنف فذهب الشمّ فدیتان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إحداهما للأنف والاُخری للشمّ؛ لأنّ الأنف لیس محلّ القوّة الشامّة، فإنّها منبثّة فی زائدتی مقدّم الدماغ المشبهتین بحَلَمتی الثدی تدرک ما یلاقیها من الروائح، والأنف طریق للهواء الواصل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ومثله قوّة السمع، فإنّها مودَعة فی العصب المفروش فی مقعّر الصِماخ </w:t>
      </w:r>
      <w:r>
        <w:rPr>
          <w:rStyle w:val="FootnoteAnchor"/>
          <w:rtl w:val="true"/>
        </w:rPr>
        <w:footnoteReference w:id="2292"/>
      </w:r>
      <w:r>
        <w:rPr>
          <w:rFonts w:ascii="IRNazanin" w:hAnsi="IRNazanin" w:eastAsia="IRNazanin"/>
          <w:color w:val="111111"/>
          <w:sz w:val="28"/>
          <w:sz w:val="28"/>
          <w:szCs w:val="28"/>
          <w:rtl w:val="true"/>
          <w:lang w:bidi="fa-IR"/>
        </w:rPr>
        <w:t>یدرک ما یؤدّی إلیها الهواء، فلا تدخل دیة إحداهما فی الاُخری</w:t>
      </w:r>
      <w:r>
        <w:rPr>
          <w:rFonts w:eastAsia="IRNazanin" w:cs="IRNazanin"/>
          <w:color w:val="111111"/>
          <w:sz w:val="28"/>
          <w:szCs w:val="28"/>
          <w:rtl w:val="true"/>
          <w:lang w:bidi="fa-IR"/>
        </w:rPr>
        <w:t>.</w:t>
      </w:r>
    </w:p>
    <w:p>
      <w:pPr>
        <w:pStyle w:val="Heading5"/>
        <w:numPr>
          <w:ilvl w:val="4"/>
          <w:numId w:val="1"/>
        </w:numPr>
        <w:rPr/>
      </w:pPr>
      <w:bookmarkStart w:id="801" w:name="__RefHeading___Toc2228277_2314609296"/>
      <w:bookmarkStart w:id="802" w:name="_Toc301"/>
      <w:bookmarkEnd w:id="801"/>
      <w:r>
        <w:rPr>
          <w:rtl w:val="true"/>
        </w:rPr>
        <w:t>[«</w:t>
      </w:r>
      <w:r>
        <w:rPr>
          <w:rtl w:val="true"/>
        </w:rPr>
        <w:t>الخامس</w:t>
      </w:r>
      <w:r>
        <w:rPr>
          <w:rtl w:val="true"/>
        </w:rPr>
        <w:t xml:space="preserve">: </w:t>
      </w:r>
      <w:r>
        <w:rPr>
          <w:rtl w:val="true"/>
        </w:rPr>
        <w:t>الذوق قیل</w:t>
      </w:r>
      <w:r>
        <w:rPr>
          <w:rtl w:val="true"/>
        </w:rPr>
        <w:t>»]</w:t>
      </w:r>
      <w:bookmarkEnd w:id="802"/>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والقائل العلّامة قاطعاً به </w:t>
      </w:r>
      <w:r>
        <w:rPr>
          <w:rStyle w:val="FootnoteAnchor"/>
          <w:rtl w:val="true"/>
        </w:rPr>
        <w:footnoteReference w:id="2293"/>
      </w:r>
      <w:r>
        <w:rPr>
          <w:rFonts w:ascii="Amiri" w:hAnsi="Amiri" w:eastAsia="Amiri" w:cs="Amiri"/>
          <w:color w:val="111111"/>
          <w:sz w:val="28"/>
          <w:sz w:val="28"/>
          <w:szCs w:val="28"/>
          <w:rtl w:val="true"/>
          <w:lang w:bidi="ar-SA"/>
        </w:rPr>
        <w:t xml:space="preserve">وجماعة </w:t>
      </w:r>
      <w:r>
        <w:rPr>
          <w:rStyle w:val="FootnoteAnchor"/>
          <w:rtl w:val="true"/>
        </w:rPr>
        <w:footnoteReference w:id="229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فیه 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کغیره من الحواسّ، ولدخوله فی عموم قولهم 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ما فی الإنسان منه واحد ففیه الدیة</w:t>
      </w:r>
      <w:r>
        <w:rPr>
          <w:rFonts w:eastAsia="IRNazanin" w:cs="IRNazanin"/>
          <w:color w:val="111111"/>
          <w:sz w:val="28"/>
          <w:szCs w:val="28"/>
          <w:rtl w:val="true"/>
          <w:lang w:bidi="fa-IR"/>
        </w:rPr>
        <w:t xml:space="preserve">» </w:t>
      </w:r>
      <w:r>
        <w:rPr>
          <w:rStyle w:val="FootnoteAnchor"/>
          <w:rtl w:val="true"/>
        </w:rPr>
        <w:footnoteReference w:id="2295"/>
      </w:r>
      <w:r>
        <w:rPr>
          <w:rFonts w:ascii="IRNazanin" w:hAnsi="IRNazanin" w:eastAsia="IRNazanin"/>
          <w:color w:val="111111"/>
          <w:sz w:val="28"/>
          <w:sz w:val="28"/>
          <w:szCs w:val="28"/>
          <w:rtl w:val="true"/>
          <w:lang w:bidi="fa-IR"/>
        </w:rPr>
        <w:t xml:space="preserve">ونسبه إلی القیل؛ لعدم دلیل علیه بخصوصه والشکّ فی الدلیل العامّ، فإنّه کما تقدّم </w:t>
      </w:r>
      <w:r>
        <w:rPr>
          <w:rStyle w:val="FootnoteAnchor"/>
          <w:rtl w:val="true"/>
        </w:rPr>
        <w:footnoteReference w:id="2296"/>
      </w:r>
      <w:r>
        <w:rPr>
          <w:rFonts w:ascii="IRNazanin" w:hAnsi="IRNazanin" w:eastAsia="IRNazanin"/>
          <w:color w:val="111111"/>
          <w:sz w:val="28"/>
          <w:sz w:val="28"/>
          <w:szCs w:val="28"/>
          <w:rtl w:val="true"/>
          <w:lang w:bidi="fa-IR"/>
        </w:rPr>
        <w:t xml:space="preserve">مقطوع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ویرجع فیه عقیب الجنایة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یحتمل</w:t>
      </w:r>
      <w:bookmarkStart w:id="803" w:name="pg19815_253522"/>
    </w:p>
    <w:p>
      <w:pPr>
        <w:pStyle w:val="BookText"/>
        <w:rPr/>
      </w:pPr>
      <w:bookmarkEnd w:id="803"/>
      <w:r>
        <w:rPr>
          <w:rFonts w:ascii="IRNazanin" w:hAnsi="IRNazanin" w:eastAsia="IRNazanin"/>
          <w:color w:val="111111"/>
          <w:sz w:val="28"/>
          <w:sz w:val="28"/>
          <w:szCs w:val="28"/>
          <w:rtl w:val="true"/>
          <w:lang w:bidi="fa-IR"/>
        </w:rPr>
        <w:t xml:space="preserve">إتلافها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دعواه مع الأیمان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البالغة مقدارَ القسامة؛ لتعذّر إقامة البیّنة علیه وامتحانه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التحریر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یجرَّب بالأشیاء المرّة المُفِزّة </w:t>
      </w:r>
      <w:r>
        <w:rPr>
          <w:rStyle w:val="FootnoteAnchor"/>
          <w:rtl w:val="true"/>
        </w:rPr>
        <w:footnoteReference w:id="2297"/>
      </w:r>
      <w:r>
        <w:rPr>
          <w:rFonts w:ascii="IRNazanin" w:hAnsi="IRNazanin" w:eastAsia="IRNazanin"/>
          <w:color w:val="111111"/>
          <w:sz w:val="28"/>
          <w:sz w:val="28"/>
          <w:szCs w:val="28"/>
          <w:rtl w:val="true"/>
          <w:lang w:bidi="fa-IR"/>
        </w:rPr>
        <w:t>ثمّ یرجع مع الاشتباه إلی الأیمان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 دعواه النقصان یقضی الحاکم بعد تحلیفه بما یراه من الحکومة تقریباً </w:t>
      </w:r>
      <w:r>
        <w:rPr>
          <w:rStyle w:val="FootnoteAnchor"/>
          <w:rtl w:val="true"/>
        </w:rPr>
        <w:footnoteReference w:id="2298"/>
      </w:r>
      <w:r>
        <w:rPr>
          <w:rFonts w:ascii="IRNazanin" w:hAnsi="IRNazanin" w:eastAsia="IRNazanin"/>
          <w:color w:val="111111"/>
          <w:sz w:val="28"/>
          <w:sz w:val="28"/>
          <w:szCs w:val="28"/>
          <w:rtl w:val="true"/>
          <w:lang w:bidi="fa-IR"/>
        </w:rPr>
        <w:t>علی القول السابق</w:t>
      </w:r>
      <w:r>
        <w:rPr>
          <w:rFonts w:eastAsia="IRNazanin" w:cs="IRNazanin"/>
          <w:color w:val="111111"/>
          <w:sz w:val="28"/>
          <w:szCs w:val="28"/>
          <w:rtl w:val="true"/>
          <w:lang w:bidi="fa-IR"/>
        </w:rPr>
        <w:t>.</w:t>
      </w:r>
    </w:p>
    <w:p>
      <w:pPr>
        <w:pStyle w:val="Heading5"/>
        <w:numPr>
          <w:ilvl w:val="4"/>
          <w:numId w:val="1"/>
        </w:numPr>
        <w:rPr/>
      </w:pPr>
      <w:bookmarkStart w:id="804" w:name="__RefHeading___Toc2228279_2314609296"/>
      <w:bookmarkStart w:id="805" w:name="_Toc302"/>
      <w:bookmarkEnd w:id="804"/>
      <w:r>
        <w:rPr>
          <w:rtl w:val="true"/>
        </w:rPr>
        <w:t>[«</w:t>
      </w:r>
      <w:r>
        <w:rPr>
          <w:rtl w:val="true"/>
        </w:rPr>
        <w:t>السادس</w:t>
      </w:r>
      <w:r>
        <w:rPr>
          <w:rtl w:val="true"/>
        </w:rPr>
        <w:t xml:space="preserve">: </w:t>
      </w:r>
      <w:r>
        <w:rPr>
          <w:rtl w:val="true"/>
        </w:rPr>
        <w:t>فی تعذّر الإنزال للمنیّ</w:t>
      </w:r>
      <w:r>
        <w:rPr>
          <w:rtl w:val="true"/>
        </w:rPr>
        <w:t>»]</w:t>
      </w:r>
      <w:bookmarkEnd w:id="805"/>
    </w:p>
    <w:p>
      <w:pPr>
        <w:pStyle w:val="BookText"/>
        <w:rPr/>
      </w:pPr>
      <w:r>
        <w:rPr>
          <w:rFonts w:ascii="IRNazanin" w:hAnsi="IRNazanin" w:eastAsia="IRNazanin"/>
          <w:color w:val="111111"/>
          <w:sz w:val="28"/>
          <w:sz w:val="28"/>
          <w:szCs w:val="28"/>
          <w:rtl w:val="true"/>
          <w:lang w:bidi="fa-IR"/>
        </w:rPr>
        <w:t xml:space="preserve">حالةَ الجماع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لفوات الماء المقصود للنسل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تعذّر الإحبال والحَبَل وإن نزل المنیّ؛ لفوات النسل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فی تعذّر الحَبَل دیة المرأة إذا ثبت استناد ذلک إلی الجنایة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واُلحق به إبطال الالتذاذ بالجماع </w:t>
      </w:r>
      <w:r>
        <w:rPr>
          <w:rStyle w:val="FootnoteAnchor"/>
          <w:rtl w:val="true"/>
        </w:rPr>
        <w:footnoteReference w:id="2299"/>
      </w:r>
      <w:r>
        <w:rPr>
          <w:rFonts w:ascii="IRNazanin" w:hAnsi="IRNazanin" w:eastAsia="IRNazanin"/>
          <w:color w:val="111111"/>
          <w:sz w:val="28"/>
          <w:sz w:val="28"/>
          <w:szCs w:val="28"/>
          <w:rtl w:val="true"/>
          <w:lang w:bidi="fa-IR"/>
        </w:rPr>
        <w:t>لو فُرض مع بقاء الإمناء والإحبال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بعید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فُرض فالمرجع إلیه </w:t>
      </w:r>
      <w:r>
        <w:rPr>
          <w:rStyle w:val="FootnoteAnchor"/>
          <w:rtl w:val="true"/>
        </w:rPr>
        <w:footnoteReference w:id="2300"/>
      </w:r>
      <w:r>
        <w:rPr>
          <w:rFonts w:ascii="IRNazanin" w:hAnsi="IRNazanin" w:eastAsia="IRNazanin"/>
          <w:color w:val="111111"/>
          <w:sz w:val="28"/>
          <w:sz w:val="28"/>
          <w:szCs w:val="28"/>
          <w:rtl w:val="true"/>
          <w:lang w:bidi="fa-IR"/>
        </w:rPr>
        <w:t>فیه مع وقوع جنایة تحتمله مع القسامة؛ لتعذّر الاطّلاع علیه من غیره</w:t>
      </w:r>
      <w:r>
        <w:rPr>
          <w:rFonts w:eastAsia="IRNazanin" w:cs="IRNazanin"/>
          <w:color w:val="111111"/>
          <w:sz w:val="28"/>
          <w:szCs w:val="28"/>
          <w:rtl w:val="true"/>
          <w:lang w:bidi="fa-IR"/>
        </w:rPr>
        <w:t>.</w:t>
      </w:r>
    </w:p>
    <w:p>
      <w:pPr>
        <w:pStyle w:val="Heading5"/>
        <w:numPr>
          <w:ilvl w:val="4"/>
          <w:numId w:val="1"/>
        </w:numPr>
        <w:rPr/>
      </w:pPr>
      <w:bookmarkStart w:id="806" w:name="__RefHeading___Toc2228281_2314609296"/>
      <w:bookmarkStart w:id="807" w:name="_Toc303"/>
      <w:bookmarkEnd w:id="806"/>
      <w:r>
        <w:rPr>
          <w:rtl w:val="true"/>
        </w:rPr>
        <w:t>[«</w:t>
      </w:r>
      <w:r>
        <w:rPr>
          <w:rtl w:val="true"/>
        </w:rPr>
        <w:t>السابع</w:t>
      </w:r>
      <w:r>
        <w:rPr>
          <w:rtl w:val="true"/>
        </w:rPr>
        <w:t xml:space="preserve">: </w:t>
      </w:r>
      <w:r>
        <w:rPr>
          <w:rtl w:val="true"/>
        </w:rPr>
        <w:t>فی سلس البول</w:t>
      </w:r>
      <w:r>
        <w:rPr>
          <w:rtl w:val="true"/>
        </w:rPr>
        <w:t>»]</w:t>
      </w:r>
      <w:bookmarkEnd w:id="807"/>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وهو نزوله مترشّحاً لضعف القوّة الماسکة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والمستند روایة غیاث بن إبراهیم </w:t>
      </w:r>
      <w:r>
        <w:rPr>
          <w:rStyle w:val="FootnoteAnchor"/>
          <w:rtl w:val="true"/>
        </w:rPr>
        <w:footnoteReference w:id="2301"/>
      </w:r>
      <w:r>
        <w:rPr>
          <w:rFonts w:ascii="IRNazanin" w:hAnsi="IRNazanin" w:eastAsia="IRNazanin"/>
          <w:color w:val="111111"/>
          <w:sz w:val="28"/>
          <w:sz w:val="28"/>
          <w:szCs w:val="28"/>
          <w:rtl w:val="true"/>
          <w:lang w:bidi="fa-IR"/>
        </w:rPr>
        <w:t xml:space="preserve">وهو </w:t>
      </w:r>
      <w:r>
        <w:rPr>
          <w:rStyle w:val="FootnoteAnchor"/>
          <w:rtl w:val="true"/>
        </w:rPr>
        <w:footnoteReference w:id="2302"/>
      </w:r>
      <w:r>
        <w:rPr>
          <w:rFonts w:ascii="IRNazanin" w:hAnsi="IRNazanin" w:eastAsia="IRNazanin"/>
          <w:color w:val="111111"/>
          <w:sz w:val="28"/>
          <w:sz w:val="28"/>
          <w:szCs w:val="28"/>
          <w:rtl w:val="true"/>
          <w:lang w:bidi="fa-IR"/>
        </w:rPr>
        <w:t>ضعیف،</w:t>
      </w:r>
      <w:bookmarkStart w:id="808" w:name="pg19815_253523"/>
    </w:p>
    <w:p>
      <w:pPr>
        <w:pStyle w:val="BookText"/>
        <w:rPr/>
      </w:pPr>
      <w:bookmarkEnd w:id="808"/>
      <w:r>
        <w:rPr>
          <w:rFonts w:ascii="IRNazanin" w:hAnsi="IRNazanin" w:eastAsia="IRNazanin"/>
          <w:color w:val="111111"/>
          <w:sz w:val="28"/>
          <w:sz w:val="28"/>
          <w:szCs w:val="28"/>
          <w:rtl w:val="true"/>
          <w:lang w:bidi="fa-IR"/>
        </w:rPr>
        <w:t>لکنّها مناسبة لما یستلزمه من فوات المنفعة المتّحدة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انقطع فالحکومة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دام إلی اللیل ففیه الدیة،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الزوال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الثلثان، وإلی ارتفاع 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الدیة </w:t>
      </w:r>
      <w:r>
        <w:rPr>
          <w:rStyle w:val="FootnoteAnchor"/>
          <w:rtl w:val="true"/>
        </w:rPr>
        <w:footnoteReference w:id="2303"/>
      </w:r>
      <w:r>
        <w:rPr>
          <w:rFonts w:ascii="IRNazanin" w:hAnsi="IRNazanin" w:eastAsia="IRNazanin"/>
          <w:color w:val="111111"/>
          <w:sz w:val="28"/>
          <w:sz w:val="28"/>
          <w:szCs w:val="28"/>
          <w:rtl w:val="true"/>
          <w:lang w:bidi="fa-IR"/>
        </w:rPr>
        <w:t>ومستند التفصیل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إسحاق بن عمّار عن الصادق علیه السلام </w:t>
      </w:r>
      <w:r>
        <w:rPr>
          <w:rStyle w:val="FootnoteAnchor"/>
          <w:rtl w:val="true"/>
        </w:rPr>
        <w:footnoteReference w:id="2304"/>
      </w:r>
      <w:r>
        <w:rPr>
          <w:rFonts w:ascii="IRNazanin" w:hAnsi="IRNazanin" w:eastAsia="IRNazanin"/>
          <w:color w:val="111111"/>
          <w:sz w:val="28"/>
          <w:sz w:val="28"/>
          <w:szCs w:val="28"/>
          <w:rtl w:val="true"/>
          <w:lang w:bidi="fa-IR"/>
        </w:rPr>
        <w:t xml:space="preserve">معلّلاً الأوّل بمنعه المعیشة وهو یؤذن بأنّ المراد معاودته کذلک فی کلّ یوم کما فهمه منه العلّامة </w:t>
      </w:r>
      <w:r>
        <w:rPr>
          <w:rStyle w:val="FootnoteAnchor"/>
          <w:rtl w:val="true"/>
        </w:rPr>
        <w:footnoteReference w:id="2305"/>
      </w:r>
      <w:r>
        <w:rPr>
          <w:rFonts w:ascii="IRNazanin" w:hAnsi="IRNazanin" w:eastAsia="IRNazanin"/>
          <w:color w:val="111111"/>
          <w:sz w:val="28"/>
          <w:sz w:val="28"/>
          <w:szCs w:val="28"/>
          <w:rtl w:val="true"/>
          <w:lang w:bidi="fa-IR"/>
        </w:rPr>
        <w:t>لکن فی الطریق إسحاق وهو فطحیّ، وصالح بن عقبة وهو کذّاب غالٍ فلا التفات إلی التفصیل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یثبت الأرش فی جمیع الصور حیث لا دوام</w:t>
      </w:r>
      <w:r>
        <w:rPr>
          <w:rFonts w:eastAsia="IRNazanin" w:cs="IRNazanin"/>
          <w:color w:val="111111"/>
          <w:sz w:val="28"/>
          <w:szCs w:val="28"/>
          <w:rtl w:val="true"/>
          <w:lang w:bidi="fa-IR"/>
        </w:rPr>
        <w:t>.</w:t>
      </w:r>
    </w:p>
    <w:p>
      <w:pPr>
        <w:pStyle w:val="Heading5"/>
        <w:numPr>
          <w:ilvl w:val="4"/>
          <w:numId w:val="1"/>
        </w:numPr>
        <w:rPr/>
      </w:pPr>
      <w:bookmarkStart w:id="809" w:name="__RefHeading___Toc2228283_2314609296"/>
      <w:bookmarkStart w:id="810" w:name="_Toc304"/>
      <w:bookmarkEnd w:id="809"/>
      <w:r>
        <w:rPr>
          <w:rtl w:val="true"/>
        </w:rPr>
        <w:t>[«</w:t>
      </w:r>
      <w:r>
        <w:rPr>
          <w:rtl w:val="true"/>
        </w:rPr>
        <w:t>الثامن</w:t>
      </w:r>
      <w:r>
        <w:rPr>
          <w:rtl w:val="true"/>
        </w:rPr>
        <w:t xml:space="preserve">: </w:t>
      </w:r>
      <w:r>
        <w:rPr>
          <w:rtl w:val="true"/>
        </w:rPr>
        <w:t>فی اذهاب الصوت</w:t>
      </w:r>
      <w:r>
        <w:rPr>
          <w:rtl w:val="true"/>
        </w:rPr>
        <w:t>]</w:t>
      </w:r>
      <w:bookmarkEnd w:id="810"/>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إذهاب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بقاء اللسان علی اعتداله وتمکّنه من التقطیع والتردید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من المنافع المتّحدة فی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أذهب معه حرکة اللسان فدیة وثلثان؛ لأنّه فی معنی شلله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وتدخل دیة النطق بالحروف فی الصوت؛ لأنّ منفعة الصوت أهمّها النطق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احتمال عدمه؛ للمغایرة</w:t>
      </w:r>
      <w:r>
        <w:rPr>
          <w:rFonts w:eastAsia="IRNazanin" w:cs="IRNazanin"/>
          <w:color w:val="111111"/>
          <w:sz w:val="28"/>
          <w:szCs w:val="28"/>
          <w:rtl w:val="true"/>
          <w:lang w:bidi="fa-IR"/>
        </w:rPr>
        <w:t>.</w:t>
      </w:r>
      <w:bookmarkStart w:id="811" w:name="pg19815_253524"/>
    </w:p>
    <w:p>
      <w:pPr>
        <w:pStyle w:val="Heading3"/>
        <w:numPr>
          <w:ilvl w:val="2"/>
          <w:numId w:val="1"/>
        </w:numPr>
        <w:rPr/>
      </w:pPr>
      <w:bookmarkStart w:id="812" w:name="__RefHeading___Toc2228285_2314609296"/>
      <w:bookmarkStart w:id="813" w:name="_Toc305"/>
      <w:bookmarkEnd w:id="811"/>
      <w:bookmarkEnd w:id="812"/>
      <w:r>
        <w:rPr>
          <w:rtl w:val="true"/>
        </w:rPr>
        <w:t>«</w:t>
      </w:r>
      <w:r>
        <w:rPr>
          <w:rtl w:val="true"/>
        </w:rPr>
        <w:t>الفصل الثالث</w:t>
      </w:r>
      <w:r>
        <w:rPr>
          <w:rtl w:val="true"/>
        </w:rPr>
        <w:t>» «</w:t>
      </w:r>
      <w:r>
        <w:rPr>
          <w:rtl w:val="true"/>
        </w:rPr>
        <w:t>فی الشجاج</w:t>
      </w:r>
      <w:r>
        <w:rPr>
          <w:rtl w:val="true"/>
        </w:rPr>
        <w:t>»</w:t>
      </w:r>
      <w:bookmarkEnd w:id="813"/>
    </w:p>
    <w:p>
      <w:pPr>
        <w:pStyle w:val="BookText"/>
        <w:rPr/>
      </w:pPr>
      <w:r>
        <w:rPr>
          <w:rFonts w:ascii="IRNazanin" w:hAnsi="IRNazanin" w:eastAsia="IRNazanin"/>
          <w:color w:val="111111"/>
          <w:sz w:val="28"/>
          <w:sz w:val="28"/>
          <w:szCs w:val="28"/>
          <w:rtl w:val="true"/>
          <w:lang w:bidi="fa-IR"/>
        </w:rPr>
        <w:t xml:space="preserve">بکسر الشین جمع شجّة بفتحها، وهی الجرح المختصّ بالرأس والوجه، ویسمّی فی غیرهما جرحاً بقول 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وتوابعها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خرج عن الأقسام الثمانیة من الأحکام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الشجاج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ثمان</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الحارصة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القاشرة للجلد </w:t>
      </w:r>
      <w:r>
        <w:rPr>
          <w:rStyle w:val="FootnoteAnchor"/>
          <w:rtl w:val="true"/>
        </w:rPr>
        <w:footnoteReference w:id="2306"/>
      </w:r>
      <w:r>
        <w:rPr>
          <w:rFonts w:ascii="IRNazanin" w:hAnsi="IRNazanin" w:eastAsia="IRNazanin"/>
          <w:color w:val="111111"/>
          <w:sz w:val="28"/>
          <w:sz w:val="28"/>
          <w:szCs w:val="28"/>
          <w:rtl w:val="true"/>
          <w:lang w:bidi="fa-IR"/>
        </w:rPr>
        <w:t>وفیها بعیر</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التی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تقطع الجلد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تأخذ فی اللحم یسیراً، وفیها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بعیران</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والباضعة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الآخذة کثیراً فی اللحم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یبلغ سمحاق العظم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أبعرة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وهی المتلاحمة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الأشهر</w:t>
      </w:r>
      <w:r>
        <w:rPr>
          <w:rFonts w:eastAsia="IRNazanin" w:cs="IRNazanin"/>
          <w:color w:val="111111"/>
          <w:sz w:val="28"/>
          <w:szCs w:val="28"/>
          <w:rtl w:val="true"/>
          <w:lang w:bidi="fa-IR"/>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الدامیة هی الحارصة، وإنّ الباضعة مغایرة للمتلاحمة </w:t>
      </w:r>
      <w:r>
        <w:rPr>
          <w:rStyle w:val="FootnoteAnchor"/>
          <w:rtl w:val="true"/>
        </w:rPr>
        <w:footnoteReference w:id="2307"/>
      </w:r>
      <w:r>
        <w:rPr>
          <w:rFonts w:ascii="IRNazanin" w:hAnsi="IRNazanin" w:eastAsia="IRNazanin"/>
          <w:color w:val="111111"/>
          <w:sz w:val="28"/>
          <w:sz w:val="28"/>
          <w:szCs w:val="28"/>
          <w:rtl w:val="true"/>
          <w:lang w:bidi="fa-IR"/>
        </w:rPr>
        <w:t>فتکون الباضعة هی الدامیة بالمعنی السابق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واتّفق القائلان علی أنّ الأربعة الألفاظ موضوعة لثلاثة معان، وأنّ واحداً منها مرادف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والأخبار مختلفة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روایة منصور بن حازم عن أبی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الحارصة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وهی الخدش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بعیر، وفی الدامیة بعیران</w:t>
      </w:r>
      <w:r>
        <w:rPr>
          <w:rFonts w:eastAsia="IRNazanin" w:cs="IRNazanin"/>
          <w:color w:val="111111"/>
          <w:sz w:val="28"/>
          <w:szCs w:val="28"/>
          <w:rtl w:val="true"/>
          <w:lang w:bidi="fa-IR"/>
        </w:rPr>
        <w:t xml:space="preserve">» </w:t>
      </w:r>
      <w:r>
        <w:rPr>
          <w:rStyle w:val="FootnoteAnchor"/>
          <w:rtl w:val="true"/>
        </w:rPr>
        <w:footnoteReference w:id="2308"/>
      </w:r>
      <w:r>
        <w:rPr>
          <w:rFonts w:ascii="IRNazanin" w:hAnsi="IRNazanin" w:eastAsia="IRNazanin"/>
          <w:color w:val="111111"/>
          <w:sz w:val="28"/>
          <w:sz w:val="28"/>
          <w:szCs w:val="28"/>
          <w:rtl w:val="true"/>
          <w:lang w:bidi="fa-IR"/>
        </w:rPr>
        <w:t xml:space="preserve">وفی روایة مسمع عنه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الدامیة بعیر، وفی الباضعة بعیران، وفی المتلاحمة ثلاثة</w:t>
      </w:r>
      <w:r>
        <w:rPr>
          <w:rFonts w:eastAsia="IRNazanin" w:cs="IRNazanin"/>
          <w:color w:val="111111"/>
          <w:sz w:val="28"/>
          <w:szCs w:val="28"/>
          <w:rtl w:val="true"/>
          <w:lang w:bidi="fa-IR"/>
        </w:rPr>
        <w:t xml:space="preserve">» </w:t>
      </w:r>
      <w:r>
        <w:rPr>
          <w:rStyle w:val="FootnoteAnchor"/>
          <w:rtl w:val="true"/>
        </w:rPr>
        <w:footnoteReference w:id="2309"/>
      </w:r>
      <w:r>
        <w:rPr>
          <w:rFonts w:ascii="IRNazanin" w:hAnsi="IRNazanin" w:eastAsia="IRNazanin"/>
          <w:color w:val="111111"/>
          <w:sz w:val="28"/>
          <w:sz w:val="28"/>
          <w:szCs w:val="28"/>
          <w:rtl w:val="true"/>
          <w:lang w:bidi="fa-IR"/>
        </w:rPr>
        <w:t>والاُولی تدلّ علی الأوّل، والثانیة علی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والنزاع لفظیٌّ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والسمحاق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بکسر السین المهملة وإسکان المیم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وهی التی تبلغ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السِمحاقة 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الجلدة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الرقیقة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المغشیّة للعظم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تقشرها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وفیها أربعة أبعرة</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والموضحة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التی تکشف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بیاضه وتقشر السمحاقة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وفیها 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أبعرة</w:t>
      </w:r>
      <w:r>
        <w:rPr>
          <w:rFonts w:eastAsia="IRNazanin" w:cs="IRNazanin"/>
          <w:color w:val="111111"/>
          <w:sz w:val="28"/>
          <w:szCs w:val="28"/>
          <w:rtl w:val="true"/>
          <w:lang w:bidi="fa-IR"/>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والهاشمة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التی تهشم العظم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تکسره وإن لم یسبق بجرح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وفیها عشرة أبعرة أرباعاً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نسبة ما یوزَّع فی الدیة الکاملة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بنات المخاض واللبون، والحِقق </w:t>
      </w:r>
      <w:r>
        <w:rPr>
          <w:rStyle w:val="FootnoteAnchor"/>
          <w:rtl w:val="true"/>
        </w:rPr>
        <w:footnoteReference w:id="2310"/>
      </w:r>
      <w:r>
        <w:rPr>
          <w:rFonts w:ascii="IRNazanin" w:hAnsi="IRNazanin" w:eastAsia="IRNazanin"/>
          <w:color w:val="111111"/>
          <w:sz w:val="28"/>
          <w:sz w:val="28"/>
          <w:szCs w:val="28"/>
          <w:rtl w:val="true"/>
          <w:lang w:bidi="fa-IR"/>
        </w:rPr>
        <w:t xml:space="preserve">وأولاد اللبون، فالعشرة هنا بنتا مخاض وابنا لبون وثلاث بنات لبون وثلاث حِقَق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خطأً، وأثلاثاً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نسبة ما یوزّع فی الدیة الکاملة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شبیهاً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بالخطأ، فیکون ثلاث حِقَق، وثلاث بنات لبون، وأربع خِلَف </w:t>
      </w:r>
      <w:r>
        <w:rPr>
          <w:rStyle w:val="FootnoteAnchor"/>
          <w:rtl w:val="true"/>
        </w:rPr>
        <w:footnoteReference w:id="2311"/>
      </w:r>
      <w:r>
        <w:rPr>
          <w:rFonts w:ascii="IRNazanin" w:hAnsi="IRNazanin" w:eastAsia="IRNazanin"/>
          <w:color w:val="111111"/>
          <w:sz w:val="28"/>
          <w:sz w:val="28"/>
          <w:szCs w:val="28"/>
          <w:rtl w:val="true"/>
          <w:lang w:bidi="fa-IR"/>
        </w:rPr>
        <w:t xml:space="preserve">حوامل، بناءً علی ما دلّت علیه صحیحة ابن سنان </w:t>
      </w:r>
      <w:r>
        <w:rPr>
          <w:rStyle w:val="FootnoteAnchor"/>
          <w:rtl w:val="true"/>
        </w:rPr>
        <w:footnoteReference w:id="2312"/>
      </w:r>
    </w:p>
    <w:p>
      <w:pPr>
        <w:pStyle w:val="BookText"/>
        <w:rPr/>
      </w:pPr>
      <w:r>
        <w:rPr>
          <w:rFonts w:ascii="IRNazanin" w:hAnsi="IRNazanin" w:eastAsia="IRNazanin"/>
          <w:color w:val="111111"/>
          <w:sz w:val="28"/>
          <w:sz w:val="28"/>
          <w:szCs w:val="28"/>
          <w:rtl w:val="true"/>
          <w:lang w:bidi="fa-IR"/>
        </w:rPr>
        <w:t>من التوزیع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علی ما اختاره المصنّف </w:t>
      </w:r>
      <w:r>
        <w:rPr>
          <w:rStyle w:val="FootnoteAnchor"/>
          <w:rtl w:val="true"/>
        </w:rPr>
        <w:footnoteReference w:id="2313"/>
      </w:r>
      <w:r>
        <w:rPr>
          <w:rFonts w:ascii="IRNazanin" w:hAnsi="IRNazanin" w:eastAsia="IRNazanin"/>
          <w:color w:val="111111"/>
          <w:sz w:val="28"/>
          <w:sz w:val="28"/>
          <w:szCs w:val="28"/>
          <w:rtl w:val="true"/>
          <w:lang w:bidi="fa-IR"/>
        </w:rPr>
        <w:t xml:space="preserve">فلا یتحقّق بالتحریر </w:t>
      </w:r>
      <w:r>
        <w:rPr>
          <w:rStyle w:val="FootnoteAnchor"/>
          <w:rtl w:val="true"/>
        </w:rPr>
        <w:footnoteReference w:id="2314"/>
      </w:r>
      <w:r>
        <w:rPr>
          <w:rFonts w:ascii="IRNazanin" w:hAnsi="IRNazanin" w:eastAsia="IRNazanin"/>
          <w:color w:val="111111"/>
          <w:sz w:val="28"/>
          <w:sz w:val="28"/>
          <w:szCs w:val="28"/>
          <w:rtl w:val="true"/>
          <w:lang w:bidi="fa-IR"/>
        </w:rPr>
        <w:t xml:space="preserve">ولکن ما ذکرناه منه مبرئ أیضاً؛ لأنّه أزید سنّاً فی بعضه </w:t>
      </w:r>
      <w:r>
        <w:rPr>
          <w:rStyle w:val="FootnoteAnchor"/>
          <w:rtl w:val="true"/>
        </w:rPr>
        <w:footnoteReference w:id="23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والمنقِّلة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بتشدید القاف مکسورة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وهی التی تحوج إلی نقل العظم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بأن ینتقل عن محلّه إلی آخر أو یسقط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المنقِّلة ما یخرج منها عظام صغار </w:t>
      </w:r>
      <w:r>
        <w:rPr>
          <w:rStyle w:val="FootnoteAnchor"/>
          <w:rtl w:val="true"/>
        </w:rPr>
        <w:footnoteReference w:id="2316"/>
      </w:r>
      <w:r>
        <w:rPr>
          <w:rFonts w:ascii="IRNazanin" w:hAnsi="IRNazanin" w:eastAsia="IRNazanin"/>
          <w:color w:val="111111"/>
          <w:sz w:val="28"/>
          <w:sz w:val="28"/>
          <w:szCs w:val="28"/>
          <w:rtl w:val="true"/>
          <w:lang w:bidi="fa-IR"/>
        </w:rPr>
        <w:t xml:space="preserve">وأخذه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بالتحریک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وهی الحجارة الصغار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الجوهری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التی تنقِّل العظم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تکسره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یخرج منها فَراش العظام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الفاء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عظام رقاق تلی القِحْف </w:t>
      </w:r>
      <w:r>
        <w:rPr>
          <w:rStyle w:val="FootnoteAnchor"/>
          <w:rtl w:val="true"/>
        </w:rPr>
        <w:footnoteReference w:id="23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وفیها خمسة عشر بعیراً</w:t>
      </w:r>
      <w:r>
        <w:rPr>
          <w:rFonts w:eastAsia="IRNazanin" w:cs="IRNazanin"/>
          <w:color w:val="111111"/>
          <w:sz w:val="28"/>
          <w:szCs w:val="28"/>
          <w:rtl w:val="true"/>
          <w:lang w:bidi="fa-IR"/>
        </w:rPr>
        <w:t>» .</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والمأمومة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التی تبلغ اُمّ الرأس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أعنی الخریطة </w:t>
      </w:r>
      <w:r>
        <w:rPr>
          <w:rStyle w:val="FootnoteAnchor"/>
          <w:rtl w:val="true"/>
        </w:rPr>
        <w:footnoteReference w:id="2318"/>
      </w:r>
      <w:r>
        <w:rPr>
          <w:rFonts w:ascii="IRNazanin" w:hAnsi="IRNazanin" w:eastAsia="IRNazanin"/>
          <w:color w:val="111111"/>
          <w:sz w:val="28"/>
          <w:sz w:val="28"/>
          <w:szCs w:val="28"/>
          <w:rtl w:val="true"/>
          <w:lang w:bidi="fa-IR"/>
        </w:rPr>
        <w:t>التی تجمع الدِماغ</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بکسر الدال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 تفتقها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وفیها ثلاثة وثلاثون بعیراً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دلّت علیه صحیحة الحلبی </w:t>
      </w:r>
      <w:r>
        <w:rPr>
          <w:rStyle w:val="FootnoteAnchor"/>
          <w:rtl w:val="true"/>
        </w:rPr>
        <w:footnoteReference w:id="2319"/>
      </w:r>
      <w:r>
        <w:rPr>
          <w:rFonts w:ascii="IRNazanin" w:hAnsi="IRNazanin" w:eastAsia="IRNazanin"/>
          <w:color w:val="111111"/>
          <w:sz w:val="28"/>
          <w:sz w:val="28"/>
          <w:szCs w:val="28"/>
          <w:rtl w:val="true"/>
          <w:lang w:bidi="fa-IR"/>
        </w:rPr>
        <w:t xml:space="preserve">وغیره </w:t>
      </w:r>
      <w:r>
        <w:rPr>
          <w:rStyle w:val="FootnoteAnchor"/>
          <w:rtl w:val="true"/>
        </w:rPr>
        <w:footnoteReference w:id="23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کثیر من الأخبار </w:t>
      </w:r>
      <w:r>
        <w:rPr>
          <w:rStyle w:val="FootnoteAnchor"/>
          <w:rtl w:val="true"/>
        </w:rPr>
        <w:footnoteReference w:id="23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ومنها صحیحة معاویة بن وهب </w:t>
      </w:r>
      <w:r>
        <w:rPr>
          <w:rStyle w:val="FootnoteAnchor"/>
          <w:rtl w:val="true"/>
        </w:rPr>
        <w:footnoteReference w:id="23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فیها ثلث الدیة فیزید ثلث بعیر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وربما جُمع </w:t>
      </w:r>
      <w:r>
        <w:rPr>
          <w:rStyle w:val="FootnoteAnchor"/>
          <w:rtl w:val="true"/>
        </w:rPr>
        <w:footnoteReference w:id="2323"/>
      </w:r>
      <w:r>
        <w:rPr>
          <w:rFonts w:ascii="IRNazanin" w:hAnsi="IRNazanin" w:eastAsia="IRNazanin"/>
          <w:color w:val="111111"/>
          <w:sz w:val="28"/>
          <w:sz w:val="28"/>
          <w:szCs w:val="28"/>
          <w:rtl w:val="true"/>
          <w:lang w:bidi="fa-IR"/>
        </w:rPr>
        <w:t xml:space="preserve">بینها </w:t>
      </w:r>
      <w:r>
        <w:rPr>
          <w:rStyle w:val="FootnoteAnchor"/>
          <w:rtl w:val="true"/>
        </w:rPr>
        <w:footnoteReference w:id="2324"/>
      </w:r>
      <w:r>
        <w:rPr>
          <w:rFonts w:ascii="IRNazanin" w:hAnsi="IRNazanin" w:eastAsia="IRNazanin"/>
          <w:color w:val="111111"/>
          <w:sz w:val="28"/>
          <w:sz w:val="28"/>
          <w:szCs w:val="28"/>
          <w:rtl w:val="true"/>
          <w:lang w:bidi="fa-IR"/>
        </w:rPr>
        <w:t>بأنّ المراد بالثلث ما اُسقط منه الثلث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دفعها من غیر الإبل لزمه إکمال الثلث محرَّراً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والأقوی وجوب الثلث</w:t>
      </w:r>
      <w:r>
        <w:rPr>
          <w:rFonts w:eastAsia="IRNazanin" w:cs="IRNazanin"/>
          <w:color w:val="111111"/>
          <w:sz w:val="28"/>
          <w:szCs w:val="28"/>
          <w:rtl w:val="true"/>
          <w:lang w:bidi="fa-IR"/>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وأمّا الدامغة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التی تفتق الخریطة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الجامعة للدماغ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وتبعُد معها السلامة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w:t>
      </w:r>
      <w:r>
        <w:rPr>
          <w:rStyle w:val="FootnoteAnchor"/>
          <w:rtl w:val="true"/>
        </w:rPr>
        <w:footnoteReference w:id="2325"/>
      </w:r>
      <w:r>
        <w:rPr>
          <w:rFonts w:ascii="IRNazanin" w:hAnsi="IRNazanin" w:eastAsia="IRNazanin"/>
          <w:color w:val="111111"/>
          <w:sz w:val="28"/>
          <w:sz w:val="28"/>
          <w:szCs w:val="28"/>
          <w:rtl w:val="true"/>
          <w:lang w:bidi="fa-IR"/>
        </w:rPr>
        <w:t>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نّه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زیدت حکومة علی المأمومة </w:t>
      </w:r>
      <w:r>
        <w:rPr>
          <w:rStyle w:val="FootnoteAnchor"/>
          <w:rtl w:val="true"/>
        </w:rPr>
        <w:footnoteReference w:id="23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لوجوب الثلث بالاُمة </w:t>
      </w:r>
      <w:r>
        <w:rPr>
          <w:rStyle w:val="FootnoteAnchor"/>
          <w:rtl w:val="true"/>
        </w:rPr>
        <w:footnoteReference w:id="2327"/>
      </w:r>
      <w:r>
        <w:rPr>
          <w:rFonts w:ascii="IRNazanin" w:hAnsi="IRNazanin" w:eastAsia="IRNazanin"/>
          <w:color w:val="111111"/>
          <w:sz w:val="28"/>
          <w:sz w:val="28"/>
          <w:szCs w:val="28"/>
          <w:rtl w:val="true"/>
          <w:lang w:bidi="fa-IR"/>
        </w:rPr>
        <w:t>فلا بدّ لقطع الخریطة من حقّ آخر وهو غیر مقدّر فالحکومة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فهذه جملة الجراحات الثمانیة المختصّة بالرأس المشتملة علی تسعة أسماء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التوابع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الجائفة وهی الواصلة إلی الجوف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أیّ الجهات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من ثُغرة النحر وفیها ثلث 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بإضافة ثلث البعیر هنا اتّفاقاً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النافذة فی الأنف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بحیث تثقب المنخرین معاً ولا تنسدّ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ثلث الدیة، فإن صلحت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وانسدّت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فخمس الدیة</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النافذة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 المنخرین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خاصّة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 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صلحت وإلّا فسدس الدیة؛ لأنّها علی النصف فیهما </w:t>
      </w:r>
      <w:r>
        <w:rPr>
          <w:rStyle w:val="FootnoteAnchor"/>
          <w:rtl w:val="true"/>
        </w:rPr>
        <w:footnoteReference w:id="2328"/>
      </w:r>
      <w:r>
        <w:rPr>
          <w:rFonts w:ascii="IRNazanin" w:hAnsi="IRNazanin" w:eastAsia="IRNazanin"/>
          <w:color w:val="111111"/>
          <w:sz w:val="28"/>
          <w:sz w:val="28"/>
          <w:szCs w:val="28"/>
          <w:rtl w:val="true"/>
          <w:lang w:bidi="fa-IR"/>
        </w:rPr>
        <w:t xml:space="preserve">والمستند کتاب ظریف </w:t>
      </w:r>
      <w:r>
        <w:rPr>
          <w:rStyle w:val="FootnoteAnchor"/>
          <w:rtl w:val="true"/>
        </w:rPr>
        <w:footnoteReference w:id="2329"/>
      </w:r>
      <w:r>
        <w:rPr>
          <w:rFonts w:ascii="IRNazanin" w:hAnsi="IRNazanin" w:eastAsia="IRNazanin"/>
          <w:color w:val="111111"/>
          <w:sz w:val="28"/>
          <w:sz w:val="28"/>
          <w:szCs w:val="28"/>
          <w:rtl w:val="true"/>
          <w:lang w:bidi="fa-IR"/>
        </w:rPr>
        <w:t>لکنّه أطلق العشر فی أحدهما کما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والتفصیل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للعلّامة </w:t>
      </w:r>
      <w:r>
        <w:rPr>
          <w:rStyle w:val="FootnoteAnchor"/>
          <w:rtl w:val="true"/>
        </w:rPr>
        <w:footnoteReference w:id="23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شقّ الشفتین حتّی تبدو الأسنان ثلث دیتهما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استوعبهما الشقّ أم 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برأت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الجراحة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فخمس دیتهما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وفی شقّ إحداهما ثلث دیتها </w:t>
      </w:r>
      <w:r>
        <w:rPr>
          <w:rStyle w:val="FootnoteAnchor"/>
          <w:rtl w:val="true"/>
        </w:rPr>
        <w:footnoteReference w:id="2331"/>
      </w:r>
      <w:r>
        <w:rPr>
          <w:rFonts w:ascii="IRNazanin" w:hAnsi="IRNazanin" w:eastAsia="IRNazanin"/>
          <w:color w:val="111111"/>
          <w:sz w:val="28"/>
          <w:sz w:val="28"/>
          <w:szCs w:val="28"/>
          <w:rtl w:val="true"/>
          <w:lang w:bidi="fa-IR"/>
        </w:rPr>
        <w:t xml:space="preserve">إن لم تبرأ، فإن برأت فخمسها </w:t>
      </w:r>
      <w:r>
        <w:rPr>
          <w:rStyle w:val="FootnoteAnchor"/>
          <w:rtl w:val="true"/>
        </w:rPr>
        <w:footnoteReference w:id="2332"/>
      </w:r>
      <w:r>
        <w:rPr>
          <w:rFonts w:ascii="IRNazanin" w:hAnsi="IRNazanin" w:eastAsia="IRNazanin"/>
          <w:color w:val="111111"/>
          <w:sz w:val="28"/>
          <w:sz w:val="28"/>
          <w:szCs w:val="28"/>
          <w:rtl w:val="true"/>
          <w:lang w:bidi="fa-IR"/>
        </w:rPr>
        <w:t xml:space="preserve">استناداً إلی کتاب ظریف </w:t>
      </w:r>
      <w:r>
        <w:rPr>
          <w:rStyle w:val="FootnoteAnchor"/>
          <w:rtl w:val="true"/>
        </w:rPr>
        <w:footnoteReference w:id="2333"/>
      </w:r>
      <w:r>
        <w:rPr>
          <w:rFonts w:eastAsia="Times New Roman" w:cs="Times New Roman" w:ascii="Times New Roman" w:hAnsi="Times New Roman"/>
          <w:color w:val="111111"/>
          <w:sz w:val="28"/>
          <w:szCs w:val="28"/>
          <w:rtl w:val="true"/>
          <w:lang w:val="en-US" w:bidi="en-US"/>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احمرار الوجه بالجنایة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لطمة وشبهها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دینار ونصف، وفی اخضراره ثلاثة دنانیر، وفی اسوداده ستّة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لروایة إسحاق بن عمّار </w:t>
      </w:r>
      <w:r>
        <w:rPr>
          <w:rStyle w:val="FootnoteAnchor"/>
          <w:rtl w:val="true"/>
        </w:rPr>
        <w:footnoteReference w:id="23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المشهور أنّ هذه الجنایات الثلاث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البدن علی النصف </w:t>
      </w:r>
      <w:r>
        <w:rPr>
          <w:rStyle w:val="FootnoteAnchor"/>
          <w:rtl w:val="true"/>
        </w:rPr>
        <w:footnoteReference w:id="23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والروایة خالیة عنه </w:t>
      </w:r>
      <w:r>
        <w:rPr>
          <w:rStyle w:val="FootnoteAnchor"/>
          <w:rtl w:val="true"/>
        </w:rPr>
        <w:footnoteReference w:id="2336"/>
      </w:r>
      <w:r>
        <w:rPr>
          <w:rFonts w:ascii="IRNazanin" w:hAnsi="IRNazanin" w:eastAsia="IRNazanin"/>
          <w:color w:val="111111"/>
          <w:sz w:val="28"/>
          <w:sz w:val="28"/>
          <w:szCs w:val="28"/>
          <w:rtl w:val="true"/>
          <w:lang w:bidi="fa-IR"/>
        </w:rPr>
        <w:t xml:space="preserve">وظاهرها أنّ ذلک یثبت بوجود أثر اللطمة ونحوها فی الوجه وإن لم یستوعبه ولم یدم فیه </w:t>
      </w:r>
      <w:r>
        <w:rPr>
          <w:rStyle w:val="FootnoteAnchor"/>
          <w:rtl w:val="true"/>
        </w:rPr>
        <w:footnoteReference w:id="23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وربما قیل باشتراط الدوام، وإلّا فالأرش </w:t>
      </w:r>
      <w:r>
        <w:rPr>
          <w:rStyle w:val="FootnoteAnchor"/>
          <w:rtl w:val="true"/>
        </w:rPr>
        <w:footnoteReference w:id="2338"/>
      </w:r>
      <w:r>
        <w:rPr>
          <w:rFonts w:ascii="IRNazanin" w:hAnsi="IRNazanin" w:eastAsia="IRNazanin"/>
          <w:color w:val="111111"/>
          <w:sz w:val="28"/>
          <w:sz w:val="28"/>
          <w:szCs w:val="28"/>
          <w:rtl w:val="true"/>
          <w:lang w:bidi="fa-IR"/>
        </w:rPr>
        <w:t xml:space="preserve">ولو قیل بالأرش مطلقاً لضعف المستند </w:t>
      </w:r>
      <w:r>
        <w:rPr>
          <w:rStyle w:val="FootnoteAnchor"/>
          <w:rtl w:val="true"/>
        </w:rPr>
        <w:footnoteReference w:id="23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لم یکن إجماع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حسناً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تعدّی حکم المرویّ إلی غیره من الأعضاء التی دیته أقلّ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کالید والرجل بل الإصبع </w:t>
      </w:r>
      <w:r>
        <w:rPr>
          <w:rStyle w:val="FootnoteAnchor"/>
          <w:rtl w:val="true"/>
        </w:rPr>
        <w:footnoteReference w:id="23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تقدیره فهل یجب فیه بنسبة دیته إلی دیة الوجه أم بنسبة ما وجب فی البدن إلی الوجه؟ وجهان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ولمّا ضعف مأخذ الأصل کان إثبات مثل هذه الأحکام أضعف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وإطلاق الحکم یشمل الذکر والاُنثی، فیتساویان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وسیأتی التنبیه علیه 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ودیة الشجاج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المتقدّمة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الوجه والرأس سواء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تقرّر من أ نّها لا تطلق إلّاعلیها</w:t>
      </w:r>
      <w:r>
        <w:rPr>
          <w:rFonts w:eastAsia="IRNazanin" w:cs="IRNazanin"/>
          <w:color w:val="111111"/>
          <w:sz w:val="28"/>
          <w:szCs w:val="28"/>
          <w:rtl w:val="true"/>
          <w:lang w:bidi="fa-IR"/>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البدن بنسبة دیة العضو إلی الرأس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حارصة الید نصف بعیر،</w:t>
      </w:r>
    </w:p>
    <w:p>
      <w:pPr>
        <w:pStyle w:val="BookText"/>
        <w:rPr/>
      </w:pPr>
      <w:r>
        <w:rPr>
          <w:rFonts w:ascii="IRNazanin" w:hAnsi="IRNazanin" w:eastAsia="IRNazanin"/>
          <w:color w:val="111111"/>
          <w:sz w:val="28"/>
          <w:sz w:val="28"/>
          <w:szCs w:val="28"/>
          <w:rtl w:val="true"/>
          <w:lang w:bidi="fa-IR"/>
        </w:rPr>
        <w:t>وفیها فی أنملة إبهامها نصف عشرة، وهکذا</w:t>
      </w:r>
      <w:r>
        <w:rPr>
          <w:rFonts w:eastAsia="IRNazanin" w:cs="IRNazanin"/>
          <w:color w:val="111111"/>
          <w:sz w:val="28"/>
          <w:szCs w:val="28"/>
          <w:rtl w:val="true"/>
          <w:lang w:bidi="fa-IR"/>
        </w:rPr>
        <w:t>.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النافذة فی شیء من أطراف الرَجُل مئة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قول الشیخ </w:t>
      </w:r>
      <w:r>
        <w:rPr>
          <w:rStyle w:val="FootnoteAnchor"/>
          <w:rtl w:val="true"/>
        </w:rPr>
        <w:footnoteReference w:id="2341"/>
      </w:r>
      <w:r>
        <w:rPr>
          <w:rFonts w:ascii="Amiri" w:hAnsi="Amiri" w:eastAsia="Amiri" w:cs="Amiri"/>
          <w:color w:val="111111"/>
          <w:sz w:val="28"/>
          <w:sz w:val="28"/>
          <w:szCs w:val="28"/>
          <w:rtl w:val="true"/>
          <w:lang w:bidi="ar-SA"/>
        </w:rPr>
        <w:t xml:space="preserve">وجماعة </w:t>
      </w:r>
      <w:r>
        <w:rPr>
          <w:rStyle w:val="FootnoteAnchor"/>
          <w:rtl w:val="true"/>
        </w:rPr>
        <w:footnoteReference w:id="2342"/>
      </w:r>
      <w:r>
        <w:rPr>
          <w:rFonts w:ascii="IRNazanin" w:hAnsi="IRNazanin" w:eastAsia="IRNazanin"/>
          <w:color w:val="111111"/>
          <w:sz w:val="28"/>
          <w:sz w:val="28"/>
          <w:szCs w:val="28"/>
          <w:rtl w:val="true"/>
          <w:lang w:bidi="fa-IR"/>
        </w:rPr>
        <w:t xml:space="preserve">ولم نقف علی مستنده </w:t>
      </w:r>
      <w:r>
        <w:rPr>
          <w:rStyle w:val="FootnoteAnchor"/>
          <w:rtl w:val="true"/>
        </w:rPr>
        <w:footnoteReference w:id="2343"/>
      </w:r>
      <w:r>
        <w:rPr>
          <w:rFonts w:ascii="IRNazanin" w:hAnsi="IRNazanin" w:eastAsia="IRNazanin"/>
          <w:color w:val="111111"/>
          <w:sz w:val="28"/>
          <w:sz w:val="28"/>
          <w:szCs w:val="28"/>
          <w:rtl w:val="true"/>
          <w:lang w:bidi="fa-IR"/>
        </w:rPr>
        <w:t>وهو مع ذلک یشکل بما لو کانت دیة الطرف تقصر عن المئة کالأنملة؛ إذ یلزم زیادة دیة النافذة فیها علی دیتها، بل علی دیة أنملتین حیث یشتمل الإصبع علی ثلاث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وربما خصّها بعضهم بعضو فیه کمال الدیة </w:t>
      </w:r>
      <w:r>
        <w:rPr>
          <w:rStyle w:val="FootnoteAnchor"/>
          <w:rtl w:val="true"/>
        </w:rPr>
        <w:footnoteReference w:id="2344"/>
      </w:r>
      <w:r>
        <w:rPr>
          <w:rFonts w:ascii="IRNazanin" w:hAnsi="IRNazanin" w:eastAsia="IRNazanin"/>
          <w:color w:val="111111"/>
          <w:sz w:val="28"/>
          <w:sz w:val="28"/>
          <w:szCs w:val="28"/>
          <w:rtl w:val="true"/>
          <w:lang w:bidi="fa-IR"/>
        </w:rPr>
        <w:t>ولا بأس به إن تعیّن العمل بأصله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ویعضده أنّ الموجود فی کتاب ظریف لیس مطلقاً کما ذکروه، بل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فی الخدّ إذا کانت فیه نافذة ویُری منها جوف الفم فدیتها مئة دینار</w:t>
      </w:r>
      <w:r>
        <w:rPr>
          <w:rFonts w:eastAsia="IRNazanin" w:cs="IRNazanin"/>
          <w:color w:val="111111"/>
          <w:sz w:val="28"/>
          <w:szCs w:val="28"/>
          <w:rtl w:val="true"/>
          <w:lang w:bidi="fa-IR"/>
        </w:rPr>
        <w:t xml:space="preserve">» </w:t>
      </w:r>
      <w:r>
        <w:rPr>
          <w:rStyle w:val="FootnoteAnchor"/>
          <w:rtl w:val="true"/>
        </w:rPr>
        <w:footnoteReference w:id="23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وتخصیصهم الحکم بالرجل یقتضی أنّ المرأة لیست کذلک، فیحتمل الرجوع فیها إلی الأصل من الأرش أو حکم الشجاج بالنسبة وثبوت خمسین دیناراً علی النصف کالدیة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بعض فتاوی المصنّف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الاُنثی کالذکر فی ذلک </w:t>
      </w:r>
      <w:r>
        <w:rPr>
          <w:rStyle w:val="FootnoteAnchor"/>
          <w:rtl w:val="true"/>
        </w:rPr>
        <w:footnoteReference w:id="2346"/>
      </w:r>
      <w:r>
        <w:rPr>
          <w:rFonts w:ascii="IRNazanin" w:hAnsi="IRNazanin" w:eastAsia="IRNazanin"/>
          <w:color w:val="111111"/>
          <w:sz w:val="28"/>
          <w:sz w:val="28"/>
          <w:szCs w:val="28"/>
          <w:rtl w:val="true"/>
          <w:lang w:bidi="fa-IR"/>
        </w:rPr>
        <w:t>ففی نافذتها مئة دینار 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وکلّ ما ذکر من الدینار فهو منسوب إلی صاحب الدیة التامّة والمرأة الکاملة، وفی العبد والذمّی بنسبتها إلی النفس</w:t>
      </w:r>
      <w:r>
        <w:rPr>
          <w:rFonts w:eastAsia="IRNazanin" w:cs="IRNazanin"/>
          <w:color w:val="111111"/>
          <w:sz w:val="28"/>
          <w:szCs w:val="28"/>
          <w:rtl w:val="true"/>
          <w:lang w:bidi="fa-IR"/>
        </w:rPr>
        <w:t>» .</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کتب المصنّف علی الکتاب فی تفسیر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ما ذکر فیه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الدینار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الأبعاض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کالنافذة والاحمرار والاخضرار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واجب للرجل الکامل، والمرأة الکاملة، فإذا اتّفق فی ذمّی أو عبد اُخذ بالنسبة، مثلاً النافذة فیها مئة دینار، ففی الذمّی ثمانیة دنانیر، وفی العبد عشر قیمته، وکذا الباقی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ومعنی الحکومة والأرش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لا تقدیر لدیته واحد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المجنیّ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مملوکاً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کان حرّاً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تقدیراً صحیحاً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الوصف المشتمل علیه حالة الجنایة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وبالجنایة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وتنسب إحدی القیمتین إلی الاُخری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ویؤخذ من 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دیة المجنیّ علیه کیف اتّفقت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بنسبته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فلو قوّم عبداً صحیحاً بعشرة ومعیباً بتسعة وجب للجنایة عشر دیة الحرّ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ویجعل العبد أصلاً للحرّ فی ذلک، کما أنّ الحرّ أصل له فی المقدّر، ولو کان المجنیّ علیه مملوکاً استحقّ مولاه التفاوت بین القیمتین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لم ینقص بالجنایة کقطع السِلَع </w:t>
      </w:r>
      <w:r>
        <w:rPr>
          <w:rStyle w:val="FootnoteAnchor"/>
          <w:rtl w:val="true"/>
        </w:rPr>
        <w:footnoteReference w:id="2347"/>
      </w:r>
      <w:r>
        <w:rPr>
          <w:rFonts w:ascii="IRNazanin" w:hAnsi="IRNazanin" w:eastAsia="IRNazanin"/>
          <w:color w:val="111111"/>
          <w:sz w:val="28"/>
          <w:sz w:val="28"/>
          <w:szCs w:val="28"/>
          <w:rtl w:val="true"/>
          <w:lang w:bidi="fa-IR"/>
        </w:rPr>
        <w:t xml:space="preserve">والذکر </w:t>
      </w:r>
      <w:r>
        <w:rPr>
          <w:rStyle w:val="FootnoteAnchor"/>
          <w:rtl w:val="true"/>
        </w:rPr>
        <w:footnoteReference w:id="2348"/>
      </w:r>
      <w:r>
        <w:rPr>
          <w:rFonts w:ascii="IRNazanin" w:hAnsi="IRNazanin" w:eastAsia="IRNazanin"/>
          <w:color w:val="111111"/>
          <w:sz w:val="28"/>
          <w:sz w:val="28"/>
          <w:szCs w:val="28"/>
          <w:rtl w:val="true"/>
          <w:lang w:bidi="fa-IR"/>
        </w:rPr>
        <w:t xml:space="preserve">ولحیة المرأة فلا شیء، إلّاأن ینقص حین الجنایة بسبب الألم فیجب ما لم یستوعب القیمة ففیه ما مرّ </w:t>
      </w:r>
      <w:r>
        <w:rPr>
          <w:rStyle w:val="FootnoteAnchor"/>
          <w:rtl w:val="true"/>
        </w:rPr>
        <w:footnoteReference w:id="23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ولو کان المجنیّ علیه قتلاً أو جرحاً خنثی مشکلاً، ففیه نصف دیة ذکر ونصف دیة اُنثی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ویحتمل دیة اُنثی؛ لأنّه المتیقّن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وجرحه فیما لا یبلغ ثلث الدیة کجرح الذکر کالاُنثی، وفیما بلغه ثلاثة أرباع دیة الذکر بحسبه</w:t>
      </w:r>
      <w:r>
        <w:rPr>
          <w:rFonts w:eastAsia="IRNazanin" w:cs="IRNazanin"/>
          <w:color w:val="111111"/>
          <w:sz w:val="28"/>
          <w:szCs w:val="28"/>
          <w:rtl w:val="true"/>
          <w:lang w:bidi="fa-IR"/>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لا ولیّ له فالحاکم ولیّه یقتصّ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المتعمّد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ویأخذ الدیة فی الخطأ والشبیه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والقائل الشیخ </w:t>
      </w:r>
      <w:r>
        <w:rPr>
          <w:rStyle w:val="FootnoteAnchor"/>
          <w:rtl w:val="true"/>
        </w:rPr>
        <w:footnoteReference w:id="2350"/>
      </w:r>
      <w:r>
        <w:rPr>
          <w:rFonts w:ascii="IRNazanin" w:hAnsi="IRNazanin" w:eastAsia="IRNazanin"/>
          <w:color w:val="111111"/>
          <w:sz w:val="28"/>
          <w:sz w:val="28"/>
          <w:szCs w:val="28"/>
          <w:rtl w:val="true"/>
          <w:lang w:bidi="fa-IR"/>
        </w:rPr>
        <w:t xml:space="preserve">وأتباعه </w:t>
      </w:r>
      <w:r>
        <w:rPr>
          <w:rStyle w:val="FootnoteAnchor"/>
          <w:rtl w:val="true"/>
        </w:rPr>
        <w:footnoteReference w:id="2351"/>
      </w:r>
      <w:r>
        <w:rPr>
          <w:rFonts w:ascii="Amiri" w:hAnsi="Amiri" w:eastAsia="Amiri" w:cs="Amiri"/>
          <w:color w:val="111111"/>
          <w:sz w:val="28"/>
          <w:sz w:val="28"/>
          <w:szCs w:val="28"/>
          <w:rtl w:val="true"/>
          <w:lang w:bidi="ar-SA"/>
        </w:rPr>
        <w:t xml:space="preserve">والمحقّق </w:t>
      </w:r>
      <w:r>
        <w:rPr>
          <w:rStyle w:val="FootnoteAnchor"/>
          <w:rtl w:val="true"/>
        </w:rPr>
        <w:footnoteReference w:id="2352"/>
      </w:r>
      <w:r>
        <w:rPr>
          <w:rFonts w:ascii="Amiri" w:hAnsi="Amiri" w:eastAsia="Amiri" w:cs="Amiri"/>
          <w:color w:val="111111"/>
          <w:sz w:val="28"/>
          <w:sz w:val="28"/>
          <w:szCs w:val="28"/>
          <w:rtl w:val="true"/>
          <w:lang w:bidi="ar-SA"/>
        </w:rPr>
        <w:t xml:space="preserve">والعلّامة </w:t>
      </w:r>
      <w:r>
        <w:rPr>
          <w:rStyle w:val="FootnoteAnchor"/>
          <w:rtl w:val="true"/>
        </w:rPr>
        <w:footnoteReference w:id="2353"/>
      </w:r>
      <w:r>
        <w:rPr>
          <w:rFonts w:ascii="IRNazanin" w:hAnsi="IRNazanin" w:eastAsia="IRNazanin"/>
          <w:color w:val="111111"/>
          <w:sz w:val="28"/>
          <w:sz w:val="28"/>
          <w:szCs w:val="28"/>
          <w:rtl w:val="true"/>
          <w:lang w:bidi="fa-IR"/>
        </w:rPr>
        <w:t>بل کاد یکون إجماعاً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له العفو عن القصاص ولا 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لصحیحة أبی ولّاد عن الصادق علیه السلام فی الرجل یقتل ولیس له ولیّ إلّاالإمام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نّه لیس للإمام أن یعفو، وله أن یقتل ویأخذ الدیة</w:t>
      </w:r>
      <w:r>
        <w:rPr>
          <w:rFonts w:eastAsia="IRNazanin" w:cs="IRNazanin"/>
          <w:color w:val="111111"/>
          <w:sz w:val="28"/>
          <w:szCs w:val="28"/>
          <w:rtl w:val="true"/>
          <w:lang w:bidi="fa-IR"/>
        </w:rPr>
        <w:t xml:space="preserve">» </w:t>
      </w:r>
      <w:r>
        <w:rPr>
          <w:rStyle w:val="FootnoteAnchor"/>
          <w:rtl w:val="true"/>
        </w:rPr>
        <w:footnoteReference w:id="2354"/>
      </w:r>
      <w:r>
        <w:rPr>
          <w:rFonts w:ascii="IRNazanin" w:hAnsi="IRNazanin" w:eastAsia="IRNazanin"/>
          <w:color w:val="111111"/>
          <w:sz w:val="28"/>
          <w:sz w:val="28"/>
          <w:szCs w:val="28"/>
          <w:rtl w:val="true"/>
          <w:lang w:bidi="fa-IR"/>
        </w:rPr>
        <w:t>وهو یتناول العمد والخطأ</w:t>
      </w:r>
      <w:r>
        <w:rPr>
          <w:rFonts w:eastAsia="IRNazanin" w:cs="IRNazanin"/>
          <w:color w:val="111111"/>
          <w:sz w:val="28"/>
          <w:szCs w:val="28"/>
          <w:rtl w:val="true"/>
          <w:lang w:bidi="fa-IR"/>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وذهب ابن إدریس إلی جواز عفوه عن القصاص والدیة </w:t>
      </w:r>
      <w:r>
        <w:rPr>
          <w:rStyle w:val="FootnoteAnchor"/>
          <w:rtl w:val="true"/>
        </w:rPr>
        <w:footnoteReference w:id="2355"/>
      </w:r>
      <w:r>
        <w:rPr>
          <w:rFonts w:ascii="IRNazanin" w:hAnsi="IRNazanin" w:eastAsia="IRNazanin"/>
          <w:color w:val="111111"/>
          <w:sz w:val="28"/>
          <w:sz w:val="28"/>
          <w:szCs w:val="28"/>
          <w:rtl w:val="true"/>
          <w:lang w:bidi="fa-IR"/>
        </w:rPr>
        <w:t>کغیره من الأولیاء، بل هو أولی بالحکم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ویظهر من المصنّف المیل إلیه حیث جعل المنع قولاً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وحیث کانت الروایة صحیحة وقد عمل بها الأکثر فلا وجه للعدول عنها</w:t>
      </w:r>
      <w:r>
        <w:rPr>
          <w:rFonts w:eastAsia="IRNazanin" w:cs="IRNazanin"/>
          <w:color w:val="111111"/>
          <w:sz w:val="28"/>
          <w:szCs w:val="28"/>
          <w:rtl w:val="true"/>
          <w:lang w:bidi="fa-IR"/>
        </w:rPr>
        <w:t>.</w:t>
      </w:r>
      <w:bookmarkStart w:id="814" w:name="pg19815_253534"/>
    </w:p>
    <w:p>
      <w:pPr>
        <w:pStyle w:val="Heading3"/>
        <w:numPr>
          <w:ilvl w:val="2"/>
          <w:numId w:val="1"/>
        </w:numPr>
        <w:rPr/>
      </w:pPr>
      <w:bookmarkStart w:id="815" w:name="__RefHeading___Toc2228287_2314609296"/>
      <w:bookmarkStart w:id="816" w:name="_Toc306"/>
      <w:bookmarkEnd w:id="814"/>
      <w:bookmarkEnd w:id="815"/>
      <w:r>
        <w:rPr>
          <w:rtl w:val="true"/>
        </w:rPr>
        <w:t>«</w:t>
      </w:r>
      <w:r>
        <w:rPr>
          <w:rtl w:val="true"/>
        </w:rPr>
        <w:t>الفصل الرابع</w:t>
      </w:r>
      <w:r>
        <w:rPr>
          <w:rtl w:val="true"/>
        </w:rPr>
        <w:t>» «</w:t>
      </w:r>
      <w:r>
        <w:rPr>
          <w:rtl w:val="true"/>
        </w:rPr>
        <w:t>فی التوابع</w:t>
      </w:r>
      <w:r>
        <w:rPr>
          <w:rtl w:val="true"/>
        </w:rPr>
        <w:t>»</w:t>
      </w:r>
      <w:bookmarkEnd w:id="816"/>
    </w:p>
    <w:p>
      <w:pPr>
        <w:pStyle w:val="Heading4"/>
        <w:numPr>
          <w:ilvl w:val="3"/>
          <w:numId w:val="1"/>
        </w:numPr>
        <w:rPr/>
      </w:pPr>
      <w:bookmarkStart w:id="817" w:name="__RefHeading___Toc2228289_2314609296"/>
      <w:bookmarkStart w:id="818" w:name="_Toc307"/>
      <w:bookmarkEnd w:id="817"/>
      <w:r>
        <w:rPr>
          <w:rtl w:val="true"/>
        </w:rPr>
        <w:t>اشارة</w:t>
      </w:r>
      <w:bookmarkEnd w:id="81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وهی أربعة</w:t>
      </w:r>
      <w:r>
        <w:rPr>
          <w:rFonts w:eastAsia="IRNazanin" w:cs="IRNazanin"/>
          <w:color w:val="111111"/>
          <w:sz w:val="28"/>
          <w:szCs w:val="28"/>
          <w:rtl w:val="true"/>
          <w:lang w:bidi="fa-IR"/>
        </w:rPr>
        <w:t>» :</w:t>
      </w:r>
    </w:p>
    <w:p>
      <w:pPr>
        <w:pStyle w:val="Heading4"/>
        <w:numPr>
          <w:ilvl w:val="3"/>
          <w:numId w:val="1"/>
        </w:numPr>
        <w:rPr/>
      </w:pPr>
      <w:bookmarkStart w:id="819" w:name="__RefHeading___Toc2228291_2314609296"/>
      <w:bookmarkStart w:id="820" w:name="_Toc308"/>
      <w:bookmarkEnd w:id="819"/>
      <w:r>
        <w:rPr>
          <w:rtl w:val="true"/>
        </w:rPr>
        <w:t>«</w:t>
      </w:r>
      <w:r>
        <w:rPr>
          <w:rtl w:val="true"/>
        </w:rPr>
        <w:t>الأوّل</w:t>
      </w:r>
      <w:r>
        <w:rPr>
          <w:rtl w:val="true"/>
        </w:rPr>
        <w:t xml:space="preserve">: </w:t>
      </w:r>
      <w:r>
        <w:rPr>
          <w:rtl w:val="true"/>
        </w:rPr>
        <w:t>فی دیة الجنین</w:t>
      </w:r>
      <w:r>
        <w:rPr>
          <w:rtl w:val="true"/>
        </w:rPr>
        <w:t>»</w:t>
      </w:r>
      <w:bookmarkEnd w:id="820"/>
    </w:p>
    <w:p>
      <w:pPr>
        <w:pStyle w:val="BookText"/>
        <w:rPr/>
      </w:pPr>
      <w:r>
        <w:rPr>
          <w:rFonts w:ascii="IRNazanin" w:hAnsi="IRNazanin" w:eastAsia="IRNazanin"/>
          <w:color w:val="111111"/>
          <w:sz w:val="28"/>
          <w:sz w:val="28"/>
          <w:szCs w:val="28"/>
          <w:rtl w:val="true"/>
          <w:lang w:bidi="fa-IR"/>
        </w:rPr>
        <w:t>وهو الحمل فی بطن اُمّه، سمّی به لاستتاره فیه، من الاجتنان وهو الستر، فهو بمعنی المفعول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النطفة إذا استقرّت فی الرحم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واستعدّت للنشوء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عشرون دیناراً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ویکفی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ثبوت العشرین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مجرّد الإلقاء فی الرحم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تحقّق الاستقرار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أفزعه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أفزع المجامع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المدلول علیه بالمقام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مفزع وإن کان هو المرأة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فعزل فعشرة دنانیر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الزوجین أثلاثاً</w:t>
      </w:r>
      <w:r>
        <w:rPr>
          <w:rFonts w:eastAsia="IRNazanin" w:cs="IRNazanin"/>
          <w:color w:val="111111"/>
          <w:sz w:val="28"/>
          <w:szCs w:val="28"/>
          <w:rtl w:val="true"/>
          <w:lang w:bidi="fa-IR"/>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ولو کان المُفزع المرأة فلا شیء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انعکس، انعکس إن قلنا بوجوب الدیة علیه مع العزل اختیاراً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الأقوی عدمه وجواز الفعل، وقد تقدّم </w:t>
      </w:r>
      <w:r>
        <w:rPr>
          <w:rStyle w:val="FootnoteAnchor"/>
          <w:rtl w:val="true"/>
        </w:rPr>
        <w:footnoteReference w:id="23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العَلَقة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القطعة من الدم تتحوّل إلیها النطفة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أربعون دیناراً</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المُضغة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القطعة من اللحم بقدر ما یمضغ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العظم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ابتداء تخلّقه من المضغة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التامّ الخلقة قبل ولوج الروح فیه مئة دینار، ذکراً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اُنثی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ومستند التفصیل أخبار کثیرة </w:t>
      </w:r>
      <w:r>
        <w:rPr>
          <w:rStyle w:val="FootnoteAnchor"/>
          <w:rtl w:val="true"/>
        </w:rPr>
        <w:footnoteReference w:id="23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صحیحة محمّد بن مسلم عن أبی جعفر علیه السلام </w:t>
      </w:r>
      <w:r>
        <w:rPr>
          <w:rStyle w:val="FootnoteAnchor"/>
          <w:rtl w:val="true"/>
        </w:rPr>
        <w:footnoteReference w:id="23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متی لم تتمّ خلقته ففیه غرّة عبد أو أمة صحیحاً لا یبلغ الشیخوخة، ولا ینقص سنّه عن سبع سنین </w:t>
      </w:r>
      <w:r>
        <w:rPr>
          <w:rStyle w:val="FootnoteAnchor"/>
          <w:rtl w:val="true"/>
        </w:rPr>
        <w:footnoteReference w:id="2359"/>
      </w:r>
      <w:r>
        <w:rPr>
          <w:rFonts w:ascii="IRNazanin" w:hAnsi="IRNazanin" w:eastAsia="IRNazanin"/>
          <w:color w:val="111111"/>
          <w:sz w:val="28"/>
          <w:sz w:val="28"/>
          <w:szCs w:val="28"/>
          <w:rtl w:val="true"/>
          <w:lang w:bidi="fa-IR"/>
        </w:rPr>
        <w:t xml:space="preserve">لروایة أبی بصیر </w:t>
      </w:r>
      <w:r>
        <w:rPr>
          <w:rStyle w:val="FootnoteAnchor"/>
          <w:rtl w:val="true"/>
        </w:rPr>
        <w:footnoteReference w:id="2360"/>
      </w:r>
      <w:r>
        <w:rPr>
          <w:rFonts w:ascii="IRNazanin" w:hAnsi="IRNazanin" w:eastAsia="IRNazanin"/>
          <w:color w:val="111111"/>
          <w:sz w:val="28"/>
          <w:sz w:val="28"/>
          <w:szCs w:val="28"/>
          <w:rtl w:val="true"/>
          <w:lang w:bidi="fa-IR"/>
        </w:rPr>
        <w:t xml:space="preserve">وغیره </w:t>
      </w:r>
      <w:r>
        <w:rPr>
          <w:rStyle w:val="FootnoteAnchor"/>
          <w:rtl w:val="true"/>
        </w:rPr>
        <w:footnoteReference w:id="2361"/>
      </w:r>
      <w:r>
        <w:rPr>
          <w:rFonts w:ascii="Amiri" w:hAnsi="Amiri" w:eastAsia="Amiri" w:cs="Amiri"/>
          <w:color w:val="111111"/>
          <w:sz w:val="28"/>
          <w:sz w:val="28"/>
          <w:szCs w:val="28"/>
          <w:rtl w:val="true"/>
          <w:lang w:bidi="ar-SA"/>
        </w:rPr>
        <w:t>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أشهر فتویً، وأصحّ روایةً</w:t>
      </w:r>
      <w:r>
        <w:rPr>
          <w:rFonts w:eastAsia="Amiri" w:cs="Amiri" w:ascii="Amiri" w:hAnsi="Amiri"/>
          <w:color w:val="111111"/>
          <w:sz w:val="28"/>
          <w:szCs w:val="28"/>
          <w:rtl w:val="true"/>
          <w:lang w:bidi="ar-SA"/>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کان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ذمّیّاً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متولّداً عن ذمّیّ ملحقاً به </w:t>
      </w:r>
      <w:r>
        <w:rPr>
          <w:rStyle w:val="FootnoteAnchor"/>
          <w:rtl w:val="true"/>
        </w:rPr>
        <w:footnoteReference w:id="23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فثمانون درهماً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 دیة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المئة عُشر دیة المسلم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ضعیفاً </w:t>
      </w:r>
      <w:r>
        <w:rPr>
          <w:rStyle w:val="FootnoteAnchor"/>
          <w:rtl w:val="true"/>
        </w:rPr>
        <w:footnoteReference w:id="2363"/>
      </w:r>
    </w:p>
    <w:p>
      <w:pPr>
        <w:pStyle w:val="BookText"/>
        <w:rPr/>
      </w:pPr>
      <w:r>
        <w:rPr>
          <w:rFonts w:ascii="Amiri" w:hAnsi="Amiri" w:eastAsia="Amiri" w:cs="Amiri"/>
          <w:color w:val="111111"/>
          <w:sz w:val="28"/>
          <w:sz w:val="28"/>
          <w:szCs w:val="28"/>
          <w:rtl w:val="true"/>
          <w:lang w:bidi="ar-SA"/>
        </w:rPr>
        <w:t>عشر دیة اُمّه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کان مملوکاً فعشر قیمة الاُمّ المملوکة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ذکراً کان أم اُنثی مسلماً کان أم کافراً اعتباراً بالمالیّة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تعدّد ففی کلّ واحد عشر قیمتها کما تتعدّد دیته لو کان حرّاً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کفّارة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فی قتل الجنین فی جمیع أحواله؛ لأنّ وجوبها مشروط بحیاة القتیل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ولجته الروح فدیة کاملة للذکر، ونصف للاُنثی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خرج میّتاً مع تیقّن حیاته فی بطنها، فلو احتمل کون الحرکة لریح وشبهه </w:t>
      </w:r>
      <w:r>
        <w:rPr>
          <w:rStyle w:val="FootnoteAnchor"/>
          <w:rtl w:val="true"/>
        </w:rPr>
        <w:footnoteReference w:id="2364"/>
      </w:r>
      <w:r>
        <w:rPr>
          <w:rFonts w:ascii="Amiri" w:hAnsi="Amiri" w:eastAsia="Amiri" w:cs="Amiri"/>
          <w:color w:val="111111"/>
          <w:sz w:val="28"/>
          <w:sz w:val="28"/>
          <w:szCs w:val="28"/>
          <w:rtl w:val="true"/>
          <w:lang w:bidi="ar-SA"/>
        </w:rPr>
        <w:t>لم یُحکم بها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ومع الاشتباه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اشتباه حاله هل هو ذکر أو اُنثی فعلی الجانی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نصف الدیتین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دیة الذکر ودیة الاُنثی؛ لصحیحة عبد اللّٰه بن سنان </w:t>
      </w:r>
      <w:r>
        <w:rPr>
          <w:rStyle w:val="FootnoteAnchor"/>
          <w:rtl w:val="true"/>
        </w:rPr>
        <w:footnoteReference w:id="2365"/>
      </w:r>
      <w:r>
        <w:rPr>
          <w:rFonts w:ascii="IRNazanin" w:hAnsi="IRNazanin" w:eastAsia="IRNazanin"/>
          <w:color w:val="111111"/>
          <w:sz w:val="28"/>
          <w:sz w:val="28"/>
          <w:szCs w:val="28"/>
          <w:rtl w:val="true"/>
          <w:lang w:bidi="fa-IR"/>
        </w:rPr>
        <w:t xml:space="preserve">وغیرها </w:t>
      </w:r>
      <w:r>
        <w:rPr>
          <w:rStyle w:val="FootnoteAnchor"/>
          <w:rtl w:val="true"/>
        </w:rPr>
        <w:footnoteReference w:id="23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یقرع </w:t>
      </w:r>
      <w:r>
        <w:rPr>
          <w:rStyle w:val="FootnoteAnchor"/>
          <w:rtl w:val="true"/>
        </w:rPr>
        <w:footnoteReference w:id="2367"/>
      </w:r>
      <w:r>
        <w:rPr>
          <w:rFonts w:ascii="Amiri" w:hAnsi="Amiri" w:eastAsia="Amiri" w:cs="Amiri"/>
          <w:color w:val="111111"/>
          <w:sz w:val="28"/>
          <w:sz w:val="28"/>
          <w:szCs w:val="28"/>
          <w:rtl w:val="true"/>
          <w:lang w:bidi="ar-SA"/>
        </w:rPr>
        <w:t>لأنّها لکلّ أمر مشکل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ویضعَّف بأ نّه لا إشکال مع ورود النصّ الصحیح بذلک وعمل الأصحاب حتّی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إجماع </w:t>
      </w:r>
      <w:r>
        <w:rPr>
          <w:rStyle w:val="FootnoteAnchor"/>
          <w:rtl w:val="true"/>
        </w:rPr>
        <w:footnoteReference w:id="2368"/>
      </w:r>
      <w:r>
        <w:rPr>
          <w:rFonts w:eastAsia="Times New Roman" w:cs="Times New Roman" w:ascii="Times New Roman" w:hAnsi="Times New Roman"/>
          <w:color w:val="111111"/>
          <w:sz w:val="28"/>
          <w:szCs w:val="28"/>
          <w:rtl w:val="true"/>
          <w:lang w:val="en-US" w:bidi="en-US"/>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ویتحقّق الاشتباه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تموت المرأة ویموت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یخرج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العلم بسبق الحیاة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حیاة الجنین علی موته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سبق موته علی موت اُمّه وعدمه فلا أثر 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وتجب الکفّارة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بقتل الجنین حیث تلجه الروح کالمولود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مطلقاً </w:t>
      </w:r>
      <w:r>
        <w:rPr>
          <w:rStyle w:val="FootnoteAnchor"/>
          <w:rtl w:val="true"/>
        </w:rPr>
        <w:footnoteReference w:id="23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المباشرة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لقتله، لا مع التسبیب کغیره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أعضائه وجراحاته بالنسبة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دیته، ففی قطع یده خمسون دیناراً، وفی حارصته دینار، وهکذا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ولو لم یکن للجنایة مقدّر فالأرش، وهو تفاوت ما بین قیمته صحیحاً ومجنیّاً علیه بتلک الجنایة من دیته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ویرثه </w:t>
      </w:r>
      <w:r>
        <w:rPr>
          <w:rStyle w:val="FootnoteAnchor"/>
          <w:rtl w:val="true"/>
        </w:rPr>
        <w:footnoteReference w:id="2370"/>
      </w:r>
      <w:r>
        <w:rPr>
          <w:rFonts w:ascii="IRNazanin" w:hAnsi="IRNazanin" w:eastAsia="IRNazanin"/>
          <w:color w:val="111111"/>
          <w:sz w:val="28"/>
          <w:sz w:val="28"/>
          <w:szCs w:val="28"/>
          <w:rtl w:val="true"/>
          <w:lang w:bidi="fa-IR"/>
        </w:rPr>
        <w:t>وارث المال الأقرب فالأقرب</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وتعتبر قیمة الاُمّ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کانت أمة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الجنایة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لأنّها وقت تعلّق الضمان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الإجهاض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الإسقاط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دیة الجنین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مال الجانی إن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لا یقتل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شبیهاً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بالعمد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وإلّا ففی مال العاقلة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کالمولود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وحکمها فی التقسیط والتأجیل کغیره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قطع رأس المیّت المسلم الحرّ مئة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فی ذلک الرجل والمرأة والصغیر والکبیر؛ للإطلاق، والمستند أخبار کثیرة </w:t>
      </w:r>
      <w:r>
        <w:rPr>
          <w:rStyle w:val="FootnoteAnchor"/>
          <w:rtl w:val="true"/>
        </w:rPr>
        <w:footnoteReference w:id="2371"/>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حسنة سلیمان بن خالد عن أبی الحسن علیه السلام وفیها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دیته دیة الجنین فی بطن اُمّه قبل أن تنشأ فیه الروح</w:t>
      </w:r>
      <w:r>
        <w:rPr>
          <w:rFonts w:eastAsia="IRNazanin" w:cs="IRNazanin"/>
          <w:color w:val="111111"/>
          <w:sz w:val="28"/>
          <w:szCs w:val="28"/>
          <w:rtl w:val="true"/>
          <w:lang w:bidi="fa-IR"/>
        </w:rPr>
        <w:t xml:space="preserve">» </w:t>
      </w:r>
      <w:r>
        <w:rPr>
          <w:rStyle w:val="FootnoteAnchor"/>
          <w:rtl w:val="true"/>
        </w:rPr>
        <w:footnoteReference w:id="2372"/>
      </w:r>
      <w:r>
        <w:rPr>
          <w:rFonts w:ascii="IRNazanin" w:hAnsi="IRNazanin" w:eastAsia="IRNazanin"/>
          <w:color w:val="111111"/>
          <w:sz w:val="28"/>
          <w:sz w:val="28"/>
          <w:szCs w:val="28"/>
          <w:rtl w:val="true"/>
          <w:lang w:bidi="fa-IR"/>
        </w:rPr>
        <w:t>وقد عرفت أنّ الذکر والاُنثی فیه سواء</w:t>
      </w:r>
      <w:r>
        <w:rPr>
          <w:rFonts w:eastAsia="IRNazanin" w:cs="IRNazanin"/>
          <w:color w:val="111111"/>
          <w:sz w:val="28"/>
          <w:szCs w:val="28"/>
          <w:rtl w:val="true"/>
          <w:lang w:bidi="fa-IR"/>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خبر آخر رواه الکلینی مرسلاً عن الصادق علیه السلام أ نّه أفتی بذلک للمنصور حیث قطع بعض موالیه رأس آخر بعد موته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وعَلّل وجوب المئة بأنّ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النطفة عشرین دیناراً، وفی العلقة عشرین، وفی المضغة عشرین، وفی العظم عشرین،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أَنْشَأْنٰاهُ خَلْقاً آخَرَ</w:t>
      </w:r>
      <w:r>
        <w:rPr>
          <w:rFonts w:eastAsia="Amiri" w:cs="Amiri" w:ascii="Amiri" w:hAnsi="Amiri"/>
          <w:color w:val="111111"/>
          <w:sz w:val="28"/>
          <w:szCs w:val="28"/>
          <w:rtl w:val="true"/>
          <w:lang w:bidi="ar-SA"/>
        </w:rPr>
        <w:t xml:space="preserve">) </w:t>
      </w:r>
      <w:r>
        <w:rPr>
          <w:rStyle w:val="FootnoteAnchor"/>
          <w:rtl w:val="true"/>
        </w:rPr>
        <w:footnoteReference w:id="2373"/>
      </w:r>
      <w:r>
        <w:rPr>
          <w:rFonts w:ascii="IRNazanin" w:hAnsi="IRNazanin" w:eastAsia="IRNazanin"/>
          <w:color w:val="111111"/>
          <w:sz w:val="28"/>
          <w:sz w:val="28"/>
          <w:szCs w:val="28"/>
          <w:rtl w:val="true"/>
          <w:lang w:bidi="fa-IR"/>
        </w:rPr>
        <w:t>وهذا هو میّت بمنزلته قبل أن تنفخ فیه الروح فی بطن اُمّه جنیناً</w:t>
      </w:r>
      <w:r>
        <w:rPr>
          <w:rFonts w:eastAsia="IRNazanin" w:cs="IRNazanin"/>
          <w:color w:val="111111"/>
          <w:sz w:val="28"/>
          <w:szCs w:val="28"/>
          <w:rtl w:val="true"/>
          <w:lang w:bidi="fa-IR"/>
        </w:rPr>
        <w:t xml:space="preserve">» </w:t>
      </w:r>
      <w:r>
        <w:rPr>
          <w:rStyle w:val="FootnoteAnchor"/>
          <w:rtl w:val="true"/>
        </w:rPr>
        <w:footnoteReference w:id="23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شجاجه وجراحه بنسبته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قطع یده خمسون دیناراً، وفی قطع إصبعه عشرة دنانیر، وفی حارصته دینار، وهکذا</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وهذه الدیة لیست لورثته، 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تصرف فی وجوه القُرب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المیّت؛ للأخبار المذکورة، فارقاً فیها بینه وبین الجنین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تکون دیته لورثته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 الجنین مستقبل مرجوّ نفعه قابل للحیاة عادةً، بخلاف المیّت، فإنّه قد مضی وذهبت منفعته، فلمّا مُثّل به بعد موته صارت دیته بتلک المثلة له لا لغیره یحجّ بها عنه ویفعل بها أبواب البرّ والخیر من الصدقة وغیرها </w:t>
      </w:r>
      <w:r>
        <w:rPr>
          <w:rStyle w:val="FootnoteAnchor"/>
          <w:rtl w:val="true"/>
        </w:rPr>
        <w:footnoteReference w:id="23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تکون لبیت المال </w:t>
      </w:r>
      <w:r>
        <w:rPr>
          <w:rStyle w:val="FootnoteAnchor"/>
          <w:rtl w:val="true"/>
        </w:rPr>
        <w:footnoteReference w:id="2376"/>
      </w:r>
      <w:r>
        <w:rPr>
          <w:rFonts w:ascii="IRNazanin" w:hAnsi="IRNazanin" w:eastAsia="IRNazanin"/>
          <w:color w:val="111111"/>
          <w:sz w:val="28"/>
          <w:sz w:val="28"/>
          <w:szCs w:val="28"/>
          <w:rtl w:val="true"/>
          <w:lang w:bidi="fa-IR"/>
        </w:rPr>
        <w:t>والعمل علی ما دلّت علیه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لم یکن للجنایة مقدّر أخذ الأرش لو کان حیّاً منسوباً إلی 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لم یبن الرأس بل قطع ما لو کان حیّاً لم یعش مثله، فالظاهر وجوب مئة دینار أیضاً، عملاً بظاهر الأخبار</w:t>
      </w:r>
      <w:r>
        <w:rPr>
          <w:rFonts w:eastAsia="IRNazanin" w:cs="IRNazanin"/>
          <w:color w:val="111111"/>
          <w:sz w:val="28"/>
          <w:szCs w:val="28"/>
          <w:rtl w:val="true"/>
          <w:lang w:bidi="fa-IR"/>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وهل یفرق هنا بین العمد والخطأ کغیره حتّی الجنین؟ یحتمله؛ لإطلاق التفصیل فی الجنایة علی الآدمی وإن لم یکن حیّاً کالجنین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وعدمه بل یجب علی الجانی مطلقاً وقوفاً فیما خالف الأصل علی موضع الیقین، مؤیّداً بإطلاق الأخبار</w:t>
      </w:r>
    </w:p>
    <w:p>
      <w:pPr>
        <w:pStyle w:val="BookText"/>
        <w:rPr/>
      </w:pPr>
      <w:r>
        <w:rPr>
          <w:rFonts w:ascii="IRNazanin" w:hAnsi="IRNazanin" w:eastAsia="IRNazanin"/>
          <w:color w:val="111111"/>
          <w:sz w:val="28"/>
          <w:sz w:val="28"/>
          <w:szCs w:val="28"/>
          <w:rtl w:val="true"/>
          <w:lang w:bidi="fa-IR"/>
        </w:rPr>
        <w:t xml:space="preserve">والفتوی بأنّ الدیة علی الجانی مع ترک الاستفصال فی واقعة الحال </w:t>
      </w:r>
      <w:r>
        <w:rPr>
          <w:rStyle w:val="FootnoteAnchor"/>
          <w:rtl w:val="true"/>
        </w:rPr>
        <w:footnoteReference w:id="2377"/>
      </w:r>
      <w:r>
        <w:rPr>
          <w:rFonts w:ascii="IRNazanin" w:hAnsi="IRNazanin" w:eastAsia="IRNazanin"/>
          <w:color w:val="111111"/>
          <w:sz w:val="28"/>
          <w:sz w:val="28"/>
          <w:szCs w:val="28"/>
          <w:rtl w:val="true"/>
          <w:lang w:bidi="fa-IR"/>
        </w:rPr>
        <w:t>السابقة الدالّ علی العموم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وهل یجوز قضاء دینه من هذه الدیة؟ 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عدم دخوله فی إطلاق الصدقة ووجوه البرّ، وکون قضاء الدین ملازماً للإرث؛ لظاهر الآیة </w:t>
      </w:r>
      <w:r>
        <w:rPr>
          <w:rStyle w:val="FootnoteAnchor"/>
          <w:rtl w:val="true"/>
        </w:rPr>
        <w:footnoteReference w:id="2378"/>
      </w:r>
      <w:r>
        <w:rPr>
          <w:rFonts w:ascii="IRNazanin" w:hAnsi="IRNazanin" w:eastAsia="IRNazanin"/>
          <w:color w:val="111111"/>
          <w:sz w:val="28"/>
          <w:sz w:val="28"/>
          <w:szCs w:val="28"/>
          <w:rtl w:val="true"/>
          <w:lang w:bidi="fa-IR"/>
        </w:rPr>
        <w:t>ومن أنّ نفعه بقضاء دینه أقوی، ویمنع عدم دخوله فی البرّ بل هو من أعظمها، ولأنّ من جملتها قضاء دین الغارم وهو من جملة أفراده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أقوی</w:t>
      </w:r>
      <w:r>
        <w:rPr>
          <w:rFonts w:eastAsia="IRNazanin" w:cs="IRNazanin"/>
          <w:color w:val="111111"/>
          <w:sz w:val="28"/>
          <w:szCs w:val="28"/>
          <w:rtl w:val="true"/>
          <w:lang w:bidi="fa-IR"/>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کان المیّت ذمّیّاً فعشر دیته، أو عبداً فعشر قیمته ویتصدّق بها عنه کالحرّ؛ للعموم </w:t>
      </w:r>
      <w:r>
        <w:rPr>
          <w:rStyle w:val="FootnoteAnchor"/>
          <w:rtl w:val="true"/>
        </w:rPr>
        <w:footnoteReference w:id="2379"/>
      </w:r>
      <w:r>
        <w:rPr>
          <w:rFonts w:eastAsia="Times New Roman" w:cs="Times New Roman" w:ascii="Times New Roman" w:hAnsi="Times New Roman"/>
          <w:color w:val="111111"/>
          <w:sz w:val="28"/>
          <w:szCs w:val="28"/>
          <w:rtl w:val="true"/>
          <w:lang w:val="en-US" w:bidi="en-US"/>
        </w:rPr>
        <w:t>.</w:t>
      </w:r>
      <w:bookmarkStart w:id="821" w:name="pg19815_253540"/>
    </w:p>
    <w:p>
      <w:pPr>
        <w:pStyle w:val="Heading4"/>
        <w:numPr>
          <w:ilvl w:val="3"/>
          <w:numId w:val="1"/>
        </w:numPr>
        <w:rPr/>
      </w:pPr>
      <w:bookmarkStart w:id="822" w:name="__RefHeading___Toc2228293_2314609296"/>
      <w:bookmarkStart w:id="823" w:name="_Toc309"/>
      <w:bookmarkEnd w:id="821"/>
      <w:bookmarkEnd w:id="822"/>
      <w:r>
        <w:rPr>
          <w:rtl w:val="true"/>
        </w:rPr>
        <w:t>«</w:t>
      </w:r>
      <w:r>
        <w:rPr>
          <w:rtl w:val="true"/>
        </w:rPr>
        <w:t>الثانی</w:t>
      </w:r>
      <w:r>
        <w:rPr>
          <w:rtl w:val="true"/>
        </w:rPr>
        <w:t xml:space="preserve">: </w:t>
      </w:r>
      <w:r>
        <w:rPr>
          <w:rtl w:val="true"/>
        </w:rPr>
        <w:t>فی العاقلة</w:t>
      </w:r>
      <w:r>
        <w:rPr>
          <w:rtl w:val="true"/>
        </w:rPr>
        <w:t>»</w:t>
      </w:r>
      <w:bookmarkEnd w:id="823"/>
    </w:p>
    <w:p>
      <w:pPr>
        <w:pStyle w:val="BookText"/>
        <w:rPr/>
      </w:pPr>
      <w:r>
        <w:rPr>
          <w:rFonts w:ascii="IRNazanin" w:hAnsi="IRNazanin" w:eastAsia="IRNazanin"/>
          <w:color w:val="111111"/>
          <w:sz w:val="28"/>
          <w:sz w:val="28"/>
          <w:szCs w:val="28"/>
          <w:rtl w:val="true"/>
          <w:lang w:bidi="fa-IR"/>
        </w:rPr>
        <w:t>التی تحمل دیة الخطأ، سُمّیت بذلک إمّا من العقل وهو الشدّ، ومنه سُمّی الحبل عقالاً؛ لأنّها تعقل الإبل بفناء ولیّ المقتول المستحقّ للدیة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لتحمّلهم العقل وهو الدیة، وسمّیت الدیة بذلک؛ لأنّها تعقل لسان ولیّ المقتول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من العقل وهو المنع؛ لأنّ العشیرة کانت تمنع القاتل بالسیف فی الجاهلیّة ثمّ منعت عنه فی الإسلام بالمال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القاتل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کالإخوة والأعمام وأولادهما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لم یکونوا وارثین فی الحال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یرث دیة القاتل لو قُتل ولا یلزم من لا یرث شیئاً مطلقاً </w:t>
      </w:r>
      <w:r>
        <w:rPr>
          <w:rStyle w:val="FootnoteAnchor"/>
          <w:rtl w:val="true"/>
        </w:rPr>
        <w:footnoteReference w:id="23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المستحقّون لمیراث القاتل من الرجال العقلاء من قبل أبیه واُمّه فإن تساوت القرابتان کإخوة الأب وإخوة الاُمّ کان علی إخوة الأب الثلثان وعلی إخوة الاُمّ الثلث </w:t>
      </w:r>
      <w:r>
        <w:rPr>
          <w:rStyle w:val="FootnoteAnchor"/>
          <w:rtl w:val="true"/>
        </w:rPr>
        <w:footnoteReference w:id="23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وما اختاره المصنّف هو الأشهر بین المتأخّرین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ومستند الأقوال غیر نقیّ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تعقل المرأة والصبیّ والمجنون والفقیر عند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استحقاق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المطالبة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حلول أجل الدیة وإن کان غنیّاً أو عاقلاً وقت الجنایة، وإن ورثوا جمیعاً من الدیة</w:t>
      </w:r>
      <w:r>
        <w:rPr>
          <w:rFonts w:eastAsia="IRNazanin" w:cs="IRNazanin"/>
          <w:color w:val="111111"/>
          <w:sz w:val="28"/>
          <w:szCs w:val="28"/>
          <w:rtl w:val="true"/>
          <w:lang w:bidi="fa-IR"/>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ویدخل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العمودان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الآباء والأولاد وإن علوا أو سفلوا؛ لأ نّهم أخصّ القوم وأقربهم، ولروایة سلمة بن کهیل عن أمیر المؤمنین علیه السلام فی</w:t>
      </w:r>
    </w:p>
    <w:p>
      <w:pPr>
        <w:pStyle w:val="BookText"/>
        <w:rPr/>
      </w:pPr>
      <w:r>
        <w:rPr>
          <w:rFonts w:ascii="IRNazanin" w:hAnsi="IRNazanin" w:eastAsia="IRNazanin"/>
          <w:color w:val="111111"/>
          <w:sz w:val="28"/>
          <w:sz w:val="28"/>
          <w:szCs w:val="28"/>
          <w:rtl w:val="true"/>
          <w:lang w:bidi="fa-IR"/>
        </w:rPr>
        <w:t xml:space="preserve">القاتل الموصلی حیث کتب إلی عامله یسأل عن قرابة فلان من المسلمین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ثَمَّ رجل یرثه بسهم فی الکتاب لا یحجبه عن میراثه أحد من قرابته فألزمه الدیة فی ثلاث سنین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xml:space="preserve">» </w:t>
      </w:r>
      <w:r>
        <w:rPr>
          <w:rStyle w:val="FootnoteAnchor"/>
          <w:rtl w:val="true"/>
        </w:rPr>
        <w:footnoteReference w:id="2382"/>
      </w: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ضعف </w:t>
      </w:r>
      <w:r>
        <w:rPr>
          <w:rStyle w:val="FootnoteAnchor"/>
          <w:rtl w:val="true"/>
        </w:rPr>
        <w:footnoteReference w:id="2383"/>
      </w:r>
      <w:r>
        <w:rPr>
          <w:rFonts w:ascii="IRNazanin" w:hAnsi="IRNazanin" w:eastAsia="IRNazanin"/>
          <w:color w:val="111111"/>
          <w:sz w:val="28"/>
          <w:sz w:val="28"/>
          <w:szCs w:val="28"/>
          <w:rtl w:val="true"/>
          <w:lang w:bidi="fa-IR"/>
        </w:rPr>
        <w:t>والأولویّة هنا ممنوعة؛ لأ نّه حکم مخالف للأصل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والمشهور عدم دخولهم فیه؛ لأصالة البراءة، وقد روی أنّ النبیّ صلی الله علیه و آله فرض دیة امرأة قتلتها اُخری علی عاقلتها وبرّأ الزوج والولد </w:t>
      </w:r>
      <w:r>
        <w:rPr>
          <w:rStyle w:val="FootnoteAnchor"/>
          <w:rtl w:val="true"/>
        </w:rPr>
        <w:footnoteReference w:id="23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ومع عدم القرابة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یُحکم بدخوله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فالمعتق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للجانی، فإن لم یکن فعصابته </w:t>
      </w:r>
      <w:r>
        <w:rPr>
          <w:rStyle w:val="FootnoteAnchor"/>
          <w:rtl w:val="true"/>
        </w:rPr>
        <w:footnoteReference w:id="2385"/>
      </w:r>
      <w:r>
        <w:rPr>
          <w:rFonts w:ascii="IRNazanin" w:hAnsi="IRNazanin" w:eastAsia="IRNazanin"/>
          <w:color w:val="111111"/>
          <w:sz w:val="28"/>
          <w:sz w:val="28"/>
          <w:szCs w:val="28"/>
          <w:rtl w:val="true"/>
          <w:lang w:bidi="fa-IR"/>
        </w:rPr>
        <w:t xml:space="preserve">ثمّ معتق المعتق ثمّ عصابته </w:t>
      </w:r>
      <w:r>
        <w:rPr>
          <w:rStyle w:val="FootnoteAnchor"/>
          <w:rtl w:val="true"/>
        </w:rPr>
        <w:footnoteReference w:id="2386"/>
      </w:r>
      <w:r>
        <w:rPr>
          <w:rFonts w:ascii="IRNazanin" w:hAnsi="IRNazanin" w:eastAsia="IRNazanin"/>
          <w:color w:val="111111"/>
          <w:sz w:val="28"/>
          <w:sz w:val="28"/>
          <w:szCs w:val="28"/>
          <w:rtl w:val="true"/>
          <w:lang w:bidi="fa-IR"/>
        </w:rPr>
        <w:t xml:space="preserve">ثمّ معتق أبی المعتق ثمّ عصابته </w:t>
      </w:r>
      <w:r>
        <w:rPr>
          <w:rStyle w:val="FootnoteAnchor"/>
          <w:rtl w:val="true"/>
        </w:rPr>
        <w:footnoteReference w:id="2387"/>
      </w:r>
      <w:r>
        <w:rPr>
          <w:rFonts w:ascii="IRNazanin" w:hAnsi="IRNazanin" w:eastAsia="IRNazanin"/>
          <w:color w:val="111111"/>
          <w:sz w:val="28"/>
          <w:sz w:val="28"/>
          <w:szCs w:val="28"/>
          <w:rtl w:val="true"/>
          <w:lang w:bidi="fa-IR"/>
        </w:rPr>
        <w:t>کترتیب المیراث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یدخل ابن المعتق وأبوه وإن علا أو سفل علی الخلاف </w:t>
      </w:r>
      <w:r>
        <w:rPr>
          <w:rStyle w:val="FootnoteAnchor"/>
          <w:rtl w:val="true"/>
        </w:rPr>
        <w:footnoteReference w:id="2388"/>
      </w:r>
      <w:r>
        <w:rPr>
          <w:rFonts w:ascii="IRNazanin" w:hAnsi="IRNazanin" w:eastAsia="IRNazanin"/>
          <w:color w:val="111111"/>
          <w:sz w:val="28"/>
          <w:sz w:val="28"/>
          <w:szCs w:val="28"/>
          <w:rtl w:val="true"/>
          <w:lang w:bidi="fa-IR"/>
        </w:rPr>
        <w:t>ولو تعدّد المعتق اشترکوا فی العقل کالإرث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عدمهم أجمع فعلی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ضامن الجریرة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 هناک ضامن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عدمه أو فقره فالضامن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بیت المال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تعقل العاقلة عمداً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محضاً ولا شبیهاً به، وإنّما تعقل الخطأ المحض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جنت علی إنسان </w:t>
      </w:r>
      <w:r>
        <w:rPr>
          <w:rStyle w:val="FootnoteAnchor"/>
          <w:rtl w:val="true"/>
        </w:rPr>
        <w:footnoteReference w:id="2389"/>
      </w:r>
      <w:r>
        <w:rPr>
          <w:rFonts w:ascii="IRNazanin" w:hAnsi="IRNazanin" w:eastAsia="IRNazanin"/>
          <w:color w:val="111111"/>
          <w:sz w:val="28"/>
          <w:sz w:val="28"/>
          <w:szCs w:val="28"/>
          <w:rtl w:val="true"/>
          <w:lang w:bidi="fa-IR"/>
        </w:rPr>
        <w:t>وإن کانت جنایتها مضمونة علی المالک علی تقدیر تفریطه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لا تعقل العصبة قتل البهیمة، بل هی کسائر ما یتلفه من الأموال</w:t>
      </w:r>
      <w:r>
        <w:rPr>
          <w:rFonts w:eastAsia="IRNazanin" w:cs="IRNazanin"/>
          <w:color w:val="111111"/>
          <w:sz w:val="28"/>
          <w:szCs w:val="28"/>
          <w:rtl w:val="true"/>
          <w:lang w:bidi="fa-IR"/>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جنایة العبد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أنّ العبد لو قتل إنساناً خطأً أو جنی علیه</w:t>
      </w:r>
    </w:p>
    <w:p>
      <w:pPr>
        <w:pStyle w:val="BookText"/>
        <w:rPr/>
      </w:pPr>
      <w:r>
        <w:rPr>
          <w:rFonts w:ascii="IRNazanin" w:hAnsi="IRNazanin" w:eastAsia="IRNazanin"/>
          <w:color w:val="111111"/>
          <w:sz w:val="28"/>
          <w:sz w:val="28"/>
          <w:szCs w:val="28"/>
          <w:rtl w:val="true"/>
          <w:lang w:bidi="fa-IR"/>
        </w:rPr>
        <w:t xml:space="preserve">لا تعقل عاقلته جنایته، بل تتعلّق برقبته کما سلف </w:t>
      </w:r>
      <w:r>
        <w:rPr>
          <w:rStyle w:val="FootnoteAnchor"/>
          <w:rtl w:val="true"/>
        </w:rPr>
        <w:footnoteReference w:id="239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وتعقل الجنایة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تعقل عاقلةُ الحرّ الجانی علی العبد خطأً جنایتَه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تعقل جنایتَه علی الحرّ؛ لعموم ضمان العاقلة الجنایة علی الآدمی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تضمن العاقلة الجنایة علیه أیضاً، بل إنّما تعقل الدیات والمأخوذ عن العبد قیمة لا دیة کسائر قِیَم الأموال المتلفة </w:t>
      </w:r>
      <w:r>
        <w:rPr>
          <w:rStyle w:val="FootnoteAnchor"/>
          <w:rtl w:val="true"/>
        </w:rPr>
        <w:footnoteReference w:id="2391"/>
      </w:r>
      <w:r>
        <w:rPr>
          <w:rFonts w:ascii="IRNazanin" w:hAnsi="IRNazanin" w:eastAsia="IRNazanin"/>
          <w:color w:val="111111"/>
          <w:sz w:val="28"/>
          <w:sz w:val="28"/>
          <w:szCs w:val="28"/>
          <w:rtl w:val="true"/>
          <w:lang w:bidi="fa-IR"/>
        </w:rPr>
        <w:t xml:space="preserve">وبه قطع فی التحریر فی باب العاقلة </w:t>
      </w:r>
      <w:r>
        <w:rPr>
          <w:rStyle w:val="FootnoteAnchor"/>
          <w:rtl w:val="true"/>
        </w:rPr>
        <w:footnoteReference w:id="2392"/>
      </w:r>
      <w:r>
        <w:rPr>
          <w:rFonts w:ascii="IRNazanin" w:hAnsi="IRNazanin" w:eastAsia="IRNazanin"/>
          <w:color w:val="111111"/>
          <w:sz w:val="28"/>
          <w:sz w:val="28"/>
          <w:szCs w:val="28"/>
          <w:rtl w:val="true"/>
          <w:lang w:bidi="fa-IR"/>
        </w:rPr>
        <w:t>وجعله تفسیراً لقوله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تعقل العاقلة عبداً</w:t>
      </w:r>
      <w:r>
        <w:rPr>
          <w:rFonts w:eastAsia="IRNazanin" w:cs="IRNazanin"/>
          <w:color w:val="111111"/>
          <w:sz w:val="28"/>
          <w:szCs w:val="28"/>
          <w:rtl w:val="true"/>
          <w:lang w:bidi="fa-IR"/>
        </w:rPr>
        <w:t xml:space="preserve">» </w:t>
      </w:r>
      <w:r>
        <w:rPr>
          <w:rStyle w:val="FootnoteAnchor"/>
          <w:rtl w:val="true"/>
        </w:rPr>
        <w:footnoteReference w:id="2393"/>
      </w:r>
      <w:r>
        <w:rPr>
          <w:rFonts w:ascii="IRNazanin" w:hAnsi="IRNazanin" w:eastAsia="IRNazanin"/>
          <w:color w:val="111111"/>
          <w:sz w:val="28"/>
          <w:sz w:val="28"/>
          <w:szCs w:val="28"/>
          <w:rtl w:val="true"/>
          <w:lang w:bidi="fa-IR"/>
        </w:rPr>
        <w:t xml:space="preserve">والأجود الأوّل وعلیه نُزّل الحدیث وبه جزم فی أوّل الدیات منه </w:t>
      </w:r>
      <w:r>
        <w:rPr>
          <w:rStyle w:val="FootnoteAnchor"/>
          <w:rtl w:val="true"/>
        </w:rPr>
        <w:footnoteReference w:id="2394"/>
      </w:r>
      <w:r>
        <w:rPr>
          <w:rFonts w:ascii="IRNazanin" w:hAnsi="IRNazanin" w:eastAsia="IRNazanin"/>
          <w:color w:val="111111"/>
          <w:sz w:val="28"/>
          <w:sz w:val="28"/>
          <w:szCs w:val="28"/>
          <w:rtl w:val="true"/>
          <w:lang w:bidi="fa-IR"/>
        </w:rPr>
        <w:t xml:space="preserve">أیضاً کغیره من کتبه </w:t>
      </w:r>
      <w:r>
        <w:rPr>
          <w:rStyle w:val="FootnoteAnchor"/>
          <w:rtl w:val="true"/>
        </w:rPr>
        <w:footnoteReference w:id="23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وبالجملة، فإنّما تعقل العاقلة إتلاف الحرّ الآدمی مطلقاً إن کان المتلِف صغیراً أو مجنوناً، أو خطأً إن کان مکلّفاً، لا غیره من الأموال وإن کان حیواناً</w:t>
      </w:r>
      <w:r>
        <w:rPr>
          <w:rFonts w:eastAsia="IRNazanin" w:cs="IRNazanin"/>
          <w:color w:val="111111"/>
          <w:sz w:val="28"/>
          <w:szCs w:val="28"/>
          <w:rtl w:val="true"/>
          <w:lang w:bidi="fa-IR"/>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وشمل إطلاق المصنّف ضمانَ العاقلة دیةَ الموضحة فما فوقها وما دونها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فی الأوّل محلّ وفاق، وفی الثانی خلاف، منشؤه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عمومُ الأدلّة علی تحمّلها للدیة من غیر تفصیل </w:t>
      </w:r>
      <w:r>
        <w:rPr>
          <w:rStyle w:val="FootnoteAnchor"/>
          <w:rtl w:val="true"/>
        </w:rPr>
        <w:footnoteReference w:id="2396"/>
      </w:r>
      <w:r>
        <w:rPr>
          <w:rFonts w:ascii="IRNazanin" w:hAnsi="IRNazanin" w:eastAsia="IRNazanin"/>
          <w:color w:val="111111"/>
          <w:sz w:val="28"/>
          <w:sz w:val="28"/>
          <w:szCs w:val="28"/>
          <w:rtl w:val="true"/>
          <w:lang w:bidi="fa-IR"/>
        </w:rPr>
        <w:t>وخصوصُ قول الباقر علیه السلام فی موثَّقة أبی مریم الأنصاری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قضی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نّه لا یحمل علی العاقلة إلّاالموضحة</w:t>
      </w:r>
    </w:p>
    <w:p>
      <w:pPr>
        <w:pStyle w:val="BookText"/>
        <w:rPr/>
      </w:pPr>
      <w:r>
        <w:rPr>
          <w:rFonts w:ascii="Amiri" w:hAnsi="Amiri" w:eastAsia="Amiri" w:cs="Amiri"/>
          <w:color w:val="111111"/>
          <w:sz w:val="28"/>
          <w:sz w:val="28"/>
          <w:szCs w:val="28"/>
          <w:rtl w:val="true"/>
          <w:lang w:bidi="ar-SA"/>
        </w:rPr>
        <w:t>فصاعداً</w:t>
      </w:r>
      <w:r>
        <w:rPr>
          <w:rFonts w:eastAsia="Amiri" w:cs="Amiri" w:ascii="Amiri" w:hAnsi="Amiri"/>
          <w:color w:val="111111"/>
          <w:sz w:val="28"/>
          <w:szCs w:val="28"/>
          <w:rtl w:val="true"/>
          <w:lang w:bidi="ar-SA"/>
        </w:rPr>
        <w:t xml:space="preserve">» </w:t>
      </w:r>
      <w:r>
        <w:rPr>
          <w:rStyle w:val="FootnoteAnchor"/>
          <w:rtl w:val="true"/>
        </w:rPr>
        <w:footnoteReference w:id="2397"/>
      </w:r>
      <w:r>
        <w:rPr>
          <w:rFonts w:ascii="IRNazanin" w:hAnsi="IRNazanin" w:eastAsia="IRNazanin"/>
          <w:color w:val="111111"/>
          <w:sz w:val="28"/>
          <w:sz w:val="28"/>
          <w:szCs w:val="28"/>
          <w:rtl w:val="true"/>
          <w:lang w:bidi="fa-IR"/>
        </w:rPr>
        <w:t>مؤیَّداً بأصالة البراءة من الحکم المخالف للأصل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هو الأشهر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وعاقلة الذمّی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 عصبته وإن کانوا کفّاراً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ومع عجزه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الدیة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عاقلته؛ لأنّه یؤدّی الجزیة إلیه کما یؤدّی المملوک الضریبة إلی مولاه، فکان بمنزلته وإن خالفه فی کون مولی العبد لا یعقل جنایته؛ لأنّه لیس مملوکاً محضاً، کذا علّلوه </w:t>
      </w:r>
      <w:r>
        <w:rPr>
          <w:rStyle w:val="FootnoteAnchor"/>
          <w:rtl w:val="true"/>
        </w:rPr>
        <w:footnoteReference w:id="2398"/>
      </w:r>
      <w:r>
        <w:rPr>
          <w:rFonts w:ascii="IRNazanin" w:hAnsi="IRNazanin" w:eastAsia="IRNazanin"/>
          <w:color w:val="111111"/>
          <w:sz w:val="28"/>
          <w:sz w:val="28"/>
          <w:szCs w:val="28"/>
          <w:rtl w:val="true"/>
          <w:lang w:bidi="fa-IR"/>
        </w:rPr>
        <w:t>وفیه نظر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وتُقسَّط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الدیة علی العاقلة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بحسب ما یراه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حالتهم فی الغنا والفقر؛ لعدم ثبوت تقدیره شرعاً فیرجع إلی نظره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والقائل الشیخ فی أحد قولیه </w:t>
      </w:r>
      <w:r>
        <w:rPr>
          <w:rStyle w:val="FootnoteAnchor"/>
          <w:rtl w:val="true"/>
        </w:rPr>
        <w:footnoteReference w:id="2399"/>
      </w:r>
      <w:r>
        <w:rPr>
          <w:rFonts w:ascii="Amiri" w:hAnsi="Amiri" w:eastAsia="Amiri" w:cs="Amiri"/>
          <w:color w:val="111111"/>
          <w:sz w:val="28"/>
          <w:sz w:val="28"/>
          <w:szCs w:val="28"/>
          <w:rtl w:val="true"/>
          <w:lang w:bidi="ar-SA"/>
        </w:rPr>
        <w:t xml:space="preserve">وجماعة </w:t>
      </w:r>
      <w:r>
        <w:rPr>
          <w:rStyle w:val="FootnoteAnchor"/>
          <w:rtl w:val="true"/>
        </w:rPr>
        <w:footnoteReference w:id="240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الغنیّ نصف دینار، وعلی الفقیر ربعه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لأصالة براءة الذمّة من الزائد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والمرجع فیهما إلی العرف؛ لعدم تحدیدهما شرعاً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والأوّل أجود</w:t>
      </w:r>
      <w:r>
        <w:rPr>
          <w:rFonts w:eastAsia="IRNazanin" w:cs="IRNazanin"/>
          <w:color w:val="111111"/>
          <w:sz w:val="28"/>
          <w:szCs w:val="28"/>
          <w:rtl w:val="true"/>
          <w:lang w:bidi="fa-IR"/>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والأقرب الترتیب فی التوزیع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فیأخذ من أقرب الطبقات أوّلاً، فإن لم یحتمل تخطّی إلی البعیدة، ثمّ الأبعد، وهکذا ینتقل مع الحاجة إلی المولی، ثمّ إلی عصبته، ثمّ إلی مولی المولی، ثمّ إلی الإمام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ویحتمل بسطها علی العاقلة أجمع من غیر اختصاص بالقریب؛ لعموم الأدلّة </w:t>
      </w:r>
      <w:r>
        <w:rPr>
          <w:rStyle w:val="FootnoteAnchor"/>
          <w:rtl w:val="true"/>
        </w:rPr>
        <w:footnoteReference w:id="24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وعلی القول بالتقدیر لو لم تسع الطبقة القریبة الدیة بالنصف والربع انتقل إلی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 إلی الإمام حتّی لو لم یکن له إلّاأخ غنیّ اُخذ منه نصف دینار والباقی علی الإمام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قتل الأب ولده عمداً فالدیة لوارث الابن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اتّفق ولا نصیب للأب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لم یکن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وارث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سوی الأب فالإمام، ولو قتله خطأ فالدیة علی العاقلة، ولا یرث الأب منها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الأقوی؛ لأنّ العاقلة تتحمّل عنه جنایته فلا یعقل تحمّلها له، ولقبح أن یطالب الجانی غیرَه بجنایة جناها، ولولا الإجماع علی ثبوتها علی العاقلة لغیره لکان العقل یأبی ثبوتها علیهم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یرث منها نصیبه </w:t>
      </w:r>
      <w:r>
        <w:rPr>
          <w:rStyle w:val="FootnoteAnchor"/>
          <w:rtl w:val="true"/>
        </w:rPr>
        <w:footnoteReference w:id="2402"/>
      </w:r>
      <w:r>
        <w:rPr>
          <w:rFonts w:ascii="IRNazanin" w:hAnsi="IRNazanin" w:eastAsia="IRNazanin"/>
          <w:color w:val="111111"/>
          <w:sz w:val="28"/>
          <w:sz w:val="28"/>
          <w:szCs w:val="28"/>
          <w:rtl w:val="true"/>
          <w:lang w:bidi="fa-IR"/>
        </w:rPr>
        <w:t xml:space="preserve">إن قلنا بإرث القاتل خطأً هنا؛ لعموم وجوب الدیة علی العاقلة وانتقالها إلی الوارث، وحیث لا یمنع هذا النوع من القتل الإرث یرث الأب لها أجمع أو نصیبه عملاً بالعموم </w:t>
      </w:r>
      <w:r>
        <w:rPr>
          <w:rStyle w:val="FootnoteAnchor"/>
          <w:rtl w:val="true"/>
        </w:rPr>
        <w:footnoteReference w:id="2403"/>
      </w:r>
      <w:r>
        <w:rPr>
          <w:rFonts w:ascii="IRNazanin" w:hAnsi="IRNazanin" w:eastAsia="IRNazanin"/>
          <w:color w:val="111111"/>
          <w:sz w:val="28"/>
          <w:sz w:val="28"/>
          <w:szCs w:val="28"/>
          <w:rtl w:val="true"/>
          <w:lang w:bidi="fa-IR"/>
        </w:rPr>
        <w:t>ولو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القاتل خطأً لا یرث مطلقاً </w:t>
      </w:r>
      <w:r>
        <w:rPr>
          <w:rStyle w:val="FootnoteAnchor"/>
          <w:rtl w:val="true"/>
        </w:rPr>
        <w:footnoteReference w:id="2404"/>
      </w:r>
      <w:r>
        <w:rPr>
          <w:rFonts w:ascii="IRNazanin" w:hAnsi="IRNazanin" w:eastAsia="IRNazanin"/>
          <w:color w:val="111111"/>
          <w:sz w:val="28"/>
          <w:sz w:val="28"/>
          <w:szCs w:val="28"/>
          <w:rtl w:val="true"/>
          <w:lang w:bidi="fa-IR"/>
        </w:rPr>
        <w:t xml:space="preserve">أو من الدیة </w:t>
      </w:r>
      <w:r>
        <w:rPr>
          <w:rStyle w:val="FootnoteAnchor"/>
          <w:rtl w:val="true"/>
        </w:rPr>
        <w:footnoteReference w:id="2405"/>
      </w:r>
      <w:r>
        <w:rPr>
          <w:rFonts w:ascii="IRNazanin" w:hAnsi="IRNazanin" w:eastAsia="IRNazanin"/>
          <w:color w:val="111111"/>
          <w:sz w:val="28"/>
          <w:sz w:val="28"/>
          <w:szCs w:val="28"/>
          <w:rtl w:val="true"/>
          <w:lang w:bidi="fa-IR"/>
        </w:rPr>
        <w:t>فلا بحث</w:t>
      </w:r>
      <w:r>
        <w:rPr>
          <w:rFonts w:eastAsia="IRNazanin" w:cs="IRNazanin"/>
          <w:color w:val="111111"/>
          <w:sz w:val="28"/>
          <w:szCs w:val="28"/>
          <w:rtl w:val="true"/>
          <w:lang w:bidi="fa-IR"/>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وکذا القول لو قتل الابن أباه خطأً</w:t>
      </w:r>
      <w:r>
        <w:rPr>
          <w:rFonts w:eastAsia="IRNazanin" w:cs="IRNazanin"/>
          <w:color w:val="111111"/>
          <w:sz w:val="28"/>
          <w:szCs w:val="28"/>
          <w:rtl w:val="true"/>
          <w:lang w:bidi="fa-IR"/>
        </w:rPr>
        <w:t>.</w:t>
      </w:r>
      <w:bookmarkStart w:id="824" w:name="pg19815_253545"/>
    </w:p>
    <w:p>
      <w:pPr>
        <w:pStyle w:val="Heading4"/>
        <w:numPr>
          <w:ilvl w:val="3"/>
          <w:numId w:val="1"/>
        </w:numPr>
        <w:rPr/>
      </w:pPr>
      <w:bookmarkStart w:id="825" w:name="__RefHeading___Toc2228295_2314609296"/>
      <w:bookmarkStart w:id="826" w:name="_Toc310"/>
      <w:bookmarkEnd w:id="824"/>
      <w:bookmarkEnd w:id="825"/>
      <w:r>
        <w:rPr>
          <w:rtl w:val="true"/>
        </w:rPr>
        <w:t>«</w:t>
      </w:r>
      <w:r>
        <w:rPr>
          <w:rtl w:val="true"/>
        </w:rPr>
        <w:t>الثالث</w:t>
      </w:r>
      <w:r>
        <w:rPr>
          <w:rtl w:val="true"/>
        </w:rPr>
        <w:t xml:space="preserve">: </w:t>
      </w:r>
      <w:r>
        <w:rPr>
          <w:rtl w:val="true"/>
        </w:rPr>
        <w:t>فی الکفّارة</w:t>
      </w:r>
      <w:r>
        <w:rPr>
          <w:rtl w:val="true"/>
        </w:rPr>
        <w:t>»</w:t>
      </w:r>
      <w:bookmarkEnd w:id="826"/>
    </w:p>
    <w:p>
      <w:pPr>
        <w:pStyle w:val="BookText"/>
        <w:rPr/>
      </w:pPr>
      <w:r>
        <w:rPr>
          <w:rFonts w:ascii="IRNazanin" w:hAnsi="IRNazanin" w:eastAsia="IRNazanin"/>
          <w:color w:val="111111"/>
          <w:sz w:val="28"/>
          <w:sz w:val="28"/>
          <w:szCs w:val="28"/>
          <w:rtl w:val="true"/>
          <w:lang w:bidi="fa-IR"/>
        </w:rPr>
        <w:t xml:space="preserve">اللازمة للقاتل بسبب القتل مطلقاً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تقدّمت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کتابها </w:t>
      </w:r>
      <w:r>
        <w:rPr>
          <w:rStyle w:val="FootnoteAnchor"/>
          <w:rtl w:val="true"/>
        </w:rPr>
        <w:footnoteReference w:id="2406"/>
      </w:r>
      <w:r>
        <w:rPr>
          <w:rFonts w:ascii="IRNazanin" w:hAnsi="IRNazanin" w:eastAsia="IRNazanin"/>
          <w:color w:val="111111"/>
          <w:sz w:val="28"/>
          <w:sz w:val="28"/>
          <w:szCs w:val="28"/>
          <w:rtl w:val="true"/>
          <w:lang w:bidi="fa-IR"/>
        </w:rPr>
        <w:t>وأ نّها کبیرة مرتّبة فی الخطأ وشبهه، وکفّارة جمع فی العمد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تجب مع التسبیب کمن طرح حجراً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فعثر به إنسان فمات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نصب سکّیناً فی غیر ملکه فهلک بها آدمی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وجبت 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تجب مع المباشرة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وتجب بقتل الصبیّ والمجنون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ممّن هو بحکم المسلم کما تجب بقتل المکلّف، ویستوی فیها </w:t>
      </w:r>
      <w:r>
        <w:rPr>
          <w:rStyle w:val="FootnoteAnchor"/>
          <w:rtl w:val="true"/>
        </w:rPr>
        <w:footnoteReference w:id="2407"/>
      </w:r>
      <w:r>
        <w:rPr>
          <w:rFonts w:ascii="IRNazanin" w:hAnsi="IRNazanin" w:eastAsia="IRNazanin"/>
          <w:color w:val="111111"/>
          <w:sz w:val="28"/>
          <w:sz w:val="28"/>
          <w:szCs w:val="28"/>
          <w:rtl w:val="true"/>
          <w:lang w:bidi="fa-IR"/>
        </w:rPr>
        <w:t xml:space="preserve">الذکر والاُنثی، والحرّ والعبد، مملوکاً للقاتل ولغیره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بقتل الکافر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ذمّیّاً أو معاهداً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وعلی المشترکین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القتل وإن کثروا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واحد کفّارة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کَمَلاً</w:t>
      </w:r>
      <w:r>
        <w:rPr>
          <w:rFonts w:eastAsia="Amiri" w:cs="Amiri" w:ascii="Amiri" w:hAnsi="Amiri"/>
          <w:color w:val="111111"/>
          <w:sz w:val="28"/>
          <w:szCs w:val="28"/>
          <w:rtl w:val="true"/>
          <w:lang w:bidi="ar-SA"/>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التکفیر فی العمد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مات قبل التکفیر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اُخرجت الکفّارات الثلاث </w:t>
      </w:r>
      <w:r>
        <w:rPr>
          <w:rStyle w:val="FootnoteAnchor"/>
          <w:rtl w:val="true"/>
        </w:rPr>
        <w:footnoteReference w:id="2408"/>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ماله إن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مال؛ لأنّه حقّ مالیّ فیخرج من الأصل وإن لم یوص به کالدین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کلّ من علیه کفّارة مالیّة فمات قبل إخراجها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وغلّبوا علیها هنا جانب المالیّة وإن کان بعضها بدنیّاً کالصوم؛ لأ نّها فی معنی عبادة واحدة فیرجَّح فیها حکم المال کالحجّ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قیّد </w:t>
      </w:r>
      <w:r>
        <w:rPr>
          <w:rStyle w:val="FootnoteAnchor"/>
          <w:rtl w:val="true"/>
        </w:rPr>
        <w:footnoteReference w:id="2409"/>
      </w:r>
      <w:r>
        <w:rPr>
          <w:rFonts w:ascii="IRNazanin" w:hAnsi="IRNazanin" w:eastAsia="IRNazanin"/>
          <w:color w:val="111111"/>
          <w:sz w:val="28"/>
          <w:sz w:val="28"/>
          <w:szCs w:val="28"/>
          <w:rtl w:val="true"/>
          <w:lang w:bidi="fa-IR"/>
        </w:rPr>
        <w:t>بالعمد؛ لأنّ کفّارة الخطأ وشبهه مرتّبة</w:t>
      </w:r>
      <w:r>
        <w:rPr>
          <w:rFonts w:eastAsia="IRNazanin" w:cs="IRNazanin"/>
          <w:color w:val="111111"/>
          <w:sz w:val="28"/>
          <w:szCs w:val="28"/>
          <w:rtl w:val="true"/>
          <w:lang w:bidi="fa-IR"/>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والواجب قد یکون مالیّاً کالعتق والإطعام، وبدنیّاً کالصیام، والحقوق البدنیّة لا تخرج من المال إلّامع الوصیّة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ذلک تخرج من الثلث کالصلاة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وحینئذٍ فالقاتل خطأً إن کان قادراً علی العتق أو عاجزاً عنه وعن الصوم اُخرجت الکفّارة من ماله کالعامد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فرضه الصوم لم تخرج إلّامع الوصیّة، فلذا قیّد؛ لافتقار غیر العمد إلی التفصیل</w:t>
      </w:r>
      <w:r>
        <w:rPr>
          <w:rFonts w:eastAsia="IRNazanin" w:cs="IRNazanin"/>
          <w:color w:val="111111"/>
          <w:sz w:val="28"/>
          <w:szCs w:val="28"/>
          <w:rtl w:val="true"/>
          <w:lang w:bidi="fa-IR"/>
        </w:rPr>
        <w:t>.</w:t>
      </w:r>
      <w:bookmarkStart w:id="827" w:name="pg19815_253547"/>
    </w:p>
    <w:p>
      <w:pPr>
        <w:pStyle w:val="Heading4"/>
        <w:numPr>
          <w:ilvl w:val="3"/>
          <w:numId w:val="1"/>
        </w:numPr>
        <w:rPr/>
      </w:pPr>
      <w:bookmarkStart w:id="828" w:name="__RefHeading___Toc2228297_2314609296"/>
      <w:bookmarkStart w:id="829" w:name="_Toc311"/>
      <w:bookmarkEnd w:id="827"/>
      <w:bookmarkEnd w:id="828"/>
      <w:r>
        <w:rPr>
          <w:rtl w:val="true"/>
        </w:rPr>
        <w:t>«</w:t>
      </w:r>
      <w:r>
        <w:rPr>
          <w:rtl w:val="true"/>
        </w:rPr>
        <w:t>الرابع</w:t>
      </w:r>
      <w:r>
        <w:rPr>
          <w:rtl w:val="true"/>
        </w:rPr>
        <w:t xml:space="preserve">: </w:t>
      </w:r>
      <w:r>
        <w:rPr>
          <w:rtl w:val="true"/>
        </w:rPr>
        <w:t>فی الجنایة علی الحیوان</w:t>
      </w:r>
      <w:r>
        <w:rPr>
          <w:rtl w:val="true"/>
        </w:rPr>
        <w:t xml:space="preserve">» </w:t>
      </w:r>
      <w:r>
        <w:rPr>
          <w:rtl w:val="true"/>
        </w:rPr>
        <w:t>الصامت</w:t>
      </w:r>
      <w:bookmarkEnd w:id="82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أتلف ما تقع علیه الذکاة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کان مأکولاً کالإبل والبقر والغنم أم لا کالأسد والنمر والفهد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بالتذکیة بغیر إذن مالکه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فعلیه أرشه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تفاوت ما بین قیمته حیّاً ومذکّی مع تحقّق النقصان، لا قیمته؛ لأنّ تذکیته لا تُعدّ إتلافاً محضاً؛ لبقاء المالیّة غالباً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فرض عدم القیمة أصلاً کذبحه فی بریّة لا یرغب أحد فی شرائه لزمه القیمة؛ لأنّها حینئذٍ مقدار النقص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ولیس للمالک مطالبته بالقیمة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ودفعه إلیه علی الأقرب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لأصالة براءة ذمّة الجانی ممّا زاد علی الأرش، ولأ نّه باقٍ علی ملک مالکه فلا ینتقل عنه إلّابالتراضی من الجانبین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وخالف فی ذلک الشیخان </w:t>
      </w:r>
      <w:r>
        <w:rPr>
          <w:rStyle w:val="FootnoteAnchor"/>
          <w:rtl w:val="true"/>
        </w:rPr>
        <w:footnoteReference w:id="2410"/>
      </w:r>
      <w:r>
        <w:rPr>
          <w:rFonts w:ascii="Amiri" w:hAnsi="Amiri" w:eastAsia="Amiri" w:cs="Amiri"/>
          <w:color w:val="111111"/>
          <w:sz w:val="28"/>
          <w:sz w:val="28"/>
          <w:szCs w:val="28"/>
          <w:rtl w:val="true"/>
          <w:lang w:bidi="ar-SA"/>
        </w:rPr>
        <w:t xml:space="preserve">وجماعة </w:t>
      </w:r>
      <w:r>
        <w:rPr>
          <w:rStyle w:val="FootnoteAnchor"/>
          <w:rtl w:val="true"/>
        </w:rPr>
        <w:footnoteReference w:id="2411"/>
      </w:r>
      <w:r>
        <w:rPr>
          <w:rFonts w:ascii="IRNazanin" w:hAnsi="IRNazanin" w:eastAsia="IRNazanin"/>
          <w:color w:val="111111"/>
          <w:sz w:val="28"/>
          <w:sz w:val="28"/>
          <w:szCs w:val="28"/>
          <w:rtl w:val="true"/>
          <w:lang w:bidi="fa-IR"/>
        </w:rPr>
        <w:t>فخیّروا المالک بین إلزامه بالقیمة یوم الإتلاف وتسلیمه إلیه، وبین مطالبته بالأرش نظراً إلی کونه مفوّتاً لمعظم منافعه فصار کالتالف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وضعفه ظاهر</w:t>
      </w:r>
      <w:r>
        <w:rPr>
          <w:rFonts w:eastAsia="IRNazanin" w:cs="IRNazanin"/>
          <w:color w:val="111111"/>
          <w:sz w:val="28"/>
          <w:szCs w:val="28"/>
          <w:rtl w:val="true"/>
          <w:lang w:bidi="fa-IR"/>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أتلفه لا بها فعلیه قیمته یوم تلفه إن لم یکن غاصباً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یوم تفویت مالیّته الموجب للضمان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ویوضع منها ما لَه قیمة من المیتة کالشعر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والصوف والوبر والریش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الحقیقة ما وجب هنا عین </w:t>
      </w:r>
      <w:r>
        <w:rPr>
          <w:rStyle w:val="FootnoteAnchor"/>
          <w:rtl w:val="true"/>
        </w:rPr>
        <w:footnoteReference w:id="2412"/>
      </w:r>
      <w:r>
        <w:rPr>
          <w:rFonts w:ascii="IRNazanin" w:hAnsi="IRNazanin" w:eastAsia="IRNazanin"/>
          <w:color w:val="111111"/>
          <w:sz w:val="28"/>
          <w:sz w:val="28"/>
          <w:szCs w:val="28"/>
          <w:rtl w:val="true"/>
          <w:lang w:bidi="fa-IR"/>
        </w:rPr>
        <w:t>الأرش، لکن لمّا کان</w:t>
      </w:r>
    </w:p>
    <w:p>
      <w:pPr>
        <w:pStyle w:val="BookText"/>
        <w:rPr/>
      </w:pPr>
      <w:r>
        <w:rPr>
          <w:rFonts w:ascii="IRNazanin" w:hAnsi="IRNazanin" w:eastAsia="IRNazanin"/>
          <w:color w:val="111111"/>
          <w:sz w:val="28"/>
          <w:sz w:val="28"/>
          <w:szCs w:val="28"/>
          <w:rtl w:val="true"/>
          <w:lang w:bidi="fa-IR"/>
        </w:rPr>
        <w:t>المضمون أکثر القیمة اعتبرها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کان المتلف غاصباً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کذلک </w:t>
      </w:r>
      <w:r>
        <w:rPr>
          <w:rStyle w:val="FootnoteAnchor"/>
          <w:rtl w:val="true"/>
        </w:rPr>
        <w:footnoteReference w:id="2413"/>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یلزمه أعلی القیم من حین الغصب إلی حین الإتلاف </w:t>
      </w:r>
      <w:r>
        <w:rPr>
          <w:rStyle w:val="FootnoteAnchor"/>
          <w:rtl w:val="true"/>
        </w:rPr>
        <w:footnoteReference w:id="2414"/>
      </w:r>
      <w:r>
        <w:rPr>
          <w:rFonts w:ascii="IRNazanin" w:hAnsi="IRNazanin" w:eastAsia="IRNazanin"/>
          <w:color w:val="111111"/>
          <w:sz w:val="28"/>
          <w:sz w:val="28"/>
          <w:szCs w:val="28"/>
          <w:rtl w:val="true"/>
          <w:lang w:bidi="fa-IR"/>
        </w:rPr>
        <w:t xml:space="preserve">وهو أقوی وقد تقدّم </w:t>
      </w:r>
      <w:r>
        <w:rPr>
          <w:rStyle w:val="FootnoteAnchor"/>
          <w:rtl w:val="true"/>
        </w:rPr>
        <w:footnoteReference w:id="2415"/>
      </w:r>
      <w:r>
        <w:rPr>
          <w:rFonts w:ascii="Amiri" w:hAnsi="Amiri" w:eastAsia="Amiri" w:cs="Amiri"/>
          <w:color w:val="111111"/>
          <w:sz w:val="28"/>
          <w:sz w:val="28"/>
          <w:szCs w:val="28"/>
          <w:rtl w:val="true"/>
          <w:lang w:bidi="ar-SA"/>
        </w:rPr>
        <w:t>فمن ثَمَّ أهمله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تعیّب بفعله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دون أن یتلف کأن قطع بعض أعضائه أو جرحه أو کسر شیئاً من عظامه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فلمالکه الأرش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کانت حیاته مستقرّة، وإلّا فالقیمة علی ما فُصّل وکذا لو تلف بعد ذلک بالجنایة</w:t>
      </w:r>
      <w:r>
        <w:rPr>
          <w:rFonts w:eastAsia="IRNazanin" w:cs="IRNazanin"/>
          <w:color w:val="111111"/>
          <w:sz w:val="28"/>
          <w:szCs w:val="28"/>
          <w:rtl w:val="true"/>
          <w:lang w:bidi="fa-IR"/>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تقع علیه الذکاة، ففی کلب الصید أربعون درهماً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الأشهر روایةً </w:t>
      </w:r>
      <w:r>
        <w:rPr>
          <w:rStyle w:val="FootnoteAnchor"/>
          <w:rtl w:val="true"/>
        </w:rPr>
        <w:footnoteReference w:id="2416"/>
      </w:r>
      <w:r>
        <w:rPr>
          <w:rFonts w:ascii="Amiri" w:hAnsi="Amiri" w:eastAsia="Amiri" w:cs="Amiri"/>
          <w:color w:val="111111"/>
          <w:sz w:val="28"/>
          <w:sz w:val="28"/>
          <w:szCs w:val="28"/>
          <w:rtl w:val="true"/>
          <w:lang w:bidi="ar-SA"/>
        </w:rPr>
        <w:t xml:space="preserve">وفتویً </w:t>
      </w:r>
      <w:r>
        <w:rPr>
          <w:rStyle w:val="FootnoteAnchor"/>
          <w:rtl w:val="true"/>
        </w:rPr>
        <w:footnoteReference w:id="24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قیمته </w:t>
      </w:r>
      <w:r>
        <w:rPr>
          <w:rStyle w:val="FootnoteAnchor"/>
          <w:rtl w:val="true"/>
        </w:rPr>
        <w:footnoteReference w:id="24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کغیره من الحیوان القیمی إمّا لعدم ثبوت المقدّر </w:t>
      </w:r>
      <w:r>
        <w:rPr>
          <w:rStyle w:val="FootnoteAnchor"/>
          <w:rtl w:val="true"/>
        </w:rPr>
        <w:footnoteReference w:id="2419"/>
      </w:r>
      <w:r>
        <w:rPr>
          <w:rFonts w:ascii="IRNazanin" w:hAnsi="IRNazanin" w:eastAsia="IRNazanin"/>
          <w:color w:val="111111"/>
          <w:sz w:val="28"/>
          <w:sz w:val="28"/>
          <w:szCs w:val="28"/>
          <w:rtl w:val="true"/>
          <w:lang w:bidi="fa-IR"/>
        </w:rPr>
        <w:t>أو لروایة السکونی عن الصادق علیه السلام إنّ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فیه بالقیمة </w:t>
      </w:r>
      <w:r>
        <w:rPr>
          <w:rStyle w:val="FootnoteAnchor"/>
          <w:rtl w:val="true"/>
        </w:rPr>
        <w:footnoteReference w:id="2420"/>
      </w:r>
      <w:r>
        <w:rPr>
          <w:rFonts w:ascii="IRNazanin" w:hAnsi="IRNazanin" w:eastAsia="IRNazanin"/>
          <w:color w:val="111111"/>
          <w:sz w:val="28"/>
          <w:sz w:val="28"/>
          <w:szCs w:val="28"/>
          <w:rtl w:val="true"/>
          <w:lang w:bidi="fa-IR"/>
        </w:rPr>
        <w:t xml:space="preserve">وبین التعلیلین بون بعید </w:t>
      </w:r>
      <w:r>
        <w:rPr>
          <w:rStyle w:val="FootnoteAnchor"/>
          <w:rtl w:val="true"/>
        </w:rPr>
        <w:footnoteReference w:id="2421"/>
      </w:r>
      <w:r>
        <w:rPr>
          <w:rFonts w:ascii="IRNazanin" w:hAnsi="IRNazanin" w:eastAsia="IRNazanin"/>
          <w:color w:val="111111"/>
          <w:sz w:val="28"/>
          <w:sz w:val="28"/>
          <w:szCs w:val="28"/>
          <w:rtl w:val="true"/>
          <w:lang w:bidi="fa-IR"/>
        </w:rPr>
        <w:t xml:space="preserve">وخصّه الشیخ بالسلوقی </w:t>
      </w:r>
      <w:r>
        <w:rPr>
          <w:rStyle w:val="FootnoteAnchor"/>
          <w:rtl w:val="true"/>
        </w:rPr>
        <w:footnoteReference w:id="2422"/>
      </w:r>
      <w:r>
        <w:rPr>
          <w:rFonts w:ascii="Amiri" w:hAnsi="Amiri" w:eastAsia="Amiri" w:cs="Amiri"/>
          <w:color w:val="111111"/>
          <w:sz w:val="28"/>
          <w:sz w:val="28"/>
          <w:szCs w:val="28"/>
          <w:rtl w:val="true"/>
          <w:lang w:bidi="ar-SA"/>
        </w:rPr>
        <w:t>نظراً إلی</w:t>
      </w:r>
    </w:p>
    <w:p>
      <w:pPr>
        <w:pStyle w:val="BookText"/>
        <w:rPr/>
      </w:pPr>
      <w:r>
        <w:rPr>
          <w:rFonts w:ascii="IRNazanin" w:hAnsi="IRNazanin" w:eastAsia="IRNazanin"/>
          <w:color w:val="111111"/>
          <w:sz w:val="28"/>
          <w:sz w:val="28"/>
          <w:szCs w:val="28"/>
          <w:rtl w:val="true"/>
          <w:lang w:bidi="fa-IR"/>
        </w:rPr>
        <w:t xml:space="preserve">وصفه فی الروایة </w:t>
      </w:r>
      <w:r>
        <w:rPr>
          <w:rStyle w:val="FootnoteAnchor"/>
          <w:rtl w:val="true"/>
        </w:rPr>
        <w:footnoteReference w:id="2423"/>
      </w:r>
      <w:r>
        <w:rPr>
          <w:rFonts w:ascii="IRNazanin" w:hAnsi="IRNazanin" w:eastAsia="IRNazanin"/>
          <w:color w:val="111111"/>
          <w:sz w:val="28"/>
          <w:sz w:val="28"/>
          <w:szCs w:val="28"/>
          <w:rtl w:val="true"/>
          <w:lang w:bidi="fa-IR"/>
        </w:rPr>
        <w:t>وهو نسبة إلی سلوق قریة بالیمن أکثر کلابها معلَّمة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والباقون حملوه علی المعلَّم </w:t>
      </w:r>
      <w:r>
        <w:rPr>
          <w:rStyle w:val="FootnoteAnchor"/>
          <w:rtl w:val="true"/>
        </w:rPr>
        <w:footnoteReference w:id="2424"/>
      </w:r>
      <w:r>
        <w:rPr>
          <w:rFonts w:ascii="Amiri" w:hAnsi="Amiri" w:eastAsia="Amiri" w:cs="Amiri"/>
          <w:color w:val="111111"/>
          <w:sz w:val="28"/>
          <w:sz w:val="28"/>
          <w:szCs w:val="28"/>
          <w:rtl w:val="true"/>
          <w:lang w:bidi="ar-SA"/>
        </w:rPr>
        <w:t>مطلقاً للمشابهة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کلب الغنم کبش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ما یطلق علیه اسمه؛ لعدم تحدید سنّه شرعاً ولا لغة؛ لروایة أبی بصیر عن أحدهما </w:t>
      </w:r>
      <w:r>
        <w:rPr>
          <w:rStyle w:val="FootnoteAnchor"/>
          <w:rtl w:val="true"/>
        </w:rPr>
        <w:footnoteReference w:id="24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والقائل الشیخان </w:t>
      </w:r>
      <w:r>
        <w:rPr>
          <w:rStyle w:val="FootnoteAnchor"/>
          <w:rtl w:val="true"/>
        </w:rPr>
        <w:footnoteReference w:id="2426"/>
      </w:r>
      <w:r>
        <w:rPr>
          <w:rFonts w:ascii="IRNazanin" w:hAnsi="IRNazanin" w:eastAsia="IRNazanin"/>
          <w:color w:val="111111"/>
          <w:sz w:val="28"/>
          <w:sz w:val="28"/>
          <w:szCs w:val="28"/>
          <w:rtl w:val="true"/>
          <w:lang w:bidi="fa-IR"/>
        </w:rPr>
        <w:t xml:space="preserve">وابن إدریس </w:t>
      </w:r>
      <w:r>
        <w:rPr>
          <w:rStyle w:val="FootnoteAnchor"/>
          <w:rtl w:val="true"/>
        </w:rPr>
        <w:footnoteReference w:id="2427"/>
      </w:r>
      <w:r>
        <w:rPr>
          <w:rFonts w:ascii="Amiri" w:hAnsi="Amiri" w:eastAsia="Amiri" w:cs="Amiri"/>
          <w:color w:val="111111"/>
          <w:sz w:val="28"/>
          <w:sz w:val="28"/>
          <w:szCs w:val="28"/>
          <w:rtl w:val="true"/>
          <w:lang w:bidi="ar-SA"/>
        </w:rPr>
        <w:t xml:space="preserve">وجماعة </w:t>
      </w:r>
      <w:r>
        <w:rPr>
          <w:rStyle w:val="FootnoteAnchor"/>
          <w:rtl w:val="true"/>
        </w:rPr>
        <w:footnoteReference w:id="24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قتله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عشرون درهماً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لروایة ابن فضّال عن بعض أصحابه عن أبی عبد اللّٰه علیه السلام </w:t>
      </w:r>
      <w:r>
        <w:rPr>
          <w:rStyle w:val="FootnoteAnchor"/>
          <w:rtl w:val="true"/>
        </w:rPr>
        <w:footnoteReference w:id="2429"/>
      </w:r>
      <w:r>
        <w:rPr>
          <w:rFonts w:ascii="IRNazanin" w:hAnsi="IRNazanin" w:eastAsia="IRNazanin"/>
          <w:color w:val="111111"/>
          <w:sz w:val="28"/>
          <w:sz w:val="28"/>
          <w:szCs w:val="28"/>
          <w:rtl w:val="true"/>
          <w:lang w:bidi="fa-IR"/>
        </w:rPr>
        <w:t xml:space="preserve">وهی ضعیفة مرسلة </w:t>
      </w:r>
      <w:r>
        <w:rPr>
          <w:rStyle w:val="FootnoteAnchor"/>
          <w:rtl w:val="true"/>
        </w:rPr>
        <w:footnoteReference w:id="2430"/>
      </w:r>
      <w:r>
        <w:rPr>
          <w:rFonts w:ascii="IRNazanin" w:hAnsi="IRNazanin" w:eastAsia="IRNazanin"/>
          <w:color w:val="111111"/>
          <w:sz w:val="28"/>
          <w:sz w:val="28"/>
          <w:szCs w:val="28"/>
          <w:rtl w:val="true"/>
          <w:lang w:bidi="fa-IR"/>
        </w:rPr>
        <w:t>والعجب من ابن إدریس المانع من خبر الواحد مطلقاً کیف یذهب هنا إلی ذلک؟ لکن لعلّه استند إلی ما توهّمه من الإجماع، لا إلی الروایة</w:t>
      </w:r>
      <w:r>
        <w:rPr>
          <w:rFonts w:eastAsia="IRNazanin" w:cs="IRNazanin"/>
          <w:color w:val="111111"/>
          <w:sz w:val="28"/>
          <w:szCs w:val="28"/>
          <w:rtl w:val="true"/>
          <w:lang w:bidi="fa-IR"/>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قول 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الواجب فیه القیمة </w:t>
      </w:r>
      <w:r>
        <w:rPr>
          <w:rStyle w:val="FootnoteAnchor"/>
          <w:rtl w:val="true"/>
        </w:rPr>
        <w:footnoteReference w:id="2431"/>
      </w:r>
      <w:r>
        <w:rPr>
          <w:rFonts w:ascii="Amiri" w:hAnsi="Amiri" w:eastAsia="Amiri" w:cs="Amiri"/>
          <w:color w:val="111111"/>
          <w:sz w:val="28"/>
          <w:sz w:val="28"/>
          <w:szCs w:val="28"/>
          <w:rtl w:val="true"/>
          <w:lang w:bidi="ar-SA"/>
        </w:rPr>
        <w:t xml:space="preserve">کما مرّ </w:t>
      </w:r>
      <w:r>
        <w:rPr>
          <w:rStyle w:val="FootnoteAnchor"/>
          <w:rtl w:val="true"/>
        </w:rPr>
        <w:footnoteReference w:id="24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کلب الحائط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البستان وما فی معناه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عشرون درهماً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نقف علی مستنده، فالقول بالقیمة أجود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کلب الزرع قفیز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طعام، وهو فی روایة أبی بصیر المتقدّمة </w:t>
      </w:r>
      <w:r>
        <w:rPr>
          <w:rStyle w:val="FootnoteAnchor"/>
          <w:rtl w:val="true"/>
        </w:rPr>
        <w:footnoteReference w:id="2433"/>
      </w:r>
      <w:r>
        <w:rPr>
          <w:rFonts w:ascii="Amiri" w:hAnsi="Amiri" w:eastAsia="Amiri" w:cs="Amiri"/>
          <w:color w:val="111111"/>
          <w:sz w:val="28"/>
          <w:sz w:val="28"/>
          <w:szCs w:val="28"/>
          <w:rtl w:val="true"/>
          <w:lang w:bidi="ar-SA"/>
        </w:rPr>
        <w:t xml:space="preserve">وخصّه بعض الأصحاب بالحنطة </w:t>
      </w:r>
      <w:r>
        <w:rPr>
          <w:rStyle w:val="FootnoteAnchor"/>
          <w:rtl w:val="true"/>
        </w:rPr>
        <w:footnoteReference w:id="2434"/>
      </w:r>
      <w:r>
        <w:rPr>
          <w:rFonts w:ascii="IRNazanin" w:hAnsi="IRNazanin" w:eastAsia="IRNazanin"/>
          <w:color w:val="111111"/>
          <w:sz w:val="28"/>
          <w:sz w:val="28"/>
          <w:szCs w:val="28"/>
          <w:rtl w:val="true"/>
          <w:lang w:bidi="fa-IR"/>
        </w:rPr>
        <w:t>وهو حسن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تقدیر لما عداها ولا ضمان علی قاتلها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وشمل إطلاقه کلب الدار وهو أشهر القولین </w:t>
      </w:r>
      <w:r>
        <w:rPr>
          <w:rStyle w:val="FootnoteAnchor"/>
          <w:rtl w:val="true"/>
        </w:rPr>
        <w:footnoteReference w:id="2435"/>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روایة أبی بصیر عن أحدهما أنّ فی کلب الأهل قفیزاً من تراب واختاره بعض الأصحاب </w:t>
      </w:r>
      <w:r>
        <w:rPr>
          <w:rStyle w:val="FootnoteAnchor"/>
          <w:rtl w:val="true"/>
        </w:rPr>
        <w:footnoteReference w:id="24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الخنزیر فیضمن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للذمّی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الاستتار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بقیمته عند مستحلّیه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أتلفه، وبأرشه کذلک إن أعابه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وکذا لو أتلف المسلم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علی الذمّی المستتر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وترک التصریح بالذمّی لظهوره، ولعلّ التصریح کان أظهر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خمراً أو آلة لهو مع استتاره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أظهر شیئاً منها </w:t>
      </w:r>
      <w:r>
        <w:rPr>
          <w:rStyle w:val="FootnoteAnchor"/>
          <w:rtl w:val="true"/>
        </w:rPr>
        <w:footnoteReference w:id="2437"/>
      </w:r>
      <w:r>
        <w:rPr>
          <w:rFonts w:ascii="IRNazanin" w:hAnsi="IRNazanin" w:eastAsia="IRNazanin"/>
          <w:color w:val="111111"/>
          <w:sz w:val="28"/>
          <w:sz w:val="28"/>
          <w:szCs w:val="28"/>
          <w:rtl w:val="true"/>
          <w:lang w:bidi="fa-IR"/>
        </w:rPr>
        <w:t xml:space="preserve">فلا ضمان علی المتلف مسلماً کان أم کافراً فیهما </w:t>
      </w:r>
      <w:r>
        <w:rPr>
          <w:rStyle w:val="FootnoteAnchor"/>
          <w:rtl w:val="true"/>
        </w:rPr>
        <w:footnoteReference w:id="2438"/>
      </w:r>
      <w:r>
        <w:rPr>
          <w:rFonts w:eastAsia="Times New Roman" w:cs="Times New Roman" w:ascii="Times New Roman" w:hAnsi="Times New Roman"/>
          <w:color w:val="111111"/>
          <w:sz w:val="28"/>
          <w:szCs w:val="28"/>
          <w:rtl w:val="true"/>
          <w:lang w:val="en-US" w:bidi="en-US"/>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ویضمن الغاصب قیمة الکلب السوقیّة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مؤاخذ بأشقّ الأحوال وجانب المالیّة معتبر فی حقّه مطلقاً </w:t>
      </w:r>
      <w:r>
        <w:rPr>
          <w:rStyle w:val="FootnoteAnchor"/>
          <w:rtl w:val="true"/>
        </w:rPr>
        <w:footnoteReference w:id="24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بخلاف الجانی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لا یضمن</w:t>
      </w:r>
    </w:p>
    <w:p>
      <w:pPr>
        <w:pStyle w:val="BookText"/>
        <w:rPr/>
      </w:pPr>
      <w:r>
        <w:rPr>
          <w:rFonts w:ascii="IRNazanin" w:hAnsi="IRNazanin" w:eastAsia="IRNazanin"/>
          <w:color w:val="111111"/>
          <w:sz w:val="28"/>
          <w:sz w:val="28"/>
          <w:szCs w:val="28"/>
          <w:rtl w:val="true"/>
          <w:lang w:bidi="fa-IR"/>
        </w:rPr>
        <w:t xml:space="preserve">إلّا المقدّر الشرعی، وإنّما یضمن الغاصب القیمة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 تنقص عن المقدّر الشرعی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فیضمن المقدّر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وبالجملة، فیضمن الغاصب أکثر الأمرین من القیمة والمقدّر الشرعی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ویضمن صاحب الماشیة جنایتها لیلاً، لا نهاراً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المشهور والمستند روایة السکونی عن أبی عبد اللّٰه علیه السلام عن أبیه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علیّ علیه السلام لا یضمن ما أفسدت البهائم نهاراً ویقول علی صاحب الزرع حفظه، وکان یضمن ما أفسدته لیلاً</w:t>
      </w:r>
      <w:r>
        <w:rPr>
          <w:rFonts w:eastAsia="IRNazanin" w:cs="IRNazanin"/>
          <w:color w:val="111111"/>
          <w:sz w:val="28"/>
          <w:szCs w:val="28"/>
          <w:rtl w:val="true"/>
          <w:lang w:bidi="fa-IR"/>
        </w:rPr>
        <w:t xml:space="preserve">» </w:t>
      </w:r>
      <w:r>
        <w:rPr>
          <w:rStyle w:val="FootnoteAnchor"/>
          <w:rtl w:val="true"/>
        </w:rPr>
        <w:footnoteReference w:id="2440"/>
      </w:r>
      <w:r>
        <w:rPr>
          <w:rFonts w:ascii="IRNazanin" w:hAnsi="IRNazanin" w:eastAsia="IRNazanin"/>
          <w:color w:val="111111"/>
          <w:sz w:val="28"/>
          <w:sz w:val="28"/>
          <w:szCs w:val="28"/>
          <w:rtl w:val="true"/>
          <w:lang w:bidi="fa-IR"/>
        </w:rPr>
        <w:t xml:space="preserve">وروی ذلک عن النبیّ صلی الله علیه و آله </w:t>
      </w:r>
      <w:r>
        <w:rPr>
          <w:rStyle w:val="FootnoteAnchor"/>
          <w:rtl w:val="true"/>
        </w:rPr>
        <w:footnoteReference w:id="24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جلّة المتأخّرین کابن إدریس </w:t>
      </w:r>
      <w:r>
        <w:rPr>
          <w:rStyle w:val="FootnoteAnchor"/>
          <w:rtl w:val="true"/>
        </w:rPr>
        <w:footnoteReference w:id="2442"/>
      </w:r>
      <w:r>
        <w:rPr>
          <w:rFonts w:ascii="IRNazanin" w:hAnsi="IRNazanin" w:eastAsia="IRNazanin"/>
          <w:color w:val="111111"/>
          <w:sz w:val="28"/>
          <w:sz w:val="28"/>
          <w:szCs w:val="28"/>
          <w:rtl w:val="true"/>
          <w:lang w:bidi="fa-IR"/>
        </w:rPr>
        <w:t xml:space="preserve">وابن سعید </w:t>
      </w:r>
      <w:r>
        <w:rPr>
          <w:rStyle w:val="FootnoteAnchor"/>
          <w:rtl w:val="true"/>
        </w:rPr>
        <w:footnoteReference w:id="2443"/>
      </w:r>
      <w:r>
        <w:rPr>
          <w:rFonts w:ascii="Amiri" w:hAnsi="Amiri" w:eastAsia="Amiri" w:cs="Amiri"/>
          <w:color w:val="111111"/>
          <w:sz w:val="28"/>
          <w:sz w:val="28"/>
          <w:szCs w:val="28"/>
          <w:rtl w:val="true"/>
          <w:lang w:bidi="ar-SA"/>
        </w:rPr>
        <w:t xml:space="preserve">والعلّامة </w:t>
      </w:r>
      <w:r>
        <w:rPr>
          <w:rStyle w:val="FootnoteAnchor"/>
          <w:rtl w:val="true"/>
        </w:rPr>
        <w:footnoteReference w:id="24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اعتبر التفریط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الضمان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لیلاً ونهاراً، إمّا استضعافاً للروایة </w:t>
      </w:r>
      <w:r>
        <w:rPr>
          <w:rStyle w:val="FootnoteAnchor"/>
          <w:rtl w:val="true"/>
        </w:rPr>
        <w:footnoteReference w:id="2445"/>
      </w:r>
      <w:r>
        <w:rPr>
          <w:rFonts w:ascii="IRNazanin" w:hAnsi="IRNazanin" w:eastAsia="IRNazanin"/>
          <w:color w:val="111111"/>
          <w:sz w:val="28"/>
          <w:sz w:val="28"/>
          <w:szCs w:val="28"/>
          <w:rtl w:val="true"/>
          <w:lang w:bidi="fa-IR"/>
        </w:rPr>
        <w:t>أو حملاً لها علی ذلک</w:t>
      </w:r>
      <w:r>
        <w:rPr>
          <w:rFonts w:eastAsia="IRNazanin" w:cs="IRNazanin"/>
          <w:color w:val="111111"/>
          <w:sz w:val="28"/>
          <w:szCs w:val="28"/>
          <w:rtl w:val="true"/>
          <w:lang w:bidi="fa-IR"/>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والحقّ أنّ العمل لیس علی هذه الروایة، بل إجماع الأصحاب، ولمّا کان الغالب حفظ الدابّة لیلاً وحفظ الزرع نهاراً خُرّج الحکم علیه، ولیس فی حکم المتأخّرین ردّ لقول القدماء، فلا ینبغی أن یکون الاختلاف هنا إلّافی مجرّد العبارة عن الضابط، أمّا المعنی فلا خلاف فیه </w:t>
      </w:r>
      <w:r>
        <w:rPr>
          <w:rStyle w:val="FootnoteAnchor"/>
          <w:rtl w:val="true"/>
        </w:rPr>
        <w:footnoteReference w:id="2446"/>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یخفی ما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کان فالأقوی اعتبار التفریط وعدمه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قیس عن أبی جعفر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بعیر بین أربعة عقله أحدهم فوقع فی بئر فانکسر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علی الشرکاء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حصّته؛ لأنّه حَفِظ وضیّعوا، روی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جعفر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أمیر المؤمنین علیه السلام</w:t>
      </w:r>
      <w:r>
        <w:rPr>
          <w:rFonts w:eastAsia="IRNazanin" w:cs="IRNazanin"/>
          <w:color w:val="111111"/>
          <w:sz w:val="28"/>
          <w:szCs w:val="28"/>
          <w:rtl w:val="true"/>
          <w:lang w:bidi="fa-IR"/>
        </w:rPr>
        <w:t xml:space="preserve">» </w:t>
      </w:r>
      <w:r>
        <w:rPr>
          <w:rStyle w:val="FootnoteAnchor"/>
          <w:rtl w:val="true"/>
        </w:rPr>
        <w:footnoteReference w:id="2447"/>
      </w:r>
      <w:r>
        <w:rPr>
          <w:rFonts w:ascii="IRNazanin" w:hAnsi="IRNazanin" w:eastAsia="IRNazanin"/>
          <w:color w:val="111111"/>
          <w:sz w:val="28"/>
          <w:sz w:val="28"/>
          <w:szCs w:val="28"/>
          <w:rtl w:val="true"/>
          <w:lang w:bidi="fa-IR"/>
        </w:rPr>
        <w:t xml:space="preserve">وهو مشکل علی إطلاقه، فإنّ مجرّد وقوعه أعمّ من تفریطهم فیه، بل من تفریط العاقل، ومن ثمّ أوردها المصنّف کغیره </w:t>
      </w:r>
      <w:r>
        <w:rPr>
          <w:rStyle w:val="FootnoteAnchor"/>
          <w:rtl w:val="true"/>
        </w:rPr>
        <w:footnoteReference w:id="2448"/>
      </w:r>
      <w:r>
        <w:rPr>
          <w:rFonts w:ascii="IRNazanin" w:hAnsi="IRNazanin" w:eastAsia="IRNazanin"/>
          <w:color w:val="111111"/>
          <w:sz w:val="28"/>
          <w:sz w:val="28"/>
          <w:szCs w:val="28"/>
          <w:rtl w:val="true"/>
          <w:lang w:bidi="fa-IR"/>
        </w:rPr>
        <w:t>بلفظ 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حملها علی ما لو عقله وسلّمه إلیهم ففرّطوا، أو 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والأقوی ضمان المفرّط منهم دون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والروایة حکایة فی واقعة محتملة للتأویل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ولیکن هذا آخر اللمعة، ولم نذکر سوی المهمّ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الأحکام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المشهور بین الأصحاب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بحسب الغالب، وإلّا فقد عرفت أ نّه ذکر أقوالاً نادرة غیر مشهورة وفروعاً غیر مذکورة</w:t>
      </w:r>
      <w:r>
        <w:rPr>
          <w:rFonts w:eastAsia="IRNazanin" w:cs="IRNazanin"/>
          <w:color w:val="111111"/>
          <w:sz w:val="28"/>
          <w:szCs w:val="28"/>
          <w:rtl w:val="true"/>
          <w:lang w:bidi="fa-IR"/>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والباعث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علی المذکور المدلول علیه بالفعل، أو علی تصنیف الکتاب وإن کان اسمه مؤنّثاً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الطلّاب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تقدّم بیانه </w:t>
      </w:r>
      <w:r>
        <w:rPr>
          <w:rStyle w:val="FootnoteAnchor"/>
          <w:rtl w:val="true"/>
        </w:rPr>
        <w:footnoteReference w:id="24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نفعه اللّٰه تعالی وإیّانا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وجمیع المؤمنین، ونفع بشرحه کما نفع بأصله بحقّ الحقّ وأهله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والحمد للّٰه‌وحده وصلواته </w:t>
      </w:r>
      <w:r>
        <w:rPr>
          <w:rStyle w:val="FootnoteAnchor"/>
          <w:rtl w:val="true"/>
        </w:rPr>
        <w:footnoteReference w:id="2450"/>
      </w:r>
      <w:r>
        <w:rPr>
          <w:rFonts w:ascii="IRNazanin" w:hAnsi="IRNazanin" w:eastAsia="IRNazanin"/>
          <w:color w:val="111111"/>
          <w:sz w:val="28"/>
          <w:sz w:val="28"/>
          <w:szCs w:val="28"/>
          <w:rtl w:val="true"/>
          <w:lang w:bidi="fa-IR"/>
        </w:rPr>
        <w:t>علی سیّدنا محمّد النبیّ، وعترته المعصومین، الذین أذهب اللّٰه عنهم الرجس وطهّرهم تطهیراً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هذا آخر کلام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روحه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ونحن نحمد اللّٰه تعالی علی توفیقه وتسهیله لتألیف هذا التعلیق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ونسأله من فضله وکرمه أن یجعله خالصاً لوجهه الکریم موجباً لثوابه الجسیم، وأن یغفر لنا ما قصرنا فیه من اجتهاد، أو وقع فیه من خلل فی إیراد، إنّه هو الغفور الرحیم</w:t>
      </w:r>
      <w:r>
        <w:rPr>
          <w:rFonts w:eastAsia="IRNazanin" w:cs="IRNazanin"/>
          <w:color w:val="111111"/>
          <w:sz w:val="28"/>
          <w:szCs w:val="28"/>
          <w:rtl w:val="true"/>
          <w:lang w:bidi="fa-IR"/>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وفرغ من تسویده مؤلّفه الفقیر إلی عفو اللّٰه ورحمته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 الدین بن علیّ بن أحمد الشامی العاملی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عامله اللّٰه تعالی بفضله ونعمه، وعفا عن سیّئاته وزلّاته بجوده وکرمه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ضیق المجال وتراکم الأهوال الموجبة لتشویش البال خاتمة لیلة السبت وهی الحادیة والعشرون من شهر جمادی الاُولی سنة سبع وخمسین وتسعمئة من الهجرة النبویّة، حامداً مصلّیاً مسلِّماً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صلّ علی محمّد وآل محمّد واختم بخیر یا کریم </w:t>
      </w:r>
      <w:r>
        <w:rPr>
          <w:rStyle w:val="FootnoteAnchor"/>
          <w:rtl w:val="true"/>
        </w:rPr>
        <w:footnoteReference w:id="2451"/>
      </w:r>
      <w:r>
        <w:rPr>
          <w:rFonts w:eastAsia="Times New Roman" w:cs="Times New Roman" w:ascii="Times New Roman" w:hAnsi="Times New Roman"/>
          <w:color w:val="111111"/>
          <w:sz w:val="28"/>
          <w:szCs w:val="28"/>
          <w:rtl w:val="true"/>
          <w:lang w:val="en-US" w:bidi="en-US"/>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4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4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مذهب خلیل النحوی، فإنّ ما جاء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اسم للفاعل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ر</w:t>
      </w:r>
      <w:r>
        <w:rPr>
          <w:rFonts w:eastAsia="IRNazanin" w:cs="IRNazanin"/>
          <w:b w:val="false"/>
          <w:bCs w:val="false"/>
          <w:i w:val="false"/>
          <w:iCs w:val="false"/>
          <w:color w:val="333333"/>
          <w:sz w:val="20"/>
          <w:szCs w:val="20"/>
          <w:rtl w:val="true"/>
        </w:rPr>
        <w:t>) .</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وفی سائر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حیث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اللقیط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 صبیّ أو صبیّة أو مجنون ضائع لا کافل له</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أطلق المصنّف الأب والجدّ، وزاد فی الدروس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الاُمّ وإن علت، ومحلّ النزاع غیر محرزٍ، فإنّ الحکم إن کان مختصّاً بمن یجب الإنفاق علیه فهو العمودان، وإن کان من یجب علیه الحضانة، فینبغی بناؤه علی الخلاف فیمن یجب علیه، فإن قیل بتعدّیها إلی الأقارب یُعدّی هنا فینبغی تأمّل ذلک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 .</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بالکسر، والمراد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الأب والجدّ والوصیّ</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2:201</w:t>
      </w:r>
      <w:r>
        <w:rPr>
          <w:rFonts w:ascii="IRNazanin" w:hAnsi="IRNazanin" w:eastAsia="IRNazanin"/>
          <w:b w:val="false"/>
          <w:b w:val="false"/>
          <w:bCs w:val="false"/>
          <w:i w:val="false"/>
          <w:i w:val="false"/>
          <w:iCs w:val="false"/>
          <w:color w:val="333333"/>
          <w:sz w:val="20"/>
          <w:sz w:val="20"/>
          <w:szCs w:val="20"/>
          <w:rtl w:val="true"/>
        </w:rPr>
        <w:t>، ولم یقیّده بالحول</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3:328</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التحریر </w:t>
      </w:r>
      <w:r>
        <w:rPr>
          <w:rFonts w:eastAsia="IRNazanin" w:cs="IRNazanin"/>
          <w:b w:val="false"/>
          <w:bCs w:val="false"/>
          <w:i w:val="false"/>
          <w:iCs w:val="false"/>
          <w:color w:val="333333"/>
          <w:sz w:val="20"/>
          <w:szCs w:val="20"/>
        </w:rPr>
        <w:t>4:448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6044</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الثانی فی جامع المقاصد </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التقیید بکونه مراهقاً</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3:340</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2:201</w:t>
      </w:r>
      <w:r>
        <w:rPr>
          <w:rFonts w:ascii="IRNazanin" w:hAnsi="IRNazanin" w:eastAsia="IRNazanin"/>
          <w:b w:val="false"/>
          <w:b w:val="false"/>
          <w:bCs w:val="false"/>
          <w:i w:val="false"/>
          <w:i w:val="false"/>
          <w:iCs w:val="false"/>
          <w:color w:val="333333"/>
          <w:sz w:val="20"/>
          <w:sz w:val="20"/>
          <w:szCs w:val="20"/>
          <w:rtl w:val="true"/>
        </w:rPr>
        <w:t xml:space="preserve">، والإرشاد </w:t>
      </w:r>
      <w:r>
        <w:rPr>
          <w:rFonts w:eastAsia="IRNazanin" w:cs="IRNazanin"/>
          <w:b w:val="false"/>
          <w:bCs w:val="false"/>
          <w:i w:val="false"/>
          <w:iCs w:val="false"/>
          <w:color w:val="333333"/>
          <w:sz w:val="20"/>
          <w:szCs w:val="20"/>
        </w:rPr>
        <w:t>1:440</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المحقّق فی الشرائع </w:t>
      </w:r>
      <w:r>
        <w:rPr>
          <w:rFonts w:eastAsia="IRNazanin" w:cs="IRNazanin"/>
          <w:b w:val="false"/>
          <w:bCs w:val="false"/>
          <w:i w:val="false"/>
          <w:iCs w:val="false"/>
          <w:color w:val="333333"/>
          <w:sz w:val="20"/>
          <w:szCs w:val="20"/>
        </w:rPr>
        <w:t>3:284</w:t>
      </w:r>
      <w:r>
        <w:rPr>
          <w:rFonts w:ascii="IRNazanin" w:hAnsi="IRNazanin" w:eastAsia="IRNazanin"/>
          <w:b w:val="false"/>
          <w:b w:val="false"/>
          <w:bCs w:val="false"/>
          <w:i w:val="false"/>
          <w:i w:val="false"/>
          <w:iCs w:val="false"/>
          <w:color w:val="333333"/>
          <w:sz w:val="20"/>
          <w:sz w:val="20"/>
          <w:szCs w:val="20"/>
          <w:rtl w:val="true"/>
        </w:rPr>
        <w:t xml:space="preserve">، وتلمیذه فی کشف الرموز ونفی عنه الخلاف، واستقربه الشهید فی الدروس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قوّاه المحقّق الثانی فی جامع المقاصد </w:t>
      </w:r>
      <w:r>
        <w:rPr>
          <w:rFonts w:eastAsia="IRNazanin" w:cs="IRNazanin"/>
          <w:b w:val="false"/>
          <w:bCs w:val="false"/>
          <w:i w:val="false"/>
          <w:iCs w:val="false"/>
          <w:color w:val="333333"/>
          <w:sz w:val="20"/>
          <w:szCs w:val="20"/>
        </w:rPr>
        <w:t>6:108</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المخطوطات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یُعلم عدالته ولا فسقه</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الحکم اختاره العلّامة فی التذکرة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اشتراط العدالة، ویضعّف بأنّ تمکّنه من المال مع عدم الشرط غیر جائز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 .</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الشیخ فی المبسوط </w:t>
      </w:r>
      <w:r>
        <w:rPr>
          <w:rFonts w:eastAsia="IRNazanin" w:cs="IRNazanin"/>
          <w:b w:val="false"/>
          <w:bCs w:val="false"/>
          <w:i w:val="false"/>
          <w:iCs w:val="false"/>
          <w:color w:val="333333"/>
          <w:sz w:val="20"/>
          <w:szCs w:val="20"/>
        </w:rPr>
        <w:t>3:340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الشیخ فی المبسوط </w:t>
      </w:r>
      <w:r>
        <w:rPr>
          <w:rFonts w:eastAsia="IRNazanin" w:cs="IRNazanin"/>
          <w:b w:val="false"/>
          <w:bCs w:val="false"/>
          <w:i w:val="false"/>
          <w:iCs w:val="false"/>
          <w:color w:val="333333"/>
          <w:sz w:val="20"/>
          <w:szCs w:val="20"/>
        </w:rPr>
        <w:t>3:336</w:t>
      </w:r>
      <w:r>
        <w:rPr>
          <w:rFonts w:ascii="IRNazanin" w:hAnsi="IRNazanin" w:eastAsia="IRNazanin"/>
          <w:b w:val="false"/>
          <w:b w:val="false"/>
          <w:bCs w:val="false"/>
          <w:i w:val="false"/>
          <w:i w:val="false"/>
          <w:iCs w:val="false"/>
          <w:color w:val="333333"/>
          <w:sz w:val="20"/>
          <w:sz w:val="20"/>
          <w:szCs w:val="20"/>
          <w:rtl w:val="true"/>
        </w:rPr>
        <w:t xml:space="preserve">، واختاره العلّامة فی القواعد </w:t>
      </w:r>
      <w:r>
        <w:rPr>
          <w:rFonts w:eastAsia="IRNazanin" w:cs="IRNazanin"/>
          <w:b w:val="false"/>
          <w:bCs w:val="false"/>
          <w:i w:val="false"/>
          <w:iCs w:val="false"/>
          <w:color w:val="333333"/>
          <w:sz w:val="20"/>
          <w:szCs w:val="20"/>
        </w:rPr>
        <w:t>2:200</w:t>
      </w:r>
      <w:r>
        <w:rPr>
          <w:rFonts w:ascii="IRNazanin" w:hAnsi="IRNazanin" w:eastAsia="IRNazanin"/>
          <w:b w:val="false"/>
          <w:b w:val="false"/>
          <w:bCs w:val="false"/>
          <w:i w:val="false"/>
          <w:i w:val="false"/>
          <w:iCs w:val="false"/>
          <w:color w:val="333333"/>
          <w:sz w:val="20"/>
          <w:sz w:val="20"/>
          <w:szCs w:val="20"/>
          <w:rtl w:val="true"/>
        </w:rPr>
        <w:t xml:space="preserve">، والإرشاد </w:t>
      </w:r>
      <w:r>
        <w:rPr>
          <w:rFonts w:eastAsia="IRNazanin" w:cs="IRNazanin"/>
          <w:b w:val="false"/>
          <w:bCs w:val="false"/>
          <w:i w:val="false"/>
          <w:iCs w:val="false"/>
          <w:color w:val="333333"/>
          <w:sz w:val="20"/>
          <w:szCs w:val="20"/>
        </w:rPr>
        <w:t>1:441</w:t>
      </w:r>
      <w:r>
        <w:rPr>
          <w:rFonts w:ascii="IRNazanin" w:hAnsi="IRNazanin" w:eastAsia="IRNazanin"/>
          <w:b w:val="false"/>
          <w:b w:val="false"/>
          <w:bCs w:val="false"/>
          <w:i w:val="false"/>
          <w:i w:val="false"/>
          <w:iCs w:val="false"/>
          <w:color w:val="333333"/>
          <w:sz w:val="20"/>
          <w:sz w:val="20"/>
          <w:szCs w:val="20"/>
          <w:rtl w:val="true"/>
        </w:rPr>
        <w:t xml:space="preserve">، ونسبه فی غایة المرام </w:t>
      </w:r>
      <w:r>
        <w:rPr>
          <w:rFonts w:eastAsia="IRNazanin" w:cs="IRNazanin"/>
          <w:b w:val="false"/>
          <w:bCs w:val="false"/>
          <w:i w:val="false"/>
          <w:iCs w:val="false"/>
          <w:color w:val="333333"/>
          <w:sz w:val="20"/>
          <w:szCs w:val="20"/>
        </w:rPr>
        <w:t>4:145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المشهور</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فی الشرائع </w:t>
      </w:r>
      <w:r>
        <w:rPr>
          <w:rFonts w:eastAsia="IRNazanin" w:cs="IRNazanin"/>
          <w:b w:val="false"/>
          <w:bCs w:val="false"/>
          <w:i w:val="false"/>
          <w:iCs w:val="false"/>
          <w:color w:val="333333"/>
          <w:sz w:val="20"/>
          <w:szCs w:val="20"/>
        </w:rPr>
        <w:t>3:285</w:t>
      </w:r>
      <w:r>
        <w:rPr>
          <w:rFonts w:ascii="IRNazanin" w:hAnsi="IRNazanin" w:eastAsia="IRNazanin"/>
          <w:b w:val="false"/>
          <w:b w:val="false"/>
          <w:bCs w:val="false"/>
          <w:i w:val="false"/>
          <w:i w:val="false"/>
          <w:iCs w:val="false"/>
          <w:color w:val="333333"/>
          <w:sz w:val="20"/>
          <w:sz w:val="20"/>
          <w:szCs w:val="20"/>
          <w:rtl w:val="true"/>
        </w:rPr>
        <w:t>، والمختصر النافع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جانبیه</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سلف فی الصفحة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اختاره المحقّق فی الشرائع </w:t>
      </w:r>
      <w:r>
        <w:rPr>
          <w:rFonts w:eastAsia="IRNazanin" w:cs="IRNazanin"/>
          <w:b w:val="false"/>
          <w:bCs w:val="false"/>
          <w:i w:val="false"/>
          <w:iCs w:val="false"/>
          <w:color w:val="333333"/>
          <w:sz w:val="20"/>
          <w:szCs w:val="20"/>
        </w:rPr>
        <w:t>3:286</w:t>
      </w:r>
      <w:r>
        <w:rPr>
          <w:rFonts w:ascii="IRNazanin" w:hAnsi="IRNazanin" w:eastAsia="IRNazanin"/>
          <w:b w:val="false"/>
          <w:b w:val="false"/>
          <w:bCs w:val="false"/>
          <w:i w:val="false"/>
          <w:i w:val="false"/>
          <w:iCs w:val="false"/>
          <w:color w:val="333333"/>
          <w:sz w:val="20"/>
          <w:sz w:val="20"/>
          <w:szCs w:val="20"/>
          <w:rtl w:val="true"/>
        </w:rPr>
        <w:t xml:space="preserve">، والعلّامة فی الإرشاد </w:t>
      </w:r>
      <w:r>
        <w:rPr>
          <w:rFonts w:eastAsia="IRNazanin" w:cs="IRNazanin"/>
          <w:b w:val="false"/>
          <w:bCs w:val="false"/>
          <w:i w:val="false"/>
          <w:iCs w:val="false"/>
          <w:color w:val="333333"/>
          <w:sz w:val="20"/>
          <w:szCs w:val="20"/>
        </w:rPr>
        <w:t>1:441</w:t>
      </w:r>
      <w:r>
        <w:rPr>
          <w:rFonts w:ascii="IRNazanin" w:hAnsi="IRNazanin" w:eastAsia="IRNazanin"/>
          <w:b w:val="false"/>
          <w:b w:val="false"/>
          <w:bCs w:val="false"/>
          <w:i w:val="false"/>
          <w:i w:val="false"/>
          <w:iCs w:val="false"/>
          <w:color w:val="333333"/>
          <w:sz w:val="20"/>
          <w:sz w:val="20"/>
          <w:szCs w:val="20"/>
          <w:rtl w:val="true"/>
        </w:rPr>
        <w:t xml:space="preserve">، ونسبه فی المسالک </w:t>
      </w:r>
      <w:r>
        <w:rPr>
          <w:rFonts w:eastAsia="IRNazanin" w:cs="IRNazanin"/>
          <w:b w:val="false"/>
          <w:bCs w:val="false"/>
          <w:i w:val="false"/>
          <w:iCs w:val="false"/>
          <w:color w:val="333333"/>
          <w:sz w:val="20"/>
          <w:szCs w:val="20"/>
        </w:rPr>
        <w:t>12:478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الأکثر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والقول الآخر للشیخ فی المبسوط </w:t>
      </w:r>
      <w:r>
        <w:rPr>
          <w:rFonts w:eastAsia="IRNazanin" w:cs="IRNazanin"/>
          <w:b w:val="false"/>
          <w:bCs w:val="false"/>
          <w:i w:val="false"/>
          <w:iCs w:val="false"/>
          <w:color w:val="333333"/>
          <w:sz w:val="20"/>
          <w:szCs w:val="20"/>
        </w:rPr>
        <w:t>3:346</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زاد علی المعروف</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فی مفتاح الکرامة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التذکرة، اُنظر التذکرة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الحجریّة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3:596</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اللقطة</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یجوز فی نحو هذه الهمزة کتبها یاءً وواواً؛ لأنّها وإن کانت متطرّفةً إلّاأ نّها فی حکم المتوسّطة بسبب اتّصالها بالضمیر، فتکتب علی نحو ما تخفّف وفی تخفیفها وجهان، وکذا فی کتابتها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 .</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3:350</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یُسمّی</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17:349</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اللقطة،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وغیرها فی الباب وغیره</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القول بالجواز للحفظ للعلّامة فی التذکرة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الحجریّة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والقول بعدم الجواز للشیخ فی المبسوط </w:t>
      </w:r>
      <w:r>
        <w:rPr>
          <w:rFonts w:eastAsia="IRNazanin" w:cs="IRNazanin"/>
          <w:b w:val="false"/>
          <w:bCs w:val="false"/>
          <w:i w:val="false"/>
          <w:iCs w:val="false"/>
          <w:color w:val="333333"/>
          <w:sz w:val="20"/>
          <w:szCs w:val="20"/>
        </w:rPr>
        <w:t>3:319</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قاعدة الإحسان المستندة إلی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عَلَی اَلْمُحْسِنِینَ مِنْ سَبِیلٍ 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اختاره العلّامة فی التحریر </w:t>
      </w:r>
      <w:r>
        <w:rPr>
          <w:rFonts w:eastAsia="IRNazanin" w:cs="IRNazanin"/>
          <w:b w:val="false"/>
          <w:bCs w:val="false"/>
          <w:i w:val="false"/>
          <w:iCs w:val="false"/>
          <w:color w:val="333333"/>
          <w:sz w:val="20"/>
          <w:szCs w:val="20"/>
        </w:rPr>
        <w:t>4:458</w:t>
      </w:r>
      <w:r>
        <w:rPr>
          <w:rFonts w:ascii="IRNazanin" w:hAnsi="IRNazanin" w:eastAsia="IRNazanin"/>
          <w:b w:val="false"/>
          <w:b w:val="false"/>
          <w:bCs w:val="false"/>
          <w:i w:val="false"/>
          <w:i w:val="false"/>
          <w:iCs w:val="false"/>
          <w:color w:val="333333"/>
          <w:sz w:val="20"/>
          <w:sz w:val="20"/>
          <w:szCs w:val="20"/>
          <w:rtl w:val="true"/>
        </w:rPr>
        <w:t xml:space="preserve">، ذیل الرقم </w:t>
      </w:r>
      <w:r>
        <w:rPr>
          <w:rFonts w:eastAsia="IRNazanin" w:cs="IRNazanin"/>
          <w:b w:val="false"/>
          <w:bCs w:val="false"/>
          <w:i w:val="false"/>
          <w:iCs w:val="false"/>
          <w:color w:val="333333"/>
          <w:sz w:val="20"/>
          <w:szCs w:val="20"/>
        </w:rPr>
        <w:t>6057</w:t>
      </w:r>
      <w:r>
        <w:rPr>
          <w:rFonts w:ascii="IRNazanin" w:hAnsi="IRNazanin" w:eastAsia="IRNazanin"/>
          <w:b w:val="false"/>
          <w:b w:val="false"/>
          <w:bCs w:val="false"/>
          <w:i w:val="false"/>
          <w:i w:val="false"/>
          <w:iCs w:val="false"/>
          <w:color w:val="333333"/>
          <w:sz w:val="20"/>
          <w:sz w:val="20"/>
          <w:szCs w:val="20"/>
          <w:rtl w:val="true"/>
        </w:rPr>
        <w:t xml:space="preserve">، والشهید فی الدروس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والمحقّق الثانی فی جامع المقاصد </w:t>
      </w:r>
      <w:r>
        <w:rPr>
          <w:rFonts w:eastAsia="IRNazanin" w:cs="IRNazanin"/>
          <w:b w:val="false"/>
          <w:bCs w:val="false"/>
          <w:i w:val="false"/>
          <w:iCs w:val="false"/>
          <w:color w:val="333333"/>
          <w:sz w:val="20"/>
          <w:szCs w:val="20"/>
        </w:rPr>
        <w:t>6:139</w:t>
      </w:r>
      <w:r>
        <w:rPr>
          <w:rFonts w:ascii="IRNazanin" w:hAnsi="IRNazanin" w:eastAsia="IRNazanin"/>
          <w:b w:val="false"/>
          <w:b w:val="false"/>
          <w:bCs w:val="false"/>
          <w:i w:val="false"/>
          <w:i w:val="false"/>
          <w:iCs w:val="false"/>
          <w:color w:val="333333"/>
          <w:sz w:val="20"/>
          <w:sz w:val="20"/>
          <w:szCs w:val="20"/>
          <w:rtl w:val="true"/>
        </w:rPr>
        <w:t xml:space="preserve">، واعتمد علیه فی غایة المرام </w:t>
      </w:r>
      <w:r>
        <w:rPr>
          <w:rFonts w:eastAsia="IRNazanin" w:cs="IRNazanin"/>
          <w:b w:val="false"/>
          <w:bCs w:val="false"/>
          <w:i w:val="false"/>
          <w:iCs w:val="false"/>
          <w:color w:val="333333"/>
          <w:sz w:val="20"/>
          <w:szCs w:val="20"/>
        </w:rPr>
        <w:t>4:150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والقول الآخر قوّاه الفخر فی الإیضاح </w:t>
      </w:r>
      <w:r>
        <w:rPr>
          <w:rFonts w:eastAsia="IRNazanin" w:cs="IRNazanin"/>
          <w:b w:val="false"/>
          <w:bCs w:val="false"/>
          <w:i w:val="false"/>
          <w:iCs w:val="false"/>
          <w:color w:val="333333"/>
          <w:sz w:val="20"/>
          <w:szCs w:val="20"/>
        </w:rPr>
        <w:t>2:148</w:t>
      </w:r>
      <w:r>
        <w:rPr>
          <w:rFonts w:ascii="IRNazanin" w:hAnsi="IRNazanin" w:eastAsia="IRNazanin"/>
          <w:b w:val="false"/>
          <w:b w:val="false"/>
          <w:bCs w:val="false"/>
          <w:i w:val="false"/>
          <w:i w:val="false"/>
          <w:iCs w:val="false"/>
          <w:color w:val="333333"/>
          <w:sz w:val="20"/>
          <w:sz w:val="20"/>
          <w:szCs w:val="20"/>
          <w:rtl w:val="true"/>
        </w:rPr>
        <w:t>،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والأقوی عندی أنّ لمالکها أخذها</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17:364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اللقطة،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17:364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اللقطة،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17:364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اللقطة،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17:354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اللقطة،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علی القائل بالتوقّف، نعم فی التحریر </w:t>
      </w:r>
      <w:r>
        <w:rPr>
          <w:rFonts w:eastAsia="IRNazanin" w:cs="IRNazanin"/>
          <w:b w:val="false"/>
          <w:bCs w:val="false"/>
          <w:i w:val="false"/>
          <w:iCs w:val="false"/>
          <w:color w:val="333333"/>
          <w:sz w:val="20"/>
          <w:szCs w:val="20"/>
        </w:rPr>
        <w:t>4:460</w:t>
      </w:r>
      <w:r>
        <w:rPr>
          <w:rFonts w:ascii="IRNazanin" w:hAnsi="IRNazanin" w:eastAsia="IRNazanin"/>
          <w:b w:val="false"/>
          <w:b w:val="false"/>
          <w:bCs w:val="false"/>
          <w:i w:val="false"/>
          <w:i w:val="false"/>
          <w:iCs w:val="false"/>
          <w:color w:val="333333"/>
          <w:sz w:val="20"/>
          <w:sz w:val="20"/>
          <w:szCs w:val="20"/>
          <w:rtl w:val="true"/>
        </w:rPr>
        <w:t xml:space="preserve">، ذیل الرقم </w:t>
      </w:r>
      <w:r>
        <w:rPr>
          <w:rFonts w:eastAsia="IRNazanin" w:cs="IRNazanin"/>
          <w:b w:val="false"/>
          <w:bCs w:val="false"/>
          <w:i w:val="false"/>
          <w:iCs w:val="false"/>
          <w:color w:val="333333"/>
          <w:sz w:val="20"/>
          <w:szCs w:val="20"/>
        </w:rPr>
        <w:t>6065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والوجه وجوب التعریف</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17:349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اللقطة</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3:320</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التحریر </w:t>
      </w:r>
      <w:r>
        <w:rPr>
          <w:rFonts w:eastAsia="IRNazanin" w:cs="IRNazanin"/>
          <w:b w:val="false"/>
          <w:bCs w:val="false"/>
          <w:i w:val="false"/>
          <w:iCs w:val="false"/>
          <w:color w:val="333333"/>
          <w:sz w:val="20"/>
          <w:szCs w:val="20"/>
        </w:rPr>
        <w:t>4:458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6060</w:t>
      </w:r>
      <w:r>
        <w:rPr>
          <w:rFonts w:ascii="IRNazanin" w:hAnsi="IRNazanin" w:eastAsia="IRNazanin"/>
          <w:b w:val="false"/>
          <w:b w:val="false"/>
          <w:bCs w:val="false"/>
          <w:i w:val="false"/>
          <w:i w:val="false"/>
          <w:iCs w:val="false"/>
          <w:color w:val="333333"/>
          <w:sz w:val="20"/>
          <w:sz w:val="20"/>
          <w:szCs w:val="20"/>
          <w:rtl w:val="true"/>
        </w:rPr>
        <w:t xml:space="preserve">، والإرشاد </w:t>
      </w:r>
      <w:r>
        <w:rPr>
          <w:rFonts w:eastAsia="IRNazanin" w:cs="IRNazanin"/>
          <w:b w:val="false"/>
          <w:bCs w:val="false"/>
          <w:i w:val="false"/>
          <w:iCs w:val="false"/>
          <w:color w:val="333333"/>
          <w:sz w:val="20"/>
          <w:szCs w:val="20"/>
        </w:rPr>
        <w:t>2:442</w:t>
      </w:r>
      <w:r>
        <w:rPr>
          <w:rFonts w:ascii="IRNazanin" w:hAnsi="IRNazanin" w:eastAsia="IRNazanin"/>
          <w:b w:val="false"/>
          <w:b w:val="false"/>
          <w:bCs w:val="false"/>
          <w:i w:val="false"/>
          <w:i w:val="false"/>
          <w:iCs w:val="false"/>
          <w:color w:val="333333"/>
          <w:sz w:val="20"/>
          <w:sz w:val="20"/>
          <w:szCs w:val="20"/>
          <w:rtl w:val="true"/>
        </w:rPr>
        <w:t xml:space="preserve">، والقواعد </w:t>
      </w:r>
      <w:r>
        <w:rPr>
          <w:rFonts w:eastAsia="IRNazanin" w:cs="IRNazanin"/>
          <w:b w:val="false"/>
          <w:bCs w:val="false"/>
          <w:i w:val="false"/>
          <w:iCs w:val="false"/>
          <w:color w:val="333333"/>
          <w:sz w:val="20"/>
          <w:szCs w:val="20"/>
        </w:rPr>
        <w:t>2:206</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ابن إدریس فی السرائر </w:t>
      </w:r>
      <w:r>
        <w:rPr>
          <w:rFonts w:eastAsia="IRNazanin" w:cs="IRNazanin"/>
          <w:b w:val="false"/>
          <w:bCs w:val="false"/>
          <w:i w:val="false"/>
          <w:iCs w:val="false"/>
          <w:color w:val="333333"/>
          <w:sz w:val="20"/>
          <w:szCs w:val="20"/>
        </w:rPr>
        <w:t>2:101</w:t>
      </w:r>
      <w:r>
        <w:rPr>
          <w:rFonts w:ascii="IRNazanin" w:hAnsi="IRNazanin" w:eastAsia="IRNazanin"/>
          <w:b w:val="false"/>
          <w:b w:val="false"/>
          <w:bCs w:val="false"/>
          <w:i w:val="false"/>
          <w:i w:val="false"/>
          <w:iCs w:val="false"/>
          <w:color w:val="333333"/>
          <w:sz w:val="20"/>
          <w:sz w:val="20"/>
          <w:szCs w:val="20"/>
          <w:rtl w:val="true"/>
        </w:rPr>
        <w:t xml:space="preserve">، والمحقّق الثانی فی جامع المقاصد </w:t>
      </w:r>
      <w:r>
        <w:rPr>
          <w:rFonts w:eastAsia="IRNazanin" w:cs="IRNazanin"/>
          <w:b w:val="false"/>
          <w:bCs w:val="false"/>
          <w:i w:val="false"/>
          <w:iCs w:val="false"/>
          <w:color w:val="333333"/>
          <w:sz w:val="20"/>
          <w:szCs w:val="20"/>
        </w:rPr>
        <w:t>6:140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والصیمری فی غایة المرام </w:t>
      </w:r>
      <w:r>
        <w:rPr>
          <w:rFonts w:eastAsia="IRNazanin" w:cs="IRNazanin"/>
          <w:b w:val="false"/>
          <w:bCs w:val="false"/>
          <w:i w:val="false"/>
          <w:iCs w:val="false"/>
          <w:color w:val="333333"/>
          <w:sz w:val="20"/>
          <w:szCs w:val="20"/>
        </w:rPr>
        <w:t>4:151</w:t>
      </w:r>
      <w:r>
        <w:rPr>
          <w:rFonts w:ascii="IRNazanin" w:hAnsi="IRNazanin" w:eastAsia="IRNazanin"/>
          <w:b w:val="false"/>
          <w:b w:val="false"/>
          <w:bCs w:val="false"/>
          <w:i w:val="false"/>
          <w:i w:val="false"/>
          <w:iCs w:val="false"/>
          <w:color w:val="333333"/>
          <w:sz w:val="20"/>
          <w:sz w:val="20"/>
          <w:szCs w:val="20"/>
          <w:rtl w:val="true"/>
        </w:rPr>
        <w:t xml:space="preserve">، وابن فهد الحلّی فی المهذّب البارع </w:t>
      </w:r>
      <w:r>
        <w:rPr>
          <w:rFonts w:eastAsia="IRNazanin" w:cs="IRNazanin"/>
          <w:b w:val="false"/>
          <w:bCs w:val="false"/>
          <w:i w:val="false"/>
          <w:iCs w:val="false"/>
          <w:color w:val="333333"/>
          <w:sz w:val="20"/>
          <w:szCs w:val="20"/>
        </w:rPr>
        <w:t>4:302</w:t>
      </w:r>
      <w:r>
        <w:rPr>
          <w:rFonts w:ascii="IRNazanin" w:hAnsi="IRNazanin" w:eastAsia="IRNazanin"/>
          <w:b w:val="false"/>
          <w:b w:val="false"/>
          <w:bCs w:val="false"/>
          <w:i w:val="false"/>
          <w:i w:val="false"/>
          <w:iCs w:val="false"/>
          <w:color w:val="333333"/>
          <w:sz w:val="20"/>
          <w:sz w:val="20"/>
          <w:szCs w:val="20"/>
          <w:rtl w:val="true"/>
        </w:rPr>
        <w:t>، والمقتصر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الحجریّة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2:267</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ظبی، وهو الغزال</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العلّامة فی التذکرة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الحجریّة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2:269</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بها غیر اللقیط والضالّة من الأموال، لا الثمن المصطلح</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المحقّق فی الشرائع </w:t>
      </w:r>
      <w:r>
        <w:rPr>
          <w:rFonts w:eastAsia="IRNazanin" w:cs="IRNazanin"/>
          <w:b w:val="false"/>
          <w:bCs w:val="false"/>
          <w:i w:val="false"/>
          <w:iCs w:val="false"/>
          <w:color w:val="333333"/>
          <w:sz w:val="20"/>
          <w:szCs w:val="20"/>
        </w:rPr>
        <w:t>3:289</w:t>
      </w:r>
      <w:r>
        <w:rPr>
          <w:rFonts w:ascii="IRNazanin" w:hAnsi="IRNazanin" w:eastAsia="IRNazanin"/>
          <w:b w:val="false"/>
          <w:b w:val="false"/>
          <w:bCs w:val="false"/>
          <w:i w:val="false"/>
          <w:i w:val="false"/>
          <w:iCs w:val="false"/>
          <w:color w:val="333333"/>
          <w:sz w:val="20"/>
          <w:sz w:val="20"/>
          <w:szCs w:val="20"/>
          <w:rtl w:val="true"/>
        </w:rPr>
        <w:t xml:space="preserve">، والعلّامة فی القواعد </w:t>
      </w:r>
      <w:r>
        <w:rPr>
          <w:rFonts w:eastAsia="IRNazanin" w:cs="IRNazanin"/>
          <w:b w:val="false"/>
          <w:bCs w:val="false"/>
          <w:i w:val="false"/>
          <w:iCs w:val="false"/>
          <w:color w:val="333333"/>
          <w:sz w:val="20"/>
          <w:szCs w:val="20"/>
        </w:rPr>
        <w:t>2:206</w:t>
      </w:r>
      <w:r>
        <w:rPr>
          <w:rFonts w:ascii="IRNazanin" w:hAnsi="IRNazanin" w:eastAsia="IRNazanin"/>
          <w:b w:val="false"/>
          <w:b w:val="false"/>
          <w:bCs w:val="false"/>
          <w:i w:val="false"/>
          <w:i w:val="false"/>
          <w:iCs w:val="false"/>
          <w:color w:val="333333"/>
          <w:sz w:val="20"/>
          <w:sz w:val="20"/>
          <w:szCs w:val="20"/>
          <w:rtl w:val="true"/>
        </w:rPr>
        <w:t xml:space="preserve">، والتحریر </w:t>
      </w:r>
      <w:r>
        <w:rPr>
          <w:rFonts w:eastAsia="IRNazanin" w:cs="IRNazanin"/>
          <w:b w:val="false"/>
          <w:bCs w:val="false"/>
          <w:i w:val="false"/>
          <w:iCs w:val="false"/>
          <w:color w:val="333333"/>
          <w:sz w:val="20"/>
          <w:szCs w:val="20"/>
        </w:rPr>
        <w:t>4:459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6062</w:t>
      </w:r>
      <w:r>
        <w:rPr>
          <w:rFonts w:ascii="IRNazanin" w:hAnsi="IRNazanin" w:eastAsia="IRNazanin"/>
          <w:b w:val="false"/>
          <w:b w:val="false"/>
          <w:bCs w:val="false"/>
          <w:i w:val="false"/>
          <w:i w:val="false"/>
          <w:iCs w:val="false"/>
          <w:color w:val="333333"/>
          <w:sz w:val="20"/>
          <w:sz w:val="20"/>
          <w:szCs w:val="20"/>
          <w:rtl w:val="true"/>
        </w:rPr>
        <w:t xml:space="preserve">، ونسبه فی التنقیح الرائع </w:t>
      </w:r>
      <w:r>
        <w:rPr>
          <w:rFonts w:eastAsia="IRNazanin" w:cs="IRNazanin"/>
          <w:b w:val="false"/>
          <w:bCs w:val="false"/>
          <w:i w:val="false"/>
          <w:iCs w:val="false"/>
          <w:color w:val="333333"/>
          <w:sz w:val="20"/>
          <w:szCs w:val="20"/>
        </w:rPr>
        <w:t>4:113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المشهور وقال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نعلم فیه خلافاً إلّامن الشیخ فی المبسوط</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17:365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اللقطة،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فی الصفحة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قول الأکثر کما فی جامع المقاصد </w:t>
      </w:r>
      <w:r>
        <w:rPr>
          <w:rFonts w:eastAsia="IRNazanin" w:cs="IRNazanin"/>
          <w:b w:val="false"/>
          <w:bCs w:val="false"/>
          <w:i w:val="false"/>
          <w:iCs w:val="false"/>
          <w:color w:val="333333"/>
          <w:sz w:val="20"/>
          <w:szCs w:val="20"/>
        </w:rPr>
        <w:t>6:145</w:t>
      </w:r>
      <w:r>
        <w:rPr>
          <w:rFonts w:ascii="IRNazanin" w:hAnsi="IRNazanin" w:eastAsia="IRNazanin"/>
          <w:b w:val="false"/>
          <w:b w:val="false"/>
          <w:bCs w:val="false"/>
          <w:i w:val="false"/>
          <w:i w:val="false"/>
          <w:iCs w:val="false"/>
          <w:color w:val="333333"/>
          <w:sz w:val="20"/>
          <w:sz w:val="20"/>
          <w:szCs w:val="20"/>
          <w:rtl w:val="true"/>
        </w:rPr>
        <w:t xml:space="preserve">، والأشهر کما فی المسالک </w:t>
      </w:r>
      <w:r>
        <w:rPr>
          <w:rFonts w:eastAsia="IRNazanin" w:cs="IRNazanin"/>
          <w:b w:val="false"/>
          <w:bCs w:val="false"/>
          <w:i w:val="false"/>
          <w:iCs w:val="false"/>
          <w:color w:val="333333"/>
          <w:sz w:val="20"/>
          <w:szCs w:val="20"/>
        </w:rPr>
        <w:t>12:504</w:t>
      </w:r>
      <w:r>
        <w:rPr>
          <w:rFonts w:ascii="IRNazanin" w:hAnsi="IRNazanin" w:eastAsia="IRNazanin"/>
          <w:b w:val="false"/>
          <w:b w:val="false"/>
          <w:bCs w:val="false"/>
          <w:i w:val="false"/>
          <w:i w:val="false"/>
          <w:iCs w:val="false"/>
          <w:color w:val="333333"/>
          <w:sz w:val="20"/>
          <w:sz w:val="20"/>
          <w:szCs w:val="20"/>
          <w:rtl w:val="true"/>
        </w:rPr>
        <w:t>، واختاره المفید فی 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648</w:t>
      </w:r>
      <w:r>
        <w:rPr>
          <w:rFonts w:ascii="IRNazanin" w:hAnsi="IRNazanin" w:eastAsia="IRNazanin"/>
          <w:b w:val="false"/>
          <w:b w:val="false"/>
          <w:bCs w:val="false"/>
          <w:i w:val="false"/>
          <w:i w:val="false"/>
          <w:iCs w:val="false"/>
          <w:color w:val="333333"/>
          <w:sz w:val="20"/>
          <w:sz w:val="20"/>
          <w:szCs w:val="20"/>
          <w:rtl w:val="true"/>
        </w:rPr>
        <w:t>، والشیخ فی 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والمحقّق فی الشرائع </w:t>
      </w:r>
      <w:r>
        <w:rPr>
          <w:rFonts w:eastAsia="IRNazanin" w:cs="IRNazanin"/>
          <w:b w:val="false"/>
          <w:bCs w:val="false"/>
          <w:i w:val="false"/>
          <w:iCs w:val="false"/>
          <w:color w:val="333333"/>
          <w:sz w:val="20"/>
          <w:szCs w:val="20"/>
        </w:rPr>
        <w:t>3:290</w:t>
      </w:r>
      <w:r>
        <w:rPr>
          <w:rFonts w:ascii="IRNazanin" w:hAnsi="IRNazanin" w:eastAsia="IRNazanin"/>
          <w:b w:val="false"/>
          <w:b w:val="false"/>
          <w:bCs w:val="false"/>
          <w:i w:val="false"/>
          <w:i w:val="false"/>
          <w:iCs w:val="false"/>
          <w:color w:val="333333"/>
          <w:sz w:val="20"/>
          <w:sz w:val="20"/>
          <w:szCs w:val="20"/>
          <w:rtl w:val="true"/>
        </w:rPr>
        <w:t>، والمختصر النافع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وغیرهم</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ابن إدریس فی السرائر </w:t>
      </w:r>
      <w:r>
        <w:rPr>
          <w:rFonts w:eastAsia="IRNazanin" w:cs="IRNazanin"/>
          <w:b w:val="false"/>
          <w:bCs w:val="false"/>
          <w:i w:val="false"/>
          <w:iCs w:val="false"/>
          <w:color w:val="333333"/>
          <w:sz w:val="20"/>
          <w:szCs w:val="20"/>
        </w:rPr>
        <w:t>2:107</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أیضاً</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قاله الشیخ فی 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بالتفریط</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بدون التفریط</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العنکبوت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9:361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الطواف، و </w:t>
      </w:r>
      <w:r>
        <w:rPr>
          <w:rFonts w:eastAsia="IRNazanin" w:cs="IRNazanin"/>
          <w:b w:val="false"/>
          <w:bCs w:val="false"/>
          <w:i w:val="false"/>
          <w:iCs w:val="false"/>
          <w:color w:val="333333"/>
          <w:sz w:val="20"/>
          <w:szCs w:val="20"/>
        </w:rPr>
        <w:t>17:368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اللقطة</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17:348</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اللقطة،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الشیخ فی الخلاف </w:t>
      </w:r>
      <w:r>
        <w:rPr>
          <w:rFonts w:eastAsia="IRNazanin" w:cs="IRNazanin"/>
          <w:b w:val="false"/>
          <w:bCs w:val="false"/>
          <w:i w:val="false"/>
          <w:iCs w:val="false"/>
          <w:color w:val="333333"/>
          <w:sz w:val="20"/>
          <w:szCs w:val="20"/>
        </w:rPr>
        <w:t>3:579</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اللقطة، والمحقّق فی الشرائع </w:t>
      </w:r>
      <w:r>
        <w:rPr>
          <w:rFonts w:eastAsia="IRNazanin" w:cs="IRNazanin"/>
          <w:b w:val="false"/>
          <w:bCs w:val="false"/>
          <w:i w:val="false"/>
          <w:iCs w:val="false"/>
          <w:color w:val="333333"/>
          <w:sz w:val="20"/>
          <w:szCs w:val="20"/>
        </w:rPr>
        <w:t>3:292</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وذلک لإرساله، اُنظر المسالک </w:t>
      </w:r>
      <w:r>
        <w:rPr>
          <w:rFonts w:eastAsia="IRNazanin" w:cs="IRNazanin"/>
          <w:b w:val="false"/>
          <w:bCs w:val="false"/>
          <w:i w:val="false"/>
          <w:iCs w:val="false"/>
          <w:color w:val="333333"/>
          <w:sz w:val="20"/>
          <w:szCs w:val="20"/>
        </w:rPr>
        <w:t>12:513</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یرد فی التهذیب والوسائل</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 والوسائل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باغیاً</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17:368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اللقطة،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وضعف سنده بعلیّ بن أبی حمزة، فإنّه ضعیف واقفی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16:292</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w:t>
      </w:r>
      <w:r>
        <w:rPr>
          <w:rFonts w:eastAsia="IRNazanin" w:cs="IRNazanin"/>
          <w:b w:val="false"/>
          <w:bCs w:val="false"/>
          <w:i w:val="false"/>
          <w:iCs w:val="false"/>
          <w:color w:val="333333"/>
          <w:sz w:val="20"/>
          <w:szCs w:val="20"/>
        </w:rPr>
        <w:t>17:88</w:t>
      </w:r>
      <w:r>
        <w:rPr>
          <w:rFonts w:ascii="IRNazanin" w:hAnsi="IRNazanin" w:eastAsia="IRNazanin"/>
          <w:b w:val="false"/>
          <w:b w:val="false"/>
          <w:bCs w:val="false"/>
          <w:i w:val="false"/>
          <w:i w:val="false"/>
          <w:iCs w:val="false"/>
          <w:color w:val="333333"/>
          <w:sz w:val="20"/>
          <w:sz w:val="20"/>
          <w:szCs w:val="20"/>
          <w:rtl w:val="true"/>
        </w:rPr>
        <w:t xml:space="preserve">، الباب الأوّل من کتاب الغصب،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الشیخ فی المبسوط </w:t>
      </w:r>
      <w:r>
        <w:rPr>
          <w:rFonts w:eastAsia="IRNazanin" w:cs="IRNazanin"/>
          <w:b w:val="false"/>
          <w:bCs w:val="false"/>
          <w:i w:val="false"/>
          <w:iCs w:val="false"/>
          <w:color w:val="333333"/>
          <w:sz w:val="20"/>
          <w:szCs w:val="20"/>
        </w:rPr>
        <w:t>3:321</w:t>
      </w:r>
      <w:r>
        <w:rPr>
          <w:rFonts w:ascii="IRNazanin" w:hAnsi="IRNazanin" w:eastAsia="IRNazanin"/>
          <w:b w:val="false"/>
          <w:b w:val="false"/>
          <w:bCs w:val="false"/>
          <w:i w:val="false"/>
          <w:i w:val="false"/>
          <w:iCs w:val="false"/>
          <w:color w:val="333333"/>
          <w:sz w:val="20"/>
          <w:sz w:val="20"/>
          <w:szCs w:val="20"/>
          <w:rtl w:val="true"/>
        </w:rPr>
        <w:t>، والنهایة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وابن إدریس فی السرائر </w:t>
      </w:r>
      <w:r>
        <w:rPr>
          <w:rFonts w:eastAsia="IRNazanin" w:cs="IRNazanin"/>
          <w:b w:val="false"/>
          <w:bCs w:val="false"/>
          <w:i w:val="false"/>
          <w:iCs w:val="false"/>
          <w:color w:val="333333"/>
          <w:sz w:val="20"/>
          <w:szCs w:val="20"/>
        </w:rPr>
        <w:t>2:101</w:t>
      </w:r>
      <w:r>
        <w:rPr>
          <w:rFonts w:ascii="IRNazanin" w:hAnsi="IRNazanin" w:eastAsia="IRNazanin"/>
          <w:b w:val="false"/>
          <w:b w:val="false"/>
          <w:bCs w:val="false"/>
          <w:i w:val="false"/>
          <w:i w:val="false"/>
          <w:iCs w:val="false"/>
          <w:color w:val="333333"/>
          <w:sz w:val="20"/>
          <w:sz w:val="20"/>
          <w:szCs w:val="20"/>
          <w:rtl w:val="true"/>
        </w:rPr>
        <w:t xml:space="preserve">، والعلّامة فی القواعد </w:t>
      </w:r>
      <w:r>
        <w:rPr>
          <w:rFonts w:eastAsia="IRNazanin" w:cs="IRNazanin"/>
          <w:b w:val="false"/>
          <w:bCs w:val="false"/>
          <w:i w:val="false"/>
          <w:iCs w:val="false"/>
          <w:color w:val="333333"/>
          <w:sz w:val="20"/>
          <w:szCs w:val="20"/>
        </w:rPr>
        <w:t>2:207</w:t>
      </w:r>
      <w:r>
        <w:rPr>
          <w:rFonts w:ascii="IRNazanin" w:hAnsi="IRNazanin" w:eastAsia="IRNazanin"/>
          <w:b w:val="false"/>
          <w:b w:val="false"/>
          <w:bCs w:val="false"/>
          <w:i w:val="false"/>
          <w:i w:val="false"/>
          <w:iCs w:val="false"/>
          <w:color w:val="333333"/>
          <w:sz w:val="20"/>
          <w:sz w:val="20"/>
          <w:szCs w:val="20"/>
          <w:rtl w:val="true"/>
        </w:rPr>
        <w:t xml:space="preserve">، وقال المحقّق الثانی فی جامع المقاصد </w:t>
      </w:r>
      <w:r>
        <w:rPr>
          <w:rFonts w:eastAsia="IRNazanin" w:cs="IRNazanin"/>
          <w:b w:val="false"/>
          <w:bCs w:val="false"/>
          <w:i w:val="false"/>
          <w:iCs w:val="false"/>
          <w:color w:val="333333"/>
          <w:sz w:val="20"/>
          <w:szCs w:val="20"/>
        </w:rPr>
        <w:t>6:147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هو المشهور والأصحّ</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وهو المختار</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خبر علیّ بن أبی حمزة، وقد نبّهنا هناک علی عدم ورود کلمة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الخبر</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القول بالضمان للعلّامة فی التحریر </w:t>
      </w:r>
      <w:r>
        <w:rPr>
          <w:rFonts w:eastAsia="IRNazanin" w:cs="IRNazanin"/>
          <w:b w:val="false"/>
          <w:bCs w:val="false"/>
          <w:i w:val="false"/>
          <w:iCs w:val="false"/>
          <w:color w:val="333333"/>
          <w:sz w:val="20"/>
          <w:szCs w:val="20"/>
        </w:rPr>
        <w:t>4:463</w:t>
      </w:r>
      <w:r>
        <w:rPr>
          <w:rFonts w:ascii="IRNazanin" w:hAnsi="IRNazanin" w:eastAsia="IRNazanin"/>
          <w:b w:val="false"/>
          <w:b w:val="false"/>
          <w:bCs w:val="false"/>
          <w:i w:val="false"/>
          <w:i w:val="false"/>
          <w:iCs w:val="false"/>
          <w:color w:val="333333"/>
          <w:sz w:val="20"/>
          <w:sz w:val="20"/>
          <w:szCs w:val="20"/>
          <w:rtl w:val="true"/>
        </w:rPr>
        <w:t xml:space="preserve">، والقواعد </w:t>
      </w:r>
      <w:r>
        <w:rPr>
          <w:rFonts w:eastAsia="IRNazanin" w:cs="IRNazanin"/>
          <w:b w:val="false"/>
          <w:bCs w:val="false"/>
          <w:i w:val="false"/>
          <w:iCs w:val="false"/>
          <w:color w:val="333333"/>
          <w:sz w:val="20"/>
          <w:szCs w:val="20"/>
        </w:rPr>
        <w:t>2:209</w:t>
      </w:r>
      <w:r>
        <w:rPr>
          <w:rFonts w:ascii="IRNazanin" w:hAnsi="IRNazanin" w:eastAsia="IRNazanin"/>
          <w:b w:val="false"/>
          <w:b w:val="false"/>
          <w:bCs w:val="false"/>
          <w:i w:val="false"/>
          <w:i w:val="false"/>
          <w:iCs w:val="false"/>
          <w:color w:val="333333"/>
          <w:sz w:val="20"/>
          <w:sz w:val="20"/>
          <w:szCs w:val="20"/>
          <w:rtl w:val="true"/>
        </w:rPr>
        <w:t xml:space="preserve">، ووجّهه المحقّق الثانی فی جامع المقاصد </w:t>
      </w:r>
      <w:r>
        <w:rPr>
          <w:rFonts w:eastAsia="IRNazanin" w:cs="IRNazanin"/>
          <w:b w:val="false"/>
          <w:bCs w:val="false"/>
          <w:i w:val="false"/>
          <w:iCs w:val="false"/>
          <w:color w:val="333333"/>
          <w:sz w:val="20"/>
          <w:szCs w:val="20"/>
        </w:rPr>
        <w:t>6:159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والقول بعدم الضمان للشیخ فی 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والحلبی فی 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وابن زهرة فی الغنیة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ونسبه فی المختلف </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المشهور</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اطّلاع الواجد</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اتّحد المستحقّ وکثرت اللقطة</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القول بوجوب ردّ العین للمحقّق الثانی، اُنظر جامع المقاصد </w:t>
      </w:r>
      <w:r>
        <w:rPr>
          <w:rFonts w:eastAsia="IRNazanin" w:cs="IRNazanin"/>
          <w:b w:val="false"/>
          <w:bCs w:val="false"/>
          <w:i w:val="false"/>
          <w:iCs w:val="false"/>
          <w:color w:val="333333"/>
          <w:sz w:val="20"/>
          <w:szCs w:val="20"/>
        </w:rPr>
        <w:t>6:168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ونسبه فی مفتاح الکرامة </w:t>
      </w:r>
      <w:r>
        <w:rPr>
          <w:rFonts w:eastAsia="IRNazanin" w:cs="IRNazanin"/>
          <w:b w:val="false"/>
          <w:bCs w:val="false"/>
          <w:i w:val="false"/>
          <w:iCs w:val="false"/>
          <w:color w:val="333333"/>
          <w:sz w:val="20"/>
          <w:szCs w:val="20"/>
        </w:rPr>
        <w:t>6:183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ظاهر النهایة والمبسوط والمراسم والسرائر، بل والمقنعة والوسیلة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والقول بالتخییر للمحقّق فی الشرائع </w:t>
      </w:r>
      <w:r>
        <w:rPr>
          <w:rFonts w:eastAsia="IRNazanin" w:cs="IRNazanin"/>
          <w:b w:val="false"/>
          <w:bCs w:val="false"/>
          <w:i w:val="false"/>
          <w:iCs w:val="false"/>
          <w:color w:val="333333"/>
          <w:sz w:val="20"/>
          <w:szCs w:val="20"/>
        </w:rPr>
        <w:t>3:295</w:t>
      </w:r>
      <w:r>
        <w:rPr>
          <w:rFonts w:ascii="IRNazanin" w:hAnsi="IRNazanin" w:eastAsia="IRNazanin"/>
          <w:b w:val="false"/>
          <w:b w:val="false"/>
          <w:bCs w:val="false"/>
          <w:i w:val="false"/>
          <w:i w:val="false"/>
          <w:iCs w:val="false"/>
          <w:color w:val="333333"/>
          <w:sz w:val="20"/>
          <w:sz w:val="20"/>
          <w:szCs w:val="20"/>
          <w:rtl w:val="true"/>
        </w:rPr>
        <w:t xml:space="preserve">، والعلّامة فی القواعد </w:t>
      </w:r>
      <w:r>
        <w:rPr>
          <w:rFonts w:eastAsia="IRNazanin" w:cs="IRNazanin"/>
          <w:b w:val="false"/>
          <w:bCs w:val="false"/>
          <w:i w:val="false"/>
          <w:iCs w:val="false"/>
          <w:color w:val="333333"/>
          <w:sz w:val="20"/>
          <w:szCs w:val="20"/>
        </w:rPr>
        <w:t>2:213</w:t>
      </w:r>
      <w:r>
        <w:rPr>
          <w:rFonts w:ascii="IRNazanin" w:hAnsi="IRNazanin" w:eastAsia="IRNazanin"/>
          <w:b w:val="false"/>
          <w:b w:val="false"/>
          <w:bCs w:val="false"/>
          <w:i w:val="false"/>
          <w:i w:val="false"/>
          <w:iCs w:val="false"/>
          <w:color w:val="333333"/>
          <w:sz w:val="20"/>
          <w:sz w:val="20"/>
          <w:szCs w:val="20"/>
          <w:rtl w:val="true"/>
        </w:rPr>
        <w:t xml:space="preserve">، ونسبه فی المسالک </w:t>
      </w:r>
      <w:r>
        <w:rPr>
          <w:rFonts w:eastAsia="IRNazanin" w:cs="IRNazanin"/>
          <w:b w:val="false"/>
          <w:bCs w:val="false"/>
          <w:i w:val="false"/>
          <w:iCs w:val="false"/>
          <w:color w:val="333333"/>
          <w:sz w:val="20"/>
          <w:szCs w:val="20"/>
        </w:rPr>
        <w:t>12:548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أشهر القولین</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17:349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اللقطة، الحدیث الأوّل</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بالکسر</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یُحمل إطلاق المتن</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الذکری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17:363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اللقطة،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2:646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خصر</w:t>
      </w:r>
      <w:r>
        <w:rPr>
          <w:rFonts w:eastAsia="IRNazanin" w:cs="IRNazanin"/>
          <w:b w:val="false"/>
          <w:bCs w:val="false"/>
          <w:i w:val="false"/>
          <w:iCs w:val="false"/>
          <w:color w:val="333333"/>
          <w:sz w:val="20"/>
          <w:szCs w:val="20"/>
          <w:rtl w:val="true"/>
        </w:rPr>
        <w:t>) .</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 التصریح به، ولعلّه ینظر إلی ما ذکره آنفاً عنه</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المتعارف إطلاق المخصرة علی السوط ونحوه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ر</w:t>
      </w:r>
      <w:r>
        <w:rPr>
          <w:rFonts w:eastAsia="IRNazanin" w:cs="IRNazanin"/>
          <w:b w:val="false"/>
          <w:bCs w:val="false"/>
          <w:i w:val="false"/>
          <w:iCs w:val="false"/>
          <w:color w:val="333333"/>
          <w:sz w:val="20"/>
          <w:szCs w:val="20"/>
          <w:rtl w:val="true"/>
        </w:rPr>
        <w:t>) .</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وعاء من صوف أو شعر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فارسیّة</w:t>
      </w:r>
      <w:r>
        <w:rPr>
          <w:rFonts w:eastAsia="IRNazanin" w:cs="IRNazanin"/>
          <w:b w:val="false"/>
          <w:bCs w:val="false"/>
          <w:i w:val="false"/>
          <w:iCs w:val="false"/>
          <w:color w:val="333333"/>
          <w:sz w:val="20"/>
          <w:szCs w:val="20"/>
          <w:rtl w:val="true"/>
        </w:rPr>
        <w:t>) .</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النعلان والأداوة والسوط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الصلاح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وجماعة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کالصدوق فی الفقیه </w:t>
      </w:r>
      <w:r>
        <w:rPr>
          <w:rFonts w:eastAsia="IRNazanin" w:cs="IRNazanin"/>
          <w:b w:val="false"/>
          <w:bCs w:val="false"/>
          <w:i w:val="false"/>
          <w:iCs w:val="false"/>
          <w:color w:val="333333"/>
          <w:sz w:val="20"/>
          <w:szCs w:val="20"/>
        </w:rPr>
        <w:t>3:295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ونسبه العلّامة فی المختلف </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ابن بابویه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یحرم لقطتها؛ لروایة عبد الرحمن عن الصادق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تمسّه</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17:363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اللقطة،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 .</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17:349</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اللقطة،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 وفی التهذیب والوسائل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یأکل</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17:348</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اللقطة،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 والتهذیب عن جعفر عن أبیه علیهما السلام</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 کما ذکرنا آنفاً</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وردت الزیادة فی خبر آخر بلفظ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الضوالّ لا یأکلها إلّاالضالّون</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17:350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اللقطة،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التصرّفات</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ما یعدّه الإنسان لحوائجه، ویأتی بمعنی العدد أیضاً</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 یغطّی به رأس القارورة</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الخیط الذی یشدّ به القِربة والصُرّة والکیس وغیرها</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جمیعاً</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التذکرة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الحجریّة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2:258</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2:210</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فی المختلف </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المشهور واعتمد علیه، واختاره المحقّق، اُنظر الشرائع </w:t>
      </w:r>
      <w:r>
        <w:rPr>
          <w:rFonts w:eastAsia="IRNazanin" w:cs="IRNazanin"/>
          <w:b w:val="false"/>
          <w:bCs w:val="false"/>
          <w:i w:val="false"/>
          <w:iCs w:val="false"/>
          <w:color w:val="333333"/>
          <w:sz w:val="20"/>
          <w:szCs w:val="20"/>
        </w:rPr>
        <w:t>3:292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والعلّامة فی القواعد </w:t>
      </w:r>
      <w:r>
        <w:rPr>
          <w:rFonts w:eastAsia="IRNazanin" w:cs="IRNazanin"/>
          <w:b w:val="false"/>
          <w:bCs w:val="false"/>
          <w:i w:val="false"/>
          <w:iCs w:val="false"/>
          <w:color w:val="333333"/>
          <w:sz w:val="20"/>
          <w:szCs w:val="20"/>
        </w:rPr>
        <w:t>2:210</w:t>
      </w:r>
      <w:r>
        <w:rPr>
          <w:rFonts w:ascii="IRNazanin" w:hAnsi="IRNazanin" w:eastAsia="IRNazanin"/>
          <w:b w:val="false"/>
          <w:b w:val="false"/>
          <w:bCs w:val="false"/>
          <w:i w:val="false"/>
          <w:i w:val="false"/>
          <w:iCs w:val="false"/>
          <w:color w:val="333333"/>
          <w:sz w:val="20"/>
          <w:sz w:val="20"/>
          <w:szCs w:val="20"/>
          <w:rtl w:val="true"/>
        </w:rPr>
        <w:t xml:space="preserve">، والتحریر </w:t>
      </w:r>
      <w:r>
        <w:rPr>
          <w:rFonts w:eastAsia="IRNazanin" w:cs="IRNazanin"/>
          <w:b w:val="false"/>
          <w:bCs w:val="false"/>
          <w:i w:val="false"/>
          <w:iCs w:val="false"/>
          <w:color w:val="333333"/>
          <w:sz w:val="20"/>
          <w:szCs w:val="20"/>
        </w:rPr>
        <w:t>4:469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6082</w:t>
      </w:r>
      <w:r>
        <w:rPr>
          <w:rFonts w:ascii="IRNazanin" w:hAnsi="IRNazanin" w:eastAsia="IRNazanin"/>
          <w:b w:val="false"/>
          <w:b w:val="false"/>
          <w:bCs w:val="false"/>
          <w:i w:val="false"/>
          <w:i w:val="false"/>
          <w:iCs w:val="false"/>
          <w:color w:val="333333"/>
          <w:sz w:val="20"/>
          <w:sz w:val="20"/>
          <w:szCs w:val="20"/>
          <w:rtl w:val="true"/>
        </w:rPr>
        <w:t xml:space="preserve">، والشهید فی الدروس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والمحقّق الثانی فی جامع المقاصد </w:t>
      </w:r>
      <w:r>
        <w:rPr>
          <w:rFonts w:eastAsia="IRNazanin" w:cs="IRNazanin"/>
          <w:b w:val="false"/>
          <w:bCs w:val="false"/>
          <w:i w:val="false"/>
          <w:iCs w:val="false"/>
          <w:color w:val="333333"/>
          <w:sz w:val="20"/>
          <w:szCs w:val="20"/>
        </w:rPr>
        <w:t>6:160</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3:322</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أمانته</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نیّته</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الشیخ فی المبسوط </w:t>
      </w:r>
      <w:r>
        <w:rPr>
          <w:rFonts w:eastAsia="IRNazanin" w:cs="IRNazanin"/>
          <w:b w:val="false"/>
          <w:bCs w:val="false"/>
          <w:i w:val="false"/>
          <w:iCs w:val="false"/>
          <w:color w:val="333333"/>
          <w:sz w:val="20"/>
          <w:szCs w:val="20"/>
        </w:rPr>
        <w:t>3:325</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تعلیل للمنفیّ</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تعلیل للنفی</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تعارض الأصل والظاهر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 .</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17:356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اللقطة، و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الأبواب، الحدیث الأوّل</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2:111</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المخطوطات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ولو</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3:478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فوز</w:t>
      </w:r>
      <w:r>
        <w:rPr>
          <w:rFonts w:eastAsia="IRNazanin" w:cs="IRNazanin"/>
          <w:b w:val="false"/>
          <w:bCs w:val="false"/>
          <w:i w:val="false"/>
          <w:iCs w:val="false"/>
          <w:color w:val="333333"/>
          <w:sz w:val="20"/>
          <w:szCs w:val="20"/>
          <w:rtl w:val="true"/>
        </w:rPr>
        <w:t>) .</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3:890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ولکن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الأصمعی</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المنسوب إلی الشیخ فی 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وابن إدریس فی السرائر </w:t>
      </w:r>
      <w:r>
        <w:rPr>
          <w:rFonts w:eastAsia="IRNazanin" w:cs="IRNazanin"/>
          <w:b w:val="false"/>
          <w:bCs w:val="false"/>
          <w:i w:val="false"/>
          <w:iCs w:val="false"/>
          <w:color w:val="333333"/>
          <w:sz w:val="20"/>
          <w:szCs w:val="20"/>
        </w:rPr>
        <w:t>2:101</w:t>
      </w:r>
      <w:r>
        <w:rPr>
          <w:rFonts w:ascii="IRNazanin" w:hAnsi="IRNazanin" w:eastAsia="IRNazanin"/>
          <w:b w:val="false"/>
          <w:b w:val="false"/>
          <w:bCs w:val="false"/>
          <w:i w:val="false"/>
          <w:i w:val="false"/>
          <w:iCs w:val="false"/>
          <w:color w:val="333333"/>
          <w:sz w:val="20"/>
          <w:sz w:val="20"/>
          <w:szCs w:val="20"/>
          <w:rtl w:val="true"/>
        </w:rPr>
        <w:t xml:space="preserve">، وهو ظاهر المحقّق فی الشرائع </w:t>
      </w:r>
      <w:r>
        <w:rPr>
          <w:rFonts w:eastAsia="IRNazanin" w:cs="IRNazanin"/>
          <w:b w:val="false"/>
          <w:bCs w:val="false"/>
          <w:i w:val="false"/>
          <w:iCs w:val="false"/>
          <w:color w:val="333333"/>
          <w:sz w:val="20"/>
          <w:szCs w:val="20"/>
        </w:rPr>
        <w:t>3:293</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17:354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اللقطة،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بالمعنی</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المختلف </w:t>
      </w:r>
      <w:r>
        <w:rPr>
          <w:rFonts w:eastAsia="IRNazanin" w:cs="IRNazanin"/>
          <w:b w:val="false"/>
          <w:bCs w:val="false"/>
          <w:i w:val="false"/>
          <w:iCs w:val="false"/>
          <w:color w:val="333333"/>
          <w:sz w:val="20"/>
          <w:szCs w:val="20"/>
        </w:rPr>
        <w:t>6:110</w:t>
      </w:r>
      <w:r>
        <w:rPr>
          <w:rFonts w:ascii="IRNazanin" w:hAnsi="IRNazanin" w:eastAsia="IRNazanin"/>
          <w:b w:val="false"/>
          <w:b w:val="false"/>
          <w:bCs w:val="false"/>
          <w:i w:val="false"/>
          <w:i w:val="false"/>
          <w:iCs w:val="false"/>
          <w:color w:val="333333"/>
          <w:sz w:val="20"/>
          <w:sz w:val="20"/>
          <w:szCs w:val="20"/>
          <w:rtl w:val="true"/>
        </w:rPr>
        <w:t xml:space="preserve">، والدروس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لتعارض الأصل والظاهر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 .</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یدّعِه</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 وفی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جعفر</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17:358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اللقطة، الحدیث الأوّل</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مطلقات وجوب تعریف اللقطة، ومطلقات جواز التملّک للواجد</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الوحشیّة والسمکة</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سوی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فیها</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سوی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التخیّر</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المخطوطات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طرف</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17:349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اللقطة، الحدیث الأوّل</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2:102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علیه فی الکافی، ونسبه فی المختلف </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إلیه أیضاً</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الشیخ فی الخلاف </w:t>
      </w:r>
      <w:r>
        <w:rPr>
          <w:rFonts w:eastAsia="IRNazanin" w:cs="IRNazanin"/>
          <w:b w:val="false"/>
          <w:bCs w:val="false"/>
          <w:i w:val="false"/>
          <w:iCs w:val="false"/>
          <w:color w:val="333333"/>
          <w:sz w:val="20"/>
          <w:szCs w:val="20"/>
        </w:rPr>
        <w:t>3:584</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اللقطة</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17:350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اللقطة،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للوجوب</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أوّلها فی 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وثانیها فی 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وثالثها فی الخلاف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3:584</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 .</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الصفحة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التذکرة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الحجریّة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2:401</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یملکه</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17:328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إحیاء الموات، والمستدرک </w:t>
      </w:r>
      <w:r>
        <w:rPr>
          <w:rFonts w:eastAsia="IRNazanin" w:cs="IRNazanin"/>
          <w:b w:val="false"/>
          <w:bCs w:val="false"/>
          <w:i w:val="false"/>
          <w:iCs w:val="false"/>
          <w:color w:val="333333"/>
          <w:sz w:val="20"/>
          <w:szCs w:val="20"/>
        </w:rPr>
        <w:t>17:111</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إحیاء الموات،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انتزاعها</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القول بالعدم فنسبه فی التذکرة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الحجریّة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وجامع المقاصد </w:t>
      </w:r>
      <w:r>
        <w:rPr>
          <w:rFonts w:eastAsia="IRNazanin" w:cs="IRNazanin"/>
          <w:b w:val="false"/>
          <w:bCs w:val="false"/>
          <w:i w:val="false"/>
          <w:iCs w:val="false"/>
          <w:color w:val="333333"/>
          <w:sz w:val="20"/>
          <w:szCs w:val="20"/>
        </w:rPr>
        <w:t>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علمائنا، وفی غایة المرام </w:t>
      </w:r>
      <w:r>
        <w:rPr>
          <w:rFonts w:eastAsia="IRNazanin" w:cs="IRNazanin"/>
          <w:b w:val="false"/>
          <w:bCs w:val="false"/>
          <w:i w:val="false"/>
          <w:iCs w:val="false"/>
          <w:color w:val="333333"/>
          <w:sz w:val="20"/>
          <w:szCs w:val="20"/>
        </w:rPr>
        <w:t>4:127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المشهور عند أصحابنا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القول بالملک فحسّنه المحقّق فی الشرائع </w:t>
      </w:r>
      <w:r>
        <w:rPr>
          <w:rFonts w:eastAsia="IRNazanin" w:cs="IRNazanin"/>
          <w:b w:val="false"/>
          <w:bCs w:val="false"/>
          <w:i w:val="false"/>
          <w:iCs w:val="false"/>
          <w:color w:val="333333"/>
          <w:sz w:val="20"/>
          <w:szCs w:val="20"/>
        </w:rPr>
        <w:t>3:271</w:t>
      </w:r>
      <w:r>
        <w:rPr>
          <w:rFonts w:ascii="IRNazanin" w:hAnsi="IRNazanin" w:eastAsia="IRNazanin"/>
          <w:b w:val="false"/>
          <w:b w:val="false"/>
          <w:bCs w:val="false"/>
          <w:i w:val="false"/>
          <w:i w:val="false"/>
          <w:iCs w:val="false"/>
          <w:color w:val="333333"/>
          <w:sz w:val="20"/>
          <w:sz w:val="20"/>
          <w:szCs w:val="20"/>
          <w:rtl w:val="true"/>
        </w:rPr>
        <w:t xml:space="preserve">، وقال العلّامة فی التحریر </w:t>
      </w:r>
      <w:r>
        <w:rPr>
          <w:rFonts w:eastAsia="IRNazanin" w:cs="IRNazanin"/>
          <w:b w:val="false"/>
          <w:bCs w:val="false"/>
          <w:i w:val="false"/>
          <w:iCs w:val="false"/>
          <w:color w:val="333333"/>
          <w:sz w:val="20"/>
          <w:szCs w:val="20"/>
        </w:rPr>
        <w:t>4:484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فالوجه أ نّه یملکه</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خرابها، وفی نسخة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غابرها</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2:773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غمر</w:t>
      </w:r>
      <w:r>
        <w:rPr>
          <w:rFonts w:eastAsia="IRNazanin" w:cs="IRNazanin"/>
          <w:b w:val="false"/>
          <w:bCs w:val="false"/>
          <w:i w:val="false"/>
          <w:iCs w:val="false"/>
          <w:color w:val="333333"/>
          <w:sz w:val="20"/>
          <w:szCs w:val="20"/>
          <w:rtl w:val="true"/>
        </w:rPr>
        <w:t>) .</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ابن منظور فی اللسان </w:t>
      </w:r>
      <w:r>
        <w:rPr>
          <w:rFonts w:eastAsia="IRNazanin" w:cs="IRNazanin"/>
          <w:b w:val="false"/>
          <w:bCs w:val="false"/>
          <w:i w:val="false"/>
          <w:iCs w:val="false"/>
          <w:color w:val="333333"/>
          <w:sz w:val="20"/>
          <w:szCs w:val="20"/>
        </w:rPr>
        <w:t>10:119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الغامر من الأرض</w:t>
      </w:r>
      <w:r>
        <w:rPr>
          <w:rFonts w:eastAsia="IRNazanin" w:cs="IRNazanin"/>
          <w:b w:val="false"/>
          <w:bCs w:val="false"/>
          <w:i w:val="false"/>
          <w:iCs w:val="false"/>
          <w:color w:val="333333"/>
          <w:sz w:val="20"/>
          <w:szCs w:val="20"/>
          <w:rtl w:val="true"/>
        </w:rPr>
        <w:t>. . . .</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فی التذکرة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الحجریّة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مالک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بأس بهذا القول عندی، ونسبه فی جامع المقاصد </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المشهور، وفی المسالک </w:t>
      </w:r>
      <w:r>
        <w:rPr>
          <w:rFonts w:eastAsia="IRNazanin" w:cs="IRNazanin"/>
          <w:b w:val="false"/>
          <w:bCs w:val="false"/>
          <w:i w:val="false"/>
          <w:iCs w:val="false"/>
          <w:color w:val="333333"/>
          <w:sz w:val="20"/>
          <w:szCs w:val="20"/>
        </w:rPr>
        <w:t>12:399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جماعة من أصحابنا</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وفی سائر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خرّبها، وفی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وأخربها</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17:329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إحیاء الموات،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بائرة</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17:328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إحیاء الموات، الحدیث الأوّل</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نقل فی التذکرة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الحجریّة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بعض العامّة إجماع العلماء علی ذلک</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17:329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إحیاء الموات،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فی المسالک </w:t>
      </w:r>
      <w:r>
        <w:rPr>
          <w:rFonts w:eastAsia="IRNazanin" w:cs="IRNazanin"/>
          <w:b w:val="false"/>
          <w:bCs w:val="false"/>
          <w:i w:val="false"/>
          <w:iCs w:val="false"/>
          <w:color w:val="333333"/>
          <w:sz w:val="20"/>
          <w:szCs w:val="20"/>
        </w:rPr>
        <w:t>15:441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ینصّ الأصحاب علی توثیقه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سلیمان بن خالد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تقدیر سلامة عقیدته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یشر إلی قطع سندها فیه</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ما یُعلم منها خروجه عن ملکه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أحیا أرضاً میتة فهی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لأنّها عامّة تشمل هذه 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ما یُعلم منه عدم خروجها عن ملکه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لأصالة بقاء الملک وخروجه یحتاج إلی سبب ناقل، وهو محصور ولیس منه الخراب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ر</w:t>
      </w:r>
      <w:r>
        <w:rPr>
          <w:rFonts w:eastAsia="IRNazanin" w:cs="IRNazanin"/>
          <w:b w:val="false"/>
          <w:bCs w:val="false"/>
          <w:i w:val="false"/>
          <w:iCs w:val="false"/>
          <w:color w:val="333333"/>
          <w:sz w:val="20"/>
          <w:szCs w:val="20"/>
          <w:rtl w:val="true"/>
        </w:rPr>
        <w:t>) .</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المنوب عنه، وهو الإمام المعصوم علیه السلام</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ابن إدریس فی السرائر </w:t>
      </w:r>
      <w:r>
        <w:rPr>
          <w:rFonts w:eastAsia="IRNazanin" w:cs="IRNazanin"/>
          <w:b w:val="false"/>
          <w:bCs w:val="false"/>
          <w:i w:val="false"/>
          <w:iCs w:val="false"/>
          <w:color w:val="333333"/>
          <w:sz w:val="20"/>
          <w:szCs w:val="20"/>
        </w:rPr>
        <w:t>1:478</w:t>
      </w:r>
      <w:r>
        <w:rPr>
          <w:rFonts w:ascii="IRNazanin" w:hAnsi="IRNazanin" w:eastAsia="IRNazanin"/>
          <w:b w:val="false"/>
          <w:b w:val="false"/>
          <w:bCs w:val="false"/>
          <w:i w:val="false"/>
          <w:i w:val="false"/>
          <w:iCs w:val="false"/>
          <w:color w:val="333333"/>
          <w:sz w:val="20"/>
          <w:sz w:val="20"/>
          <w:szCs w:val="20"/>
          <w:rtl w:val="true"/>
        </w:rPr>
        <w:t xml:space="preserve">، والعلّامة فی التذکرة </w:t>
      </w:r>
      <w:r>
        <w:rPr>
          <w:rFonts w:eastAsia="IRNazanin" w:cs="IRNazanin"/>
          <w:b w:val="false"/>
          <w:bCs w:val="false"/>
          <w:i w:val="false"/>
          <w:iCs w:val="false"/>
          <w:color w:val="333333"/>
          <w:sz w:val="20"/>
          <w:szCs w:val="20"/>
        </w:rPr>
        <w:t>10:39</w:t>
      </w:r>
      <w:r>
        <w:rPr>
          <w:rFonts w:ascii="IRNazanin" w:hAnsi="IRNazanin" w:eastAsia="IRNazanin"/>
          <w:b w:val="false"/>
          <w:b w:val="false"/>
          <w:bCs w:val="false"/>
          <w:i w:val="false"/>
          <w:i w:val="false"/>
          <w:iCs w:val="false"/>
          <w:color w:val="333333"/>
          <w:sz w:val="20"/>
          <w:sz w:val="20"/>
          <w:szCs w:val="20"/>
          <w:rtl w:val="true"/>
        </w:rPr>
        <w:t xml:space="preserve">، والقواعد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الثانی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غیبة الإمام أو إذنه مع حضوره</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ونسخة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الشرح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للتملیک</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مملوکة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3:274</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ضروریّاته</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w:t>
      </w:r>
      <w:r>
        <w:rPr>
          <w:rFonts w:eastAsia="IRNazanin" w:cs="IRNazanin"/>
          <w:b w:val="false"/>
          <w:bCs w:val="false"/>
          <w:i w:val="false"/>
          <w:iCs w:val="false"/>
          <w:color w:val="333333"/>
          <w:sz w:val="20"/>
          <w:szCs w:val="20"/>
        </w:rPr>
        <w:t>4:152</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w:t>
      </w:r>
      <w:r>
        <w:rPr>
          <w:rFonts w:eastAsia="IRNazanin" w:cs="IRNazanin"/>
          <w:b w:val="false"/>
          <w:bCs w:val="false"/>
          <w:i w:val="false"/>
          <w:iCs w:val="false"/>
          <w:color w:val="333333"/>
          <w:sz w:val="20"/>
          <w:szCs w:val="20"/>
        </w:rPr>
        <w:t>17:122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إحیاء الموات، الحدیث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والسنن الکبری </w:t>
      </w:r>
      <w:r>
        <w:rPr>
          <w:rFonts w:eastAsia="IRNazanin" w:cs="IRNazanin"/>
          <w:b w:val="false"/>
          <w:bCs w:val="false"/>
          <w:i w:val="false"/>
          <w:iCs w:val="false"/>
          <w:color w:val="333333"/>
          <w:sz w:val="20"/>
          <w:szCs w:val="20"/>
        </w:rPr>
        <w:t>6:144</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ما أقطع صلی الله علیه و آله لوائل بحضرموت ولغیره غیره، اُنظر السنن </w:t>
      </w:r>
      <w:r>
        <w:rPr>
          <w:rFonts w:eastAsia="IRNazanin" w:cs="IRNazanin"/>
          <w:b w:val="false"/>
          <w:bCs w:val="false"/>
          <w:i w:val="false"/>
          <w:iCs w:val="false"/>
          <w:color w:val="333333"/>
          <w:sz w:val="20"/>
          <w:szCs w:val="20"/>
        </w:rPr>
        <w:t>6:143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باب إقطاع الموات، وسنن أبی داود </w:t>
      </w:r>
      <w:r>
        <w:rPr>
          <w:rFonts w:eastAsia="IRNazanin" w:cs="IRNazanin"/>
          <w:b w:val="false"/>
          <w:bCs w:val="false"/>
          <w:i w:val="false"/>
          <w:iCs w:val="false"/>
          <w:color w:val="333333"/>
          <w:sz w:val="20"/>
          <w:szCs w:val="20"/>
        </w:rPr>
        <w:t>3:173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باب إقطاع الأرضین</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القوسین توضیح من المؤلّف، ولیس من کلام الدروس</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أراد البیت</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17:338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إحیاء الموات،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المختلف </w:t>
      </w:r>
      <w:r>
        <w:rPr>
          <w:rFonts w:eastAsia="IRNazanin" w:cs="IRNazanin"/>
          <w:b w:val="false"/>
          <w:bCs w:val="false"/>
          <w:i w:val="false"/>
          <w:iCs w:val="false"/>
          <w:color w:val="333333"/>
          <w:sz w:val="20"/>
          <w:szCs w:val="20"/>
        </w:rPr>
        <w:t>6:207</w:t>
      </w:r>
      <w:r>
        <w:rPr>
          <w:rFonts w:ascii="IRNazanin" w:hAnsi="IRNazanin" w:eastAsia="IRNazanin"/>
          <w:b w:val="false"/>
          <w:b w:val="false"/>
          <w:bCs w:val="false"/>
          <w:i w:val="false"/>
          <w:i w:val="false"/>
          <w:iCs w:val="false"/>
          <w:color w:val="333333"/>
          <w:sz w:val="20"/>
          <w:sz w:val="20"/>
          <w:szCs w:val="20"/>
          <w:rtl w:val="true"/>
        </w:rPr>
        <w:t>، وأفتی به الشیخ فی 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xml:space="preserve">، والمحقّق فی الشرائع </w:t>
      </w:r>
      <w:r>
        <w:rPr>
          <w:rFonts w:eastAsia="IRNazanin" w:cs="IRNazanin"/>
          <w:b w:val="false"/>
          <w:bCs w:val="false"/>
          <w:i w:val="false"/>
          <w:iCs w:val="false"/>
          <w:color w:val="333333"/>
          <w:sz w:val="20"/>
          <w:szCs w:val="20"/>
        </w:rPr>
        <w:t>3:273</w:t>
      </w:r>
      <w:r>
        <w:rPr>
          <w:rFonts w:ascii="IRNazanin" w:hAnsi="IRNazanin" w:eastAsia="IRNazanin"/>
          <w:b w:val="false"/>
          <w:b w:val="false"/>
          <w:bCs w:val="false"/>
          <w:i w:val="false"/>
          <w:i w:val="false"/>
          <w:iCs w:val="false"/>
          <w:color w:val="333333"/>
          <w:sz w:val="20"/>
          <w:sz w:val="20"/>
          <w:szCs w:val="20"/>
          <w:rtl w:val="true"/>
        </w:rPr>
        <w:t>، والمختصر النافع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والعلّامة فی القواعد </w:t>
      </w:r>
      <w:r>
        <w:rPr>
          <w:rFonts w:eastAsia="IRNazanin" w:cs="IRNazanin"/>
          <w:b w:val="false"/>
          <w:bCs w:val="false"/>
          <w:i w:val="false"/>
          <w:iCs w:val="false"/>
          <w:color w:val="333333"/>
          <w:sz w:val="20"/>
          <w:szCs w:val="20"/>
        </w:rPr>
        <w:t>2:268</w:t>
      </w:r>
      <w:r>
        <w:rPr>
          <w:rFonts w:ascii="IRNazanin" w:hAnsi="IRNazanin" w:eastAsia="IRNazanin"/>
          <w:b w:val="false"/>
          <w:b w:val="false"/>
          <w:bCs w:val="false"/>
          <w:i w:val="false"/>
          <w:i w:val="false"/>
          <w:iCs w:val="false"/>
          <w:color w:val="333333"/>
          <w:sz w:val="20"/>
          <w:sz w:val="20"/>
          <w:szCs w:val="20"/>
          <w:rtl w:val="true"/>
        </w:rPr>
        <w:t xml:space="preserve">، والتحریر </w:t>
      </w:r>
      <w:r>
        <w:rPr>
          <w:rFonts w:eastAsia="IRNazanin" w:cs="IRNazanin"/>
          <w:b w:val="false"/>
          <w:bCs w:val="false"/>
          <w:i w:val="false"/>
          <w:iCs w:val="false"/>
          <w:color w:val="333333"/>
          <w:sz w:val="20"/>
          <w:szCs w:val="20"/>
        </w:rPr>
        <w:t>4:487</w:t>
      </w:r>
      <w:r>
        <w:rPr>
          <w:rFonts w:ascii="IRNazanin" w:hAnsi="IRNazanin" w:eastAsia="IRNazanin"/>
          <w:b w:val="false"/>
          <w:b w:val="false"/>
          <w:bCs w:val="false"/>
          <w:i w:val="false"/>
          <w:i w:val="false"/>
          <w:iCs w:val="false"/>
          <w:color w:val="333333"/>
          <w:sz w:val="20"/>
          <w:sz w:val="20"/>
          <w:szCs w:val="20"/>
          <w:rtl w:val="true"/>
        </w:rPr>
        <w:t xml:space="preserve">، ذیل الرقم </w:t>
      </w:r>
      <w:r>
        <w:rPr>
          <w:rFonts w:eastAsia="IRNazanin" w:cs="IRNazanin"/>
          <w:b w:val="false"/>
          <w:bCs w:val="false"/>
          <w:i w:val="false"/>
          <w:iCs w:val="false"/>
          <w:color w:val="333333"/>
          <w:sz w:val="20"/>
          <w:szCs w:val="20"/>
        </w:rPr>
        <w:t>6099</w:t>
      </w:r>
      <w:r>
        <w:rPr>
          <w:rFonts w:ascii="IRNazanin" w:hAnsi="IRNazanin" w:eastAsia="IRNazanin"/>
          <w:b w:val="false"/>
          <w:b w:val="false"/>
          <w:bCs w:val="false"/>
          <w:i w:val="false"/>
          <w:i w:val="false"/>
          <w:iCs w:val="false"/>
          <w:color w:val="333333"/>
          <w:sz w:val="20"/>
          <w:sz w:val="20"/>
          <w:szCs w:val="20"/>
          <w:rtl w:val="true"/>
        </w:rPr>
        <w:t xml:space="preserve">، والشهید فی الدروس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وغیرهم</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کلامه فی المختلف </w:t>
      </w:r>
      <w:r>
        <w:rPr>
          <w:rFonts w:eastAsia="IRNazanin" w:cs="IRNazanin"/>
          <w:b w:val="false"/>
          <w:bCs w:val="false"/>
          <w:i w:val="false"/>
          <w:iCs w:val="false"/>
          <w:color w:val="333333"/>
          <w:sz w:val="20"/>
          <w:szCs w:val="20"/>
        </w:rPr>
        <w:t>6:207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6:208</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6:2165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عطن</w:t>
      </w:r>
      <w:r>
        <w:rPr>
          <w:rFonts w:eastAsia="IRNazanin" w:cs="IRNazanin"/>
          <w:b w:val="false"/>
          <w:bCs w:val="false"/>
          <w:i w:val="false"/>
          <w:iCs w:val="false"/>
          <w:color w:val="333333"/>
          <w:sz w:val="20"/>
          <w:szCs w:val="20"/>
          <w:rtl w:val="true"/>
        </w:rPr>
        <w:t>) .</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المیل والعدول عن الشیء</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بما سلف</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عَضَدَ الشجرة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قطعها</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أصلها</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کون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 .</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الشرائع </w:t>
      </w:r>
      <w:r>
        <w:rPr>
          <w:rFonts w:eastAsia="IRNazanin" w:cs="IRNazanin"/>
          <w:b w:val="false"/>
          <w:bCs w:val="false"/>
          <w:i w:val="false"/>
          <w:iCs w:val="false"/>
          <w:color w:val="333333"/>
          <w:sz w:val="20"/>
          <w:szCs w:val="20"/>
        </w:rPr>
        <w:t>3:275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والقواعد </w:t>
      </w:r>
      <w:r>
        <w:rPr>
          <w:rFonts w:eastAsia="IRNazanin" w:cs="IRNazanin"/>
          <w:b w:val="false"/>
          <w:bCs w:val="false"/>
          <w:i w:val="false"/>
          <w:iCs w:val="false"/>
          <w:color w:val="333333"/>
          <w:sz w:val="20"/>
          <w:szCs w:val="20"/>
        </w:rPr>
        <w:t>2:276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والمختلف </w:t>
      </w:r>
      <w:r>
        <w:rPr>
          <w:rFonts w:eastAsia="IRNazanin" w:cs="IRNazanin"/>
          <w:b w:val="false"/>
          <w:bCs w:val="false"/>
          <w:i w:val="false"/>
          <w:iCs w:val="false"/>
          <w:color w:val="333333"/>
          <w:sz w:val="20"/>
          <w:szCs w:val="20"/>
        </w:rPr>
        <w:t>6:201</w:t>
      </w:r>
      <w:r>
        <w:rPr>
          <w:rFonts w:ascii="IRNazanin" w:hAnsi="IRNazanin" w:eastAsia="IRNazanin"/>
          <w:b w:val="false"/>
          <w:b w:val="false"/>
          <w:bCs w:val="false"/>
          <w:i w:val="false"/>
          <w:i w:val="false"/>
          <w:iCs w:val="false"/>
          <w:color w:val="333333"/>
          <w:sz w:val="20"/>
          <w:sz w:val="20"/>
          <w:szCs w:val="20"/>
          <w:rtl w:val="true"/>
        </w:rPr>
        <w:t xml:space="preserve">، وجامع المقاصد </w:t>
      </w:r>
      <w:r>
        <w:rPr>
          <w:rFonts w:eastAsia="IRNazanin" w:cs="IRNazanin"/>
          <w:b w:val="false"/>
          <w:bCs w:val="false"/>
          <w:i w:val="false"/>
          <w:iCs w:val="false"/>
          <w:color w:val="333333"/>
          <w:sz w:val="20"/>
          <w:szCs w:val="20"/>
        </w:rPr>
        <w:t>7:73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تمییزها</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جمع عُقْدَة، ما یمسک الشیء ویوثقه</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طُرحة، وهو ستر السقف بالبوریا</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الحجریّة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2:412</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3:242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المساجد، وورد عن طُرق العامّة بلفظ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قام الرجل من مجلسه ثمّ عاد إلیه فهو أحقّ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اُنظر سنن البیهقی </w:t>
      </w:r>
      <w:r>
        <w:rPr>
          <w:rFonts w:eastAsia="IRNazanin" w:cs="IRNazanin"/>
          <w:b w:val="false"/>
          <w:bCs w:val="false"/>
          <w:i w:val="false"/>
          <w:iCs w:val="false"/>
          <w:color w:val="333333"/>
          <w:sz w:val="20"/>
          <w:szCs w:val="20"/>
        </w:rPr>
        <w:t>6:151</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المبسوط </w:t>
      </w:r>
      <w:r>
        <w:rPr>
          <w:rFonts w:eastAsia="IRNazanin" w:cs="IRNazanin"/>
          <w:b w:val="false"/>
          <w:bCs w:val="false"/>
          <w:i w:val="false"/>
          <w:iCs w:val="false"/>
          <w:color w:val="333333"/>
          <w:sz w:val="20"/>
          <w:szCs w:val="20"/>
        </w:rPr>
        <w:t>3:276</w:t>
      </w:r>
      <w:r>
        <w:rPr>
          <w:rFonts w:ascii="IRNazanin" w:hAnsi="IRNazanin" w:eastAsia="IRNazanin"/>
          <w:b w:val="false"/>
          <w:b w:val="false"/>
          <w:bCs w:val="false"/>
          <w:i w:val="false"/>
          <w:i w:val="false"/>
          <w:iCs w:val="false"/>
          <w:color w:val="333333"/>
          <w:sz w:val="20"/>
          <w:sz w:val="20"/>
          <w:szCs w:val="20"/>
          <w:rtl w:val="true"/>
        </w:rPr>
        <w:t xml:space="preserve">، والإرشاد </w:t>
      </w:r>
      <w:r>
        <w:rPr>
          <w:rFonts w:eastAsia="IRNazanin" w:cs="IRNazanin"/>
          <w:b w:val="false"/>
          <w:bCs w:val="false"/>
          <w:i w:val="false"/>
          <w:iCs w:val="false"/>
          <w:color w:val="333333"/>
          <w:sz w:val="20"/>
          <w:szCs w:val="20"/>
        </w:rPr>
        <w:t>1:350</w:t>
      </w:r>
      <w:r>
        <w:rPr>
          <w:rFonts w:ascii="IRNazanin" w:hAnsi="IRNazanin" w:eastAsia="IRNazanin"/>
          <w:b w:val="false"/>
          <w:b w:val="false"/>
          <w:bCs w:val="false"/>
          <w:i w:val="false"/>
          <w:i w:val="false"/>
          <w:iCs w:val="false"/>
          <w:color w:val="333333"/>
          <w:sz w:val="20"/>
          <w:sz w:val="20"/>
          <w:szCs w:val="20"/>
          <w:rtl w:val="true"/>
        </w:rPr>
        <w:t xml:space="preserve">، والدروس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علی اعتبار نیّة العود مع بقاء الرحل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ر</w:t>
      </w:r>
      <w:r>
        <w:rPr>
          <w:rFonts w:eastAsia="IRNazanin" w:cs="IRNazanin"/>
          <w:b w:val="false"/>
          <w:bCs w:val="false"/>
          <w:i w:val="false"/>
          <w:iCs w:val="false"/>
          <w:color w:val="333333"/>
          <w:sz w:val="20"/>
          <w:szCs w:val="20"/>
          <w:rtl w:val="true"/>
        </w:rPr>
        <w:t>) .</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w:t>
      </w:r>
      <w:r>
        <w:rPr>
          <w:rFonts w:eastAsia="IRNazanin" w:cs="IRNazanin"/>
          <w:b w:val="false"/>
          <w:bCs w:val="false"/>
          <w:i w:val="false"/>
          <w:iCs w:val="false"/>
          <w:color w:val="333333"/>
          <w:sz w:val="20"/>
          <w:szCs w:val="20"/>
        </w:rPr>
        <w:t>17:88</w:t>
      </w:r>
      <w:r>
        <w:rPr>
          <w:rFonts w:ascii="IRNazanin" w:hAnsi="IRNazanin" w:eastAsia="IRNazanin"/>
          <w:b w:val="false"/>
          <w:b w:val="false"/>
          <w:bCs w:val="false"/>
          <w:i w:val="false"/>
          <w:i w:val="false"/>
          <w:iCs w:val="false"/>
          <w:color w:val="333333"/>
          <w:sz w:val="20"/>
          <w:sz w:val="20"/>
          <w:szCs w:val="20"/>
          <w:rtl w:val="true"/>
        </w:rPr>
        <w:t xml:space="preserve">، الباب الأوّل من کتاب الغصب،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الشیخ فی المبسوط </w:t>
      </w:r>
      <w:r>
        <w:rPr>
          <w:rFonts w:eastAsia="IRNazanin" w:cs="IRNazanin"/>
          <w:b w:val="false"/>
          <w:bCs w:val="false"/>
          <w:i w:val="false"/>
          <w:iCs w:val="false"/>
          <w:color w:val="333333"/>
          <w:sz w:val="20"/>
          <w:szCs w:val="20"/>
        </w:rPr>
        <w:t>3:273</w:t>
      </w:r>
      <w:r>
        <w:rPr>
          <w:rFonts w:ascii="IRNazanin" w:hAnsi="IRNazanin" w:eastAsia="IRNazanin"/>
          <w:b w:val="false"/>
          <w:b w:val="false"/>
          <w:bCs w:val="false"/>
          <w:i w:val="false"/>
          <w:i w:val="false"/>
          <w:iCs w:val="false"/>
          <w:color w:val="333333"/>
          <w:sz w:val="20"/>
          <w:sz w:val="20"/>
          <w:szCs w:val="20"/>
          <w:rtl w:val="true"/>
        </w:rPr>
        <w:t xml:space="preserve">، والقاضی فی المهذّب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والمحقّق فی الشرائع </w:t>
      </w:r>
      <w:r>
        <w:rPr>
          <w:rFonts w:eastAsia="IRNazanin" w:cs="IRNazanin"/>
          <w:b w:val="false"/>
          <w:bCs w:val="false"/>
          <w:i w:val="false"/>
          <w:iCs w:val="false"/>
          <w:color w:val="333333"/>
          <w:sz w:val="20"/>
          <w:szCs w:val="20"/>
        </w:rPr>
        <w:t>3:275</w:t>
      </w:r>
      <w:r>
        <w:rPr>
          <w:rFonts w:ascii="IRNazanin" w:hAnsi="IRNazanin" w:eastAsia="IRNazanin"/>
          <w:b w:val="false"/>
          <w:b w:val="false"/>
          <w:bCs w:val="false"/>
          <w:i w:val="false"/>
          <w:i w:val="false"/>
          <w:iCs w:val="false"/>
          <w:color w:val="333333"/>
          <w:sz w:val="20"/>
          <w:sz w:val="20"/>
          <w:szCs w:val="20"/>
          <w:rtl w:val="true"/>
        </w:rPr>
        <w:t xml:space="preserve">، والعلّامة فی القواعد </w:t>
      </w:r>
      <w:r>
        <w:rPr>
          <w:rFonts w:eastAsia="IRNazanin" w:cs="IRNazanin"/>
          <w:b w:val="false"/>
          <w:bCs w:val="false"/>
          <w:i w:val="false"/>
          <w:iCs w:val="false"/>
          <w:color w:val="333333"/>
          <w:sz w:val="20"/>
          <w:szCs w:val="20"/>
        </w:rPr>
        <w:t>2:269</w:t>
      </w:r>
      <w:r>
        <w:rPr>
          <w:rFonts w:ascii="IRNazanin" w:hAnsi="IRNazanin" w:eastAsia="IRNazanin"/>
          <w:b w:val="false"/>
          <w:b w:val="false"/>
          <w:bCs w:val="false"/>
          <w:i w:val="false"/>
          <w:i w:val="false"/>
          <w:iCs w:val="false"/>
          <w:color w:val="333333"/>
          <w:sz w:val="20"/>
          <w:sz w:val="20"/>
          <w:szCs w:val="20"/>
          <w:rtl w:val="true"/>
        </w:rPr>
        <w:t xml:space="preserve">، والتحریر </w:t>
      </w:r>
      <w:r>
        <w:rPr>
          <w:rFonts w:eastAsia="IRNazanin" w:cs="IRNazanin"/>
          <w:b w:val="false"/>
          <w:bCs w:val="false"/>
          <w:i w:val="false"/>
          <w:iCs w:val="false"/>
          <w:color w:val="333333"/>
          <w:sz w:val="20"/>
          <w:szCs w:val="20"/>
        </w:rPr>
        <w:t>4:486</w:t>
      </w:r>
      <w:r>
        <w:rPr>
          <w:rFonts w:ascii="IRNazanin" w:hAnsi="IRNazanin" w:eastAsia="IRNazanin"/>
          <w:b w:val="false"/>
          <w:b w:val="false"/>
          <w:bCs w:val="false"/>
          <w:i w:val="false"/>
          <w:i w:val="false"/>
          <w:iCs w:val="false"/>
          <w:color w:val="333333"/>
          <w:sz w:val="20"/>
          <w:sz w:val="20"/>
          <w:szCs w:val="20"/>
          <w:rtl w:val="true"/>
        </w:rPr>
        <w:t xml:space="preserve">، ذیل الرقم </w:t>
      </w:r>
      <w:r>
        <w:rPr>
          <w:rFonts w:eastAsia="IRNazanin" w:cs="IRNazanin"/>
          <w:b w:val="false"/>
          <w:bCs w:val="false"/>
          <w:i w:val="false"/>
          <w:iCs w:val="false"/>
          <w:color w:val="333333"/>
          <w:sz w:val="20"/>
          <w:szCs w:val="20"/>
        </w:rPr>
        <w:t>6097</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Pr>
        <w:t>4:155</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الحجریّة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2:405</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الثالث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الإخراج</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ونسخة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اشتغاله</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المحقّق فی الشرائع </w:t>
      </w:r>
      <w:r>
        <w:rPr>
          <w:rFonts w:eastAsia="IRNazanin" w:cs="IRNazanin"/>
          <w:b w:val="false"/>
          <w:bCs w:val="false"/>
          <w:i w:val="false"/>
          <w:iCs w:val="false"/>
          <w:color w:val="333333"/>
          <w:sz w:val="20"/>
          <w:szCs w:val="20"/>
        </w:rPr>
        <w:t>3:277</w:t>
      </w:r>
      <w:r>
        <w:rPr>
          <w:rFonts w:ascii="IRNazanin" w:hAnsi="IRNazanin" w:eastAsia="IRNazanin"/>
          <w:b w:val="false"/>
          <w:b w:val="false"/>
          <w:bCs w:val="false"/>
          <w:i w:val="false"/>
          <w:i w:val="false"/>
          <w:iCs w:val="false"/>
          <w:color w:val="333333"/>
          <w:sz w:val="20"/>
          <w:sz w:val="20"/>
          <w:szCs w:val="20"/>
          <w:rtl w:val="true"/>
        </w:rPr>
        <w:t xml:space="preserve">، والعلّامة فی الإرشاد </w:t>
      </w:r>
      <w:r>
        <w:rPr>
          <w:rFonts w:eastAsia="IRNazanin" w:cs="IRNazanin"/>
          <w:b w:val="false"/>
          <w:bCs w:val="false"/>
          <w:i w:val="false"/>
          <w:iCs w:val="false"/>
          <w:color w:val="333333"/>
          <w:sz w:val="20"/>
          <w:szCs w:val="20"/>
        </w:rPr>
        <w:t>1:350</w:t>
      </w:r>
      <w:r>
        <w:rPr>
          <w:rFonts w:ascii="IRNazanin" w:hAnsi="IRNazanin" w:eastAsia="IRNazanin"/>
          <w:b w:val="false"/>
          <w:b w:val="false"/>
          <w:bCs w:val="false"/>
          <w:i w:val="false"/>
          <w:i w:val="false"/>
          <w:iCs w:val="false"/>
          <w:color w:val="333333"/>
          <w:sz w:val="20"/>
          <w:sz w:val="20"/>
          <w:szCs w:val="20"/>
          <w:rtl w:val="true"/>
        </w:rPr>
        <w:t xml:space="preserve">، والقواعد </w:t>
      </w:r>
      <w:r>
        <w:rPr>
          <w:rFonts w:eastAsia="IRNazanin" w:cs="IRNazanin"/>
          <w:b w:val="false"/>
          <w:bCs w:val="false"/>
          <w:i w:val="false"/>
          <w:iCs w:val="false"/>
          <w:color w:val="333333"/>
          <w:sz w:val="20"/>
          <w:szCs w:val="20"/>
        </w:rPr>
        <w:t>2:271</w:t>
      </w:r>
      <w:r>
        <w:rPr>
          <w:rFonts w:ascii="IRNazanin" w:hAnsi="IRNazanin" w:eastAsia="IRNazanin"/>
          <w:b w:val="false"/>
          <w:b w:val="false"/>
          <w:bCs w:val="false"/>
          <w:i w:val="false"/>
          <w:i w:val="false"/>
          <w:iCs w:val="false"/>
          <w:color w:val="333333"/>
          <w:sz w:val="20"/>
          <w:sz w:val="20"/>
          <w:szCs w:val="20"/>
          <w:rtl w:val="true"/>
        </w:rPr>
        <w:t xml:space="preserve">، واعتمد علیه فی غایة المرام </w:t>
      </w:r>
      <w:r>
        <w:rPr>
          <w:rFonts w:eastAsia="IRNazanin" w:cs="IRNazanin"/>
          <w:b w:val="false"/>
          <w:bCs w:val="false"/>
          <w:i w:val="false"/>
          <w:iCs w:val="false"/>
          <w:color w:val="333333"/>
          <w:sz w:val="20"/>
          <w:szCs w:val="20"/>
        </w:rPr>
        <w:t>4:134</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الحجریّة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2:406</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المحقّق الکرکی فی جامع المقاصد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زنة مِثْل ومَثَل، یعنی سواء</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فیها</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المحقّق فی الشرائع </w:t>
      </w:r>
      <w:r>
        <w:rPr>
          <w:rFonts w:eastAsia="IRNazanin" w:cs="IRNazanin"/>
          <w:b w:val="false"/>
          <w:bCs w:val="false"/>
          <w:i w:val="false"/>
          <w:iCs w:val="false"/>
          <w:color w:val="333333"/>
          <w:sz w:val="20"/>
          <w:szCs w:val="20"/>
        </w:rPr>
        <w:t>3:277</w:t>
      </w:r>
      <w:r>
        <w:rPr>
          <w:rFonts w:ascii="IRNazanin" w:hAnsi="IRNazanin" w:eastAsia="IRNazanin"/>
          <w:b w:val="false"/>
          <w:b w:val="false"/>
          <w:bCs w:val="false"/>
          <w:i w:val="false"/>
          <w:i w:val="false"/>
          <w:iCs w:val="false"/>
          <w:color w:val="333333"/>
          <w:sz w:val="20"/>
          <w:sz w:val="20"/>
          <w:szCs w:val="20"/>
          <w:rtl w:val="true"/>
        </w:rPr>
        <w:t xml:space="preserve">، والعلّامة فی القواعد </w:t>
      </w:r>
      <w:r>
        <w:rPr>
          <w:rFonts w:eastAsia="IRNazanin" w:cs="IRNazanin"/>
          <w:b w:val="false"/>
          <w:bCs w:val="false"/>
          <w:i w:val="false"/>
          <w:iCs w:val="false"/>
          <w:color w:val="333333"/>
          <w:sz w:val="20"/>
          <w:szCs w:val="20"/>
        </w:rPr>
        <w:t>2:270</w:t>
      </w:r>
      <w:r>
        <w:rPr>
          <w:rFonts w:ascii="IRNazanin" w:hAnsi="IRNazanin" w:eastAsia="IRNazanin"/>
          <w:b w:val="false"/>
          <w:b w:val="false"/>
          <w:bCs w:val="false"/>
          <w:i w:val="false"/>
          <w:i w:val="false"/>
          <w:iCs w:val="false"/>
          <w:color w:val="333333"/>
          <w:sz w:val="20"/>
          <w:sz w:val="20"/>
          <w:szCs w:val="20"/>
          <w:rtl w:val="true"/>
        </w:rPr>
        <w:t xml:space="preserve">، والتحریر </w:t>
      </w:r>
      <w:r>
        <w:rPr>
          <w:rFonts w:eastAsia="IRNazanin" w:cs="IRNazanin"/>
          <w:b w:val="false"/>
          <w:bCs w:val="false"/>
          <w:i w:val="false"/>
          <w:iCs w:val="false"/>
          <w:color w:val="333333"/>
          <w:sz w:val="20"/>
          <w:szCs w:val="20"/>
        </w:rPr>
        <w:t>4:503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6120</w:t>
      </w:r>
      <w:r>
        <w:rPr>
          <w:rFonts w:ascii="IRNazanin" w:hAnsi="IRNazanin" w:eastAsia="IRNazanin"/>
          <w:b w:val="false"/>
          <w:b w:val="false"/>
          <w:bCs w:val="false"/>
          <w:i w:val="false"/>
          <w:i w:val="false"/>
          <w:iCs w:val="false"/>
          <w:color w:val="333333"/>
          <w:sz w:val="20"/>
          <w:sz w:val="20"/>
          <w:szCs w:val="20"/>
          <w:rtl w:val="true"/>
        </w:rPr>
        <w:t xml:space="preserve">، وهو الظاهر من الفخر فی الإیضاح </w:t>
      </w:r>
      <w:r>
        <w:rPr>
          <w:rFonts w:eastAsia="IRNazanin" w:cs="IRNazanin"/>
          <w:b w:val="false"/>
          <w:bCs w:val="false"/>
          <w:i w:val="false"/>
          <w:iCs w:val="false"/>
          <w:color w:val="333333"/>
          <w:sz w:val="20"/>
          <w:szCs w:val="20"/>
        </w:rPr>
        <w:t>3:235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والکرکی فی جامع المقاصد </w:t>
      </w:r>
      <w:r>
        <w:rPr>
          <w:rFonts w:eastAsia="IRNazanin" w:cs="IRNazanin"/>
          <w:b w:val="false"/>
          <w:bCs w:val="false"/>
          <w:i w:val="false"/>
          <w:iCs w:val="false"/>
          <w:color w:val="333333"/>
          <w:sz w:val="20"/>
          <w:szCs w:val="20"/>
        </w:rPr>
        <w:t>7:36</w:t>
      </w:r>
      <w:r>
        <w:rPr>
          <w:rFonts w:ascii="IRNazanin" w:hAnsi="IRNazanin" w:eastAsia="IRNazanin"/>
          <w:b w:val="false"/>
          <w:b w:val="false"/>
          <w:bCs w:val="false"/>
          <w:i w:val="false"/>
          <w:i w:val="false"/>
          <w:iCs w:val="false"/>
          <w:color w:val="333333"/>
          <w:sz w:val="20"/>
          <w:sz w:val="20"/>
          <w:szCs w:val="20"/>
          <w:rtl w:val="true"/>
        </w:rPr>
        <w:t>، حیث لم یعلّقا علی کلام العلّامة</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3:542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المساجد،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الحجریّة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2:405</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یرد فی المخطوطات</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اختاره العلّامة فی القواعد </w:t>
      </w:r>
      <w:r>
        <w:rPr>
          <w:rFonts w:eastAsia="IRNazanin" w:cs="IRNazanin"/>
          <w:b w:val="false"/>
          <w:bCs w:val="false"/>
          <w:i w:val="false"/>
          <w:iCs w:val="false"/>
          <w:color w:val="333333"/>
          <w:sz w:val="20"/>
          <w:szCs w:val="20"/>
        </w:rPr>
        <w:t>2:275</w:t>
      </w:r>
      <w:r>
        <w:rPr>
          <w:rFonts w:ascii="IRNazanin" w:hAnsi="IRNazanin" w:eastAsia="IRNazanin"/>
          <w:b w:val="false"/>
          <w:b w:val="false"/>
          <w:bCs w:val="false"/>
          <w:i w:val="false"/>
          <w:i w:val="false"/>
          <w:iCs w:val="false"/>
          <w:color w:val="333333"/>
          <w:sz w:val="20"/>
          <w:sz w:val="20"/>
          <w:szCs w:val="20"/>
          <w:rtl w:val="true"/>
        </w:rPr>
        <w:t xml:space="preserve">، وولده فی الإیضاح </w:t>
      </w:r>
      <w:r>
        <w:rPr>
          <w:rFonts w:eastAsia="IRNazanin" w:cs="IRNazanin"/>
          <w:b w:val="false"/>
          <w:bCs w:val="false"/>
          <w:i w:val="false"/>
          <w:iCs w:val="false"/>
          <w:color w:val="333333"/>
          <w:sz w:val="20"/>
          <w:szCs w:val="20"/>
        </w:rPr>
        <w:t>2:241</w:t>
      </w:r>
      <w:r>
        <w:rPr>
          <w:rFonts w:ascii="IRNazanin" w:hAnsi="IRNazanin" w:eastAsia="IRNazanin"/>
          <w:b w:val="false"/>
          <w:b w:val="false"/>
          <w:bCs w:val="false"/>
          <w:i w:val="false"/>
          <w:i w:val="false"/>
          <w:iCs w:val="false"/>
          <w:color w:val="333333"/>
          <w:sz w:val="20"/>
          <w:sz w:val="20"/>
          <w:szCs w:val="20"/>
          <w:rtl w:val="true"/>
        </w:rPr>
        <w:t xml:space="preserve">، واعتمد علیه فی غایة المرام </w:t>
      </w:r>
      <w:r>
        <w:rPr>
          <w:rFonts w:eastAsia="IRNazanin" w:cs="IRNazanin"/>
          <w:b w:val="false"/>
          <w:bCs w:val="false"/>
          <w:i w:val="false"/>
          <w:iCs w:val="false"/>
          <w:color w:val="333333"/>
          <w:sz w:val="20"/>
          <w:szCs w:val="20"/>
        </w:rPr>
        <w:t>4:137</w:t>
      </w:r>
      <w:r>
        <w:rPr>
          <w:rFonts w:ascii="IRNazanin" w:hAnsi="IRNazanin" w:eastAsia="IRNazanin"/>
          <w:b w:val="false"/>
          <w:b w:val="false"/>
          <w:bCs w:val="false"/>
          <w:i w:val="false"/>
          <w:i w:val="false"/>
          <w:iCs w:val="false"/>
          <w:color w:val="333333"/>
          <w:sz w:val="20"/>
          <w:sz w:val="20"/>
          <w:szCs w:val="20"/>
          <w:rtl w:val="true"/>
        </w:rPr>
        <w:t xml:space="preserve">، والمحقّق الثانی فی جامع المقاصد </w:t>
      </w:r>
      <w:r>
        <w:rPr>
          <w:rFonts w:eastAsia="IRNazanin" w:cs="IRNazanin"/>
          <w:b w:val="false"/>
          <w:bCs w:val="false"/>
          <w:i w:val="false"/>
          <w:iCs w:val="false"/>
          <w:color w:val="333333"/>
          <w:sz w:val="20"/>
          <w:szCs w:val="20"/>
        </w:rPr>
        <w:t>7:65</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الشیخ فی المبسوط </w:t>
      </w:r>
      <w:r>
        <w:rPr>
          <w:rFonts w:eastAsia="IRNazanin" w:cs="IRNazanin"/>
          <w:b w:val="false"/>
          <w:bCs w:val="false"/>
          <w:i w:val="false"/>
          <w:iCs w:val="false"/>
          <w:color w:val="333333"/>
          <w:sz w:val="20"/>
          <w:szCs w:val="20"/>
        </w:rPr>
        <w:t>3:284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w:t>
      </w:r>
      <w:r>
        <w:rPr>
          <w:rFonts w:eastAsia="IRNazanin" w:cs="IRNazanin"/>
          <w:b w:val="false"/>
          <w:bCs w:val="false"/>
          <w:i w:val="false"/>
          <w:iCs w:val="false"/>
          <w:color w:val="333333"/>
          <w:sz w:val="20"/>
          <w:szCs w:val="20"/>
        </w:rPr>
        <w:t>17:114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إحیاء الموات،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ولو کان قصده</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بکسر الباء جمع بُرْمَة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 الذی یُعمل منه القِدر</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لا علی وجه یشمل المعادن</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احتمله العلّامة فی التذکرة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الحجریّة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2:403</w:t>
      </w:r>
      <w:r>
        <w:rPr>
          <w:rFonts w:ascii="IRNazanin" w:hAnsi="IRNazanin" w:eastAsia="IRNazanin"/>
          <w:b w:val="false"/>
          <w:b w:val="false"/>
          <w:bCs w:val="false"/>
          <w:i w:val="false"/>
          <w:i w:val="false"/>
          <w:iCs w:val="false"/>
          <w:color w:val="333333"/>
          <w:sz w:val="20"/>
          <w:sz w:val="20"/>
          <w:szCs w:val="20"/>
          <w:rtl w:val="true"/>
        </w:rPr>
        <w:t>،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وعلی ما قاله بعض علمائنا من أ نّها مختصّة بالإمام یجوز له إقطاعها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وممّن قال باختصاصها بالإمام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المفید فی 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وسلّار فی المراسم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الأوّل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الذبائح</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الشرح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الآلة</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طائر أعجمی معرّب، والشَرَک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حبائل الصائد وما ینصب للطیر، والحِبالة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یصاد بها، جمعها حبائل، والشَبَکة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مصیدة الصائد التی یصید بها فی البرّ والماء، والفَخّ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المصیدة التی یصاد بها، والبُنْدَق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یرمی به</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العلّامة فی المختلف </w:t>
      </w:r>
      <w:r>
        <w:rPr>
          <w:rFonts w:eastAsia="IRNazanin" w:cs="IRNazanin"/>
          <w:b w:val="false"/>
          <w:bCs w:val="false"/>
          <w:i w:val="false"/>
          <w:iCs w:val="false"/>
          <w:color w:val="333333"/>
          <w:sz w:val="20"/>
          <w:szCs w:val="20"/>
        </w:rPr>
        <w:t>8:349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المشهور، وادّعی السیّد الإجماع علیه فی الانتصار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وابن زهرة فی الغنیة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وابن إدریس فی السرائر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والقول الآخر للعمانی وهو حلّیّة صید ما أشبه الکلب من الفهد والنمر وغیرهما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والقول الثالث منسوب إلی الإسکافی، وهو استثناء الکلب الأسود من الکلاب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کلامهما فی المختلف </w:t>
      </w:r>
      <w:r>
        <w:rPr>
          <w:rFonts w:eastAsia="IRNazanin" w:cs="IRNazanin"/>
          <w:b w:val="false"/>
          <w:bCs w:val="false"/>
          <w:i w:val="false"/>
          <w:iCs w:val="false"/>
          <w:color w:val="333333"/>
          <w:sz w:val="20"/>
          <w:szCs w:val="20"/>
        </w:rPr>
        <w:t>8:349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16:207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الصید</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أرسله</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زجره</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w:t>
      </w:r>
      <w:r>
        <w:rPr>
          <w:rFonts w:eastAsia="IRNazanin" w:cs="IRNazanin"/>
          <w:b w:val="false"/>
          <w:bCs w:val="false"/>
          <w:i w:val="false"/>
          <w:iCs w:val="false"/>
          <w:color w:val="333333"/>
          <w:sz w:val="20"/>
          <w:szCs w:val="20"/>
        </w:rPr>
        <w:t>18:20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الحدود،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القواعد والفوائد </w:t>
      </w:r>
      <w:r>
        <w:rPr>
          <w:rFonts w:eastAsia="IRNazanin" w:cs="IRNazanin"/>
          <w:b w:val="false"/>
          <w:bCs w:val="false"/>
          <w:i w:val="false"/>
          <w:iCs w:val="false"/>
          <w:color w:val="333333"/>
          <w:sz w:val="20"/>
          <w:szCs w:val="20"/>
        </w:rPr>
        <w:t>1:195</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القول بالإجزاء للعلّامة فی القواعد </w:t>
      </w:r>
      <w:r>
        <w:rPr>
          <w:rFonts w:eastAsia="IRNazanin" w:cs="IRNazanin"/>
          <w:b w:val="false"/>
          <w:bCs w:val="false"/>
          <w:i w:val="false"/>
          <w:iCs w:val="false"/>
          <w:color w:val="333333"/>
          <w:sz w:val="20"/>
          <w:szCs w:val="20"/>
        </w:rPr>
        <w:t>3:312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والتحریر </w:t>
      </w:r>
      <w:r>
        <w:rPr>
          <w:rFonts w:eastAsia="IRNazanin" w:cs="IRNazanin"/>
          <w:b w:val="false"/>
          <w:bCs w:val="false"/>
          <w:i w:val="false"/>
          <w:iCs w:val="false"/>
          <w:color w:val="333333"/>
          <w:sz w:val="20"/>
          <w:szCs w:val="20"/>
        </w:rPr>
        <w:t>4:607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6208</w:t>
      </w:r>
      <w:r>
        <w:rPr>
          <w:rFonts w:ascii="IRNazanin" w:hAnsi="IRNazanin" w:eastAsia="IRNazanin"/>
          <w:b w:val="false"/>
          <w:b w:val="false"/>
          <w:bCs w:val="false"/>
          <w:i w:val="false"/>
          <w:i w:val="false"/>
          <w:iCs w:val="false"/>
          <w:color w:val="333333"/>
          <w:sz w:val="20"/>
          <w:sz w:val="20"/>
          <w:szCs w:val="20"/>
          <w:rtl w:val="true"/>
        </w:rPr>
        <w:t xml:space="preserve">، والشهید فی الدروس </w:t>
      </w:r>
      <w:r>
        <w:rPr>
          <w:rFonts w:eastAsia="IRNazanin" w:cs="IRNazanin"/>
          <w:b w:val="false"/>
          <w:bCs w:val="false"/>
          <w:i w:val="false"/>
          <w:iCs w:val="false"/>
          <w:color w:val="333333"/>
          <w:sz w:val="20"/>
          <w:szCs w:val="20"/>
        </w:rPr>
        <w:t>2:395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القول بعدم الإجزاء فلم نعثر علی المصرّح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هو ظاهر کلّ من قیّد التسمیة بکونها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عند الإرسال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المحقّق فی الشرائع </w:t>
      </w:r>
      <w:r>
        <w:rPr>
          <w:rFonts w:eastAsia="IRNazanin" w:cs="IRNazanin"/>
          <w:b w:val="false"/>
          <w:bCs w:val="false"/>
          <w:i w:val="false"/>
          <w:iCs w:val="false"/>
          <w:color w:val="333333"/>
          <w:sz w:val="20"/>
          <w:szCs w:val="20"/>
        </w:rPr>
        <w:t>3:200</w:t>
      </w:r>
      <w:r>
        <w:rPr>
          <w:rFonts w:ascii="IRNazanin" w:hAnsi="IRNazanin" w:eastAsia="IRNazanin"/>
          <w:b w:val="false"/>
          <w:b w:val="false"/>
          <w:bCs w:val="false"/>
          <w:i w:val="false"/>
          <w:i w:val="false"/>
          <w:iCs w:val="false"/>
          <w:color w:val="333333"/>
          <w:sz w:val="20"/>
          <w:sz w:val="20"/>
          <w:szCs w:val="20"/>
          <w:rtl w:val="true"/>
        </w:rPr>
        <w:t>، والمختصر النافع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کما قاله فی الریاض </w:t>
      </w:r>
      <w:r>
        <w:rPr>
          <w:rFonts w:eastAsia="IRNazanin" w:cs="IRNazanin"/>
          <w:b w:val="false"/>
          <w:bCs w:val="false"/>
          <w:i w:val="false"/>
          <w:iCs w:val="false"/>
          <w:color w:val="333333"/>
          <w:sz w:val="20"/>
          <w:szCs w:val="20"/>
        </w:rPr>
        <w:t>12:52</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16:210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الصید،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16:207</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الصید، الحدیث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الصید، الحدیث الأوّل، و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الصید، الحدیث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وغیرها من الأبواب</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القول بالإجزاء للشهید فی الدروس </w:t>
      </w:r>
      <w:r>
        <w:rPr>
          <w:rFonts w:eastAsia="IRNazanin" w:cs="IRNazanin"/>
          <w:b w:val="false"/>
          <w:bCs w:val="false"/>
          <w:i w:val="false"/>
          <w:iCs w:val="false"/>
          <w:color w:val="333333"/>
          <w:sz w:val="20"/>
          <w:szCs w:val="20"/>
        </w:rPr>
        <w:t>2:395</w:t>
      </w:r>
      <w:r>
        <w:rPr>
          <w:rFonts w:ascii="IRNazanin" w:hAnsi="IRNazanin" w:eastAsia="IRNazanin"/>
          <w:b w:val="false"/>
          <w:b w:val="false"/>
          <w:bCs w:val="false"/>
          <w:i w:val="false"/>
          <w:i w:val="false"/>
          <w:iCs w:val="false"/>
          <w:color w:val="333333"/>
          <w:sz w:val="20"/>
          <w:sz w:val="20"/>
          <w:szCs w:val="20"/>
          <w:rtl w:val="true"/>
        </w:rPr>
        <w:t xml:space="preserve">، والسیوری فی التنقیح الرائع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ولم نعثر علی القول الآخر</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التحریر </w:t>
      </w:r>
      <w:r>
        <w:rPr>
          <w:rFonts w:eastAsia="IRNazanin" w:cs="IRNazanin"/>
          <w:b w:val="false"/>
          <w:bCs w:val="false"/>
          <w:i w:val="false"/>
          <w:iCs w:val="false"/>
          <w:color w:val="333333"/>
          <w:sz w:val="20"/>
          <w:szCs w:val="20"/>
        </w:rPr>
        <w:t>4:607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6208</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القول بعدم الاشتراط للعلّامة فی التحریر </w:t>
      </w:r>
      <w:r>
        <w:rPr>
          <w:rFonts w:eastAsia="IRNazanin" w:cs="IRNazanin"/>
          <w:b w:val="false"/>
          <w:bCs w:val="false"/>
          <w:i w:val="false"/>
          <w:iCs w:val="false"/>
          <w:color w:val="333333"/>
          <w:sz w:val="20"/>
          <w:szCs w:val="20"/>
        </w:rPr>
        <w:t>4:607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القول باشتراط العربیّة فلم نعثر علیه فی کتب أصحابنا، بل لم نعثر علی من تعرّض للمسألة إلّاالشهید فی الدروس </w:t>
      </w:r>
      <w:r>
        <w:rPr>
          <w:rFonts w:eastAsia="IRNazanin" w:cs="IRNazanin"/>
          <w:b w:val="false"/>
          <w:bCs w:val="false"/>
          <w:i w:val="false"/>
          <w:iCs w:val="false"/>
          <w:color w:val="333333"/>
          <w:sz w:val="20"/>
          <w:szCs w:val="20"/>
        </w:rPr>
        <w:t>2:395</w:t>
      </w:r>
      <w:r>
        <w:rPr>
          <w:rFonts w:ascii="IRNazanin" w:hAnsi="IRNazanin" w:eastAsia="IRNazanin"/>
          <w:b w:val="false"/>
          <w:b w:val="false"/>
          <w:bCs w:val="false"/>
          <w:i w:val="false"/>
          <w:i w:val="false"/>
          <w:iCs w:val="false"/>
          <w:color w:val="333333"/>
          <w:sz w:val="20"/>
          <w:sz w:val="20"/>
          <w:szCs w:val="20"/>
          <w:rtl w:val="true"/>
        </w:rPr>
        <w:t>، ولکن تردّد فیها حیث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إجزاء التسمیة بغیر العربیّة نظر</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هو المشهور عند علمائنا أو بین الأصحاب، کما فی المختلف </w:t>
      </w:r>
      <w:r>
        <w:rPr>
          <w:rFonts w:eastAsia="IRNazanin" w:cs="IRNazanin"/>
          <w:b w:val="false"/>
          <w:bCs w:val="false"/>
          <w:i w:val="false"/>
          <w:iCs w:val="false"/>
          <w:color w:val="333333"/>
          <w:sz w:val="20"/>
          <w:szCs w:val="20"/>
        </w:rPr>
        <w:t>8:295</w:t>
      </w:r>
      <w:r>
        <w:rPr>
          <w:rFonts w:ascii="IRNazanin" w:hAnsi="IRNazanin" w:eastAsia="IRNazanin"/>
          <w:b w:val="false"/>
          <w:b w:val="false"/>
          <w:bCs w:val="false"/>
          <w:i w:val="false"/>
          <w:i w:val="false"/>
          <w:iCs w:val="false"/>
          <w:color w:val="333333"/>
          <w:sz w:val="20"/>
          <w:sz w:val="20"/>
          <w:szCs w:val="20"/>
          <w:rtl w:val="true"/>
        </w:rPr>
        <w:t xml:space="preserve">، وغایة المرام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 وهو قول الأکثر کما فی التنقیح الرائع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المسألة قولان آخران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القول بالإباحة وهو مذهب العمانی مع الاختصاص بذبائح الیهود والنصاری دون المجوس، والإسکافی ولکن علی کراهیة، اُنظر المختلف </w:t>
      </w:r>
      <w:r>
        <w:rPr>
          <w:rFonts w:eastAsia="IRNazanin" w:cs="IRNazanin"/>
          <w:b w:val="false"/>
          <w:bCs w:val="false"/>
          <w:i w:val="false"/>
          <w:iCs w:val="false"/>
          <w:color w:val="333333"/>
          <w:sz w:val="20"/>
          <w:szCs w:val="20"/>
        </w:rPr>
        <w:t>8:296</w:t>
      </w:r>
      <w:r>
        <w:rPr>
          <w:rFonts w:ascii="IRNazanin" w:hAnsi="IRNazanin" w:eastAsia="IRNazanin"/>
          <w:b w:val="false"/>
          <w:b w:val="false"/>
          <w:bCs w:val="false"/>
          <w:i w:val="false"/>
          <w:i w:val="false"/>
          <w:iCs w:val="false"/>
          <w:color w:val="333333"/>
          <w:sz w:val="20"/>
          <w:sz w:val="20"/>
          <w:szCs w:val="20"/>
          <w:rtl w:val="true"/>
        </w:rPr>
        <w:t xml:space="preserve">، والتنقیح الرائع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والقول بالإباحة مع سماع التسمیة منهم، وهو المنسوب إلی الصدوق، اُنظر المقنع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والأقوال المذکورة وإن وردت فی مسألة الذبح ولکن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کما قال الصیمری فی غایة المرام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 فی حال الصید کالخلاف فی حال الذبح، فمن قال بحلّ ذبائحهم قال بحلّ صیدهم</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المجسِّمة</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سهم بلا ریش غلیظ الوسط یصیب بعرضه دون حدّه</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عصا من خشب أو حدید فی رأسه شیء کالکُرة، یقال له بالفارسیّة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گُرز، عمود</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فی الصفحة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فی الصفحة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فی الصفحة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6:259</w:t>
      </w:r>
      <w:r>
        <w:rPr>
          <w:rFonts w:ascii="IRNazanin" w:hAnsi="IRNazanin" w:eastAsia="IRNazanin"/>
          <w:b w:val="false"/>
          <w:b w:val="false"/>
          <w:bCs w:val="false"/>
          <w:i w:val="false"/>
          <w:i w:val="false"/>
          <w:iCs w:val="false"/>
          <w:color w:val="333333"/>
          <w:sz w:val="20"/>
          <w:sz w:val="20"/>
          <w:szCs w:val="20"/>
          <w:rtl w:val="true"/>
        </w:rPr>
        <w:t xml:space="preserve">، والخلاف </w:t>
      </w:r>
      <w:r>
        <w:rPr>
          <w:rFonts w:eastAsia="IRNazanin" w:cs="IRNazanin"/>
          <w:b w:val="false"/>
          <w:bCs w:val="false"/>
          <w:i w:val="false"/>
          <w:iCs w:val="false"/>
          <w:color w:val="333333"/>
          <w:sz w:val="20"/>
          <w:szCs w:val="20"/>
        </w:rPr>
        <w:t>6:12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الصید والذبائح</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والوسائل </w:t>
      </w:r>
      <w:r>
        <w:rPr>
          <w:rFonts w:eastAsia="IRNazanin" w:cs="IRNazanin"/>
          <w:b w:val="false"/>
          <w:bCs w:val="false"/>
          <w:i w:val="false"/>
          <w:iCs w:val="false"/>
          <w:color w:val="333333"/>
          <w:sz w:val="20"/>
          <w:szCs w:val="20"/>
        </w:rPr>
        <w:t>16:209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الصید، الأحادیث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غیر مستقرّ الحیاة</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ونحوه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تجوّزاً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وردت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أوّل العبارة بعد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غُلّب</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2:407</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الأقوال وتخریجها فی الصفحة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الهامش 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یرد فی المخطوطات</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مذهب العمانی کما فی المختلف </w:t>
      </w:r>
      <w:r>
        <w:rPr>
          <w:rFonts w:eastAsia="IRNazanin" w:cs="IRNazanin"/>
          <w:b w:val="false"/>
          <w:bCs w:val="false"/>
          <w:i w:val="false"/>
          <w:iCs w:val="false"/>
          <w:color w:val="333333"/>
          <w:sz w:val="20"/>
          <w:szCs w:val="20"/>
        </w:rPr>
        <w:t>8:296</w:t>
      </w:r>
      <w:r>
        <w:rPr>
          <w:rFonts w:ascii="IRNazanin" w:hAnsi="IRNazanin" w:eastAsia="IRNazanin"/>
          <w:b w:val="false"/>
          <w:b w:val="false"/>
          <w:bCs w:val="false"/>
          <w:i w:val="false"/>
          <w:i w:val="false"/>
          <w:iCs w:val="false"/>
          <w:color w:val="333333"/>
          <w:sz w:val="20"/>
          <w:sz w:val="20"/>
          <w:szCs w:val="20"/>
          <w:rtl w:val="true"/>
        </w:rPr>
        <w:t>، ولم نعثر لغیره</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16:282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الذبائح، الأحادیث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وغیرها</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الأحادیث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وغیرها فی الباب وغیره</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التهذیب </w:t>
      </w:r>
      <w:r>
        <w:rPr>
          <w:rFonts w:eastAsia="IRNazanin" w:cs="IRNazanin"/>
          <w:b w:val="false"/>
          <w:bCs w:val="false"/>
          <w:i w:val="false"/>
          <w:iCs w:val="false"/>
          <w:color w:val="333333"/>
          <w:sz w:val="20"/>
          <w:szCs w:val="20"/>
        </w:rPr>
        <w:t>9:70</w:t>
      </w:r>
      <w:r>
        <w:rPr>
          <w:rFonts w:ascii="IRNazanin" w:hAnsi="IRNazanin" w:eastAsia="IRNazanin"/>
          <w:b w:val="false"/>
          <w:b w:val="false"/>
          <w:bCs w:val="false"/>
          <w:i w:val="false"/>
          <w:i w:val="false"/>
          <w:iCs w:val="false"/>
          <w:color w:val="333333"/>
          <w:sz w:val="20"/>
          <w:sz w:val="20"/>
          <w:szCs w:val="20"/>
          <w:rtl w:val="true"/>
        </w:rPr>
        <w:t xml:space="preserve">، ذیل الحدیث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والمختلف </w:t>
      </w:r>
      <w:r>
        <w:rPr>
          <w:rFonts w:eastAsia="IRNazanin" w:cs="IRNazanin"/>
          <w:b w:val="false"/>
          <w:bCs w:val="false"/>
          <w:i w:val="false"/>
          <w:iCs w:val="false"/>
          <w:color w:val="333333"/>
          <w:sz w:val="20"/>
          <w:szCs w:val="20"/>
        </w:rPr>
        <w:t>8:299</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16:292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الذبائح، الحدیث الأوّل</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یرد فی المخطوطات</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 بالاشتراط للعلّامة فی المختلف </w:t>
      </w:r>
      <w:r>
        <w:rPr>
          <w:rFonts w:eastAsia="IRNazanin" w:cs="IRNazanin"/>
          <w:b w:val="false"/>
          <w:bCs w:val="false"/>
          <w:i w:val="false"/>
          <w:iCs w:val="false"/>
          <w:color w:val="333333"/>
          <w:sz w:val="20"/>
          <w:szCs w:val="20"/>
        </w:rPr>
        <w:t>8:300</w:t>
      </w:r>
      <w:r>
        <w:rPr>
          <w:rFonts w:ascii="IRNazanin" w:hAnsi="IRNazanin" w:eastAsia="IRNazanin"/>
          <w:b w:val="false"/>
          <w:b w:val="false"/>
          <w:bCs w:val="false"/>
          <w:i w:val="false"/>
          <w:i w:val="false"/>
          <w:iCs w:val="false"/>
          <w:color w:val="333333"/>
          <w:sz w:val="20"/>
          <w:sz w:val="20"/>
          <w:szCs w:val="20"/>
          <w:rtl w:val="true"/>
        </w:rPr>
        <w:t xml:space="preserve">، وقول بعدم الاشتراط للشهید فی الدروس </w:t>
      </w:r>
      <w:r>
        <w:rPr>
          <w:rFonts w:eastAsia="IRNazanin" w:cs="IRNazanin"/>
          <w:b w:val="false"/>
          <w:bCs w:val="false"/>
          <w:i w:val="false"/>
          <w:iCs w:val="false"/>
          <w:color w:val="333333"/>
          <w:sz w:val="20"/>
          <w:szCs w:val="20"/>
        </w:rPr>
        <w:t>2:411</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اسم ذکر اللّٰه</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16:292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الذبائح،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فی المهذّب البارع </w:t>
      </w:r>
      <w:r>
        <w:rPr>
          <w:rFonts w:eastAsia="IRNazanin" w:cs="IRNazanin"/>
          <w:b w:val="false"/>
          <w:bCs w:val="false"/>
          <w:i w:val="false"/>
          <w:iCs w:val="false"/>
          <w:color w:val="333333"/>
          <w:sz w:val="20"/>
          <w:szCs w:val="20"/>
        </w:rPr>
        <w:t>4:162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الحلبی وابن حمزة والقاضی وابن إدریس مع حلّیّة ذبیحة المستضعف عند الأخیر، اُنظر 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والوسیلة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والمهذّب </w:t>
      </w:r>
      <w:r>
        <w:rPr>
          <w:rFonts w:eastAsia="IRNazanin" w:cs="IRNazanin"/>
          <w:b w:val="false"/>
          <w:bCs w:val="false"/>
          <w:i w:val="false"/>
          <w:iCs w:val="false"/>
          <w:color w:val="333333"/>
          <w:sz w:val="20"/>
          <w:szCs w:val="20"/>
        </w:rPr>
        <w:t>2:439</w:t>
      </w:r>
      <w:r>
        <w:rPr>
          <w:rFonts w:ascii="IRNazanin" w:hAnsi="IRNazanin" w:eastAsia="IRNazanin"/>
          <w:b w:val="false"/>
          <w:b w:val="false"/>
          <w:bCs w:val="false"/>
          <w:i w:val="false"/>
          <w:i w:val="false"/>
          <w:iCs w:val="false"/>
          <w:color w:val="333333"/>
          <w:sz w:val="20"/>
          <w:sz w:val="20"/>
          <w:szCs w:val="20"/>
          <w:rtl w:val="true"/>
        </w:rPr>
        <w:t xml:space="preserve">، والسرائر </w:t>
      </w:r>
      <w:r>
        <w:rPr>
          <w:rFonts w:eastAsia="IRNazanin" w:cs="IRNazanin"/>
          <w:b w:val="false"/>
          <w:bCs w:val="false"/>
          <w:i w:val="false"/>
          <w:iCs w:val="false"/>
          <w:color w:val="333333"/>
          <w:sz w:val="20"/>
          <w:szCs w:val="20"/>
        </w:rPr>
        <w:t>3:105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16:292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الذبائح،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ذبح المخالف، علی الکراهة</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أو</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لا یُمیّز</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16:252</w:t>
      </w:r>
      <w:r>
        <w:rPr>
          <w:rFonts w:ascii="IRNazanin" w:hAnsi="IRNazanin" w:eastAsia="IRNazanin"/>
          <w:b w:val="false"/>
          <w:b w:val="false"/>
          <w:bCs w:val="false"/>
          <w:i w:val="false"/>
          <w:i w:val="false"/>
          <w:iCs w:val="false"/>
          <w:color w:val="333333"/>
          <w:sz w:val="20"/>
          <w:sz w:val="20"/>
          <w:szCs w:val="20"/>
          <w:rtl w:val="true"/>
        </w:rPr>
        <w:t>، الباب الأوّل من أبواب الذبائح، الحدیث الأوّل</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16:254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الذبائح،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الحدیث الأوّل</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اختاره ابن إدریس فی السرائر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وقرّبه الآبی فی الکشف </w:t>
      </w:r>
      <w:r>
        <w:rPr>
          <w:rFonts w:eastAsia="IRNazanin" w:cs="IRNazanin"/>
          <w:b w:val="false"/>
          <w:bCs w:val="false"/>
          <w:i w:val="false"/>
          <w:iCs w:val="false"/>
          <w:color w:val="333333"/>
          <w:sz w:val="20"/>
          <w:szCs w:val="20"/>
        </w:rPr>
        <w:t>2:351</w:t>
      </w:r>
      <w:r>
        <w:rPr>
          <w:rFonts w:ascii="IRNazanin" w:hAnsi="IRNazanin" w:eastAsia="IRNazanin"/>
          <w:b w:val="false"/>
          <w:b w:val="false"/>
          <w:bCs w:val="false"/>
          <w:i w:val="false"/>
          <w:i w:val="false"/>
          <w:iCs w:val="false"/>
          <w:color w:val="333333"/>
          <w:sz w:val="20"/>
          <w:sz w:val="20"/>
          <w:szCs w:val="20"/>
          <w:rtl w:val="true"/>
        </w:rPr>
        <w:t xml:space="preserve">، وقوّاه العلّامة فی التحریر </w:t>
      </w:r>
      <w:r>
        <w:rPr>
          <w:rFonts w:eastAsia="IRNazanin" w:cs="IRNazanin"/>
          <w:b w:val="false"/>
          <w:bCs w:val="false"/>
          <w:i w:val="false"/>
          <w:iCs w:val="false"/>
          <w:color w:val="333333"/>
          <w:sz w:val="20"/>
          <w:szCs w:val="20"/>
        </w:rPr>
        <w:t>4:623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6223</w:t>
      </w:r>
      <w:r>
        <w:rPr>
          <w:rFonts w:ascii="IRNazanin" w:hAnsi="IRNazanin" w:eastAsia="IRNazanin"/>
          <w:b w:val="false"/>
          <w:b w:val="false"/>
          <w:bCs w:val="false"/>
          <w:i w:val="false"/>
          <w:i w:val="false"/>
          <w:iCs w:val="false"/>
          <w:color w:val="333333"/>
          <w:sz w:val="20"/>
          <w:sz w:val="20"/>
          <w:szCs w:val="20"/>
          <w:rtl w:val="true"/>
        </w:rPr>
        <w:t xml:space="preserve">، وقرّبه الشهید فی الدروس </w:t>
      </w:r>
      <w:r>
        <w:rPr>
          <w:rFonts w:eastAsia="IRNazanin" w:cs="IRNazanin"/>
          <w:b w:val="false"/>
          <w:bCs w:val="false"/>
          <w:i w:val="false"/>
          <w:iCs w:val="false"/>
          <w:color w:val="333333"/>
          <w:sz w:val="20"/>
          <w:szCs w:val="20"/>
        </w:rPr>
        <w:t>2:411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أیضاً</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الصید والذبائح</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المصدر، وفی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انهار</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w:t>
      </w:r>
      <w:r>
        <w:rPr>
          <w:rFonts w:eastAsia="IRNazanin" w:cs="IRNazanin"/>
          <w:b w:val="false"/>
          <w:bCs w:val="false"/>
          <w:i w:val="false"/>
          <w:iCs w:val="false"/>
          <w:color w:val="333333"/>
          <w:sz w:val="20"/>
          <w:szCs w:val="20"/>
        </w:rPr>
        <w:t>9:247</w:t>
      </w:r>
      <w:r>
        <w:rPr>
          <w:rFonts w:ascii="IRNazanin" w:hAnsi="IRNazanin" w:eastAsia="IRNazanin"/>
          <w:b w:val="false"/>
          <w:b w:val="false"/>
          <w:bCs w:val="false"/>
          <w:i w:val="false"/>
          <w:i w:val="false"/>
          <w:iCs w:val="false"/>
          <w:color w:val="333333"/>
          <w:sz w:val="20"/>
          <w:sz w:val="20"/>
          <w:szCs w:val="20"/>
          <w:rtl w:val="true"/>
        </w:rPr>
        <w:t xml:space="preserve">، وکنز العمّال </w:t>
      </w:r>
      <w:r>
        <w:rPr>
          <w:rFonts w:eastAsia="IRNazanin" w:cs="IRNazanin"/>
          <w:b w:val="false"/>
          <w:bCs w:val="false"/>
          <w:i w:val="false"/>
          <w:iCs w:val="false"/>
          <w:color w:val="333333"/>
          <w:sz w:val="20"/>
          <w:szCs w:val="20"/>
        </w:rPr>
        <w:t>6:261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15602</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غایة المراد </w:t>
      </w:r>
      <w:r>
        <w:rPr>
          <w:rFonts w:eastAsia="IRNazanin" w:cs="IRNazanin"/>
          <w:b w:val="false"/>
          <w:bCs w:val="false"/>
          <w:i w:val="false"/>
          <w:iCs w:val="false"/>
          <w:color w:val="333333"/>
          <w:sz w:val="20"/>
          <w:szCs w:val="20"/>
        </w:rPr>
        <w:t>3:513</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متّصلین ومنفصلین</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2:411</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16:258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الذبائح، الحدیث الأوّل</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الأحادیث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16:266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الذبائح،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فی الصفحة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2:413</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فی الصفحة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16:267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الذبائح، الأحادیث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الذبائح،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2:413</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علی من صرّح بذلک، نعم فی الشرائع </w:t>
      </w:r>
      <w:r>
        <w:rPr>
          <w:rFonts w:eastAsia="IRNazanin" w:cs="IRNazanin"/>
          <w:b w:val="false"/>
          <w:bCs w:val="false"/>
          <w:i w:val="false"/>
          <w:iCs w:val="false"/>
          <w:color w:val="333333"/>
          <w:sz w:val="20"/>
          <w:szCs w:val="20"/>
        </w:rPr>
        <w:t>3:205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یفید هذا المعنی، حیث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ولو اُدرکت ذکاته فذکّی حلّ وفیه تردّد؛ إذ لا استقرار لحیاته بعد الذبح أو النحر</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الحاء وکسرها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أمعاءه</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معطوف علی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احتمل التحریم</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الإسکافی کما نقله عنه العلّامة فی المختلف </w:t>
      </w:r>
      <w:r>
        <w:rPr>
          <w:rFonts w:eastAsia="IRNazanin" w:cs="IRNazanin"/>
          <w:b w:val="false"/>
          <w:bCs w:val="false"/>
          <w:i w:val="false"/>
          <w:iCs w:val="false"/>
          <w:color w:val="333333"/>
          <w:sz w:val="20"/>
          <w:szCs w:val="20"/>
        </w:rPr>
        <w:t>8:353</w:t>
      </w:r>
      <w:r>
        <w:rPr>
          <w:rFonts w:ascii="IRNazanin" w:hAnsi="IRNazanin" w:eastAsia="IRNazanin"/>
          <w:b w:val="false"/>
          <w:b w:val="false"/>
          <w:bCs w:val="false"/>
          <w:i w:val="false"/>
          <w:i w:val="false"/>
          <w:iCs w:val="false"/>
          <w:color w:val="333333"/>
          <w:sz w:val="20"/>
          <w:sz w:val="20"/>
          <w:szCs w:val="20"/>
          <w:rtl w:val="true"/>
        </w:rPr>
        <w:t xml:space="preserve">، ومال إلیه هو فی الصفحة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16:254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الذبائح،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حملها الشهید فی الدروس </w:t>
      </w:r>
      <w:r>
        <w:rPr>
          <w:rFonts w:eastAsia="IRNazanin" w:cs="IRNazanin"/>
          <w:b w:val="false"/>
          <w:bCs w:val="false"/>
          <w:i w:val="false"/>
          <w:iCs w:val="false"/>
          <w:color w:val="333333"/>
          <w:sz w:val="20"/>
          <w:szCs w:val="20"/>
        </w:rPr>
        <w:t>2:412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کذلک، وعارضها بحسنة عبد الرحمن بن الحجّاج الواردة فی المصدر السابق، الحدیث الأوّل</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16:263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الذبائح،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الذبائح،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المنسوب فی المهذّب البارع </w:t>
      </w:r>
      <w:r>
        <w:rPr>
          <w:rFonts w:eastAsia="IRNazanin" w:cs="IRNazanin"/>
          <w:b w:val="false"/>
          <w:bCs w:val="false"/>
          <w:i w:val="false"/>
          <w:iCs w:val="false"/>
          <w:color w:val="333333"/>
          <w:sz w:val="20"/>
          <w:szCs w:val="20"/>
        </w:rPr>
        <w:t>4:169</w:t>
      </w:r>
      <w:r>
        <w:rPr>
          <w:rFonts w:ascii="IRNazanin" w:hAnsi="IRNazanin" w:eastAsia="IRNazanin"/>
          <w:b w:val="false"/>
          <w:b w:val="false"/>
          <w:bCs w:val="false"/>
          <w:i w:val="false"/>
          <w:i w:val="false"/>
          <w:iCs w:val="false"/>
          <w:color w:val="333333"/>
          <w:sz w:val="20"/>
          <w:sz w:val="20"/>
          <w:szCs w:val="20"/>
          <w:rtl w:val="true"/>
        </w:rPr>
        <w:t>، إلی المفید وسلّار والقاضی، وانظر 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580</w:t>
      </w:r>
      <w:r>
        <w:rPr>
          <w:rFonts w:ascii="IRNazanin" w:hAnsi="IRNazanin" w:eastAsia="IRNazanin"/>
          <w:b w:val="false"/>
          <w:b w:val="false"/>
          <w:bCs w:val="false"/>
          <w:i w:val="false"/>
          <w:i w:val="false"/>
          <w:iCs w:val="false"/>
          <w:color w:val="333333"/>
          <w:sz w:val="20"/>
          <w:sz w:val="20"/>
          <w:szCs w:val="20"/>
          <w:rtl w:val="true"/>
        </w:rPr>
        <w:t>، والمراسم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والمهذّب </w:t>
      </w:r>
      <w:r>
        <w:rPr>
          <w:rFonts w:eastAsia="IRNazanin" w:cs="IRNazanin"/>
          <w:b w:val="false"/>
          <w:bCs w:val="false"/>
          <w:i w:val="false"/>
          <w:iCs w:val="false"/>
          <w:color w:val="333333"/>
          <w:sz w:val="20"/>
          <w:szCs w:val="20"/>
        </w:rPr>
        <w:t>2:428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الصدوق فی المقنع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 والعلّامة فی المختلف </w:t>
      </w:r>
      <w:r>
        <w:rPr>
          <w:rFonts w:eastAsia="IRNazanin" w:cs="IRNazanin"/>
          <w:b w:val="false"/>
          <w:bCs w:val="false"/>
          <w:i w:val="false"/>
          <w:iCs w:val="false"/>
          <w:color w:val="333333"/>
          <w:sz w:val="20"/>
          <w:szCs w:val="20"/>
        </w:rPr>
        <w:t>8:307</w:t>
      </w:r>
      <w:r>
        <w:rPr>
          <w:rFonts w:ascii="IRNazanin" w:hAnsi="IRNazanin" w:eastAsia="IRNazanin"/>
          <w:b w:val="false"/>
          <w:b w:val="false"/>
          <w:bCs w:val="false"/>
          <w:i w:val="false"/>
          <w:i w:val="false"/>
          <w:iCs w:val="false"/>
          <w:color w:val="333333"/>
          <w:sz w:val="20"/>
          <w:sz w:val="20"/>
          <w:szCs w:val="20"/>
          <w:rtl w:val="true"/>
        </w:rPr>
        <w:t xml:space="preserve">، وابن إدریس فی السرائر </w:t>
      </w:r>
      <w:r>
        <w:rPr>
          <w:rFonts w:eastAsia="IRNazanin" w:cs="IRNazanin"/>
          <w:b w:val="false"/>
          <w:bCs w:val="false"/>
          <w:i w:val="false"/>
          <w:iCs w:val="false"/>
          <w:color w:val="333333"/>
          <w:sz w:val="20"/>
          <w:szCs w:val="20"/>
        </w:rPr>
        <w:t>3:110</w:t>
      </w:r>
      <w:r>
        <w:rPr>
          <w:rFonts w:ascii="IRNazanin" w:hAnsi="IRNazanin" w:eastAsia="IRNazanin"/>
          <w:b w:val="false"/>
          <w:b w:val="false"/>
          <w:bCs w:val="false"/>
          <w:i w:val="false"/>
          <w:i w:val="false"/>
          <w:iCs w:val="false"/>
          <w:color w:val="333333"/>
          <w:sz w:val="20"/>
          <w:sz w:val="20"/>
          <w:szCs w:val="20"/>
          <w:rtl w:val="true"/>
        </w:rPr>
        <w:t>، والفاضل الآبی فی کشف الرموز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ویحیی بن سعید فی الجامع للشرائع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والمحقّق فی الشرائع </w:t>
      </w:r>
      <w:r>
        <w:rPr>
          <w:rFonts w:eastAsia="IRNazanin" w:cs="IRNazanin"/>
          <w:b w:val="false"/>
          <w:bCs w:val="false"/>
          <w:i w:val="false"/>
          <w:iCs w:val="false"/>
          <w:color w:val="333333"/>
          <w:sz w:val="20"/>
          <w:szCs w:val="20"/>
        </w:rPr>
        <w:t>3:206</w:t>
      </w:r>
      <w:r>
        <w:rPr>
          <w:rFonts w:ascii="IRNazanin" w:hAnsi="IRNazanin" w:eastAsia="IRNazanin"/>
          <w:b w:val="false"/>
          <w:b w:val="false"/>
          <w:bCs w:val="false"/>
          <w:i w:val="false"/>
          <w:i w:val="false"/>
          <w:iCs w:val="false"/>
          <w:color w:val="333333"/>
          <w:sz w:val="20"/>
          <w:sz w:val="20"/>
          <w:szCs w:val="20"/>
          <w:rtl w:val="true"/>
        </w:rPr>
        <w:t xml:space="preserve">، بل أکثر المتأخّرین کما فی المسالک </w:t>
      </w:r>
      <w:r>
        <w:rPr>
          <w:rFonts w:eastAsia="IRNazanin" w:cs="IRNazanin"/>
          <w:b w:val="false"/>
          <w:bCs w:val="false"/>
          <w:i w:val="false"/>
          <w:iCs w:val="false"/>
          <w:color w:val="333333"/>
          <w:sz w:val="20"/>
          <w:szCs w:val="20"/>
        </w:rPr>
        <w:t>11:485</w:t>
      </w:r>
      <w:r>
        <w:rPr>
          <w:rFonts w:ascii="IRNazanin" w:hAnsi="IRNazanin" w:eastAsia="IRNazanin"/>
          <w:b w:val="false"/>
          <w:b w:val="false"/>
          <w:bCs w:val="false"/>
          <w:i w:val="false"/>
          <w:i w:val="false"/>
          <w:iCs w:val="false"/>
          <w:color w:val="333333"/>
          <w:sz w:val="20"/>
          <w:sz w:val="20"/>
          <w:szCs w:val="20"/>
          <w:rtl w:val="true"/>
        </w:rPr>
        <w:t>، لکن ابن إدریس ومن تأخّر عنه اعتبر الحرکة علی نحو التردید بینها وبین خروج الدم، فیکفی أحدهما فی إدراک الذکاة</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16:263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الذبائح، الأحادیث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کابن إدریس فی السرائر </w:t>
      </w:r>
      <w:r>
        <w:rPr>
          <w:rFonts w:eastAsia="IRNazanin" w:cs="IRNazanin"/>
          <w:b w:val="false"/>
          <w:bCs w:val="false"/>
          <w:i w:val="false"/>
          <w:iCs w:val="false"/>
          <w:color w:val="333333"/>
          <w:sz w:val="20"/>
          <w:szCs w:val="20"/>
        </w:rPr>
        <w:t>3:108</w:t>
      </w:r>
      <w:r>
        <w:rPr>
          <w:rFonts w:ascii="IRNazanin" w:hAnsi="IRNazanin" w:eastAsia="IRNazanin"/>
          <w:b w:val="false"/>
          <w:b w:val="false"/>
          <w:bCs w:val="false"/>
          <w:i w:val="false"/>
          <w:i w:val="false"/>
          <w:iCs w:val="false"/>
          <w:color w:val="333333"/>
          <w:sz w:val="20"/>
          <w:sz w:val="20"/>
          <w:szCs w:val="20"/>
          <w:rtl w:val="true"/>
        </w:rPr>
        <w:t xml:space="preserve">، والمحقّق فی الشرائع </w:t>
      </w:r>
      <w:r>
        <w:rPr>
          <w:rFonts w:eastAsia="IRNazanin" w:cs="IRNazanin"/>
          <w:b w:val="false"/>
          <w:bCs w:val="false"/>
          <w:i w:val="false"/>
          <w:iCs w:val="false"/>
          <w:color w:val="333333"/>
          <w:sz w:val="20"/>
          <w:szCs w:val="20"/>
        </w:rPr>
        <w:t>3:207</w:t>
      </w:r>
      <w:r>
        <w:rPr>
          <w:rFonts w:ascii="IRNazanin" w:hAnsi="IRNazanin" w:eastAsia="IRNazanin"/>
          <w:b w:val="false"/>
          <w:b w:val="false"/>
          <w:bCs w:val="false"/>
          <w:i w:val="false"/>
          <w:i w:val="false"/>
          <w:iCs w:val="false"/>
          <w:color w:val="333333"/>
          <w:sz w:val="20"/>
          <w:sz w:val="20"/>
          <w:szCs w:val="20"/>
          <w:rtl w:val="true"/>
        </w:rPr>
        <w:t xml:space="preserve">، والعلّامة فی القواعد </w:t>
      </w:r>
      <w:r>
        <w:rPr>
          <w:rFonts w:eastAsia="IRNazanin" w:cs="IRNazanin"/>
          <w:b w:val="false"/>
          <w:bCs w:val="false"/>
          <w:i w:val="false"/>
          <w:iCs w:val="false"/>
          <w:color w:val="333333"/>
          <w:sz w:val="20"/>
          <w:szCs w:val="20"/>
        </w:rPr>
        <w:t>3:322</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16:262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الذبائح، الحدیث الأوّل</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الأحادیث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یحیی بن سعید، صاحب الجامع للشرائع</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2:415</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التفرقة کثیراً</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إسناد</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التوالی وعدمه</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القول بوجوب المتابعة وهو للمحقّق فی الشرائع </w:t>
      </w:r>
      <w:r>
        <w:rPr>
          <w:rFonts w:eastAsia="IRNazanin" w:cs="IRNazanin"/>
          <w:b w:val="false"/>
          <w:bCs w:val="false"/>
          <w:i w:val="false"/>
          <w:iCs w:val="false"/>
          <w:color w:val="333333"/>
          <w:sz w:val="20"/>
          <w:szCs w:val="20"/>
        </w:rPr>
        <w:t>3:209</w:t>
      </w:r>
      <w:r>
        <w:rPr>
          <w:rFonts w:ascii="IRNazanin" w:hAnsi="IRNazanin" w:eastAsia="IRNazanin"/>
          <w:b w:val="false"/>
          <w:b w:val="false"/>
          <w:bCs w:val="false"/>
          <w:i w:val="false"/>
          <w:i w:val="false"/>
          <w:iCs w:val="false"/>
          <w:color w:val="333333"/>
          <w:sz w:val="20"/>
          <w:sz w:val="20"/>
          <w:szCs w:val="20"/>
          <w:rtl w:val="true"/>
        </w:rPr>
        <w:t xml:space="preserve">، والشهید فی الدروس </w:t>
      </w:r>
      <w:r>
        <w:rPr>
          <w:rFonts w:eastAsia="IRNazanin" w:cs="IRNazanin"/>
          <w:b w:val="false"/>
          <w:bCs w:val="false"/>
          <w:i w:val="false"/>
          <w:iCs w:val="false"/>
          <w:color w:val="333333"/>
          <w:sz w:val="20"/>
          <w:szCs w:val="20"/>
        </w:rPr>
        <w:t>2:413</w:t>
      </w:r>
      <w:r>
        <w:rPr>
          <w:rFonts w:ascii="IRNazanin" w:hAnsi="IRNazanin" w:eastAsia="IRNazanin"/>
          <w:b w:val="false"/>
          <w:b w:val="false"/>
          <w:bCs w:val="false"/>
          <w:i w:val="false"/>
          <w:i w:val="false"/>
          <w:iCs w:val="false"/>
          <w:color w:val="333333"/>
          <w:sz w:val="20"/>
          <w:sz w:val="20"/>
          <w:szCs w:val="20"/>
          <w:rtl w:val="true"/>
        </w:rPr>
        <w:t xml:space="preserve">، والقول باستحبابها وهو للعلّامة فی القواعد </w:t>
      </w:r>
      <w:r>
        <w:rPr>
          <w:rFonts w:eastAsia="IRNazanin" w:cs="IRNazanin"/>
          <w:b w:val="false"/>
          <w:bCs w:val="false"/>
          <w:i w:val="false"/>
          <w:iCs w:val="false"/>
          <w:color w:val="333333"/>
          <w:sz w:val="20"/>
          <w:szCs w:val="20"/>
        </w:rPr>
        <w:t>3:322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10:135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16:255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الذبائح،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قاله الشیخ فی 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584</w:t>
      </w:r>
      <w:r>
        <w:rPr>
          <w:rFonts w:ascii="IRNazanin" w:hAnsi="IRNazanin" w:eastAsia="IRNazanin"/>
          <w:b w:val="false"/>
          <w:b w:val="false"/>
          <w:bCs w:val="false"/>
          <w:i w:val="false"/>
          <w:i w:val="false"/>
          <w:iCs w:val="false"/>
          <w:color w:val="333333"/>
          <w:sz w:val="20"/>
          <w:sz w:val="20"/>
          <w:szCs w:val="20"/>
          <w:rtl w:val="true"/>
        </w:rPr>
        <w:t xml:space="preserve">، والقاضی فی المهذّب </w:t>
      </w:r>
      <w:r>
        <w:rPr>
          <w:rFonts w:eastAsia="IRNazanin" w:cs="IRNazanin"/>
          <w:b w:val="false"/>
          <w:bCs w:val="false"/>
          <w:i w:val="false"/>
          <w:iCs w:val="false"/>
          <w:color w:val="333333"/>
          <w:sz w:val="20"/>
          <w:szCs w:val="20"/>
        </w:rPr>
        <w:t>2:440</w:t>
      </w:r>
      <w:r>
        <w:rPr>
          <w:rFonts w:ascii="IRNazanin" w:hAnsi="IRNazanin" w:eastAsia="IRNazanin"/>
          <w:b w:val="false"/>
          <w:b w:val="false"/>
          <w:bCs w:val="false"/>
          <w:i w:val="false"/>
          <w:i w:val="false"/>
          <w:iCs w:val="false"/>
          <w:color w:val="333333"/>
          <w:sz w:val="20"/>
          <w:sz w:val="20"/>
          <w:szCs w:val="20"/>
          <w:rtl w:val="true"/>
        </w:rPr>
        <w:t>، وابن حمزة فی الوسیلة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والعلّامة فی المختلف </w:t>
      </w:r>
      <w:r>
        <w:rPr>
          <w:rFonts w:eastAsia="IRNazanin" w:cs="IRNazanin"/>
          <w:b w:val="false"/>
          <w:bCs w:val="false"/>
          <w:i w:val="false"/>
          <w:iCs w:val="false"/>
          <w:color w:val="333333"/>
          <w:sz w:val="20"/>
          <w:szCs w:val="20"/>
        </w:rPr>
        <w:t>8:303</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16:258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الذبائح،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2:415</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قاله الشیخ فی 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584</w:t>
      </w:r>
      <w:r>
        <w:rPr>
          <w:rFonts w:ascii="IRNazanin" w:hAnsi="IRNazanin" w:eastAsia="IRNazanin"/>
          <w:b w:val="false"/>
          <w:b w:val="false"/>
          <w:bCs w:val="false"/>
          <w:i w:val="false"/>
          <w:i w:val="false"/>
          <w:iCs w:val="false"/>
          <w:color w:val="333333"/>
          <w:sz w:val="20"/>
          <w:sz w:val="20"/>
          <w:szCs w:val="20"/>
          <w:rtl w:val="true"/>
        </w:rPr>
        <w:t xml:space="preserve">، والقاضی فی المهذّب </w:t>
      </w:r>
      <w:r>
        <w:rPr>
          <w:rFonts w:eastAsia="IRNazanin" w:cs="IRNazanin"/>
          <w:b w:val="false"/>
          <w:bCs w:val="false"/>
          <w:i w:val="false"/>
          <w:iCs w:val="false"/>
          <w:color w:val="333333"/>
          <w:sz w:val="20"/>
          <w:szCs w:val="20"/>
        </w:rPr>
        <w:t>2:440</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وهما إبراهیم بن هاشم فإنّه ممدوح خاصّة غیر معدّل لم یبلغ حدّ الثقة وحمران بن أعین فإنّه أیضاً مشکور من غیر توثیق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فهارس المسالک </w:t>
      </w:r>
      <w:r>
        <w:rPr>
          <w:rFonts w:eastAsia="IRNazanin" w:cs="IRNazanin"/>
          <w:b w:val="false"/>
          <w:bCs w:val="false"/>
          <w:i w:val="false"/>
          <w:iCs w:val="false"/>
          <w:color w:val="333333"/>
          <w:sz w:val="20"/>
          <w:szCs w:val="20"/>
        </w:rPr>
        <w:t>16:286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16:258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الذبائح، وفیه حدیث 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اعلم أنّ الروایة مع عدم دلالتها علی موضع النزاع مرسلةٌ؛ لأنّ محمّد بن یحیی لم یدرک الرضا علیه السلام وإنّما رفعه إلیه علیه السلام، وهو طریق آخر لردّها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والمصنّف فی الشرح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غایة المراد </w:t>
      </w:r>
      <w:r>
        <w:rPr>
          <w:rFonts w:eastAsia="IRNazanin" w:cs="IRNazanin"/>
          <w:b w:val="false"/>
          <w:bCs w:val="false"/>
          <w:i w:val="false"/>
          <w:iCs w:val="false"/>
          <w:color w:val="333333"/>
          <w:sz w:val="20"/>
          <w:szCs w:val="20"/>
        </w:rPr>
        <w:t>2:520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اعتذر عن ذلک بأنّ الرفع فی الاصطلاح بمعنی الإسناد، وضعّف بأ نّه مع تسلیمه لا یستلزم کونه علی وجهٍ یصلح للحجّة؛ لأنّ السند حینئذٍ مجهولٌ‌ٍ فهو بمعنی الإرسال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وأعجب من ذلک أ نّه جعلها فی الدروس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مقطوعةً مع کونها مرویّةً عن الرضا علیه السلام، والمقطوع ما لم یذکر فیه المرویّ عنه من النبیّ صلی الله علیه و آله أو الإمام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 .</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 الشیخ فی 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584</w:t>
      </w:r>
      <w:r>
        <w:rPr>
          <w:rFonts w:ascii="IRNazanin" w:hAnsi="IRNazanin" w:eastAsia="IRNazanin"/>
          <w:b w:val="false"/>
          <w:b w:val="false"/>
          <w:bCs w:val="false"/>
          <w:i w:val="false"/>
          <w:i w:val="false"/>
          <w:iCs w:val="false"/>
          <w:color w:val="333333"/>
          <w:sz w:val="20"/>
          <w:sz w:val="20"/>
          <w:szCs w:val="20"/>
          <w:rtl w:val="true"/>
        </w:rPr>
        <w:t xml:space="preserve">، والقاضی فی المهذّب </w:t>
      </w:r>
      <w:r>
        <w:rPr>
          <w:rFonts w:eastAsia="IRNazanin" w:cs="IRNazanin"/>
          <w:b w:val="false"/>
          <w:bCs w:val="false"/>
          <w:i w:val="false"/>
          <w:iCs w:val="false"/>
          <w:color w:val="333333"/>
          <w:sz w:val="20"/>
          <w:szCs w:val="20"/>
        </w:rPr>
        <w:t>2:440</w:t>
      </w:r>
      <w:r>
        <w:rPr>
          <w:rFonts w:ascii="IRNazanin" w:hAnsi="IRNazanin" w:eastAsia="IRNazanin"/>
          <w:b w:val="false"/>
          <w:b w:val="false"/>
          <w:bCs w:val="false"/>
          <w:i w:val="false"/>
          <w:i w:val="false"/>
          <w:iCs w:val="false"/>
          <w:color w:val="333333"/>
          <w:sz w:val="20"/>
          <w:sz w:val="20"/>
          <w:szCs w:val="20"/>
          <w:rtl w:val="true"/>
        </w:rPr>
        <w:t>، وابن حمزة فی الوسیلة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2:415</w:t>
      </w:r>
      <w:r>
        <w:rPr>
          <w:rFonts w:ascii="IRNazanin" w:hAnsi="IRNazanin" w:eastAsia="IRNazanin"/>
          <w:b w:val="false"/>
          <w:b w:val="false"/>
          <w:bCs w:val="false"/>
          <w:i w:val="false"/>
          <w:i w:val="false"/>
          <w:iCs w:val="false"/>
          <w:color w:val="333333"/>
          <w:sz w:val="20"/>
          <w:sz w:val="20"/>
          <w:szCs w:val="20"/>
          <w:rtl w:val="true"/>
        </w:rPr>
        <w:t xml:space="preserve">، وغایة المراد </w:t>
      </w:r>
      <w:r>
        <w:rPr>
          <w:rFonts w:eastAsia="IRNazanin" w:cs="IRNazanin"/>
          <w:b w:val="false"/>
          <w:bCs w:val="false"/>
          <w:i w:val="false"/>
          <w:iCs w:val="false"/>
          <w:color w:val="333333"/>
          <w:sz w:val="20"/>
          <w:szCs w:val="20"/>
        </w:rPr>
        <w:t>3:520</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16:267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الذبائح،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القاضی فی المهذّب </w:t>
      </w:r>
      <w:r>
        <w:rPr>
          <w:rFonts w:eastAsia="IRNazanin" w:cs="IRNazanin"/>
          <w:b w:val="false"/>
          <w:bCs w:val="false"/>
          <w:i w:val="false"/>
          <w:iCs w:val="false"/>
          <w:color w:val="333333"/>
          <w:sz w:val="20"/>
          <w:szCs w:val="20"/>
        </w:rPr>
        <w:t>2:440</w:t>
      </w:r>
      <w:r>
        <w:rPr>
          <w:rFonts w:ascii="IRNazanin" w:hAnsi="IRNazanin" w:eastAsia="IRNazanin"/>
          <w:b w:val="false"/>
          <w:b w:val="false"/>
          <w:bCs w:val="false"/>
          <w:i w:val="false"/>
          <w:i w:val="false"/>
          <w:iCs w:val="false"/>
          <w:color w:val="333333"/>
          <w:sz w:val="20"/>
          <w:sz w:val="20"/>
          <w:szCs w:val="20"/>
          <w:rtl w:val="true"/>
        </w:rPr>
        <w:t>، وابن حمزة فی الوسیلة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والکیدری فی الإصباح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والمصنّف فی الدروس </w:t>
      </w:r>
      <w:r>
        <w:rPr>
          <w:rFonts w:eastAsia="IRNazanin" w:cs="IRNazanin"/>
          <w:b w:val="false"/>
          <w:bCs w:val="false"/>
          <w:i w:val="false"/>
          <w:iCs w:val="false"/>
          <w:color w:val="333333"/>
          <w:sz w:val="20"/>
          <w:szCs w:val="20"/>
        </w:rPr>
        <w:t>2:415</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قاله الشیخ فی 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584</w:t>
      </w:r>
      <w:r>
        <w:rPr>
          <w:rFonts w:ascii="IRNazanin" w:hAnsi="IRNazanin" w:eastAsia="IRNazanin"/>
          <w:b w:val="false"/>
          <w:b w:val="false"/>
          <w:bCs w:val="false"/>
          <w:i w:val="false"/>
          <w:i w:val="false"/>
          <w:iCs w:val="false"/>
          <w:color w:val="333333"/>
          <w:sz w:val="20"/>
          <w:sz w:val="20"/>
          <w:szCs w:val="20"/>
          <w:rtl w:val="true"/>
        </w:rPr>
        <w:t>، والسیّد ابن زهرة فی الغنیة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والکیدری فی الإصباح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وغیرهم</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16:259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الذبائح،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الدروس </w:t>
      </w:r>
      <w:r>
        <w:rPr>
          <w:rFonts w:eastAsia="IRNazanin" w:cs="IRNazanin"/>
          <w:b w:val="false"/>
          <w:bCs w:val="false"/>
          <w:i w:val="false"/>
          <w:iCs w:val="false"/>
          <w:color w:val="333333"/>
          <w:sz w:val="20"/>
          <w:szCs w:val="20"/>
        </w:rPr>
        <w:t>2:415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الحیوانات</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دویبة یقال لها بالفارسیّة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راسو</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علیه، ونسبه الشهید فی غایة المراد </w:t>
      </w:r>
      <w:r>
        <w:rPr>
          <w:rFonts w:eastAsia="IRNazanin" w:cs="IRNazanin"/>
          <w:b w:val="false"/>
          <w:bCs w:val="false"/>
          <w:i w:val="false"/>
          <w:iCs w:val="false"/>
          <w:color w:val="333333"/>
          <w:sz w:val="20"/>
          <w:szCs w:val="20"/>
        </w:rPr>
        <w:t>3:508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ظاهر کلام الشیخ وأتباعه</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16:327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الأطعمة المحرّمة،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16:312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عزفتْ نفسه عن الشیء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زهدت فیه وانصرفت عنه</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17:319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الأطعمة المحرّمة، الحدیث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حمله علی ذلک فخر المحقّقین فی الإیضاح </w:t>
      </w:r>
      <w:r>
        <w:rPr>
          <w:rFonts w:eastAsia="IRNazanin" w:cs="IRNazanin"/>
          <w:b w:val="false"/>
          <w:bCs w:val="false"/>
          <w:i w:val="false"/>
          <w:iCs w:val="false"/>
          <w:color w:val="333333"/>
          <w:sz w:val="20"/>
          <w:szCs w:val="20"/>
        </w:rPr>
        <w:t>3:131</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تحریم، وما أثبتناه من التهذیب والوسائل، وهو الأوفق</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16:321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الأطعمة المحرّمة،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غایة المراد </w:t>
      </w:r>
      <w:r>
        <w:rPr>
          <w:rFonts w:eastAsia="IRNazanin" w:cs="IRNazanin"/>
          <w:b w:val="false"/>
          <w:bCs w:val="false"/>
          <w:i w:val="false"/>
          <w:iCs w:val="false"/>
          <w:color w:val="333333"/>
          <w:sz w:val="20"/>
          <w:szCs w:val="20"/>
        </w:rPr>
        <w:t>3:507</w:t>
      </w:r>
      <w:r>
        <w:rPr>
          <w:rFonts w:ascii="IRNazanin" w:hAnsi="IRNazanin" w:eastAsia="IRNazanin"/>
          <w:b w:val="false"/>
          <w:b w:val="false"/>
          <w:bCs w:val="false"/>
          <w:i w:val="false"/>
          <w:i w:val="false"/>
          <w:iCs w:val="false"/>
          <w:color w:val="333333"/>
          <w:sz w:val="20"/>
          <w:sz w:val="20"/>
          <w:szCs w:val="20"/>
          <w:rtl w:val="true"/>
        </w:rPr>
        <w:t>، ولکن فیه بدل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نعرفه لأحد منّا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لم أعرفه للقدماء</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المفید فی 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578</w:t>
      </w:r>
      <w:r>
        <w:rPr>
          <w:rFonts w:ascii="IRNazanin" w:hAnsi="IRNazanin" w:eastAsia="IRNazanin"/>
          <w:b w:val="false"/>
          <w:b w:val="false"/>
          <w:bCs w:val="false"/>
          <w:i w:val="false"/>
          <w:i w:val="false"/>
          <w:iCs w:val="false"/>
          <w:color w:val="333333"/>
          <w:sz w:val="20"/>
          <w:sz w:val="20"/>
          <w:szCs w:val="20"/>
          <w:rtl w:val="true"/>
        </w:rPr>
        <w:t xml:space="preserve">، والشیخ فی الخلاف </w:t>
      </w:r>
      <w:r>
        <w:rPr>
          <w:rFonts w:eastAsia="IRNazanin" w:cs="IRNazanin"/>
          <w:b w:val="false"/>
          <w:bCs w:val="false"/>
          <w:i w:val="false"/>
          <w:iCs w:val="false"/>
          <w:color w:val="333333"/>
          <w:sz w:val="20"/>
          <w:szCs w:val="20"/>
        </w:rPr>
        <w:t>3:184</w:t>
      </w:r>
      <w:r>
        <w:rPr>
          <w:rFonts w:ascii="IRNazanin" w:hAnsi="IRNazanin" w:eastAsia="IRNazanin"/>
          <w:b w:val="false"/>
          <w:b w:val="false"/>
          <w:bCs w:val="false"/>
          <w:i w:val="false"/>
          <w:i w:val="false"/>
          <w:iCs w:val="false"/>
          <w:color w:val="333333"/>
          <w:sz w:val="20"/>
          <w:sz w:val="20"/>
          <w:szCs w:val="20"/>
          <w:rtl w:val="true"/>
        </w:rPr>
        <w:t xml:space="preserve">، ذیل المسألة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البیوع، و </w:t>
      </w:r>
      <w:r>
        <w:rPr>
          <w:rFonts w:eastAsia="IRNazanin" w:cs="IRNazanin"/>
          <w:b w:val="false"/>
          <w:bCs w:val="false"/>
          <w:i w:val="false"/>
          <w:iCs w:val="false"/>
          <w:color w:val="333333"/>
          <w:sz w:val="20"/>
          <w:szCs w:val="20"/>
        </w:rPr>
        <w:t>6:73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الأطعمة، والدیلمی فی المراسم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وابن حمزة فی الوسیلة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یخفی أ نّهم لم یصرّحوا بالتعلیل بل هو لازم کلامهم، کما فی غایة المراد </w:t>
      </w:r>
      <w:r>
        <w:rPr>
          <w:rFonts w:eastAsia="IRNazanin" w:cs="IRNazanin"/>
          <w:b w:val="false"/>
          <w:bCs w:val="false"/>
          <w:i w:val="false"/>
          <w:iCs w:val="false"/>
          <w:color w:val="333333"/>
          <w:sz w:val="20"/>
          <w:szCs w:val="20"/>
        </w:rPr>
        <w:t>3:508</w:t>
      </w:r>
      <w:r>
        <w:rPr>
          <w:rFonts w:ascii="IRNazanin" w:hAnsi="IRNazanin" w:eastAsia="IRNazanin"/>
          <w:b w:val="false"/>
          <w:b w:val="false"/>
          <w:bCs w:val="false"/>
          <w:i w:val="false"/>
          <w:i w:val="false"/>
          <w:iCs w:val="false"/>
          <w:color w:val="333333"/>
          <w:sz w:val="20"/>
          <w:sz w:val="20"/>
          <w:szCs w:val="20"/>
          <w:rtl w:val="true"/>
        </w:rPr>
        <w:t xml:space="preserve">، وغایة المرام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الروایات التی استدلّ بها علی وقوع الذکاة علی المسوخ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ر</w:t>
      </w:r>
      <w:r>
        <w:rPr>
          <w:rFonts w:eastAsia="IRNazanin" w:cs="IRNazanin"/>
          <w:b w:val="false"/>
          <w:bCs w:val="false"/>
          <w:i w:val="false"/>
          <w:iCs w:val="false"/>
          <w:color w:val="333333"/>
          <w:sz w:val="20"/>
          <w:szCs w:val="20"/>
          <w:rtl w:val="true"/>
        </w:rPr>
        <w:t>) .</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کالحیّة والعقرب والجرذان والخنافس والصراصر وبنات وردان والبراغیث والقمل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المسالک </w:t>
      </w:r>
      <w:r>
        <w:rPr>
          <w:rFonts w:eastAsia="IRNazanin" w:cs="IRNazanin"/>
          <w:b w:val="false"/>
          <w:bCs w:val="false"/>
          <w:i w:val="false"/>
          <w:iCs w:val="false"/>
          <w:color w:val="333333"/>
          <w:sz w:val="20"/>
          <w:szCs w:val="20"/>
        </w:rPr>
        <w:t>12:35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Pr>
        <w:t>6:280</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16:316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الأطعمة المحرّمة،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کلام الصدوق فی الخصال </w:t>
      </w:r>
      <w:r>
        <w:rPr>
          <w:rFonts w:eastAsia="IRNazanin" w:cs="IRNazanin"/>
          <w:b w:val="false"/>
          <w:bCs w:val="false"/>
          <w:i w:val="false"/>
          <w:iCs w:val="false"/>
          <w:color w:val="333333"/>
          <w:sz w:val="20"/>
          <w:szCs w:val="20"/>
        </w:rPr>
        <w:t>2:494</w:t>
      </w:r>
      <w:r>
        <w:rPr>
          <w:rFonts w:ascii="IRNazanin" w:hAnsi="IRNazanin" w:eastAsia="IRNazanin"/>
          <w:b w:val="false"/>
          <w:b w:val="false"/>
          <w:bCs w:val="false"/>
          <w:i w:val="false"/>
          <w:i w:val="false"/>
          <w:iCs w:val="false"/>
          <w:color w:val="333333"/>
          <w:sz w:val="20"/>
          <w:sz w:val="20"/>
          <w:szCs w:val="20"/>
          <w:rtl w:val="true"/>
        </w:rPr>
        <w:t xml:space="preserve">، ذیل الحدیث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وعلل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xml:space="preserve">، ذیل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16:314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الأطعمة المحرّمة،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اختاره المحقّق فی الشرائع </w:t>
      </w:r>
      <w:r>
        <w:rPr>
          <w:rFonts w:eastAsia="IRNazanin" w:cs="IRNazanin"/>
          <w:b w:val="false"/>
          <w:bCs w:val="false"/>
          <w:i w:val="false"/>
          <w:iCs w:val="false"/>
          <w:color w:val="333333"/>
          <w:sz w:val="20"/>
          <w:szCs w:val="20"/>
        </w:rPr>
        <w:t>3:207</w:t>
      </w:r>
      <w:r>
        <w:rPr>
          <w:rFonts w:ascii="IRNazanin" w:hAnsi="IRNazanin" w:eastAsia="IRNazanin"/>
          <w:b w:val="false"/>
          <w:b w:val="false"/>
          <w:bCs w:val="false"/>
          <w:i w:val="false"/>
          <w:i w:val="false"/>
          <w:iCs w:val="false"/>
          <w:color w:val="333333"/>
          <w:sz w:val="20"/>
          <w:sz w:val="20"/>
          <w:szCs w:val="20"/>
          <w:rtl w:val="true"/>
        </w:rPr>
        <w:t xml:space="preserve">، والعلّامة فی القواعد </w:t>
      </w:r>
      <w:r>
        <w:rPr>
          <w:rFonts w:eastAsia="IRNazanin" w:cs="IRNazanin"/>
          <w:b w:val="false"/>
          <w:bCs w:val="false"/>
          <w:i w:val="false"/>
          <w:iCs w:val="false"/>
          <w:color w:val="333333"/>
          <w:sz w:val="20"/>
          <w:szCs w:val="20"/>
        </w:rPr>
        <w:t>3:323</w:t>
      </w:r>
      <w:r>
        <w:rPr>
          <w:rFonts w:ascii="IRNazanin" w:hAnsi="IRNazanin" w:eastAsia="IRNazanin"/>
          <w:b w:val="false"/>
          <w:b w:val="false"/>
          <w:bCs w:val="false"/>
          <w:i w:val="false"/>
          <w:i w:val="false"/>
          <w:iCs w:val="false"/>
          <w:color w:val="333333"/>
          <w:sz w:val="20"/>
          <w:sz w:val="20"/>
          <w:szCs w:val="20"/>
          <w:rtl w:val="true"/>
        </w:rPr>
        <w:t xml:space="preserve">، والتحریر </w:t>
      </w:r>
      <w:r>
        <w:rPr>
          <w:rFonts w:eastAsia="IRNazanin" w:cs="IRNazanin"/>
          <w:b w:val="false"/>
          <w:bCs w:val="false"/>
          <w:i w:val="false"/>
          <w:iCs w:val="false"/>
          <w:color w:val="333333"/>
          <w:sz w:val="20"/>
          <w:szCs w:val="20"/>
        </w:rPr>
        <w:t>4:627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وغیرهما، والشهید فی الدروس </w:t>
      </w:r>
      <w:r>
        <w:rPr>
          <w:rFonts w:eastAsia="IRNazanin" w:cs="IRNazanin"/>
          <w:b w:val="false"/>
          <w:bCs w:val="false"/>
          <w:i w:val="false"/>
          <w:iCs w:val="false"/>
          <w:color w:val="333333"/>
          <w:sz w:val="20"/>
          <w:szCs w:val="20"/>
        </w:rPr>
        <w:t>2:409</w:t>
      </w:r>
      <w:r>
        <w:rPr>
          <w:rFonts w:ascii="IRNazanin" w:hAnsi="IRNazanin" w:eastAsia="IRNazanin"/>
          <w:b w:val="false"/>
          <w:b w:val="false"/>
          <w:bCs w:val="false"/>
          <w:i w:val="false"/>
          <w:i w:val="false"/>
          <w:iCs w:val="false"/>
          <w:color w:val="333333"/>
          <w:sz w:val="20"/>
          <w:sz w:val="20"/>
          <w:szCs w:val="20"/>
          <w:rtl w:val="true"/>
        </w:rPr>
        <w:t xml:space="preserve">، وابن فهد فی المهذّب البارع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xml:space="preserve">، والفاضل المقداد فی التنقیح الرائع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16:299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الذبائح،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الشاطئ</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16:301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الذبائح، الحدیث الأوّل</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القول اختاره المحقّق فی نکت 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 .</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16:302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الذبائح،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16:302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الذبائح،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عطف علی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لروایة سلمة</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16:298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الذبائح، الحدیث الأوّل</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الحدیث الثانی</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الاستبصار </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xml:space="preserve">، ذیل الحدیث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الغنیة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خبر عیسی بن عبد اللّٰه عن الصادق علیه السلام، اُنظر الوسائل </w:t>
      </w:r>
      <w:r>
        <w:rPr>
          <w:rFonts w:eastAsia="IRNazanin" w:cs="IRNazanin"/>
          <w:b w:val="false"/>
          <w:bCs w:val="false"/>
          <w:i w:val="false"/>
          <w:iCs w:val="false"/>
          <w:color w:val="333333"/>
          <w:sz w:val="20"/>
          <w:szCs w:val="20"/>
        </w:rPr>
        <w:t>16:243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الصید، وفیه حدیث واحد</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فی ذبح الحیوان، الصفحة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فی ذبح الحیوان، راجع الدروس </w:t>
      </w:r>
      <w:r>
        <w:rPr>
          <w:rFonts w:eastAsia="IRNazanin" w:cs="IRNazanin"/>
          <w:b w:val="false"/>
          <w:bCs w:val="false"/>
          <w:i w:val="false"/>
          <w:iCs w:val="false"/>
          <w:color w:val="333333"/>
          <w:sz w:val="20"/>
          <w:szCs w:val="20"/>
        </w:rPr>
        <w:t>2:414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کعَقْر المستعصی والصید علی بعض الوجوه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ر</w:t>
      </w:r>
      <w:r>
        <w:rPr>
          <w:rFonts w:eastAsia="IRNazanin" w:cs="IRNazanin"/>
          <w:b w:val="false"/>
          <w:bCs w:val="false"/>
          <w:i w:val="false"/>
          <w:iCs w:val="false"/>
          <w:color w:val="333333"/>
          <w:sz w:val="20"/>
          <w:szCs w:val="20"/>
          <w:rtl w:val="true"/>
        </w:rPr>
        <w:t>) .</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الشیخ فی المبسوط </w:t>
      </w:r>
      <w:r>
        <w:rPr>
          <w:rFonts w:eastAsia="IRNazanin" w:cs="IRNazanin"/>
          <w:b w:val="false"/>
          <w:bCs w:val="false"/>
          <w:i w:val="false"/>
          <w:iCs w:val="false"/>
          <w:color w:val="333333"/>
          <w:sz w:val="20"/>
          <w:szCs w:val="20"/>
        </w:rPr>
        <w:t>6:277</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16:300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الذبائح،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16:303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الذبائح، الحدیث الأوّل</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قاله الشیخ فی 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578</w:t>
      </w:r>
      <w:r>
        <w:rPr>
          <w:rFonts w:ascii="IRNazanin" w:hAnsi="IRNazanin" w:eastAsia="IRNazanin"/>
          <w:b w:val="false"/>
          <w:b w:val="false"/>
          <w:bCs w:val="false"/>
          <w:i w:val="false"/>
          <w:i w:val="false"/>
          <w:iCs w:val="false"/>
          <w:color w:val="333333"/>
          <w:sz w:val="20"/>
          <w:sz w:val="20"/>
          <w:szCs w:val="20"/>
          <w:rtl w:val="true"/>
        </w:rPr>
        <w:t xml:space="preserve">، والقاضی فی المهذّب </w:t>
      </w:r>
      <w:r>
        <w:rPr>
          <w:rFonts w:eastAsia="IRNazanin" w:cs="IRNazanin"/>
          <w:b w:val="false"/>
          <w:bCs w:val="false"/>
          <w:i w:val="false"/>
          <w:iCs w:val="false"/>
          <w:color w:val="333333"/>
          <w:sz w:val="20"/>
          <w:szCs w:val="20"/>
        </w:rPr>
        <w:t>2:438</w:t>
      </w:r>
      <w:r>
        <w:rPr>
          <w:rFonts w:ascii="IRNazanin" w:hAnsi="IRNazanin" w:eastAsia="IRNazanin"/>
          <w:b w:val="false"/>
          <w:b w:val="false"/>
          <w:bCs w:val="false"/>
          <w:i w:val="false"/>
          <w:i w:val="false"/>
          <w:iCs w:val="false"/>
          <w:color w:val="333333"/>
          <w:sz w:val="20"/>
          <w:sz w:val="20"/>
          <w:szCs w:val="20"/>
          <w:rtl w:val="true"/>
        </w:rPr>
        <w:t xml:space="preserve">، والمحقّق فی الشرائع </w:t>
      </w:r>
      <w:r>
        <w:rPr>
          <w:rFonts w:eastAsia="IRNazanin" w:cs="IRNazanin"/>
          <w:b w:val="false"/>
          <w:bCs w:val="false"/>
          <w:i w:val="false"/>
          <w:iCs w:val="false"/>
          <w:color w:val="333333"/>
          <w:sz w:val="20"/>
          <w:szCs w:val="20"/>
        </w:rPr>
        <w:t>3:208</w:t>
      </w:r>
      <w:r>
        <w:rPr>
          <w:rFonts w:ascii="IRNazanin" w:hAnsi="IRNazanin" w:eastAsia="IRNazanin"/>
          <w:b w:val="false"/>
          <w:b w:val="false"/>
          <w:bCs w:val="false"/>
          <w:i w:val="false"/>
          <w:i w:val="false"/>
          <w:iCs w:val="false"/>
          <w:color w:val="333333"/>
          <w:sz w:val="20"/>
          <w:sz w:val="20"/>
          <w:szCs w:val="20"/>
          <w:rtl w:val="true"/>
        </w:rPr>
        <w:t xml:space="preserve">، وانظر الصحیحة فی الوسائل </w:t>
      </w:r>
      <w:r>
        <w:rPr>
          <w:rFonts w:eastAsia="IRNazanin" w:cs="IRNazanin"/>
          <w:b w:val="false"/>
          <w:bCs w:val="false"/>
          <w:i w:val="false"/>
          <w:iCs w:val="false"/>
          <w:color w:val="333333"/>
          <w:sz w:val="20"/>
          <w:szCs w:val="20"/>
        </w:rPr>
        <w:t>16:303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الذبائح،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الأحادیث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المنسوب إلی العمانی، وانظر کلامه فی المختلف </w:t>
      </w:r>
      <w:r>
        <w:rPr>
          <w:rFonts w:eastAsia="IRNazanin" w:cs="IRNazanin"/>
          <w:b w:val="false"/>
          <w:bCs w:val="false"/>
          <w:i w:val="false"/>
          <w:iCs w:val="false"/>
          <w:color w:val="333333"/>
          <w:sz w:val="20"/>
          <w:szCs w:val="20"/>
        </w:rPr>
        <w:t>8:264</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16:303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الذبائح،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والغنیة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w:t>
      </w:r>
      <w:r>
        <w:rPr>
          <w:rFonts w:eastAsia="IRNazanin" w:cs="IRNazanin"/>
          <w:b w:val="false"/>
          <w:bCs w:val="false"/>
          <w:i w:val="false"/>
          <w:iCs w:val="false"/>
          <w:color w:val="333333"/>
          <w:sz w:val="20"/>
          <w:szCs w:val="20"/>
        </w:rPr>
        <w:t>16:140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الذبائح،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16:269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الذبائح</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صاحب العوالی فی ذیل الروایة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وروی بالنصب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اللآلئ </w:t>
      </w:r>
      <w:r>
        <w:rPr>
          <w:rFonts w:eastAsia="IRNazanin" w:cs="IRNazanin"/>
          <w:b w:val="false"/>
          <w:bCs w:val="false"/>
          <w:i w:val="false"/>
          <w:iCs w:val="false"/>
          <w:color w:val="333333"/>
          <w:sz w:val="20"/>
          <w:szCs w:val="20"/>
        </w:rPr>
        <w:t>2:323</w:t>
      </w:r>
      <w:r>
        <w:rPr>
          <w:rFonts w:ascii="IRNazanin" w:hAnsi="IRNazanin" w:eastAsia="IRNazanin"/>
          <w:b w:val="false"/>
          <w:b w:val="false"/>
          <w:bCs w:val="false"/>
          <w:i w:val="false"/>
          <w:i w:val="false"/>
          <w:iCs w:val="false"/>
          <w:color w:val="333333"/>
          <w:sz w:val="20"/>
          <w:sz w:val="20"/>
          <w:szCs w:val="20"/>
          <w:rtl w:val="true"/>
        </w:rPr>
        <w:t xml:space="preserve">، ذیل الحدیث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الحاء وقد تکسر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 الناقة</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16:269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الذبائح، الحدیث الأوّل</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نفس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الأحادیث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وغیرها</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نفس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الأحادیث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الحیاة المستقرّة</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585</w:t>
      </w:r>
      <w:r>
        <w:rPr>
          <w:rFonts w:ascii="IRNazanin" w:hAnsi="IRNazanin" w:eastAsia="IRNazanin"/>
          <w:b w:val="false"/>
          <w:b w:val="false"/>
          <w:bCs w:val="false"/>
          <w:i w:val="false"/>
          <w:i w:val="false"/>
          <w:iCs w:val="false"/>
          <w:color w:val="333333"/>
          <w:sz w:val="20"/>
          <w:sz w:val="20"/>
          <w:szCs w:val="20"/>
          <w:rtl w:val="true"/>
        </w:rPr>
        <w:t xml:space="preserve">، والقواعد </w:t>
      </w:r>
      <w:r>
        <w:rPr>
          <w:rFonts w:eastAsia="IRNazanin" w:cs="IRNazanin"/>
          <w:b w:val="false"/>
          <w:bCs w:val="false"/>
          <w:i w:val="false"/>
          <w:iCs w:val="false"/>
          <w:color w:val="333333"/>
          <w:sz w:val="20"/>
          <w:szCs w:val="20"/>
        </w:rPr>
        <w:t>3:320</w:t>
      </w:r>
      <w:r>
        <w:rPr>
          <w:rFonts w:ascii="IRNazanin" w:hAnsi="IRNazanin" w:eastAsia="IRNazanin"/>
          <w:b w:val="false"/>
          <w:b w:val="false"/>
          <w:bCs w:val="false"/>
          <w:i w:val="false"/>
          <w:i w:val="false"/>
          <w:iCs w:val="false"/>
          <w:color w:val="333333"/>
          <w:sz w:val="20"/>
          <w:sz w:val="20"/>
          <w:szCs w:val="20"/>
          <w:rtl w:val="true"/>
        </w:rPr>
        <w:t xml:space="preserve">، والتحریر </w:t>
      </w:r>
      <w:r>
        <w:rPr>
          <w:rFonts w:eastAsia="IRNazanin" w:cs="IRNazanin"/>
          <w:b w:val="false"/>
          <w:bCs w:val="false"/>
          <w:i w:val="false"/>
          <w:iCs w:val="false"/>
          <w:color w:val="333333"/>
          <w:sz w:val="20"/>
          <w:szCs w:val="20"/>
        </w:rPr>
        <w:t>4:627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6233</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الشیخ فی 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584</w:t>
      </w:r>
      <w:r>
        <w:rPr>
          <w:rFonts w:ascii="IRNazanin" w:hAnsi="IRNazanin" w:eastAsia="IRNazanin"/>
          <w:b w:val="false"/>
          <w:b w:val="false"/>
          <w:bCs w:val="false"/>
          <w:i w:val="false"/>
          <w:i w:val="false"/>
          <w:iCs w:val="false"/>
          <w:color w:val="333333"/>
          <w:sz w:val="20"/>
          <w:sz w:val="20"/>
          <w:szCs w:val="20"/>
          <w:rtl w:val="true"/>
        </w:rPr>
        <w:t>، وابن حمزة فی الوسیلة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والقاضی فی المهذّب </w:t>
      </w:r>
      <w:r>
        <w:rPr>
          <w:rFonts w:eastAsia="IRNazanin" w:cs="IRNazanin"/>
          <w:b w:val="false"/>
          <w:bCs w:val="false"/>
          <w:i w:val="false"/>
          <w:iCs w:val="false"/>
          <w:color w:val="333333"/>
          <w:sz w:val="20"/>
          <w:szCs w:val="20"/>
        </w:rPr>
        <w:t>2:440</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القول بعدم الخروج للمحقّق فی الشرائع </w:t>
      </w:r>
      <w:r>
        <w:rPr>
          <w:rFonts w:eastAsia="IRNazanin" w:cs="IRNazanin"/>
          <w:b w:val="false"/>
          <w:bCs w:val="false"/>
          <w:i w:val="false"/>
          <w:iCs w:val="false"/>
          <w:color w:val="333333"/>
          <w:sz w:val="20"/>
          <w:szCs w:val="20"/>
        </w:rPr>
        <w:t>3:211</w:t>
      </w:r>
      <w:r>
        <w:rPr>
          <w:rFonts w:ascii="IRNazanin" w:hAnsi="IRNazanin" w:eastAsia="IRNazanin"/>
          <w:b w:val="false"/>
          <w:b w:val="false"/>
          <w:bCs w:val="false"/>
          <w:i w:val="false"/>
          <w:i w:val="false"/>
          <w:iCs w:val="false"/>
          <w:color w:val="333333"/>
          <w:sz w:val="20"/>
          <w:sz w:val="20"/>
          <w:szCs w:val="20"/>
          <w:rtl w:val="true"/>
        </w:rPr>
        <w:t xml:space="preserve">، والعلّامة فی القواعد </w:t>
      </w:r>
      <w:r>
        <w:rPr>
          <w:rFonts w:eastAsia="IRNazanin" w:cs="IRNazanin"/>
          <w:b w:val="false"/>
          <w:bCs w:val="false"/>
          <w:i w:val="false"/>
          <w:iCs w:val="false"/>
          <w:color w:val="333333"/>
          <w:sz w:val="20"/>
          <w:szCs w:val="20"/>
        </w:rPr>
        <w:t>3:315</w:t>
      </w:r>
      <w:r>
        <w:rPr>
          <w:rFonts w:ascii="IRNazanin" w:hAnsi="IRNazanin" w:eastAsia="IRNazanin"/>
          <w:b w:val="false"/>
          <w:b w:val="false"/>
          <w:bCs w:val="false"/>
          <w:i w:val="false"/>
          <w:i w:val="false"/>
          <w:iCs w:val="false"/>
          <w:color w:val="333333"/>
          <w:sz w:val="20"/>
          <w:sz w:val="20"/>
          <w:szCs w:val="20"/>
          <w:rtl w:val="true"/>
        </w:rPr>
        <w:t xml:space="preserve">، والتحریر </w:t>
      </w:r>
      <w:r>
        <w:rPr>
          <w:rFonts w:eastAsia="IRNazanin" w:cs="IRNazanin"/>
          <w:b w:val="false"/>
          <w:bCs w:val="false"/>
          <w:i w:val="false"/>
          <w:iCs w:val="false"/>
          <w:color w:val="333333"/>
          <w:sz w:val="20"/>
          <w:szCs w:val="20"/>
        </w:rPr>
        <w:t>4:618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القول بالخروج فلم نعثر علیه وإن نسبه فی الإیضاح </w:t>
      </w:r>
      <w:r>
        <w:rPr>
          <w:rFonts w:eastAsia="IRNazanin" w:cs="IRNazanin"/>
          <w:b w:val="false"/>
          <w:bCs w:val="false"/>
          <w:i w:val="false"/>
          <w:iCs w:val="false"/>
          <w:color w:val="333333"/>
          <w:sz w:val="20"/>
          <w:szCs w:val="20"/>
        </w:rPr>
        <w:t>4:123</w:t>
      </w:r>
      <w:r>
        <w:rPr>
          <w:rFonts w:ascii="IRNazanin" w:hAnsi="IRNazanin" w:eastAsia="IRNazanin"/>
          <w:b w:val="false"/>
          <w:b w:val="false"/>
          <w:bCs w:val="false"/>
          <w:i w:val="false"/>
          <w:i w:val="false"/>
          <w:iCs w:val="false"/>
          <w:color w:val="333333"/>
          <w:sz w:val="20"/>
          <w:sz w:val="20"/>
          <w:szCs w:val="20"/>
          <w:rtl w:val="true"/>
        </w:rPr>
        <w:t xml:space="preserve">، والمسالک </w:t>
      </w:r>
      <w:r>
        <w:rPr>
          <w:rFonts w:eastAsia="IRNazanin" w:cs="IRNazanin"/>
          <w:b w:val="false"/>
          <w:bCs w:val="false"/>
          <w:i w:val="false"/>
          <w:iCs w:val="false"/>
          <w:color w:val="333333"/>
          <w:sz w:val="20"/>
          <w:szCs w:val="20"/>
        </w:rPr>
        <w:t>11:524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الشیخ فی المبسوط، ولکن لم نظفر به هناک</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القواعد </w:t>
      </w:r>
      <w:r>
        <w:rPr>
          <w:rFonts w:eastAsia="IRNazanin" w:cs="IRNazanin"/>
          <w:b w:val="false"/>
          <w:bCs w:val="false"/>
          <w:i w:val="false"/>
          <w:iCs w:val="false"/>
          <w:color w:val="333333"/>
          <w:sz w:val="20"/>
          <w:szCs w:val="20"/>
        </w:rPr>
        <w:t>3:315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والإیضاح </w:t>
      </w:r>
      <w:r>
        <w:rPr>
          <w:rFonts w:eastAsia="IRNazanin" w:cs="IRNazanin"/>
          <w:b w:val="false"/>
          <w:bCs w:val="false"/>
          <w:i w:val="false"/>
          <w:iCs w:val="false"/>
          <w:color w:val="333333"/>
          <w:sz w:val="20"/>
          <w:szCs w:val="20"/>
        </w:rPr>
        <w:t>4:123</w:t>
      </w:r>
      <w:r>
        <w:rPr>
          <w:rFonts w:ascii="IRNazanin" w:hAnsi="IRNazanin" w:eastAsia="IRNazanin"/>
          <w:b w:val="false"/>
          <w:b w:val="false"/>
          <w:bCs w:val="false"/>
          <w:i w:val="false"/>
          <w:i w:val="false"/>
          <w:iCs w:val="false"/>
          <w:color w:val="333333"/>
          <w:sz w:val="20"/>
          <w:sz w:val="20"/>
          <w:szCs w:val="20"/>
          <w:rtl w:val="true"/>
        </w:rPr>
        <w:t xml:space="preserve">، والدروس </w:t>
      </w:r>
      <w:r>
        <w:rPr>
          <w:rFonts w:eastAsia="IRNazanin" w:cs="IRNazanin"/>
          <w:b w:val="false"/>
          <w:bCs w:val="false"/>
          <w:i w:val="false"/>
          <w:iCs w:val="false"/>
          <w:color w:val="333333"/>
          <w:sz w:val="20"/>
          <w:szCs w:val="20"/>
        </w:rPr>
        <w:t>2:400</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مکانٍ مأخوذ من الوَحَل، وهو الطین الرقیق</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القول بالملک للعلّامة فی القواعد </w:t>
      </w:r>
      <w:r>
        <w:rPr>
          <w:rFonts w:eastAsia="IRNazanin" w:cs="IRNazanin"/>
          <w:b w:val="false"/>
          <w:bCs w:val="false"/>
          <w:i w:val="false"/>
          <w:iCs w:val="false"/>
          <w:color w:val="333333"/>
          <w:sz w:val="20"/>
          <w:szCs w:val="20"/>
        </w:rPr>
        <w:t>3:316</w:t>
      </w:r>
      <w:r>
        <w:rPr>
          <w:rFonts w:ascii="IRNazanin" w:hAnsi="IRNazanin" w:eastAsia="IRNazanin"/>
          <w:b w:val="false"/>
          <w:b w:val="false"/>
          <w:bCs w:val="false"/>
          <w:i w:val="false"/>
          <w:i w:val="false"/>
          <w:iCs w:val="false"/>
          <w:color w:val="333333"/>
          <w:sz w:val="20"/>
          <w:sz w:val="20"/>
          <w:szCs w:val="20"/>
          <w:rtl w:val="true"/>
        </w:rPr>
        <w:t>، وقال یحیی بن سعید فی الجامع للشرائع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ولو وثبت سمکة فی سفینة فیها ملّاحها والراکب، فسبق أحدهما وأخذها ملکها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نعثر علی القول الآخر</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کتاب إحیاء الموات فی الصفحة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بمالک</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سمکٌ لیس له عظمٌ سوی عظم اللحیین والسلسة وفی ظهره طولٌ وفی فمه سعةٌ</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فی المصادر اللغویّة علی من ذکر السمک من معانی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الزهو</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نعم، ورد فی الحدیث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الزهو سمک لیس له قشر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16:337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 وفیه حدیث واحد</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اختاره الصدوق فی المقنع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والسیّد فی الانتصار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والشیخ فی المبسوط </w:t>
      </w:r>
      <w:r>
        <w:rPr>
          <w:rFonts w:eastAsia="IRNazanin" w:cs="IRNazanin"/>
          <w:b w:val="false"/>
          <w:bCs w:val="false"/>
          <w:i w:val="false"/>
          <w:iCs w:val="false"/>
          <w:color w:val="333333"/>
          <w:sz w:val="20"/>
          <w:szCs w:val="20"/>
        </w:rPr>
        <w:t>6:276</w:t>
      </w:r>
      <w:r>
        <w:rPr>
          <w:rFonts w:ascii="IRNazanin" w:hAnsi="IRNazanin" w:eastAsia="IRNazanin"/>
          <w:b w:val="false"/>
          <w:b w:val="false"/>
          <w:bCs w:val="false"/>
          <w:i w:val="false"/>
          <w:i w:val="false"/>
          <w:iCs w:val="false"/>
          <w:color w:val="333333"/>
          <w:sz w:val="20"/>
          <w:sz w:val="20"/>
          <w:szCs w:val="20"/>
          <w:rtl w:val="true"/>
        </w:rPr>
        <w:t xml:space="preserve">، والخلاف </w:t>
      </w:r>
      <w:r>
        <w:rPr>
          <w:rFonts w:eastAsia="IRNazanin" w:cs="IRNazanin"/>
          <w:b w:val="false"/>
          <w:bCs w:val="false"/>
          <w:i w:val="false"/>
          <w:iCs w:val="false"/>
          <w:color w:val="333333"/>
          <w:sz w:val="20"/>
          <w:szCs w:val="20"/>
        </w:rPr>
        <w:t>6:29</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الصید والذباحة، والقدیمان کما نقل عنهما العلّامة فی المختلف </w:t>
      </w:r>
      <w:r>
        <w:rPr>
          <w:rFonts w:eastAsia="IRNazanin" w:cs="IRNazanin"/>
          <w:b w:val="false"/>
          <w:bCs w:val="false"/>
          <w:i w:val="false"/>
          <w:iCs w:val="false"/>
          <w:color w:val="333333"/>
          <w:sz w:val="20"/>
          <w:szCs w:val="20"/>
        </w:rPr>
        <w:t>8:282</w:t>
      </w:r>
      <w:r>
        <w:rPr>
          <w:rFonts w:ascii="IRNazanin" w:hAnsi="IRNazanin" w:eastAsia="IRNazanin"/>
          <w:b w:val="false"/>
          <w:b w:val="false"/>
          <w:bCs w:val="false"/>
          <w:i w:val="false"/>
          <w:i w:val="false"/>
          <w:iCs w:val="false"/>
          <w:color w:val="333333"/>
          <w:sz w:val="20"/>
          <w:sz w:val="20"/>
          <w:szCs w:val="20"/>
          <w:rtl w:val="true"/>
        </w:rPr>
        <w:t xml:space="preserve">، واختاره هو أیضاً فی الصفحة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وابن إدریس فی السرائر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وغیرهم</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16:331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الأطعمة المحرّمة، الأحادیث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صحیح زرارة ومحمّد بن مسلم فی الوسائل </w:t>
      </w:r>
      <w:r>
        <w:rPr>
          <w:rFonts w:eastAsia="IRNazanin" w:cs="IRNazanin"/>
          <w:b w:val="false"/>
          <w:bCs w:val="false"/>
          <w:i w:val="false"/>
          <w:iCs w:val="false"/>
          <w:color w:val="333333"/>
          <w:sz w:val="20"/>
          <w:szCs w:val="20"/>
        </w:rPr>
        <w:t>16:334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الأطعمة المحرّمة، الحدیث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حملها العلّامة فی المختلف </w:t>
      </w:r>
      <w:r>
        <w:rPr>
          <w:rFonts w:eastAsia="IRNazanin" w:cs="IRNazanin"/>
          <w:b w:val="false"/>
          <w:bCs w:val="false"/>
          <w:i w:val="false"/>
          <w:iCs w:val="false"/>
          <w:color w:val="333333"/>
          <w:sz w:val="20"/>
          <w:szCs w:val="20"/>
        </w:rPr>
        <w:t>8:285</w:t>
      </w:r>
      <w:r>
        <w:rPr>
          <w:rFonts w:ascii="IRNazanin" w:hAnsi="IRNazanin" w:eastAsia="IRNazanin"/>
          <w:b w:val="false"/>
          <w:b w:val="false"/>
          <w:bCs w:val="false"/>
          <w:i w:val="false"/>
          <w:i w:val="false"/>
          <w:iCs w:val="false"/>
          <w:color w:val="333333"/>
          <w:sz w:val="20"/>
          <w:sz w:val="20"/>
          <w:szCs w:val="20"/>
          <w:rtl w:val="true"/>
        </w:rPr>
        <w:t xml:space="preserve">، والشهید فی الدروس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قید للطاهر، أی خالیاً عن النجاسة الذاتیّة والعرضیّة</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16:357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الأطعمة المحرّمة،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 ضعفه بوقوع یونس فیه وهو مشترک مجهول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فهارس المسالک </w:t>
      </w:r>
      <w:r>
        <w:rPr>
          <w:rFonts w:eastAsia="IRNazanin" w:cs="IRNazanin"/>
          <w:b w:val="false"/>
          <w:bCs w:val="false"/>
          <w:i w:val="false"/>
          <w:iCs w:val="false"/>
          <w:color w:val="333333"/>
          <w:sz w:val="20"/>
          <w:szCs w:val="20"/>
        </w:rPr>
        <w:t>16:299</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16:357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الأطعمة المحرّمة،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ضعیف بقاسم بن محمّد، راجع المسالک </w:t>
      </w:r>
      <w:r>
        <w:rPr>
          <w:rFonts w:eastAsia="IRNazanin" w:cs="IRNazanin"/>
          <w:b w:val="false"/>
          <w:bCs w:val="false"/>
          <w:i w:val="false"/>
          <w:iCs w:val="false"/>
          <w:color w:val="333333"/>
          <w:sz w:val="20"/>
          <w:szCs w:val="20"/>
        </w:rPr>
        <w:t>16:294</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المفید فی 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576</w:t>
      </w:r>
      <w:r>
        <w:rPr>
          <w:rFonts w:ascii="IRNazanin" w:hAnsi="IRNazanin" w:eastAsia="IRNazanin"/>
          <w:b w:val="false"/>
          <w:b w:val="false"/>
          <w:bCs w:val="false"/>
          <w:i w:val="false"/>
          <w:i w:val="false"/>
          <w:iCs w:val="false"/>
          <w:color w:val="333333"/>
          <w:sz w:val="20"/>
          <w:sz w:val="20"/>
          <w:szCs w:val="20"/>
          <w:rtl w:val="true"/>
        </w:rPr>
        <w:t>، وسلّار فی المراسم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وابن حمزة فی الوسیلة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أصحاب أبی الخطّاب محمّد بن أبی زینب الأسدی الأجدع مولی بنی أسد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الذی عزا نفسه إلی أبی عبد اللّٰه جعفر بن محمّد الصادق رضی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وقف الصادق علی غلوّه الباطل فی حقّه، تبرّأ منه ولعنه وأمر أصحابه بالبراءة منه وشدّد القول فی ذلک وبالغ فی التبرّی منه واللعن علیه</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ولمّا وقف عیسی بن موسی صاحب المنصور علی خبث دعوته قتله بسبخة الکوفة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کتاب الملل والنحل للشهرستانی </w:t>
      </w:r>
      <w:r>
        <w:rPr>
          <w:rFonts w:eastAsia="IRNazanin" w:cs="IRNazanin"/>
          <w:b w:val="false"/>
          <w:bCs w:val="false"/>
          <w:i w:val="false"/>
          <w:iCs w:val="false"/>
          <w:color w:val="333333"/>
          <w:sz w:val="20"/>
          <w:szCs w:val="20"/>
        </w:rPr>
        <w:t>1:159</w:t>
      </w:r>
      <w:r>
        <w:rPr>
          <w:rFonts w:ascii="IRNazanin" w:hAnsi="IRNazanin" w:eastAsia="IRNazanin"/>
          <w:b w:val="false"/>
          <w:b w:val="false"/>
          <w:bCs w:val="false"/>
          <w:i w:val="false"/>
          <w:i w:val="false"/>
          <w:iCs w:val="false"/>
          <w:color w:val="333333"/>
          <w:sz w:val="20"/>
          <w:sz w:val="20"/>
          <w:szCs w:val="20"/>
          <w:rtl w:val="true"/>
        </w:rPr>
        <w:t>، والفَرق بین الفِرق للبغدادی الاسفرائینی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والمقالات والفرق لسعد بن عبد اللّٰه الأشعری القمّی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حمار الوحش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بالفارسیّة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گورخر</w:t>
      </w:r>
      <w:r>
        <w:rPr>
          <w:rFonts w:eastAsia="IRNazanin" w:cs="IRNazanin"/>
          <w:b w:val="false"/>
          <w:bCs w:val="false"/>
          <w:i w:val="false"/>
          <w:iCs w:val="false"/>
          <w:color w:val="333333"/>
          <w:sz w:val="20"/>
          <w:szCs w:val="20"/>
          <w:rtl w:val="true"/>
        </w:rPr>
        <w:t>) .</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إلیه الشهید فی الدروس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أیضاً، ولکن لم نعثر علیه فی المهذّب وغیره، بل حکم فی المهذّب </w:t>
      </w:r>
      <w:r>
        <w:rPr>
          <w:rFonts w:eastAsia="IRNazanin" w:cs="IRNazanin"/>
          <w:b w:val="false"/>
          <w:bCs w:val="false"/>
          <w:i w:val="false"/>
          <w:iCs w:val="false"/>
          <w:color w:val="333333"/>
          <w:sz w:val="20"/>
          <w:szCs w:val="20"/>
        </w:rPr>
        <w:t>2:429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بکراهة الخیل والبغال والحمیر علی السواء</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قاله الحلبی فی 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16:323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الأطعمة المحرّمة،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الأبواب، الحدیث الأوّل</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حملها فی المختلف </w:t>
      </w:r>
      <w:r>
        <w:rPr>
          <w:rFonts w:eastAsia="IRNazanin" w:cs="IRNazanin"/>
          <w:b w:val="false"/>
          <w:bCs w:val="false"/>
          <w:i w:val="false"/>
          <w:iCs w:val="false"/>
          <w:color w:val="333333"/>
          <w:sz w:val="20"/>
          <w:szCs w:val="20"/>
        </w:rPr>
        <w:t>8:292</w:t>
      </w:r>
      <w:r>
        <w:rPr>
          <w:rFonts w:ascii="IRNazanin" w:hAnsi="IRNazanin" w:eastAsia="IRNazanin"/>
          <w:b w:val="false"/>
          <w:b w:val="false"/>
          <w:bCs w:val="false"/>
          <w:i w:val="false"/>
          <w:i w:val="false"/>
          <w:iCs w:val="false"/>
          <w:color w:val="333333"/>
          <w:sz w:val="20"/>
          <w:sz w:val="20"/>
          <w:szCs w:val="20"/>
          <w:rtl w:val="true"/>
        </w:rPr>
        <w:t xml:space="preserve">، والدروس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حیوان برّیٌ مولعٌ بأکل الدجاج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بالفارسیّة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شغال</w:t>
      </w:r>
      <w:r>
        <w:rPr>
          <w:rFonts w:eastAsia="IRNazanin" w:cs="IRNazanin"/>
          <w:b w:val="false"/>
          <w:bCs w:val="false"/>
          <w:i w:val="false"/>
          <w:iCs w:val="false"/>
          <w:color w:val="333333"/>
          <w:sz w:val="20"/>
          <w:szCs w:val="20"/>
          <w:rtl w:val="true"/>
        </w:rPr>
        <w:t>) .</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دویبةٌ علی حدّ فرخ التمساح الصغیر وذنبه کثیر العقد کذنبه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بالفارسیّة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سوسمار</w:t>
      </w:r>
      <w:r>
        <w:rPr>
          <w:rFonts w:eastAsia="IRNazanin" w:cs="IRNazanin"/>
          <w:b w:val="false"/>
          <w:bCs w:val="false"/>
          <w:i w:val="false"/>
          <w:iCs w:val="false"/>
          <w:color w:val="333333"/>
          <w:sz w:val="20"/>
          <w:szCs w:val="20"/>
          <w:rtl w:val="true"/>
        </w:rPr>
        <w:t>) .</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حشرة سوداء مغمدة الأجنحة، أصغر من الجعل منتنة الریح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بالفارسیّة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خال سوسکه، سرگین غلطانک</w:t>
      </w:r>
      <w:r>
        <w:rPr>
          <w:rFonts w:eastAsia="IRNazanin" w:cs="IRNazanin"/>
          <w:b w:val="false"/>
          <w:bCs w:val="false"/>
          <w:i w:val="false"/>
          <w:iCs w:val="false"/>
          <w:color w:val="333333"/>
          <w:sz w:val="20"/>
          <w:szCs w:val="20"/>
          <w:rtl w:val="true"/>
        </w:rPr>
        <w:t>) .</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دویبةٌ نحو الخنفساء حمراء اللون وأکثر ما تکون فی الحمّامات وفی الکنف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بالفارسیّة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سوسک سرخ</w:t>
      </w:r>
      <w:r>
        <w:rPr>
          <w:rFonts w:eastAsia="IRNazanin" w:cs="IRNazanin"/>
          <w:b w:val="false"/>
          <w:bCs w:val="false"/>
          <w:i w:val="false"/>
          <w:iCs w:val="false"/>
          <w:color w:val="333333"/>
          <w:sz w:val="20"/>
          <w:szCs w:val="20"/>
          <w:rtl w:val="true"/>
        </w:rPr>
        <w:t>) .</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حیوان صغیر علی هیئة الجُرَذ الصغیر، وله ذنب طویل ینتهی بخصلة من الشعر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قصیر الیدین وطویل الرجلین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بالفارسیّة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موش صحرائی</w:t>
      </w:r>
      <w:r>
        <w:rPr>
          <w:rFonts w:eastAsia="IRNazanin" w:cs="IRNazanin"/>
          <w:b w:val="false"/>
          <w:bCs w:val="false"/>
          <w:i w:val="false"/>
          <w:iCs w:val="false"/>
          <w:color w:val="333333"/>
          <w:sz w:val="20"/>
          <w:szCs w:val="20"/>
          <w:rtl w:val="true"/>
        </w:rPr>
        <w:t>) .</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تألف</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2:841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وبالفارسیّة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ونگ</w:t>
      </w:r>
      <w:r>
        <w:rPr>
          <w:rFonts w:eastAsia="IRNazanin" w:cs="IRNazanin"/>
          <w:b w:val="false"/>
          <w:bCs w:val="false"/>
          <w:i w:val="false"/>
          <w:iCs w:val="false"/>
          <w:color w:val="333333"/>
          <w:sz w:val="20"/>
          <w:szCs w:val="20"/>
          <w:rtl w:val="true"/>
        </w:rPr>
        <w:t>) .</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فی موسوعة المورد </w:t>
      </w:r>
      <w:r>
        <w:rPr>
          <w:rFonts w:eastAsia="IRNazanin" w:cs="IRNazanin"/>
          <w:b w:val="false"/>
          <w:bCs w:val="false"/>
          <w:i w:val="false"/>
          <w:iCs w:val="false"/>
          <w:color w:val="333333"/>
          <w:sz w:val="20"/>
          <w:szCs w:val="20"/>
        </w:rPr>
        <w:t>6:205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الخزّ أو الدَلَق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حیوان ثدیی صغیر، حجمه لا یزید علی حجم الهرّ الألیف، وقد یصل طوله إلی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سانتیمتراً، وهو مهزول الجسم، قصیر القوائم، مستدیر الاُذنین، ناعم الوبر، کثّ الذیل، یألف الغابات حیث یتسلّق الأشجار برشاقة ویقتات بالحیوانات وبالثمار وبالجیف أیضاً، ویصطاد طلباً لفروه النفیس</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الأوّل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من الثعالب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فروته أجود أنواع الفراء ویجلب کثیراً من الصقالبة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بالفارسیّة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روباه خالدار</w:t>
      </w:r>
      <w:r>
        <w:rPr>
          <w:rFonts w:eastAsia="IRNazanin" w:cs="IRNazanin"/>
          <w:b w:val="false"/>
          <w:bCs w:val="false"/>
          <w:i w:val="false"/>
          <w:iCs w:val="false"/>
          <w:color w:val="333333"/>
          <w:sz w:val="20"/>
          <w:szCs w:val="20"/>
          <w:rtl w:val="true"/>
        </w:rPr>
        <w:t>) .</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6:2431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عظا</w:t>
      </w:r>
      <w:r>
        <w:rPr>
          <w:rFonts w:eastAsia="IRNazanin" w:cs="IRNazanin"/>
          <w:b w:val="false"/>
          <w:bCs w:val="false"/>
          <w:i w:val="false"/>
          <w:iCs w:val="false"/>
          <w:color w:val="333333"/>
          <w:sz w:val="20"/>
          <w:szCs w:val="20"/>
          <w:rtl w:val="true"/>
        </w:rPr>
        <w:t>) .</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طائر غزیر الریش، أبیض اللون مبقّع بسواد له منقار طویل قلیل التقوّس، وله جناح‌طویل، والذنب طویل، والقدم ضعیفة، والمخالب متوسّطة الطول سوداء اللون، بالفارسیّة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کرکس</w:t>
      </w:r>
      <w:r>
        <w:rPr>
          <w:rFonts w:eastAsia="IRNazanin" w:cs="IRNazanin"/>
          <w:b w:val="false"/>
          <w:bCs w:val="false"/>
          <w:i w:val="false"/>
          <w:iCs w:val="false"/>
          <w:color w:val="333333"/>
          <w:sz w:val="20"/>
          <w:szCs w:val="20"/>
          <w:rtl w:val="true"/>
        </w:rPr>
        <w:t>) .</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البارع </w:t>
      </w:r>
      <w:r>
        <w:rPr>
          <w:rFonts w:eastAsia="IRNazanin" w:cs="IRNazanin"/>
          <w:b w:val="false"/>
          <w:bCs w:val="false"/>
          <w:i w:val="false"/>
          <w:iCs w:val="false"/>
          <w:color w:val="333333"/>
          <w:sz w:val="20"/>
          <w:szCs w:val="20"/>
        </w:rPr>
        <w:t>4:209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16:329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الأطعمة المحرّمة،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16:329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الأطعمة المحرّمة،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 وفی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أکل الغراب</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16:328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 الحدیث الأوّل</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یجوز عود الضعف إلی الحدیث باعتبار سنده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فیه أبا یحیی الواسطی ولم یرد فیه مدح ولا ذمّ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2:425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وإلی المفهوم؛ لأنّه مفهوم الاسم وضعفه ظاهر، أو مفهوم الوصف، وهو کذلک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 .</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ضرب من طیور القواطع، عریض المنقار، دقیق الجناح طویله، منقّش الذیل، بالفارسیّة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پرستو</w:t>
      </w:r>
      <w:r>
        <w:rPr>
          <w:rFonts w:eastAsia="IRNazanin" w:cs="IRNazanin"/>
          <w:b w:val="false"/>
          <w:bCs w:val="false"/>
          <w:i w:val="false"/>
          <w:iCs w:val="false"/>
          <w:color w:val="333333"/>
          <w:sz w:val="20"/>
          <w:szCs w:val="20"/>
          <w:rtl w:val="true"/>
        </w:rPr>
        <w:t>) .</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قاله الشیخ فی 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577</w:t>
      </w:r>
      <w:r>
        <w:rPr>
          <w:rFonts w:ascii="IRNazanin" w:hAnsi="IRNazanin" w:eastAsia="IRNazanin"/>
          <w:b w:val="false"/>
          <w:b w:val="false"/>
          <w:bCs w:val="false"/>
          <w:i w:val="false"/>
          <w:i w:val="false"/>
          <w:iCs w:val="false"/>
          <w:color w:val="333333"/>
          <w:sz w:val="20"/>
          <w:sz w:val="20"/>
          <w:szCs w:val="20"/>
          <w:rtl w:val="true"/>
        </w:rPr>
        <w:t xml:space="preserve">، والقاضی فی المهذّب </w:t>
      </w:r>
      <w:r>
        <w:rPr>
          <w:rFonts w:eastAsia="IRNazanin" w:cs="IRNazanin"/>
          <w:b w:val="false"/>
          <w:bCs w:val="false"/>
          <w:i w:val="false"/>
          <w:iCs w:val="false"/>
          <w:color w:val="333333"/>
          <w:sz w:val="20"/>
          <w:szCs w:val="20"/>
        </w:rPr>
        <w:t>2:429</w:t>
      </w:r>
      <w:r>
        <w:rPr>
          <w:rFonts w:ascii="IRNazanin" w:hAnsi="IRNazanin" w:eastAsia="IRNazanin"/>
          <w:b w:val="false"/>
          <w:b w:val="false"/>
          <w:bCs w:val="false"/>
          <w:i w:val="false"/>
          <w:i w:val="false"/>
          <w:iCs w:val="false"/>
          <w:color w:val="333333"/>
          <w:sz w:val="20"/>
          <w:sz w:val="20"/>
          <w:szCs w:val="20"/>
          <w:rtl w:val="true"/>
        </w:rPr>
        <w:t xml:space="preserve">، والحلّی فی السرائر </w:t>
      </w:r>
      <w:r>
        <w:rPr>
          <w:rFonts w:eastAsia="IRNazanin" w:cs="IRNazanin"/>
          <w:b w:val="false"/>
          <w:bCs w:val="false"/>
          <w:i w:val="false"/>
          <w:iCs w:val="false"/>
          <w:color w:val="333333"/>
          <w:sz w:val="20"/>
          <w:szCs w:val="20"/>
        </w:rPr>
        <w:t>3:104</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16:350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الأطعمة المحرّمة،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الحدیث الأوّل</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الکافی والتهذیب أیضاً، وفی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 للوسائل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بهما</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16:345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الأطعمة المحرّمة،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طائر أکبر من العصفور ضخم الرأس والمنقار، یصید صغار الحشرات وربما صاد العصفور وکانوا یتشأمون به، وبالفارسیّة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ورکاک، شیر گنجشک، کرکسه</w:t>
      </w:r>
      <w:r>
        <w:rPr>
          <w:rFonts w:eastAsia="IRNazanin" w:cs="IRNazanin"/>
          <w:b w:val="false"/>
          <w:bCs w:val="false"/>
          <w:i w:val="false"/>
          <w:iCs w:val="false"/>
          <w:color w:val="333333"/>
          <w:sz w:val="20"/>
          <w:szCs w:val="20"/>
          <w:rtl w:val="true"/>
        </w:rPr>
        <w:t>) .</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سیأتی ذکره</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16:249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الصید،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16:248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الصید،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قاله الشیخ فی 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577</w:t>
      </w:r>
      <w:r>
        <w:rPr>
          <w:rFonts w:ascii="IRNazanin" w:hAnsi="IRNazanin" w:eastAsia="IRNazanin"/>
          <w:b w:val="false"/>
          <w:b w:val="false"/>
          <w:bCs w:val="false"/>
          <w:i w:val="false"/>
          <w:i w:val="false"/>
          <w:iCs w:val="false"/>
          <w:color w:val="333333"/>
          <w:sz w:val="20"/>
          <w:sz w:val="20"/>
          <w:szCs w:val="20"/>
          <w:rtl w:val="true"/>
        </w:rPr>
        <w:t xml:space="preserve">، والقاضی فی المهذّب </w:t>
      </w:r>
      <w:r>
        <w:rPr>
          <w:rFonts w:eastAsia="IRNazanin" w:cs="IRNazanin"/>
          <w:b w:val="false"/>
          <w:bCs w:val="false"/>
          <w:i w:val="false"/>
          <w:iCs w:val="false"/>
          <w:color w:val="333333"/>
          <w:sz w:val="20"/>
          <w:szCs w:val="20"/>
        </w:rPr>
        <w:t>2:429</w:t>
      </w:r>
      <w:r>
        <w:rPr>
          <w:rFonts w:ascii="IRNazanin" w:hAnsi="IRNazanin" w:eastAsia="IRNazanin"/>
          <w:b w:val="false"/>
          <w:b w:val="false"/>
          <w:bCs w:val="false"/>
          <w:i w:val="false"/>
          <w:i w:val="false"/>
          <w:iCs w:val="false"/>
          <w:color w:val="333333"/>
          <w:sz w:val="20"/>
          <w:sz w:val="20"/>
          <w:szCs w:val="20"/>
          <w:rtl w:val="true"/>
        </w:rPr>
        <w:t xml:space="preserve">، وابن إدریس فی السرائر </w:t>
      </w:r>
      <w:r>
        <w:rPr>
          <w:rFonts w:eastAsia="IRNazanin" w:cs="IRNazanin"/>
          <w:b w:val="false"/>
          <w:bCs w:val="false"/>
          <w:i w:val="false"/>
          <w:iCs w:val="false"/>
          <w:color w:val="333333"/>
          <w:sz w:val="20"/>
          <w:szCs w:val="20"/>
        </w:rPr>
        <w:t>3:104</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16:247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الصید،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16:248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الصید،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الأطعمة المحرّمة،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ولعلّ ضعفها بوقوع الفطحیّین فیها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عمرو ابن سعید ومصدّق بن صدقة وعمّار بن موسی الساباطی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جامع الرواة </w:t>
      </w:r>
      <w:r>
        <w:rPr>
          <w:rFonts w:eastAsia="IRNazanin" w:cs="IRNazanin"/>
          <w:b w:val="false"/>
          <w:bCs w:val="false"/>
          <w:i w:val="false"/>
          <w:iCs w:val="false"/>
          <w:color w:val="333333"/>
          <w:sz w:val="20"/>
          <w:szCs w:val="20"/>
        </w:rPr>
        <w:t>1:621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نوع من العصافیر، وبالفارسیّة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چکاوک</w:t>
      </w:r>
      <w:r>
        <w:rPr>
          <w:rFonts w:eastAsia="IRNazanin" w:cs="IRNazanin"/>
          <w:b w:val="false"/>
          <w:bCs w:val="false"/>
          <w:i w:val="false"/>
          <w:iCs w:val="false"/>
          <w:color w:val="333333"/>
          <w:sz w:val="20"/>
          <w:szCs w:val="20"/>
          <w:rtl w:val="true"/>
        </w:rPr>
        <w:t>) .</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16:249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الصید، الحدیث الأوّل</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الکافی </w:t>
      </w:r>
      <w:r>
        <w:rPr>
          <w:rFonts w:eastAsia="IRNazanin" w:cs="IRNazanin"/>
          <w:b w:val="false"/>
          <w:bCs w:val="false"/>
          <w:i w:val="false"/>
          <w:iCs w:val="false"/>
          <w:color w:val="333333"/>
          <w:sz w:val="20"/>
          <w:szCs w:val="20"/>
        </w:rPr>
        <w:t>6:225</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والوسائل </w:t>
      </w:r>
      <w:r>
        <w:rPr>
          <w:rFonts w:eastAsia="IRNazanin" w:cs="IRNazanin"/>
          <w:b w:val="false"/>
          <w:bCs w:val="false"/>
          <w:i w:val="false"/>
          <w:iCs w:val="false"/>
          <w:color w:val="333333"/>
          <w:sz w:val="20"/>
          <w:szCs w:val="20"/>
        </w:rPr>
        <w:t>16:250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الصید،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8:386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الدواب،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طائر طویل العنق، رمادیّ اللون علی شکل الإوزّة، فی منقاره طول، بالفارسیّة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هوبره وشوات</w:t>
      </w:r>
      <w:r>
        <w:rPr>
          <w:rFonts w:eastAsia="IRNazanin" w:cs="IRNazanin"/>
          <w:b w:val="false"/>
          <w:bCs w:val="false"/>
          <w:i w:val="false"/>
          <w:iCs w:val="false"/>
          <w:color w:val="333333"/>
          <w:sz w:val="20"/>
          <w:szCs w:val="20"/>
          <w:rtl w:val="true"/>
        </w:rPr>
        <w:t>) .</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یتعرّض المصنّف فی کتبه الاُخری لحکم الحباری</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المحقّق فی الشرائع </w:t>
      </w:r>
      <w:r>
        <w:rPr>
          <w:rFonts w:eastAsia="IRNazanin" w:cs="IRNazanin"/>
          <w:b w:val="false"/>
          <w:bCs w:val="false"/>
          <w:i w:val="false"/>
          <w:iCs w:val="false"/>
          <w:color w:val="333333"/>
          <w:sz w:val="20"/>
          <w:szCs w:val="20"/>
        </w:rPr>
        <w:t>3:221</w:t>
      </w:r>
      <w:r>
        <w:rPr>
          <w:rFonts w:ascii="IRNazanin" w:hAnsi="IRNazanin" w:eastAsia="IRNazanin"/>
          <w:b w:val="false"/>
          <w:b w:val="false"/>
          <w:bCs w:val="false"/>
          <w:i w:val="false"/>
          <w:i w:val="false"/>
          <w:iCs w:val="false"/>
          <w:color w:val="333333"/>
          <w:sz w:val="20"/>
          <w:sz w:val="20"/>
          <w:szCs w:val="20"/>
          <w:rtl w:val="true"/>
        </w:rPr>
        <w:t>، ویحیی بن سعید فی الجامع للشرائع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والعلّامة فی القواعد </w:t>
      </w:r>
      <w:r>
        <w:rPr>
          <w:rFonts w:eastAsia="IRNazanin" w:cs="IRNazanin"/>
          <w:b w:val="false"/>
          <w:bCs w:val="false"/>
          <w:i w:val="false"/>
          <w:iCs w:val="false"/>
          <w:color w:val="333333"/>
          <w:sz w:val="20"/>
          <w:szCs w:val="20"/>
        </w:rPr>
        <w:t>3:327</w:t>
      </w:r>
      <w:r>
        <w:rPr>
          <w:rFonts w:ascii="IRNazanin" w:hAnsi="IRNazanin" w:eastAsia="IRNazanin"/>
          <w:b w:val="false"/>
          <w:b w:val="false"/>
          <w:bCs w:val="false"/>
          <w:i w:val="false"/>
          <w:i w:val="false"/>
          <w:iCs w:val="false"/>
          <w:color w:val="333333"/>
          <w:sz w:val="20"/>
          <w:sz w:val="20"/>
          <w:szCs w:val="20"/>
          <w:rtl w:val="true"/>
        </w:rPr>
        <w:t xml:space="preserve">، والتحریر </w:t>
      </w:r>
      <w:r>
        <w:rPr>
          <w:rFonts w:eastAsia="IRNazanin" w:cs="IRNazanin"/>
          <w:b w:val="false"/>
          <w:bCs w:val="false"/>
          <w:i w:val="false"/>
          <w:iCs w:val="false"/>
          <w:color w:val="333333"/>
          <w:sz w:val="20"/>
          <w:szCs w:val="20"/>
        </w:rPr>
        <w:t>4:635</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6241</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الوسائل أیضاً، وفی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أمتلی، کما فی الفقیه </w:t>
      </w:r>
      <w:r>
        <w:rPr>
          <w:rFonts w:eastAsia="IRNazanin" w:cs="IRNazanin"/>
          <w:b w:val="false"/>
          <w:bCs w:val="false"/>
          <w:i w:val="false"/>
          <w:iCs w:val="false"/>
          <w:color w:val="333333"/>
          <w:sz w:val="20"/>
          <w:szCs w:val="20"/>
        </w:rPr>
        <w:t>3:322</w:t>
      </w:r>
      <w:r>
        <w:rPr>
          <w:rFonts w:ascii="IRNazanin" w:hAnsi="IRNazanin" w:eastAsia="IRNazanin"/>
          <w:b w:val="false"/>
          <w:b w:val="false"/>
          <w:bCs w:val="false"/>
          <w:i w:val="false"/>
          <w:i w:val="false"/>
          <w:iCs w:val="false"/>
          <w:color w:val="333333"/>
          <w:sz w:val="20"/>
          <w:sz w:val="20"/>
          <w:szCs w:val="20"/>
          <w:rtl w:val="true"/>
        </w:rPr>
        <w:t xml:space="preserve">، وراجع الوسائل </w:t>
      </w:r>
      <w:r>
        <w:rPr>
          <w:rFonts w:eastAsia="IRNazanin" w:cs="IRNazanin"/>
          <w:b w:val="false"/>
          <w:bCs w:val="false"/>
          <w:i w:val="false"/>
          <w:iCs w:val="false"/>
          <w:color w:val="333333"/>
          <w:sz w:val="20"/>
          <w:szCs w:val="20"/>
        </w:rPr>
        <w:t>16:350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الأطعمة المحرّمة،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التحریر </w:t>
      </w:r>
      <w:r>
        <w:rPr>
          <w:rFonts w:eastAsia="IRNazanin" w:cs="IRNazanin"/>
          <w:b w:val="false"/>
          <w:bCs w:val="false"/>
          <w:i w:val="false"/>
          <w:iCs w:val="false"/>
          <w:color w:val="333333"/>
          <w:sz w:val="20"/>
          <w:szCs w:val="20"/>
        </w:rPr>
        <w:t>4:635</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6241</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 المتضمّن لذکرهما فی جملة الستّة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ذُکرا فی جملة الأربعة والخمسة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16:249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الصید، الحدیث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الأطعمة المحرّمة،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ذکر الصرد وحده فی جملة الستّة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المصدر نفسه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الصید، الحدیث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 الحدیث الأوّل</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الخبر المتضمّن لذکر الأربعة فی الصفحة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Pr>
        <w:t>3:250</w:t>
      </w:r>
      <w:r>
        <w:rPr>
          <w:rFonts w:ascii="IRNazanin" w:hAnsi="IRNazanin" w:eastAsia="IRNazanin"/>
          <w:b w:val="false"/>
          <w:b w:val="false"/>
          <w:bCs w:val="false"/>
          <w:i w:val="false"/>
          <w:i w:val="false"/>
          <w:iCs w:val="false"/>
          <w:color w:val="333333"/>
          <w:sz w:val="20"/>
          <w:sz w:val="20"/>
          <w:szCs w:val="20"/>
          <w:rtl w:val="true"/>
        </w:rPr>
        <w:t xml:space="preserve">، بالفارسیّة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سبز قبا کاسکینه، شیر گنجشک</w:t>
      </w:r>
      <w:r>
        <w:rPr>
          <w:rFonts w:eastAsia="IRNazanin" w:cs="IRNazanin"/>
          <w:b w:val="false"/>
          <w:bCs w:val="false"/>
          <w:i w:val="false"/>
          <w:iCs w:val="false"/>
          <w:color w:val="333333"/>
          <w:sz w:val="20"/>
          <w:szCs w:val="20"/>
          <w:rtl w:val="true"/>
        </w:rPr>
        <w:t>) .</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16:251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الصید، الحدیث الأوّل</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وراء بلاد الزنج یجلب منه الورق القُماری، بالفارسیّة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کبوتر نامه رسان</w:t>
      </w:r>
      <w:r>
        <w:rPr>
          <w:rFonts w:eastAsia="IRNazanin" w:cs="IRNazanin"/>
          <w:b w:val="false"/>
          <w:bCs w:val="false"/>
          <w:i w:val="false"/>
          <w:iCs w:val="false"/>
          <w:color w:val="333333"/>
          <w:sz w:val="20"/>
          <w:szCs w:val="20"/>
          <w:rtl w:val="true"/>
        </w:rPr>
        <w:t>) .</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 نّها أیضاً اسم موضع</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طائر من الفصیلة الحمامیّة أکبر قلیلاً من الحمامة، بالفارسیّة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مرغ الهی، کبوتر کوهی</w:t>
      </w:r>
      <w:r>
        <w:rPr>
          <w:rFonts w:eastAsia="IRNazanin" w:cs="IRNazanin"/>
          <w:b w:val="false"/>
          <w:bCs w:val="false"/>
          <w:i w:val="false"/>
          <w:iCs w:val="false"/>
          <w:color w:val="333333"/>
          <w:sz w:val="20"/>
          <w:szCs w:val="20"/>
          <w:rtl w:val="true"/>
        </w:rPr>
        <w:t>) .</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 فی کتب المصنّف ولا علی من نقل عنه</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 من القَبَج، بالفارسیّة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کبک نر</w:t>
      </w:r>
      <w:r>
        <w:rPr>
          <w:rFonts w:eastAsia="IRNazanin" w:cs="IRNazanin"/>
          <w:b w:val="false"/>
          <w:bCs w:val="false"/>
          <w:i w:val="false"/>
          <w:iCs w:val="false"/>
          <w:color w:val="333333"/>
          <w:sz w:val="20"/>
          <w:szCs w:val="20"/>
          <w:rtl w:val="true"/>
        </w:rPr>
        <w:t>) .</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طائرٌ فی حجم الحمام صوته قطاقطا، بالفارسیّة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سنگخوار</w:t>
      </w:r>
      <w:r>
        <w:rPr>
          <w:rFonts w:eastAsia="IRNazanin" w:cs="IRNazanin"/>
          <w:b w:val="false"/>
          <w:bCs w:val="false"/>
          <w:i w:val="false"/>
          <w:iCs w:val="false"/>
          <w:color w:val="333333"/>
          <w:sz w:val="20"/>
          <w:szCs w:val="20"/>
          <w:rtl w:val="true"/>
        </w:rPr>
        <w:t>) .</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بالفارسیّة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تیهو</w:t>
      </w:r>
      <w:r>
        <w:rPr>
          <w:rFonts w:eastAsia="IRNazanin" w:cs="IRNazanin"/>
          <w:b w:val="false"/>
          <w:bCs w:val="false"/>
          <w:i w:val="false"/>
          <w:iCs w:val="false"/>
          <w:color w:val="333333"/>
          <w:sz w:val="20"/>
          <w:szCs w:val="20"/>
          <w:rtl w:val="true"/>
        </w:rPr>
        <w:t>) .</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طائر طویل الرجلین أغبر نحو الحمامة له صوت حسن، بالفارسیّة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ماهیخوار</w:t>
      </w:r>
      <w:r>
        <w:rPr>
          <w:rFonts w:eastAsia="IRNazanin" w:cs="IRNazanin"/>
          <w:b w:val="false"/>
          <w:bCs w:val="false"/>
          <w:i w:val="false"/>
          <w:iCs w:val="false"/>
          <w:color w:val="333333"/>
          <w:sz w:val="20"/>
          <w:szCs w:val="20"/>
          <w:rtl w:val="true"/>
        </w:rPr>
        <w:t>) .</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طائر کبیر أغبر اللون طویل العنق والرجلین أبتر الذنب، قلیل اللحم یأوی الماء أحیاناً، بالفارسیّة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کلنگ</w:t>
      </w:r>
      <w:r>
        <w:rPr>
          <w:rFonts w:eastAsia="IRNazanin" w:cs="IRNazanin"/>
          <w:b w:val="false"/>
          <w:bCs w:val="false"/>
          <w:i w:val="false"/>
          <w:iCs w:val="false"/>
          <w:color w:val="333333"/>
          <w:sz w:val="20"/>
          <w:szCs w:val="20"/>
          <w:rtl w:val="true"/>
        </w:rPr>
        <w:t>) .</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عصفور صغیر، وقیل اشتهر بالفارسیّة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برف 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الشیعة </w:t>
      </w:r>
      <w:r>
        <w:rPr>
          <w:rFonts w:eastAsia="IRNazanin" w:cs="IRNazanin"/>
          <w:b w:val="false"/>
          <w:bCs w:val="false"/>
          <w:i w:val="false"/>
          <w:iCs w:val="false"/>
          <w:color w:val="333333"/>
          <w:sz w:val="20"/>
          <w:szCs w:val="20"/>
        </w:rPr>
        <w:t>15:93</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تدلّ علیه صحیحة ابن سنان وروایة سماعة المتقدّمتان فی الصفحة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w:t>
      </w:r>
      <w:r>
        <w:rPr>
          <w:rFonts w:eastAsia="IRNazanin" w:cs="IRNazanin"/>
          <w:b w:val="false"/>
          <w:bCs w:val="false"/>
          <w:i w:val="false"/>
          <w:iCs w:val="false"/>
          <w:color w:val="333333"/>
          <w:sz w:val="20"/>
          <w:szCs w:val="20"/>
        </w:rPr>
        <w:t>16:158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الذبائح،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ولکن لم یتعرّض فیهما للتحریم ولم نعثر علی غیرهما</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16:354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الأطعمة المحرّمة، الحدیث الأوّل، مع تفاوت وإسقاط فی بعض الألفاظ، وانظر الحدیث فی الکافی </w:t>
      </w:r>
      <w:r>
        <w:rPr>
          <w:rFonts w:eastAsia="IRNazanin" w:cs="IRNazanin"/>
          <w:b w:val="false"/>
          <w:bCs w:val="false"/>
          <w:i w:val="false"/>
          <w:iCs w:val="false"/>
          <w:color w:val="333333"/>
          <w:sz w:val="20"/>
          <w:szCs w:val="20"/>
        </w:rPr>
        <w:t>6:250</w:t>
      </w:r>
      <w:r>
        <w:rPr>
          <w:rFonts w:ascii="IRNazanin" w:hAnsi="IRNazanin" w:eastAsia="IRNazanin"/>
          <w:b w:val="false"/>
          <w:b w:val="false"/>
          <w:bCs w:val="false"/>
          <w:i w:val="false"/>
          <w:i w:val="false"/>
          <w:iCs w:val="false"/>
          <w:color w:val="333333"/>
          <w:sz w:val="20"/>
          <w:sz w:val="20"/>
          <w:szCs w:val="20"/>
          <w:rtl w:val="true"/>
        </w:rPr>
        <w:t xml:space="preserve">، الحدیث الأوّل، والتهذیب </w:t>
      </w:r>
      <w:r>
        <w:rPr>
          <w:rFonts w:eastAsia="IRNazanin" w:cs="IRNazanin"/>
          <w:b w:val="false"/>
          <w:bCs w:val="false"/>
          <w:i w:val="false"/>
          <w:iCs w:val="false"/>
          <w:color w:val="333333"/>
          <w:sz w:val="20"/>
          <w:szCs w:val="20"/>
        </w:rPr>
        <w:t>9:45</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وفیه عن هشام بن سالم عن أبی عبد اللّٰه علیه السلام، ولکن فی الکافی وفی الاستبصار </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عن هشام بن سالم عن أبی حمزة عن أبی عبد اللّٰه علیه السلام</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16:354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الأطعمة المحرّمة،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المصدر السابق،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الأطعمة المحرّمة، وانظر المسالک </w:t>
      </w:r>
      <w:r>
        <w:rPr>
          <w:rFonts w:eastAsia="IRNazanin" w:cs="IRNazanin"/>
          <w:b w:val="false"/>
          <w:bCs w:val="false"/>
          <w:i w:val="false"/>
          <w:iCs w:val="false"/>
          <w:color w:val="333333"/>
          <w:sz w:val="20"/>
          <w:szCs w:val="20"/>
        </w:rPr>
        <w:t>12:27</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المختلف </w:t>
      </w:r>
      <w:r>
        <w:rPr>
          <w:rFonts w:eastAsia="IRNazanin" w:cs="IRNazanin"/>
          <w:b w:val="false"/>
          <w:bCs w:val="false"/>
          <w:i w:val="false"/>
          <w:iCs w:val="false"/>
          <w:color w:val="333333"/>
          <w:sz w:val="20"/>
          <w:szCs w:val="20"/>
        </w:rPr>
        <w:t>8:279</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الشیخ فی المبسوط </w:t>
      </w:r>
      <w:r>
        <w:rPr>
          <w:rFonts w:eastAsia="IRNazanin" w:cs="IRNazanin"/>
          <w:b w:val="false"/>
          <w:bCs w:val="false"/>
          <w:i w:val="false"/>
          <w:iCs w:val="false"/>
          <w:color w:val="333333"/>
          <w:sz w:val="20"/>
          <w:szCs w:val="20"/>
        </w:rPr>
        <w:t>6:282</w:t>
      </w:r>
      <w:r>
        <w:rPr>
          <w:rFonts w:ascii="IRNazanin" w:hAnsi="IRNazanin" w:eastAsia="IRNazanin"/>
          <w:b w:val="false"/>
          <w:b w:val="false"/>
          <w:bCs w:val="false"/>
          <w:i w:val="false"/>
          <w:i w:val="false"/>
          <w:iCs w:val="false"/>
          <w:color w:val="333333"/>
          <w:sz w:val="20"/>
          <w:sz w:val="20"/>
          <w:szCs w:val="20"/>
          <w:rtl w:val="true"/>
        </w:rPr>
        <w:t>، وتبعه الحلبی فی 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الشیخ أیضاً فی المبسوط </w:t>
      </w:r>
      <w:r>
        <w:rPr>
          <w:rFonts w:eastAsia="IRNazanin" w:cs="IRNazanin"/>
          <w:b w:val="false"/>
          <w:bCs w:val="false"/>
          <w:i w:val="false"/>
          <w:iCs w:val="false"/>
          <w:color w:val="333333"/>
          <w:sz w:val="20"/>
          <w:szCs w:val="20"/>
        </w:rPr>
        <w:t>6:282</w:t>
      </w:r>
      <w:r>
        <w:rPr>
          <w:rFonts w:ascii="IRNazanin" w:hAnsi="IRNazanin" w:eastAsia="IRNazanin"/>
          <w:b w:val="false"/>
          <w:b w:val="false"/>
          <w:bCs w:val="false"/>
          <w:i w:val="false"/>
          <w:i w:val="false"/>
          <w:iCs w:val="false"/>
          <w:color w:val="333333"/>
          <w:sz w:val="20"/>
          <w:sz w:val="20"/>
          <w:szCs w:val="20"/>
          <w:rtl w:val="true"/>
        </w:rPr>
        <w:t>، والحلبی فی 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المستند فی الوسائل </w:t>
      </w:r>
      <w:r>
        <w:rPr>
          <w:rFonts w:eastAsia="IRNazanin" w:cs="IRNazanin"/>
          <w:b w:val="false"/>
          <w:bCs w:val="false"/>
          <w:i w:val="false"/>
          <w:iCs w:val="false"/>
          <w:color w:val="333333"/>
          <w:sz w:val="20"/>
          <w:szCs w:val="20"/>
        </w:rPr>
        <w:t>16:356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الأطعمة المحرّمة، وانظر المسالک </w:t>
      </w:r>
      <w:r>
        <w:rPr>
          <w:rFonts w:eastAsia="IRNazanin" w:cs="IRNazanin"/>
          <w:b w:val="false"/>
          <w:bCs w:val="false"/>
          <w:i w:val="false"/>
          <w:iCs w:val="false"/>
          <w:color w:val="333333"/>
          <w:sz w:val="20"/>
          <w:szCs w:val="20"/>
        </w:rPr>
        <w:t>12:28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والمستدرک </w:t>
      </w:r>
      <w:r>
        <w:rPr>
          <w:rFonts w:eastAsia="IRNazanin" w:cs="IRNazanin"/>
          <w:b w:val="false"/>
          <w:bCs w:val="false"/>
          <w:i w:val="false"/>
          <w:iCs w:val="false"/>
          <w:color w:val="333333"/>
          <w:sz w:val="20"/>
          <w:szCs w:val="20"/>
        </w:rPr>
        <w:t>16:187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الأبواب</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16:352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الأطعمة المحرّمة، وانظر المسالک </w:t>
      </w:r>
      <w:r>
        <w:rPr>
          <w:rFonts w:eastAsia="IRNazanin" w:cs="IRNazanin"/>
          <w:b w:val="false"/>
          <w:bCs w:val="false"/>
          <w:i w:val="false"/>
          <w:iCs w:val="false"/>
          <w:color w:val="333333"/>
          <w:sz w:val="20"/>
          <w:szCs w:val="20"/>
        </w:rPr>
        <w:t>12:30</w:t>
      </w:r>
      <w:r>
        <w:rPr>
          <w:rFonts w:ascii="IRNazanin" w:hAnsi="IRNazanin" w:eastAsia="IRNazanin"/>
          <w:b w:val="false"/>
          <w:b w:val="false"/>
          <w:bCs w:val="false"/>
          <w:i w:val="false"/>
          <w:i w:val="false"/>
          <w:iCs w:val="false"/>
          <w:color w:val="333333"/>
          <w:sz w:val="20"/>
          <w:sz w:val="20"/>
          <w:szCs w:val="20"/>
          <w:rtl w:val="true"/>
        </w:rPr>
        <w:t xml:space="preserve">، والمستدرک </w:t>
      </w:r>
      <w:r>
        <w:rPr>
          <w:rFonts w:eastAsia="IRNazanin" w:cs="IRNazanin"/>
          <w:b w:val="false"/>
          <w:bCs w:val="false"/>
          <w:i w:val="false"/>
          <w:iCs w:val="false"/>
          <w:color w:val="333333"/>
          <w:sz w:val="20"/>
          <w:szCs w:val="20"/>
        </w:rPr>
        <w:t>16:185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الأبواب</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16:354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 وفیه حدیث واحد</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3:328</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وطؤه</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16:358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الأطعمة المحرّمة،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3:328</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16:352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 الحدیث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وضعفه بأبی جمیلة، المفضل بن 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فهارس المسالک </w:t>
      </w:r>
      <w:r>
        <w:rPr>
          <w:rFonts w:eastAsia="IRNazanin" w:cs="IRNazanin"/>
          <w:b w:val="false"/>
          <w:bCs w:val="false"/>
          <w:i w:val="false"/>
          <w:iCs w:val="false"/>
          <w:color w:val="333333"/>
          <w:sz w:val="20"/>
          <w:szCs w:val="20"/>
        </w:rPr>
        <w:t>16:297</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الشرائع </w:t>
      </w:r>
      <w:r>
        <w:rPr>
          <w:rFonts w:eastAsia="IRNazanin" w:cs="IRNazanin"/>
          <w:b w:val="false"/>
          <w:bCs w:val="false"/>
          <w:i w:val="false"/>
          <w:iCs w:val="false"/>
          <w:color w:val="333333"/>
          <w:sz w:val="20"/>
          <w:szCs w:val="20"/>
        </w:rPr>
        <w:t>3:219</w:t>
      </w:r>
      <w:r>
        <w:rPr>
          <w:rFonts w:ascii="IRNazanin" w:hAnsi="IRNazanin" w:eastAsia="IRNazanin"/>
          <w:b w:val="false"/>
          <w:b w:val="false"/>
          <w:bCs w:val="false"/>
          <w:i w:val="false"/>
          <w:i w:val="false"/>
          <w:iCs w:val="false"/>
          <w:color w:val="333333"/>
          <w:sz w:val="20"/>
          <w:sz w:val="20"/>
          <w:szCs w:val="20"/>
          <w:rtl w:val="true"/>
        </w:rPr>
        <w:t xml:space="preserve">، والقواعد </w:t>
      </w:r>
      <w:r>
        <w:rPr>
          <w:rFonts w:eastAsia="IRNazanin" w:cs="IRNazanin"/>
          <w:b w:val="false"/>
          <w:bCs w:val="false"/>
          <w:i w:val="false"/>
          <w:iCs w:val="false"/>
          <w:color w:val="333333"/>
          <w:sz w:val="20"/>
          <w:szCs w:val="20"/>
        </w:rPr>
        <w:t>3:328</w:t>
      </w:r>
      <w:r>
        <w:rPr>
          <w:rFonts w:ascii="IRNazanin" w:hAnsi="IRNazanin" w:eastAsia="IRNazanin"/>
          <w:b w:val="false"/>
          <w:b w:val="false"/>
          <w:bCs w:val="false"/>
          <w:i w:val="false"/>
          <w:i w:val="false"/>
          <w:iCs w:val="false"/>
          <w:color w:val="333333"/>
          <w:sz w:val="20"/>
          <w:sz w:val="20"/>
          <w:szCs w:val="20"/>
          <w:rtl w:val="true"/>
        </w:rPr>
        <w:t xml:space="preserve">، والتحریر </w:t>
      </w:r>
      <w:r>
        <w:rPr>
          <w:rFonts w:eastAsia="IRNazanin" w:cs="IRNazanin"/>
          <w:b w:val="false"/>
          <w:bCs w:val="false"/>
          <w:i w:val="false"/>
          <w:iCs w:val="false"/>
          <w:color w:val="333333"/>
          <w:sz w:val="20"/>
          <w:szCs w:val="20"/>
        </w:rPr>
        <w:t>4:633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6237</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روایة موسی بن أکیل عن بعض أصحابه عن أبی جعفر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16:352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الأطعمة المحرّمة،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هذا الفرق فی التنقیح الرائع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الظفر، ولم ترد فی مخطوطتی المتن أیضاً</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الحیوان، فإنّه یشمل الإنسان إذا لم یجمع بینهما</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Pr>
        <w:t>1:253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نفح</w:t>
      </w:r>
      <w:r>
        <w:rPr>
          <w:rFonts w:eastAsia="IRNazanin" w:cs="IRNazanin"/>
          <w:b w:val="false"/>
          <w:bCs w:val="false"/>
          <w:i w:val="false"/>
          <w:iCs w:val="false"/>
          <w:color w:val="333333"/>
          <w:sz w:val="20"/>
          <w:szCs w:val="20"/>
          <w:rtl w:val="true"/>
        </w:rPr>
        <w:t>) .</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1:412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نفح</w:t>
      </w:r>
      <w:r>
        <w:rPr>
          <w:rFonts w:eastAsia="IRNazanin" w:cs="IRNazanin"/>
          <w:b w:val="false"/>
          <w:bCs w:val="false"/>
          <w:i w:val="false"/>
          <w:iCs w:val="false"/>
          <w:color w:val="333333"/>
          <w:sz w:val="20"/>
          <w:szCs w:val="20"/>
          <w:rtl w:val="true"/>
        </w:rPr>
        <w:t>) .</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یرد فی المخطوطات</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اللغة </w:t>
      </w:r>
      <w:r>
        <w:rPr>
          <w:rFonts w:eastAsia="IRNazanin" w:cs="IRNazanin"/>
          <w:b w:val="false"/>
          <w:bCs w:val="false"/>
          <w:i w:val="false"/>
          <w:iCs w:val="false"/>
          <w:color w:val="333333"/>
          <w:sz w:val="20"/>
          <w:szCs w:val="20"/>
        </w:rPr>
        <w:t>1:556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نفح</w:t>
      </w:r>
      <w:r>
        <w:rPr>
          <w:rFonts w:eastAsia="IRNazanin" w:cs="IRNazanin"/>
          <w:b w:val="false"/>
          <w:bCs w:val="false"/>
          <w:i w:val="false"/>
          <w:iCs w:val="false"/>
          <w:color w:val="333333"/>
          <w:sz w:val="20"/>
          <w:szCs w:val="20"/>
          <w:rtl w:val="true"/>
        </w:rPr>
        <w:t>) .</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16:364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 الحدیث الأوّل</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Pr>
        <w:t>1:118</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اختاره الصدوق فی الهدایة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والمفید فی 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583</w:t>
      </w:r>
      <w:r>
        <w:rPr>
          <w:rFonts w:ascii="IRNazanin" w:hAnsi="IRNazanin" w:eastAsia="IRNazanin"/>
          <w:b w:val="false"/>
          <w:b w:val="false"/>
          <w:bCs w:val="false"/>
          <w:i w:val="false"/>
          <w:i w:val="false"/>
          <w:iCs w:val="false"/>
          <w:color w:val="333333"/>
          <w:sz w:val="20"/>
          <w:sz w:val="20"/>
          <w:szCs w:val="20"/>
          <w:rtl w:val="true"/>
        </w:rPr>
        <w:t>، والشیخ فی 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585</w:t>
      </w:r>
      <w:r>
        <w:rPr>
          <w:rFonts w:ascii="IRNazanin" w:hAnsi="IRNazanin" w:eastAsia="IRNazanin"/>
          <w:b w:val="false"/>
          <w:b w:val="false"/>
          <w:bCs w:val="false"/>
          <w:i w:val="false"/>
          <w:i w:val="false"/>
          <w:iCs w:val="false"/>
          <w:color w:val="333333"/>
          <w:sz w:val="20"/>
          <w:sz w:val="20"/>
          <w:szCs w:val="20"/>
          <w:rtl w:val="true"/>
        </w:rPr>
        <w:t xml:space="preserve">، ونسبه فی المسالک </w:t>
      </w:r>
      <w:r>
        <w:rPr>
          <w:rFonts w:eastAsia="IRNazanin" w:cs="IRNazanin"/>
          <w:b w:val="false"/>
          <w:bCs w:val="false"/>
          <w:i w:val="false"/>
          <w:iCs w:val="false"/>
          <w:color w:val="333333"/>
          <w:sz w:val="20"/>
          <w:szCs w:val="20"/>
        </w:rPr>
        <w:t>12:56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أکثر المتقدّمین وإلی جماعة من المتأخّرین</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16:366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الأطعمة المحرّمة،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خبر وهب بن وهب عن الصادق علیه السلام، راجع الوسائل </w:t>
      </w:r>
      <w:r>
        <w:rPr>
          <w:rFonts w:eastAsia="IRNazanin" w:cs="IRNazanin"/>
          <w:b w:val="false"/>
          <w:bCs w:val="false"/>
          <w:i w:val="false"/>
          <w:iCs w:val="false"/>
          <w:color w:val="333333"/>
          <w:sz w:val="20"/>
          <w:szCs w:val="20"/>
        </w:rPr>
        <w:t>16:367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الأطعمة المحرّمة،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ولکنّ المصرّح فیه الحرمة وواضح أنّ الحرمة من باب النجاسة</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والروایة ضعیفة السند جدّاً، فإنّ وهب الراوی ضعیف، قال النجاشی إنّه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کذّاب له أحادیث مع الرشید فی الکذب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المسالک </w:t>
      </w:r>
      <w:r>
        <w:rPr>
          <w:rFonts w:eastAsia="IRNazanin" w:cs="IRNazanin"/>
          <w:b w:val="false"/>
          <w:bCs w:val="false"/>
          <w:i w:val="false"/>
          <w:iCs w:val="false"/>
          <w:color w:val="333333"/>
          <w:sz w:val="20"/>
          <w:szCs w:val="20"/>
        </w:rPr>
        <w:t>12:57</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ابن إدریس فی السرائر </w:t>
      </w:r>
      <w:r>
        <w:rPr>
          <w:rFonts w:eastAsia="IRNazanin" w:cs="IRNazanin"/>
          <w:b w:val="false"/>
          <w:bCs w:val="false"/>
          <w:i w:val="false"/>
          <w:iCs w:val="false"/>
          <w:color w:val="333333"/>
          <w:sz w:val="20"/>
          <w:szCs w:val="20"/>
        </w:rPr>
        <w:t>3:112</w:t>
      </w:r>
      <w:r>
        <w:rPr>
          <w:rFonts w:ascii="IRNazanin" w:hAnsi="IRNazanin" w:eastAsia="IRNazanin"/>
          <w:b w:val="false"/>
          <w:b w:val="false"/>
          <w:bCs w:val="false"/>
          <w:i w:val="false"/>
          <w:i w:val="false"/>
          <w:iCs w:val="false"/>
          <w:color w:val="333333"/>
          <w:sz w:val="20"/>
          <w:sz w:val="20"/>
          <w:szCs w:val="20"/>
          <w:rtl w:val="true"/>
        </w:rPr>
        <w:t xml:space="preserve">، والعلّامة فی المختلف </w:t>
      </w:r>
      <w:r>
        <w:rPr>
          <w:rFonts w:eastAsia="IRNazanin" w:cs="IRNazanin"/>
          <w:b w:val="false"/>
          <w:bCs w:val="false"/>
          <w:i w:val="false"/>
          <w:iCs w:val="false"/>
          <w:color w:val="333333"/>
          <w:sz w:val="20"/>
          <w:szCs w:val="20"/>
        </w:rPr>
        <w:t>8:316</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اختاره الشیخ فی 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586</w:t>
      </w:r>
      <w:r>
        <w:rPr>
          <w:rFonts w:ascii="IRNazanin" w:hAnsi="IRNazanin" w:eastAsia="IRNazanin"/>
          <w:b w:val="false"/>
          <w:b w:val="false"/>
          <w:bCs w:val="false"/>
          <w:i w:val="false"/>
          <w:i w:val="false"/>
          <w:iCs w:val="false"/>
          <w:color w:val="333333"/>
          <w:sz w:val="20"/>
          <w:sz w:val="20"/>
          <w:szCs w:val="20"/>
          <w:rtl w:val="true"/>
        </w:rPr>
        <w:t>، وابن حمزة فی الوسیلة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والعلّامة فی المختلف </w:t>
      </w:r>
      <w:r>
        <w:rPr>
          <w:rFonts w:eastAsia="IRNazanin" w:cs="IRNazanin"/>
          <w:b w:val="false"/>
          <w:bCs w:val="false"/>
          <w:i w:val="false"/>
          <w:iCs w:val="false"/>
          <w:color w:val="333333"/>
          <w:sz w:val="20"/>
          <w:szCs w:val="20"/>
        </w:rPr>
        <w:t>8:319</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نبّه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مستنده صحیحة الحلبی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16:369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الأطعمة،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علی فائدةٍ وهی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المصنّف فی الدروس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جعل الروایة من الصحیح والعلّامة فی المختلف وغیره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8:320</w:t>
      </w:r>
      <w:r>
        <w:rPr>
          <w:rFonts w:ascii="IRNazanin" w:hAnsi="IRNazanin" w:eastAsia="IRNazanin"/>
          <w:b w:val="false"/>
          <w:b w:val="false"/>
          <w:bCs w:val="false"/>
          <w:i w:val="false"/>
          <w:i w:val="false"/>
          <w:iCs w:val="false"/>
          <w:color w:val="333333"/>
          <w:sz w:val="20"/>
          <w:sz w:val="20"/>
          <w:szCs w:val="20"/>
          <w:rtl w:val="true"/>
        </w:rPr>
        <w:t xml:space="preserve">، والتحریر </w:t>
      </w:r>
      <w:r>
        <w:rPr>
          <w:rFonts w:eastAsia="IRNazanin" w:cs="IRNazanin"/>
          <w:b w:val="false"/>
          <w:bCs w:val="false"/>
          <w:i w:val="false"/>
          <w:iCs w:val="false"/>
          <w:color w:val="333333"/>
          <w:sz w:val="20"/>
          <w:szCs w:val="20"/>
        </w:rPr>
        <w:t>4:639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جعلها من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وکلاهما حسنٌ؛ لأنّها وردت بطریقین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أحدهما حسنٌ، والآخر 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وکأنّ ما ذکره المصنّف من أ نّها صحیحةٌ أولی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 .</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القاضی فی المهذّب </w:t>
      </w:r>
      <w:r>
        <w:rPr>
          <w:rFonts w:eastAsia="IRNazanin" w:cs="IRNazanin"/>
          <w:b w:val="false"/>
          <w:bCs w:val="false"/>
          <w:i w:val="false"/>
          <w:iCs w:val="false"/>
          <w:color w:val="333333"/>
          <w:sz w:val="20"/>
          <w:szCs w:val="20"/>
        </w:rPr>
        <w:t>2:441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 وابن إدریس فی السرائر </w:t>
      </w:r>
      <w:r>
        <w:rPr>
          <w:rFonts w:eastAsia="IRNazanin" w:cs="IRNazanin"/>
          <w:b w:val="false"/>
          <w:bCs w:val="false"/>
          <w:i w:val="false"/>
          <w:iCs w:val="false"/>
          <w:color w:val="333333"/>
          <w:sz w:val="20"/>
          <w:szCs w:val="20"/>
        </w:rPr>
        <w:t>3:113</w:t>
      </w:r>
      <w:r>
        <w:rPr>
          <w:rFonts w:ascii="IRNazanin" w:hAnsi="IRNazanin" w:eastAsia="IRNazanin"/>
          <w:b w:val="false"/>
          <w:b w:val="false"/>
          <w:bCs w:val="false"/>
          <w:i w:val="false"/>
          <w:i w:val="false"/>
          <w:iCs w:val="false"/>
          <w:color w:val="333333"/>
          <w:sz w:val="20"/>
          <w:sz w:val="20"/>
          <w:szCs w:val="20"/>
          <w:rtl w:val="true"/>
        </w:rPr>
        <w:t xml:space="preserve">، وفخر المحقّقین فی الإیضاح </w:t>
      </w:r>
      <w:r>
        <w:rPr>
          <w:rFonts w:eastAsia="IRNazanin" w:cs="IRNazanin"/>
          <w:b w:val="false"/>
          <w:bCs w:val="false"/>
          <w:i w:val="false"/>
          <w:iCs w:val="false"/>
          <w:color w:val="333333"/>
          <w:sz w:val="20"/>
          <w:szCs w:val="20"/>
        </w:rPr>
        <w:t>4:161</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ما ورد فی روایة تحف العقول، وما روی عن النبیّ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إذا حرّم شیئاً حرّم ثمنه، وغیرهما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12:56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 ذیل الحدیث المروی عن تحف العقول، وعوالی اللآلئ </w:t>
      </w:r>
      <w:r>
        <w:rPr>
          <w:rFonts w:eastAsia="IRNazanin" w:cs="IRNazanin"/>
          <w:b w:val="false"/>
          <w:bCs w:val="false"/>
          <w:i w:val="false"/>
          <w:iCs w:val="false"/>
          <w:color w:val="333333"/>
          <w:sz w:val="20"/>
          <w:szCs w:val="20"/>
        </w:rPr>
        <w:t>2:110</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8:319</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3:223</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8:320</w:t>
      </w:r>
      <w:r>
        <w:rPr>
          <w:rFonts w:ascii="IRNazanin" w:hAnsi="IRNazanin" w:eastAsia="IRNazanin"/>
          <w:b w:val="false"/>
          <w:b w:val="false"/>
          <w:bCs w:val="false"/>
          <w:i w:val="false"/>
          <w:i w:val="false"/>
          <w:iCs w:val="false"/>
          <w:color w:val="333333"/>
          <w:sz w:val="20"/>
          <w:sz w:val="20"/>
          <w:szCs w:val="20"/>
          <w:rtl w:val="true"/>
        </w:rPr>
        <w:t xml:space="preserve">، والإرشاد </w:t>
      </w:r>
      <w:r>
        <w:rPr>
          <w:rFonts w:eastAsia="IRNazanin" w:cs="IRNazanin"/>
          <w:b w:val="false"/>
          <w:bCs w:val="false"/>
          <w:i w:val="false"/>
          <w:iCs w:val="false"/>
          <w:color w:val="333333"/>
          <w:sz w:val="20"/>
          <w:szCs w:val="20"/>
        </w:rPr>
        <w:t>2:113</w:t>
      </w:r>
      <w:r>
        <w:rPr>
          <w:rFonts w:ascii="IRNazanin" w:hAnsi="IRNazanin" w:eastAsia="IRNazanin"/>
          <w:b w:val="false"/>
          <w:b w:val="false"/>
          <w:bCs w:val="false"/>
          <w:i w:val="false"/>
          <w:i w:val="false"/>
          <w:iCs w:val="false"/>
          <w:color w:val="333333"/>
          <w:sz w:val="20"/>
          <w:sz w:val="20"/>
          <w:szCs w:val="20"/>
          <w:rtl w:val="true"/>
        </w:rPr>
        <w:t xml:space="preserve">، والتحریر </w:t>
      </w:r>
      <w:r>
        <w:rPr>
          <w:rFonts w:eastAsia="IRNazanin" w:cs="IRNazanin"/>
          <w:b w:val="false"/>
          <w:bCs w:val="false"/>
          <w:i w:val="false"/>
          <w:iCs w:val="false"/>
          <w:color w:val="333333"/>
          <w:sz w:val="20"/>
          <w:szCs w:val="20"/>
        </w:rPr>
        <w:t>4:639</w:t>
      </w:r>
      <w:r>
        <w:rPr>
          <w:rFonts w:ascii="IRNazanin" w:hAnsi="IRNazanin" w:eastAsia="IRNazanin"/>
          <w:b w:val="false"/>
          <w:b w:val="false"/>
          <w:bCs w:val="false"/>
          <w:i w:val="false"/>
          <w:i w:val="false"/>
          <w:iCs w:val="false"/>
          <w:color w:val="333333"/>
          <w:sz w:val="20"/>
          <w:sz w:val="20"/>
          <w:szCs w:val="20"/>
          <w:rtl w:val="true"/>
        </w:rPr>
        <w:t xml:space="preserve">، ذیل الرقم </w:t>
      </w:r>
      <w:r>
        <w:rPr>
          <w:rFonts w:eastAsia="IRNazanin" w:cs="IRNazanin"/>
          <w:b w:val="false"/>
          <w:bCs w:val="false"/>
          <w:i w:val="false"/>
          <w:iCs w:val="false"/>
          <w:color w:val="333333"/>
          <w:sz w:val="20"/>
          <w:szCs w:val="20"/>
        </w:rPr>
        <w:t>6254</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روایة الحلبی المتقدّمة آنفاً</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المخطوطات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ینضم</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3:1236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شجع</w:t>
      </w:r>
      <w:r>
        <w:rPr>
          <w:rFonts w:eastAsia="IRNazanin" w:cs="IRNazanin"/>
          <w:b w:val="false"/>
          <w:bCs w:val="false"/>
          <w:i w:val="false"/>
          <w:iCs w:val="false"/>
          <w:color w:val="333333"/>
          <w:sz w:val="20"/>
          <w:szCs w:val="20"/>
          <w:rtl w:val="true"/>
        </w:rPr>
        <w:t>) .</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3:111</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العلّامة فی القواعد </w:t>
      </w:r>
      <w:r>
        <w:rPr>
          <w:rFonts w:eastAsia="IRNazanin" w:cs="IRNazanin"/>
          <w:b w:val="false"/>
          <w:bCs w:val="false"/>
          <w:i w:val="false"/>
          <w:iCs w:val="false"/>
          <w:color w:val="333333"/>
          <w:sz w:val="20"/>
          <w:szCs w:val="20"/>
        </w:rPr>
        <w:t>3:329</w:t>
      </w:r>
      <w:r>
        <w:rPr>
          <w:rFonts w:ascii="IRNazanin" w:hAnsi="IRNazanin" w:eastAsia="IRNazanin"/>
          <w:b w:val="false"/>
          <w:b w:val="false"/>
          <w:bCs w:val="false"/>
          <w:i w:val="false"/>
          <w:i w:val="false"/>
          <w:iCs w:val="false"/>
          <w:color w:val="333333"/>
          <w:sz w:val="20"/>
          <w:sz w:val="20"/>
          <w:szCs w:val="20"/>
          <w:rtl w:val="true"/>
        </w:rPr>
        <w:t xml:space="preserve">، والشهید فی الدروس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وابن فهد الحلّی فی المهذّب البارع </w:t>
      </w:r>
      <w:r>
        <w:rPr>
          <w:rFonts w:eastAsia="IRNazanin" w:cs="IRNazanin"/>
          <w:b w:val="false"/>
          <w:bCs w:val="false"/>
          <w:i w:val="false"/>
          <w:iCs w:val="false"/>
          <w:color w:val="333333"/>
          <w:sz w:val="20"/>
          <w:szCs w:val="20"/>
        </w:rPr>
        <w:t>4:218</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16:359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المسالک </w:t>
      </w:r>
      <w:r>
        <w:rPr>
          <w:rFonts w:eastAsia="IRNazanin" w:cs="IRNazanin"/>
          <w:b w:val="false"/>
          <w:bCs w:val="false"/>
          <w:i w:val="false"/>
          <w:iCs w:val="false"/>
          <w:color w:val="333333"/>
          <w:sz w:val="20"/>
          <w:szCs w:val="20"/>
        </w:rPr>
        <w:t>12:61</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وهی الآیة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البقرة</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ادّعاه فی المهذّب البارع </w:t>
      </w:r>
      <w:r>
        <w:rPr>
          <w:rFonts w:eastAsia="IRNazanin" w:cs="IRNazanin"/>
          <w:b w:val="false"/>
          <w:bCs w:val="false"/>
          <w:i w:val="false"/>
          <w:iCs w:val="false"/>
          <w:color w:val="333333"/>
          <w:sz w:val="20"/>
          <w:szCs w:val="20"/>
        </w:rPr>
        <w:t>4:218</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حمل الروایات علی الکراهة</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8:315</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العلّامة فی المختلف </w:t>
      </w:r>
      <w:r>
        <w:rPr>
          <w:rFonts w:eastAsia="IRNazanin" w:cs="IRNazanin"/>
          <w:b w:val="false"/>
          <w:bCs w:val="false"/>
          <w:i w:val="false"/>
          <w:iCs w:val="false"/>
          <w:color w:val="333333"/>
          <w:sz w:val="20"/>
          <w:szCs w:val="20"/>
        </w:rPr>
        <w:t>8:314</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تمیّزه</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الجوهری فی الصحاح </w:t>
      </w:r>
      <w:r>
        <w:rPr>
          <w:rFonts w:eastAsia="IRNazanin" w:cs="IRNazanin"/>
          <w:b w:val="false"/>
          <w:bCs w:val="false"/>
          <w:i w:val="false"/>
          <w:iCs w:val="false"/>
          <w:color w:val="333333"/>
          <w:sz w:val="20"/>
          <w:szCs w:val="20"/>
        </w:rPr>
        <w:t>6:2475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کلی</w:t>
      </w:r>
      <w:r>
        <w:rPr>
          <w:rFonts w:eastAsia="IRNazanin" w:cs="IRNazanin"/>
          <w:b w:val="false"/>
          <w:bCs w:val="false"/>
          <w:i w:val="false"/>
          <w:iCs w:val="false"/>
          <w:color w:val="333333"/>
          <w:sz w:val="20"/>
          <w:szCs w:val="20"/>
          <w:rtl w:val="true"/>
        </w:rPr>
        <w:t>) .</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مطلقاً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16:379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 الحدیث الأوّل</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والمسکر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کالخمر والنبیذ</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17:224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الأشربة المحرّمة</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المحقّق فی الشرائع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والعلّامة فی المختلف </w:t>
      </w:r>
      <w:r>
        <w:rPr>
          <w:rFonts w:eastAsia="IRNazanin" w:cs="IRNazanin"/>
          <w:b w:val="false"/>
          <w:bCs w:val="false"/>
          <w:i w:val="false"/>
          <w:iCs w:val="false"/>
          <w:color w:val="333333"/>
          <w:sz w:val="20"/>
          <w:szCs w:val="20"/>
        </w:rPr>
        <w:t>1:469</w:t>
      </w:r>
      <w:r>
        <w:rPr>
          <w:rFonts w:ascii="IRNazanin" w:hAnsi="IRNazanin" w:eastAsia="IRNazanin"/>
          <w:b w:val="false"/>
          <w:b w:val="false"/>
          <w:bCs w:val="false"/>
          <w:i w:val="false"/>
          <w:i w:val="false"/>
          <w:iCs w:val="false"/>
          <w:color w:val="333333"/>
          <w:sz w:val="20"/>
          <w:sz w:val="20"/>
          <w:szCs w:val="20"/>
          <w:rtl w:val="true"/>
        </w:rPr>
        <w:t xml:space="preserve">، والقواعد </w:t>
      </w:r>
      <w:r>
        <w:rPr>
          <w:rFonts w:eastAsia="IRNazanin" w:cs="IRNazanin"/>
          <w:b w:val="false"/>
          <w:bCs w:val="false"/>
          <w:i w:val="false"/>
          <w:iCs w:val="false"/>
          <w:color w:val="333333"/>
          <w:sz w:val="20"/>
          <w:szCs w:val="20"/>
        </w:rPr>
        <w:t>1:191</w:t>
      </w:r>
      <w:r>
        <w:rPr>
          <w:rFonts w:ascii="IRNazanin" w:hAnsi="IRNazanin" w:eastAsia="IRNazanin"/>
          <w:b w:val="false"/>
          <w:b w:val="false"/>
          <w:bCs w:val="false"/>
          <w:i w:val="false"/>
          <w:i w:val="false"/>
          <w:iCs w:val="false"/>
          <w:color w:val="333333"/>
          <w:sz w:val="20"/>
          <w:sz w:val="20"/>
          <w:szCs w:val="20"/>
          <w:rtl w:val="true"/>
        </w:rPr>
        <w:t xml:space="preserve">، والإرشاد </w:t>
      </w:r>
      <w:r>
        <w:rPr>
          <w:rFonts w:eastAsia="IRNazanin" w:cs="IRNazanin"/>
          <w:b w:val="false"/>
          <w:bCs w:val="false"/>
          <w:i w:val="false"/>
          <w:iCs w:val="false"/>
          <w:color w:val="333333"/>
          <w:sz w:val="20"/>
          <w:szCs w:val="20"/>
        </w:rPr>
        <w:t>1:239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وغیرها، والمحقّق الکرکی فی رسائله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فی الدروس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یحرم المعتصر من الزبیب ما لم یحصل فیه نشیش، فیحلّ طبیخ الزبیب علی الأصحّ</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وحرّمه بعض مشایخنا المعاصرین، وهو مذهب بعض فضلائنا المتقدّمین</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17:236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الأشربة المحرّمة،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ضعف سنده بسهل بن زیاد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فهارس المسالک </w:t>
      </w:r>
      <w:r>
        <w:rPr>
          <w:rFonts w:eastAsia="IRNazanin" w:cs="IRNazanin"/>
          <w:b w:val="false"/>
          <w:bCs w:val="false"/>
          <w:i w:val="false"/>
          <w:iCs w:val="false"/>
          <w:color w:val="333333"/>
          <w:sz w:val="20"/>
          <w:szCs w:val="20"/>
        </w:rPr>
        <w:t>16:290</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وإن قلّ</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17:306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الأشربة المحرّمة،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17:287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الأبواب</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ابن فهد الحلّی فی المهذّب البارع </w:t>
      </w:r>
      <w:r>
        <w:rPr>
          <w:rFonts w:eastAsia="IRNazanin" w:cs="IRNazanin"/>
          <w:b w:val="false"/>
          <w:bCs w:val="false"/>
          <w:i w:val="false"/>
          <w:iCs w:val="false"/>
          <w:color w:val="333333"/>
          <w:sz w:val="20"/>
          <w:szCs w:val="20"/>
        </w:rPr>
        <w:t>4:227</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ذمّیّة</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16:393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الأطعمة المحرّمة،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الأطعمة المحرّمة،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16:395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الأبواب</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هکذا ورد فی غیره من الکتب، مثل المهذّب البارع </w:t>
      </w:r>
      <w:r>
        <w:rPr>
          <w:rFonts w:eastAsia="IRNazanin" w:cs="IRNazanin"/>
          <w:b w:val="false"/>
          <w:bCs w:val="false"/>
          <w:i w:val="false"/>
          <w:iCs w:val="false"/>
          <w:color w:val="333333"/>
          <w:sz w:val="20"/>
          <w:szCs w:val="20"/>
        </w:rPr>
        <w:t>4:220</w:t>
      </w:r>
      <w:r>
        <w:rPr>
          <w:rFonts w:ascii="IRNazanin" w:hAnsi="IRNazanin" w:eastAsia="IRNazanin"/>
          <w:b w:val="false"/>
          <w:b w:val="false"/>
          <w:bCs w:val="false"/>
          <w:i w:val="false"/>
          <w:i w:val="false"/>
          <w:iCs w:val="false"/>
          <w:color w:val="333333"/>
          <w:sz w:val="20"/>
          <w:sz w:val="20"/>
          <w:szCs w:val="20"/>
          <w:rtl w:val="true"/>
        </w:rPr>
        <w:t xml:space="preserve">، ولکن لم نعثر علیه فی الروایات کما اعترف به النراقی فی المستند </w:t>
      </w:r>
      <w:r>
        <w:rPr>
          <w:rFonts w:eastAsia="IRNazanin" w:cs="IRNazanin"/>
          <w:b w:val="false"/>
          <w:bCs w:val="false"/>
          <w:i w:val="false"/>
          <w:iCs w:val="false"/>
          <w:color w:val="333333"/>
          <w:sz w:val="20"/>
          <w:szCs w:val="20"/>
        </w:rPr>
        <w:t>15:166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ورد فی الروایات التحدید بخمسة فراسخ وأربعة أمیال وعشرة أمیال وغیرها، اُنظر الوسائل </w:t>
      </w:r>
      <w:r>
        <w:rPr>
          <w:rFonts w:eastAsia="IRNazanin" w:cs="IRNazanin"/>
          <w:b w:val="false"/>
          <w:bCs w:val="false"/>
          <w:i w:val="false"/>
          <w:iCs w:val="false"/>
          <w:color w:val="333333"/>
          <w:sz w:val="20"/>
          <w:szCs w:val="20"/>
        </w:rPr>
        <w:t>10:399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المزار، و </w:t>
      </w:r>
      <w:r>
        <w:rPr>
          <w:rFonts w:eastAsia="IRNazanin" w:cs="IRNazanin"/>
          <w:b w:val="false"/>
          <w:bCs w:val="false"/>
          <w:i w:val="false"/>
          <w:iCs w:val="false"/>
          <w:color w:val="333333"/>
          <w:sz w:val="20"/>
          <w:szCs w:val="20"/>
        </w:rPr>
        <w:t>16:395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هکذا ورد فی غیره من الکتب، مثل المهذّب البارع </w:t>
      </w:r>
      <w:r>
        <w:rPr>
          <w:rFonts w:eastAsia="IRNazanin" w:cs="IRNazanin"/>
          <w:b w:val="false"/>
          <w:bCs w:val="false"/>
          <w:i w:val="false"/>
          <w:iCs w:val="false"/>
          <w:color w:val="333333"/>
          <w:sz w:val="20"/>
          <w:szCs w:val="20"/>
        </w:rPr>
        <w:t>4:220</w:t>
      </w:r>
      <w:r>
        <w:rPr>
          <w:rFonts w:ascii="IRNazanin" w:hAnsi="IRNazanin" w:eastAsia="IRNazanin"/>
          <w:b w:val="false"/>
          <w:b w:val="false"/>
          <w:bCs w:val="false"/>
          <w:i w:val="false"/>
          <w:i w:val="false"/>
          <w:iCs w:val="false"/>
          <w:color w:val="333333"/>
          <w:sz w:val="20"/>
          <w:sz w:val="20"/>
          <w:szCs w:val="20"/>
          <w:rtl w:val="true"/>
        </w:rPr>
        <w:t xml:space="preserve">، ولکن لم نعثر علیه فی الروایات کما اعترف به النراقی فی المستند </w:t>
      </w:r>
      <w:r>
        <w:rPr>
          <w:rFonts w:eastAsia="IRNazanin" w:cs="IRNazanin"/>
          <w:b w:val="false"/>
          <w:bCs w:val="false"/>
          <w:i w:val="false"/>
          <w:iCs w:val="false"/>
          <w:color w:val="333333"/>
          <w:sz w:val="20"/>
          <w:szCs w:val="20"/>
        </w:rPr>
        <w:t>15:166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ورد فی الروایات التحدید بخمسة فراسخ وأربعة أمیال وعشرة أمیال وغیرها، اُنظر الوسائل </w:t>
      </w:r>
      <w:r>
        <w:rPr>
          <w:rFonts w:eastAsia="IRNazanin" w:cs="IRNazanin"/>
          <w:b w:val="false"/>
          <w:bCs w:val="false"/>
          <w:i w:val="false"/>
          <w:iCs w:val="false"/>
          <w:color w:val="333333"/>
          <w:sz w:val="20"/>
          <w:szCs w:val="20"/>
        </w:rPr>
        <w:t>10:399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المزار، و </w:t>
      </w:r>
      <w:r>
        <w:rPr>
          <w:rFonts w:eastAsia="IRNazanin" w:cs="IRNazanin"/>
          <w:b w:val="false"/>
          <w:bCs w:val="false"/>
          <w:i w:val="false"/>
          <w:iCs w:val="false"/>
          <w:color w:val="333333"/>
          <w:sz w:val="20"/>
          <w:szCs w:val="20"/>
        </w:rPr>
        <w:t>16:395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16:399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 الحدیث الأوّل</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قلیله</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دویبة تتعلّق بالبعیر ونحوه، وهی کالقمل للإنسان</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یرد فی المخطوطات</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النجس</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 فی کتبه ولا علی من نقل عنه</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فی التذکرة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والمنتهی </w:t>
      </w:r>
      <w:r>
        <w:rPr>
          <w:rFonts w:eastAsia="IRNazanin" w:cs="IRNazanin"/>
          <w:b w:val="false"/>
          <w:bCs w:val="false"/>
          <w:i w:val="false"/>
          <w:iCs w:val="false"/>
          <w:color w:val="333333"/>
          <w:sz w:val="20"/>
          <w:szCs w:val="20"/>
        </w:rPr>
        <w:t>3:291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والنهایة </w:t>
      </w:r>
      <w:r>
        <w:rPr>
          <w:rFonts w:eastAsia="IRNazanin" w:cs="IRNazanin"/>
          <w:b w:val="false"/>
          <w:bCs w:val="false"/>
          <w:i w:val="false"/>
          <w:iCs w:val="false"/>
          <w:color w:val="333333"/>
          <w:sz w:val="20"/>
          <w:szCs w:val="20"/>
        </w:rPr>
        <w:t>1:281</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1:120</w:t>
      </w:r>
      <w:r>
        <w:rPr>
          <w:rFonts w:ascii="IRNazanin" w:hAnsi="IRNazanin" w:eastAsia="IRNazanin"/>
          <w:b w:val="false"/>
          <w:b w:val="false"/>
          <w:bCs w:val="false"/>
          <w:i w:val="false"/>
          <w:i w:val="false"/>
          <w:iCs w:val="false"/>
          <w:color w:val="333333"/>
          <w:sz w:val="20"/>
          <w:sz w:val="20"/>
          <w:szCs w:val="20"/>
          <w:rtl w:val="true"/>
        </w:rPr>
        <w:t xml:space="preserve">، والذکری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الاُنثی من الأسد</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16:370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 الحدیث الأوّل</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حیث قال فی الموضع المتقدّم آنفاً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والعمل بالمشهور</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الإرشاد </w:t>
      </w:r>
      <w:r>
        <w:rPr>
          <w:rFonts w:eastAsia="IRNazanin" w:cs="IRNazanin"/>
          <w:b w:val="false"/>
          <w:bCs w:val="false"/>
          <w:i w:val="false"/>
          <w:iCs w:val="false"/>
          <w:color w:val="333333"/>
          <w:sz w:val="20"/>
          <w:szCs w:val="20"/>
        </w:rPr>
        <w:t>2:113</w:t>
      </w:r>
      <w:r>
        <w:rPr>
          <w:rFonts w:ascii="IRNazanin" w:hAnsi="IRNazanin" w:eastAsia="IRNazanin"/>
          <w:b w:val="false"/>
          <w:b w:val="false"/>
          <w:bCs w:val="false"/>
          <w:i w:val="false"/>
          <w:i w:val="false"/>
          <w:iCs w:val="false"/>
          <w:color w:val="333333"/>
          <w:sz w:val="20"/>
          <w:sz w:val="20"/>
          <w:szCs w:val="20"/>
          <w:rtl w:val="true"/>
        </w:rPr>
        <w:t xml:space="preserve">، والتحریر </w:t>
      </w:r>
      <w:r>
        <w:rPr>
          <w:rFonts w:eastAsia="IRNazanin" w:cs="IRNazanin"/>
          <w:b w:val="false"/>
          <w:bCs w:val="false"/>
          <w:i w:val="false"/>
          <w:iCs w:val="false"/>
          <w:color w:val="333333"/>
          <w:sz w:val="20"/>
          <w:szCs w:val="20"/>
        </w:rPr>
        <w:t>4:626</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6230</w:t>
      </w:r>
      <w:r>
        <w:rPr>
          <w:rFonts w:ascii="IRNazanin" w:hAnsi="IRNazanin" w:eastAsia="IRNazanin"/>
          <w:b w:val="false"/>
          <w:b w:val="false"/>
          <w:bCs w:val="false"/>
          <w:i w:val="false"/>
          <w:i w:val="false"/>
          <w:iCs w:val="false"/>
          <w:color w:val="333333"/>
          <w:sz w:val="20"/>
          <w:sz w:val="20"/>
          <w:szCs w:val="20"/>
          <w:rtl w:val="true"/>
        </w:rPr>
        <w:t xml:space="preserve">، والقواعد </w:t>
      </w:r>
      <w:r>
        <w:rPr>
          <w:rFonts w:eastAsia="IRNazanin" w:cs="IRNazanin"/>
          <w:b w:val="false"/>
          <w:bCs w:val="false"/>
          <w:i w:val="false"/>
          <w:iCs w:val="false"/>
          <w:color w:val="333333"/>
          <w:sz w:val="20"/>
          <w:szCs w:val="20"/>
        </w:rPr>
        <w:t>3:333</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قوله فی الشرائع </w:t>
      </w:r>
      <w:r>
        <w:rPr>
          <w:rFonts w:eastAsia="IRNazanin" w:cs="IRNazanin"/>
          <w:b w:val="false"/>
          <w:bCs w:val="false"/>
          <w:i w:val="false"/>
          <w:iCs w:val="false"/>
          <w:color w:val="333333"/>
          <w:sz w:val="20"/>
          <w:szCs w:val="20"/>
        </w:rPr>
        <w:t>3:227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حیث نسبه إلی قیل، المشعر بالتضعیف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والقول الآخر اختاره فی المختصر النافع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 إسماعیل بن عمر واقفیّ وشعیباً مطلق، وهو مشترک بین الثقة والممدوح والمهمل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12:97</w:t>
      </w:r>
      <w:r>
        <w:rPr>
          <w:rFonts w:eastAsia="IRNazanin" w:cs="IRNazanin"/>
          <w:b w:val="false"/>
          <w:bCs w:val="false"/>
          <w:i w:val="false"/>
          <w:iCs w:val="false"/>
          <w:color w:val="333333"/>
          <w:sz w:val="20"/>
          <w:szCs w:val="20"/>
          <w:rtl w:val="true"/>
        </w:rPr>
        <w:t>) .</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إناء من الخزف</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16:404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 الحدیث الأوّل</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العلّامة فی المختلف </w:t>
      </w:r>
      <w:r>
        <w:rPr>
          <w:rFonts w:eastAsia="IRNazanin" w:cs="IRNazanin"/>
          <w:b w:val="false"/>
          <w:bCs w:val="false"/>
          <w:i w:val="false"/>
          <w:iCs w:val="false"/>
          <w:color w:val="333333"/>
          <w:sz w:val="20"/>
          <w:szCs w:val="20"/>
        </w:rPr>
        <w:t>8:323</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اختیاراً أو اضطراراً، زال دسمه أم 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 .</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16:404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الأطعمة المحرّمة،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3:491</w:t>
      </w:r>
      <w:r>
        <w:rPr>
          <w:rFonts w:ascii="IRNazanin" w:hAnsi="IRNazanin" w:eastAsia="IRNazanin"/>
          <w:b w:val="false"/>
          <w:b w:val="false"/>
          <w:bCs w:val="false"/>
          <w:i w:val="false"/>
          <w:i w:val="false"/>
          <w:iCs w:val="false"/>
          <w:color w:val="333333"/>
          <w:sz w:val="20"/>
          <w:sz w:val="20"/>
          <w:szCs w:val="20"/>
          <w:rtl w:val="true"/>
        </w:rPr>
        <w:t xml:space="preserve">، ومجمع الزوائد </w:t>
      </w:r>
      <w:r>
        <w:rPr>
          <w:rFonts w:eastAsia="IRNazanin" w:cs="IRNazanin"/>
          <w:b w:val="false"/>
          <w:bCs w:val="false"/>
          <w:i w:val="false"/>
          <w:iCs w:val="false"/>
          <w:color w:val="333333"/>
          <w:sz w:val="20"/>
          <w:szCs w:val="20"/>
        </w:rPr>
        <w:t>4:172</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الکراهیة</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3:124</w:t>
      </w:r>
      <w:r>
        <w:rPr>
          <w:rFonts w:ascii="IRNazanin" w:hAnsi="IRNazanin" w:eastAsia="IRNazanin"/>
          <w:b w:val="false"/>
          <w:b w:val="false"/>
          <w:bCs w:val="false"/>
          <w:i w:val="false"/>
          <w:i w:val="false"/>
          <w:iCs w:val="false"/>
          <w:color w:val="333333"/>
          <w:sz w:val="20"/>
          <w:sz w:val="20"/>
          <w:szCs w:val="20"/>
          <w:rtl w:val="true"/>
        </w:rPr>
        <w:t>، ولکنّه نسب التفصیل بین ما یخشی فساده وبین ما لا یخشی إلی بعض الأصحاب وقال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عدم التفصیل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ولم نعثر علی غیره فیه</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الطبرسی فی مجمع البیان </w:t>
      </w:r>
      <w:r>
        <w:rPr>
          <w:rFonts w:eastAsia="IRNazanin" w:cs="IRNazanin"/>
          <w:b w:val="false"/>
          <w:bCs w:val="false"/>
          <w:i w:val="false"/>
          <w:iCs w:val="false"/>
          <w:color w:val="333333"/>
          <w:sz w:val="20"/>
          <w:szCs w:val="20"/>
        </w:rPr>
        <w:t>4:156</w:t>
      </w:r>
      <w:r>
        <w:rPr>
          <w:rFonts w:ascii="IRNazanin" w:hAnsi="IRNazanin" w:eastAsia="IRNazanin"/>
          <w:b w:val="false"/>
          <w:b w:val="false"/>
          <w:bCs w:val="false"/>
          <w:i w:val="false"/>
          <w:i w:val="false"/>
          <w:iCs w:val="false"/>
          <w:color w:val="333333"/>
          <w:sz w:val="20"/>
          <w:sz w:val="20"/>
          <w:szCs w:val="20"/>
          <w:rtl w:val="true"/>
        </w:rPr>
        <w:t xml:space="preserve">، والفخر الرازی فی تفسیره </w:t>
      </w:r>
      <w:r>
        <w:rPr>
          <w:rFonts w:eastAsia="IRNazanin" w:cs="IRNazanin"/>
          <w:b w:val="false"/>
          <w:bCs w:val="false"/>
          <w:i w:val="false"/>
          <w:iCs w:val="false"/>
          <w:color w:val="333333"/>
          <w:sz w:val="20"/>
          <w:szCs w:val="20"/>
        </w:rPr>
        <w:t>24:36</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الزمخشری فی الکشّاف </w:t>
      </w:r>
      <w:r>
        <w:rPr>
          <w:rFonts w:eastAsia="IRNazanin" w:cs="IRNazanin"/>
          <w:b w:val="false"/>
          <w:bCs w:val="false"/>
          <w:i w:val="false"/>
          <w:iCs w:val="false"/>
          <w:color w:val="333333"/>
          <w:sz w:val="20"/>
          <w:szCs w:val="20"/>
        </w:rPr>
        <w:t>3:256</w:t>
      </w:r>
      <w:r>
        <w:rPr>
          <w:rFonts w:ascii="IRNazanin" w:hAnsi="IRNazanin" w:eastAsia="IRNazanin"/>
          <w:b w:val="false"/>
          <w:b w:val="false"/>
          <w:bCs w:val="false"/>
          <w:i w:val="false"/>
          <w:i w:val="false"/>
          <w:iCs w:val="false"/>
          <w:color w:val="333333"/>
          <w:sz w:val="20"/>
          <w:sz w:val="20"/>
          <w:szCs w:val="20"/>
          <w:rtl w:val="true"/>
        </w:rPr>
        <w:t>، ونسبه الفخر فی تفسیره المتقدّم نفس الموضع إلی ابن قتیبة</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ورد فی الحدیث عن النبیّ صلی الله علیه و آله و سلم فی الوسائل </w:t>
      </w:r>
      <w:r>
        <w:rPr>
          <w:rFonts w:eastAsia="IRNazanin" w:cs="IRNazanin"/>
          <w:b w:val="false"/>
          <w:bCs w:val="false"/>
          <w:i w:val="false"/>
          <w:iCs w:val="false"/>
          <w:color w:val="333333"/>
          <w:sz w:val="20"/>
          <w:szCs w:val="20"/>
        </w:rPr>
        <w:t>12:195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 الأحادیث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مقدّمات التجارة،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16:465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المائدة،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الطبرسی فی مجمع البیان </w:t>
      </w:r>
      <w:r>
        <w:rPr>
          <w:rFonts w:eastAsia="IRNazanin" w:cs="IRNazanin"/>
          <w:b w:val="false"/>
          <w:bCs w:val="false"/>
          <w:i w:val="false"/>
          <w:iCs w:val="false"/>
          <w:color w:val="333333"/>
          <w:sz w:val="20"/>
          <w:szCs w:val="20"/>
        </w:rPr>
        <w:t>4:156</w:t>
      </w:r>
      <w:r>
        <w:rPr>
          <w:rFonts w:ascii="IRNazanin" w:hAnsi="IRNazanin" w:eastAsia="IRNazanin"/>
          <w:b w:val="false"/>
          <w:b w:val="false"/>
          <w:bCs w:val="false"/>
          <w:i w:val="false"/>
          <w:i w:val="false"/>
          <w:iCs w:val="false"/>
          <w:color w:val="333333"/>
          <w:sz w:val="20"/>
          <w:sz w:val="20"/>
          <w:szCs w:val="20"/>
          <w:rtl w:val="true"/>
        </w:rPr>
        <w:t xml:space="preserve">، والراوندی فی فقه القرآن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16:434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المائدة، الحدیث الأوّل</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الزمخشری فی الکشّاف </w:t>
      </w:r>
      <w:r>
        <w:rPr>
          <w:rFonts w:eastAsia="IRNazanin" w:cs="IRNazanin"/>
          <w:b w:val="false"/>
          <w:bCs w:val="false"/>
          <w:i w:val="false"/>
          <w:iCs w:val="false"/>
          <w:color w:val="333333"/>
          <w:sz w:val="20"/>
          <w:szCs w:val="20"/>
        </w:rPr>
        <w:t>3:257</w:t>
      </w:r>
      <w:r>
        <w:rPr>
          <w:rFonts w:ascii="IRNazanin" w:hAnsi="IRNazanin" w:eastAsia="IRNazanin"/>
          <w:b w:val="false"/>
          <w:b w:val="false"/>
          <w:bCs w:val="false"/>
          <w:i w:val="false"/>
          <w:i w:val="false"/>
          <w:iCs w:val="false"/>
          <w:color w:val="333333"/>
          <w:sz w:val="20"/>
          <w:sz w:val="20"/>
          <w:szCs w:val="20"/>
          <w:rtl w:val="true"/>
        </w:rPr>
        <w:t>، ونقله عنه الأردبیلی فی زبدة البیان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وفیهما بدل التفقّد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الثقة</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ینسب العبارة إلی المعصوم ولم نعثر علیها فی الجوامع الحدیثیّة من الخاصّة والعامّة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أ نّها مصطادة من الأحادیث، ویؤیّده ما قال ابن حمزة فی الوسیلة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وفیه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والرضاع لحمة کلحمة النسب لقوله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یحرم من الرضاع ما یحرم من النسب</w:t>
      </w:r>
      <w:r>
        <w:rPr>
          <w:rFonts w:eastAsia="IRNazanin" w:cs="IRNazanin"/>
          <w:b w:val="false"/>
          <w:bCs w:val="false"/>
          <w:i w:val="false"/>
          <w:iCs w:val="false"/>
          <w:color w:val="333333"/>
          <w:sz w:val="20"/>
          <w:szCs w:val="20"/>
          <w:rtl w:val="true"/>
        </w:rPr>
        <w:t>» .</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ابن فهد فی المهذّب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البارع </w:t>
      </w:r>
      <w:r>
        <w:rPr>
          <w:rFonts w:eastAsia="IRNazanin" w:cs="IRNazanin"/>
          <w:b w:val="false"/>
          <w:bCs w:val="false"/>
          <w:i w:val="false"/>
          <w:iCs w:val="false"/>
          <w:color w:val="333333"/>
          <w:sz w:val="20"/>
          <w:szCs w:val="20"/>
        </w:rPr>
        <w:t>4:237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 .</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العلّامة فی القواعد </w:t>
      </w:r>
      <w:r>
        <w:rPr>
          <w:rFonts w:eastAsia="IRNazanin" w:cs="IRNazanin"/>
          <w:b w:val="false"/>
          <w:bCs w:val="false"/>
          <w:i w:val="false"/>
          <w:iCs w:val="false"/>
          <w:color w:val="333333"/>
          <w:sz w:val="20"/>
          <w:szCs w:val="20"/>
        </w:rPr>
        <w:t>2:276</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17:296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الأشربة المحرّمة</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الأحادیث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الشرائع </w:t>
      </w:r>
      <w:r>
        <w:rPr>
          <w:rFonts w:eastAsia="IRNazanin" w:cs="IRNazanin"/>
          <w:b w:val="false"/>
          <w:bCs w:val="false"/>
          <w:i w:val="false"/>
          <w:iCs w:val="false"/>
          <w:color w:val="333333"/>
          <w:sz w:val="20"/>
          <w:szCs w:val="20"/>
        </w:rPr>
        <w:t>3:228</w:t>
      </w:r>
      <w:r>
        <w:rPr>
          <w:rFonts w:ascii="IRNazanin" w:hAnsi="IRNazanin" w:eastAsia="IRNazanin"/>
          <w:b w:val="false"/>
          <w:b w:val="false"/>
          <w:bCs w:val="false"/>
          <w:i w:val="false"/>
          <w:i w:val="false"/>
          <w:iCs w:val="false"/>
          <w:color w:val="333333"/>
          <w:sz w:val="20"/>
          <w:sz w:val="20"/>
          <w:szCs w:val="20"/>
          <w:rtl w:val="true"/>
        </w:rPr>
        <w:t xml:space="preserve">، والقواعد </w:t>
      </w:r>
      <w:r>
        <w:rPr>
          <w:rFonts w:eastAsia="IRNazanin" w:cs="IRNazanin"/>
          <w:b w:val="false"/>
          <w:bCs w:val="false"/>
          <w:i w:val="false"/>
          <w:iCs w:val="false"/>
          <w:color w:val="333333"/>
          <w:sz w:val="20"/>
          <w:szCs w:val="20"/>
        </w:rPr>
        <w:t>3:331</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لا من قِبَل نفسه</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17:297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الأشربة المحرّمة،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فی الطهارة بالعلاج</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علیه ولعلّ فی الدروس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یرتبط بذلک</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روایة أبی بصیر المتقدّمة</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المنسوب فی المجموع </w:t>
      </w:r>
      <w:r>
        <w:rPr>
          <w:rFonts w:eastAsia="IRNazanin" w:cs="IRNazanin"/>
          <w:b w:val="false"/>
          <w:bCs w:val="false"/>
          <w:i w:val="false"/>
          <w:iCs w:val="false"/>
          <w:color w:val="333333"/>
          <w:sz w:val="20"/>
          <w:szCs w:val="20"/>
        </w:rPr>
        <w:t>2:594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الأکثر</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17:293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الأشربة المحرّمة، الحدیث الأوّل</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الشیخ فی المبسوط </w:t>
      </w:r>
      <w:r>
        <w:rPr>
          <w:rFonts w:eastAsia="IRNazanin" w:cs="IRNazanin"/>
          <w:b w:val="false"/>
          <w:bCs w:val="false"/>
          <w:i w:val="false"/>
          <w:iCs w:val="false"/>
          <w:color w:val="333333"/>
          <w:sz w:val="20"/>
          <w:szCs w:val="20"/>
        </w:rPr>
        <w:t>6:288</w:t>
      </w:r>
      <w:r>
        <w:rPr>
          <w:rFonts w:ascii="IRNazanin" w:hAnsi="IRNazanin" w:eastAsia="IRNazanin"/>
          <w:b w:val="false"/>
          <w:b w:val="false"/>
          <w:bCs w:val="false"/>
          <w:i w:val="false"/>
          <w:i w:val="false"/>
          <w:iCs w:val="false"/>
          <w:color w:val="333333"/>
          <w:sz w:val="20"/>
          <w:sz w:val="20"/>
          <w:szCs w:val="20"/>
          <w:rtl w:val="true"/>
        </w:rPr>
        <w:t xml:space="preserve">، والخلاف </w:t>
      </w:r>
      <w:r>
        <w:rPr>
          <w:rFonts w:eastAsia="IRNazanin" w:cs="IRNazanin"/>
          <w:b w:val="false"/>
          <w:bCs w:val="false"/>
          <w:i w:val="false"/>
          <w:iCs w:val="false"/>
          <w:color w:val="333333"/>
          <w:sz w:val="20"/>
          <w:szCs w:val="20"/>
        </w:rPr>
        <w:t>6:97</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فی الشرائع </w:t>
      </w:r>
      <w:r>
        <w:rPr>
          <w:rFonts w:eastAsia="IRNazanin" w:cs="IRNazanin"/>
          <w:b w:val="false"/>
          <w:bCs w:val="false"/>
          <w:i w:val="false"/>
          <w:iCs w:val="false"/>
          <w:color w:val="333333"/>
          <w:sz w:val="20"/>
          <w:szCs w:val="20"/>
        </w:rPr>
        <w:t>3:231</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وهی الآیة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البقرة، والآیة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المائدة، والآیة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الأنعام</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17:274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الأشربة المحرّمة</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الأشربة المحرّمة،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8:342</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17:273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الأبواب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الأشربة المحرّمة، و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وغیرها من الأبواب</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الشهید فی الدروس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والفاضل المقداد فی کنز العرفان </w:t>
      </w:r>
      <w:r>
        <w:rPr>
          <w:rFonts w:eastAsia="IRNazanin" w:cs="IRNazanin"/>
          <w:b w:val="false"/>
          <w:bCs w:val="false"/>
          <w:i w:val="false"/>
          <w:iCs w:val="false"/>
          <w:color w:val="333333"/>
          <w:sz w:val="20"/>
          <w:szCs w:val="20"/>
        </w:rPr>
        <w:t>2:323</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الشهید فی الدروس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والفخر فی الإیضاح </w:t>
      </w:r>
      <w:r>
        <w:rPr>
          <w:rFonts w:eastAsia="IRNazanin" w:cs="IRNazanin"/>
          <w:b w:val="false"/>
          <w:bCs w:val="false"/>
          <w:i w:val="false"/>
          <w:iCs w:val="false"/>
          <w:color w:val="333333"/>
          <w:sz w:val="20"/>
          <w:szCs w:val="20"/>
        </w:rPr>
        <w:t>4:163</w:t>
      </w:r>
      <w:r>
        <w:rPr>
          <w:rFonts w:ascii="IRNazanin" w:hAnsi="IRNazanin" w:eastAsia="IRNazanin"/>
          <w:b w:val="false"/>
          <w:b w:val="false"/>
          <w:bCs w:val="false"/>
          <w:i w:val="false"/>
          <w:i w:val="false"/>
          <w:iCs w:val="false"/>
          <w:color w:val="333333"/>
          <w:sz w:val="20"/>
          <w:sz w:val="20"/>
          <w:szCs w:val="20"/>
          <w:rtl w:val="true"/>
        </w:rPr>
        <w:t xml:space="preserve">، والفاضل المقداد فی کنز العرفان </w:t>
      </w:r>
      <w:r>
        <w:rPr>
          <w:rFonts w:eastAsia="IRNazanin" w:cs="IRNazanin"/>
          <w:b w:val="false"/>
          <w:bCs w:val="false"/>
          <w:i w:val="false"/>
          <w:iCs w:val="false"/>
          <w:color w:val="333333"/>
          <w:sz w:val="20"/>
          <w:szCs w:val="20"/>
        </w:rPr>
        <w:t>2:323</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ضعیف بسهل بن زیاد، مرسل بروایة أحمد بن محمّد بن أبی نصر عمّن ذکره، راجع فهارس المسالک </w:t>
      </w:r>
      <w:r>
        <w:rPr>
          <w:rFonts w:eastAsia="IRNazanin" w:cs="IRNazanin"/>
          <w:b w:val="false"/>
          <w:bCs w:val="false"/>
          <w:i w:val="false"/>
          <w:iCs w:val="false"/>
          <w:color w:val="333333"/>
          <w:sz w:val="20"/>
          <w:szCs w:val="20"/>
        </w:rPr>
        <w:t>16:290</w:t>
      </w:r>
      <w:r>
        <w:rPr>
          <w:rFonts w:ascii="IRNazanin" w:hAnsi="IRNazanin" w:eastAsia="IRNazanin"/>
          <w:b w:val="false"/>
          <w:b w:val="false"/>
          <w:bCs w:val="false"/>
          <w:i w:val="false"/>
          <w:i w:val="false"/>
          <w:iCs w:val="false"/>
          <w:color w:val="333333"/>
          <w:sz w:val="20"/>
          <w:sz w:val="20"/>
          <w:szCs w:val="20"/>
          <w:rtl w:val="true"/>
        </w:rPr>
        <w:t xml:space="preserve">، والوسائل </w:t>
      </w:r>
      <w:r>
        <w:rPr>
          <w:rFonts w:eastAsia="IRNazanin" w:cs="IRNazanin"/>
          <w:b w:val="false"/>
          <w:bCs w:val="false"/>
          <w:i w:val="false"/>
          <w:iCs w:val="false"/>
          <w:color w:val="333333"/>
          <w:sz w:val="20"/>
          <w:szCs w:val="20"/>
        </w:rPr>
        <w:t>16:389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الأطعمة المحرّمة،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یرد فی المخطوطات</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1:257</w:t>
      </w:r>
      <w:r>
        <w:rPr>
          <w:rFonts w:ascii="IRNazanin" w:hAnsi="IRNazanin" w:eastAsia="IRNazanin"/>
          <w:b w:val="false"/>
          <w:b w:val="false"/>
          <w:bCs w:val="false"/>
          <w:i w:val="false"/>
          <w:i w:val="false"/>
          <w:iCs w:val="false"/>
          <w:color w:val="333333"/>
          <w:sz w:val="20"/>
          <w:sz w:val="20"/>
          <w:szCs w:val="20"/>
          <w:rtl w:val="true"/>
        </w:rPr>
        <w:t xml:space="preserve">، ذیل الآیة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البقرة</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ما أفاده الماتن سابقاً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خوف التلف أو المرض</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فی الشرائع </w:t>
      </w:r>
      <w:r>
        <w:rPr>
          <w:rFonts w:eastAsia="IRNazanin" w:cs="IRNazanin"/>
          <w:b w:val="false"/>
          <w:bCs w:val="false"/>
          <w:i w:val="false"/>
          <w:iCs w:val="false"/>
          <w:color w:val="333333"/>
          <w:sz w:val="20"/>
          <w:szCs w:val="20"/>
        </w:rPr>
        <w:t>3:230</w:t>
      </w:r>
      <w:r>
        <w:rPr>
          <w:rFonts w:ascii="IRNazanin" w:hAnsi="IRNazanin" w:eastAsia="IRNazanin"/>
          <w:b w:val="false"/>
          <w:b w:val="false"/>
          <w:bCs w:val="false"/>
          <w:i w:val="false"/>
          <w:i w:val="false"/>
          <w:iCs w:val="false"/>
          <w:color w:val="333333"/>
          <w:sz w:val="20"/>
          <w:sz w:val="20"/>
          <w:szCs w:val="20"/>
          <w:rtl w:val="true"/>
        </w:rPr>
        <w:t xml:space="preserve">، والعلّامة فی القواعد </w:t>
      </w:r>
      <w:r>
        <w:rPr>
          <w:rFonts w:eastAsia="IRNazanin" w:cs="IRNazanin"/>
          <w:b w:val="false"/>
          <w:bCs w:val="false"/>
          <w:i w:val="false"/>
          <w:iCs w:val="false"/>
          <w:color w:val="333333"/>
          <w:sz w:val="20"/>
          <w:szCs w:val="20"/>
        </w:rPr>
        <w:t>3:335</w:t>
      </w:r>
      <w:r>
        <w:rPr>
          <w:rFonts w:ascii="IRNazanin" w:hAnsi="IRNazanin" w:eastAsia="IRNazanin"/>
          <w:b w:val="false"/>
          <w:b w:val="false"/>
          <w:bCs w:val="false"/>
          <w:i w:val="false"/>
          <w:i w:val="false"/>
          <w:iCs w:val="false"/>
          <w:color w:val="333333"/>
          <w:sz w:val="20"/>
          <w:sz w:val="20"/>
          <w:szCs w:val="20"/>
          <w:rtl w:val="true"/>
        </w:rPr>
        <w:t xml:space="preserve">، والتحریر </w:t>
      </w:r>
      <w:r>
        <w:rPr>
          <w:rFonts w:eastAsia="IRNazanin" w:cs="IRNazanin"/>
          <w:b w:val="false"/>
          <w:bCs w:val="false"/>
          <w:i w:val="false"/>
          <w:iCs w:val="false"/>
          <w:color w:val="333333"/>
          <w:sz w:val="20"/>
          <w:szCs w:val="20"/>
        </w:rPr>
        <w:t>4:646</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6269</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الشیخ فی المبسوط </w:t>
      </w:r>
      <w:r>
        <w:rPr>
          <w:rFonts w:eastAsia="IRNazanin" w:cs="IRNazanin"/>
          <w:b w:val="false"/>
          <w:bCs w:val="false"/>
          <w:i w:val="false"/>
          <w:iCs w:val="false"/>
          <w:color w:val="333333"/>
          <w:sz w:val="20"/>
          <w:szCs w:val="20"/>
        </w:rPr>
        <w:t>6:286</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الشیخ فی الخلاف </w:t>
      </w:r>
      <w:r>
        <w:rPr>
          <w:rFonts w:eastAsia="IRNazanin" w:cs="IRNazanin"/>
          <w:b w:val="false"/>
          <w:bCs w:val="false"/>
          <w:i w:val="false"/>
          <w:iCs w:val="false"/>
          <w:color w:val="333333"/>
          <w:sz w:val="20"/>
          <w:szCs w:val="20"/>
        </w:rPr>
        <w:t>6:15</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یمتنع من بیعه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 .</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ما لو سمح به المالک</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لو تناوله قهراً</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غسل الأیدی</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ومسحها</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16:471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المائدة،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یدلّ علیه ما فی الوسائل </w:t>
      </w:r>
      <w:r>
        <w:rPr>
          <w:rFonts w:eastAsia="IRNazanin" w:cs="IRNazanin"/>
          <w:b w:val="false"/>
          <w:bCs w:val="false"/>
          <w:i w:val="false"/>
          <w:iCs w:val="false"/>
          <w:color w:val="333333"/>
          <w:sz w:val="20"/>
          <w:szCs w:val="20"/>
        </w:rPr>
        <w:t>16:476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المائدة</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وفی الوسائل والتهذیب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یُسمّوا</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16:482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المائدة، الحدیث الأوّل</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المائدة،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المائدة،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یرد فی المخطوطات</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16:486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المائدة، الحدیث الأوّل</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16:420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المائدة،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16:420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المائدة،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16:460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المائدة،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16:474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المائدة،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السهک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بالتحریک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ریح کریهة من عرق أو قیح أو سمک</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الریح المنتنة من لحم مختلط بالشحم</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16:474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المائدة، الحدیث الأوّل</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16:475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المائدة، الحدیث الأوّل</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المائدة،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16:412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المائدة، الحدیث الأوّل</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المائدة، الحدیث الأوّل</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حمله الشهید فی الدروس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حمله الشهید فی الدروس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16:419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المائدة،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16:405</w:t>
      </w:r>
      <w:r>
        <w:rPr>
          <w:rFonts w:ascii="IRNazanin" w:hAnsi="IRNazanin" w:eastAsia="IRNazanin"/>
          <w:b w:val="false"/>
          <w:b w:val="false"/>
          <w:bCs w:val="false"/>
          <w:i w:val="false"/>
          <w:i w:val="false"/>
          <w:iCs w:val="false"/>
          <w:color w:val="333333"/>
          <w:sz w:val="20"/>
          <w:sz w:val="20"/>
          <w:szCs w:val="20"/>
          <w:rtl w:val="true"/>
        </w:rPr>
        <w:t>، الباب الأوّل من أبواب المائدة، الحدیث الأوّل</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16:405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المائدة،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والباب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روی</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الاُصول </w:t>
      </w:r>
      <w:r>
        <w:rPr>
          <w:rFonts w:eastAsia="IRNazanin" w:cs="IRNazanin"/>
          <w:b w:val="false"/>
          <w:bCs w:val="false"/>
          <w:i w:val="false"/>
          <w:iCs w:val="false"/>
          <w:color w:val="333333"/>
          <w:sz w:val="20"/>
          <w:szCs w:val="20"/>
        </w:rPr>
        <w:t>9:108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6658</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أبی الحدید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16:401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الأطعمة المحرّمة،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16:401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الأطعمة المحرّمة،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17:260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الأشربة المحرّمة،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17:287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الأشربة المحرّمة</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3:337</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3:136</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الجزء الثانی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سوی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واو، بدون اللام</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ولا یخفی ما فی العبارة، والأولی أن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مفعال بمعنی الإرث أو بمعنی الموروث؛ لأنّ مبدأ الاشتقاق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ما اشتهر بین أهل الفنّ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إمّا المصدر أو اسم المصدر، ولم یُعهد منهم القول بالاشتقاق من اسم المفعول</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بحذف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شیئاً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المذکور فی التعریف الأوّل</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بمعنی المیراث</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القید لإخراج المنتسب بالزنا</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 الاشتراط نفیاً وإثباتاً ترتبط بعقد المنقطع وفیها أقوال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 بالمیراث، ولو اشترط نفی المیراث فلا یؤثّر، ذهب إلیه القاضی فی المهذّب </w:t>
      </w:r>
      <w:r>
        <w:rPr>
          <w:rFonts w:eastAsia="IRNazanin" w:cs="IRNazanin"/>
          <w:b w:val="false"/>
          <w:bCs w:val="false"/>
          <w:i w:val="false"/>
          <w:iCs w:val="false"/>
          <w:color w:val="333333"/>
          <w:sz w:val="20"/>
          <w:szCs w:val="20"/>
        </w:rPr>
        <w:t>2:240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وثانیها عکسه وهو أ نّه لا توارث فیه من الجانبین، سواء شَرطا فی العقد التوارث أو عدمه أو لم یشترطا شیئاً، ذهب إلیه أبو الصلاح فی 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والحلّی فی السرائر </w:t>
      </w:r>
      <w:r>
        <w:rPr>
          <w:rFonts w:eastAsia="IRNazanin" w:cs="IRNazanin"/>
          <w:b w:val="false"/>
          <w:bCs w:val="false"/>
          <w:i w:val="false"/>
          <w:iCs w:val="false"/>
          <w:color w:val="333333"/>
          <w:sz w:val="20"/>
          <w:szCs w:val="20"/>
        </w:rPr>
        <w:t>2:624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وثالثها إثبات الإرث مع الشرط وإلّا فلا، ذهب إلیه الشیخ فی 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وابن حمزة فی الوسیلة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ورابعها اقتضاء العقد التوارث ما لم یشترط سقوطه، ذهب إلیه العمانی کما نقل عنه العلّامة فی المختلف </w:t>
      </w:r>
      <w:r>
        <w:rPr>
          <w:rFonts w:eastAsia="IRNazanin" w:cs="IRNazanin"/>
          <w:b w:val="false"/>
          <w:bCs w:val="false"/>
          <w:i w:val="false"/>
          <w:iCs w:val="false"/>
          <w:color w:val="333333"/>
          <w:sz w:val="20"/>
          <w:szCs w:val="20"/>
        </w:rPr>
        <w:t>7:226</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کتاب اللعان والدیات</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جعلها</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یرد فی المخطوطات</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2:342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المورّث</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المورّث</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 إلیه الشیخ فی 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662</w:t>
      </w:r>
      <w:r>
        <w:rPr>
          <w:rFonts w:ascii="IRNazanin" w:hAnsi="IRNazanin" w:eastAsia="IRNazanin"/>
          <w:b w:val="false"/>
          <w:b w:val="false"/>
          <w:bCs w:val="false"/>
          <w:i w:val="false"/>
          <w:i w:val="false"/>
          <w:iCs w:val="false"/>
          <w:color w:val="333333"/>
          <w:sz w:val="20"/>
          <w:sz w:val="20"/>
          <w:szCs w:val="20"/>
          <w:rtl w:val="true"/>
        </w:rPr>
        <w:t xml:space="preserve">، وابن إدریس فی السرائر </w:t>
      </w:r>
      <w:r>
        <w:rPr>
          <w:rFonts w:eastAsia="IRNazanin" w:cs="IRNazanin"/>
          <w:b w:val="false"/>
          <w:bCs w:val="false"/>
          <w:i w:val="false"/>
          <w:iCs w:val="false"/>
          <w:color w:val="333333"/>
          <w:sz w:val="20"/>
          <w:szCs w:val="20"/>
        </w:rPr>
        <w:t>3:267</w:t>
      </w:r>
      <w:r>
        <w:rPr>
          <w:rFonts w:ascii="IRNazanin" w:hAnsi="IRNazanin" w:eastAsia="IRNazanin"/>
          <w:b w:val="false"/>
          <w:b w:val="false"/>
          <w:bCs w:val="false"/>
          <w:i w:val="false"/>
          <w:i w:val="false"/>
          <w:iCs w:val="false"/>
          <w:color w:val="333333"/>
          <w:sz w:val="20"/>
          <w:sz w:val="20"/>
          <w:szCs w:val="20"/>
          <w:rtl w:val="true"/>
        </w:rPr>
        <w:t xml:space="preserve">، کما نسبه إلیهما فی التنقیح الرائع </w:t>
      </w:r>
      <w:r>
        <w:rPr>
          <w:rFonts w:eastAsia="IRNazanin" w:cs="IRNazanin"/>
          <w:b w:val="false"/>
          <w:bCs w:val="false"/>
          <w:i w:val="false"/>
          <w:iCs w:val="false"/>
          <w:color w:val="333333"/>
          <w:sz w:val="20"/>
          <w:szCs w:val="20"/>
        </w:rPr>
        <w:t>4:133</w:t>
      </w:r>
      <w:r>
        <w:rPr>
          <w:rFonts w:ascii="IRNazanin" w:hAnsi="IRNazanin" w:eastAsia="IRNazanin"/>
          <w:b w:val="false"/>
          <w:b w:val="false"/>
          <w:bCs w:val="false"/>
          <w:i w:val="false"/>
          <w:i w:val="false"/>
          <w:iCs w:val="false"/>
          <w:color w:val="333333"/>
          <w:sz w:val="20"/>
          <w:sz w:val="20"/>
          <w:szCs w:val="20"/>
          <w:rtl w:val="true"/>
        </w:rPr>
        <w:t xml:space="preserve">، وکشف الرموز </w:t>
      </w:r>
      <w:r>
        <w:rPr>
          <w:rFonts w:eastAsia="IRNazanin" w:cs="IRNazanin"/>
          <w:b w:val="false"/>
          <w:bCs w:val="false"/>
          <w:i w:val="false"/>
          <w:iCs w:val="false"/>
          <w:color w:val="333333"/>
          <w:sz w:val="20"/>
          <w:szCs w:val="20"/>
        </w:rPr>
        <w:t>2:419</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 إلیه الشیخ فی المبسوط </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 وابن حمزة فی الوسیلة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والعلّامة فی الإرشاد </w:t>
      </w:r>
      <w:r>
        <w:rPr>
          <w:rFonts w:eastAsia="IRNazanin" w:cs="IRNazanin"/>
          <w:b w:val="false"/>
          <w:bCs w:val="false"/>
          <w:i w:val="false"/>
          <w:iCs w:val="false"/>
          <w:color w:val="333333"/>
          <w:sz w:val="20"/>
          <w:szCs w:val="20"/>
        </w:rPr>
        <w:t>2:127</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 إلیه المحقّق فی الشرائع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 وفخر المحقّقین فی الإیضاح </w:t>
      </w:r>
      <w:r>
        <w:rPr>
          <w:rFonts w:eastAsia="IRNazanin" w:cs="IRNazanin"/>
          <w:b w:val="false"/>
          <w:bCs w:val="false"/>
          <w:i w:val="false"/>
          <w:iCs w:val="false"/>
          <w:color w:val="333333"/>
          <w:sz w:val="20"/>
          <w:szCs w:val="20"/>
        </w:rPr>
        <w:t>4:175</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17:380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موانع الإرث، الحدیث الأوّل</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أعدلها، فإنّ الأوسط یطلق علی الأعدل، کما قال اللّٰه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أَوْسَطُهُمْ</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القلم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وهو ترجیح للوسط علی وجه لطیف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 .</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الصلاة، وکذا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الشرح</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المشکل خ ل</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یمکن</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w:t>
      </w:r>
      <w:r>
        <w:rPr>
          <w:rFonts w:eastAsia="IRNazanin" w:cs="IRNazanin"/>
          <w:b w:val="false"/>
          <w:bCs w:val="false"/>
          <w:i w:val="false"/>
          <w:iCs w:val="false"/>
          <w:color w:val="333333"/>
          <w:sz w:val="20"/>
          <w:szCs w:val="20"/>
        </w:rPr>
        <w:t>18:163</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حدّ المرتدّ،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w:t>
      </w:r>
      <w:r>
        <w:rPr>
          <w:rFonts w:eastAsia="IRNazanin" w:cs="IRNazanin"/>
          <w:b w:val="false"/>
          <w:bCs w:val="false"/>
          <w:i w:val="false"/>
          <w:iCs w:val="false"/>
          <w:color w:val="333333"/>
          <w:sz w:val="20"/>
          <w:szCs w:val="20"/>
        </w:rPr>
        <w:t>18:26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الحدود،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قید للوارث، یعنی لولا القتل کان وارثاً</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الموروث</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17:388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موانع الإرث، الحدیث الأوّل</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اختاره السیّد فی الانتصار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595</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والشیخ فی المبسوط </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والکیدری فی إصباح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والصیمری فی غایة المرام </w:t>
      </w:r>
      <w:r>
        <w:rPr>
          <w:rFonts w:eastAsia="IRNazanin" w:cs="IRNazanin"/>
          <w:b w:val="false"/>
          <w:bCs w:val="false"/>
          <w:i w:val="false"/>
          <w:iCs w:val="false"/>
          <w:color w:val="333333"/>
          <w:sz w:val="20"/>
          <w:szCs w:val="20"/>
        </w:rPr>
        <w:t>4:168</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النصّین فی الوسائل </w:t>
      </w:r>
      <w:r>
        <w:rPr>
          <w:rFonts w:eastAsia="IRNazanin" w:cs="IRNazanin"/>
          <w:b w:val="false"/>
          <w:bCs w:val="false"/>
          <w:i w:val="false"/>
          <w:iCs w:val="false"/>
          <w:color w:val="333333"/>
          <w:sz w:val="20"/>
          <w:szCs w:val="20"/>
        </w:rPr>
        <w:t>17:391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موانع الإرث</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المورث</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المعقوفتین لم یرد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وورد فی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مشطوباً علیه فی الأخیر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وعلی أیّ حال لم نتحقّق معنی عبارة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شیء من الموروث للقاتل یدفع إلیه</w:t>
      </w:r>
      <w:r>
        <w:rPr>
          <w:rFonts w:eastAsia="IRNazanin" w:cs="IRNazanin"/>
          <w:b w:val="false"/>
          <w:bCs w:val="false"/>
          <w:i w:val="false"/>
          <w:iCs w:val="false"/>
          <w:color w:val="333333"/>
          <w:sz w:val="20"/>
          <w:szCs w:val="20"/>
          <w:rtl w:val="true"/>
        </w:rPr>
        <w:t>» .</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سنن ابن ماجة </w:t>
      </w:r>
      <w:r>
        <w:rPr>
          <w:rFonts w:eastAsia="IRNazanin" w:cs="IRNazanin"/>
          <w:b w:val="false"/>
          <w:bCs w:val="false"/>
          <w:i w:val="false"/>
          <w:iCs w:val="false"/>
          <w:color w:val="333333"/>
          <w:sz w:val="20"/>
          <w:szCs w:val="20"/>
        </w:rPr>
        <w:t>2:914</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2736</w:t>
      </w:r>
      <w:r>
        <w:rPr>
          <w:rFonts w:ascii="IRNazanin" w:hAnsi="IRNazanin" w:eastAsia="IRNazanin"/>
          <w:b w:val="false"/>
          <w:b w:val="false"/>
          <w:bCs w:val="false"/>
          <w:i w:val="false"/>
          <w:i w:val="false"/>
          <w:iCs w:val="false"/>
          <w:color w:val="333333"/>
          <w:sz w:val="20"/>
          <w:sz w:val="20"/>
          <w:szCs w:val="20"/>
          <w:rtl w:val="true"/>
        </w:rPr>
        <w:t xml:space="preserve">؛ والسنن الکبری </w:t>
      </w:r>
      <w:r>
        <w:rPr>
          <w:rFonts w:eastAsia="IRNazanin" w:cs="IRNazanin"/>
          <w:b w:val="false"/>
          <w:bCs w:val="false"/>
          <w:i w:val="false"/>
          <w:iCs w:val="false"/>
          <w:color w:val="333333"/>
          <w:sz w:val="20"/>
          <w:szCs w:val="20"/>
        </w:rPr>
        <w:t>6:221</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المنسوب إلی ابن أبی عقیل، اُنظر المختلف </w:t>
      </w:r>
      <w:r>
        <w:rPr>
          <w:rFonts w:eastAsia="IRNazanin" w:cs="IRNazanin"/>
          <w:b w:val="false"/>
          <w:bCs w:val="false"/>
          <w:i w:val="false"/>
          <w:iCs w:val="false"/>
          <w:color w:val="333333"/>
          <w:sz w:val="20"/>
          <w:szCs w:val="20"/>
        </w:rPr>
        <w:t>9:65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والتنقیح الرائع </w:t>
      </w:r>
      <w:r>
        <w:rPr>
          <w:rFonts w:eastAsia="IRNazanin" w:cs="IRNazanin"/>
          <w:b w:val="false"/>
          <w:bCs w:val="false"/>
          <w:i w:val="false"/>
          <w:iCs w:val="false"/>
          <w:color w:val="333333"/>
          <w:sz w:val="20"/>
          <w:szCs w:val="20"/>
        </w:rPr>
        <w:t>4:139</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17:392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موانع الإرث،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703</w:t>
      </w:r>
      <w:r>
        <w:rPr>
          <w:rFonts w:ascii="IRNazanin" w:hAnsi="IRNazanin" w:eastAsia="IRNazanin"/>
          <w:b w:val="false"/>
          <w:b w:val="false"/>
          <w:bCs w:val="false"/>
          <w:i w:val="false"/>
          <w:i w:val="false"/>
          <w:iCs w:val="false"/>
          <w:color w:val="333333"/>
          <w:sz w:val="20"/>
          <w:sz w:val="20"/>
          <w:szCs w:val="20"/>
          <w:rtl w:val="true"/>
        </w:rPr>
        <w:t>، والمراسم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والجامع للشرائع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504</w:t>
      </w:r>
      <w:r>
        <w:rPr>
          <w:rFonts w:ascii="IRNazanin" w:hAnsi="IRNazanin" w:eastAsia="IRNazanin"/>
          <w:b w:val="false"/>
          <w:b w:val="false"/>
          <w:bCs w:val="false"/>
          <w:i w:val="false"/>
          <w:i w:val="false"/>
          <w:iCs w:val="false"/>
          <w:color w:val="333333"/>
          <w:sz w:val="20"/>
          <w:sz w:val="20"/>
          <w:szCs w:val="20"/>
          <w:rtl w:val="true"/>
        </w:rPr>
        <w:t>، والمختصر النافع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والشرائع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17:392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موانع الإرث،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الإلحاق بالعمد للعلّامة فی القواعد </w:t>
      </w:r>
      <w:r>
        <w:rPr>
          <w:rFonts w:eastAsia="IRNazanin" w:cs="IRNazanin"/>
          <w:b w:val="false"/>
          <w:bCs w:val="false"/>
          <w:i w:val="false"/>
          <w:iCs w:val="false"/>
          <w:color w:val="333333"/>
          <w:sz w:val="20"/>
          <w:szCs w:val="20"/>
        </w:rPr>
        <w:t>3:347</w:t>
      </w:r>
      <w:r>
        <w:rPr>
          <w:rFonts w:ascii="IRNazanin" w:hAnsi="IRNazanin" w:eastAsia="IRNazanin"/>
          <w:b w:val="false"/>
          <w:b w:val="false"/>
          <w:bCs w:val="false"/>
          <w:i w:val="false"/>
          <w:i w:val="false"/>
          <w:iCs w:val="false"/>
          <w:color w:val="333333"/>
          <w:sz w:val="20"/>
          <w:sz w:val="20"/>
          <w:szCs w:val="20"/>
          <w:rtl w:val="true"/>
        </w:rPr>
        <w:t xml:space="preserve">، وولده فی الإیضاح </w:t>
      </w:r>
      <w:r>
        <w:rPr>
          <w:rFonts w:eastAsia="IRNazanin" w:cs="IRNazanin"/>
          <w:b w:val="false"/>
          <w:bCs w:val="false"/>
          <w:i w:val="false"/>
          <w:iCs w:val="false"/>
          <w:color w:val="333333"/>
          <w:sz w:val="20"/>
          <w:szCs w:val="20"/>
        </w:rPr>
        <w:t>4:182</w:t>
      </w:r>
      <w:r>
        <w:rPr>
          <w:rFonts w:ascii="IRNazanin" w:hAnsi="IRNazanin" w:eastAsia="IRNazanin"/>
          <w:b w:val="false"/>
          <w:b w:val="false"/>
          <w:bCs w:val="false"/>
          <w:i w:val="false"/>
          <w:i w:val="false"/>
          <w:iCs w:val="false"/>
          <w:color w:val="333333"/>
          <w:sz w:val="20"/>
          <w:sz w:val="20"/>
          <w:szCs w:val="20"/>
          <w:rtl w:val="true"/>
        </w:rPr>
        <w:t xml:space="preserve">، ونسبه فیه إلی جدّه أیضاً، وحکاه فی المختلف </w:t>
      </w:r>
      <w:r>
        <w:rPr>
          <w:rFonts w:eastAsia="IRNazanin" w:cs="IRNazanin"/>
          <w:b w:val="false"/>
          <w:bCs w:val="false"/>
          <w:i w:val="false"/>
          <w:iCs w:val="false"/>
          <w:color w:val="333333"/>
          <w:sz w:val="20"/>
          <w:szCs w:val="20"/>
        </w:rPr>
        <w:t>9:67</w:t>
      </w:r>
      <w:r>
        <w:rPr>
          <w:rFonts w:ascii="IRNazanin" w:hAnsi="IRNazanin" w:eastAsia="IRNazanin"/>
          <w:b w:val="false"/>
          <w:b w:val="false"/>
          <w:bCs w:val="false"/>
          <w:i w:val="false"/>
          <w:i w:val="false"/>
          <w:iCs w:val="false"/>
          <w:color w:val="333333"/>
          <w:sz w:val="20"/>
          <w:sz w:val="20"/>
          <w:szCs w:val="20"/>
          <w:rtl w:val="true"/>
        </w:rPr>
        <w:t>، عن الإسکافی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والإلحاق بالخطأ لسلّار فی المراسم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والعلّامة فی المختلف </w:t>
      </w:r>
      <w:r>
        <w:rPr>
          <w:rFonts w:eastAsia="IRNazanin" w:cs="IRNazanin"/>
          <w:b w:val="false"/>
          <w:bCs w:val="false"/>
          <w:i w:val="false"/>
          <w:iCs w:val="false"/>
          <w:color w:val="333333"/>
          <w:sz w:val="20"/>
          <w:szCs w:val="20"/>
        </w:rPr>
        <w:t>9:68</w:t>
      </w:r>
      <w:r>
        <w:rPr>
          <w:rFonts w:ascii="IRNazanin" w:hAnsi="IRNazanin" w:eastAsia="IRNazanin"/>
          <w:b w:val="false"/>
          <w:b w:val="false"/>
          <w:bCs w:val="false"/>
          <w:i w:val="false"/>
          <w:i w:val="false"/>
          <w:iCs w:val="false"/>
          <w:color w:val="333333"/>
          <w:sz w:val="20"/>
          <w:sz w:val="20"/>
          <w:szCs w:val="20"/>
          <w:rtl w:val="true"/>
        </w:rPr>
        <w:t xml:space="preserve">، والتحریر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17:388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موانع الإرث</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والأحزاب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 بالإرث للشیخ فی المبسوط </w:t>
      </w:r>
      <w:r>
        <w:rPr>
          <w:rFonts w:eastAsia="IRNazanin" w:cs="IRNazanin"/>
          <w:b w:val="false"/>
          <w:bCs w:val="false"/>
          <w:i w:val="false"/>
          <w:iCs w:val="false"/>
          <w:color w:val="333333"/>
          <w:sz w:val="20"/>
          <w:szCs w:val="20"/>
        </w:rPr>
        <w:t>7:53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والخلاف </w:t>
      </w:r>
      <w:r>
        <w:rPr>
          <w:rFonts w:eastAsia="IRNazanin" w:cs="IRNazanin"/>
          <w:b w:val="false"/>
          <w:bCs w:val="false"/>
          <w:i w:val="false"/>
          <w:iCs w:val="false"/>
          <w:color w:val="333333"/>
          <w:sz w:val="20"/>
          <w:szCs w:val="20"/>
        </w:rPr>
        <w:t>4:114</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وابن‌إدریس فی أحد قولیه، اُنظر السرائر </w:t>
      </w:r>
      <w:r>
        <w:rPr>
          <w:rFonts w:eastAsia="IRNazanin" w:cs="IRNazanin"/>
          <w:b w:val="false"/>
          <w:bCs w:val="false"/>
          <w:i w:val="false"/>
          <w:iCs w:val="false"/>
          <w:color w:val="333333"/>
          <w:sz w:val="20"/>
          <w:szCs w:val="20"/>
        </w:rPr>
        <w:t>3:328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وقول بالعدم للمفید فی 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702</w:t>
      </w:r>
      <w:r>
        <w:rPr>
          <w:rFonts w:ascii="IRNazanin" w:hAnsi="IRNazanin" w:eastAsia="IRNazanin"/>
          <w:b w:val="false"/>
          <w:b w:val="false"/>
          <w:bCs w:val="false"/>
          <w:i w:val="false"/>
          <w:i w:val="false"/>
          <w:iCs w:val="false"/>
          <w:color w:val="333333"/>
          <w:sz w:val="20"/>
          <w:sz w:val="20"/>
          <w:szCs w:val="20"/>
          <w:rtl w:val="true"/>
        </w:rPr>
        <w:t>، والشیخ فی 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673</w:t>
      </w:r>
      <w:r>
        <w:rPr>
          <w:rFonts w:ascii="IRNazanin" w:hAnsi="IRNazanin" w:eastAsia="IRNazanin"/>
          <w:b w:val="false"/>
          <w:b w:val="false"/>
          <w:bCs w:val="false"/>
          <w:i w:val="false"/>
          <w:i w:val="false"/>
          <w:iCs w:val="false"/>
          <w:color w:val="333333"/>
          <w:sz w:val="20"/>
          <w:sz w:val="20"/>
          <w:szCs w:val="20"/>
          <w:rtl w:val="true"/>
        </w:rPr>
        <w:t>، والحلبی فی 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17:393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موانع الإرث،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2:348</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17:396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موانع الإرث،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المسالک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لا یرث الرقّ بأقسامه</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الصفحة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17:404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موانع الإرث</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 به الدیلمی فی المراسم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17:404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موانع الإرث، الأحادیث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المسالک </w:t>
      </w:r>
      <w:r>
        <w:rPr>
          <w:rFonts w:eastAsia="IRNazanin" w:cs="IRNazanin"/>
          <w:b w:val="false"/>
          <w:bCs w:val="false"/>
          <w:i w:val="false"/>
          <w:iCs w:val="false"/>
          <w:color w:val="333333"/>
          <w:sz w:val="20"/>
          <w:szCs w:val="20"/>
        </w:rPr>
        <w:t>13:54</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9:62</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16:56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العتق، وفیه حدیث واحد</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اختار القول الأشهر المفید فی 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695</w:t>
      </w:r>
      <w:r>
        <w:rPr>
          <w:rFonts w:ascii="IRNazanin" w:hAnsi="IRNazanin" w:eastAsia="IRNazanin"/>
          <w:b w:val="false"/>
          <w:b w:val="false"/>
          <w:bCs w:val="false"/>
          <w:i w:val="false"/>
          <w:i w:val="false"/>
          <w:iCs w:val="false"/>
          <w:color w:val="333333"/>
          <w:sz w:val="20"/>
          <w:sz w:val="20"/>
          <w:szCs w:val="20"/>
          <w:rtl w:val="true"/>
        </w:rPr>
        <w:t>، والشیخ فی 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668</w:t>
      </w:r>
      <w:r>
        <w:rPr>
          <w:rFonts w:ascii="IRNazanin" w:hAnsi="IRNazanin" w:eastAsia="IRNazanin"/>
          <w:b w:val="false"/>
          <w:b w:val="false"/>
          <w:bCs w:val="false"/>
          <w:i w:val="false"/>
          <w:i w:val="false"/>
          <w:iCs w:val="false"/>
          <w:color w:val="333333"/>
          <w:sz w:val="20"/>
          <w:sz w:val="20"/>
          <w:szCs w:val="20"/>
          <w:rtl w:val="true"/>
        </w:rPr>
        <w:t xml:space="preserve">، وابن إدریس فی السرائر </w:t>
      </w:r>
      <w:r>
        <w:rPr>
          <w:rFonts w:eastAsia="IRNazanin" w:cs="IRNazanin"/>
          <w:b w:val="false"/>
          <w:bCs w:val="false"/>
          <w:i w:val="false"/>
          <w:iCs w:val="false"/>
          <w:color w:val="333333"/>
          <w:sz w:val="20"/>
          <w:szCs w:val="20"/>
        </w:rPr>
        <w:t>3:272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والقول الآخر أ نّه یفکّ منه بحسبه، نقله الشیخ فی 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668</w:t>
      </w:r>
      <w:r>
        <w:rPr>
          <w:rFonts w:ascii="IRNazanin" w:hAnsi="IRNazanin" w:eastAsia="IRNazanin"/>
          <w:b w:val="false"/>
          <w:b w:val="false"/>
          <w:bCs w:val="false"/>
          <w:i w:val="false"/>
          <w:i w:val="false"/>
          <w:iCs w:val="false"/>
          <w:color w:val="333333"/>
          <w:sz w:val="20"/>
          <w:sz w:val="20"/>
          <w:szCs w:val="20"/>
          <w:rtl w:val="true"/>
        </w:rPr>
        <w:t>، عن بعض الأصحاب، وقال القاضی فی الجواهر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595</w:t>
      </w:r>
      <w:r>
        <w:rPr>
          <w:rFonts w:ascii="IRNazanin" w:hAnsi="IRNazanin" w:eastAsia="IRNazanin"/>
          <w:b w:val="false"/>
          <w:b w:val="false"/>
          <w:bCs w:val="false"/>
          <w:i w:val="false"/>
          <w:i w:val="false"/>
          <w:iCs w:val="false"/>
          <w:color w:val="333333"/>
          <w:sz w:val="20"/>
          <w:sz w:val="20"/>
          <w:szCs w:val="20"/>
          <w:rtl w:val="true"/>
        </w:rPr>
        <w:t xml:space="preserve">، فمن عمل بذلک لم یکن بذلک بأس، وقریب منه العلّامة فی المختلف </w:t>
      </w:r>
      <w:r>
        <w:rPr>
          <w:rFonts w:eastAsia="IRNazanin" w:cs="IRNazanin"/>
          <w:b w:val="false"/>
          <w:bCs w:val="false"/>
          <w:i w:val="false"/>
          <w:iCs w:val="false"/>
          <w:color w:val="333333"/>
          <w:sz w:val="20"/>
          <w:szCs w:val="20"/>
        </w:rPr>
        <w:t>9:63</w:t>
      </w:r>
      <w:r>
        <w:rPr>
          <w:rFonts w:ascii="IRNazanin" w:hAnsi="IRNazanin" w:eastAsia="IRNazanin"/>
          <w:b w:val="false"/>
          <w:b w:val="false"/>
          <w:bCs w:val="false"/>
          <w:i w:val="false"/>
          <w:i w:val="false"/>
          <w:iCs w:val="false"/>
          <w:color w:val="333333"/>
          <w:sz w:val="20"/>
          <w:sz w:val="20"/>
          <w:szCs w:val="20"/>
          <w:rtl w:val="true"/>
        </w:rPr>
        <w:t xml:space="preserve">، وإلیه جنح ولده فی الإیضاح </w:t>
      </w:r>
      <w:r>
        <w:rPr>
          <w:rFonts w:eastAsia="IRNazanin" w:cs="IRNazanin"/>
          <w:b w:val="false"/>
          <w:bCs w:val="false"/>
          <w:i w:val="false"/>
          <w:iCs w:val="false"/>
          <w:color w:val="333333"/>
          <w:sz w:val="20"/>
          <w:szCs w:val="20"/>
        </w:rPr>
        <w:t>4:185</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المخطوطات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علیه بعینه فی المجامیع الحدیثیّة، وفی عوالی اللآلئ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نقلاًعن الترمذی </w:t>
      </w:r>
      <w:r>
        <w:rPr>
          <w:rFonts w:eastAsia="IRNazanin" w:cs="IRNazanin"/>
          <w:b w:val="false"/>
          <w:bCs w:val="false"/>
          <w:i w:val="false"/>
          <w:iCs w:val="false"/>
          <w:color w:val="333333"/>
          <w:sz w:val="20"/>
          <w:szCs w:val="20"/>
        </w:rPr>
        <w:t>3:350</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1032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الطفل لا یصلّی علیه ولا یورث ولا یرث حتّی یستهلّ</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الموروث</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استهلّ الصبیّ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 عند الولادة</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17:582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میراث الخنثی، الأحادیث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وغیرها</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595</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من لا یحضره الفقیه </w:t>
      </w:r>
      <w:r>
        <w:rPr>
          <w:rFonts w:eastAsia="IRNazanin" w:cs="IRNazanin"/>
          <w:b w:val="false"/>
          <w:bCs w:val="false"/>
          <w:i w:val="false"/>
          <w:iCs w:val="false"/>
          <w:color w:val="333333"/>
          <w:sz w:val="20"/>
          <w:szCs w:val="20"/>
        </w:rPr>
        <w:t>4:330</w:t>
      </w:r>
      <w:r>
        <w:rPr>
          <w:rFonts w:ascii="IRNazanin" w:hAnsi="IRNazanin" w:eastAsia="IRNazanin"/>
          <w:b w:val="false"/>
          <w:b w:val="false"/>
          <w:bCs w:val="false"/>
          <w:i w:val="false"/>
          <w:i w:val="false"/>
          <w:iCs w:val="false"/>
          <w:color w:val="333333"/>
          <w:sz w:val="20"/>
          <w:sz w:val="20"/>
          <w:szCs w:val="20"/>
          <w:rtl w:val="true"/>
        </w:rPr>
        <w:t xml:space="preserve">، ذیل الحدیث </w:t>
      </w:r>
      <w:r>
        <w:rPr>
          <w:rFonts w:eastAsia="IRNazanin" w:cs="IRNazanin"/>
          <w:b w:val="false"/>
          <w:bCs w:val="false"/>
          <w:i w:val="false"/>
          <w:iCs w:val="false"/>
          <w:color w:val="333333"/>
          <w:sz w:val="20"/>
          <w:szCs w:val="20"/>
        </w:rPr>
        <w:t>5707</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595</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من لا یحضره الفقیه </w:t>
      </w:r>
      <w:r>
        <w:rPr>
          <w:rFonts w:eastAsia="IRNazanin" w:cs="IRNazanin"/>
          <w:b w:val="false"/>
          <w:bCs w:val="false"/>
          <w:i w:val="false"/>
          <w:iCs w:val="false"/>
          <w:color w:val="333333"/>
          <w:sz w:val="20"/>
          <w:szCs w:val="20"/>
        </w:rPr>
        <w:t>4:330</w:t>
      </w:r>
      <w:r>
        <w:rPr>
          <w:rFonts w:ascii="IRNazanin" w:hAnsi="IRNazanin" w:eastAsia="IRNazanin"/>
          <w:b w:val="false"/>
          <w:b w:val="false"/>
          <w:bCs w:val="false"/>
          <w:i w:val="false"/>
          <w:i w:val="false"/>
          <w:iCs w:val="false"/>
          <w:color w:val="333333"/>
          <w:sz w:val="20"/>
          <w:sz w:val="20"/>
          <w:szCs w:val="20"/>
          <w:rtl w:val="true"/>
        </w:rPr>
        <w:t xml:space="preserve">، ذیل الحدیث </w:t>
      </w:r>
      <w:r>
        <w:rPr>
          <w:rFonts w:eastAsia="IRNazanin" w:cs="IRNazanin"/>
          <w:b w:val="false"/>
          <w:bCs w:val="false"/>
          <w:i w:val="false"/>
          <w:iCs w:val="false"/>
          <w:color w:val="333333"/>
          <w:sz w:val="20"/>
          <w:szCs w:val="20"/>
        </w:rPr>
        <w:t>5707</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2:352</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9:96</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17:583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میراث الخنثی، الحدیثین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الحکم السابق فی الجزء الثالث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الإسکافی، کما نقله عنه فی المختلف </w:t>
      </w:r>
      <w:r>
        <w:rPr>
          <w:rFonts w:eastAsia="IRNazanin" w:cs="IRNazanin"/>
          <w:b w:val="false"/>
          <w:bCs w:val="false"/>
          <w:i w:val="false"/>
          <w:iCs w:val="false"/>
          <w:color w:val="333333"/>
          <w:sz w:val="20"/>
          <w:szCs w:val="20"/>
        </w:rPr>
        <w:t>9:95</w:t>
      </w:r>
      <w:r>
        <w:rPr>
          <w:rFonts w:ascii="IRNazanin" w:hAnsi="IRNazanin" w:eastAsia="IRNazanin"/>
          <w:b w:val="false"/>
          <w:b w:val="false"/>
          <w:bCs w:val="false"/>
          <w:i w:val="false"/>
          <w:i w:val="false"/>
          <w:iCs w:val="false"/>
          <w:color w:val="333333"/>
          <w:sz w:val="20"/>
          <w:sz w:val="20"/>
          <w:szCs w:val="20"/>
          <w:rtl w:val="true"/>
        </w:rPr>
        <w:t>، وقاله المفید فی 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شراء العقار</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17:584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میراث الخنثی،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أیّ طبقة کان</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اتّصل</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17:509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میراث الأعمام،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اختار ذلک ابن إدریس فی السرائر </w:t>
      </w:r>
      <w:r>
        <w:rPr>
          <w:rFonts w:eastAsia="IRNazanin" w:cs="IRNazanin"/>
          <w:b w:val="false"/>
          <w:bCs w:val="false"/>
          <w:i w:val="false"/>
          <w:iCs w:val="false"/>
          <w:color w:val="333333"/>
          <w:sz w:val="20"/>
          <w:szCs w:val="20"/>
        </w:rPr>
        <w:t>3:241</w:t>
      </w:r>
      <w:r>
        <w:rPr>
          <w:rFonts w:ascii="IRNazanin" w:hAnsi="IRNazanin" w:eastAsia="IRNazanin"/>
          <w:b w:val="false"/>
          <w:b w:val="false"/>
          <w:bCs w:val="false"/>
          <w:i w:val="false"/>
          <w:i w:val="false"/>
          <w:iCs w:val="false"/>
          <w:color w:val="333333"/>
          <w:sz w:val="20"/>
          <w:sz w:val="20"/>
          <w:szCs w:val="20"/>
          <w:rtl w:val="true"/>
        </w:rPr>
        <w:t>، وابن سعید فی الجامع للشرائع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518</w:t>
      </w:r>
      <w:r>
        <w:rPr>
          <w:rFonts w:ascii="IRNazanin" w:hAnsi="IRNazanin" w:eastAsia="IRNazanin"/>
          <w:b w:val="false"/>
          <w:b w:val="false"/>
          <w:bCs w:val="false"/>
          <w:i w:val="false"/>
          <w:i w:val="false"/>
          <w:iCs w:val="false"/>
          <w:color w:val="333333"/>
          <w:sz w:val="20"/>
          <w:sz w:val="20"/>
          <w:szCs w:val="20"/>
          <w:rtl w:val="true"/>
        </w:rPr>
        <w:t xml:space="preserve">، والعلّامة فی القواعد </w:t>
      </w:r>
      <w:r>
        <w:rPr>
          <w:rFonts w:eastAsia="IRNazanin" w:cs="IRNazanin"/>
          <w:b w:val="false"/>
          <w:bCs w:val="false"/>
          <w:i w:val="false"/>
          <w:iCs w:val="false"/>
          <w:color w:val="333333"/>
          <w:sz w:val="20"/>
          <w:szCs w:val="20"/>
        </w:rPr>
        <w:t>3:370</w:t>
      </w:r>
      <w:r>
        <w:rPr>
          <w:rFonts w:ascii="IRNazanin" w:hAnsi="IRNazanin" w:eastAsia="IRNazanin"/>
          <w:b w:val="false"/>
          <w:b w:val="false"/>
          <w:bCs w:val="false"/>
          <w:i w:val="false"/>
          <w:i w:val="false"/>
          <w:iCs w:val="false"/>
          <w:color w:val="333333"/>
          <w:sz w:val="20"/>
          <w:sz w:val="20"/>
          <w:szCs w:val="20"/>
          <w:rtl w:val="true"/>
        </w:rPr>
        <w:t>، وغیرهم</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الاستبصار </w:t>
      </w:r>
      <w:r>
        <w:rPr>
          <w:rFonts w:eastAsia="IRNazanin" w:cs="IRNazanin"/>
          <w:b w:val="false"/>
          <w:bCs w:val="false"/>
          <w:i w:val="false"/>
          <w:iCs w:val="false"/>
          <w:color w:val="333333"/>
          <w:sz w:val="20"/>
          <w:szCs w:val="20"/>
        </w:rPr>
        <w:t>4:170</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وذیله</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3:241</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والأصل فی النقل هو العلّامة فی المختلف </w:t>
      </w:r>
      <w:r>
        <w:rPr>
          <w:rFonts w:eastAsia="IRNazanin" w:cs="IRNazanin"/>
          <w:b w:val="false"/>
          <w:bCs w:val="false"/>
          <w:i w:val="false"/>
          <w:iCs w:val="false"/>
          <w:color w:val="333333"/>
          <w:sz w:val="20"/>
          <w:szCs w:val="20"/>
        </w:rPr>
        <w:t>9:25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العماد القمّی یعرف بالطوسی، وفی المسالک 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الوجه ینسب إلی العماد ابن حمزة القمّی المعروف بالطبرسی، اُنظر المسالک </w:t>
      </w:r>
      <w:r>
        <w:rPr>
          <w:rFonts w:eastAsia="IRNazanin" w:cs="IRNazanin"/>
          <w:b w:val="false"/>
          <w:bCs w:val="false"/>
          <w:i w:val="false"/>
          <w:iCs w:val="false"/>
          <w:color w:val="333333"/>
          <w:sz w:val="20"/>
          <w:szCs w:val="20"/>
        </w:rPr>
        <w:t>13:160</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2:336</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عنهما العلّامة فی المختلف </w:t>
      </w:r>
      <w:r>
        <w:rPr>
          <w:rFonts w:eastAsia="IRNazanin" w:cs="IRNazanin"/>
          <w:b w:val="false"/>
          <w:bCs w:val="false"/>
          <w:i w:val="false"/>
          <w:iCs w:val="false"/>
          <w:color w:val="333333"/>
          <w:sz w:val="20"/>
          <w:szCs w:val="20"/>
        </w:rPr>
        <w:t>9:25</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عنهما العلّامة فی المختلف </w:t>
      </w:r>
      <w:r>
        <w:rPr>
          <w:rFonts w:eastAsia="IRNazanin" w:cs="IRNazanin"/>
          <w:b w:val="false"/>
          <w:bCs w:val="false"/>
          <w:i w:val="false"/>
          <w:iCs w:val="false"/>
          <w:color w:val="333333"/>
          <w:sz w:val="20"/>
          <w:szCs w:val="20"/>
        </w:rPr>
        <w:t>9:25</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تغیّر الحکم فیما خرج عن المنصوص</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9:27</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نعرف عنها شیئاً إلّاما جاء فی الذریعة </w:t>
      </w:r>
      <w:r>
        <w:rPr>
          <w:rFonts w:eastAsia="IRNazanin" w:cs="IRNazanin"/>
          <w:b w:val="false"/>
          <w:bCs w:val="false"/>
          <w:i w:val="false"/>
          <w:iCs w:val="false"/>
          <w:color w:val="333333"/>
          <w:sz w:val="20"/>
          <w:szCs w:val="20"/>
        </w:rPr>
        <w:t>2:364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رسالة القطب الراوندی المسمّاة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الإنجاز فی شرح الإیجاز فی الفرائض</w:t>
      </w:r>
      <w:r>
        <w:rPr>
          <w:rFonts w:eastAsia="IRNazanin" w:cs="IRNazanin"/>
          <w:b w:val="false"/>
          <w:bCs w:val="false"/>
          <w:i w:val="false"/>
          <w:iCs w:val="false"/>
          <w:color w:val="333333"/>
          <w:sz w:val="20"/>
          <w:szCs w:val="20"/>
          <w:rtl w:val="true"/>
        </w:rPr>
        <w:t>) .</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یأتی فی المسألة الثانیة من مسائل خمس</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منسوب إلی الإسکافی کما فی المختلف </w:t>
      </w:r>
      <w:r>
        <w:rPr>
          <w:rFonts w:eastAsia="IRNazanin" w:cs="IRNazanin"/>
          <w:b w:val="false"/>
          <w:bCs w:val="false"/>
          <w:i w:val="false"/>
          <w:iCs w:val="false"/>
          <w:color w:val="333333"/>
          <w:sz w:val="20"/>
          <w:szCs w:val="20"/>
        </w:rPr>
        <w:t>9:103</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17:465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میراث الأبوین والأولاد،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بضعف سندها؛ لأنّ فی طریقها الحسن بن سماعة، راجع المسالک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بشرط</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2:357</w:t>
      </w:r>
      <w:r>
        <w:rPr>
          <w:rFonts w:ascii="IRNazanin" w:hAnsi="IRNazanin" w:eastAsia="IRNazanin"/>
          <w:b w:val="false"/>
          <w:b w:val="false"/>
          <w:bCs w:val="false"/>
          <w:i w:val="false"/>
          <w:i w:val="false"/>
          <w:iCs w:val="false"/>
          <w:color w:val="333333"/>
          <w:sz w:val="20"/>
          <w:sz w:val="20"/>
          <w:szCs w:val="20"/>
          <w:rtl w:val="true"/>
        </w:rPr>
        <w:t>، وفیه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ویحتمل قویّاً القرعة هنا</w:t>
      </w:r>
      <w:r>
        <w:rPr>
          <w:rFonts w:eastAsia="IRNazanin" w:cs="IRNazanin"/>
          <w:b w:val="false"/>
          <w:bCs w:val="false"/>
          <w:i w:val="false"/>
          <w:iCs w:val="false"/>
          <w:color w:val="333333"/>
          <w:sz w:val="20"/>
          <w:szCs w:val="20"/>
          <w:rtl w:val="true"/>
        </w:rPr>
        <w:t>» .</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2:357</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2:357</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بالجواهر</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ممکناً وممتنعاً</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ضابط التکرار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الأوّل یأتی فی جمیع الفروض، فلا تکرار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والثانی وهو الربع یتکرّر مع النصف؛ لدخوله فی أقسامه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والثالث وهو الثمن یتکرّر مع السابقین؛ لدخوله فی أقسامهما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والرابع یتکرّر مع الثلاثة السابقة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والخامس مع الأربعة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والسادس مع الخمسة، وذلک خمسة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بعض ما تکرّر یمکن فرضه، بعضها ممتنع، ویبقی من الممتنع ثمان کما ذکر، والباقی ممکن ولا تکرار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ولهذا یظهر فساد ما ذکره المقداد فی التنقیح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تقسیم هذه السهام وجدوله یخالف ما ذکره فی کلامه، فتأمّل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 .</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قول العامّة والخاصّة</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ولا یخفی قصور العبارة عن تأدیة المراد</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طبقته</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17:431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موجبات الإرث</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الذی قد یظهر من کلام سلّار فی المراسم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واُنظر الإیضاح </w:t>
      </w:r>
      <w:r>
        <w:rPr>
          <w:rFonts w:eastAsia="IRNazanin" w:cs="IRNazanin"/>
          <w:b w:val="false"/>
          <w:bCs w:val="false"/>
          <w:i w:val="false"/>
          <w:iCs w:val="false"/>
          <w:color w:val="333333"/>
          <w:sz w:val="20"/>
          <w:szCs w:val="20"/>
        </w:rPr>
        <w:t>4:237</w:t>
      </w:r>
      <w:r>
        <w:rPr>
          <w:rFonts w:ascii="IRNazanin" w:hAnsi="IRNazanin" w:eastAsia="IRNazanin"/>
          <w:b w:val="false"/>
          <w:b w:val="false"/>
          <w:bCs w:val="false"/>
          <w:i w:val="false"/>
          <w:i w:val="false"/>
          <w:iCs w:val="false"/>
          <w:color w:val="333333"/>
          <w:sz w:val="20"/>
          <w:sz w:val="20"/>
          <w:szCs w:val="20"/>
          <w:rtl w:val="true"/>
        </w:rPr>
        <w:t xml:space="preserve">، والمسالک </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 إلیه السیّد فی الانتصار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584</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والشیخ فی المبسوط </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وابن زهرة فی الغنیة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وابن إدریس فی السرائر </w:t>
      </w:r>
      <w:r>
        <w:rPr>
          <w:rFonts w:eastAsia="IRNazanin" w:cs="IRNazanin"/>
          <w:b w:val="false"/>
          <w:bCs w:val="false"/>
          <w:i w:val="false"/>
          <w:iCs w:val="false"/>
          <w:color w:val="333333"/>
          <w:sz w:val="20"/>
          <w:szCs w:val="20"/>
        </w:rPr>
        <w:t>3:284</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 إلیه الصدوق فی الفقیه </w:t>
      </w:r>
      <w:r>
        <w:rPr>
          <w:rFonts w:eastAsia="IRNazanin" w:cs="IRNazanin"/>
          <w:b w:val="false"/>
          <w:bCs w:val="false"/>
          <w:i w:val="false"/>
          <w:iCs w:val="false"/>
          <w:color w:val="333333"/>
          <w:sz w:val="20"/>
          <w:szCs w:val="20"/>
        </w:rPr>
        <w:t>4:262</w:t>
      </w:r>
      <w:r>
        <w:rPr>
          <w:rFonts w:ascii="IRNazanin" w:hAnsi="IRNazanin" w:eastAsia="IRNazanin"/>
          <w:b w:val="false"/>
          <w:b w:val="false"/>
          <w:bCs w:val="false"/>
          <w:i w:val="false"/>
          <w:i w:val="false"/>
          <w:iCs w:val="false"/>
          <w:color w:val="333333"/>
          <w:sz w:val="20"/>
          <w:sz w:val="20"/>
          <w:szCs w:val="20"/>
          <w:rtl w:val="true"/>
        </w:rPr>
        <w:t xml:space="preserve">، ذیل الحدیث </w:t>
      </w:r>
      <w:r>
        <w:rPr>
          <w:rFonts w:eastAsia="IRNazanin" w:cs="IRNazanin"/>
          <w:b w:val="false"/>
          <w:bCs w:val="false"/>
          <w:i w:val="false"/>
          <w:iCs w:val="false"/>
          <w:color w:val="333333"/>
          <w:sz w:val="20"/>
          <w:szCs w:val="20"/>
        </w:rPr>
        <w:t>5612</w:t>
      </w:r>
      <w:r>
        <w:rPr>
          <w:rFonts w:ascii="IRNazanin" w:hAnsi="IRNazanin" w:eastAsia="IRNazanin"/>
          <w:b w:val="false"/>
          <w:b w:val="false"/>
          <w:bCs w:val="false"/>
          <w:i w:val="false"/>
          <w:i w:val="false"/>
          <w:iCs w:val="false"/>
          <w:color w:val="333333"/>
          <w:sz w:val="20"/>
          <w:sz w:val="20"/>
          <w:szCs w:val="20"/>
          <w:rtl w:val="true"/>
        </w:rPr>
        <w:t xml:space="preserve">، والشیخ فی التهذیب </w:t>
      </w:r>
      <w:r>
        <w:rPr>
          <w:rFonts w:eastAsia="IRNazanin" w:cs="IRNazanin"/>
          <w:b w:val="false"/>
          <w:bCs w:val="false"/>
          <w:i w:val="false"/>
          <w:iCs w:val="false"/>
          <w:color w:val="333333"/>
          <w:sz w:val="20"/>
          <w:szCs w:val="20"/>
        </w:rPr>
        <w:t>9:295</w:t>
      </w:r>
      <w:r>
        <w:rPr>
          <w:rFonts w:ascii="IRNazanin" w:hAnsi="IRNazanin" w:eastAsia="IRNazanin"/>
          <w:b w:val="false"/>
          <w:b w:val="false"/>
          <w:bCs w:val="false"/>
          <w:i w:val="false"/>
          <w:i w:val="false"/>
          <w:iCs w:val="false"/>
          <w:color w:val="333333"/>
          <w:sz w:val="20"/>
          <w:sz w:val="20"/>
          <w:szCs w:val="20"/>
          <w:rtl w:val="true"/>
        </w:rPr>
        <w:t xml:space="preserve">، ذیل الحدیث </w:t>
      </w:r>
      <w:r>
        <w:rPr>
          <w:rFonts w:eastAsia="IRNazanin" w:cs="IRNazanin"/>
          <w:b w:val="false"/>
          <w:bCs w:val="false"/>
          <w:i w:val="false"/>
          <w:iCs w:val="false"/>
          <w:color w:val="333333"/>
          <w:sz w:val="20"/>
          <w:szCs w:val="20"/>
        </w:rPr>
        <w:t>1056</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6:150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ذیل الحدیث </w:t>
      </w:r>
      <w:r>
        <w:rPr>
          <w:rFonts w:eastAsia="IRNazanin" w:cs="IRNazanin"/>
          <w:b w:val="false"/>
          <w:bCs w:val="false"/>
          <w:i w:val="false"/>
          <w:iCs w:val="false"/>
          <w:color w:val="333333"/>
          <w:sz w:val="20"/>
          <w:szCs w:val="20"/>
        </w:rPr>
        <w:t>568</w:t>
      </w:r>
      <w:r>
        <w:rPr>
          <w:rFonts w:ascii="IRNazanin" w:hAnsi="IRNazanin" w:eastAsia="IRNazanin"/>
          <w:b w:val="false"/>
          <w:b w:val="false"/>
          <w:bCs w:val="false"/>
          <w:i w:val="false"/>
          <w:i w:val="false"/>
          <w:iCs w:val="false"/>
          <w:color w:val="333333"/>
          <w:sz w:val="20"/>
          <w:sz w:val="20"/>
          <w:szCs w:val="20"/>
          <w:rtl w:val="true"/>
        </w:rPr>
        <w:t>، وابن سعید فی الجامع للشرائع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xml:space="preserve">، والعلّامة فی التحریر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التی قوبلت بالأصل، وهو الأصحّ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سائر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الأخبار</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کالسیّد فی الانتصار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584</w:t>
      </w:r>
      <w:r>
        <w:rPr>
          <w:rFonts w:ascii="IRNazanin" w:hAnsi="IRNazanin" w:eastAsia="IRNazanin"/>
          <w:b w:val="false"/>
          <w:b w:val="false"/>
          <w:bCs w:val="false"/>
          <w:i w:val="false"/>
          <w:i w:val="false"/>
          <w:iCs w:val="false"/>
          <w:color w:val="333333"/>
          <w:sz w:val="20"/>
          <w:sz w:val="20"/>
          <w:szCs w:val="20"/>
          <w:rtl w:val="true"/>
        </w:rPr>
        <w:t>، وابن زهرة فی الغنیة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وابن إدریس فی السرائر </w:t>
      </w:r>
      <w:r>
        <w:rPr>
          <w:rFonts w:eastAsia="IRNazanin" w:cs="IRNazanin"/>
          <w:b w:val="false"/>
          <w:bCs w:val="false"/>
          <w:i w:val="false"/>
          <w:iCs w:val="false"/>
          <w:color w:val="333333"/>
          <w:sz w:val="20"/>
          <w:szCs w:val="20"/>
        </w:rPr>
        <w:t>3:284</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وأ نّه</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17:512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میراث الأزواج،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میراث الأزواج،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المتقدّم،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المتقدّم، الحدیث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ولکن صحیحة أبی بصیر عن أبی عبد اللّٰه علیه السلام</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حال</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حال</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المراد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روایتی أبی بصیر ومحمّد بن مروان</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صحیحة أبی بصیر</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ینقل ذلک إلّاعن ظاهر المفید، انظر المسالک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3:243</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حمله علی ذلک الشیخ فی التهذیب </w:t>
      </w:r>
      <w:r>
        <w:rPr>
          <w:rFonts w:eastAsia="IRNazanin" w:cs="IRNazanin"/>
          <w:b w:val="false"/>
          <w:bCs w:val="false"/>
          <w:i w:val="false"/>
          <w:iCs w:val="false"/>
          <w:color w:val="333333"/>
          <w:sz w:val="20"/>
          <w:szCs w:val="20"/>
        </w:rPr>
        <w:t>9:295</w:t>
      </w:r>
      <w:r>
        <w:rPr>
          <w:rFonts w:ascii="IRNazanin" w:hAnsi="IRNazanin" w:eastAsia="IRNazanin"/>
          <w:b w:val="false"/>
          <w:b w:val="false"/>
          <w:bCs w:val="false"/>
          <w:i w:val="false"/>
          <w:i w:val="false"/>
          <w:iCs w:val="false"/>
          <w:color w:val="333333"/>
          <w:sz w:val="20"/>
          <w:sz w:val="20"/>
          <w:szCs w:val="20"/>
          <w:rtl w:val="true"/>
        </w:rPr>
        <w:t xml:space="preserve">، ذیل الحدیث </w:t>
      </w:r>
      <w:r>
        <w:rPr>
          <w:rFonts w:eastAsia="IRNazanin" w:cs="IRNazanin"/>
          <w:b w:val="false"/>
          <w:bCs w:val="false"/>
          <w:i w:val="false"/>
          <w:iCs w:val="false"/>
          <w:color w:val="333333"/>
          <w:sz w:val="20"/>
          <w:szCs w:val="20"/>
        </w:rPr>
        <w:t>1056</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4:151</w:t>
      </w:r>
      <w:r>
        <w:rPr>
          <w:rFonts w:ascii="IRNazanin" w:hAnsi="IRNazanin" w:eastAsia="IRNazanin"/>
          <w:b w:val="false"/>
          <w:b w:val="false"/>
          <w:bCs w:val="false"/>
          <w:i w:val="false"/>
          <w:i w:val="false"/>
          <w:iCs w:val="false"/>
          <w:color w:val="333333"/>
          <w:sz w:val="20"/>
          <w:sz w:val="20"/>
          <w:szCs w:val="20"/>
          <w:rtl w:val="true"/>
        </w:rPr>
        <w:t xml:space="preserve">، ذیل الحدیث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17:516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المیراث،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عدم الردّ علیهما مطلقاً</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الردّ علی الزوج، دون الزوجة مطلقاً</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المغنی </w:t>
      </w:r>
      <w:r>
        <w:rPr>
          <w:rFonts w:eastAsia="IRNazanin" w:cs="IRNazanin"/>
          <w:b w:val="false"/>
          <w:bCs w:val="false"/>
          <w:i w:val="false"/>
          <w:iCs w:val="false"/>
          <w:color w:val="333333"/>
          <w:sz w:val="20"/>
          <w:szCs w:val="20"/>
        </w:rPr>
        <w:t>6:190</w:t>
      </w:r>
      <w:r>
        <w:rPr>
          <w:rFonts w:ascii="IRNazanin" w:hAnsi="IRNazanin" w:eastAsia="IRNazanin"/>
          <w:b w:val="false"/>
          <w:b w:val="false"/>
          <w:bCs w:val="false"/>
          <w:i w:val="false"/>
          <w:i w:val="false"/>
          <w:iCs w:val="false"/>
          <w:color w:val="333333"/>
          <w:sz w:val="20"/>
          <w:sz w:val="20"/>
          <w:szCs w:val="20"/>
          <w:rtl w:val="true"/>
        </w:rPr>
        <w:t xml:space="preserve">، والمغنی مع الشرح الکبیر </w:t>
      </w:r>
      <w:r>
        <w:rPr>
          <w:rFonts w:eastAsia="IRNazanin" w:cs="IRNazanin"/>
          <w:b w:val="false"/>
          <w:bCs w:val="false"/>
          <w:i w:val="false"/>
          <w:iCs w:val="false"/>
          <w:color w:val="333333"/>
          <w:sz w:val="20"/>
          <w:szCs w:val="20"/>
        </w:rPr>
        <w:t>7:32</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17:142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العالج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تراکم من الرمل ودخل بعضه فی بعض</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17:423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موجبات الإرث،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مع تفاوت یسیر</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سوی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لما</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17:426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موجبات الإرث،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فی الصفحة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یدخل النقص علی الأب والبنت والبنات</w:t>
      </w:r>
      <w:r>
        <w:rPr>
          <w:rFonts w:eastAsia="IRNazanin" w:cs="IRNazanin"/>
          <w:b w:val="false"/>
          <w:bCs w:val="false"/>
          <w:i w:val="false"/>
          <w:iCs w:val="false"/>
          <w:color w:val="333333"/>
          <w:sz w:val="20"/>
          <w:szCs w:val="20"/>
          <w:rtl w:val="true"/>
        </w:rPr>
        <w:t>. . .</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نبّه</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2:334</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3:357</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الإرشاد </w:t>
      </w:r>
      <w:r>
        <w:rPr>
          <w:rFonts w:eastAsia="IRNazanin" w:cs="IRNazanin"/>
          <w:b w:val="false"/>
          <w:bCs w:val="false"/>
          <w:i w:val="false"/>
          <w:iCs w:val="false"/>
          <w:color w:val="333333"/>
          <w:sz w:val="20"/>
          <w:szCs w:val="20"/>
        </w:rPr>
        <w:t>2:131</w:t>
      </w:r>
      <w:r>
        <w:rPr>
          <w:rFonts w:ascii="IRNazanin" w:hAnsi="IRNazanin" w:eastAsia="IRNazanin"/>
          <w:b w:val="false"/>
          <w:b w:val="false"/>
          <w:bCs w:val="false"/>
          <w:i w:val="false"/>
          <w:i w:val="false"/>
          <w:iCs w:val="false"/>
          <w:color w:val="333333"/>
          <w:sz w:val="20"/>
          <w:sz w:val="20"/>
          <w:szCs w:val="20"/>
          <w:rtl w:val="true"/>
        </w:rPr>
        <w:t>، والتبصرة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والمختصر النافع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مسألة العول</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سلف فی الصفحة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المقنع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xml:space="preserve">، والفقیه </w:t>
      </w:r>
      <w:r>
        <w:rPr>
          <w:rFonts w:eastAsia="IRNazanin" w:cs="IRNazanin"/>
          <w:b w:val="false"/>
          <w:bCs w:val="false"/>
          <w:i w:val="false"/>
          <w:iCs w:val="false"/>
          <w:color w:val="333333"/>
          <w:sz w:val="20"/>
          <w:szCs w:val="20"/>
        </w:rPr>
        <w:t>4:269</w:t>
      </w:r>
      <w:r>
        <w:rPr>
          <w:rFonts w:ascii="IRNazanin" w:hAnsi="IRNazanin" w:eastAsia="IRNazanin"/>
          <w:b w:val="false"/>
          <w:b w:val="false"/>
          <w:bCs w:val="false"/>
          <w:i w:val="false"/>
          <w:i w:val="false"/>
          <w:iCs w:val="false"/>
          <w:color w:val="333333"/>
          <w:sz w:val="20"/>
          <w:sz w:val="20"/>
          <w:szCs w:val="20"/>
          <w:rtl w:val="true"/>
        </w:rPr>
        <w:t>، والهدایة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17:449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میراث الأبوین والأولاد، الأحادیث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الأبواب،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688</w:t>
      </w:r>
      <w:r>
        <w:rPr>
          <w:rFonts w:ascii="IRNazanin" w:hAnsi="IRNazanin" w:eastAsia="IRNazanin"/>
          <w:b w:val="false"/>
          <w:b w:val="false"/>
          <w:bCs w:val="false"/>
          <w:i w:val="false"/>
          <w:i w:val="false"/>
          <w:iCs w:val="false"/>
          <w:color w:val="333333"/>
          <w:sz w:val="20"/>
          <w:sz w:val="20"/>
          <w:szCs w:val="20"/>
          <w:rtl w:val="true"/>
        </w:rPr>
        <w:t>، والنهایة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631</w:t>
      </w:r>
      <w:r>
        <w:rPr>
          <w:rFonts w:ascii="IRNazanin" w:hAnsi="IRNazanin" w:eastAsia="IRNazanin"/>
          <w:b w:val="false"/>
          <w:b w:val="false"/>
          <w:bCs w:val="false"/>
          <w:i w:val="false"/>
          <w:i w:val="false"/>
          <w:iCs w:val="false"/>
          <w:color w:val="333333"/>
          <w:sz w:val="20"/>
          <w:sz w:val="20"/>
          <w:szCs w:val="20"/>
          <w:rtl w:val="true"/>
        </w:rPr>
        <w:t>، والکافی فی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والوسیلة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والقواعد </w:t>
      </w:r>
      <w:r>
        <w:rPr>
          <w:rFonts w:eastAsia="IRNazanin" w:cs="IRNazanin"/>
          <w:b w:val="false"/>
          <w:bCs w:val="false"/>
          <w:i w:val="false"/>
          <w:iCs w:val="false"/>
          <w:color w:val="333333"/>
          <w:sz w:val="20"/>
          <w:szCs w:val="20"/>
        </w:rPr>
        <w:t>3:360</w:t>
      </w:r>
      <w:r>
        <w:rPr>
          <w:rFonts w:ascii="IRNazanin" w:hAnsi="IRNazanin" w:eastAsia="IRNazanin"/>
          <w:b w:val="false"/>
          <w:b w:val="false"/>
          <w:bCs w:val="false"/>
          <w:i w:val="false"/>
          <w:i w:val="false"/>
          <w:iCs w:val="false"/>
          <w:color w:val="333333"/>
          <w:sz w:val="20"/>
          <w:sz w:val="20"/>
          <w:szCs w:val="20"/>
          <w:rtl w:val="true"/>
        </w:rPr>
        <w:t>، وغیرها</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الشریف المرتضی </w:t>
      </w:r>
      <w:r>
        <w:rPr>
          <w:rFonts w:eastAsia="IRNazanin" w:cs="IRNazanin"/>
          <w:b w:val="false"/>
          <w:bCs w:val="false"/>
          <w:i w:val="false"/>
          <w:iCs w:val="false"/>
          <w:color w:val="333333"/>
          <w:sz w:val="20"/>
          <w:szCs w:val="20"/>
        </w:rPr>
        <w:t>3:257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ابن أبی عقیل کما حکاه عنه ابن إدریس فی السرائر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واختاره هو أیضاً، ومعین الدین المصری نقل عنه ذلک فی کشف الرموز </w:t>
      </w:r>
      <w:r>
        <w:rPr>
          <w:rFonts w:eastAsia="IRNazanin" w:cs="IRNazanin"/>
          <w:b w:val="false"/>
          <w:bCs w:val="false"/>
          <w:i w:val="false"/>
          <w:iCs w:val="false"/>
          <w:color w:val="333333"/>
          <w:sz w:val="20"/>
          <w:szCs w:val="20"/>
        </w:rPr>
        <w:t>2:448</w:t>
      </w:r>
      <w:r>
        <w:rPr>
          <w:rFonts w:ascii="IRNazanin" w:hAnsi="IRNazanin" w:eastAsia="IRNazanin"/>
          <w:b w:val="false"/>
          <w:b w:val="false"/>
          <w:bCs w:val="false"/>
          <w:i w:val="false"/>
          <w:i w:val="false"/>
          <w:iCs w:val="false"/>
          <w:color w:val="333333"/>
          <w:sz w:val="20"/>
          <w:sz w:val="20"/>
          <w:szCs w:val="20"/>
          <w:rtl w:val="true"/>
        </w:rPr>
        <w:t xml:space="preserve">، والمختلف </w:t>
      </w:r>
      <w:r>
        <w:rPr>
          <w:rFonts w:eastAsia="IRNazanin" w:cs="IRNazanin"/>
          <w:b w:val="false"/>
          <w:bCs w:val="false"/>
          <w:i w:val="false"/>
          <w:iCs w:val="false"/>
          <w:color w:val="333333"/>
          <w:sz w:val="20"/>
          <w:szCs w:val="20"/>
        </w:rPr>
        <w:t>9:16</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رسائل الشریف المرتضی </w:t>
      </w:r>
      <w:r>
        <w:rPr>
          <w:rFonts w:eastAsia="IRNazanin" w:cs="IRNazanin"/>
          <w:b w:val="false"/>
          <w:bCs w:val="false"/>
          <w:i w:val="false"/>
          <w:iCs w:val="false"/>
          <w:color w:val="333333"/>
          <w:sz w:val="20"/>
          <w:szCs w:val="20"/>
        </w:rPr>
        <w:t>3:264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17:450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میراث الأبوین والأولاد،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ویراجع سائر أحادیث الباب</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ویراجع سائر أحادیث الباب</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أصل الإرث وکیفیّته</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اختاره المحقّق فی الشرائع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وادّعی فی التنقیح الرائع </w:t>
      </w:r>
      <w:r>
        <w:rPr>
          <w:rFonts w:eastAsia="IRNazanin" w:cs="IRNazanin"/>
          <w:b w:val="false"/>
          <w:bCs w:val="false"/>
          <w:i w:val="false"/>
          <w:iCs w:val="false"/>
          <w:color w:val="333333"/>
          <w:sz w:val="20"/>
          <w:szCs w:val="20"/>
        </w:rPr>
        <w:t>4:164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الإجماع علیه، ونسبه فی المسالک </w:t>
      </w:r>
      <w:r>
        <w:rPr>
          <w:rFonts w:eastAsia="IRNazanin" w:cs="IRNazanin"/>
          <w:b w:val="false"/>
          <w:bCs w:val="false"/>
          <w:i w:val="false"/>
          <w:iCs w:val="false"/>
          <w:color w:val="333333"/>
          <w:sz w:val="20"/>
          <w:szCs w:val="20"/>
        </w:rPr>
        <w:t>13:128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المشهور</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اختاره الشیخ فی المبسوط </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xml:space="preserve">، والقاضی فی المهذّب </w:t>
      </w:r>
      <w:r>
        <w:rPr>
          <w:rFonts w:eastAsia="IRNazanin" w:cs="IRNazanin"/>
          <w:b w:val="false"/>
          <w:bCs w:val="false"/>
          <w:i w:val="false"/>
          <w:iCs w:val="false"/>
          <w:color w:val="333333"/>
          <w:sz w:val="20"/>
          <w:szCs w:val="20"/>
        </w:rPr>
        <w:t>2:133</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17:439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میراث الأبوین والأولاد</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قاله السیّد فی الغنیة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والکیدری فی الإصباح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وابن الجنید کما نقل عنه العلّامة فی المختلف واختاره هو أیضاً، اُنظر المختلف </w:t>
      </w:r>
      <w:r>
        <w:rPr>
          <w:rFonts w:eastAsia="IRNazanin" w:cs="IRNazanin"/>
          <w:b w:val="false"/>
          <w:bCs w:val="false"/>
          <w:i w:val="false"/>
          <w:iCs w:val="false"/>
          <w:color w:val="333333"/>
          <w:sz w:val="20"/>
          <w:szCs w:val="20"/>
        </w:rPr>
        <w:t>9:17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قاله السیّد فی الانتصار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ونسبه فی المختلف إلی ابن الجنید ونفی عنه البأس، اُنظر المختلف </w:t>
      </w:r>
      <w:r>
        <w:rPr>
          <w:rFonts w:eastAsia="IRNazanin" w:cs="IRNazanin"/>
          <w:b w:val="false"/>
          <w:bCs w:val="false"/>
          <w:i w:val="false"/>
          <w:iCs w:val="false"/>
          <w:color w:val="333333"/>
          <w:sz w:val="20"/>
          <w:szCs w:val="20"/>
        </w:rPr>
        <w:t>9:21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التی کانت ملاصقة لجسده حین الموت</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17:440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میراث الأبوین والأولاد،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سائر أحادیث الباب</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ثیابه وخاتمه وسیفه ومُصحفه</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17:439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میراث الأبوین والأولاد، الحدیث الأوّل</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4:346</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5746</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17:439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میراث الأبوین والأولاد،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والمستدرک </w:t>
      </w:r>
      <w:r>
        <w:rPr>
          <w:rFonts w:eastAsia="IRNazanin" w:cs="IRNazanin"/>
          <w:b w:val="false"/>
          <w:bCs w:val="false"/>
          <w:i w:val="false"/>
          <w:iCs w:val="false"/>
          <w:color w:val="333333"/>
          <w:sz w:val="20"/>
          <w:szCs w:val="20"/>
        </w:rPr>
        <w:t>17:165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میراث الأبوین والأولاد،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17:439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میراث الأبوین والأولاد، الحدیث الأوّل</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المخطوطات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لمنع</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اشتراط انفصاله حال موت أبیه</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2:363</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أبرأه المدین أم لا، تبرّع متبرّع أم لا</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الأوّل، کتاب الصلاة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وکتاب الصوم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3:258</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الوسیلة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المحقّق فی الشرائع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ویحیی بن سعید فی الجامع للشرائع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509</w:t>
      </w:r>
      <w:r>
        <w:rPr>
          <w:rFonts w:ascii="IRNazanin" w:hAnsi="IRNazanin" w:eastAsia="IRNazanin"/>
          <w:b w:val="false"/>
          <w:b w:val="false"/>
          <w:bCs w:val="false"/>
          <w:i w:val="false"/>
          <w:i w:val="false"/>
          <w:iCs w:val="false"/>
          <w:color w:val="333333"/>
          <w:sz w:val="20"/>
          <w:sz w:val="20"/>
          <w:szCs w:val="20"/>
          <w:rtl w:val="true"/>
        </w:rPr>
        <w:t xml:space="preserve">، والعلّامة فی القواعد </w:t>
      </w:r>
      <w:r>
        <w:rPr>
          <w:rFonts w:eastAsia="IRNazanin" w:cs="IRNazanin"/>
          <w:b w:val="false"/>
          <w:bCs w:val="false"/>
          <w:i w:val="false"/>
          <w:iCs w:val="false"/>
          <w:color w:val="333333"/>
          <w:sz w:val="20"/>
          <w:szCs w:val="20"/>
        </w:rPr>
        <w:t>3:362</w:t>
      </w:r>
      <w:r>
        <w:rPr>
          <w:rFonts w:ascii="IRNazanin" w:hAnsi="IRNazanin" w:eastAsia="IRNazanin"/>
          <w:b w:val="false"/>
          <w:b w:val="false"/>
          <w:bCs w:val="false"/>
          <w:i w:val="false"/>
          <w:i w:val="false"/>
          <w:iCs w:val="false"/>
          <w:color w:val="333333"/>
          <w:sz w:val="20"/>
          <w:sz w:val="20"/>
          <w:szCs w:val="20"/>
          <w:rtl w:val="true"/>
        </w:rPr>
        <w:t xml:space="preserve">، والتحریر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2:362</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9:21</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التحریر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17:439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میراث الأبوین والأولاد، الحدیث الأوّل</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المختلف </w:t>
      </w:r>
      <w:r>
        <w:rPr>
          <w:rFonts w:eastAsia="IRNazanin" w:cs="IRNazanin"/>
          <w:b w:val="false"/>
          <w:bCs w:val="false"/>
          <w:i w:val="false"/>
          <w:iCs w:val="false"/>
          <w:color w:val="333333"/>
          <w:sz w:val="20"/>
          <w:szCs w:val="20"/>
        </w:rPr>
        <w:t>9:105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الإسکافی، اُنظر المختلف </w:t>
      </w:r>
      <w:r>
        <w:rPr>
          <w:rFonts w:eastAsia="IRNazanin" w:cs="IRNazanin"/>
          <w:b w:val="false"/>
          <w:bCs w:val="false"/>
          <w:i w:val="false"/>
          <w:iCs w:val="false"/>
          <w:color w:val="333333"/>
          <w:sz w:val="20"/>
          <w:szCs w:val="20"/>
        </w:rPr>
        <w:t>9:105</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العلّامة فی القواعد </w:t>
      </w:r>
      <w:r>
        <w:rPr>
          <w:rFonts w:eastAsia="IRNazanin" w:cs="IRNazanin"/>
          <w:b w:val="false"/>
          <w:bCs w:val="false"/>
          <w:i w:val="false"/>
          <w:iCs w:val="false"/>
          <w:color w:val="333333"/>
          <w:sz w:val="20"/>
          <w:szCs w:val="20"/>
        </w:rPr>
        <w:t>3:361</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17:469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میراث الأبوین والأولاد</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العلّامة فی المختلف </w:t>
      </w:r>
      <w:r>
        <w:rPr>
          <w:rFonts w:eastAsia="IRNazanin" w:cs="IRNazanin"/>
          <w:b w:val="false"/>
          <w:bCs w:val="false"/>
          <w:i w:val="false"/>
          <w:iCs w:val="false"/>
          <w:color w:val="333333"/>
          <w:sz w:val="20"/>
          <w:szCs w:val="20"/>
        </w:rPr>
        <w:t>9:23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المقنع، ولکنّ الذی جاء فیه هو مقالة المشهور،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ترک جدّاً من قبل الأب وجدّاً من قبل الاُمّ فللجدّ من قبل الأب الثلثان وللجدّ من قبل الاُمّ الثلث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المقنع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 الفضل فی الکافی </w:t>
      </w:r>
      <w:r>
        <w:rPr>
          <w:rFonts w:eastAsia="IRNazanin" w:cs="IRNazanin"/>
          <w:b w:val="false"/>
          <w:bCs w:val="false"/>
          <w:i w:val="false"/>
          <w:iCs w:val="false"/>
          <w:color w:val="333333"/>
          <w:sz w:val="20"/>
          <w:szCs w:val="20"/>
        </w:rPr>
        <w:t>7:118</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فی الکافی </w:t>
      </w:r>
      <w:r>
        <w:rPr>
          <w:rFonts w:eastAsia="IRNazanin" w:cs="IRNazanin"/>
          <w:b w:val="false"/>
          <w:bCs w:val="false"/>
          <w:i w:val="false"/>
          <w:iCs w:val="false"/>
          <w:color w:val="333333"/>
          <w:sz w:val="20"/>
          <w:szCs w:val="20"/>
        </w:rPr>
        <w:t>7:117</w:t>
      </w:r>
      <w:r>
        <w:rPr>
          <w:rFonts w:ascii="IRNazanin" w:hAnsi="IRNazanin" w:eastAsia="IRNazanin"/>
          <w:b w:val="false"/>
          <w:b w:val="false"/>
          <w:bCs w:val="false"/>
          <w:i w:val="false"/>
          <w:i w:val="false"/>
          <w:iCs w:val="false"/>
          <w:color w:val="333333"/>
          <w:sz w:val="20"/>
          <w:sz w:val="20"/>
          <w:szCs w:val="20"/>
          <w:rtl w:val="true"/>
        </w:rPr>
        <w:t xml:space="preserve">، عن الفضل بن شاذان، وفی المختلف </w:t>
      </w:r>
      <w:r>
        <w:rPr>
          <w:rFonts w:eastAsia="IRNazanin" w:cs="IRNazanin"/>
          <w:b w:val="false"/>
          <w:bCs w:val="false"/>
          <w:i w:val="false"/>
          <w:iCs w:val="false"/>
          <w:color w:val="333333"/>
          <w:sz w:val="20"/>
          <w:szCs w:val="20"/>
        </w:rPr>
        <w:t>9:23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العمانی</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الفصل الثانی فی بیان السهام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الشرح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کانوا</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العلّامة فی المختلف </w:t>
      </w:r>
      <w:r>
        <w:rPr>
          <w:rFonts w:eastAsia="IRNazanin" w:cs="IRNazanin"/>
          <w:b w:val="false"/>
          <w:bCs w:val="false"/>
          <w:i w:val="false"/>
          <w:iCs w:val="false"/>
          <w:color w:val="333333"/>
          <w:sz w:val="20"/>
          <w:szCs w:val="20"/>
        </w:rPr>
        <w:t>9:46</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الشهید فی الدروس </w:t>
      </w:r>
      <w:r>
        <w:rPr>
          <w:rFonts w:eastAsia="IRNazanin" w:cs="IRNazanin"/>
          <w:b w:val="false"/>
          <w:bCs w:val="false"/>
          <w:i w:val="false"/>
          <w:iCs w:val="false"/>
          <w:color w:val="333333"/>
          <w:sz w:val="20"/>
          <w:szCs w:val="20"/>
        </w:rPr>
        <w:t>2:368</w:t>
      </w:r>
      <w:r>
        <w:rPr>
          <w:rFonts w:ascii="IRNazanin" w:hAnsi="IRNazanin" w:eastAsia="IRNazanin"/>
          <w:b w:val="false"/>
          <w:b w:val="false"/>
          <w:bCs w:val="false"/>
          <w:i w:val="false"/>
          <w:i w:val="false"/>
          <w:iCs w:val="false"/>
          <w:color w:val="333333"/>
          <w:sz w:val="20"/>
          <w:sz w:val="20"/>
          <w:szCs w:val="20"/>
          <w:rtl w:val="true"/>
        </w:rPr>
        <w:t xml:space="preserve">، واُنظر الکافی </w:t>
      </w:r>
      <w:r>
        <w:rPr>
          <w:rFonts w:eastAsia="IRNazanin" w:cs="IRNazanin"/>
          <w:b w:val="false"/>
          <w:bCs w:val="false"/>
          <w:i w:val="false"/>
          <w:iCs w:val="false"/>
          <w:color w:val="333333"/>
          <w:sz w:val="20"/>
          <w:szCs w:val="20"/>
        </w:rPr>
        <w:t>7:106</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690</w:t>
      </w:r>
      <w:r>
        <w:rPr>
          <w:rFonts w:ascii="IRNazanin" w:hAnsi="IRNazanin" w:eastAsia="IRNazanin"/>
          <w:b w:val="false"/>
          <w:b w:val="false"/>
          <w:bCs w:val="false"/>
          <w:i w:val="false"/>
          <w:i w:val="false"/>
          <w:iCs w:val="false"/>
          <w:color w:val="333333"/>
          <w:sz w:val="20"/>
          <w:sz w:val="20"/>
          <w:szCs w:val="20"/>
          <w:rtl w:val="true"/>
        </w:rPr>
        <w:t>، والنهایة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638</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4:168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الحدیث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أبی الصلاح فی 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والقاضی فی المهذّب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وابن حمزة فی الوسیلة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17:494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میراث الإخوة والأجداد، الحدیث الأوّل</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3:260</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والمختصر النافع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التبصرة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والتحریر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روایة محمّد بن مسلم</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غایة المراد </w:t>
      </w:r>
      <w:r>
        <w:rPr>
          <w:rFonts w:eastAsia="IRNazanin" w:cs="IRNazanin"/>
          <w:b w:val="false"/>
          <w:bCs w:val="false"/>
          <w:i w:val="false"/>
          <w:iCs w:val="false"/>
          <w:color w:val="333333"/>
          <w:sz w:val="20"/>
          <w:szCs w:val="20"/>
        </w:rPr>
        <w:t>3:561</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ذکوراً کانوا أم إناثاً أم بالتفریق</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17:488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میراث الإخوة والأجداد</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إطلاق النصوص</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سواء کانوا لأبوین أم لأحدهما</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الکلینی فی الکافی </w:t>
      </w:r>
      <w:r>
        <w:rPr>
          <w:rFonts w:eastAsia="IRNazanin" w:cs="IRNazanin"/>
          <w:b w:val="false"/>
          <w:bCs w:val="false"/>
          <w:i w:val="false"/>
          <w:iCs w:val="false"/>
          <w:color w:val="333333"/>
          <w:sz w:val="20"/>
          <w:szCs w:val="20"/>
        </w:rPr>
        <w:t>7:107</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علوا، لأب کانوا أم لاُمّ، ذکوراً وإناثاً</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الإخوة</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للأب، وکذا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الشرح</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المسألة</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والثلثان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تصحیحاً</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یقسم</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الشهید فی الدروس </w:t>
      </w:r>
      <w:r>
        <w:rPr>
          <w:rFonts w:eastAsia="IRNazanin" w:cs="IRNazanin"/>
          <w:b w:val="false"/>
          <w:bCs w:val="false"/>
          <w:i w:val="false"/>
          <w:iCs w:val="false"/>
          <w:color w:val="333333"/>
          <w:sz w:val="20"/>
          <w:szCs w:val="20"/>
        </w:rPr>
        <w:t>2:370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أبی القاسم</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الشهید فی الدروس </w:t>
      </w:r>
      <w:r>
        <w:rPr>
          <w:rFonts w:eastAsia="IRNazanin" w:cs="IRNazanin"/>
          <w:b w:val="false"/>
          <w:bCs w:val="false"/>
          <w:i w:val="false"/>
          <w:iCs w:val="false"/>
          <w:color w:val="333333"/>
          <w:sz w:val="20"/>
          <w:szCs w:val="20"/>
        </w:rPr>
        <w:t>2:371</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الشیخ ومن تبعه</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القائل بالقول الثانی</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القائل بالقول الثالث</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والأحزاب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الصدوق فی الفقیه </w:t>
      </w:r>
      <w:r>
        <w:rPr>
          <w:rFonts w:eastAsia="IRNazanin" w:cs="IRNazanin"/>
          <w:b w:val="false"/>
          <w:bCs w:val="false"/>
          <w:i w:val="false"/>
          <w:iCs w:val="false"/>
          <w:color w:val="333333"/>
          <w:sz w:val="20"/>
          <w:szCs w:val="20"/>
        </w:rPr>
        <w:t>4:292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الأعمام</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لأب أو لاُمّ</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فی الأعمام والعمّات</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ذکوراً وإناثاً أو بالتفریق</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فقد قرابة الأب والاُمّ</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الفرائض</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17:504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میراث الأعمام والأخوال، الحدیث الأوّل</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کتاب علیّ سلام اللّٰه علیه</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17:505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میراث الأعمام والأخوال،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المختلف </w:t>
      </w:r>
      <w:r>
        <w:rPr>
          <w:rFonts w:eastAsia="IRNazanin" w:cs="IRNazanin"/>
          <w:b w:val="false"/>
          <w:bCs w:val="false"/>
          <w:i w:val="false"/>
          <w:iCs w:val="false"/>
          <w:color w:val="333333"/>
          <w:sz w:val="20"/>
          <w:szCs w:val="20"/>
        </w:rPr>
        <w:t>9:28</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المسألة الاُولی</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 فی المسألة الرابعة</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المسألة الثانیة والثالثة والرابعة</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2:374</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المعقوفتین لم یرد فی المخطوطات</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2:373</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3:370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والتحریر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2:373</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3:371</w:t>
      </w:r>
      <w:r>
        <w:rPr>
          <w:rFonts w:ascii="IRNazanin" w:hAnsi="IRNazanin" w:eastAsia="IRNazanin"/>
          <w:b w:val="false"/>
          <w:b w:val="false"/>
          <w:bCs w:val="false"/>
          <w:i w:val="false"/>
          <w:i w:val="false"/>
          <w:iCs w:val="false"/>
          <w:color w:val="333333"/>
          <w:sz w:val="20"/>
          <w:sz w:val="20"/>
          <w:szCs w:val="20"/>
          <w:rtl w:val="true"/>
        </w:rPr>
        <w:t xml:space="preserve">، والتحریر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الإیضاح </w:t>
      </w:r>
      <w:r>
        <w:rPr>
          <w:rFonts w:eastAsia="IRNazanin" w:cs="IRNazanin"/>
          <w:b w:val="false"/>
          <w:bCs w:val="false"/>
          <w:i w:val="false"/>
          <w:iCs w:val="false"/>
          <w:color w:val="333333"/>
          <w:sz w:val="20"/>
          <w:szCs w:val="20"/>
        </w:rPr>
        <w:t>4:229</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کالعلّامة فی التحریر </w:t>
      </w:r>
      <w:r>
        <w:rPr>
          <w:rFonts w:eastAsia="IRNazanin" w:cs="IRNazanin"/>
          <w:b w:val="false"/>
          <w:bCs w:val="false"/>
          <w:i w:val="false"/>
          <w:iCs w:val="false"/>
          <w:color w:val="333333"/>
          <w:sz w:val="20"/>
          <w:szCs w:val="20"/>
        </w:rPr>
        <w:t>5:30</w:t>
      </w:r>
      <w:r>
        <w:rPr>
          <w:rFonts w:ascii="IRNazanin" w:hAnsi="IRNazanin" w:eastAsia="IRNazanin"/>
          <w:b w:val="false"/>
          <w:b w:val="false"/>
          <w:bCs w:val="false"/>
          <w:i w:val="false"/>
          <w:i w:val="false"/>
          <w:iCs w:val="false"/>
          <w:color w:val="333333"/>
          <w:sz w:val="20"/>
          <w:sz w:val="20"/>
          <w:szCs w:val="20"/>
          <w:rtl w:val="true"/>
        </w:rPr>
        <w:t xml:space="preserve">، والشهید فی الدروس </w:t>
      </w:r>
      <w:r>
        <w:rPr>
          <w:rFonts w:eastAsia="IRNazanin" w:cs="IRNazanin"/>
          <w:b w:val="false"/>
          <w:bCs w:val="false"/>
          <w:i w:val="false"/>
          <w:iCs w:val="false"/>
          <w:color w:val="333333"/>
          <w:sz w:val="20"/>
          <w:szCs w:val="20"/>
        </w:rPr>
        <w:t>2:374</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نصیر الدین الطوسی کما نقله فخر المحقّقین فی الإیضاح </w:t>
      </w:r>
      <w:r>
        <w:rPr>
          <w:rFonts w:eastAsia="IRNazanin" w:cs="IRNazanin"/>
          <w:b w:val="false"/>
          <w:bCs w:val="false"/>
          <w:i w:val="false"/>
          <w:iCs w:val="false"/>
          <w:color w:val="333333"/>
          <w:sz w:val="20"/>
          <w:szCs w:val="20"/>
        </w:rPr>
        <w:t>4:230</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عنه فی الصفحة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فی الصفحة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17:509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میراث الأعمام والأخوال،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17:486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میراث الإخوة والأجداد،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السبب الذی نصّ علیه الماتن قدس سره فی أوّل کتاب المیراث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یوجب الإرث النسب والسبب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یمکن فرضه، مع أنّ ضمان الجریرة مشروطٌ بعدم الوارث بأن یتأخّر الإعتاق عن الضمان، کما لو کان قد ضمن جریرة کافرٍ ثمّ استرقّ فأعتقه وقلنا ببقاء ضمان الجریرة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 .</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17:537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میراث الأزواج</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المریض، وکذا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الشرح</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سلف فی الجزء الثالث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المحقّق فی الشرائع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ویحیی بن سعید فی الجامع للشرائع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509</w:t>
      </w:r>
      <w:r>
        <w:rPr>
          <w:rFonts w:ascii="IRNazanin" w:hAnsi="IRNazanin" w:eastAsia="IRNazanin"/>
          <w:b w:val="false"/>
          <w:b w:val="false"/>
          <w:bCs w:val="false"/>
          <w:i w:val="false"/>
          <w:i w:val="false"/>
          <w:iCs w:val="false"/>
          <w:color w:val="333333"/>
          <w:sz w:val="20"/>
          <w:sz w:val="20"/>
          <w:szCs w:val="20"/>
          <w:rtl w:val="true"/>
        </w:rPr>
        <w:t xml:space="preserve">، والعلّامة فی القواعد </w:t>
      </w:r>
      <w:r>
        <w:rPr>
          <w:rFonts w:eastAsia="IRNazanin" w:cs="IRNazanin"/>
          <w:b w:val="false"/>
          <w:bCs w:val="false"/>
          <w:i w:val="false"/>
          <w:iCs w:val="false"/>
          <w:color w:val="333333"/>
          <w:sz w:val="20"/>
          <w:szCs w:val="20"/>
        </w:rPr>
        <w:t>3:376</w:t>
      </w:r>
      <w:r>
        <w:rPr>
          <w:rFonts w:ascii="IRNazanin" w:hAnsi="IRNazanin" w:eastAsia="IRNazanin"/>
          <w:b w:val="false"/>
          <w:b w:val="false"/>
          <w:bCs w:val="false"/>
          <w:i w:val="false"/>
          <w:i w:val="false"/>
          <w:iCs w:val="false"/>
          <w:color w:val="333333"/>
          <w:sz w:val="20"/>
          <w:sz w:val="20"/>
          <w:szCs w:val="20"/>
          <w:rtl w:val="true"/>
        </w:rPr>
        <w:t>، وغیرهم</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ثانیها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نّها لا ترث من رقبة الأرض وترث من الآلات والأبنیة والنخل والشجر قیمةً لا عیناً، ذهب إلیه العلّامة فی القواعد </w:t>
      </w:r>
      <w:r>
        <w:rPr>
          <w:rFonts w:eastAsia="IRNazanin" w:cs="IRNazanin"/>
          <w:b w:val="false"/>
          <w:bCs w:val="false"/>
          <w:i w:val="false"/>
          <w:iCs w:val="false"/>
          <w:color w:val="333333"/>
          <w:sz w:val="20"/>
          <w:szCs w:val="20"/>
        </w:rPr>
        <w:t>3:376</w:t>
      </w:r>
      <w:r>
        <w:rPr>
          <w:rFonts w:ascii="IRNazanin" w:hAnsi="IRNazanin" w:eastAsia="IRNazanin"/>
          <w:b w:val="false"/>
          <w:b w:val="false"/>
          <w:bCs w:val="false"/>
          <w:i w:val="false"/>
          <w:i w:val="false"/>
          <w:iCs w:val="false"/>
          <w:color w:val="333333"/>
          <w:sz w:val="20"/>
          <w:sz w:val="20"/>
          <w:szCs w:val="20"/>
          <w:rtl w:val="true"/>
        </w:rPr>
        <w:t xml:space="preserve">، والشهید فی الدروس </w:t>
      </w:r>
      <w:r>
        <w:rPr>
          <w:rFonts w:eastAsia="IRNazanin" w:cs="IRNazanin"/>
          <w:b w:val="false"/>
          <w:bCs w:val="false"/>
          <w:i w:val="false"/>
          <w:iCs w:val="false"/>
          <w:color w:val="333333"/>
          <w:sz w:val="20"/>
          <w:szCs w:val="20"/>
        </w:rPr>
        <w:t>2:358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ثالثها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حرمانها من الرباع دون البساتین والضیاع وتعطی قیمة الآلات والأبنیة من الدور والمساکن، ذهب إلیه المفید فی 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687</w:t>
      </w:r>
      <w:r>
        <w:rPr>
          <w:rFonts w:ascii="IRNazanin" w:hAnsi="IRNazanin" w:eastAsia="IRNazanin"/>
          <w:b w:val="false"/>
          <w:b w:val="false"/>
          <w:bCs w:val="false"/>
          <w:i w:val="false"/>
          <w:i w:val="false"/>
          <w:iCs w:val="false"/>
          <w:color w:val="333333"/>
          <w:sz w:val="20"/>
          <w:sz w:val="20"/>
          <w:szCs w:val="20"/>
          <w:rtl w:val="true"/>
        </w:rPr>
        <w:t xml:space="preserve">، وابن إدریس فی السرائر </w:t>
      </w:r>
      <w:r>
        <w:rPr>
          <w:rFonts w:eastAsia="IRNazanin" w:cs="IRNazanin"/>
          <w:b w:val="false"/>
          <w:bCs w:val="false"/>
          <w:i w:val="false"/>
          <w:iCs w:val="false"/>
          <w:color w:val="333333"/>
          <w:sz w:val="20"/>
          <w:szCs w:val="20"/>
        </w:rPr>
        <w:t>3:258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والمحقّق فی المختصر النافع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والآبی فی کشف الرموز </w:t>
      </w:r>
      <w:r>
        <w:rPr>
          <w:rFonts w:eastAsia="IRNazanin" w:cs="IRNazanin"/>
          <w:b w:val="false"/>
          <w:bCs w:val="false"/>
          <w:i w:val="false"/>
          <w:iCs w:val="false"/>
          <w:color w:val="333333"/>
          <w:sz w:val="20"/>
          <w:szCs w:val="20"/>
        </w:rPr>
        <w:t>2:462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رابعها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 الإسکافی وهو أ نّها ترث من جمیع ما ترک، نقل ذلک عنه فی کشف الرموز </w:t>
      </w:r>
      <w:r>
        <w:rPr>
          <w:rFonts w:eastAsia="IRNazanin" w:cs="IRNazanin"/>
          <w:b w:val="false"/>
          <w:bCs w:val="false"/>
          <w:i w:val="false"/>
          <w:iCs w:val="false"/>
          <w:color w:val="333333"/>
          <w:sz w:val="20"/>
          <w:szCs w:val="20"/>
        </w:rPr>
        <w:t>2:462</w:t>
      </w:r>
      <w:r>
        <w:rPr>
          <w:rFonts w:ascii="IRNazanin" w:hAnsi="IRNazanin" w:eastAsia="IRNazanin"/>
          <w:b w:val="false"/>
          <w:b w:val="false"/>
          <w:bCs w:val="false"/>
          <w:i w:val="false"/>
          <w:i w:val="false"/>
          <w:iCs w:val="false"/>
          <w:color w:val="333333"/>
          <w:sz w:val="20"/>
          <w:sz w:val="20"/>
          <w:szCs w:val="20"/>
          <w:rtl w:val="true"/>
        </w:rPr>
        <w:t xml:space="preserve">، والمختلف </w:t>
      </w:r>
      <w:r>
        <w:rPr>
          <w:rFonts w:eastAsia="IRNazanin" w:cs="IRNazanin"/>
          <w:b w:val="false"/>
          <w:bCs w:val="false"/>
          <w:i w:val="false"/>
          <w:iCs w:val="false"/>
          <w:color w:val="333333"/>
          <w:sz w:val="20"/>
          <w:szCs w:val="20"/>
        </w:rPr>
        <w:t>9:34</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 کلام الشهید</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ابن فهد الحلّی فی المقتصر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والمهذّب البارع </w:t>
      </w:r>
      <w:r>
        <w:rPr>
          <w:rFonts w:eastAsia="IRNazanin" w:cs="IRNazanin"/>
          <w:b w:val="false"/>
          <w:bCs w:val="false"/>
          <w:i w:val="false"/>
          <w:iCs w:val="false"/>
          <w:color w:val="333333"/>
          <w:sz w:val="20"/>
          <w:szCs w:val="20"/>
        </w:rPr>
        <w:t>4:402</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الدروس </w:t>
      </w:r>
      <w:r>
        <w:rPr>
          <w:rFonts w:eastAsia="IRNazanin" w:cs="IRNazanin"/>
          <w:b w:val="false"/>
          <w:bCs w:val="false"/>
          <w:i w:val="false"/>
          <w:iCs w:val="false"/>
          <w:color w:val="333333"/>
          <w:sz w:val="20"/>
          <w:szCs w:val="20"/>
        </w:rPr>
        <w:t>2:358</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القواعد </w:t>
      </w:r>
      <w:r>
        <w:rPr>
          <w:rFonts w:eastAsia="IRNazanin" w:cs="IRNazanin"/>
          <w:b w:val="false"/>
          <w:bCs w:val="false"/>
          <w:i w:val="false"/>
          <w:iCs w:val="false"/>
          <w:color w:val="333333"/>
          <w:sz w:val="20"/>
          <w:szCs w:val="20"/>
        </w:rPr>
        <w:t>3:376</w:t>
      </w:r>
      <w:r>
        <w:rPr>
          <w:rFonts w:ascii="IRNazanin" w:hAnsi="IRNazanin" w:eastAsia="IRNazanin"/>
          <w:b w:val="false"/>
          <w:b w:val="false"/>
          <w:bCs w:val="false"/>
          <w:i w:val="false"/>
          <w:i w:val="false"/>
          <w:iCs w:val="false"/>
          <w:color w:val="333333"/>
          <w:sz w:val="20"/>
          <w:sz w:val="20"/>
          <w:szCs w:val="20"/>
          <w:rtl w:val="true"/>
        </w:rPr>
        <w:t xml:space="preserve">، والتنقیح الرائع </w:t>
      </w:r>
      <w:r>
        <w:rPr>
          <w:rFonts w:eastAsia="IRNazanin" w:cs="IRNazanin"/>
          <w:b w:val="false"/>
          <w:bCs w:val="false"/>
          <w:i w:val="false"/>
          <w:iCs w:val="false"/>
          <w:color w:val="333333"/>
          <w:sz w:val="20"/>
          <w:szCs w:val="20"/>
        </w:rPr>
        <w:t>4:192</w:t>
      </w:r>
      <w:r>
        <w:rPr>
          <w:rFonts w:ascii="IRNazanin" w:hAnsi="IRNazanin" w:eastAsia="IRNazanin"/>
          <w:b w:val="false"/>
          <w:b w:val="false"/>
          <w:bCs w:val="false"/>
          <w:i w:val="false"/>
          <w:i w:val="false"/>
          <w:iCs w:val="false"/>
          <w:color w:val="333333"/>
          <w:sz w:val="20"/>
          <w:sz w:val="20"/>
          <w:szCs w:val="20"/>
          <w:rtl w:val="true"/>
        </w:rPr>
        <w:t xml:space="preserve">، والمهذّب البارع </w:t>
      </w:r>
      <w:r>
        <w:rPr>
          <w:rFonts w:eastAsia="IRNazanin" w:cs="IRNazanin"/>
          <w:b w:val="false"/>
          <w:bCs w:val="false"/>
          <w:i w:val="false"/>
          <w:iCs w:val="false"/>
          <w:color w:val="333333"/>
          <w:sz w:val="20"/>
          <w:szCs w:val="20"/>
        </w:rPr>
        <w:t>4:402</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17:517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میراث الأزواج</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523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الأبواب،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المخطوطات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الزوجة</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حصّتها من نفس العین المقوَّمة</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17:517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میراث الأزواج</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المفید فی 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687</w:t>
      </w:r>
      <w:r>
        <w:rPr>
          <w:rFonts w:ascii="IRNazanin" w:hAnsi="IRNazanin" w:eastAsia="IRNazanin"/>
          <w:b w:val="false"/>
          <w:b w:val="false"/>
          <w:bCs w:val="false"/>
          <w:i w:val="false"/>
          <w:i w:val="false"/>
          <w:iCs w:val="false"/>
          <w:color w:val="333333"/>
          <w:sz w:val="20"/>
          <w:sz w:val="20"/>
          <w:szCs w:val="20"/>
          <w:rtl w:val="true"/>
        </w:rPr>
        <w:t>، والسیّد فی الانتصار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585</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والشیخ فی الاستبصار </w:t>
      </w:r>
      <w:r>
        <w:rPr>
          <w:rFonts w:eastAsia="IRNazanin" w:cs="IRNazanin"/>
          <w:b w:val="false"/>
          <w:bCs w:val="false"/>
          <w:i w:val="false"/>
          <w:iCs w:val="false"/>
          <w:color w:val="333333"/>
          <w:sz w:val="20"/>
          <w:szCs w:val="20"/>
        </w:rPr>
        <w:t>4:154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والحلبی فی الکافی فی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وغیرهم</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للحرمان</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17:523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میراث الأزواج،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صحیحة زرارة، راجع الوسائل </w:t>
      </w:r>
      <w:r>
        <w:rPr>
          <w:rFonts w:eastAsia="IRNazanin" w:cs="IRNazanin"/>
          <w:b w:val="false"/>
          <w:bCs w:val="false"/>
          <w:i w:val="false"/>
          <w:iCs w:val="false"/>
          <w:color w:val="333333"/>
          <w:sz w:val="20"/>
          <w:szCs w:val="20"/>
        </w:rPr>
        <w:t>17:517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میراث الأزواج، الحدیث الأوّل، راجع المسالک </w:t>
      </w:r>
      <w:r>
        <w:rPr>
          <w:rFonts w:eastAsia="IRNazanin" w:cs="IRNazanin"/>
          <w:b w:val="false"/>
          <w:bCs w:val="false"/>
          <w:i w:val="false"/>
          <w:iCs w:val="false"/>
          <w:color w:val="333333"/>
          <w:sz w:val="20"/>
          <w:szCs w:val="20"/>
        </w:rPr>
        <w:t>13:186</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حسنة الفضلاء الخمسة،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السابق</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ولکم نصف ما ترک أزواجکم إن لم یکن لهنّ ولد فإن کان لهنّ ولد فلکم الربع</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ولهنّ الربع ممّا ترکتم إن لم یکن لکم ولد فإن کان لکم ولد فلهنّ الثمن</w:t>
      </w:r>
      <w:r>
        <w:rPr>
          <w:rFonts w:eastAsia="IRNazanin" w:cs="IRNazanin"/>
          <w:b w:val="false"/>
          <w:bCs w:val="false"/>
          <w:i w:val="false"/>
          <w:iCs w:val="false"/>
          <w:color w:val="333333"/>
          <w:sz w:val="20"/>
          <w:szCs w:val="20"/>
          <w:rtl w:val="true"/>
        </w:rPr>
        <w:t>. . .) .</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الصفحة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منفردة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رسائل الشهید 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السادس فی میراث الزوجة </w:t>
      </w:r>
      <w:r>
        <w:rPr>
          <w:rFonts w:eastAsia="IRNazanin" w:cs="IRNazanin"/>
          <w:b w:val="false"/>
          <w:bCs w:val="false"/>
          <w:i w:val="false"/>
          <w:iCs w:val="false"/>
          <w:color w:val="333333"/>
          <w:sz w:val="20"/>
          <w:szCs w:val="20"/>
        </w:rPr>
        <w:t>1:447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الخلاف إلیه الماتن فی الدروس </w:t>
      </w:r>
      <w:r>
        <w:rPr>
          <w:rFonts w:eastAsia="IRNazanin" w:cs="IRNazanin"/>
          <w:b w:val="false"/>
          <w:bCs w:val="false"/>
          <w:i w:val="false"/>
          <w:iCs w:val="false"/>
          <w:color w:val="333333"/>
          <w:sz w:val="20"/>
          <w:szCs w:val="20"/>
        </w:rPr>
        <w:t>2:361</w:t>
      </w:r>
      <w:r>
        <w:rPr>
          <w:rFonts w:ascii="IRNazanin" w:hAnsi="IRNazanin" w:eastAsia="IRNazanin"/>
          <w:b w:val="false"/>
          <w:b w:val="false"/>
          <w:bCs w:val="false"/>
          <w:i w:val="false"/>
          <w:i w:val="false"/>
          <w:iCs w:val="false"/>
          <w:color w:val="333333"/>
          <w:sz w:val="20"/>
          <w:sz w:val="20"/>
          <w:szCs w:val="20"/>
          <w:rtl w:val="true"/>
        </w:rPr>
        <w:t xml:space="preserve">، والشارح فی المسالک </w:t>
      </w:r>
      <w:r>
        <w:rPr>
          <w:rFonts w:eastAsia="IRNazanin" w:cs="IRNazanin"/>
          <w:b w:val="false"/>
          <w:bCs w:val="false"/>
          <w:i w:val="false"/>
          <w:iCs w:val="false"/>
          <w:color w:val="333333"/>
          <w:sz w:val="20"/>
          <w:szCs w:val="20"/>
        </w:rPr>
        <w:t>13:179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وغیرهما، ولم نعثر علیه فی السرائر </w:t>
      </w:r>
      <w:r>
        <w:rPr>
          <w:rFonts w:eastAsia="IRNazanin" w:cs="IRNazanin"/>
          <w:b w:val="false"/>
          <w:bCs w:val="false"/>
          <w:i w:val="false"/>
          <w:iCs w:val="false"/>
          <w:color w:val="333333"/>
          <w:sz w:val="20"/>
          <w:szCs w:val="20"/>
        </w:rPr>
        <w:t>3:301</w:t>
      </w:r>
      <w:r>
        <w:rPr>
          <w:rFonts w:ascii="IRNazanin" w:hAnsi="IRNazanin" w:eastAsia="IRNazanin"/>
          <w:b w:val="false"/>
          <w:b w:val="false"/>
          <w:bCs w:val="false"/>
          <w:i w:val="false"/>
          <w:i w:val="false"/>
          <w:iCs w:val="false"/>
          <w:color w:val="333333"/>
          <w:sz w:val="20"/>
          <w:sz w:val="20"/>
          <w:szCs w:val="20"/>
          <w:rtl w:val="true"/>
        </w:rPr>
        <w:t xml:space="preserve">، والظاهر أ نّه موافق للأصحاب کما ذکره فی مفتاح الکرامة </w:t>
      </w:r>
      <w:r>
        <w:rPr>
          <w:rFonts w:eastAsia="IRNazanin" w:cs="IRNazanin"/>
          <w:b w:val="false"/>
          <w:bCs w:val="false"/>
          <w:i w:val="false"/>
          <w:iCs w:val="false"/>
          <w:color w:val="333333"/>
          <w:sz w:val="20"/>
          <w:szCs w:val="20"/>
        </w:rPr>
        <w:t>8:185</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المشهور</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17:525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میراث الأزواج، الحدیث الأوّل</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فإنّه فطحی، اُنظر المسالک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13:39</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2:173</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الشخصین</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فی الصفحة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ذا نسب</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2:431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سیب</w:t>
      </w:r>
      <w:r>
        <w:rPr>
          <w:rFonts w:eastAsia="IRNazanin" w:cs="IRNazanin"/>
          <w:b w:val="false"/>
          <w:bCs w:val="false"/>
          <w:i w:val="false"/>
          <w:iCs w:val="false"/>
          <w:color w:val="333333"/>
          <w:sz w:val="20"/>
          <w:szCs w:val="20"/>
          <w:rtl w:val="true"/>
        </w:rPr>
        <w:t>) .</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ألحقه بالتبرّع الشیخ فی المبسوط </w:t>
      </w:r>
      <w:r>
        <w:rPr>
          <w:rFonts w:eastAsia="IRNazanin" w:cs="IRNazanin"/>
          <w:b w:val="false"/>
          <w:bCs w:val="false"/>
          <w:i w:val="false"/>
          <w:iCs w:val="false"/>
          <w:color w:val="333333"/>
          <w:sz w:val="20"/>
          <w:szCs w:val="20"/>
        </w:rPr>
        <w:t>6:71</w:t>
      </w:r>
      <w:r>
        <w:rPr>
          <w:rFonts w:ascii="IRNazanin" w:hAnsi="IRNazanin" w:eastAsia="IRNazanin"/>
          <w:b w:val="false"/>
          <w:b w:val="false"/>
          <w:bCs w:val="false"/>
          <w:i w:val="false"/>
          <w:i w:val="false"/>
          <w:iCs w:val="false"/>
          <w:color w:val="333333"/>
          <w:sz w:val="20"/>
          <w:sz w:val="20"/>
          <w:szCs w:val="20"/>
          <w:rtl w:val="true"/>
        </w:rPr>
        <w:t>، وابن حمزة فی الوسیلة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وألحقه بالعتق الواجب ابن إدریس فی السرائر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 إلیه المحقّق فی الشرائع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والعلّامة فی المختلف </w:t>
      </w:r>
      <w:r>
        <w:rPr>
          <w:rFonts w:eastAsia="IRNazanin" w:cs="IRNazanin"/>
          <w:b w:val="false"/>
          <w:bCs w:val="false"/>
          <w:i w:val="false"/>
          <w:iCs w:val="false"/>
          <w:color w:val="333333"/>
          <w:sz w:val="20"/>
          <w:szCs w:val="20"/>
        </w:rPr>
        <w:t>8:66</w:t>
      </w:r>
      <w:r>
        <w:rPr>
          <w:rFonts w:ascii="IRNazanin" w:hAnsi="IRNazanin" w:eastAsia="IRNazanin"/>
          <w:b w:val="false"/>
          <w:b w:val="false"/>
          <w:bCs w:val="false"/>
          <w:i w:val="false"/>
          <w:i w:val="false"/>
          <w:iCs w:val="false"/>
          <w:color w:val="333333"/>
          <w:sz w:val="20"/>
          <w:sz w:val="20"/>
          <w:szCs w:val="20"/>
          <w:rtl w:val="true"/>
        </w:rPr>
        <w:t xml:space="preserve">، والقواعد </w:t>
      </w:r>
      <w:r>
        <w:rPr>
          <w:rFonts w:eastAsia="IRNazanin" w:cs="IRNazanin"/>
          <w:b w:val="false"/>
          <w:bCs w:val="false"/>
          <w:i w:val="false"/>
          <w:iCs w:val="false"/>
          <w:color w:val="333333"/>
          <w:sz w:val="20"/>
          <w:szCs w:val="20"/>
        </w:rPr>
        <w:t>3:215</w:t>
      </w:r>
      <w:r>
        <w:rPr>
          <w:rFonts w:ascii="IRNazanin" w:hAnsi="IRNazanin" w:eastAsia="IRNazanin"/>
          <w:b w:val="false"/>
          <w:b w:val="false"/>
          <w:bCs w:val="false"/>
          <w:i w:val="false"/>
          <w:i w:val="false"/>
          <w:iCs w:val="false"/>
          <w:color w:val="333333"/>
          <w:sz w:val="20"/>
          <w:sz w:val="20"/>
          <w:szCs w:val="20"/>
          <w:rtl w:val="true"/>
        </w:rPr>
        <w:t>، وغیرهما</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 الصدوق فی المقنع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xml:space="preserve">، والقاضی فی المهذّب </w:t>
      </w:r>
      <w:r>
        <w:rPr>
          <w:rFonts w:eastAsia="IRNazanin" w:cs="IRNazanin"/>
          <w:b w:val="false"/>
          <w:bCs w:val="false"/>
          <w:i w:val="false"/>
          <w:iCs w:val="false"/>
          <w:color w:val="333333"/>
          <w:sz w:val="20"/>
          <w:szCs w:val="20"/>
        </w:rPr>
        <w:t>2:364</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16:46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العتق،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16:39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العتق،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یذکر الأصحاب سوی التنکیل فینبغی مراجعة النظر فی الباقی، والظاهر أنّ ما ذکرناه حکمها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 .</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به ابن حمزة فی الوسیلة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16:38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العتق،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الأبواب،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16:47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کتاب العتق، الحدیثان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غایة المراد </w:t>
      </w:r>
      <w:r>
        <w:rPr>
          <w:rFonts w:eastAsia="IRNazanin" w:cs="IRNazanin"/>
          <w:b w:val="false"/>
          <w:bCs w:val="false"/>
          <w:i w:val="false"/>
          <w:iCs w:val="false"/>
          <w:color w:val="333333"/>
          <w:sz w:val="20"/>
          <w:szCs w:val="20"/>
        </w:rPr>
        <w:t>3:347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4:306</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548</w:t>
      </w:r>
      <w:r>
        <w:rPr>
          <w:rFonts w:ascii="IRNazanin" w:hAnsi="IRNazanin" w:eastAsia="IRNazanin"/>
          <w:b w:val="false"/>
          <w:b w:val="false"/>
          <w:bCs w:val="false"/>
          <w:i w:val="false"/>
          <w:i w:val="false"/>
          <w:iCs w:val="false"/>
          <w:color w:val="333333"/>
          <w:sz w:val="20"/>
          <w:sz w:val="20"/>
          <w:szCs w:val="20"/>
          <w:rtl w:val="true"/>
        </w:rPr>
        <w:t>، الرسائل العشر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القاضی فی المهذّب </w:t>
      </w:r>
      <w:r>
        <w:rPr>
          <w:rFonts w:eastAsia="IRNazanin" w:cs="IRNazanin"/>
          <w:b w:val="false"/>
          <w:bCs w:val="false"/>
          <w:i w:val="false"/>
          <w:iCs w:val="false"/>
          <w:color w:val="333333"/>
          <w:sz w:val="20"/>
          <w:szCs w:val="20"/>
        </w:rPr>
        <w:t>2:364</w:t>
      </w:r>
      <w:r>
        <w:rPr>
          <w:rFonts w:ascii="IRNazanin" w:hAnsi="IRNazanin" w:eastAsia="IRNazanin"/>
          <w:b w:val="false"/>
          <w:b w:val="false"/>
          <w:bCs w:val="false"/>
          <w:i w:val="false"/>
          <w:i w:val="false"/>
          <w:iCs w:val="false"/>
          <w:color w:val="333333"/>
          <w:sz w:val="20"/>
          <w:sz w:val="20"/>
          <w:szCs w:val="20"/>
          <w:rtl w:val="true"/>
        </w:rPr>
        <w:t>، والمحقّق فی المختصر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والعلّامة فی المختلف </w:t>
      </w:r>
      <w:r>
        <w:rPr>
          <w:rFonts w:eastAsia="IRNazanin" w:cs="IRNazanin"/>
          <w:b w:val="false"/>
          <w:bCs w:val="false"/>
          <w:i w:val="false"/>
          <w:iCs w:val="false"/>
          <w:color w:val="333333"/>
          <w:sz w:val="20"/>
          <w:szCs w:val="20"/>
        </w:rPr>
        <w:t>8:59</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2:215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وانظر الخلاف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الفرائض</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17:540</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میراث ولاء العتق،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3:263</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العلّامة إلی الإسکافی، راجع المختلف </w:t>
      </w:r>
      <w:r>
        <w:rPr>
          <w:rFonts w:eastAsia="IRNazanin" w:cs="IRNazanin"/>
          <w:b w:val="false"/>
          <w:bCs w:val="false"/>
          <w:i w:val="false"/>
          <w:iCs w:val="false"/>
          <w:color w:val="333333"/>
          <w:sz w:val="20"/>
          <w:szCs w:val="20"/>
        </w:rPr>
        <w:t>8:63</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16:44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العتق</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المتقدّم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والباب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الحدیث الأوّل</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17:552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ولاء ضمان الجریرة والإمامة، الحدیث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نقله عن المقنعة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والحدیث ضعیف بالإرسال وبمجهولیّة داود الواقع فی سنده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المسالک </w:t>
      </w:r>
      <w:r>
        <w:rPr>
          <w:rFonts w:eastAsia="IRNazanin" w:cs="IRNazanin"/>
          <w:b w:val="false"/>
          <w:bCs w:val="false"/>
          <w:i w:val="false"/>
          <w:iCs w:val="false"/>
          <w:color w:val="333333"/>
          <w:sz w:val="20"/>
          <w:szCs w:val="20"/>
        </w:rPr>
        <w:t>13:227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وجامع الرواة </w:t>
      </w:r>
      <w:r>
        <w:rPr>
          <w:rFonts w:eastAsia="IRNazanin" w:cs="IRNazanin"/>
          <w:b w:val="false"/>
          <w:bCs w:val="false"/>
          <w:i w:val="false"/>
          <w:iCs w:val="false"/>
          <w:color w:val="333333"/>
          <w:sz w:val="20"/>
          <w:szCs w:val="20"/>
        </w:rPr>
        <w:t>1:301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17:547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ولاء ضمان الجریرة والإمامة، الأحادیث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المفید فی 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706</w:t>
      </w:r>
      <w:r>
        <w:rPr>
          <w:rFonts w:ascii="IRNazanin" w:hAnsi="IRNazanin" w:eastAsia="IRNazanin"/>
          <w:b w:val="false"/>
          <w:b w:val="false"/>
          <w:bCs w:val="false"/>
          <w:i w:val="false"/>
          <w:i w:val="false"/>
          <w:iCs w:val="false"/>
          <w:color w:val="333333"/>
          <w:sz w:val="20"/>
          <w:sz w:val="20"/>
          <w:szCs w:val="20"/>
          <w:rtl w:val="true"/>
        </w:rPr>
        <w:t>، والشیخ فی 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671</w:t>
      </w:r>
      <w:r>
        <w:rPr>
          <w:rFonts w:ascii="IRNazanin" w:hAnsi="IRNazanin" w:eastAsia="IRNazanin"/>
          <w:b w:val="false"/>
          <w:b w:val="false"/>
          <w:bCs w:val="false"/>
          <w:i w:val="false"/>
          <w:i w:val="false"/>
          <w:iCs w:val="false"/>
          <w:color w:val="333333"/>
          <w:sz w:val="20"/>
          <w:sz w:val="20"/>
          <w:szCs w:val="20"/>
          <w:rtl w:val="true"/>
        </w:rPr>
        <w:t xml:space="preserve">، والقاضی فی المهذّب </w:t>
      </w:r>
      <w:r>
        <w:rPr>
          <w:rFonts w:eastAsia="IRNazanin" w:cs="IRNazanin"/>
          <w:b w:val="false"/>
          <w:bCs w:val="false"/>
          <w:i w:val="false"/>
          <w:iCs w:val="false"/>
          <w:color w:val="333333"/>
          <w:sz w:val="20"/>
          <w:szCs w:val="20"/>
        </w:rPr>
        <w:t>2:154</w:t>
      </w:r>
      <w:r>
        <w:rPr>
          <w:rFonts w:ascii="IRNazanin" w:hAnsi="IRNazanin" w:eastAsia="IRNazanin"/>
          <w:b w:val="false"/>
          <w:b w:val="false"/>
          <w:bCs w:val="false"/>
          <w:i w:val="false"/>
          <w:i w:val="false"/>
          <w:iCs w:val="false"/>
          <w:color w:val="333333"/>
          <w:sz w:val="20"/>
          <w:sz w:val="20"/>
          <w:szCs w:val="20"/>
          <w:rtl w:val="true"/>
        </w:rPr>
        <w:t>، والکیدری فی إصباح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2:377</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 لم نجوّز</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الشیخ فی الخلاف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الفرائض</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ونسختی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الشرح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الفصل 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سهو</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الشیخ المفید فی الإعلام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مصنّفات المفید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والسیّد المرتضی فی الانتصار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594</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ورسائل الشریف المرتضی </w:t>
      </w:r>
      <w:r>
        <w:rPr>
          <w:rFonts w:eastAsia="IRNazanin" w:cs="IRNazanin"/>
          <w:b w:val="false"/>
          <w:bCs w:val="false"/>
          <w:i w:val="false"/>
          <w:iCs w:val="false"/>
          <w:color w:val="333333"/>
          <w:sz w:val="20"/>
          <w:szCs w:val="20"/>
        </w:rPr>
        <w:t>1:263</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القاضی فی المهذّب </w:t>
      </w:r>
      <w:r>
        <w:rPr>
          <w:rFonts w:eastAsia="IRNazanin" w:cs="IRNazanin"/>
          <w:b w:val="false"/>
          <w:bCs w:val="false"/>
          <w:i w:val="false"/>
          <w:iCs w:val="false"/>
          <w:color w:val="333333"/>
          <w:sz w:val="20"/>
          <w:szCs w:val="20"/>
        </w:rPr>
        <w:t>2:171</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الإسکافی، اُنظر المختلف </w:t>
      </w:r>
      <w:r>
        <w:rPr>
          <w:rFonts w:eastAsia="IRNazanin" w:cs="IRNazanin"/>
          <w:b w:val="false"/>
          <w:bCs w:val="false"/>
          <w:i w:val="false"/>
          <w:iCs w:val="false"/>
          <w:color w:val="333333"/>
          <w:sz w:val="20"/>
          <w:szCs w:val="20"/>
        </w:rPr>
        <w:t>9:79</w:t>
      </w:r>
      <w:r>
        <w:rPr>
          <w:rFonts w:ascii="IRNazanin" w:hAnsi="IRNazanin" w:eastAsia="IRNazanin"/>
          <w:b w:val="false"/>
          <w:b w:val="false"/>
          <w:bCs w:val="false"/>
          <w:i w:val="false"/>
          <w:i w:val="false"/>
          <w:iCs w:val="false"/>
          <w:color w:val="333333"/>
          <w:sz w:val="20"/>
          <w:sz w:val="20"/>
          <w:szCs w:val="20"/>
          <w:rtl w:val="true"/>
        </w:rPr>
        <w:t xml:space="preserve">، والمفید فی الإعلام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مصنّفات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9:62</w:t>
      </w:r>
      <w:r>
        <w:rPr>
          <w:rFonts w:ascii="IRNazanin" w:hAnsi="IRNazanin" w:eastAsia="IRNazanin"/>
          <w:b w:val="false"/>
          <w:b w:val="false"/>
          <w:bCs w:val="false"/>
          <w:i w:val="false"/>
          <w:i w:val="false"/>
          <w:iCs w:val="false"/>
          <w:color w:val="333333"/>
          <w:sz w:val="20"/>
          <w:sz w:val="20"/>
          <w:szCs w:val="20"/>
          <w:rtl w:val="true"/>
        </w:rPr>
        <w:t>، والسیّد فی الانتصار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594</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وابن إدریس فی السرائر </w:t>
      </w:r>
      <w:r>
        <w:rPr>
          <w:rFonts w:eastAsia="IRNazanin" w:cs="IRNazanin"/>
          <w:b w:val="false"/>
          <w:bCs w:val="false"/>
          <w:i w:val="false"/>
          <w:iCs w:val="false"/>
          <w:color w:val="333333"/>
          <w:sz w:val="20"/>
          <w:szCs w:val="20"/>
        </w:rPr>
        <w:t>3:279</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17:576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میراث الخنثی، الأحادیث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خالفت الروایة فی عدد الأضلاع القولَ المذکور، فإنّ فی الروایة عدد أضلاع الجنب الأیمن اثنا عشر والأیسر أحد عشر</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لجهالة حال أکثر رواتها، قاله فی المسالک </w:t>
      </w:r>
      <w:r>
        <w:rPr>
          <w:rFonts w:eastAsia="IRNazanin" w:cs="IRNazanin"/>
          <w:b w:val="false"/>
          <w:bCs w:val="false"/>
          <w:i w:val="false"/>
          <w:iCs w:val="false"/>
          <w:color w:val="333333"/>
          <w:sz w:val="20"/>
          <w:szCs w:val="20"/>
        </w:rPr>
        <w:t>13:246</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الشیخ فی الخلاف </w:t>
      </w:r>
      <w:r>
        <w:rPr>
          <w:rFonts w:eastAsia="IRNazanin" w:cs="IRNazanin"/>
          <w:b w:val="false"/>
          <w:bCs w:val="false"/>
          <w:i w:val="false"/>
          <w:iCs w:val="false"/>
          <w:color w:val="333333"/>
          <w:sz w:val="20"/>
          <w:szCs w:val="20"/>
        </w:rPr>
        <w:t>4:106</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المیراث</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مشکل، وکتب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مشتبه ل</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17:574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میراث الخنثی، الحدیث الأوّل وذیله</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زائدة</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17:580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کتاب المیراث،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المتقدّم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نقل عنه العلّامة فی المختلف </w:t>
      </w:r>
      <w:r>
        <w:rPr>
          <w:rFonts w:eastAsia="IRNazanin" w:cs="IRNazanin"/>
          <w:b w:val="false"/>
          <w:bCs w:val="false"/>
          <w:i w:val="false"/>
          <w:iCs w:val="false"/>
          <w:color w:val="333333"/>
          <w:sz w:val="20"/>
          <w:szCs w:val="20"/>
        </w:rPr>
        <w:t>9:86</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17:581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میراث الخنثی وما أشبهه، الحدیثان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انتبها دفعة واحدة أو لا</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سواء قلنا إنّه واحد أو اثنان</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17:586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میراث الخنثی وما أشبهه، الحدیثان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 کما یلی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اُنثی، خُنثی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ذکران، اُنثیان، خُنثیان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واُنثی، ذکر وخُنثی، اُنثی و خُنثی، میّت</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الصفحة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ذکوراً وإناثاً</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الصفحة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الجزء الثالث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استوجهه العلّامة فی القواعد </w:t>
      </w:r>
      <w:r>
        <w:rPr>
          <w:rFonts w:eastAsia="IRNazanin" w:cs="IRNazanin"/>
          <w:b w:val="false"/>
          <w:bCs w:val="false"/>
          <w:i w:val="false"/>
          <w:iCs w:val="false"/>
          <w:color w:val="333333"/>
          <w:sz w:val="20"/>
          <w:szCs w:val="20"/>
        </w:rPr>
        <w:t>3:382</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17:569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میراث ولد الملاعنة،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 xml:space="preserve">، والفقیه </w:t>
      </w:r>
      <w:r>
        <w:rPr>
          <w:rFonts w:eastAsia="IRNazanin" w:cs="IRNazanin"/>
          <w:b w:val="false"/>
          <w:bCs w:val="false"/>
          <w:i w:val="false"/>
          <w:iCs w:val="false"/>
          <w:color w:val="333333"/>
          <w:sz w:val="20"/>
          <w:szCs w:val="20"/>
        </w:rPr>
        <w:t>4:321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فی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العلّامة فی المختلف </w:t>
      </w:r>
      <w:r>
        <w:rPr>
          <w:rFonts w:eastAsia="IRNazanin" w:cs="IRNazanin"/>
          <w:b w:val="false"/>
          <w:bCs w:val="false"/>
          <w:i w:val="false"/>
          <w:iCs w:val="false"/>
          <w:color w:val="333333"/>
          <w:sz w:val="20"/>
          <w:szCs w:val="20"/>
        </w:rPr>
        <w:t>9:76</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9:345</w:t>
      </w:r>
      <w:r>
        <w:rPr>
          <w:rFonts w:ascii="IRNazanin" w:hAnsi="IRNazanin" w:eastAsia="IRNazanin"/>
          <w:b w:val="false"/>
          <w:b w:val="false"/>
          <w:bCs w:val="false"/>
          <w:i w:val="false"/>
          <w:i w:val="false"/>
          <w:iCs w:val="false"/>
          <w:color w:val="333333"/>
          <w:sz w:val="20"/>
          <w:sz w:val="20"/>
          <w:szCs w:val="20"/>
          <w:rtl w:val="true"/>
        </w:rPr>
        <w:t xml:space="preserve">، ذیل الحدیث </w:t>
      </w:r>
      <w:r>
        <w:rPr>
          <w:rFonts w:eastAsia="IRNazanin" w:cs="IRNazanin"/>
          <w:b w:val="false"/>
          <w:bCs w:val="false"/>
          <w:i w:val="false"/>
          <w:iCs w:val="false"/>
          <w:color w:val="333333"/>
          <w:sz w:val="20"/>
          <w:szCs w:val="20"/>
        </w:rPr>
        <w:t>1239</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والأحزاب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ولکن المنسوب إلی الشیخ فی الشرائع والمنقول فی المسالک </w:t>
      </w:r>
      <w:r>
        <w:rPr>
          <w:rFonts w:eastAsia="IRNazanin" w:cs="IRNazanin"/>
          <w:b w:val="false"/>
          <w:bCs w:val="false"/>
          <w:i w:val="false"/>
          <w:iCs w:val="false"/>
          <w:color w:val="333333"/>
          <w:sz w:val="20"/>
          <w:szCs w:val="20"/>
        </w:rPr>
        <w:t>13:237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أیضاً 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میراثه لعصبة أبیه دون أبیه ومثله فی المختلف </w:t>
      </w:r>
      <w:r>
        <w:rPr>
          <w:rFonts w:eastAsia="IRNazanin" w:cs="IRNazanin"/>
          <w:b w:val="false"/>
          <w:bCs w:val="false"/>
          <w:i w:val="false"/>
          <w:iCs w:val="false"/>
          <w:color w:val="333333"/>
          <w:sz w:val="20"/>
          <w:szCs w:val="20"/>
        </w:rPr>
        <w:t>9:89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والتحریر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والسرائر </w:t>
      </w:r>
      <w:r>
        <w:rPr>
          <w:rFonts w:eastAsia="IRNazanin" w:cs="IRNazanin"/>
          <w:b w:val="false"/>
          <w:bCs w:val="false"/>
          <w:i w:val="false"/>
          <w:iCs w:val="false"/>
          <w:color w:val="333333"/>
          <w:sz w:val="20"/>
          <w:szCs w:val="20"/>
        </w:rPr>
        <w:t>3:286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والنهایة المطبوعة مع نکتها </w:t>
      </w:r>
      <w:r>
        <w:rPr>
          <w:rFonts w:eastAsia="IRNazanin" w:cs="IRNazanin"/>
          <w:b w:val="false"/>
          <w:bCs w:val="false"/>
          <w:i w:val="false"/>
          <w:iCs w:val="false"/>
          <w:color w:val="333333"/>
          <w:sz w:val="20"/>
          <w:szCs w:val="20"/>
        </w:rPr>
        <w:t>3:267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ویؤیدها ما فی کتب اتباع الشیخ مثل المهذب </w:t>
      </w:r>
      <w:r>
        <w:rPr>
          <w:rFonts w:eastAsia="IRNazanin" w:cs="IRNazanin"/>
          <w:b w:val="false"/>
          <w:bCs w:val="false"/>
          <w:i w:val="false"/>
          <w:iCs w:val="false"/>
          <w:color w:val="333333"/>
          <w:sz w:val="20"/>
          <w:szCs w:val="20"/>
        </w:rPr>
        <w:t>2:167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واصباح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والوسیلة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نعم ما نسبه هنا مطابق للنسخة المتداولة بین أیدینا من 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وسبقه فی هذه النسبة ابن فهد الحلّی فی المهذب البارع </w:t>
      </w:r>
      <w:r>
        <w:rPr>
          <w:rFonts w:eastAsia="IRNazanin" w:cs="IRNazanin"/>
          <w:b w:val="false"/>
          <w:bCs w:val="false"/>
          <w:i w:val="false"/>
          <w:iCs w:val="false"/>
          <w:color w:val="333333"/>
          <w:sz w:val="20"/>
          <w:szCs w:val="20"/>
        </w:rPr>
        <w:t>4:422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نعثر علی غیرها</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2:167</w:t>
      </w:r>
      <w:r>
        <w:rPr>
          <w:rFonts w:ascii="IRNazanin" w:hAnsi="IRNazanin" w:eastAsia="IRNazanin"/>
          <w:b w:val="false"/>
          <w:b w:val="false"/>
          <w:bCs w:val="false"/>
          <w:i w:val="false"/>
          <w:i w:val="false"/>
          <w:iCs w:val="false"/>
          <w:color w:val="333333"/>
          <w:sz w:val="20"/>
          <w:sz w:val="20"/>
          <w:szCs w:val="20"/>
          <w:rtl w:val="true"/>
        </w:rPr>
        <w:t>، وفیه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کان میراثه لعصبة أبیه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فما حکی الشهید عنه لا یطابق المهذّب</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17:566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میراث ولد الملاعنة،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المسائل الحائریّات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الرسائل العشر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الموروث</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واحد</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لأحدهم</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17:592</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من‌أبواب میراث الغرقی والمهدوم علیهم، الحدیثان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ممّا</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ابن فهد الحلّی فی المهذّب البارع </w:t>
      </w:r>
      <w:r>
        <w:rPr>
          <w:rFonts w:eastAsia="IRNazanin" w:cs="IRNazanin"/>
          <w:b w:val="false"/>
          <w:bCs w:val="false"/>
          <w:i w:val="false"/>
          <w:iCs w:val="false"/>
          <w:color w:val="333333"/>
          <w:sz w:val="20"/>
          <w:szCs w:val="20"/>
        </w:rPr>
        <w:t>4:434</w:t>
      </w:r>
      <w:r>
        <w:rPr>
          <w:rFonts w:ascii="IRNazanin" w:hAnsi="IRNazanin" w:eastAsia="IRNazanin"/>
          <w:b w:val="false"/>
          <w:b w:val="false"/>
          <w:bCs w:val="false"/>
          <w:i w:val="false"/>
          <w:i w:val="false"/>
          <w:iCs w:val="false"/>
          <w:color w:val="333333"/>
          <w:sz w:val="20"/>
          <w:sz w:val="20"/>
          <w:szCs w:val="20"/>
          <w:rtl w:val="true"/>
        </w:rPr>
        <w:t>، وأجاب عنه بالذی نقله الشارح الشهید هنا</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أورثنا</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17:590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میراث الغرقی والمهدوم علیهم، الحدیث الأوّل</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میراث الغرقی والمهدوم علیهم،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هذه</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699</w:t>
      </w:r>
      <w:r>
        <w:rPr>
          <w:rFonts w:ascii="IRNazanin" w:hAnsi="IRNazanin" w:eastAsia="IRNazanin"/>
          <w:b w:val="false"/>
          <w:b w:val="false"/>
          <w:bCs w:val="false"/>
          <w:i w:val="false"/>
          <w:i w:val="false"/>
          <w:iCs w:val="false"/>
          <w:color w:val="333333"/>
          <w:sz w:val="20"/>
          <w:sz w:val="20"/>
          <w:szCs w:val="20"/>
          <w:rtl w:val="true"/>
        </w:rPr>
        <w:t>، والمراسم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الوارد فی الخبر، راجع الوسائل </w:t>
      </w:r>
      <w:r>
        <w:rPr>
          <w:rFonts w:eastAsia="IRNazanin" w:cs="IRNazanin"/>
          <w:b w:val="false"/>
          <w:bCs w:val="false"/>
          <w:i w:val="false"/>
          <w:iCs w:val="false"/>
          <w:color w:val="333333"/>
          <w:sz w:val="20"/>
          <w:szCs w:val="20"/>
        </w:rPr>
        <w:t>17:591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میراث الغرقی، الحدیث الأوّل، والباب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الحدیث الأوّل</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الکافی فی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والغنیة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والشرائع </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xml:space="preserve">، والمختلف </w:t>
      </w:r>
      <w:r>
        <w:rPr>
          <w:rFonts w:eastAsia="IRNazanin" w:cs="IRNazanin"/>
          <w:b w:val="false"/>
          <w:bCs w:val="false"/>
          <w:i w:val="false"/>
          <w:iCs w:val="false"/>
          <w:color w:val="333333"/>
          <w:sz w:val="20"/>
          <w:szCs w:val="20"/>
        </w:rPr>
        <w:t>9:101</w:t>
      </w:r>
      <w:r>
        <w:rPr>
          <w:rFonts w:ascii="IRNazanin" w:hAnsi="IRNazanin" w:eastAsia="IRNazanin"/>
          <w:b w:val="false"/>
          <w:b w:val="false"/>
          <w:bCs w:val="false"/>
          <w:i w:val="false"/>
          <w:i w:val="false"/>
          <w:iCs w:val="false"/>
          <w:color w:val="333333"/>
          <w:sz w:val="20"/>
          <w:sz w:val="20"/>
          <w:szCs w:val="20"/>
          <w:rtl w:val="true"/>
        </w:rPr>
        <w:t xml:space="preserve">، والدروس </w:t>
      </w:r>
      <w:r>
        <w:rPr>
          <w:rFonts w:eastAsia="IRNazanin" w:cs="IRNazanin"/>
          <w:b w:val="false"/>
          <w:bCs w:val="false"/>
          <w:i w:val="false"/>
          <w:iCs w:val="false"/>
          <w:color w:val="333333"/>
          <w:sz w:val="20"/>
          <w:szCs w:val="20"/>
        </w:rPr>
        <w:t>2:353</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لوارثه</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17:595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میراث الغرقی والمهدوم علیهم، ذیل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2:353</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کالقتل</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 إلیه الحلبی فی 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وابن حمزة فی الوسیلة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 والعلّامة فی القواعد </w:t>
      </w:r>
      <w:r>
        <w:rPr>
          <w:rFonts w:eastAsia="IRNazanin" w:cs="IRNazanin"/>
          <w:b w:val="false"/>
          <w:bCs w:val="false"/>
          <w:i w:val="false"/>
          <w:iCs w:val="false"/>
          <w:color w:val="333333"/>
          <w:sz w:val="20"/>
          <w:szCs w:val="20"/>
        </w:rPr>
        <w:t>3:400</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الکلینی فی الکافی </w:t>
      </w:r>
      <w:r>
        <w:rPr>
          <w:rFonts w:eastAsia="IRNazanin" w:cs="IRNazanin"/>
          <w:b w:val="false"/>
          <w:bCs w:val="false"/>
          <w:i w:val="false"/>
          <w:iCs w:val="false"/>
          <w:color w:val="333333"/>
          <w:sz w:val="20"/>
          <w:szCs w:val="20"/>
        </w:rPr>
        <w:t>7:145</w:t>
      </w:r>
      <w:r>
        <w:rPr>
          <w:rFonts w:ascii="IRNazanin" w:hAnsi="IRNazanin" w:eastAsia="IRNazanin"/>
          <w:b w:val="false"/>
          <w:b w:val="false"/>
          <w:bCs w:val="false"/>
          <w:i w:val="false"/>
          <w:i w:val="false"/>
          <w:iCs w:val="false"/>
          <w:color w:val="333333"/>
          <w:sz w:val="20"/>
          <w:sz w:val="20"/>
          <w:szCs w:val="20"/>
          <w:rtl w:val="true"/>
        </w:rPr>
        <w:t xml:space="preserve">، ذیل الحدیث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والشیخ الطوسی فی التهذیب </w:t>
      </w:r>
      <w:r>
        <w:rPr>
          <w:rFonts w:eastAsia="IRNazanin" w:cs="IRNazanin"/>
          <w:b w:val="false"/>
          <w:bCs w:val="false"/>
          <w:i w:val="false"/>
          <w:iCs w:val="false"/>
          <w:color w:val="333333"/>
          <w:sz w:val="20"/>
          <w:szCs w:val="20"/>
        </w:rPr>
        <w:t>9:364</w:t>
      </w:r>
      <w:r>
        <w:rPr>
          <w:rFonts w:ascii="IRNazanin" w:hAnsi="IRNazanin" w:eastAsia="IRNazanin"/>
          <w:b w:val="false"/>
          <w:b w:val="false"/>
          <w:bCs w:val="false"/>
          <w:i w:val="false"/>
          <w:i w:val="false"/>
          <w:iCs w:val="false"/>
          <w:color w:val="333333"/>
          <w:sz w:val="20"/>
          <w:sz w:val="20"/>
          <w:szCs w:val="20"/>
          <w:rtl w:val="true"/>
        </w:rPr>
        <w:t xml:space="preserve">، ذیل الحدیث </w:t>
      </w:r>
      <w:r>
        <w:rPr>
          <w:rFonts w:eastAsia="IRNazanin" w:cs="IRNazanin"/>
          <w:b w:val="false"/>
          <w:bCs w:val="false"/>
          <w:i w:val="false"/>
          <w:iCs w:val="false"/>
          <w:color w:val="333333"/>
          <w:sz w:val="20"/>
          <w:szCs w:val="20"/>
        </w:rPr>
        <w:t>1299</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فی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3:287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4:120</w:t>
      </w:r>
      <w:r>
        <w:rPr>
          <w:rFonts w:ascii="IRNazanin" w:hAnsi="IRNazanin" w:eastAsia="IRNazanin"/>
          <w:b w:val="false"/>
          <w:b w:val="false"/>
          <w:bCs w:val="false"/>
          <w:i w:val="false"/>
          <w:i w:val="false"/>
          <w:iCs w:val="false"/>
          <w:color w:val="333333"/>
          <w:sz w:val="20"/>
          <w:sz w:val="20"/>
          <w:szCs w:val="20"/>
          <w:rtl w:val="true"/>
        </w:rPr>
        <w:t>، والنهایة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683</w:t>
      </w:r>
      <w:r>
        <w:rPr>
          <w:rFonts w:ascii="IRNazanin" w:hAnsi="IRNazanin" w:eastAsia="IRNazanin"/>
          <w:b w:val="false"/>
          <w:b w:val="false"/>
          <w:bCs w:val="false"/>
          <w:i w:val="false"/>
          <w:i w:val="false"/>
          <w:iCs w:val="false"/>
          <w:color w:val="333333"/>
          <w:sz w:val="20"/>
          <w:sz w:val="20"/>
          <w:szCs w:val="20"/>
          <w:rtl w:val="true"/>
        </w:rPr>
        <w:t xml:space="preserve">، والمهذّب </w:t>
      </w:r>
      <w:r>
        <w:rPr>
          <w:rFonts w:eastAsia="IRNazanin" w:cs="IRNazanin"/>
          <w:b w:val="false"/>
          <w:bCs w:val="false"/>
          <w:i w:val="false"/>
          <w:iCs w:val="false"/>
          <w:color w:val="333333"/>
          <w:sz w:val="20"/>
          <w:szCs w:val="20"/>
        </w:rPr>
        <w:t>2:170</w:t>
      </w:r>
      <w:r>
        <w:rPr>
          <w:rFonts w:ascii="IRNazanin" w:hAnsi="IRNazanin" w:eastAsia="IRNazanin"/>
          <w:b w:val="false"/>
          <w:b w:val="false"/>
          <w:bCs w:val="false"/>
          <w:i w:val="false"/>
          <w:i w:val="false"/>
          <w:iCs w:val="false"/>
          <w:color w:val="333333"/>
          <w:sz w:val="20"/>
          <w:sz w:val="20"/>
          <w:szCs w:val="20"/>
          <w:rtl w:val="true"/>
        </w:rPr>
        <w:t>، والوسیلة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والمراسم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4:344</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5745</w:t>
      </w:r>
      <w:r>
        <w:rPr>
          <w:rFonts w:ascii="IRNazanin" w:hAnsi="IRNazanin" w:eastAsia="IRNazanin"/>
          <w:b w:val="false"/>
          <w:b w:val="false"/>
          <w:bCs w:val="false"/>
          <w:i w:val="false"/>
          <w:i w:val="false"/>
          <w:iCs w:val="false"/>
          <w:color w:val="333333"/>
          <w:sz w:val="20"/>
          <w:sz w:val="20"/>
          <w:szCs w:val="20"/>
          <w:rtl w:val="true"/>
        </w:rPr>
        <w:t xml:space="preserve">، والوسائل </w:t>
      </w:r>
      <w:r>
        <w:rPr>
          <w:rFonts w:eastAsia="IRNazanin" w:cs="IRNazanin"/>
          <w:b w:val="false"/>
          <w:bCs w:val="false"/>
          <w:i w:val="false"/>
          <w:iCs w:val="false"/>
          <w:color w:val="333333"/>
          <w:sz w:val="20"/>
          <w:szCs w:val="20"/>
        </w:rPr>
        <w:t>17:596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میراث المجوس، الحدیث الأوّل</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17:596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میراث المجوس،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الکلینی فی الکافی </w:t>
      </w:r>
      <w:r>
        <w:rPr>
          <w:rFonts w:eastAsia="IRNazanin" w:cs="IRNazanin"/>
          <w:b w:val="false"/>
          <w:bCs w:val="false"/>
          <w:i w:val="false"/>
          <w:iCs w:val="false"/>
          <w:color w:val="333333"/>
          <w:sz w:val="20"/>
          <w:szCs w:val="20"/>
        </w:rPr>
        <w:t>7:145</w:t>
      </w:r>
      <w:r>
        <w:rPr>
          <w:rFonts w:ascii="IRNazanin" w:hAnsi="IRNazanin" w:eastAsia="IRNazanin"/>
          <w:b w:val="false"/>
          <w:b w:val="false"/>
          <w:bCs w:val="false"/>
          <w:i w:val="false"/>
          <w:i w:val="false"/>
          <w:iCs w:val="false"/>
          <w:color w:val="333333"/>
          <w:sz w:val="20"/>
          <w:sz w:val="20"/>
          <w:szCs w:val="20"/>
          <w:rtl w:val="true"/>
        </w:rPr>
        <w:t xml:space="preserve">، والشیخ فی التهذیب </w:t>
      </w:r>
      <w:r>
        <w:rPr>
          <w:rFonts w:eastAsia="IRNazanin" w:cs="IRNazanin"/>
          <w:b w:val="false"/>
          <w:bCs w:val="false"/>
          <w:i w:val="false"/>
          <w:iCs w:val="false"/>
          <w:color w:val="333333"/>
          <w:sz w:val="20"/>
          <w:szCs w:val="20"/>
        </w:rPr>
        <w:t>9:364</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المحقّق فی المختصر النافع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والفاضل الآبی فی کشف الرموز </w:t>
      </w:r>
      <w:r>
        <w:rPr>
          <w:rFonts w:eastAsia="IRNazanin" w:cs="IRNazanin"/>
          <w:b w:val="false"/>
          <w:bCs w:val="false"/>
          <w:i w:val="false"/>
          <w:iCs w:val="false"/>
          <w:color w:val="333333"/>
          <w:sz w:val="20"/>
          <w:szCs w:val="20"/>
        </w:rPr>
        <w:t>2:483</w:t>
      </w:r>
      <w:r>
        <w:rPr>
          <w:rFonts w:ascii="IRNazanin" w:hAnsi="IRNazanin" w:eastAsia="IRNazanin"/>
          <w:b w:val="false"/>
          <w:b w:val="false"/>
          <w:bCs w:val="false"/>
          <w:i w:val="false"/>
          <w:i w:val="false"/>
          <w:iCs w:val="false"/>
          <w:color w:val="333333"/>
          <w:sz w:val="20"/>
          <w:sz w:val="20"/>
          <w:szCs w:val="20"/>
          <w:rtl w:val="true"/>
        </w:rPr>
        <w:t xml:space="preserve">، والعلّامة وولده فی القواعد </w:t>
      </w:r>
      <w:r>
        <w:rPr>
          <w:rFonts w:eastAsia="IRNazanin" w:cs="IRNazanin"/>
          <w:b w:val="false"/>
          <w:bCs w:val="false"/>
          <w:i w:val="false"/>
          <w:iCs w:val="false"/>
          <w:color w:val="333333"/>
          <w:sz w:val="20"/>
          <w:szCs w:val="20"/>
        </w:rPr>
        <w:t>3:399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والإیضاح </w:t>
      </w:r>
      <w:r>
        <w:rPr>
          <w:rFonts w:eastAsia="IRNazanin" w:cs="IRNazanin"/>
          <w:b w:val="false"/>
          <w:bCs w:val="false"/>
          <w:i w:val="false"/>
          <w:iCs w:val="false"/>
          <w:color w:val="333333"/>
          <w:sz w:val="20"/>
          <w:szCs w:val="20"/>
        </w:rPr>
        <w:t>4:275</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غایة المراد </w:t>
      </w:r>
      <w:r>
        <w:rPr>
          <w:rFonts w:eastAsia="IRNazanin" w:cs="IRNazanin"/>
          <w:b w:val="false"/>
          <w:bCs w:val="false"/>
          <w:i w:val="false"/>
          <w:iCs w:val="false"/>
          <w:color w:val="333333"/>
          <w:sz w:val="20"/>
          <w:szCs w:val="20"/>
        </w:rPr>
        <w:t>3:633</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w:t>
      </w:r>
    </w:p>
  </w:footnote>
  <w:footnote w:id="1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3:288</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 ضعیف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المسالک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ورثها، وفی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ورث</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والسدس من ستّة، والثمن من ثمانیة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أثبتناه موافق لنسختی المتن</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الفریضة</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یرد فی المخطوطات</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أحدها</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أحدها</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یلزمه</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بالربع</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یرد فی المخطوطات</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فی المخطوطات</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الصفحة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لفظ الحدیث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17:431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موجبات الإرث، الحدیث الأوّل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 .</w:t>
      </w:r>
    </w:p>
  </w:footnote>
  <w:footnote w:id="1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إخوة ثلاثة وأخوات ثلاث</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سهم وارثه، وفی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سهام وارثه</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المسألة الثانیة</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الثانی</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بصحّته</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إیلاج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قول الماتن</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1:333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فرج</w:t>
      </w:r>
      <w:r>
        <w:rPr>
          <w:rFonts w:eastAsia="IRNazanin" w:cs="IRNazanin"/>
          <w:b w:val="false"/>
          <w:bCs w:val="false"/>
          <w:i w:val="false"/>
          <w:iCs w:val="false"/>
          <w:color w:val="333333"/>
          <w:sz w:val="20"/>
          <w:szCs w:val="20"/>
          <w:rtl w:val="true"/>
        </w:rPr>
        <w:t>) .</w:t>
      </w:r>
    </w:p>
  </w:footnote>
  <w:footnote w:id="1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کانت</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الصفحة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علیها</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الثانی بالنسبة إلی المتن، وهو سابع الشرح</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سادس الشرح</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أبو حنیفة والثوری، انظر المغنی والشرح الکبیر </w:t>
      </w:r>
      <w:r>
        <w:rPr>
          <w:rFonts w:eastAsia="IRNazanin" w:cs="IRNazanin"/>
          <w:b w:val="false"/>
          <w:bCs w:val="false"/>
          <w:i w:val="false"/>
          <w:iCs w:val="false"/>
          <w:color w:val="333333"/>
          <w:sz w:val="20"/>
          <w:szCs w:val="20"/>
        </w:rPr>
        <w:t>10:152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والفتاوی الهندیّة </w:t>
      </w:r>
      <w:r>
        <w:rPr>
          <w:rFonts w:eastAsia="IRNazanin" w:cs="IRNazanin"/>
          <w:b w:val="false"/>
          <w:bCs w:val="false"/>
          <w:i w:val="false"/>
          <w:iCs w:val="false"/>
          <w:color w:val="333333"/>
          <w:sz w:val="20"/>
          <w:szCs w:val="20"/>
        </w:rPr>
        <w:t>2:147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باب الحدود</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 إلیه العلّامة فی التحریر </w:t>
      </w:r>
      <w:r>
        <w:rPr>
          <w:rFonts w:eastAsia="IRNazanin" w:cs="IRNazanin"/>
          <w:b w:val="false"/>
          <w:bCs w:val="false"/>
          <w:i w:val="false"/>
          <w:iCs w:val="false"/>
          <w:color w:val="333333"/>
          <w:sz w:val="20"/>
          <w:szCs w:val="20"/>
        </w:rPr>
        <w:t>5:304</w:t>
      </w:r>
      <w:r>
        <w:rPr>
          <w:rFonts w:ascii="IRNazanin" w:hAnsi="IRNazanin" w:eastAsia="IRNazanin"/>
          <w:b w:val="false"/>
          <w:b w:val="false"/>
          <w:bCs w:val="false"/>
          <w:i w:val="false"/>
          <w:i w:val="false"/>
          <w:iCs w:val="false"/>
          <w:color w:val="333333"/>
          <w:sz w:val="20"/>
          <w:sz w:val="20"/>
          <w:szCs w:val="20"/>
          <w:rtl w:val="true"/>
        </w:rPr>
        <w:t xml:space="preserve">، والصیمری فی غایة المرام </w:t>
      </w:r>
      <w:r>
        <w:rPr>
          <w:rFonts w:eastAsia="IRNazanin" w:cs="IRNazanin"/>
          <w:b w:val="false"/>
          <w:bCs w:val="false"/>
          <w:i w:val="false"/>
          <w:iCs w:val="false"/>
          <w:color w:val="333333"/>
          <w:sz w:val="20"/>
          <w:szCs w:val="20"/>
        </w:rPr>
        <w:t>4:312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والقول 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لابن زهرة فی الغنیة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والکیدری فی إصباح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الجزء الثالث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الزَّانِیَةُ وَالزَّانِی فَاجْلِدُوا کُلَّ وَاحِدٍ مِنْهُمَا مِئَةَ جَلْدَةٍ</w:t>
      </w:r>
      <w:r>
        <w:rPr>
          <w:rFonts w:eastAsia="IRNazanin" w:cs="IRNazanin"/>
          <w:b w:val="false"/>
          <w:bCs w:val="false"/>
          <w:i w:val="false"/>
          <w:iCs w:val="false"/>
          <w:color w:val="333333"/>
          <w:sz w:val="20"/>
          <w:szCs w:val="20"/>
          <w:rtl w:val="true"/>
        </w:rPr>
        <w:t>) .</w:t>
      </w:r>
    </w:p>
  </w:footnote>
  <w:footnote w:id="1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الأمة، وفی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لاُمّه، وفی هامشها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للاُمّ خ ل</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18:336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الحدود وأحکامها العامّة،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بالمضمون</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المشار إلیه فی الهامش 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تخریج القولین فی الصفحة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الهامش 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تغییب</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 إلیه المحقّق فی المختصر النافع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والعلّامة فی المختلف </w:t>
      </w:r>
      <w:r>
        <w:rPr>
          <w:rFonts w:eastAsia="IRNazanin" w:cs="IRNazanin"/>
          <w:b w:val="false"/>
          <w:bCs w:val="false"/>
          <w:i w:val="false"/>
          <w:iCs w:val="false"/>
          <w:color w:val="333333"/>
          <w:sz w:val="20"/>
          <w:szCs w:val="20"/>
        </w:rPr>
        <w:t>9:158</w:t>
      </w:r>
      <w:r>
        <w:rPr>
          <w:rFonts w:ascii="IRNazanin" w:hAnsi="IRNazanin" w:eastAsia="IRNazanin"/>
          <w:b w:val="false"/>
          <w:b w:val="false"/>
          <w:bCs w:val="false"/>
          <w:i w:val="false"/>
          <w:i w:val="false"/>
          <w:iCs w:val="false"/>
          <w:color w:val="333333"/>
          <w:sz w:val="20"/>
          <w:sz w:val="20"/>
          <w:szCs w:val="20"/>
          <w:rtl w:val="true"/>
        </w:rPr>
        <w:t xml:space="preserve">، والقواعد </w:t>
      </w:r>
      <w:r>
        <w:rPr>
          <w:rFonts w:eastAsia="IRNazanin" w:cs="IRNazanin"/>
          <w:b w:val="false"/>
          <w:bCs w:val="false"/>
          <w:i w:val="false"/>
          <w:iCs w:val="false"/>
          <w:color w:val="333333"/>
          <w:sz w:val="20"/>
          <w:szCs w:val="20"/>
        </w:rPr>
        <w:t>3:523</w:t>
      </w:r>
      <w:r>
        <w:rPr>
          <w:rFonts w:ascii="IRNazanin" w:hAnsi="IRNazanin" w:eastAsia="IRNazanin"/>
          <w:b w:val="false"/>
          <w:b w:val="false"/>
          <w:bCs w:val="false"/>
          <w:i w:val="false"/>
          <w:i w:val="false"/>
          <w:iCs w:val="false"/>
          <w:color w:val="333333"/>
          <w:sz w:val="20"/>
          <w:sz w:val="20"/>
          <w:szCs w:val="20"/>
          <w:rtl w:val="true"/>
        </w:rPr>
        <w:t>، وهو ظاهر إطلاق المفید فی 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775</w:t>
      </w:r>
      <w:r>
        <w:rPr>
          <w:rFonts w:ascii="IRNazanin" w:hAnsi="IRNazanin" w:eastAsia="IRNazanin"/>
          <w:b w:val="false"/>
          <w:b w:val="false"/>
          <w:bCs w:val="false"/>
          <w:i w:val="false"/>
          <w:i w:val="false"/>
          <w:iCs w:val="false"/>
          <w:color w:val="333333"/>
          <w:sz w:val="20"/>
          <w:sz w:val="20"/>
          <w:szCs w:val="20"/>
          <w:rtl w:val="true"/>
        </w:rPr>
        <w:t>، والشیخ فی 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689</w:t>
      </w:r>
      <w:r>
        <w:rPr>
          <w:rFonts w:ascii="IRNazanin" w:hAnsi="IRNazanin" w:eastAsia="IRNazanin"/>
          <w:b w:val="false"/>
          <w:b w:val="false"/>
          <w:bCs w:val="false"/>
          <w:i w:val="false"/>
          <w:i w:val="false"/>
          <w:iCs w:val="false"/>
          <w:color w:val="333333"/>
          <w:sz w:val="20"/>
          <w:sz w:val="20"/>
          <w:szCs w:val="20"/>
          <w:rtl w:val="true"/>
        </w:rPr>
        <w:t xml:space="preserve">، وأتباعهما مثل القاضی فی المهذّب </w:t>
      </w:r>
      <w:r>
        <w:rPr>
          <w:rFonts w:eastAsia="IRNazanin" w:cs="IRNazanin"/>
          <w:b w:val="false"/>
          <w:bCs w:val="false"/>
          <w:i w:val="false"/>
          <w:iCs w:val="false"/>
          <w:color w:val="333333"/>
          <w:sz w:val="20"/>
          <w:szCs w:val="20"/>
        </w:rPr>
        <w:t>2:524</w:t>
      </w:r>
      <w:r>
        <w:rPr>
          <w:rFonts w:ascii="IRNazanin" w:hAnsi="IRNazanin" w:eastAsia="IRNazanin"/>
          <w:b w:val="false"/>
          <w:b w:val="false"/>
          <w:bCs w:val="false"/>
          <w:i w:val="false"/>
          <w:i w:val="false"/>
          <w:iCs w:val="false"/>
          <w:color w:val="333333"/>
          <w:sz w:val="20"/>
          <w:sz w:val="20"/>
          <w:szCs w:val="20"/>
          <w:rtl w:val="true"/>
        </w:rPr>
        <w:t>، والحلبی فی 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 وانظر للتفصیل غایة المراد </w:t>
      </w:r>
      <w:r>
        <w:rPr>
          <w:rFonts w:eastAsia="IRNazanin" w:cs="IRNazanin"/>
          <w:b w:val="false"/>
          <w:bCs w:val="false"/>
          <w:i w:val="false"/>
          <w:iCs w:val="false"/>
          <w:color w:val="333333"/>
          <w:sz w:val="20"/>
          <w:szCs w:val="20"/>
        </w:rPr>
        <w:t>4:187</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18:380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الزنا،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یرد فی المخطوطات</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الشیخ فی الخلاف </w:t>
      </w:r>
      <w:r>
        <w:rPr>
          <w:rFonts w:eastAsia="IRNazanin" w:cs="IRNazanin"/>
          <w:b w:val="false"/>
          <w:bCs w:val="false"/>
          <w:i w:val="false"/>
          <w:iCs w:val="false"/>
          <w:color w:val="333333"/>
          <w:sz w:val="20"/>
          <w:szCs w:val="20"/>
        </w:rPr>
        <w:t>5:377</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وابن حمزة فی الوسیلة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 والراوندی فی فقه القرآن </w:t>
      </w:r>
      <w:r>
        <w:rPr>
          <w:rFonts w:eastAsia="IRNazanin" w:cs="IRNazanin"/>
          <w:b w:val="false"/>
          <w:bCs w:val="false"/>
          <w:i w:val="false"/>
          <w:iCs w:val="false"/>
          <w:color w:val="333333"/>
          <w:sz w:val="20"/>
          <w:szCs w:val="20"/>
        </w:rPr>
        <w:t>2:370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السنن الکبری </w:t>
      </w:r>
      <w:r>
        <w:rPr>
          <w:rFonts w:eastAsia="IRNazanin" w:cs="IRNazanin"/>
          <w:b w:val="false"/>
          <w:bCs w:val="false"/>
          <w:i w:val="false"/>
          <w:iCs w:val="false"/>
          <w:color w:val="333333"/>
          <w:sz w:val="20"/>
          <w:szCs w:val="20"/>
        </w:rPr>
        <w:t>8:226</w:t>
      </w:r>
      <w:r>
        <w:rPr>
          <w:rFonts w:ascii="IRNazanin" w:hAnsi="IRNazanin" w:eastAsia="IRNazanin"/>
          <w:b w:val="false"/>
          <w:b w:val="false"/>
          <w:bCs w:val="false"/>
          <w:i w:val="false"/>
          <w:i w:val="false"/>
          <w:iCs w:val="false"/>
          <w:color w:val="333333"/>
          <w:sz w:val="20"/>
          <w:sz w:val="20"/>
          <w:szCs w:val="20"/>
          <w:rtl w:val="true"/>
        </w:rPr>
        <w:t xml:space="preserve">، وعوالی اللآلئ </w:t>
      </w:r>
      <w:r>
        <w:rPr>
          <w:rFonts w:eastAsia="IRNazanin" w:cs="IRNazanin"/>
          <w:b w:val="false"/>
          <w:bCs w:val="false"/>
          <w:i w:val="false"/>
          <w:iCs w:val="false"/>
          <w:color w:val="333333"/>
          <w:sz w:val="20"/>
          <w:szCs w:val="20"/>
        </w:rPr>
        <w:t>3:551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یسیر فی العوالی</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إثباته</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 الشیخ فی 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فهد فی المهذّب البارع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ثبوت حدّ القذف، ونسب ابن فهد ذلک إلی المذهب والأصحاب، وتردّد فیه المحقّق فی الشرائع </w:t>
      </w:r>
      <w:r>
        <w:rPr>
          <w:rFonts w:eastAsia="IRNazanin" w:cs="IRNazanin"/>
          <w:b w:val="false"/>
          <w:bCs w:val="false"/>
          <w:i w:val="false"/>
          <w:iCs w:val="false"/>
          <w:color w:val="333333"/>
          <w:sz w:val="20"/>
          <w:szCs w:val="20"/>
        </w:rPr>
        <w:t>4:152</w:t>
      </w:r>
      <w:r>
        <w:rPr>
          <w:rFonts w:ascii="IRNazanin" w:hAnsi="IRNazanin" w:eastAsia="IRNazanin"/>
          <w:b w:val="false"/>
          <w:b w:val="false"/>
          <w:bCs w:val="false"/>
          <w:i w:val="false"/>
          <w:i w:val="false"/>
          <w:iCs w:val="false"/>
          <w:color w:val="333333"/>
          <w:sz w:val="20"/>
          <w:sz w:val="20"/>
          <w:szCs w:val="20"/>
          <w:rtl w:val="true"/>
        </w:rPr>
        <w:t>، والمختصر النافع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واستشکل فیه العلّامة فی القواعد </w:t>
      </w:r>
      <w:r>
        <w:rPr>
          <w:rFonts w:eastAsia="IRNazanin" w:cs="IRNazanin"/>
          <w:b w:val="false"/>
          <w:bCs w:val="false"/>
          <w:i w:val="false"/>
          <w:iCs w:val="false"/>
          <w:color w:val="333333"/>
          <w:sz w:val="20"/>
          <w:szCs w:val="20"/>
        </w:rPr>
        <w:t>3:523</w:t>
      </w:r>
      <w:r>
        <w:rPr>
          <w:rFonts w:ascii="IRNazanin" w:hAnsi="IRNazanin" w:eastAsia="IRNazanin"/>
          <w:b w:val="false"/>
          <w:b w:val="false"/>
          <w:bCs w:val="false"/>
          <w:i w:val="false"/>
          <w:i w:val="false"/>
          <w:iCs w:val="false"/>
          <w:color w:val="333333"/>
          <w:sz w:val="20"/>
          <w:sz w:val="20"/>
          <w:szCs w:val="20"/>
          <w:rtl w:val="true"/>
        </w:rPr>
        <w:t xml:space="preserve">، والإرشاد </w:t>
      </w:r>
      <w:r>
        <w:rPr>
          <w:rFonts w:eastAsia="IRNazanin" w:cs="IRNazanin"/>
          <w:b w:val="false"/>
          <w:bCs w:val="false"/>
          <w:i w:val="false"/>
          <w:iCs w:val="false"/>
          <w:color w:val="333333"/>
          <w:sz w:val="20"/>
          <w:szCs w:val="20"/>
        </w:rPr>
        <w:t>2:171</w:t>
      </w:r>
      <w:r>
        <w:rPr>
          <w:rFonts w:ascii="IRNazanin" w:hAnsi="IRNazanin" w:eastAsia="IRNazanin"/>
          <w:b w:val="false"/>
          <w:b w:val="false"/>
          <w:bCs w:val="false"/>
          <w:i w:val="false"/>
          <w:i w:val="false"/>
          <w:iCs w:val="false"/>
          <w:color w:val="333333"/>
          <w:sz w:val="20"/>
          <w:sz w:val="20"/>
          <w:szCs w:val="20"/>
          <w:rtl w:val="true"/>
        </w:rPr>
        <w:t>، ولم نعثر علی النافی بتّاً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نسبه الشارح فی ما سیأتی إلی المصنّف فی الشرح</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غایة المراد </w:t>
      </w:r>
      <w:r>
        <w:rPr>
          <w:rFonts w:eastAsia="IRNazanin" w:cs="IRNazanin"/>
          <w:b w:val="false"/>
          <w:bCs w:val="false"/>
          <w:i w:val="false"/>
          <w:iCs w:val="false"/>
          <w:color w:val="333333"/>
          <w:sz w:val="20"/>
          <w:szCs w:val="20"/>
        </w:rPr>
        <w:t>4:188</w:t>
      </w:r>
      <w:r>
        <w:rPr>
          <w:rFonts w:ascii="IRNazanin" w:hAnsi="IRNazanin" w:eastAsia="IRNazanin"/>
          <w:b w:val="false"/>
          <w:b w:val="false"/>
          <w:bCs w:val="false"/>
          <w:i w:val="false"/>
          <w:i w:val="false"/>
          <w:iCs w:val="false"/>
          <w:color w:val="333333"/>
          <w:sz w:val="20"/>
          <w:sz w:val="20"/>
          <w:szCs w:val="20"/>
          <w:rtl w:val="true"/>
        </w:rPr>
        <w:t>، وفیه بعد بیان وجه عدم القذف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 قوّة</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عموم الآیة الکریمة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اَلَّذِینَ یَرْمُونَ اَلْمُحْصَنٰاتِ ثُمَّ لَمْ یَأْتُوا بِأَرْبَعَةِ شُهَدٰاءَ فَاجْلِدُوهُمْ ثَمٰانِینَ جَلْدَةً سورة 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18:411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الزنا،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الثانی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سمّاه بذلک فی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 لَمْ یَأْتُوا بِالشُّهَدٰاءِ فَأُولٰئِکَ عِنْدَ اَللّٰهِ هُمُ اَلْکٰاذِبُونَ سورة 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18:371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الزنا،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یشهد أربع</w:t>
      </w:r>
      <w:r>
        <w:rPr>
          <w:rFonts w:eastAsia="IRNazanin" w:cs="IRNazanin"/>
          <w:b w:val="false"/>
          <w:bCs w:val="false"/>
          <w:i w:val="false"/>
          <w:iCs w:val="false"/>
          <w:color w:val="333333"/>
          <w:sz w:val="20"/>
          <w:szCs w:val="20"/>
          <w:rtl w:val="true"/>
        </w:rPr>
        <w:t>» .</w:t>
      </w:r>
    </w:p>
  </w:footnote>
  <w:footnote w:id="1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المحقّق فی الشرائع </w:t>
      </w:r>
      <w:r>
        <w:rPr>
          <w:rFonts w:eastAsia="IRNazanin" w:cs="IRNazanin"/>
          <w:b w:val="false"/>
          <w:bCs w:val="false"/>
          <w:i w:val="false"/>
          <w:iCs w:val="false"/>
          <w:color w:val="333333"/>
          <w:sz w:val="20"/>
          <w:szCs w:val="20"/>
        </w:rPr>
        <w:t>4:153</w:t>
      </w:r>
      <w:r>
        <w:rPr>
          <w:rFonts w:ascii="IRNazanin" w:hAnsi="IRNazanin" w:eastAsia="IRNazanin"/>
          <w:b w:val="false"/>
          <w:b w:val="false"/>
          <w:bCs w:val="false"/>
          <w:i w:val="false"/>
          <w:i w:val="false"/>
          <w:iCs w:val="false"/>
          <w:color w:val="333333"/>
          <w:sz w:val="20"/>
          <w:sz w:val="20"/>
          <w:szCs w:val="20"/>
          <w:rtl w:val="true"/>
        </w:rPr>
        <w:t xml:space="preserve">، والعلّامة فی القواعد </w:t>
      </w:r>
      <w:r>
        <w:rPr>
          <w:rFonts w:eastAsia="IRNazanin" w:cs="IRNazanin"/>
          <w:b w:val="false"/>
          <w:bCs w:val="false"/>
          <w:i w:val="false"/>
          <w:iCs w:val="false"/>
          <w:color w:val="333333"/>
          <w:sz w:val="20"/>
          <w:szCs w:val="20"/>
        </w:rPr>
        <w:t>3:524</w:t>
      </w:r>
      <w:r>
        <w:rPr>
          <w:rFonts w:ascii="IRNazanin" w:hAnsi="IRNazanin" w:eastAsia="IRNazanin"/>
          <w:b w:val="false"/>
          <w:b w:val="false"/>
          <w:bCs w:val="false"/>
          <w:i w:val="false"/>
          <w:i w:val="false"/>
          <w:iCs w:val="false"/>
          <w:color w:val="333333"/>
          <w:sz w:val="20"/>
          <w:sz w:val="20"/>
          <w:szCs w:val="20"/>
          <w:rtl w:val="true"/>
        </w:rPr>
        <w:t xml:space="preserve">، والإرشاد </w:t>
      </w:r>
      <w:r>
        <w:rPr>
          <w:rFonts w:eastAsia="IRNazanin" w:cs="IRNazanin"/>
          <w:b w:val="false"/>
          <w:bCs w:val="false"/>
          <w:i w:val="false"/>
          <w:iCs w:val="false"/>
          <w:color w:val="333333"/>
          <w:sz w:val="20"/>
          <w:szCs w:val="20"/>
        </w:rPr>
        <w:t>2:172</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18:371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الزنا،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سائر أحادیث الباب</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18:372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الزنا،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3:525</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التحریر </w:t>
      </w:r>
      <w:r>
        <w:rPr>
          <w:rFonts w:eastAsia="IRNazanin" w:cs="IRNazanin"/>
          <w:b w:val="false"/>
          <w:bCs w:val="false"/>
          <w:i w:val="false"/>
          <w:iCs w:val="false"/>
          <w:color w:val="333333"/>
          <w:sz w:val="20"/>
          <w:szCs w:val="20"/>
        </w:rPr>
        <w:t>5:309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کذا فی جمیع النسخ، والظاهر أ نّه لا وجه لحذف النون</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الشهود</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ورد فی مرسلة ابن أبی عمیر ما یلی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کان امرأً غریباً لم تُقَم؟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کان خمسة أشهر أو أقلّ وقد ظهر منه أمر جمیل لم تقم علیه الحدود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18:327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الحدود وأحکامها العامّة،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أشار المحقّق إلی ذلک الخبر فی الشرائع </w:t>
      </w:r>
      <w:r>
        <w:rPr>
          <w:rFonts w:eastAsia="IRNazanin" w:cs="IRNazanin"/>
          <w:b w:val="false"/>
          <w:bCs w:val="false"/>
          <w:i w:val="false"/>
          <w:iCs w:val="false"/>
          <w:color w:val="333333"/>
          <w:sz w:val="20"/>
          <w:szCs w:val="20"/>
        </w:rPr>
        <w:t>4:153</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نقف علی مستند هذه الأحکام، لکنّها مشهورة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 .</w:t>
      </w:r>
    </w:p>
  </w:footnote>
  <w:footnote w:id="1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قاله المفید فی 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777</w:t>
      </w:r>
      <w:r>
        <w:rPr>
          <w:rFonts w:ascii="IRNazanin" w:hAnsi="IRNazanin" w:eastAsia="IRNazanin"/>
          <w:b w:val="false"/>
          <w:b w:val="false"/>
          <w:bCs w:val="false"/>
          <w:i w:val="false"/>
          <w:i w:val="false"/>
          <w:iCs w:val="false"/>
          <w:color w:val="333333"/>
          <w:sz w:val="20"/>
          <w:sz w:val="20"/>
          <w:szCs w:val="20"/>
          <w:rtl w:val="true"/>
        </w:rPr>
        <w:t>، والحلبی فی 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18:385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الزنا</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الطلاق التاسع؛ فإنّ الکلام فی المحرّمة مؤبَّداً</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14:280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الباب الأوّل من أبواب ما یحرم بالرضاع</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الشیخ فی المبسوط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والخلاف </w:t>
      </w:r>
      <w:r>
        <w:rPr>
          <w:rFonts w:eastAsia="IRNazanin" w:cs="IRNazanin"/>
          <w:b w:val="false"/>
          <w:bCs w:val="false"/>
          <w:i w:val="false"/>
          <w:iCs w:val="false"/>
          <w:color w:val="333333"/>
          <w:sz w:val="20"/>
          <w:szCs w:val="20"/>
        </w:rPr>
        <w:t>5:386</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وابن سعید فی الجامع للشرائع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549</w:t>
      </w:r>
      <w:r>
        <w:rPr>
          <w:rFonts w:ascii="IRNazanin" w:hAnsi="IRNazanin" w:eastAsia="IRNazanin"/>
          <w:b w:val="false"/>
          <w:b w:val="false"/>
          <w:bCs w:val="false"/>
          <w:i w:val="false"/>
          <w:i w:val="false"/>
          <w:iCs w:val="false"/>
          <w:color w:val="333333"/>
          <w:sz w:val="20"/>
          <w:sz w:val="20"/>
          <w:szCs w:val="20"/>
          <w:rtl w:val="true"/>
        </w:rPr>
        <w:t xml:space="preserve">، راجع الجواهر </w:t>
      </w:r>
      <w:r>
        <w:rPr>
          <w:rFonts w:eastAsia="IRNazanin" w:cs="IRNazanin"/>
          <w:b w:val="false"/>
          <w:bCs w:val="false"/>
          <w:i w:val="false"/>
          <w:iCs w:val="false"/>
          <w:color w:val="333333"/>
          <w:sz w:val="20"/>
          <w:szCs w:val="20"/>
        </w:rPr>
        <w:t>41:312</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ألحق الشیخ فی 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693</w:t>
      </w:r>
      <w:r>
        <w:rPr>
          <w:rFonts w:ascii="IRNazanin" w:hAnsi="IRNazanin" w:eastAsia="IRNazanin"/>
          <w:b w:val="false"/>
          <w:b w:val="false"/>
          <w:bCs w:val="false"/>
          <w:i w:val="false"/>
          <w:i w:val="false"/>
          <w:iCs w:val="false"/>
          <w:color w:val="333333"/>
          <w:sz w:val="20"/>
          <w:sz w:val="20"/>
          <w:szCs w:val="20"/>
          <w:rtl w:val="true"/>
        </w:rPr>
        <w:t xml:space="preserve">، والقاضی ابن البرّاج فی المهذّب </w:t>
      </w:r>
      <w:r>
        <w:rPr>
          <w:rFonts w:eastAsia="IRNazanin" w:cs="IRNazanin"/>
          <w:b w:val="false"/>
          <w:bCs w:val="false"/>
          <w:i w:val="false"/>
          <w:iCs w:val="false"/>
          <w:color w:val="333333"/>
          <w:sz w:val="20"/>
          <w:szCs w:val="20"/>
        </w:rPr>
        <w:t>2:519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زوجة الأب بالمحرم، وألحق ابن حمزة فی الوسیلة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زوجة الأب وجاریته التی وطئها، کما ألحق ابن إدریس فی السرائر </w:t>
      </w:r>
      <w:r>
        <w:rPr>
          <w:rFonts w:eastAsia="IRNazanin" w:cs="IRNazanin"/>
          <w:b w:val="false"/>
          <w:bCs w:val="false"/>
          <w:i w:val="false"/>
          <w:iCs w:val="false"/>
          <w:color w:val="333333"/>
          <w:sz w:val="20"/>
          <w:szCs w:val="20"/>
        </w:rPr>
        <w:t>3:438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زوجة الأب والابن وزاد علی القتل الحدّ، وذهب المفید فی 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أنّ من زنی بجاریة أبیه جلد الحدّ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نظفر علی تصریح آخر بعدم لحوق المذکورات بالمحرم النسبی</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الصفحة السابقة</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عموم أخبار قتل الذمّی إذا زنی بمسلمة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18:407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الزنا، وفیه حدیثان</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18:381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الزنا</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778</w:t>
      </w:r>
      <w:r>
        <w:rPr>
          <w:rFonts w:ascii="IRNazanin" w:hAnsi="IRNazanin" w:eastAsia="IRNazanin"/>
          <w:b w:val="false"/>
          <w:b w:val="false"/>
          <w:bCs w:val="false"/>
          <w:i w:val="false"/>
          <w:i w:val="false"/>
          <w:iCs w:val="false"/>
          <w:color w:val="333333"/>
          <w:sz w:val="20"/>
          <w:sz w:val="20"/>
          <w:szCs w:val="20"/>
          <w:rtl w:val="true"/>
        </w:rPr>
        <w:t>، والنهایة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693</w:t>
      </w:r>
      <w:r>
        <w:rPr>
          <w:rFonts w:ascii="IRNazanin" w:hAnsi="IRNazanin" w:eastAsia="IRNazanin"/>
          <w:b w:val="false"/>
          <w:b w:val="false"/>
          <w:bCs w:val="false"/>
          <w:i w:val="false"/>
          <w:i w:val="false"/>
          <w:iCs w:val="false"/>
          <w:color w:val="333333"/>
          <w:sz w:val="20"/>
          <w:sz w:val="20"/>
          <w:szCs w:val="20"/>
          <w:rtl w:val="true"/>
        </w:rPr>
        <w:t xml:space="preserve">، والقواعد </w:t>
      </w:r>
      <w:r>
        <w:rPr>
          <w:rFonts w:eastAsia="IRNazanin" w:cs="IRNazanin"/>
          <w:b w:val="false"/>
          <w:bCs w:val="false"/>
          <w:i w:val="false"/>
          <w:iCs w:val="false"/>
          <w:color w:val="333333"/>
          <w:sz w:val="20"/>
          <w:szCs w:val="20"/>
        </w:rPr>
        <w:t>3:526</w:t>
      </w:r>
      <w:r>
        <w:rPr>
          <w:rFonts w:ascii="IRNazanin" w:hAnsi="IRNazanin" w:eastAsia="IRNazanin"/>
          <w:b w:val="false"/>
          <w:b w:val="false"/>
          <w:bCs w:val="false"/>
          <w:i w:val="false"/>
          <w:i w:val="false"/>
          <w:iCs w:val="false"/>
          <w:color w:val="333333"/>
          <w:sz w:val="20"/>
          <w:sz w:val="20"/>
          <w:szCs w:val="20"/>
          <w:rtl w:val="true"/>
        </w:rPr>
        <w:t xml:space="preserve">، والشرائع </w:t>
      </w:r>
      <w:r>
        <w:rPr>
          <w:rFonts w:eastAsia="IRNazanin" w:cs="IRNazanin"/>
          <w:b w:val="false"/>
          <w:bCs w:val="false"/>
          <w:i w:val="false"/>
          <w:iCs w:val="false"/>
          <w:color w:val="333333"/>
          <w:sz w:val="20"/>
          <w:szCs w:val="20"/>
        </w:rPr>
        <w:t>4:154</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3:438</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وستأتی من الشارح قدس سره الإشارة إلیها</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یلحق</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الخصیین</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القید الرابع</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 نّه لا یکفی الدُبُر</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وهی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اَلَّذِینَ هُمْ لِفُرُوجِهِمْ حٰافِظُونَ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عَلیٰ أَزْوٰاجِهِمْ أَوْ مٰا مَلَکَتْ أَیْمٰانُهُمْ ، سورة المؤمنون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یرد فی المخطوطات</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یثبت</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وهی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اَلزّٰانِیَةُ وَ اَلزّٰانِی فَاجْلِدُوا کُلَّ وٰاحِدٍ مِنْهُمٰا مِائَةَ جَلْدَةٍ ، سورة 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18:347</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حدّ الزنا،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قاله الشیخ فی 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693</w:t>
      </w:r>
      <w:r>
        <w:rPr>
          <w:rFonts w:ascii="IRNazanin" w:hAnsi="IRNazanin" w:eastAsia="IRNazanin"/>
          <w:b w:val="false"/>
          <w:b w:val="false"/>
          <w:bCs w:val="false"/>
          <w:i w:val="false"/>
          <w:i w:val="false"/>
          <w:iCs w:val="false"/>
          <w:color w:val="333333"/>
          <w:sz w:val="20"/>
          <w:sz w:val="20"/>
          <w:szCs w:val="20"/>
          <w:rtl w:val="true"/>
        </w:rPr>
        <w:t>، والسیّد فی الغنیة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وابن حمزة فی الوسیلة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وغیرهم</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ابن أبی عقیل، حکی عنه العلّامة فی المختلف </w:t>
      </w:r>
      <w:r>
        <w:rPr>
          <w:rFonts w:eastAsia="IRNazanin" w:cs="IRNazanin"/>
          <w:b w:val="false"/>
          <w:bCs w:val="false"/>
          <w:i w:val="false"/>
          <w:iCs w:val="false"/>
          <w:color w:val="333333"/>
          <w:sz w:val="20"/>
          <w:szCs w:val="20"/>
        </w:rPr>
        <w:t>9:131</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18:348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حدّ الزنا،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 وفی العوالی ومستدرک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جلدتها</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18:42</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حدّ الزنا،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العوالی </w:t>
      </w:r>
      <w:r>
        <w:rPr>
          <w:rFonts w:eastAsia="IRNazanin" w:cs="IRNazanin"/>
          <w:b w:val="false"/>
          <w:bCs w:val="false"/>
          <w:i w:val="false"/>
          <w:iCs w:val="false"/>
          <w:color w:val="333333"/>
          <w:sz w:val="20"/>
          <w:szCs w:val="20"/>
        </w:rPr>
        <w:t>3:552</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18:349</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حدّ الزنا،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ضعفها سنداً بعبد اللّٰه بن طلحة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المسالک </w:t>
      </w:r>
      <w:r>
        <w:rPr>
          <w:rFonts w:eastAsia="IRNazanin" w:cs="IRNazanin"/>
          <w:b w:val="false"/>
          <w:bCs w:val="false"/>
          <w:i w:val="false"/>
          <w:iCs w:val="false"/>
          <w:color w:val="333333"/>
          <w:sz w:val="20"/>
          <w:szCs w:val="20"/>
        </w:rPr>
        <w:t>15:353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رقم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الشیخ فی 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700</w:t>
      </w:r>
      <w:r>
        <w:rPr>
          <w:rFonts w:ascii="IRNazanin" w:hAnsi="IRNazanin" w:eastAsia="IRNazanin"/>
          <w:b w:val="false"/>
          <w:b w:val="false"/>
          <w:bCs w:val="false"/>
          <w:i w:val="false"/>
          <w:i w:val="false"/>
          <w:iCs w:val="false"/>
          <w:color w:val="333333"/>
          <w:sz w:val="20"/>
          <w:sz w:val="20"/>
          <w:szCs w:val="20"/>
          <w:rtl w:val="true"/>
        </w:rPr>
        <w:t xml:space="preserve">، والمحقّق فی الشرائع </w:t>
      </w:r>
      <w:r>
        <w:rPr>
          <w:rFonts w:eastAsia="IRNazanin" w:cs="IRNazanin"/>
          <w:b w:val="false"/>
          <w:bCs w:val="false"/>
          <w:i w:val="false"/>
          <w:iCs w:val="false"/>
          <w:color w:val="333333"/>
          <w:sz w:val="20"/>
          <w:szCs w:val="20"/>
        </w:rPr>
        <w:t>4:156</w:t>
      </w:r>
      <w:r>
        <w:rPr>
          <w:rFonts w:ascii="IRNazanin" w:hAnsi="IRNazanin" w:eastAsia="IRNazanin"/>
          <w:b w:val="false"/>
          <w:b w:val="false"/>
          <w:bCs w:val="false"/>
          <w:i w:val="false"/>
          <w:i w:val="false"/>
          <w:iCs w:val="false"/>
          <w:color w:val="333333"/>
          <w:sz w:val="20"/>
          <w:sz w:val="20"/>
          <w:szCs w:val="20"/>
          <w:rtl w:val="true"/>
        </w:rPr>
        <w:t xml:space="preserve">، والعلّامة فی القواعد </w:t>
      </w:r>
      <w:r>
        <w:rPr>
          <w:rFonts w:eastAsia="IRNazanin" w:cs="IRNazanin"/>
          <w:b w:val="false"/>
          <w:bCs w:val="false"/>
          <w:i w:val="false"/>
          <w:iCs w:val="false"/>
          <w:color w:val="333333"/>
          <w:sz w:val="20"/>
          <w:szCs w:val="20"/>
        </w:rPr>
        <w:t>3:531</w:t>
      </w:r>
      <w:r>
        <w:rPr>
          <w:rFonts w:ascii="IRNazanin" w:hAnsi="IRNazanin" w:eastAsia="IRNazanin"/>
          <w:b w:val="false"/>
          <w:b w:val="false"/>
          <w:bCs w:val="false"/>
          <w:i w:val="false"/>
          <w:i w:val="false"/>
          <w:iCs w:val="false"/>
          <w:color w:val="333333"/>
          <w:sz w:val="20"/>
          <w:sz w:val="20"/>
          <w:szCs w:val="20"/>
          <w:rtl w:val="true"/>
        </w:rPr>
        <w:t>، وغیرهم</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18:374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الزنا،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18:374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الزنا،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9:160</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فإن فرّ اُعید</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2:527</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18:377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الزنا،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18:376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الزنا، الحدیث الأوّل</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لم یُعد، وفی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الشرح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یعاد</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وأی قصته المرویة فی روایة الحسین بن خالد المتقدّمة آنفاً</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یشاهده</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3:453</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3:529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530</w:t>
      </w:r>
      <w:r>
        <w:rPr>
          <w:rFonts w:ascii="IRNazanin" w:hAnsi="IRNazanin" w:eastAsia="IRNazanin"/>
          <w:b w:val="false"/>
          <w:b w:val="false"/>
          <w:bCs w:val="false"/>
          <w:i w:val="false"/>
          <w:i w:val="false"/>
          <w:iCs w:val="false"/>
          <w:color w:val="333333"/>
          <w:sz w:val="20"/>
          <w:sz w:val="20"/>
          <w:szCs w:val="20"/>
          <w:rtl w:val="true"/>
        </w:rPr>
        <w:t xml:space="preserve">، والمختلف </w:t>
      </w:r>
      <w:r>
        <w:rPr>
          <w:rFonts w:eastAsia="IRNazanin" w:cs="IRNazanin"/>
          <w:b w:val="false"/>
          <w:bCs w:val="false"/>
          <w:i w:val="false"/>
          <w:iCs w:val="false"/>
          <w:color w:val="333333"/>
          <w:sz w:val="20"/>
          <w:szCs w:val="20"/>
        </w:rPr>
        <w:t>9:155</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 المحقّق فی المختصر النافع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والفاضل الآبی فی کشف الرموز </w:t>
      </w:r>
      <w:r>
        <w:rPr>
          <w:rFonts w:eastAsia="IRNazanin" w:cs="IRNazanin"/>
          <w:b w:val="false"/>
          <w:bCs w:val="false"/>
          <w:i w:val="false"/>
          <w:iCs w:val="false"/>
          <w:color w:val="333333"/>
          <w:sz w:val="20"/>
          <w:szCs w:val="20"/>
        </w:rPr>
        <w:t>2:553</w:t>
      </w:r>
      <w:r>
        <w:rPr>
          <w:rFonts w:ascii="IRNazanin" w:hAnsi="IRNazanin" w:eastAsia="IRNazanin"/>
          <w:b w:val="false"/>
          <w:b w:val="false"/>
          <w:bCs w:val="false"/>
          <w:i w:val="false"/>
          <w:i w:val="false"/>
          <w:iCs w:val="false"/>
          <w:color w:val="333333"/>
          <w:sz w:val="20"/>
          <w:sz w:val="20"/>
          <w:szCs w:val="20"/>
          <w:rtl w:val="true"/>
        </w:rPr>
        <w:t>، وابن فهد الحلّی فی المقتصر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ویظهر ذلک من غیرهم أیضاً</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3:529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530</w:t>
      </w:r>
      <w:r>
        <w:rPr>
          <w:rFonts w:ascii="IRNazanin" w:hAnsi="IRNazanin" w:eastAsia="IRNazanin"/>
          <w:b w:val="false"/>
          <w:b w:val="false"/>
          <w:bCs w:val="false"/>
          <w:i w:val="false"/>
          <w:i w:val="false"/>
          <w:iCs w:val="false"/>
          <w:color w:val="333333"/>
          <w:sz w:val="20"/>
          <w:sz w:val="20"/>
          <w:szCs w:val="20"/>
          <w:rtl w:val="true"/>
        </w:rPr>
        <w:t xml:space="preserve">، والإرشاد </w:t>
      </w:r>
      <w:r>
        <w:rPr>
          <w:rFonts w:eastAsia="IRNazanin" w:cs="IRNazanin"/>
          <w:b w:val="false"/>
          <w:bCs w:val="false"/>
          <w:i w:val="false"/>
          <w:iCs w:val="false"/>
          <w:color w:val="333333"/>
          <w:sz w:val="20"/>
          <w:szCs w:val="20"/>
        </w:rPr>
        <w:t>2:173</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فی القاموس المحیط </w:t>
      </w:r>
      <w:r>
        <w:rPr>
          <w:rFonts w:eastAsia="IRNazanin" w:cs="IRNazanin"/>
          <w:b w:val="false"/>
          <w:bCs w:val="false"/>
          <w:i w:val="false"/>
          <w:iCs w:val="false"/>
          <w:color w:val="333333"/>
          <w:sz w:val="20"/>
          <w:szCs w:val="20"/>
        </w:rPr>
        <w:t>3:170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الطائفة</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الواحد فصاعداً</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3:454</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5:374</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 المفید فی 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781</w:t>
      </w:r>
      <w:r>
        <w:rPr>
          <w:rFonts w:ascii="IRNazanin" w:hAnsi="IRNazanin" w:eastAsia="IRNazanin"/>
          <w:b w:val="false"/>
          <w:b w:val="false"/>
          <w:bCs w:val="false"/>
          <w:i w:val="false"/>
          <w:i w:val="false"/>
          <w:iCs w:val="false"/>
          <w:color w:val="333333"/>
          <w:sz w:val="20"/>
          <w:sz w:val="20"/>
          <w:szCs w:val="20"/>
          <w:rtl w:val="true"/>
        </w:rPr>
        <w:t>، والشیخ فی 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701</w:t>
      </w:r>
      <w:r>
        <w:rPr>
          <w:rFonts w:ascii="IRNazanin" w:hAnsi="IRNazanin" w:eastAsia="IRNazanin"/>
          <w:b w:val="false"/>
          <w:b w:val="false"/>
          <w:bCs w:val="false"/>
          <w:i w:val="false"/>
          <w:i w:val="false"/>
          <w:iCs w:val="false"/>
          <w:color w:val="333333"/>
          <w:sz w:val="20"/>
          <w:sz w:val="20"/>
          <w:szCs w:val="20"/>
          <w:rtl w:val="true"/>
        </w:rPr>
        <w:t xml:space="preserve">، والعلّامة فی القواعد </w:t>
      </w:r>
      <w:r>
        <w:rPr>
          <w:rFonts w:eastAsia="IRNazanin" w:cs="IRNazanin"/>
          <w:b w:val="false"/>
          <w:bCs w:val="false"/>
          <w:i w:val="false"/>
          <w:iCs w:val="false"/>
          <w:color w:val="333333"/>
          <w:sz w:val="20"/>
          <w:szCs w:val="20"/>
        </w:rPr>
        <w:t>3:531</w:t>
      </w:r>
      <w:r>
        <w:rPr>
          <w:rFonts w:ascii="IRNazanin" w:hAnsi="IRNazanin" w:eastAsia="IRNazanin"/>
          <w:b w:val="false"/>
          <w:b w:val="false"/>
          <w:bCs w:val="false"/>
          <w:i w:val="false"/>
          <w:i w:val="false"/>
          <w:iCs w:val="false"/>
          <w:color w:val="333333"/>
          <w:sz w:val="20"/>
          <w:sz w:val="20"/>
          <w:szCs w:val="20"/>
          <w:rtl w:val="true"/>
        </w:rPr>
        <w:t>، وغیرهم</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18:341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الحدود وأحکامها العامّة</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18:342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الحدود، الحدیث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أبی جعفر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التهذیب </w:t>
      </w:r>
      <w:r>
        <w:rPr>
          <w:rFonts w:eastAsia="IRNazanin" w:cs="IRNazanin"/>
          <w:b w:val="false"/>
          <w:bCs w:val="false"/>
          <w:i w:val="false"/>
          <w:iCs w:val="false"/>
          <w:color w:val="333333"/>
          <w:sz w:val="20"/>
          <w:szCs w:val="20"/>
        </w:rPr>
        <w:t>10:11</w:t>
      </w:r>
      <w:r>
        <w:rPr>
          <w:rFonts w:ascii="IRNazanin" w:hAnsi="IRNazanin" w:eastAsia="IRNazanin"/>
          <w:b w:val="false"/>
          <w:b w:val="false"/>
          <w:bCs w:val="false"/>
          <w:i w:val="false"/>
          <w:i w:val="false"/>
          <w:iCs w:val="false"/>
          <w:color w:val="333333"/>
          <w:sz w:val="20"/>
          <w:sz w:val="20"/>
          <w:szCs w:val="20"/>
          <w:rtl w:val="true"/>
        </w:rPr>
        <w:t xml:space="preserve">، باب حدود الزنا، الحدیث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عن ابن أبی عمیر عمّن رواه عن أبی جعفر أو أبی عبد اللّٰه علیهما السلام، وفیهما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فلا یرجمه</w:t>
      </w:r>
      <w:r>
        <w:rPr>
          <w:rFonts w:eastAsia="IRNazanin" w:cs="IRNazanin"/>
          <w:b w:val="false"/>
          <w:bCs w:val="false"/>
          <w:i w:val="false"/>
          <w:iCs w:val="false"/>
          <w:color w:val="333333"/>
          <w:sz w:val="20"/>
          <w:szCs w:val="20"/>
          <w:rtl w:val="true"/>
        </w:rPr>
        <w:t>» .</w:t>
      </w:r>
    </w:p>
  </w:footnote>
  <w:footnote w:id="1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18:341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الحدود وأحکامها العامّة، الحدیث الأوّل</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18:327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الحدود</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 إلی ذلک الصدوق فی المقنع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والمفید فی 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777</w:t>
      </w:r>
      <w:r>
        <w:rPr>
          <w:rFonts w:ascii="IRNazanin" w:hAnsi="IRNazanin" w:eastAsia="IRNazanin"/>
          <w:b w:val="false"/>
          <w:b w:val="false"/>
          <w:bCs w:val="false"/>
          <w:i w:val="false"/>
          <w:i w:val="false"/>
          <w:iCs w:val="false"/>
          <w:color w:val="333333"/>
          <w:sz w:val="20"/>
          <w:sz w:val="20"/>
          <w:szCs w:val="20"/>
          <w:rtl w:val="true"/>
        </w:rPr>
        <w:t>، والشیخ فی 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696</w:t>
      </w:r>
      <w:r>
        <w:rPr>
          <w:rFonts w:ascii="IRNazanin" w:hAnsi="IRNazanin" w:eastAsia="IRNazanin"/>
          <w:b w:val="false"/>
          <w:b w:val="false"/>
          <w:bCs w:val="false"/>
          <w:i w:val="false"/>
          <w:i w:val="false"/>
          <w:iCs w:val="false"/>
          <w:color w:val="333333"/>
          <w:sz w:val="20"/>
          <w:sz w:val="20"/>
          <w:szCs w:val="20"/>
          <w:rtl w:val="true"/>
        </w:rPr>
        <w:t>، وغیرهم</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 تخریجه آنفاً</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الصحابة</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ضعفه بعلیّ بن أبی حمزة الواقع فی طریقه، راجع المسالک </w:t>
      </w:r>
      <w:r>
        <w:rPr>
          <w:rFonts w:eastAsia="IRNazanin" w:cs="IRNazanin"/>
          <w:b w:val="false"/>
          <w:bCs w:val="false"/>
          <w:i w:val="false"/>
          <w:iCs w:val="false"/>
          <w:color w:val="333333"/>
          <w:sz w:val="20"/>
          <w:szCs w:val="20"/>
        </w:rPr>
        <w:t>15:496</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2:703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المیّت، وفیه حدیث 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ومستدرک الوسائل </w:t>
      </w:r>
      <w:r>
        <w:rPr>
          <w:rFonts w:eastAsia="IRNazanin" w:cs="IRNazanin"/>
          <w:b w:val="false"/>
          <w:bCs w:val="false"/>
          <w:i w:val="false"/>
          <w:iCs w:val="false"/>
          <w:color w:val="333333"/>
          <w:sz w:val="20"/>
          <w:szCs w:val="20"/>
        </w:rPr>
        <w:t>2:181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المیّت، وفیه حدیثان</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 إلی ذلک الصدوق فی المقنع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والشیخ فی الخلاف </w:t>
      </w:r>
      <w:r>
        <w:rPr>
          <w:rFonts w:eastAsia="IRNazanin" w:cs="IRNazanin"/>
          <w:b w:val="false"/>
          <w:bCs w:val="false"/>
          <w:i w:val="false"/>
          <w:iCs w:val="false"/>
          <w:color w:val="333333"/>
          <w:sz w:val="20"/>
          <w:szCs w:val="20"/>
        </w:rPr>
        <w:t>1:713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 xml:space="preserve">، والشهید فی الذکری </w:t>
      </w:r>
      <w:r>
        <w:rPr>
          <w:rFonts w:eastAsia="IRNazanin" w:cs="IRNazanin"/>
          <w:b w:val="false"/>
          <w:bCs w:val="false"/>
          <w:i w:val="false"/>
          <w:iCs w:val="false"/>
          <w:color w:val="333333"/>
          <w:sz w:val="20"/>
          <w:szCs w:val="20"/>
        </w:rPr>
        <w:t>1:329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نعلم فیه مخالفاً من الأصحاب</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ما فی الوسائل </w:t>
      </w:r>
      <w:r>
        <w:rPr>
          <w:rFonts w:eastAsia="IRNazanin" w:cs="IRNazanin"/>
          <w:b w:val="false"/>
          <w:bCs w:val="false"/>
          <w:i w:val="false"/>
          <w:iCs w:val="false"/>
          <w:color w:val="333333"/>
          <w:sz w:val="20"/>
          <w:szCs w:val="20"/>
        </w:rPr>
        <w:t>18:395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الزنا، الأحادیث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أطلق ابن الجنید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9:144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حدّ الرجل المحصن إذا زنی بمجنونة ولم یذکر ما هو الحدّ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والظاهر أ نّه یرید به المعهود وهو الرجم، وابن إدریس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3:444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جعل المشهور روایة وهو یشعر باستضعافه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 .</w:t>
      </w:r>
    </w:p>
  </w:footnote>
  <w:footnote w:id="1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نظفر بهذا النصّ کما صرّح بذلک الشارح فی المسالک </w:t>
      </w:r>
      <w:r>
        <w:rPr>
          <w:rFonts w:eastAsia="IRNazanin" w:cs="IRNazanin"/>
          <w:b w:val="false"/>
          <w:bCs w:val="false"/>
          <w:i w:val="false"/>
          <w:iCs w:val="false"/>
          <w:color w:val="333333"/>
          <w:sz w:val="20"/>
          <w:szCs w:val="20"/>
        </w:rPr>
        <w:t>14:365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حیث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ومع ذلک لا نصّ علی حکم المجنونة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نعم، قال ابن إدریس فی السرائر </w:t>
      </w:r>
      <w:r>
        <w:rPr>
          <w:rFonts w:eastAsia="IRNazanin" w:cs="IRNazanin"/>
          <w:b w:val="false"/>
          <w:bCs w:val="false"/>
          <w:i w:val="false"/>
          <w:iCs w:val="false"/>
          <w:color w:val="333333"/>
          <w:sz w:val="20"/>
          <w:szCs w:val="20"/>
        </w:rPr>
        <w:t>3:444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وروی أنّ الرجل إذا زنی بمجنونة لم یکن علیه رجم إذا کان محصناً، وکان علیه جلد مئة</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 إلیه جماعة، منهم ابن الجنید وأبو الصلاح وابن إدریس، وهو ظاهر المفید، راجع المختلف </w:t>
      </w:r>
      <w:r>
        <w:rPr>
          <w:rFonts w:eastAsia="IRNazanin" w:cs="IRNazanin"/>
          <w:b w:val="false"/>
          <w:bCs w:val="false"/>
          <w:i w:val="false"/>
          <w:iCs w:val="false"/>
          <w:color w:val="333333"/>
          <w:sz w:val="20"/>
          <w:szCs w:val="20"/>
        </w:rPr>
        <w:t>9:144</w:t>
      </w:r>
      <w:r>
        <w:rPr>
          <w:rFonts w:ascii="IRNazanin" w:hAnsi="IRNazanin" w:eastAsia="IRNazanin"/>
          <w:b w:val="false"/>
          <w:b w:val="false"/>
          <w:bCs w:val="false"/>
          <w:i w:val="false"/>
          <w:i w:val="false"/>
          <w:iCs w:val="false"/>
          <w:color w:val="333333"/>
          <w:sz w:val="20"/>
          <w:sz w:val="20"/>
          <w:szCs w:val="20"/>
          <w:rtl w:val="true"/>
        </w:rPr>
        <w:t>، والکافی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xml:space="preserve">، والسرائر </w:t>
      </w:r>
      <w:r>
        <w:rPr>
          <w:rFonts w:eastAsia="IRNazanin" w:cs="IRNazanin"/>
          <w:b w:val="false"/>
          <w:bCs w:val="false"/>
          <w:i w:val="false"/>
          <w:iCs w:val="false"/>
          <w:color w:val="333333"/>
          <w:sz w:val="20"/>
          <w:szCs w:val="20"/>
        </w:rPr>
        <w:t>3:444</w:t>
      </w:r>
      <w:r>
        <w:rPr>
          <w:rFonts w:ascii="IRNazanin" w:hAnsi="IRNazanin" w:eastAsia="IRNazanin"/>
          <w:b w:val="false"/>
          <w:b w:val="false"/>
          <w:bCs w:val="false"/>
          <w:i w:val="false"/>
          <w:i w:val="false"/>
          <w:iCs w:val="false"/>
          <w:color w:val="333333"/>
          <w:sz w:val="20"/>
          <w:sz w:val="20"/>
          <w:szCs w:val="20"/>
          <w:rtl w:val="true"/>
        </w:rPr>
        <w:t>، والمقنعة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779</w:t>
      </w:r>
      <w:r>
        <w:rPr>
          <w:rFonts w:ascii="IRNazanin" w:hAnsi="IRNazanin" w:eastAsia="IRNazanin"/>
          <w:b w:val="false"/>
          <w:b w:val="false"/>
          <w:bCs w:val="false"/>
          <w:i w:val="false"/>
          <w:i w:val="false"/>
          <w:iCs w:val="false"/>
          <w:color w:val="333333"/>
          <w:sz w:val="20"/>
          <w:sz w:val="20"/>
          <w:szCs w:val="20"/>
          <w:rtl w:val="true"/>
        </w:rPr>
        <w:t xml:space="preserve">، وراجع المسالک </w:t>
      </w:r>
      <w:r>
        <w:rPr>
          <w:rFonts w:eastAsia="IRNazanin" w:cs="IRNazanin"/>
          <w:b w:val="false"/>
          <w:bCs w:val="false"/>
          <w:i w:val="false"/>
          <w:iCs w:val="false"/>
          <w:color w:val="333333"/>
          <w:sz w:val="20"/>
          <w:szCs w:val="20"/>
        </w:rPr>
        <w:t>14:365</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عموم إجراء الرجم علی المحصن، الوسائل </w:t>
      </w:r>
      <w:r>
        <w:rPr>
          <w:rFonts w:eastAsia="IRNazanin" w:cs="IRNazanin"/>
          <w:b w:val="false"/>
          <w:bCs w:val="false"/>
          <w:i w:val="false"/>
          <w:iCs w:val="false"/>
          <w:color w:val="333333"/>
          <w:sz w:val="20"/>
          <w:szCs w:val="20"/>
        </w:rPr>
        <w:t>18:346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الباب الأوّل من أبواب حدّ الزنا</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779</w:t>
      </w:r>
      <w:r>
        <w:rPr>
          <w:rFonts w:ascii="IRNazanin" w:hAnsi="IRNazanin" w:eastAsia="IRNazanin"/>
          <w:b w:val="false"/>
          <w:b w:val="false"/>
          <w:bCs w:val="false"/>
          <w:i w:val="false"/>
          <w:i w:val="false"/>
          <w:iCs w:val="false"/>
          <w:color w:val="333333"/>
          <w:sz w:val="20"/>
          <w:sz w:val="20"/>
          <w:szCs w:val="20"/>
          <w:rtl w:val="true"/>
        </w:rPr>
        <w:t>، والنهایة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696</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المهذّب </w:t>
      </w:r>
      <w:r>
        <w:rPr>
          <w:rFonts w:eastAsia="IRNazanin" w:cs="IRNazanin"/>
          <w:b w:val="false"/>
          <w:bCs w:val="false"/>
          <w:i w:val="false"/>
          <w:iCs w:val="false"/>
          <w:color w:val="333333"/>
          <w:sz w:val="20"/>
          <w:szCs w:val="20"/>
        </w:rPr>
        <w:t>2:521</w:t>
      </w:r>
      <w:r>
        <w:rPr>
          <w:rFonts w:ascii="IRNazanin" w:hAnsi="IRNazanin" w:eastAsia="IRNazanin"/>
          <w:b w:val="false"/>
          <w:b w:val="false"/>
          <w:bCs w:val="false"/>
          <w:i w:val="false"/>
          <w:i w:val="false"/>
          <w:iCs w:val="false"/>
          <w:color w:val="333333"/>
          <w:sz w:val="20"/>
          <w:sz w:val="20"/>
          <w:szCs w:val="20"/>
          <w:rtl w:val="true"/>
        </w:rPr>
        <w:t>، وفیه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وإذا زنی مجنون بامرأة کان علیها جلد مئة أو الرجم</w:t>
      </w:r>
      <w:r>
        <w:rPr>
          <w:rFonts w:eastAsia="IRNazanin" w:cs="IRNazanin"/>
          <w:b w:val="false"/>
          <w:bCs w:val="false"/>
          <w:i w:val="false"/>
          <w:iCs w:val="false"/>
          <w:color w:val="333333"/>
          <w:sz w:val="20"/>
          <w:szCs w:val="20"/>
          <w:rtl w:val="true"/>
        </w:rPr>
        <w:t>» .</w:t>
      </w:r>
    </w:p>
  </w:footnote>
  <w:footnote w:id="1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18:388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الزنا،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طریقها إبراهیم بن الفضل، وهو مجهول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 .</w:t>
      </w:r>
    </w:p>
  </w:footnote>
  <w:footnote w:id="1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18:370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الزنا،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18:369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الزنا، الحدیث الأوّل، وفیه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یترک الرأس والمذاکیر</w:t>
      </w:r>
      <w:r>
        <w:rPr>
          <w:rFonts w:eastAsia="IRNazanin" w:cs="IRNazanin"/>
          <w:b w:val="false"/>
          <w:bCs w:val="false"/>
          <w:i w:val="false"/>
          <w:iCs w:val="false"/>
          <w:color w:val="333333"/>
          <w:sz w:val="20"/>
          <w:szCs w:val="20"/>
          <w:rtl w:val="true"/>
        </w:rPr>
        <w:t>» .</w:t>
      </w:r>
    </w:p>
  </w:footnote>
  <w:footnote w:id="1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الصفحة</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فی المقنع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xml:space="preserve">، والشیخ فی المبسوط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والمحقّق فی المختصر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وغیرهم</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18:370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الزنا،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700</w:t>
      </w:r>
      <w:r>
        <w:rPr>
          <w:rFonts w:ascii="IRNazanin" w:hAnsi="IRNazanin" w:eastAsia="IRNazanin"/>
          <w:b w:val="false"/>
          <w:b w:val="false"/>
          <w:bCs w:val="false"/>
          <w:i w:val="false"/>
          <w:i w:val="false"/>
          <w:iCs w:val="false"/>
          <w:color w:val="333333"/>
          <w:sz w:val="20"/>
          <w:sz w:val="20"/>
          <w:szCs w:val="20"/>
          <w:rtl w:val="true"/>
        </w:rPr>
        <w:t>، وقد عمل الشیخ بمضمون الروایة فی الرجل خاصّة</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عمل الشیخ الصدوق فی المقنع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بالروایة فی الرجل والمرأة، وعمل الحلبی والسیّد ابن زهرة فی الرجل خاصّة، وأمّا المرأة فقد قالا فیها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إنّها تجلد وقد شدّت علیها ثیابها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والغنیة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 فی سندها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طلحة بن زید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بتری، راجع المسالک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18:349</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حدّ الزنا، الحدیث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ولیس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وحُلق رأسه</w:t>
      </w:r>
      <w:r>
        <w:rPr>
          <w:rFonts w:eastAsia="IRNazanin" w:cs="IRNazanin"/>
          <w:b w:val="false"/>
          <w:bCs w:val="false"/>
          <w:i w:val="false"/>
          <w:iCs w:val="false"/>
          <w:color w:val="333333"/>
          <w:sz w:val="20"/>
          <w:szCs w:val="20"/>
          <w:rtl w:val="true"/>
        </w:rPr>
        <w:t>» .</w:t>
      </w:r>
    </w:p>
  </w:footnote>
  <w:footnote w:id="1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القاضی فی المهذّب </w:t>
      </w:r>
      <w:r>
        <w:rPr>
          <w:rFonts w:eastAsia="IRNazanin" w:cs="IRNazanin"/>
          <w:b w:val="false"/>
          <w:bCs w:val="false"/>
          <w:i w:val="false"/>
          <w:iCs w:val="false"/>
          <w:color w:val="333333"/>
          <w:sz w:val="20"/>
          <w:szCs w:val="20"/>
        </w:rPr>
        <w:t>2:519</w:t>
      </w:r>
      <w:r>
        <w:rPr>
          <w:rFonts w:ascii="IRNazanin" w:hAnsi="IRNazanin" w:eastAsia="IRNazanin"/>
          <w:b w:val="false"/>
          <w:b w:val="false"/>
          <w:bCs w:val="false"/>
          <w:i w:val="false"/>
          <w:i w:val="false"/>
          <w:iCs w:val="false"/>
          <w:color w:val="333333"/>
          <w:sz w:val="20"/>
          <w:sz w:val="20"/>
          <w:szCs w:val="20"/>
          <w:rtl w:val="true"/>
        </w:rPr>
        <w:t>، والسیّد ابن زهرة فی الغنیة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والکیدری فی إصباح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یرد فی المخطوطات</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والروایة منقولة بحسب الظاهر عن التهذیب ولکن سقطت عبارة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ومن لم یحصن یجلد مئة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 یُنفی</w:t>
      </w:r>
      <w:r>
        <w:rPr>
          <w:rFonts w:eastAsia="IRNazanin" w:cs="IRNazanin"/>
          <w:b w:val="false"/>
          <w:bCs w:val="false"/>
          <w:i w:val="false"/>
          <w:iCs w:val="false"/>
          <w:color w:val="333333"/>
          <w:sz w:val="20"/>
          <w:szCs w:val="20"/>
          <w:rtl w:val="true"/>
        </w:rPr>
        <w:t>» .</w:t>
      </w:r>
    </w:p>
  </w:footnote>
  <w:footnote w:id="1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والوسائل </w:t>
      </w:r>
      <w:r>
        <w:rPr>
          <w:rFonts w:eastAsia="IRNazanin" w:cs="IRNazanin"/>
          <w:b w:val="false"/>
          <w:bCs w:val="false"/>
          <w:i w:val="false"/>
          <w:iCs w:val="false"/>
          <w:color w:val="333333"/>
          <w:sz w:val="20"/>
          <w:szCs w:val="20"/>
        </w:rPr>
        <w:t>18:348</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حدّ الزنا،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وذیله</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18:347</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حدّ الزنا،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5:368</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الذی یربّی شعره لیطول</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5:368</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إلیه فی المختلف </w:t>
      </w:r>
      <w:r>
        <w:rPr>
          <w:rFonts w:eastAsia="IRNazanin" w:cs="IRNazanin"/>
          <w:b w:val="false"/>
          <w:bCs w:val="false"/>
          <w:i w:val="false"/>
          <w:iCs w:val="false"/>
          <w:color w:val="333333"/>
          <w:sz w:val="20"/>
          <w:szCs w:val="20"/>
        </w:rPr>
        <w:t>9:136</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وهما روایة زرارة وروایة محمّد بن قیس السابقتان</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w:t>
      </w:r>
      <w:r>
        <w:rPr>
          <w:rFonts w:eastAsia="IRNazanin" w:cs="IRNazanin"/>
          <w:b w:val="false"/>
          <w:bCs w:val="false"/>
          <w:i w:val="false"/>
          <w:iCs w:val="false"/>
          <w:color w:val="333333"/>
          <w:sz w:val="20"/>
          <w:szCs w:val="20"/>
        </w:rPr>
        <w:t>8:244</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الشِمراخ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العنقود، کعنقود العنب والتمر، والمراد به هنا ما تقدّم فی صدر البحث</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18:322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الحدود وأحکامها العامّة، الحدیث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نقلاً بالمضمون</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الجلد عقوبةً</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الفرق نظر من حیث التعارض وإن افترقا من وجه آخر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 .</w:t>
      </w:r>
    </w:p>
  </w:footnote>
  <w:footnote w:id="1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عنه فی الانتصار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xml:space="preserve">، وانظر المختلف </w:t>
      </w:r>
      <w:r>
        <w:rPr>
          <w:rFonts w:eastAsia="IRNazanin" w:cs="IRNazanin"/>
          <w:b w:val="false"/>
          <w:bCs w:val="false"/>
          <w:i w:val="false"/>
          <w:iCs w:val="false"/>
          <w:color w:val="333333"/>
          <w:sz w:val="20"/>
          <w:szCs w:val="20"/>
        </w:rPr>
        <w:t>8:384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6:244</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18:413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الزنا،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 دروس الشهید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غیر الزوج من شهود الزنا</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18:309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الحدود وأحکامها العامّة، الحدیث الأوّل</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الشرح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افتضّ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بالفاء</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18:410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الزنا،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ابن إدریس فی السرائر </w:t>
      </w:r>
      <w:r>
        <w:rPr>
          <w:rFonts w:eastAsia="IRNazanin" w:cs="IRNazanin"/>
          <w:b w:val="false"/>
          <w:bCs w:val="false"/>
          <w:i w:val="false"/>
          <w:iCs w:val="false"/>
          <w:color w:val="333333"/>
          <w:sz w:val="20"/>
          <w:szCs w:val="20"/>
        </w:rPr>
        <w:t>3:449</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الحکم بمهر المثل وعشر القیمة فی باب الحدود عرضیّ، وموضعه کتاب النکاح</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 الصدوق فی المقنع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وابن حمزة فی الوسیلة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وابن سعید فی الجامع للشرائع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الشیخ المفید فی 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785</w:t>
      </w:r>
      <w:r>
        <w:rPr>
          <w:rFonts w:ascii="IRNazanin" w:hAnsi="IRNazanin" w:eastAsia="IRNazanin"/>
          <w:b w:val="false"/>
          <w:b w:val="false"/>
          <w:bCs w:val="false"/>
          <w:i w:val="false"/>
          <w:i w:val="false"/>
          <w:iCs w:val="false"/>
          <w:color w:val="333333"/>
          <w:sz w:val="20"/>
          <w:sz w:val="20"/>
          <w:szCs w:val="20"/>
          <w:rtl w:val="true"/>
        </w:rPr>
        <w:t>، وسلّار فی المراسم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 الشیخ فی 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699</w:t>
      </w:r>
      <w:r>
        <w:rPr>
          <w:rFonts w:ascii="IRNazanin" w:hAnsi="IRNazanin" w:eastAsia="IRNazanin"/>
          <w:b w:val="false"/>
          <w:b w:val="false"/>
          <w:bCs w:val="false"/>
          <w:i w:val="false"/>
          <w:i w:val="false"/>
          <w:iCs w:val="false"/>
          <w:color w:val="333333"/>
          <w:sz w:val="20"/>
          <w:sz w:val="20"/>
          <w:szCs w:val="20"/>
          <w:rtl w:val="true"/>
        </w:rPr>
        <w:t xml:space="preserve">، وابن إدریس فی السرائر </w:t>
      </w:r>
      <w:r>
        <w:rPr>
          <w:rFonts w:eastAsia="IRNazanin" w:cs="IRNazanin"/>
          <w:b w:val="false"/>
          <w:bCs w:val="false"/>
          <w:i w:val="false"/>
          <w:iCs w:val="false"/>
          <w:color w:val="333333"/>
          <w:sz w:val="20"/>
          <w:szCs w:val="20"/>
        </w:rPr>
        <w:t>3:449</w:t>
      </w:r>
      <w:r>
        <w:rPr>
          <w:rFonts w:ascii="IRNazanin" w:hAnsi="IRNazanin" w:eastAsia="IRNazanin"/>
          <w:b w:val="false"/>
          <w:b w:val="false"/>
          <w:bCs w:val="false"/>
          <w:i w:val="false"/>
          <w:i w:val="false"/>
          <w:iCs w:val="false"/>
          <w:color w:val="333333"/>
          <w:sz w:val="20"/>
          <w:sz w:val="20"/>
          <w:szCs w:val="20"/>
          <w:rtl w:val="true"/>
        </w:rPr>
        <w:t>، والکیدری فی إصباح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18:409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الزنا، الحدیث الأوّل</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18:409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الزنا،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18:318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الحدود والتعزیرات، وفیه حدیث واحد، مع اختلاف فی العبارة</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القاضی فی المهذّب </w:t>
      </w:r>
      <w:r>
        <w:rPr>
          <w:rFonts w:eastAsia="IRNazanin" w:cs="IRNazanin"/>
          <w:b w:val="false"/>
          <w:bCs w:val="false"/>
          <w:i w:val="false"/>
          <w:iCs w:val="false"/>
          <w:color w:val="333333"/>
          <w:sz w:val="20"/>
          <w:szCs w:val="20"/>
        </w:rPr>
        <w:t>2:529</w:t>
      </w:r>
      <w:r>
        <w:rPr>
          <w:rFonts w:ascii="IRNazanin" w:hAnsi="IRNazanin" w:eastAsia="IRNazanin"/>
          <w:b w:val="false"/>
          <w:b w:val="false"/>
          <w:bCs w:val="false"/>
          <w:i w:val="false"/>
          <w:i w:val="false"/>
          <w:iCs w:val="false"/>
          <w:color w:val="333333"/>
          <w:sz w:val="20"/>
          <w:sz w:val="20"/>
          <w:szCs w:val="20"/>
          <w:rtl w:val="true"/>
        </w:rPr>
        <w:t>، وابن سعید فی الجامع للشرائع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554</w:t>
      </w:r>
      <w:r>
        <w:rPr>
          <w:rFonts w:ascii="IRNazanin" w:hAnsi="IRNazanin" w:eastAsia="IRNazanin"/>
          <w:b w:val="false"/>
          <w:b w:val="false"/>
          <w:bCs w:val="false"/>
          <w:i w:val="false"/>
          <w:i w:val="false"/>
          <w:iCs w:val="false"/>
          <w:color w:val="333333"/>
          <w:sz w:val="20"/>
          <w:sz w:val="20"/>
          <w:szCs w:val="20"/>
          <w:rtl w:val="true"/>
        </w:rPr>
        <w:t xml:space="preserve">، والعلّامة فی المختلف </w:t>
      </w:r>
      <w:r>
        <w:rPr>
          <w:rFonts w:eastAsia="IRNazanin" w:cs="IRNazanin"/>
          <w:b w:val="false"/>
          <w:bCs w:val="false"/>
          <w:i w:val="false"/>
          <w:iCs w:val="false"/>
          <w:color w:val="333333"/>
          <w:sz w:val="20"/>
          <w:szCs w:val="20"/>
        </w:rPr>
        <w:t>9:156</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أکثر</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3:455</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الخبر ضعیف بمحمّد بن قیس، راجع المسالک </w:t>
      </w:r>
      <w:r>
        <w:rPr>
          <w:rFonts w:eastAsia="IRNazanin" w:cs="IRNazanin"/>
          <w:b w:val="false"/>
          <w:bCs w:val="false"/>
          <w:i w:val="false"/>
          <w:iCs w:val="false"/>
          <w:color w:val="333333"/>
          <w:sz w:val="20"/>
          <w:szCs w:val="20"/>
        </w:rPr>
        <w:t>10:532</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بیّنه</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نخصّه</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إذا زنی فی مکان أو زمان شریفین</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بالنسبة إلی جمیع الأقوال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ر</w:t>
      </w:r>
      <w:r>
        <w:rPr>
          <w:rFonts w:eastAsia="IRNazanin" w:cs="IRNazanin"/>
          <w:b w:val="false"/>
          <w:bCs w:val="false"/>
          <w:i w:val="false"/>
          <w:iCs w:val="false"/>
          <w:color w:val="333333"/>
          <w:sz w:val="20"/>
          <w:szCs w:val="20"/>
          <w:rtl w:val="true"/>
        </w:rPr>
        <w:t>) .</w:t>
      </w:r>
    </w:p>
  </w:footnote>
  <w:footnote w:id="1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18:367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الزنا، الأحادیث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18:363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الزنا، الحدیث الأوّل، نقلاً بالمضمون</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الأحادیث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وغیرها من أحادیث الباب</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الجزّ والتغریب</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المخطوطات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کالزانی</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 بالإلحاق وسقوط الحدّ، استقربه فخر المحقّقین فی الإیضاح </w:t>
      </w:r>
      <w:r>
        <w:rPr>
          <w:rFonts w:eastAsia="IRNazanin" w:cs="IRNazanin"/>
          <w:b w:val="false"/>
          <w:bCs w:val="false"/>
          <w:i w:val="false"/>
          <w:iCs w:val="false"/>
          <w:color w:val="333333"/>
          <w:sz w:val="20"/>
          <w:szCs w:val="20"/>
        </w:rPr>
        <w:t>4:473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 بعدم الإلحاق وعدم سقوط الحدّ، وهو للمحقّق فی الشرائع </w:t>
      </w:r>
      <w:r>
        <w:rPr>
          <w:rFonts w:eastAsia="IRNazanin" w:cs="IRNazanin"/>
          <w:b w:val="false"/>
          <w:bCs w:val="false"/>
          <w:i w:val="false"/>
          <w:iCs w:val="false"/>
          <w:color w:val="333333"/>
          <w:sz w:val="20"/>
          <w:szCs w:val="20"/>
        </w:rPr>
        <w:t>4:152</w:t>
      </w:r>
      <w:r>
        <w:rPr>
          <w:rFonts w:ascii="IRNazanin" w:hAnsi="IRNazanin" w:eastAsia="IRNazanin"/>
          <w:b w:val="false"/>
          <w:b w:val="false"/>
          <w:bCs w:val="false"/>
          <w:i w:val="false"/>
          <w:i w:val="false"/>
          <w:iCs w:val="false"/>
          <w:color w:val="333333"/>
          <w:sz w:val="20"/>
          <w:sz w:val="20"/>
          <w:szCs w:val="20"/>
          <w:rtl w:val="true"/>
        </w:rPr>
        <w:t xml:space="preserve">، والعلّامة فی الإرشاد </w:t>
      </w:r>
      <w:r>
        <w:rPr>
          <w:rFonts w:eastAsia="IRNazanin" w:cs="IRNazanin"/>
          <w:b w:val="false"/>
          <w:bCs w:val="false"/>
          <w:i w:val="false"/>
          <w:iCs w:val="false"/>
          <w:color w:val="333333"/>
          <w:sz w:val="20"/>
          <w:szCs w:val="20"/>
        </w:rPr>
        <w:t>2:171</w:t>
      </w:r>
      <w:r>
        <w:rPr>
          <w:rFonts w:ascii="IRNazanin" w:hAnsi="IRNazanin" w:eastAsia="IRNazanin"/>
          <w:b w:val="false"/>
          <w:b w:val="false"/>
          <w:bCs w:val="false"/>
          <w:i w:val="false"/>
          <w:i w:val="false"/>
          <w:iCs w:val="false"/>
          <w:color w:val="333333"/>
          <w:sz w:val="20"/>
          <w:sz w:val="20"/>
          <w:szCs w:val="20"/>
          <w:rtl w:val="true"/>
        </w:rPr>
        <w:t xml:space="preserve">، وابن إدریس فی السرائر </w:t>
      </w:r>
      <w:r>
        <w:rPr>
          <w:rFonts w:eastAsia="IRNazanin" w:cs="IRNazanin"/>
          <w:b w:val="false"/>
          <w:bCs w:val="false"/>
          <w:i w:val="false"/>
          <w:iCs w:val="false"/>
          <w:color w:val="333333"/>
          <w:sz w:val="20"/>
          <w:szCs w:val="20"/>
        </w:rPr>
        <w:t>4:455</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3:444</w:t>
      </w:r>
      <w:r>
        <w:rPr>
          <w:rFonts w:ascii="IRNazanin" w:hAnsi="IRNazanin" w:eastAsia="IRNazanin"/>
          <w:b w:val="false"/>
          <w:b w:val="false"/>
          <w:bCs w:val="false"/>
          <w:i w:val="false"/>
          <w:i w:val="false"/>
          <w:iCs w:val="false"/>
          <w:color w:val="333333"/>
          <w:sz w:val="20"/>
          <w:sz w:val="20"/>
          <w:szCs w:val="20"/>
          <w:rtl w:val="true"/>
        </w:rPr>
        <w:t>، ولیس فیه الاستدلال بأصالة البقاء</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امرأة</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علیها، وفی نسخة بدلها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علیهما</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مسائل حدّ القذف الصفحة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کغیر العبد فی عدم سقوط الحدّ عنه بمجرّد ادّعاء الإکراه</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المصنّف فی الشرح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غایة المراد </w:t>
      </w:r>
      <w:r>
        <w:rPr>
          <w:rFonts w:eastAsia="IRNazanin" w:cs="IRNazanin"/>
          <w:b w:val="false"/>
          <w:bCs w:val="false"/>
          <w:i w:val="false"/>
          <w:iCs w:val="false"/>
          <w:color w:val="333333"/>
          <w:sz w:val="20"/>
          <w:szCs w:val="20"/>
        </w:rPr>
        <w:t>4:214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إجماع الأصحاب علی أنّ العبد لا ینتصف علیه الحدّ هنا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 .</w:t>
      </w:r>
    </w:p>
  </w:footnote>
  <w:footnote w:id="1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10:52</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والوسائل </w:t>
      </w:r>
      <w:r>
        <w:rPr>
          <w:rFonts w:eastAsia="IRNazanin" w:cs="IRNazanin"/>
          <w:b w:val="false"/>
          <w:bCs w:val="false"/>
          <w:i w:val="false"/>
          <w:iCs w:val="false"/>
          <w:color w:val="333333"/>
          <w:sz w:val="20"/>
          <w:szCs w:val="20"/>
        </w:rPr>
        <w:t>18:416</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حدّ اللواط،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کان دون الثقب فالجلد</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والقائل هو الشیخ فی 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704</w:t>
      </w:r>
      <w:r>
        <w:rPr>
          <w:rFonts w:ascii="IRNazanin" w:hAnsi="IRNazanin" w:eastAsia="IRNazanin"/>
          <w:b w:val="false"/>
          <w:b w:val="false"/>
          <w:bCs w:val="false"/>
          <w:i w:val="false"/>
          <w:i w:val="false"/>
          <w:iCs w:val="false"/>
          <w:color w:val="333333"/>
          <w:sz w:val="20"/>
          <w:sz w:val="20"/>
          <w:szCs w:val="20"/>
          <w:rtl w:val="true"/>
        </w:rPr>
        <w:t xml:space="preserve">، والقاضی فی المهذّب </w:t>
      </w:r>
      <w:r>
        <w:rPr>
          <w:rFonts w:eastAsia="IRNazanin" w:cs="IRNazanin"/>
          <w:b w:val="false"/>
          <w:bCs w:val="false"/>
          <w:i w:val="false"/>
          <w:iCs w:val="false"/>
          <w:color w:val="333333"/>
          <w:sz w:val="20"/>
          <w:szCs w:val="20"/>
        </w:rPr>
        <w:t>2:530</w:t>
      </w:r>
      <w:r>
        <w:rPr>
          <w:rFonts w:ascii="IRNazanin" w:hAnsi="IRNazanin" w:eastAsia="IRNazanin"/>
          <w:b w:val="false"/>
          <w:b w:val="false"/>
          <w:bCs w:val="false"/>
          <w:i w:val="false"/>
          <w:i w:val="false"/>
          <w:iCs w:val="false"/>
          <w:color w:val="333333"/>
          <w:sz w:val="20"/>
          <w:sz w:val="20"/>
          <w:szCs w:val="20"/>
          <w:rtl w:val="true"/>
        </w:rPr>
        <w:t>، وابن حمزة فی الوسیلة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18:417</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حدّ اللواط، الحدیث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18:417</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حدّ اللواط، الحدیث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18:417</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حدّ اللواط، الحدیث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الصدوق فی المقنع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xml:space="preserve">، وابن بابویه وابن الجنید علی ما حکی عنهم العلّامة فی المختلف </w:t>
      </w:r>
      <w:r>
        <w:rPr>
          <w:rFonts w:eastAsia="IRNazanin" w:cs="IRNazanin"/>
          <w:b w:val="false"/>
          <w:bCs w:val="false"/>
          <w:i w:val="false"/>
          <w:iCs w:val="false"/>
          <w:color w:val="333333"/>
          <w:sz w:val="20"/>
          <w:szCs w:val="20"/>
        </w:rPr>
        <w:t>9:176</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المسالک </w:t>
      </w:r>
      <w:r>
        <w:rPr>
          <w:rFonts w:eastAsia="IRNazanin" w:cs="IRNazanin"/>
          <w:b w:val="false"/>
          <w:bCs w:val="false"/>
          <w:i w:val="false"/>
          <w:iCs w:val="false"/>
          <w:color w:val="333333"/>
          <w:sz w:val="20"/>
          <w:szCs w:val="20"/>
        </w:rPr>
        <w:t>14:409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18:388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الحدود والتعزیرات،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غایة المراد </w:t>
      </w:r>
      <w:r>
        <w:rPr>
          <w:rFonts w:eastAsia="IRNazanin" w:cs="IRNazanin"/>
          <w:b w:val="false"/>
          <w:bCs w:val="false"/>
          <w:i w:val="false"/>
          <w:iCs w:val="false"/>
          <w:color w:val="333333"/>
          <w:sz w:val="20"/>
          <w:szCs w:val="20"/>
        </w:rPr>
        <w:t>4:215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18:387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الزنا، الحدیث الأوّل، فی طریق روایة أبی بصیر إسحاق بن عمّار وهو فطحی، وروایة یونس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نقلها الشیخ عنه فی التهذیب </w:t>
      </w:r>
      <w:r>
        <w:rPr>
          <w:rFonts w:eastAsia="IRNazanin" w:cs="IRNazanin"/>
          <w:b w:val="false"/>
          <w:bCs w:val="false"/>
          <w:i w:val="false"/>
          <w:iCs w:val="false"/>
          <w:color w:val="333333"/>
          <w:sz w:val="20"/>
          <w:szCs w:val="20"/>
        </w:rPr>
        <w:t>10:37</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الحسن؛ لأنّ أظهر الطرُق إلیه ما دخل فیه إبراهیم بن هاشم، وحینئذٍ فالرجوع إلی الاحتیاط فی الدماء والتخفیف أولی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 .</w:t>
      </w:r>
    </w:p>
  </w:footnote>
  <w:footnote w:id="1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الأرض</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w:t>
      </w:r>
      <w:r>
        <w:rPr>
          <w:rFonts w:eastAsia="IRNazanin" w:cs="IRNazanin"/>
          <w:b w:val="false"/>
          <w:bCs w:val="false"/>
          <w:i w:val="false"/>
          <w:iCs w:val="false"/>
          <w:color w:val="333333"/>
          <w:sz w:val="20"/>
          <w:szCs w:val="20"/>
        </w:rPr>
        <w:t>14:351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النکاح المحرّم وما یناسبه،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النار</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14:257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النکاح المحرّم وما یناسبه، الحدیث الأوّل</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18:367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الزنا، الحدیث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جلداً، ولم یرد أیّ منهما فی الوسائل</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18:367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الزنا، الحدیث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ولیس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حدّاً</w:t>
      </w:r>
      <w:r>
        <w:rPr>
          <w:rFonts w:eastAsia="IRNazanin" w:cs="IRNazanin"/>
          <w:b w:val="false"/>
          <w:bCs w:val="false"/>
          <w:i w:val="false"/>
          <w:iCs w:val="false"/>
          <w:color w:val="333333"/>
          <w:sz w:val="20"/>
          <w:szCs w:val="20"/>
          <w:rtl w:val="true"/>
        </w:rPr>
        <w:t>» .</w:t>
      </w:r>
    </w:p>
  </w:footnote>
  <w:footnote w:id="1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الحدیث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کالمحقّق فی الشرائع </w:t>
      </w:r>
      <w:r>
        <w:rPr>
          <w:rFonts w:eastAsia="IRNazanin" w:cs="IRNazanin"/>
          <w:b w:val="false"/>
          <w:bCs w:val="false"/>
          <w:i w:val="false"/>
          <w:iCs w:val="false"/>
          <w:color w:val="333333"/>
          <w:sz w:val="20"/>
          <w:szCs w:val="20"/>
        </w:rPr>
        <w:t>4:160</w:t>
      </w:r>
      <w:r>
        <w:rPr>
          <w:rFonts w:ascii="IRNazanin" w:hAnsi="IRNazanin" w:eastAsia="IRNazanin"/>
          <w:b w:val="false"/>
          <w:b w:val="false"/>
          <w:bCs w:val="false"/>
          <w:i w:val="false"/>
          <w:i w:val="false"/>
          <w:iCs w:val="false"/>
          <w:color w:val="333333"/>
          <w:sz w:val="20"/>
          <w:sz w:val="20"/>
          <w:szCs w:val="20"/>
          <w:rtl w:val="true"/>
        </w:rPr>
        <w:t xml:space="preserve">، والعلّامة فی الإرشاد </w:t>
      </w:r>
      <w:r>
        <w:rPr>
          <w:rFonts w:eastAsia="IRNazanin" w:cs="IRNazanin"/>
          <w:b w:val="false"/>
          <w:bCs w:val="false"/>
          <w:i w:val="false"/>
          <w:iCs w:val="false"/>
          <w:color w:val="333333"/>
          <w:sz w:val="20"/>
          <w:szCs w:val="20"/>
        </w:rPr>
        <w:t>2:175</w:t>
      </w:r>
      <w:r>
        <w:rPr>
          <w:rFonts w:ascii="IRNazanin" w:hAnsi="IRNazanin" w:eastAsia="IRNazanin"/>
          <w:b w:val="false"/>
          <w:b w:val="false"/>
          <w:bCs w:val="false"/>
          <w:i w:val="false"/>
          <w:i w:val="false"/>
          <w:iCs w:val="false"/>
          <w:color w:val="333333"/>
          <w:sz w:val="20"/>
          <w:sz w:val="20"/>
          <w:szCs w:val="20"/>
          <w:rtl w:val="true"/>
        </w:rPr>
        <w:t xml:space="preserve">، والقواعد </w:t>
      </w:r>
      <w:r>
        <w:rPr>
          <w:rFonts w:eastAsia="IRNazanin" w:cs="IRNazanin"/>
          <w:b w:val="false"/>
          <w:bCs w:val="false"/>
          <w:i w:val="false"/>
          <w:iCs w:val="false"/>
          <w:color w:val="333333"/>
          <w:sz w:val="20"/>
          <w:szCs w:val="20"/>
        </w:rPr>
        <w:t>3:537</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هذه الصفحة</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قاله الشیخ فی 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706</w:t>
      </w:r>
      <w:r>
        <w:rPr>
          <w:rFonts w:ascii="IRNazanin" w:hAnsi="IRNazanin" w:eastAsia="IRNazanin"/>
          <w:b w:val="false"/>
          <w:b w:val="false"/>
          <w:bCs w:val="false"/>
          <w:i w:val="false"/>
          <w:i w:val="false"/>
          <w:iCs w:val="false"/>
          <w:color w:val="333333"/>
          <w:sz w:val="20"/>
          <w:sz w:val="20"/>
          <w:szCs w:val="20"/>
          <w:rtl w:val="true"/>
        </w:rPr>
        <w:t xml:space="preserve">، والقاضی فی المهذّب </w:t>
      </w:r>
      <w:r>
        <w:rPr>
          <w:rFonts w:eastAsia="IRNazanin" w:cs="IRNazanin"/>
          <w:b w:val="false"/>
          <w:bCs w:val="false"/>
          <w:i w:val="false"/>
          <w:iCs w:val="false"/>
          <w:color w:val="333333"/>
          <w:sz w:val="20"/>
          <w:szCs w:val="20"/>
        </w:rPr>
        <w:t>2:531</w:t>
      </w:r>
      <w:r>
        <w:rPr>
          <w:rFonts w:ascii="IRNazanin" w:hAnsi="IRNazanin" w:eastAsia="IRNazanin"/>
          <w:b w:val="false"/>
          <w:b w:val="false"/>
          <w:bCs w:val="false"/>
          <w:i w:val="false"/>
          <w:i w:val="false"/>
          <w:iCs w:val="false"/>
          <w:color w:val="333333"/>
          <w:sz w:val="20"/>
          <w:sz w:val="20"/>
          <w:szCs w:val="20"/>
          <w:rtl w:val="true"/>
        </w:rPr>
        <w:t>، وابن حمزة فی الوسیلة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18:424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الباب الأوّل من أبواب حدّ السحق والقیادة، الحدیث الأوّل</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الإیضاح </w:t>
      </w:r>
      <w:r>
        <w:rPr>
          <w:rFonts w:eastAsia="IRNazanin" w:cs="IRNazanin"/>
          <w:b w:val="false"/>
          <w:bCs w:val="false"/>
          <w:i w:val="false"/>
          <w:iCs w:val="false"/>
          <w:color w:val="333333"/>
          <w:sz w:val="20"/>
          <w:szCs w:val="20"/>
        </w:rPr>
        <w:t>4:493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xml:space="preserve">، وغایة المراد </w:t>
      </w:r>
      <w:r>
        <w:rPr>
          <w:rFonts w:eastAsia="IRNazanin" w:cs="IRNazanin"/>
          <w:b w:val="false"/>
          <w:bCs w:val="false"/>
          <w:i w:val="false"/>
          <w:iCs w:val="false"/>
          <w:color w:val="333333"/>
          <w:sz w:val="20"/>
          <w:szCs w:val="20"/>
        </w:rPr>
        <w:t>4:218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ابن إدریس فی السرائر </w:t>
      </w:r>
      <w:r>
        <w:rPr>
          <w:rFonts w:eastAsia="IRNazanin" w:cs="IRNazanin"/>
          <w:b w:val="false"/>
          <w:bCs w:val="false"/>
          <w:i w:val="false"/>
          <w:iCs w:val="false"/>
          <w:color w:val="333333"/>
          <w:sz w:val="20"/>
          <w:szCs w:val="20"/>
        </w:rPr>
        <w:t>3:467</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قاله الشیخ فی 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707</w:t>
      </w:r>
      <w:r>
        <w:rPr>
          <w:rFonts w:ascii="IRNazanin" w:hAnsi="IRNazanin" w:eastAsia="IRNazanin"/>
          <w:b w:val="false"/>
          <w:b w:val="false"/>
          <w:bCs w:val="false"/>
          <w:i w:val="false"/>
          <w:i w:val="false"/>
          <w:iCs w:val="false"/>
          <w:color w:val="333333"/>
          <w:sz w:val="20"/>
          <w:sz w:val="20"/>
          <w:szCs w:val="20"/>
          <w:rtl w:val="true"/>
        </w:rPr>
        <w:t xml:space="preserve">، والقاضی فی المهذّب </w:t>
      </w:r>
      <w:r>
        <w:rPr>
          <w:rFonts w:eastAsia="IRNazanin" w:cs="IRNazanin"/>
          <w:b w:val="false"/>
          <w:bCs w:val="false"/>
          <w:i w:val="false"/>
          <w:iCs w:val="false"/>
          <w:color w:val="333333"/>
          <w:sz w:val="20"/>
          <w:szCs w:val="20"/>
        </w:rPr>
        <w:t>2:533</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المسالک </w:t>
      </w:r>
      <w:r>
        <w:rPr>
          <w:rFonts w:eastAsia="IRNazanin" w:cs="IRNazanin"/>
          <w:b w:val="false"/>
          <w:bCs w:val="false"/>
          <w:i w:val="false"/>
          <w:iCs w:val="false"/>
          <w:color w:val="333333"/>
          <w:sz w:val="20"/>
          <w:szCs w:val="20"/>
        </w:rPr>
        <w:t>14:372</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قاله الشیخ فی 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707</w:t>
      </w:r>
      <w:r>
        <w:rPr>
          <w:rFonts w:ascii="IRNazanin" w:hAnsi="IRNazanin" w:eastAsia="IRNazanin"/>
          <w:b w:val="false"/>
          <w:b w:val="false"/>
          <w:bCs w:val="false"/>
          <w:i w:val="false"/>
          <w:i w:val="false"/>
          <w:iCs w:val="false"/>
          <w:color w:val="333333"/>
          <w:sz w:val="20"/>
          <w:sz w:val="20"/>
          <w:szCs w:val="20"/>
          <w:rtl w:val="true"/>
        </w:rPr>
        <w:t xml:space="preserve">، والقاضی فی المهذّب </w:t>
      </w:r>
      <w:r>
        <w:rPr>
          <w:rFonts w:eastAsia="IRNazanin" w:cs="IRNazanin"/>
          <w:b w:val="false"/>
          <w:bCs w:val="false"/>
          <w:i w:val="false"/>
          <w:iCs w:val="false"/>
          <w:color w:val="333333"/>
          <w:sz w:val="20"/>
          <w:szCs w:val="20"/>
        </w:rPr>
        <w:t>2:532</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18:426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السحق، الحدیث الأوّل، هذا، وقد عبّر فی المسالک </w:t>
      </w:r>
      <w:r>
        <w:rPr>
          <w:rFonts w:eastAsia="IRNazanin" w:cs="IRNazanin"/>
          <w:b w:val="false"/>
          <w:bCs w:val="false"/>
          <w:i w:val="false"/>
          <w:iCs w:val="false"/>
          <w:color w:val="333333"/>
          <w:sz w:val="20"/>
          <w:szCs w:val="20"/>
        </w:rPr>
        <w:t>14:419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هذه الروایة بالصحیح</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18:425</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حدّ السحق والقیادة،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3:465</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710</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18:429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السحق والقیادة، الحدیث الأوّل، ولیس فیها حلق الرأس والتشهیر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طریق الروایة محمّد بن سلیمان وهو مشترک بین الثقة والضعیف، ولو سلم کانت من الحسن؛ لأنّ فی طریقها إبراهیم بن هاشم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 .</w:t>
      </w:r>
    </w:p>
  </w:footnote>
  <w:footnote w:id="1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18:333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الحدود، الحدیث الأوّل</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المتقدّم، الباب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18:446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القذف،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لائط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p>
  </w:footnote>
  <w:footnote w:id="1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القول بثبوته للاُمّ خاصّة للشیخ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وبانتفائه لهما ظاهر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والتحریر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والعلّامة فی غیره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3:545</w:t>
      </w:r>
      <w:r>
        <w:rPr>
          <w:rFonts w:ascii="IRNazanin" w:hAnsi="IRNazanin" w:eastAsia="IRNazanin"/>
          <w:b w:val="false"/>
          <w:b w:val="false"/>
          <w:bCs w:val="false"/>
          <w:i w:val="false"/>
          <w:i w:val="false"/>
          <w:iCs w:val="false"/>
          <w:color w:val="333333"/>
          <w:sz w:val="20"/>
          <w:sz w:val="20"/>
          <w:szCs w:val="20"/>
          <w:rtl w:val="true"/>
        </w:rPr>
        <w:t xml:space="preserve">، والإرشاد </w:t>
      </w:r>
      <w:r>
        <w:rPr>
          <w:rFonts w:eastAsia="IRNazanin" w:cs="IRNazanin"/>
          <w:b w:val="false"/>
          <w:bCs w:val="false"/>
          <w:i w:val="false"/>
          <w:iCs w:val="false"/>
          <w:color w:val="333333"/>
          <w:sz w:val="20"/>
          <w:szCs w:val="20"/>
        </w:rPr>
        <w:t>2:177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وزاد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 إشکال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بثبوته لهما، وهو ظاهر الأکثر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 .</w:t>
      </w:r>
    </w:p>
  </w:footnote>
  <w:footnote w:id="1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الروایة صریحة فی عدم الحدّ علیه ولازمه نفی القذف، راجع الوسائل </w:t>
      </w:r>
      <w:r>
        <w:rPr>
          <w:rFonts w:eastAsia="IRNazanin" w:cs="IRNazanin"/>
          <w:b w:val="false"/>
          <w:bCs w:val="false"/>
          <w:i w:val="false"/>
          <w:iCs w:val="false"/>
          <w:color w:val="333333"/>
          <w:sz w:val="20"/>
          <w:szCs w:val="20"/>
        </w:rPr>
        <w:t>18:446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القذف، الحدیث الأوّل</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سیأتی بیان معنی هذه الکلمات من الشارح 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الکشخان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یجوز أن یکون بالحاء المهملة صفة من الکشح بمعنی الستر والإضمار، والرجل المذکور یضمر فی قلبه ما یضمر من الأمر القبیح، ویکون إعجام الحاء من تحریف العامّة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هو معرّب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کج خان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محرّف الدار والمنزل، فإنّ هذا الرجل یجعل داره فی المواضع الغیر المشهورة، بل فی الأمکنة المختفیة، فتأمّل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 القرنان من 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قرن الفرس یقرن، إذا وقعت حوافر رجلیه موضع حوافر یدیه، أو من قرنت الشیء بالشیء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وصلته، ونحو ذلک</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1:282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دیث</w:t>
      </w:r>
      <w:r>
        <w:rPr>
          <w:rFonts w:eastAsia="IRNazanin" w:cs="IRNazanin"/>
          <w:b w:val="false"/>
          <w:bCs w:val="false"/>
          <w:i w:val="false"/>
          <w:iCs w:val="false"/>
          <w:color w:val="333333"/>
          <w:sz w:val="20"/>
          <w:szCs w:val="20"/>
          <w:rtl w:val="true"/>
        </w:rPr>
        <w:t>) .</w:t>
      </w:r>
    </w:p>
  </w:footnote>
  <w:footnote w:id="1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والقائل هو إبراهیم الحربی، راجع المغنی مع الشرح </w:t>
      </w:r>
      <w:r>
        <w:rPr>
          <w:rFonts w:eastAsia="IRNazanin" w:cs="IRNazanin"/>
          <w:b w:val="false"/>
          <w:bCs w:val="false"/>
          <w:i w:val="false"/>
          <w:iCs w:val="false"/>
          <w:color w:val="333333"/>
          <w:sz w:val="20"/>
          <w:szCs w:val="20"/>
        </w:rPr>
        <w:t>10:228</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مع الشرح </w:t>
      </w:r>
      <w:r>
        <w:rPr>
          <w:rFonts w:eastAsia="IRNazanin" w:cs="IRNazanin"/>
          <w:b w:val="false"/>
          <w:bCs w:val="false"/>
          <w:i w:val="false"/>
          <w:iCs w:val="false"/>
          <w:color w:val="333333"/>
          <w:sz w:val="20"/>
          <w:szCs w:val="20"/>
        </w:rPr>
        <w:t>10:228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ثعلب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تغلب</w:t>
      </w:r>
      <w:r>
        <w:rPr>
          <w:rFonts w:eastAsia="IRNazanin" w:cs="IRNazanin"/>
          <w:b w:val="false"/>
          <w:bCs w:val="false"/>
          <w:i w:val="false"/>
          <w:iCs w:val="false"/>
          <w:color w:val="333333"/>
          <w:sz w:val="20"/>
          <w:szCs w:val="20"/>
          <w:rtl w:val="true"/>
        </w:rPr>
        <w:t>» .</w:t>
      </w:r>
    </w:p>
  </w:footnote>
  <w:footnote w:id="1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ومجمع البحرین </w:t>
      </w:r>
      <w:r>
        <w:rPr>
          <w:rFonts w:eastAsia="IRNazanin" w:cs="IRNazanin"/>
          <w:b w:val="false"/>
          <w:bCs w:val="false"/>
          <w:i w:val="false"/>
          <w:iCs w:val="false"/>
          <w:color w:val="333333"/>
          <w:sz w:val="20"/>
          <w:szCs w:val="20"/>
        </w:rPr>
        <w:t>2:253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دیث</w:t>
      </w:r>
      <w:r>
        <w:rPr>
          <w:rFonts w:eastAsia="IRNazanin" w:cs="IRNazanin"/>
          <w:b w:val="false"/>
          <w:bCs w:val="false"/>
          <w:i w:val="false"/>
          <w:iCs w:val="false"/>
          <w:color w:val="333333"/>
          <w:sz w:val="20"/>
          <w:szCs w:val="20"/>
          <w:rtl w:val="true"/>
        </w:rPr>
        <w:t>) .</w:t>
      </w:r>
    </w:p>
  </w:footnote>
  <w:footnote w:id="1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بین</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الوثبة</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الحرقوص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دویبة کالبرغوث</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15:609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اللعان، الحدیث الأوّل مع اختلاف یسیر</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8:604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العشرة،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796</w:t>
      </w:r>
      <w:r>
        <w:rPr>
          <w:rFonts w:ascii="IRNazanin" w:hAnsi="IRNazanin" w:eastAsia="IRNazanin"/>
          <w:b w:val="false"/>
          <w:b w:val="false"/>
          <w:bCs w:val="false"/>
          <w:i w:val="false"/>
          <w:i w:val="false"/>
          <w:iCs w:val="false"/>
          <w:color w:val="333333"/>
          <w:sz w:val="20"/>
          <w:sz w:val="20"/>
          <w:szCs w:val="20"/>
          <w:rtl w:val="true"/>
        </w:rPr>
        <w:t xml:space="preserve">، والشرائع </w:t>
      </w:r>
      <w:r>
        <w:rPr>
          <w:rFonts w:eastAsia="IRNazanin" w:cs="IRNazanin"/>
          <w:b w:val="false"/>
          <w:bCs w:val="false"/>
          <w:i w:val="false"/>
          <w:iCs w:val="false"/>
          <w:color w:val="333333"/>
          <w:sz w:val="20"/>
          <w:szCs w:val="20"/>
        </w:rPr>
        <w:t>4:164</w:t>
      </w:r>
      <w:r>
        <w:rPr>
          <w:rFonts w:ascii="IRNazanin" w:hAnsi="IRNazanin" w:eastAsia="IRNazanin"/>
          <w:b w:val="false"/>
          <w:b w:val="false"/>
          <w:bCs w:val="false"/>
          <w:i w:val="false"/>
          <w:i w:val="false"/>
          <w:iCs w:val="false"/>
          <w:color w:val="333333"/>
          <w:sz w:val="20"/>
          <w:sz w:val="20"/>
          <w:szCs w:val="20"/>
          <w:rtl w:val="true"/>
        </w:rPr>
        <w:t xml:space="preserve">، والقواعد </w:t>
      </w:r>
      <w:r>
        <w:rPr>
          <w:rFonts w:eastAsia="IRNazanin" w:cs="IRNazanin"/>
          <w:b w:val="false"/>
          <w:bCs w:val="false"/>
          <w:i w:val="false"/>
          <w:iCs w:val="false"/>
          <w:color w:val="333333"/>
          <w:sz w:val="20"/>
          <w:szCs w:val="20"/>
        </w:rPr>
        <w:t>3:544</w:t>
      </w:r>
      <w:r>
        <w:rPr>
          <w:rFonts w:ascii="IRNazanin" w:hAnsi="IRNazanin" w:eastAsia="IRNazanin"/>
          <w:b w:val="false"/>
          <w:b w:val="false"/>
          <w:bCs w:val="false"/>
          <w:i w:val="false"/>
          <w:i w:val="false"/>
          <w:iCs w:val="false"/>
          <w:color w:val="333333"/>
          <w:sz w:val="20"/>
          <w:sz w:val="20"/>
          <w:szCs w:val="20"/>
          <w:rtl w:val="true"/>
        </w:rPr>
        <w:t>، وغیرها</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سلف فی الصفحة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القول بعدم الاشتراط والتساوی لأکثر الأصحاب،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فی 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723</w:t>
      </w:r>
      <w:r>
        <w:rPr>
          <w:rFonts w:ascii="IRNazanin" w:hAnsi="IRNazanin" w:eastAsia="IRNazanin"/>
          <w:b w:val="false"/>
          <w:b w:val="false"/>
          <w:bCs w:val="false"/>
          <w:i w:val="false"/>
          <w:i w:val="false"/>
          <w:iCs w:val="false"/>
          <w:color w:val="333333"/>
          <w:sz w:val="20"/>
          <w:sz w:val="20"/>
          <w:szCs w:val="20"/>
          <w:rtl w:val="true"/>
        </w:rPr>
        <w:t xml:space="preserve">، والخلاف </w:t>
      </w:r>
      <w:r>
        <w:rPr>
          <w:rFonts w:eastAsia="IRNazanin" w:cs="IRNazanin"/>
          <w:b w:val="false"/>
          <w:bCs w:val="false"/>
          <w:i w:val="false"/>
          <w:iCs w:val="false"/>
          <w:color w:val="333333"/>
          <w:sz w:val="20"/>
          <w:szCs w:val="20"/>
        </w:rPr>
        <w:t>5:403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والمحقّق فی المختصر النافع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وقوّاه العلّامة فی التحریر </w:t>
      </w:r>
      <w:r>
        <w:rPr>
          <w:rFonts w:eastAsia="IRNazanin" w:cs="IRNazanin"/>
          <w:b w:val="false"/>
          <w:bCs w:val="false"/>
          <w:i w:val="false"/>
          <w:iCs w:val="false"/>
          <w:color w:val="333333"/>
          <w:sz w:val="20"/>
          <w:szCs w:val="20"/>
        </w:rPr>
        <w:t>5:406</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18:435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القذف،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المتقدّم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القذف</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8:16</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18:437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القذف، الحدیث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القمّی فی تفسیره </w:t>
      </w:r>
      <w:r>
        <w:rPr>
          <w:rFonts w:eastAsia="IRNazanin" w:cs="IRNazanin"/>
          <w:b w:val="false"/>
          <w:bCs w:val="false"/>
          <w:i w:val="false"/>
          <w:iCs w:val="false"/>
          <w:color w:val="333333"/>
          <w:sz w:val="20"/>
          <w:szCs w:val="20"/>
        </w:rPr>
        <w:t>1:136</w:t>
      </w:r>
      <w:r>
        <w:rPr>
          <w:rFonts w:ascii="IRNazanin" w:hAnsi="IRNazanin" w:eastAsia="IRNazanin"/>
          <w:b w:val="false"/>
          <w:b w:val="false"/>
          <w:bCs w:val="false"/>
          <w:i w:val="false"/>
          <w:i w:val="false"/>
          <w:iCs w:val="false"/>
          <w:color w:val="333333"/>
          <w:sz w:val="20"/>
          <w:sz w:val="20"/>
          <w:szCs w:val="20"/>
          <w:rtl w:val="true"/>
        </w:rPr>
        <w:t xml:space="preserve">، والطبرسی فی مجمع البیان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والفخر الرازی فی التفسیر الکبیر </w:t>
      </w:r>
      <w:r>
        <w:rPr>
          <w:rFonts w:eastAsia="IRNazanin" w:cs="IRNazanin"/>
          <w:b w:val="false"/>
          <w:bCs w:val="false"/>
          <w:i w:val="false"/>
          <w:iCs w:val="false"/>
          <w:color w:val="333333"/>
          <w:sz w:val="20"/>
          <w:szCs w:val="20"/>
        </w:rPr>
        <w:t>10:64</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وضعفها بقاسم بن سلیمان، راجع المسالک </w:t>
      </w:r>
      <w:r>
        <w:rPr>
          <w:rFonts w:eastAsia="IRNazanin" w:cs="IRNazanin"/>
          <w:b w:val="false"/>
          <w:bCs w:val="false"/>
          <w:i w:val="false"/>
          <w:iCs w:val="false"/>
          <w:color w:val="333333"/>
          <w:sz w:val="20"/>
          <w:szCs w:val="20"/>
        </w:rPr>
        <w:t>13:457</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المشار إلیها فی الهامش رقم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الصفحة السابقة</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غایة المراد </w:t>
      </w:r>
      <w:r>
        <w:rPr>
          <w:rFonts w:eastAsia="IRNazanin" w:cs="IRNazanin"/>
          <w:b w:val="false"/>
          <w:bCs w:val="false"/>
          <w:i w:val="false"/>
          <w:iCs w:val="false"/>
          <w:color w:val="333333"/>
          <w:sz w:val="20"/>
          <w:szCs w:val="20"/>
        </w:rPr>
        <w:t>4:229</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کابن زهرة فی الغنیة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غایة المراد </w:t>
      </w:r>
      <w:r>
        <w:rPr>
          <w:rFonts w:eastAsia="IRNazanin" w:cs="IRNazanin"/>
          <w:b w:val="false"/>
          <w:bCs w:val="false"/>
          <w:i w:val="false"/>
          <w:iCs w:val="false"/>
          <w:color w:val="333333"/>
          <w:sz w:val="20"/>
          <w:szCs w:val="20"/>
        </w:rPr>
        <w:t>4:229</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وعن غیره الطبرسی فی مجمع البیان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العلّامة فی القواعد </w:t>
      </w:r>
      <w:r>
        <w:rPr>
          <w:rFonts w:eastAsia="IRNazanin" w:cs="IRNazanin"/>
          <w:b w:val="false"/>
          <w:bCs w:val="false"/>
          <w:i w:val="false"/>
          <w:iCs w:val="false"/>
          <w:color w:val="333333"/>
          <w:sz w:val="20"/>
          <w:szCs w:val="20"/>
        </w:rPr>
        <w:t>3:545</w:t>
      </w:r>
      <w:r>
        <w:rPr>
          <w:rFonts w:ascii="IRNazanin" w:hAnsi="IRNazanin" w:eastAsia="IRNazanin"/>
          <w:b w:val="false"/>
          <w:b w:val="false"/>
          <w:bCs w:val="false"/>
          <w:i w:val="false"/>
          <w:i w:val="false"/>
          <w:iCs w:val="false"/>
          <w:color w:val="333333"/>
          <w:sz w:val="20"/>
          <w:sz w:val="20"/>
          <w:szCs w:val="20"/>
          <w:rtl w:val="true"/>
        </w:rPr>
        <w:t>، وابن حمزة فی الوسیلة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فی الصفحة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p>
  </w:footnote>
  <w:footnote w:id="1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8:605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العشرة،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3:644</w:t>
      </w:r>
      <w:r>
        <w:rPr>
          <w:rFonts w:ascii="IRNazanin" w:hAnsi="IRNazanin" w:eastAsia="IRNazanin"/>
          <w:b w:val="false"/>
          <w:b w:val="false"/>
          <w:bCs w:val="false"/>
          <w:i w:val="false"/>
          <w:i w:val="false"/>
          <w:iCs w:val="false"/>
          <w:color w:val="333333"/>
          <w:sz w:val="20"/>
          <w:sz w:val="20"/>
          <w:szCs w:val="20"/>
          <w:rtl w:val="true"/>
        </w:rPr>
        <w:t xml:space="preserve">، والبحار </w:t>
      </w:r>
      <w:r>
        <w:rPr>
          <w:rFonts w:eastAsia="IRNazanin" w:cs="IRNazanin"/>
          <w:b w:val="false"/>
          <w:bCs w:val="false"/>
          <w:i w:val="false"/>
          <w:iCs w:val="false"/>
          <w:color w:val="333333"/>
          <w:sz w:val="20"/>
          <w:szCs w:val="20"/>
        </w:rPr>
        <w:t>75:161</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لکافر</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العلّامة عن ابن الجنید، راجع المختلف </w:t>
      </w:r>
      <w:r>
        <w:rPr>
          <w:rFonts w:eastAsia="IRNazanin" w:cs="IRNazanin"/>
          <w:b w:val="false"/>
          <w:bCs w:val="false"/>
          <w:i w:val="false"/>
          <w:iCs w:val="false"/>
          <w:color w:val="333333"/>
          <w:sz w:val="20"/>
          <w:szCs w:val="20"/>
        </w:rPr>
        <w:t>9:107</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3:545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ولو قال لکافر اُمّه مسلمة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بن الزانیة حدّ، وإن کانت میتةولا وارث لها سوی الکافر لم یحدّ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وهذه العبارة لا تقتضی إرث الکافر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ویحمل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وارث لها سوی الکافر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لا وارث لها علی الخصوص غیره، بأن یکون وارثها الإمام فإنّه وارث من لا وارث له، فیصدق أ نّه لا وارث لها غیر الکافر ولا یستلزم کونه وارثاً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 .</w:t>
      </w:r>
    </w:p>
  </w:footnote>
  <w:footnote w:id="1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18:451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القذف،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فدرأ عنهما الحدّ</w:t>
      </w:r>
      <w:r>
        <w:rPr>
          <w:rFonts w:eastAsia="IRNazanin" w:cs="IRNazanin"/>
          <w:b w:val="false"/>
          <w:bCs w:val="false"/>
          <w:i w:val="false"/>
          <w:iCs w:val="false"/>
          <w:color w:val="333333"/>
          <w:sz w:val="20"/>
          <w:szCs w:val="20"/>
          <w:rtl w:val="true"/>
        </w:rPr>
        <w:t>» .</w:t>
      </w:r>
    </w:p>
  </w:footnote>
  <w:footnote w:id="1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18:444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القذف، الحدیث الأوّل مع اختلاف یسیر</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9:256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 وجه وضوحه أنّ فی طریق الثانی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صحیحة العطّار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أبان وهو مشترک بین الثقة وغیره، بل الظاهر أنّ المراد به أبان بن عثمان وهو ناووسی، إلّاأنّ المصنّف نقل عن الکشّی إجماع العصابة علی تصحیح ما یصحّ عنه وقوّی العمل بروایته، ثمّ لو عملنا بالروایة الاُولی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صحیحة جمیل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فدلالتها علی ما ادّعاه ممنوعة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 .</w:t>
      </w:r>
    </w:p>
  </w:footnote>
  <w:footnote w:id="1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الخبر الأوّل</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 ابن الجنید</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p>
  </w:footnote>
  <w:footnote w:id="1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غیر اعتبار التفصیل السابق فی القذف، فإنّه لا دلیل هنا، فیحکم بمقتضی موجب التعزیر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ر</w:t>
      </w:r>
      <w:r>
        <w:rPr>
          <w:rFonts w:eastAsia="IRNazanin" w:cs="IRNazanin"/>
          <w:b w:val="false"/>
          <w:bCs w:val="false"/>
          <w:i w:val="false"/>
          <w:iCs w:val="false"/>
          <w:color w:val="333333"/>
          <w:sz w:val="20"/>
          <w:szCs w:val="20"/>
          <w:rtl w:val="true"/>
        </w:rPr>
        <w:t>) .</w:t>
      </w:r>
    </w:p>
  </w:footnote>
  <w:footnote w:id="1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3:535</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کالعلّامة فی القواعد </w:t>
      </w:r>
      <w:r>
        <w:rPr>
          <w:rFonts w:eastAsia="IRNazanin" w:cs="IRNazanin"/>
          <w:b w:val="false"/>
          <w:bCs w:val="false"/>
          <w:i w:val="false"/>
          <w:iCs w:val="false"/>
          <w:color w:val="333333"/>
          <w:sz w:val="20"/>
          <w:szCs w:val="20"/>
        </w:rPr>
        <w:t>3:548</w:t>
      </w:r>
      <w:r>
        <w:rPr>
          <w:rFonts w:ascii="IRNazanin" w:hAnsi="IRNazanin" w:eastAsia="IRNazanin"/>
          <w:b w:val="false"/>
          <w:b w:val="false"/>
          <w:bCs w:val="false"/>
          <w:i w:val="false"/>
          <w:i w:val="false"/>
          <w:iCs w:val="false"/>
          <w:color w:val="333333"/>
          <w:sz w:val="20"/>
          <w:sz w:val="20"/>
          <w:szCs w:val="20"/>
          <w:rtl w:val="true"/>
        </w:rPr>
        <w:t xml:space="preserve">، والإرشاد </w:t>
      </w:r>
      <w:r>
        <w:rPr>
          <w:rFonts w:eastAsia="IRNazanin" w:cs="IRNazanin"/>
          <w:b w:val="false"/>
          <w:bCs w:val="false"/>
          <w:i w:val="false"/>
          <w:iCs w:val="false"/>
          <w:color w:val="333333"/>
          <w:sz w:val="20"/>
          <w:szCs w:val="20"/>
        </w:rPr>
        <w:t>2:179</w:t>
      </w:r>
      <w:r>
        <w:rPr>
          <w:rFonts w:ascii="IRNazanin" w:hAnsi="IRNazanin" w:eastAsia="IRNazanin"/>
          <w:b w:val="false"/>
          <w:b w:val="false"/>
          <w:bCs w:val="false"/>
          <w:i w:val="false"/>
          <w:i w:val="false"/>
          <w:iCs w:val="false"/>
          <w:color w:val="333333"/>
          <w:sz w:val="20"/>
          <w:sz w:val="20"/>
          <w:szCs w:val="20"/>
          <w:rtl w:val="true"/>
        </w:rPr>
        <w:t xml:space="preserve">، والتحریر </w:t>
      </w:r>
      <w:r>
        <w:rPr>
          <w:rFonts w:eastAsia="IRNazanin" w:cs="IRNazanin"/>
          <w:b w:val="false"/>
          <w:bCs w:val="false"/>
          <w:i w:val="false"/>
          <w:iCs w:val="false"/>
          <w:color w:val="333333"/>
          <w:sz w:val="20"/>
          <w:szCs w:val="20"/>
        </w:rPr>
        <w:t>5:407</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4:167</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عنه شیء</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ونبّه بالمشهور علی أنّ مستند الحکم روایة عمّار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18:456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القذف،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وهی مع ما یعلم من حاله مقطوعة لکن لا نعلم مخالفاً فی ذلک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 .</w:t>
      </w:r>
    </w:p>
  </w:footnote>
  <w:footnote w:id="1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3:519</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حدّ القذف</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فی الشرائع ذلک إلی القیل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مشعراً بتمریضه ولم نقف علی مستنده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وهی</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التفصیل فی الحرّ</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یرد فی المخطوطات</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18:459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القذف،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یتبرّأ</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18:462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القذف،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یسیر</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التحریر </w:t>
      </w:r>
      <w:r>
        <w:rPr>
          <w:rFonts w:eastAsia="IRNazanin" w:cs="IRNazanin"/>
          <w:b w:val="false"/>
          <w:bCs w:val="false"/>
          <w:i w:val="false"/>
          <w:iCs w:val="false"/>
          <w:color w:val="333333"/>
          <w:sz w:val="20"/>
          <w:szCs w:val="20"/>
        </w:rPr>
        <w:t>5:410</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فواته</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قلیله</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18:576</w:t>
      </w:r>
      <w:r>
        <w:rPr>
          <w:rFonts w:ascii="IRNazanin" w:hAnsi="IRNazanin" w:eastAsia="IRNazanin"/>
          <w:b w:val="false"/>
          <w:b w:val="false"/>
          <w:bCs w:val="false"/>
          <w:i w:val="false"/>
          <w:i w:val="false"/>
          <w:iCs w:val="false"/>
          <w:color w:val="333333"/>
          <w:sz w:val="20"/>
          <w:sz w:val="20"/>
          <w:szCs w:val="20"/>
          <w:rtl w:val="true"/>
        </w:rPr>
        <w:t>، الباب الأوّل من أبواب بقیّة الحدود، الحدیث الأوّل</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18:577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بقیّة الحدود،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الثانی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عند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وتعلّم السحر</w:t>
      </w:r>
      <w:r>
        <w:rPr>
          <w:rFonts w:eastAsia="IRNazanin" w:cs="IRNazanin"/>
          <w:b w:val="false"/>
          <w:bCs w:val="false"/>
          <w:i w:val="false"/>
          <w:iCs w:val="false"/>
          <w:color w:val="333333"/>
          <w:sz w:val="20"/>
          <w:szCs w:val="20"/>
          <w:rtl w:val="true"/>
        </w:rPr>
        <w:t>» .</w:t>
      </w:r>
    </w:p>
  </w:footnote>
  <w:footnote w:id="1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18:458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القذف</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730</w:t>
      </w:r>
      <w:r>
        <w:rPr>
          <w:rFonts w:ascii="IRNazanin" w:hAnsi="IRNazanin" w:eastAsia="IRNazanin"/>
          <w:b w:val="false"/>
          <w:b w:val="false"/>
          <w:bCs w:val="false"/>
          <w:i w:val="false"/>
          <w:i w:val="false"/>
          <w:iCs w:val="false"/>
          <w:color w:val="333333"/>
          <w:sz w:val="20"/>
          <w:sz w:val="20"/>
          <w:szCs w:val="20"/>
          <w:rtl w:val="true"/>
        </w:rPr>
        <w:t xml:space="preserve">، والشرائع </w:t>
      </w:r>
      <w:r>
        <w:rPr>
          <w:rFonts w:eastAsia="IRNazanin" w:cs="IRNazanin"/>
          <w:b w:val="false"/>
          <w:bCs w:val="false"/>
          <w:i w:val="false"/>
          <w:iCs w:val="false"/>
          <w:color w:val="333333"/>
          <w:sz w:val="20"/>
          <w:szCs w:val="20"/>
        </w:rPr>
        <w:t>4:167</w:t>
      </w:r>
      <w:r>
        <w:rPr>
          <w:rFonts w:ascii="IRNazanin" w:hAnsi="IRNazanin" w:eastAsia="IRNazanin"/>
          <w:b w:val="false"/>
          <w:b w:val="false"/>
          <w:bCs w:val="false"/>
          <w:i w:val="false"/>
          <w:i w:val="false"/>
          <w:iCs w:val="false"/>
          <w:color w:val="333333"/>
          <w:sz w:val="20"/>
          <w:sz w:val="20"/>
          <w:szCs w:val="20"/>
          <w:rtl w:val="true"/>
        </w:rPr>
        <w:t xml:space="preserve">، والتحریر </w:t>
      </w:r>
      <w:r>
        <w:rPr>
          <w:rFonts w:eastAsia="IRNazanin" w:cs="IRNazanin"/>
          <w:b w:val="false"/>
          <w:bCs w:val="false"/>
          <w:i w:val="false"/>
          <w:iCs w:val="false"/>
          <w:color w:val="333333"/>
          <w:sz w:val="20"/>
          <w:szCs w:val="20"/>
        </w:rPr>
        <w:t>5:396</w:t>
      </w:r>
      <w:r>
        <w:rPr>
          <w:rFonts w:ascii="IRNazanin" w:hAnsi="IRNazanin" w:eastAsia="IRNazanin"/>
          <w:b w:val="false"/>
          <w:b w:val="false"/>
          <w:bCs w:val="false"/>
          <w:i w:val="false"/>
          <w:i w:val="false"/>
          <w:iCs w:val="false"/>
          <w:color w:val="333333"/>
          <w:sz w:val="20"/>
          <w:sz w:val="20"/>
          <w:szCs w:val="20"/>
          <w:rtl w:val="true"/>
        </w:rPr>
        <w:t>، وغیرها</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17:292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الأشربة المحرّمة،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 الأوّل مع اختلاف یسیر</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17:229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الأشربة المحرّمة</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 الشیخ فی 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591</w:t>
      </w:r>
      <w:r>
        <w:rPr>
          <w:rFonts w:ascii="IRNazanin" w:hAnsi="IRNazanin" w:eastAsia="IRNazanin"/>
          <w:b w:val="false"/>
          <w:b w:val="false"/>
          <w:bCs w:val="false"/>
          <w:i w:val="false"/>
          <w:i w:val="false"/>
          <w:iCs w:val="false"/>
          <w:color w:val="333333"/>
          <w:sz w:val="20"/>
          <w:sz w:val="20"/>
          <w:szCs w:val="20"/>
          <w:rtl w:val="true"/>
        </w:rPr>
        <w:t xml:space="preserve">، وابن البرّاج فی المهذّب </w:t>
      </w:r>
      <w:r>
        <w:rPr>
          <w:rFonts w:eastAsia="IRNazanin" w:cs="IRNazanin"/>
          <w:b w:val="false"/>
          <w:bCs w:val="false"/>
          <w:i w:val="false"/>
          <w:iCs w:val="false"/>
          <w:color w:val="333333"/>
          <w:sz w:val="20"/>
          <w:szCs w:val="20"/>
        </w:rPr>
        <w:t>2:433</w:t>
      </w:r>
      <w:r>
        <w:rPr>
          <w:rFonts w:ascii="IRNazanin" w:hAnsi="IRNazanin" w:eastAsia="IRNazanin"/>
          <w:b w:val="false"/>
          <w:b w:val="false"/>
          <w:bCs w:val="false"/>
          <w:i w:val="false"/>
          <w:i w:val="false"/>
          <w:iCs w:val="false"/>
          <w:color w:val="333333"/>
          <w:sz w:val="20"/>
          <w:sz w:val="20"/>
          <w:szCs w:val="20"/>
          <w:rtl w:val="true"/>
        </w:rPr>
        <w:t xml:space="preserve">، والعلّامة فی القواعد </w:t>
      </w:r>
      <w:r>
        <w:rPr>
          <w:rFonts w:eastAsia="IRNazanin" w:cs="IRNazanin"/>
          <w:b w:val="false"/>
          <w:bCs w:val="false"/>
          <w:i w:val="false"/>
          <w:iCs w:val="false"/>
          <w:color w:val="333333"/>
          <w:sz w:val="20"/>
          <w:szCs w:val="20"/>
        </w:rPr>
        <w:t>3:331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فی کتاب الأطعمة والأشربة، الصفحة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بناءً</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Pr>
        <w:t>1:115</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نجس</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صرّح به المحقّق فی الشرائع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والمعتبر </w:t>
      </w:r>
      <w:r>
        <w:rPr>
          <w:rFonts w:eastAsia="IRNazanin" w:cs="IRNazanin"/>
          <w:b w:val="false"/>
          <w:bCs w:val="false"/>
          <w:i w:val="false"/>
          <w:iCs w:val="false"/>
          <w:color w:val="333333"/>
          <w:sz w:val="20"/>
          <w:szCs w:val="20"/>
        </w:rPr>
        <w:t>1:424</w:t>
      </w:r>
      <w:r>
        <w:rPr>
          <w:rFonts w:ascii="IRNazanin" w:hAnsi="IRNazanin" w:eastAsia="IRNazanin"/>
          <w:b w:val="false"/>
          <w:b w:val="false"/>
          <w:bCs w:val="false"/>
          <w:i w:val="false"/>
          <w:i w:val="false"/>
          <w:iCs w:val="false"/>
          <w:color w:val="333333"/>
          <w:sz w:val="20"/>
          <w:sz w:val="20"/>
          <w:szCs w:val="20"/>
          <w:rtl w:val="true"/>
        </w:rPr>
        <w:t xml:space="preserve">، والعلامة فی القواعد </w:t>
      </w:r>
      <w:r>
        <w:rPr>
          <w:rFonts w:eastAsia="IRNazanin" w:cs="IRNazanin"/>
          <w:b w:val="false"/>
          <w:bCs w:val="false"/>
          <w:i w:val="false"/>
          <w:iCs w:val="false"/>
          <w:color w:val="333333"/>
          <w:sz w:val="20"/>
          <w:szCs w:val="20"/>
        </w:rPr>
        <w:t>1:191</w:t>
      </w:r>
      <w:r>
        <w:rPr>
          <w:rFonts w:ascii="IRNazanin" w:hAnsi="IRNazanin" w:eastAsia="IRNazanin"/>
          <w:b w:val="false"/>
          <w:b w:val="false"/>
          <w:bCs w:val="false"/>
          <w:i w:val="false"/>
          <w:i w:val="false"/>
          <w:iCs w:val="false"/>
          <w:color w:val="333333"/>
          <w:sz w:val="20"/>
          <w:sz w:val="20"/>
          <w:szCs w:val="20"/>
          <w:rtl w:val="true"/>
        </w:rPr>
        <w:t xml:space="preserve">، والإرشاد </w:t>
      </w:r>
      <w:r>
        <w:rPr>
          <w:rFonts w:eastAsia="IRNazanin" w:cs="IRNazanin"/>
          <w:b w:val="false"/>
          <w:bCs w:val="false"/>
          <w:i w:val="false"/>
          <w:iCs w:val="false"/>
          <w:color w:val="333333"/>
          <w:sz w:val="20"/>
          <w:szCs w:val="20"/>
        </w:rPr>
        <w:t>1:239</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کالشیخ فی 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591</w:t>
      </w:r>
      <w:r>
        <w:rPr>
          <w:rFonts w:ascii="IRNazanin" w:hAnsi="IRNazanin" w:eastAsia="IRNazanin"/>
          <w:b w:val="false"/>
          <w:b w:val="false"/>
          <w:bCs w:val="false"/>
          <w:i w:val="false"/>
          <w:i w:val="false"/>
          <w:iCs w:val="false"/>
          <w:color w:val="333333"/>
          <w:sz w:val="20"/>
          <w:sz w:val="20"/>
          <w:szCs w:val="20"/>
          <w:rtl w:val="true"/>
        </w:rPr>
        <w:t xml:space="preserve">، والمحقّق فی الشرائع </w:t>
      </w:r>
      <w:r>
        <w:rPr>
          <w:rFonts w:eastAsia="IRNazanin" w:cs="IRNazanin"/>
          <w:b w:val="false"/>
          <w:bCs w:val="false"/>
          <w:i w:val="false"/>
          <w:iCs w:val="false"/>
          <w:color w:val="333333"/>
          <w:sz w:val="20"/>
          <w:szCs w:val="20"/>
        </w:rPr>
        <w:t>3:225</w:t>
      </w:r>
      <w:r>
        <w:rPr>
          <w:rFonts w:ascii="IRNazanin" w:hAnsi="IRNazanin" w:eastAsia="IRNazanin"/>
          <w:b w:val="false"/>
          <w:b w:val="false"/>
          <w:bCs w:val="false"/>
          <w:i w:val="false"/>
          <w:i w:val="false"/>
          <w:iCs w:val="false"/>
          <w:color w:val="333333"/>
          <w:sz w:val="20"/>
          <w:sz w:val="20"/>
          <w:szCs w:val="20"/>
          <w:rtl w:val="true"/>
        </w:rPr>
        <w:t xml:space="preserve">، والعلّامة فی القواعد </w:t>
      </w:r>
      <w:r>
        <w:rPr>
          <w:rFonts w:eastAsia="IRNazanin" w:cs="IRNazanin"/>
          <w:b w:val="false"/>
          <w:bCs w:val="false"/>
          <w:i w:val="false"/>
          <w:iCs w:val="false"/>
          <w:color w:val="333333"/>
          <w:sz w:val="20"/>
          <w:szCs w:val="20"/>
        </w:rPr>
        <w:t>3:550</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17:223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الأشربة المحرّمة</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3:332</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الصفحة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18:471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المسکر،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المتقدّم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المسکر، الحدیث الأوّل</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المتقدّم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المسکر،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منقول عن أبی جعفر علیه السلام</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xml:space="preserve">، ذیل الحدیث </w:t>
      </w:r>
      <w:r>
        <w:rPr>
          <w:rFonts w:eastAsia="IRNazanin" w:cs="IRNazanin"/>
          <w:b w:val="false"/>
          <w:bCs w:val="false"/>
          <w:i w:val="false"/>
          <w:iCs w:val="false"/>
          <w:color w:val="333333"/>
          <w:sz w:val="20"/>
          <w:szCs w:val="20"/>
        </w:rPr>
        <w:t>5089</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9:198</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18:472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المسکر،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یجلد ثمانین</w:t>
      </w:r>
      <w:r>
        <w:rPr>
          <w:rFonts w:eastAsia="IRNazanin" w:cs="IRNazanin"/>
          <w:b w:val="false"/>
          <w:bCs w:val="false"/>
          <w:i w:val="false"/>
          <w:iCs w:val="false"/>
          <w:color w:val="333333"/>
          <w:sz w:val="20"/>
          <w:szCs w:val="20"/>
          <w:rtl w:val="true"/>
        </w:rPr>
        <w:t>» .</w:t>
      </w:r>
    </w:p>
  </w:footnote>
  <w:footnote w:id="1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10:93</w:t>
      </w:r>
      <w:r>
        <w:rPr>
          <w:rFonts w:ascii="IRNazanin" w:hAnsi="IRNazanin" w:eastAsia="IRNazanin"/>
          <w:b w:val="false"/>
          <w:b w:val="false"/>
          <w:bCs w:val="false"/>
          <w:i w:val="false"/>
          <w:i w:val="false"/>
          <w:iCs w:val="false"/>
          <w:color w:val="333333"/>
          <w:sz w:val="20"/>
          <w:sz w:val="20"/>
          <w:szCs w:val="20"/>
          <w:rtl w:val="true"/>
        </w:rPr>
        <w:t xml:space="preserve">، ذیل الحدیث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4:237</w:t>
      </w:r>
      <w:r>
        <w:rPr>
          <w:rFonts w:ascii="IRNazanin" w:hAnsi="IRNazanin" w:eastAsia="IRNazanin"/>
          <w:b w:val="false"/>
          <w:b w:val="false"/>
          <w:bCs w:val="false"/>
          <w:i w:val="false"/>
          <w:i w:val="false"/>
          <w:iCs w:val="false"/>
          <w:color w:val="333333"/>
          <w:sz w:val="20"/>
          <w:sz w:val="20"/>
          <w:szCs w:val="20"/>
          <w:rtl w:val="true"/>
        </w:rPr>
        <w:t xml:space="preserve">، ذیل الحدیث </w:t>
      </w:r>
      <w:r>
        <w:rPr>
          <w:rFonts w:eastAsia="IRNazanin" w:cs="IRNazanin"/>
          <w:b w:val="false"/>
          <w:bCs w:val="false"/>
          <w:i w:val="false"/>
          <w:iCs w:val="false"/>
          <w:color w:val="333333"/>
          <w:sz w:val="20"/>
          <w:szCs w:val="20"/>
        </w:rPr>
        <w:t>894</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18:473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المسکر،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روایة الحضرمی، راجع المسالک </w:t>
      </w:r>
      <w:r>
        <w:rPr>
          <w:rFonts w:eastAsia="IRNazanin" w:cs="IRNazanin"/>
          <w:b w:val="false"/>
          <w:bCs w:val="false"/>
          <w:i w:val="false"/>
          <w:iCs w:val="false"/>
          <w:color w:val="333333"/>
          <w:sz w:val="20"/>
          <w:szCs w:val="20"/>
        </w:rPr>
        <w:t>14:465</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کشارب دخان الحشیشة</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xml:space="preserve">، ذیل الحدیث </w:t>
      </w:r>
      <w:r>
        <w:rPr>
          <w:rFonts w:eastAsia="IRNazanin" w:cs="IRNazanin"/>
          <w:b w:val="false"/>
          <w:bCs w:val="false"/>
          <w:i w:val="false"/>
          <w:iCs w:val="false"/>
          <w:color w:val="333333"/>
          <w:sz w:val="20"/>
          <w:szCs w:val="20"/>
        </w:rPr>
        <w:t>5089</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مضی فی الصفحة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 المفید فی 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801</w:t>
      </w:r>
      <w:r>
        <w:rPr>
          <w:rFonts w:ascii="IRNazanin" w:hAnsi="IRNazanin" w:eastAsia="IRNazanin"/>
          <w:b w:val="false"/>
          <w:b w:val="false"/>
          <w:bCs w:val="false"/>
          <w:i w:val="false"/>
          <w:i w:val="false"/>
          <w:iCs w:val="false"/>
          <w:color w:val="333333"/>
          <w:sz w:val="20"/>
          <w:sz w:val="20"/>
          <w:szCs w:val="20"/>
          <w:rtl w:val="true"/>
        </w:rPr>
        <w:t>، والشیخ فی 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712</w:t>
      </w:r>
      <w:r>
        <w:rPr>
          <w:rFonts w:ascii="IRNazanin" w:hAnsi="IRNazanin" w:eastAsia="IRNazanin"/>
          <w:b w:val="false"/>
          <w:b w:val="false"/>
          <w:bCs w:val="false"/>
          <w:i w:val="false"/>
          <w:i w:val="false"/>
          <w:iCs w:val="false"/>
          <w:color w:val="333333"/>
          <w:sz w:val="20"/>
          <w:sz w:val="20"/>
          <w:szCs w:val="20"/>
          <w:rtl w:val="true"/>
        </w:rPr>
        <w:t xml:space="preserve">، والقاضی فی المهذّب </w:t>
      </w:r>
      <w:r>
        <w:rPr>
          <w:rFonts w:eastAsia="IRNazanin" w:cs="IRNazanin"/>
          <w:b w:val="false"/>
          <w:bCs w:val="false"/>
          <w:i w:val="false"/>
          <w:iCs w:val="false"/>
          <w:color w:val="333333"/>
          <w:sz w:val="20"/>
          <w:szCs w:val="20"/>
        </w:rPr>
        <w:t>2:536</w:t>
      </w:r>
      <w:r>
        <w:rPr>
          <w:rFonts w:ascii="IRNazanin" w:hAnsi="IRNazanin" w:eastAsia="IRNazanin"/>
          <w:b w:val="false"/>
          <w:b w:val="false"/>
          <w:bCs w:val="false"/>
          <w:i w:val="false"/>
          <w:i w:val="false"/>
          <w:iCs w:val="false"/>
          <w:color w:val="333333"/>
          <w:sz w:val="20"/>
          <w:sz w:val="20"/>
          <w:szCs w:val="20"/>
          <w:rtl w:val="true"/>
        </w:rPr>
        <w:t>، وغیرهم</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18:476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المسکر</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18:476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المسکر،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منقول بالمضمون</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لکنّه استجود القتل فی الرابعة احتیاطاً</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799</w:t>
      </w:r>
      <w:r>
        <w:rPr>
          <w:rFonts w:ascii="IRNazanin" w:hAnsi="IRNazanin" w:eastAsia="IRNazanin"/>
          <w:b w:val="false"/>
          <w:b w:val="false"/>
          <w:bCs w:val="false"/>
          <w:i w:val="false"/>
          <w:i w:val="false"/>
          <w:iCs w:val="false"/>
          <w:color w:val="333333"/>
          <w:sz w:val="20"/>
          <w:sz w:val="20"/>
          <w:szCs w:val="20"/>
          <w:rtl w:val="true"/>
        </w:rPr>
        <w:t>، والنهایة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القاضی فی المهذّب </w:t>
      </w:r>
      <w:r>
        <w:rPr>
          <w:rFonts w:eastAsia="IRNazanin" w:cs="IRNazanin"/>
          <w:b w:val="false"/>
          <w:bCs w:val="false"/>
          <w:i w:val="false"/>
          <w:iCs w:val="false"/>
          <w:color w:val="333333"/>
          <w:sz w:val="20"/>
          <w:szCs w:val="20"/>
        </w:rPr>
        <w:t>2:536</w:t>
      </w:r>
      <w:r>
        <w:rPr>
          <w:rFonts w:ascii="IRNazanin" w:hAnsi="IRNazanin" w:eastAsia="IRNazanin"/>
          <w:b w:val="false"/>
          <w:b w:val="false"/>
          <w:bCs w:val="false"/>
          <w:i w:val="false"/>
          <w:i w:val="false"/>
          <w:iCs w:val="false"/>
          <w:color w:val="333333"/>
          <w:sz w:val="20"/>
          <w:sz w:val="20"/>
          <w:szCs w:val="20"/>
          <w:rtl w:val="true"/>
        </w:rPr>
        <w:t>، وابن إدریس فی السرائر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xml:space="preserve">، والمحقّق فی الشرائع </w:t>
      </w:r>
      <w:r>
        <w:rPr>
          <w:rFonts w:eastAsia="IRNazanin" w:cs="IRNazanin"/>
          <w:b w:val="false"/>
          <w:bCs w:val="false"/>
          <w:i w:val="false"/>
          <w:iCs w:val="false"/>
          <w:color w:val="333333"/>
          <w:sz w:val="20"/>
          <w:szCs w:val="20"/>
        </w:rPr>
        <w:t>4:170</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قاله أبو الصلاح فی 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حدّ اللواط</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ابن إدریس فی السرائر </w:t>
      </w:r>
      <w:r>
        <w:rPr>
          <w:rFonts w:eastAsia="IRNazanin" w:cs="IRNazanin"/>
          <w:b w:val="false"/>
          <w:bCs w:val="false"/>
          <w:i w:val="false"/>
          <w:iCs w:val="false"/>
          <w:color w:val="333333"/>
          <w:sz w:val="20"/>
          <w:szCs w:val="20"/>
        </w:rPr>
        <w:t>3:479</w:t>
      </w:r>
      <w:r>
        <w:rPr>
          <w:rFonts w:ascii="IRNazanin" w:hAnsi="IRNazanin" w:eastAsia="IRNazanin"/>
          <w:b w:val="false"/>
          <w:b w:val="false"/>
          <w:bCs w:val="false"/>
          <w:i w:val="false"/>
          <w:i w:val="false"/>
          <w:iCs w:val="false"/>
          <w:color w:val="333333"/>
          <w:sz w:val="20"/>
          <w:sz w:val="20"/>
          <w:szCs w:val="20"/>
          <w:rtl w:val="true"/>
        </w:rPr>
        <w:t xml:space="preserve">، ونسبه إلی الشیخ فی المبسوط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والخلاف، ولم نجده فیه</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أحدهما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واحد</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فی الشرائع </w:t>
      </w:r>
      <w:r>
        <w:rPr>
          <w:rFonts w:eastAsia="IRNazanin" w:cs="IRNazanin"/>
          <w:b w:val="false"/>
          <w:bCs w:val="false"/>
          <w:i w:val="false"/>
          <w:iCs w:val="false"/>
          <w:color w:val="333333"/>
          <w:sz w:val="20"/>
          <w:szCs w:val="20"/>
        </w:rPr>
        <w:t>4:170</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18:480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المسکر، وفیه حدیث 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 وفی سائر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قاءها حتّی شربها، وقد وردت الروایة فی حقّ قدامة بن مظعون</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طریقها موسی بن جعفر البغدادی، وهو مجهول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 .</w:t>
      </w:r>
    </w:p>
  </w:footnote>
  <w:footnote w:id="1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علیه</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صریحاً</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غایة المراد </w:t>
      </w:r>
      <w:r>
        <w:rPr>
          <w:rFonts w:eastAsia="IRNazanin" w:cs="IRNazanin"/>
          <w:b w:val="false"/>
          <w:bCs w:val="false"/>
          <w:i w:val="false"/>
          <w:iCs w:val="false"/>
          <w:color w:val="333333"/>
          <w:sz w:val="20"/>
          <w:szCs w:val="20"/>
        </w:rPr>
        <w:t>4:239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3:553</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3:475</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والآخر</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18:468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المسکر</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الزوجة الخامسة بالعقد الدائم</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المحقّق فی الشرائع </w:t>
      </w:r>
      <w:r>
        <w:rPr>
          <w:rFonts w:eastAsia="IRNazanin" w:cs="IRNazanin"/>
          <w:b w:val="false"/>
          <w:bCs w:val="false"/>
          <w:i w:val="false"/>
          <w:iCs w:val="false"/>
          <w:color w:val="333333"/>
          <w:sz w:val="20"/>
          <w:szCs w:val="20"/>
        </w:rPr>
        <w:t>4:171</w:t>
      </w:r>
      <w:r>
        <w:rPr>
          <w:rFonts w:ascii="IRNazanin" w:hAnsi="IRNazanin" w:eastAsia="IRNazanin"/>
          <w:b w:val="false"/>
          <w:b w:val="false"/>
          <w:bCs w:val="false"/>
          <w:i w:val="false"/>
          <w:i w:val="false"/>
          <w:iCs w:val="false"/>
          <w:color w:val="333333"/>
          <w:sz w:val="20"/>
          <w:sz w:val="20"/>
          <w:szCs w:val="20"/>
          <w:rtl w:val="true"/>
        </w:rPr>
        <w:t xml:space="preserve">، والعلّامة فی القواعد </w:t>
      </w:r>
      <w:r>
        <w:rPr>
          <w:rFonts w:eastAsia="IRNazanin" w:cs="IRNazanin"/>
          <w:b w:val="false"/>
          <w:bCs w:val="false"/>
          <w:i w:val="false"/>
          <w:iCs w:val="false"/>
          <w:color w:val="333333"/>
          <w:sz w:val="20"/>
          <w:szCs w:val="20"/>
        </w:rPr>
        <w:t>3:553</w:t>
      </w:r>
      <w:r>
        <w:rPr>
          <w:rFonts w:ascii="IRNazanin" w:hAnsi="IRNazanin" w:eastAsia="IRNazanin"/>
          <w:b w:val="false"/>
          <w:b w:val="false"/>
          <w:bCs w:val="false"/>
          <w:i w:val="false"/>
          <w:i w:val="false"/>
          <w:iCs w:val="false"/>
          <w:color w:val="333333"/>
          <w:sz w:val="20"/>
          <w:sz w:val="20"/>
          <w:szCs w:val="20"/>
          <w:rtl w:val="true"/>
        </w:rPr>
        <w:t xml:space="preserve">، والتحریر </w:t>
      </w:r>
      <w:r>
        <w:rPr>
          <w:rFonts w:eastAsia="IRNazanin" w:cs="IRNazanin"/>
          <w:b w:val="false"/>
          <w:bCs w:val="false"/>
          <w:i w:val="false"/>
          <w:iCs w:val="false"/>
          <w:color w:val="333333"/>
          <w:sz w:val="20"/>
          <w:szCs w:val="20"/>
        </w:rPr>
        <w:t>5:347</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قول الشارح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لم یجب</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عموم قول الماتن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ارتکبها</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19:200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موجبات الضمان،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أرسل إلیها قبل ثبوت موجب الحدّ</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19:200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موجبات الضمان، الحدیث الأوّل</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کان</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19:47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قصاص النفس،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أبو علی الجبّائی علی ما حکاه عنه السیّد فی الذریعة </w:t>
      </w:r>
      <w:r>
        <w:rPr>
          <w:rFonts w:eastAsia="IRNazanin" w:cs="IRNazanin"/>
          <w:b w:val="false"/>
          <w:bCs w:val="false"/>
          <w:i w:val="false"/>
          <w:iCs w:val="false"/>
          <w:color w:val="333333"/>
          <w:sz w:val="20"/>
          <w:szCs w:val="20"/>
        </w:rPr>
        <w:t>1:200</w:t>
      </w:r>
      <w:r>
        <w:rPr>
          <w:rFonts w:ascii="IRNazanin" w:hAnsi="IRNazanin" w:eastAsia="IRNazanin"/>
          <w:b w:val="false"/>
          <w:b w:val="false"/>
          <w:bCs w:val="false"/>
          <w:i w:val="false"/>
          <w:i w:val="false"/>
          <w:iCs w:val="false"/>
          <w:color w:val="333333"/>
          <w:sz w:val="20"/>
          <w:sz w:val="20"/>
          <w:szCs w:val="20"/>
          <w:rtl w:val="true"/>
        </w:rPr>
        <w:t xml:space="preserve">، والشیخ فی العدّة </w:t>
      </w:r>
      <w:r>
        <w:rPr>
          <w:rFonts w:eastAsia="IRNazanin" w:cs="IRNazanin"/>
          <w:b w:val="false"/>
          <w:bCs w:val="false"/>
          <w:i w:val="false"/>
          <w:iCs w:val="false"/>
          <w:color w:val="333333"/>
          <w:sz w:val="20"/>
          <w:szCs w:val="20"/>
        </w:rPr>
        <w:t>1:293</w:t>
      </w:r>
      <w:r>
        <w:rPr>
          <w:rFonts w:ascii="IRNazanin" w:hAnsi="IRNazanin" w:eastAsia="IRNazanin"/>
          <w:b w:val="false"/>
          <w:b w:val="false"/>
          <w:bCs w:val="false"/>
          <w:i w:val="false"/>
          <w:i w:val="false"/>
          <w:iCs w:val="false"/>
          <w:color w:val="333333"/>
          <w:sz w:val="20"/>
          <w:sz w:val="20"/>
          <w:szCs w:val="20"/>
          <w:rtl w:val="true"/>
        </w:rPr>
        <w:t>، اُنظر نهایة الوصول للعلّامة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w:t>
      </w:r>
    </w:p>
  </w:footnote>
  <w:footnote w:id="1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743</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7:292</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فی الوسائل </w:t>
      </w:r>
      <w:r>
        <w:rPr>
          <w:rFonts w:eastAsia="IRNazanin" w:cs="IRNazanin"/>
          <w:b w:val="false"/>
          <w:bCs w:val="false"/>
          <w:i w:val="false"/>
          <w:iCs w:val="false"/>
          <w:color w:val="333333"/>
          <w:sz w:val="20"/>
          <w:szCs w:val="20"/>
        </w:rPr>
        <w:t>18:312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الحدود وأحکامها العامّة، الحدیث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ولکن مع حذف النسبة إلی علیّ علیه السلام</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4:279</w:t>
      </w:r>
      <w:r>
        <w:rPr>
          <w:rFonts w:ascii="IRNazanin" w:hAnsi="IRNazanin" w:eastAsia="IRNazanin"/>
          <w:b w:val="false"/>
          <w:b w:val="false"/>
          <w:bCs w:val="false"/>
          <w:i w:val="false"/>
          <w:i w:val="false"/>
          <w:iCs w:val="false"/>
          <w:color w:val="333333"/>
          <w:sz w:val="20"/>
          <w:sz w:val="20"/>
          <w:szCs w:val="20"/>
          <w:rtl w:val="true"/>
        </w:rPr>
        <w:t xml:space="preserve">، ذیل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8:63</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فخر المحقّقین فی الإیضاح </w:t>
      </w:r>
      <w:r>
        <w:rPr>
          <w:rFonts w:eastAsia="IRNazanin" w:cs="IRNazanin"/>
          <w:b w:val="false"/>
          <w:bCs w:val="false"/>
          <w:i w:val="false"/>
          <w:iCs w:val="false"/>
          <w:color w:val="333333"/>
          <w:sz w:val="20"/>
          <w:szCs w:val="20"/>
        </w:rPr>
        <w:t>4:516</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1:254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سنت</w:t>
      </w:r>
      <w:r>
        <w:rPr>
          <w:rFonts w:eastAsia="IRNazanin" w:cs="IRNazanin"/>
          <w:b w:val="false"/>
          <w:bCs w:val="false"/>
          <w:i w:val="false"/>
          <w:iCs w:val="false"/>
          <w:color w:val="333333"/>
          <w:sz w:val="20"/>
          <w:szCs w:val="20"/>
          <w:rtl w:val="true"/>
        </w:rPr>
        <w:t>) .</w:t>
      </w:r>
    </w:p>
  </w:footnote>
  <w:footnote w:id="1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قاله الشیخ فی 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716</w:t>
      </w:r>
      <w:r>
        <w:rPr>
          <w:rFonts w:ascii="IRNazanin" w:hAnsi="IRNazanin" w:eastAsia="IRNazanin"/>
          <w:b w:val="false"/>
          <w:b w:val="false"/>
          <w:bCs w:val="false"/>
          <w:i w:val="false"/>
          <w:i w:val="false"/>
          <w:iCs w:val="false"/>
          <w:color w:val="333333"/>
          <w:sz w:val="20"/>
          <w:sz w:val="20"/>
          <w:szCs w:val="20"/>
          <w:rtl w:val="true"/>
        </w:rPr>
        <w:t>، وابن حمزة فی الوسیلة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xml:space="preserve">، والعلّامة فی المختلف </w:t>
      </w:r>
      <w:r>
        <w:rPr>
          <w:rFonts w:eastAsia="IRNazanin" w:cs="IRNazanin"/>
          <w:b w:val="false"/>
          <w:bCs w:val="false"/>
          <w:i w:val="false"/>
          <w:iCs w:val="false"/>
          <w:color w:val="333333"/>
          <w:sz w:val="20"/>
          <w:szCs w:val="20"/>
        </w:rPr>
        <w:t>9:204</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18:522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السرقة</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الصفحة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المخطوطات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المستنابة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والانتیاب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الورود دفعة بعد دفعة، والمراد من المواضع المنتابة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الأماکن العامّة</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إتیانها</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قاله المفید فی 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804</w:t>
      </w:r>
      <w:r>
        <w:rPr>
          <w:rFonts w:ascii="IRNazanin" w:hAnsi="IRNazanin" w:eastAsia="IRNazanin"/>
          <w:b w:val="false"/>
          <w:b w:val="false"/>
          <w:bCs w:val="false"/>
          <w:i w:val="false"/>
          <w:i w:val="false"/>
          <w:iCs w:val="false"/>
          <w:color w:val="333333"/>
          <w:sz w:val="20"/>
          <w:sz w:val="20"/>
          <w:szCs w:val="20"/>
          <w:rtl w:val="true"/>
        </w:rPr>
        <w:t>، والسیّد فی الانتصار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531</w:t>
      </w:r>
      <w:r>
        <w:rPr>
          <w:rFonts w:ascii="IRNazanin" w:hAnsi="IRNazanin" w:eastAsia="IRNazanin"/>
          <w:b w:val="false"/>
          <w:b w:val="false"/>
          <w:bCs w:val="false"/>
          <w:i w:val="false"/>
          <w:i w:val="false"/>
          <w:iCs w:val="false"/>
          <w:color w:val="333333"/>
          <w:sz w:val="20"/>
          <w:sz w:val="20"/>
          <w:szCs w:val="20"/>
          <w:rtl w:val="true"/>
        </w:rPr>
        <w:t>، والشیخ فی 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719</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المخطوطات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غیر مالک</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18:518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السرقة، الحدیث الأوّل، وفیه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إنّی لم أقطع أحداً له فیما أخذ شرک</w:t>
      </w:r>
      <w:r>
        <w:rPr>
          <w:rFonts w:eastAsia="IRNazanin" w:cs="IRNazanin"/>
          <w:b w:val="false"/>
          <w:bCs w:val="false"/>
          <w:i w:val="false"/>
          <w:iCs w:val="false"/>
          <w:color w:val="333333"/>
          <w:sz w:val="20"/>
          <w:szCs w:val="20"/>
          <w:rtl w:val="true"/>
        </w:rPr>
        <w:t>» .</w:t>
      </w:r>
    </w:p>
  </w:footnote>
  <w:footnote w:id="1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المتقدّم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نقلاً بالمضمون</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المتقدّم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519</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یسیر</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بالحیازة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w:t>
      </w:r>
    </w:p>
  </w:footnote>
  <w:footnote w:id="1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3:558</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ذهب</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العلّامة إلی ابن أبی عقیل فی المختلف </w:t>
      </w:r>
      <w:r>
        <w:rPr>
          <w:rFonts w:eastAsia="IRNazanin" w:cs="IRNazanin"/>
          <w:b w:val="false"/>
          <w:bCs w:val="false"/>
          <w:i w:val="false"/>
          <w:iCs w:val="false"/>
          <w:color w:val="333333"/>
          <w:sz w:val="20"/>
          <w:szCs w:val="20"/>
        </w:rPr>
        <w:t>9:214</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نسبه غیر واحد إلی الصدوق، کالشهید فی المسالک ولم نعثر علیه فإنّه اقتصر فی المقنع علی نقل الروایات، وفی الهدایة اختار ربع دینار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نقل الفاضل السیوری عن ابن الجنید اختیاره خُمس دینار، واستظهر الشهید فی المسالک میله إلی ذلک، راجع المسالک </w:t>
      </w:r>
      <w:r>
        <w:rPr>
          <w:rFonts w:eastAsia="IRNazanin" w:cs="IRNazanin"/>
          <w:b w:val="false"/>
          <w:bCs w:val="false"/>
          <w:i w:val="false"/>
          <w:iCs w:val="false"/>
          <w:color w:val="333333"/>
          <w:sz w:val="20"/>
          <w:szCs w:val="20"/>
        </w:rPr>
        <w:t>14:492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والمقنع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والهدایة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والتنقیح الرائع </w:t>
      </w:r>
      <w:r>
        <w:rPr>
          <w:rFonts w:eastAsia="IRNazanin" w:cs="IRNazanin"/>
          <w:b w:val="false"/>
          <w:bCs w:val="false"/>
          <w:i w:val="false"/>
          <w:iCs w:val="false"/>
          <w:color w:val="333333"/>
          <w:sz w:val="20"/>
          <w:szCs w:val="20"/>
        </w:rPr>
        <w:t>4:377</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18:482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السرقة</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w:t>
      </w:r>
    </w:p>
  </w:footnote>
  <w:footnote w:id="1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یرد فی المخطوطات</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دیناراً</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یرد فی المخطوطات</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الصفحة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ما فُهم من إطلاق العبارة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أنّ المتعدّد کالدفعة</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اَلسّٰارِقُ وَ اَلسّٰارِقَةُ فَاقْطَعُوا أَیْدِیَهُمٰا سورة 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والمختلف </w:t>
      </w:r>
      <w:r>
        <w:rPr>
          <w:rFonts w:eastAsia="IRNazanin" w:cs="IRNazanin"/>
          <w:b w:val="false"/>
          <w:bCs w:val="false"/>
          <w:i w:val="false"/>
          <w:iCs w:val="false"/>
          <w:color w:val="333333"/>
          <w:sz w:val="20"/>
          <w:szCs w:val="20"/>
        </w:rPr>
        <w:t>9:233</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18:520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السرقة،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المتقدّم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الجَدْب، وهو انقطاع المطر ویبس الأرض</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المتقدّم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الحدیث الأوّل مع اختلاف یسیر</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فی المسالک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وفی الروایتین الأخیرتین إرسال مع اشتراک الجمیع فی الضعف</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کالقاضی فی المهذّب </w:t>
      </w:r>
      <w:r>
        <w:rPr>
          <w:rFonts w:eastAsia="IRNazanin" w:cs="IRNazanin"/>
          <w:b w:val="false"/>
          <w:bCs w:val="false"/>
          <w:i w:val="false"/>
          <w:iCs w:val="false"/>
          <w:color w:val="333333"/>
          <w:sz w:val="20"/>
          <w:szCs w:val="20"/>
        </w:rPr>
        <w:t>2:545</w:t>
      </w:r>
      <w:r>
        <w:rPr>
          <w:rFonts w:ascii="IRNazanin" w:hAnsi="IRNazanin" w:eastAsia="IRNazanin"/>
          <w:b w:val="false"/>
          <w:b w:val="false"/>
          <w:bCs w:val="false"/>
          <w:i w:val="false"/>
          <w:i w:val="false"/>
          <w:iCs w:val="false"/>
          <w:color w:val="333333"/>
          <w:sz w:val="20"/>
          <w:sz w:val="20"/>
          <w:szCs w:val="20"/>
          <w:rtl w:val="true"/>
        </w:rPr>
        <w:t xml:space="preserve">، والمحقّق فی الشرائع </w:t>
      </w:r>
      <w:r>
        <w:rPr>
          <w:rFonts w:eastAsia="IRNazanin" w:cs="IRNazanin"/>
          <w:b w:val="false"/>
          <w:bCs w:val="false"/>
          <w:i w:val="false"/>
          <w:iCs w:val="false"/>
          <w:color w:val="333333"/>
          <w:sz w:val="20"/>
          <w:szCs w:val="20"/>
        </w:rPr>
        <w:t>4:175</w:t>
      </w:r>
      <w:r>
        <w:rPr>
          <w:rFonts w:ascii="IRNazanin" w:hAnsi="IRNazanin" w:eastAsia="IRNazanin"/>
          <w:b w:val="false"/>
          <w:b w:val="false"/>
          <w:bCs w:val="false"/>
          <w:i w:val="false"/>
          <w:i w:val="false"/>
          <w:iCs w:val="false"/>
          <w:color w:val="333333"/>
          <w:sz w:val="20"/>
          <w:sz w:val="20"/>
          <w:szCs w:val="20"/>
          <w:rtl w:val="true"/>
        </w:rPr>
        <w:t xml:space="preserve">، والعلّامة فی القواعد </w:t>
      </w:r>
      <w:r>
        <w:rPr>
          <w:rFonts w:eastAsia="IRNazanin" w:cs="IRNazanin"/>
          <w:b w:val="false"/>
          <w:bCs w:val="false"/>
          <w:i w:val="false"/>
          <w:iCs w:val="false"/>
          <w:color w:val="333333"/>
          <w:sz w:val="20"/>
          <w:szCs w:val="20"/>
        </w:rPr>
        <w:t>3:561</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الشیخ فی المبسوط </w:t>
      </w:r>
      <w:r>
        <w:rPr>
          <w:rFonts w:eastAsia="IRNazanin" w:cs="IRNazanin"/>
          <w:b w:val="false"/>
          <w:bCs w:val="false"/>
          <w:i w:val="false"/>
          <w:iCs w:val="false"/>
          <w:color w:val="333333"/>
          <w:sz w:val="20"/>
          <w:szCs w:val="20"/>
        </w:rPr>
        <w:t>8:33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المشتبه حالُه فی غیر عام المجاعة لا یدخل فی حکم الاستثناء من عموم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وَالسَّارِقُ وَالسَّارِقَةُ فَاقْطَعُوا</w:t>
      </w:r>
      <w:r>
        <w:rPr>
          <w:rFonts w:eastAsia="IRNazanin" w:cs="IRNazanin"/>
          <w:b w:val="false"/>
          <w:bCs w:val="false"/>
          <w:i w:val="false"/>
          <w:iCs w:val="false"/>
          <w:color w:val="333333"/>
          <w:sz w:val="20"/>
          <w:szCs w:val="20"/>
          <w:rtl w:val="true"/>
        </w:rPr>
        <w:t>. . .) .</w:t>
      </w:r>
    </w:p>
  </w:footnote>
  <w:footnote w:id="1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الصفحة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کتاب الأطعمة والأشربة</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یرد فی المخطوطات</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الشیخ والصدوق وابن الجنید علی ما نقل عنهم العلّامة، راجع المختلف </w:t>
      </w:r>
      <w:r>
        <w:rPr>
          <w:rFonts w:eastAsia="IRNazanin" w:cs="IRNazanin"/>
          <w:b w:val="false"/>
          <w:bCs w:val="false"/>
          <w:i w:val="false"/>
          <w:iCs w:val="false"/>
          <w:color w:val="333333"/>
          <w:sz w:val="20"/>
          <w:szCs w:val="20"/>
        </w:rPr>
        <w:t>9:205</w:t>
      </w:r>
      <w:r>
        <w:rPr>
          <w:rFonts w:ascii="IRNazanin" w:hAnsi="IRNazanin" w:eastAsia="IRNazanin"/>
          <w:b w:val="false"/>
          <w:b w:val="false"/>
          <w:bCs w:val="false"/>
          <w:i w:val="false"/>
          <w:i w:val="false"/>
          <w:iCs w:val="false"/>
          <w:color w:val="333333"/>
          <w:sz w:val="20"/>
          <w:sz w:val="20"/>
          <w:szCs w:val="20"/>
          <w:rtl w:val="true"/>
        </w:rPr>
        <w:t>، والمقنع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والنهایة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717</w:t>
      </w:r>
      <w:r>
        <w:rPr>
          <w:rFonts w:ascii="IRNazanin" w:hAnsi="IRNazanin" w:eastAsia="IRNazanin"/>
          <w:b w:val="false"/>
          <w:b w:val="false"/>
          <w:bCs w:val="false"/>
          <w:i w:val="false"/>
          <w:i w:val="false"/>
          <w:iCs w:val="false"/>
          <w:color w:val="333333"/>
          <w:sz w:val="20"/>
          <w:sz w:val="20"/>
          <w:szCs w:val="20"/>
          <w:rtl w:val="true"/>
        </w:rPr>
        <w:t xml:space="preserve">، والفقیه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xml:space="preserve">، ذیل الحدیث </w:t>
      </w:r>
      <w:r>
        <w:rPr>
          <w:rFonts w:eastAsia="IRNazanin" w:cs="IRNazanin"/>
          <w:b w:val="false"/>
          <w:bCs w:val="false"/>
          <w:i w:val="false"/>
          <w:iCs w:val="false"/>
          <w:color w:val="333333"/>
          <w:sz w:val="20"/>
          <w:szCs w:val="20"/>
        </w:rPr>
        <w:t>5117</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18:505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السرقة</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قول الشیخ فی المبسوط </w:t>
      </w:r>
      <w:r>
        <w:rPr>
          <w:rFonts w:eastAsia="IRNazanin" w:cs="IRNazanin"/>
          <w:b w:val="false"/>
          <w:bCs w:val="false"/>
          <w:i w:val="false"/>
          <w:iCs w:val="false"/>
          <w:color w:val="333333"/>
          <w:sz w:val="20"/>
          <w:szCs w:val="20"/>
        </w:rPr>
        <w:t>8:24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وفخر المحقّقین فی الإیضاح </w:t>
      </w:r>
      <w:r>
        <w:rPr>
          <w:rFonts w:eastAsia="IRNazanin" w:cs="IRNazanin"/>
          <w:b w:val="false"/>
          <w:bCs w:val="false"/>
          <w:i w:val="false"/>
          <w:iCs w:val="false"/>
          <w:color w:val="333333"/>
          <w:sz w:val="20"/>
          <w:szCs w:val="20"/>
        </w:rPr>
        <w:t>4:529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ونسبه إلی الإسکافی فی المختلف </w:t>
      </w:r>
      <w:r>
        <w:rPr>
          <w:rFonts w:eastAsia="IRNazanin" w:cs="IRNazanin"/>
          <w:b w:val="false"/>
          <w:bCs w:val="false"/>
          <w:i w:val="false"/>
          <w:iCs w:val="false"/>
          <w:color w:val="333333"/>
          <w:sz w:val="20"/>
          <w:szCs w:val="20"/>
        </w:rPr>
        <w:t>9:201</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ابن إدریس فی السرائر </w:t>
      </w:r>
      <w:r>
        <w:rPr>
          <w:rFonts w:eastAsia="IRNazanin" w:cs="IRNazanin"/>
          <w:b w:val="false"/>
          <w:bCs w:val="false"/>
          <w:i w:val="false"/>
          <w:iCs w:val="false"/>
          <w:color w:val="333333"/>
          <w:sz w:val="20"/>
          <w:szCs w:val="20"/>
        </w:rPr>
        <w:t>3:483</w:t>
      </w:r>
      <w:r>
        <w:rPr>
          <w:rFonts w:ascii="IRNazanin" w:hAnsi="IRNazanin" w:eastAsia="IRNazanin"/>
          <w:b w:val="false"/>
          <w:b w:val="false"/>
          <w:bCs w:val="false"/>
          <w:i w:val="false"/>
          <w:i w:val="false"/>
          <w:iCs w:val="false"/>
          <w:color w:val="333333"/>
          <w:sz w:val="20"/>
          <w:sz w:val="20"/>
          <w:szCs w:val="20"/>
          <w:rtl w:val="true"/>
        </w:rPr>
        <w:t>، والمحقّق فی المختصر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والعلّامة فی المختلف </w:t>
      </w:r>
      <w:r>
        <w:rPr>
          <w:rFonts w:eastAsia="IRNazanin" w:cs="IRNazanin"/>
          <w:b w:val="false"/>
          <w:bCs w:val="false"/>
          <w:i w:val="false"/>
          <w:iCs w:val="false"/>
          <w:color w:val="333333"/>
          <w:sz w:val="20"/>
          <w:szCs w:val="20"/>
        </w:rPr>
        <w:t>9:201</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18:509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السرقة،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نقب بیتاً</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طریقه علیّ بن إبراهیم عن أبیه، عن النوفلی، عن السکونی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وضعفه بالسکونی، راجع فهارس المسالک </w:t>
      </w:r>
      <w:r>
        <w:rPr>
          <w:rFonts w:eastAsia="IRNazanin" w:cs="IRNazanin"/>
          <w:b w:val="false"/>
          <w:bCs w:val="false"/>
          <w:i w:val="false"/>
          <w:iCs w:val="false"/>
          <w:color w:val="333333"/>
          <w:sz w:val="20"/>
          <w:szCs w:val="20"/>
        </w:rPr>
        <w:t>16:301</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العلّامة فی القواعد </w:t>
      </w:r>
      <w:r>
        <w:rPr>
          <w:rFonts w:eastAsia="IRNazanin" w:cs="IRNazanin"/>
          <w:b w:val="false"/>
          <w:bCs w:val="false"/>
          <w:i w:val="false"/>
          <w:iCs w:val="false"/>
          <w:color w:val="333333"/>
          <w:sz w:val="20"/>
          <w:szCs w:val="20"/>
        </w:rPr>
        <w:t>3:560</w:t>
      </w:r>
      <w:r>
        <w:rPr>
          <w:rFonts w:ascii="IRNazanin" w:hAnsi="IRNazanin" w:eastAsia="IRNazanin"/>
          <w:b w:val="false"/>
          <w:b w:val="false"/>
          <w:bCs w:val="false"/>
          <w:i w:val="false"/>
          <w:i w:val="false"/>
          <w:iCs w:val="false"/>
          <w:color w:val="333333"/>
          <w:sz w:val="20"/>
          <w:sz w:val="20"/>
          <w:szCs w:val="20"/>
          <w:rtl w:val="true"/>
        </w:rPr>
        <w:t xml:space="preserve">، والغزالی فی الوجیز </w:t>
      </w:r>
      <w:r>
        <w:rPr>
          <w:rFonts w:eastAsia="IRNazanin" w:cs="IRNazanin"/>
          <w:b w:val="false"/>
          <w:bCs w:val="false"/>
          <w:i w:val="false"/>
          <w:iCs w:val="false"/>
          <w:color w:val="333333"/>
          <w:sz w:val="20"/>
          <w:szCs w:val="20"/>
        </w:rPr>
        <w:t>2:173</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خزائنها</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5:451</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الصُرّة</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8:45</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18:504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السرقة، الحدیث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رواه بسندین، والمستدرک </w:t>
      </w:r>
      <w:r>
        <w:rPr>
          <w:rFonts w:eastAsia="IRNazanin" w:cs="IRNazanin"/>
          <w:b w:val="false"/>
          <w:bCs w:val="false"/>
          <w:i w:val="false"/>
          <w:iCs w:val="false"/>
          <w:color w:val="333333"/>
          <w:sz w:val="20"/>
          <w:szCs w:val="20"/>
        </w:rPr>
        <w:t>18:132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السرقة، الحدیث الأوّل</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5:451</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9:235</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الشجرة، وهکذا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الشرح</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18:517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السرقة،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3:561</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الإیضاح </w:t>
      </w:r>
      <w:r>
        <w:rPr>
          <w:rFonts w:eastAsia="IRNazanin" w:cs="IRNazanin"/>
          <w:b w:val="false"/>
          <w:bCs w:val="false"/>
          <w:i w:val="false"/>
          <w:iCs w:val="false"/>
          <w:color w:val="333333"/>
          <w:sz w:val="20"/>
          <w:szCs w:val="20"/>
        </w:rPr>
        <w:t>4:531</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18:508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السرقة</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9:237</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9:237</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سواء کانت مالاً أم 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غیر تقیید بکونها أتلفها أو لم یتلفها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الشرائط وبدونها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ر</w:t>
      </w:r>
      <w:r>
        <w:rPr>
          <w:rFonts w:eastAsia="IRNazanin" w:cs="IRNazanin"/>
          <w:b w:val="false"/>
          <w:bCs w:val="false"/>
          <w:i w:val="false"/>
          <w:iCs w:val="false"/>
          <w:color w:val="333333"/>
          <w:sz w:val="20"/>
          <w:szCs w:val="20"/>
          <w:rtl w:val="true"/>
        </w:rPr>
        <w:t>) .</w:t>
      </w:r>
    </w:p>
  </w:footnote>
  <w:footnote w:id="1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غیر البیع</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سرقتهما</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کالشیخ فی المبسوط </w:t>
      </w:r>
      <w:r>
        <w:rPr>
          <w:rFonts w:eastAsia="IRNazanin" w:cs="IRNazanin"/>
          <w:b w:val="false"/>
          <w:bCs w:val="false"/>
          <w:i w:val="false"/>
          <w:iCs w:val="false"/>
          <w:color w:val="333333"/>
          <w:sz w:val="20"/>
          <w:szCs w:val="20"/>
        </w:rPr>
        <w:t>8:30</w:t>
      </w:r>
      <w:r>
        <w:rPr>
          <w:rFonts w:ascii="IRNazanin" w:hAnsi="IRNazanin" w:eastAsia="IRNazanin"/>
          <w:b w:val="false"/>
          <w:b w:val="false"/>
          <w:bCs w:val="false"/>
          <w:i w:val="false"/>
          <w:i w:val="false"/>
          <w:iCs w:val="false"/>
          <w:color w:val="333333"/>
          <w:sz w:val="20"/>
          <w:sz w:val="20"/>
          <w:szCs w:val="20"/>
          <w:rtl w:val="true"/>
        </w:rPr>
        <w:t xml:space="preserve">، والمحقّق فی الشرائع </w:t>
      </w:r>
      <w:r>
        <w:rPr>
          <w:rFonts w:eastAsia="IRNazanin" w:cs="IRNazanin"/>
          <w:b w:val="false"/>
          <w:bCs w:val="false"/>
          <w:i w:val="false"/>
          <w:iCs w:val="false"/>
          <w:color w:val="333333"/>
          <w:sz w:val="20"/>
          <w:szCs w:val="20"/>
        </w:rPr>
        <w:t>4:175</w:t>
      </w:r>
      <w:r>
        <w:rPr>
          <w:rFonts w:ascii="IRNazanin" w:hAnsi="IRNazanin" w:eastAsia="IRNazanin"/>
          <w:b w:val="false"/>
          <w:b w:val="false"/>
          <w:bCs w:val="false"/>
          <w:i w:val="false"/>
          <w:i w:val="false"/>
          <w:iCs w:val="false"/>
          <w:color w:val="333333"/>
          <w:sz w:val="20"/>
          <w:sz w:val="20"/>
          <w:szCs w:val="20"/>
          <w:rtl w:val="true"/>
        </w:rPr>
        <w:t xml:space="preserve">، والعلّامة فی القواعد </w:t>
      </w:r>
      <w:r>
        <w:rPr>
          <w:rFonts w:eastAsia="IRNazanin" w:cs="IRNazanin"/>
          <w:b w:val="false"/>
          <w:bCs w:val="false"/>
          <w:i w:val="false"/>
          <w:iCs w:val="false"/>
          <w:color w:val="333333"/>
          <w:sz w:val="20"/>
          <w:szCs w:val="20"/>
        </w:rPr>
        <w:t>3:555</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18:511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السرقة،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المتقدّم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510</w:t>
      </w:r>
      <w:r>
        <w:rPr>
          <w:rFonts w:ascii="IRNazanin" w:hAnsi="IRNazanin" w:eastAsia="IRNazanin"/>
          <w:b w:val="false"/>
          <w:b w:val="false"/>
          <w:bCs w:val="false"/>
          <w:i w:val="false"/>
          <w:i w:val="false"/>
          <w:iCs w:val="false"/>
          <w:color w:val="333333"/>
          <w:sz w:val="20"/>
          <w:sz w:val="20"/>
          <w:szCs w:val="20"/>
          <w:rtl w:val="true"/>
        </w:rPr>
        <w:t>، الحدیث الأوّل</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القول باعتبار النصاب للمفید فی 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804</w:t>
      </w:r>
      <w:r>
        <w:rPr>
          <w:rFonts w:ascii="IRNazanin" w:hAnsi="IRNazanin" w:eastAsia="IRNazanin"/>
          <w:b w:val="false"/>
          <w:b w:val="false"/>
          <w:bCs w:val="false"/>
          <w:i w:val="false"/>
          <w:i w:val="false"/>
          <w:iCs w:val="false"/>
          <w:color w:val="333333"/>
          <w:sz w:val="20"/>
          <w:sz w:val="20"/>
          <w:szCs w:val="20"/>
          <w:rtl w:val="true"/>
        </w:rPr>
        <w:t>، وسلّار فی المراسم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والعلّامة فی المختلف </w:t>
      </w:r>
      <w:r>
        <w:rPr>
          <w:rFonts w:eastAsia="IRNazanin" w:cs="IRNazanin"/>
          <w:b w:val="false"/>
          <w:bCs w:val="false"/>
          <w:i w:val="false"/>
          <w:iCs w:val="false"/>
          <w:color w:val="333333"/>
          <w:sz w:val="20"/>
          <w:szCs w:val="20"/>
        </w:rPr>
        <w:t>9:227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والشهید فی غایة المراد </w:t>
      </w:r>
      <w:r>
        <w:rPr>
          <w:rFonts w:eastAsia="IRNazanin" w:cs="IRNazanin"/>
          <w:b w:val="false"/>
          <w:bCs w:val="false"/>
          <w:i w:val="false"/>
          <w:iCs w:val="false"/>
          <w:color w:val="333333"/>
          <w:sz w:val="20"/>
          <w:szCs w:val="20"/>
        </w:rPr>
        <w:t>4:256</w:t>
      </w:r>
      <w:r>
        <w:rPr>
          <w:rFonts w:ascii="IRNazanin" w:hAnsi="IRNazanin" w:eastAsia="IRNazanin"/>
          <w:b w:val="false"/>
          <w:b w:val="false"/>
          <w:bCs w:val="false"/>
          <w:i w:val="false"/>
          <w:i w:val="false"/>
          <w:iCs w:val="false"/>
          <w:color w:val="333333"/>
          <w:sz w:val="20"/>
          <w:sz w:val="20"/>
          <w:szCs w:val="20"/>
          <w:rtl w:val="true"/>
        </w:rPr>
        <w:t>، وغیرهم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والقول بعدم اعتباره لابن إدریس فی السرائر </w:t>
      </w:r>
      <w:r>
        <w:rPr>
          <w:rFonts w:eastAsia="IRNazanin" w:cs="IRNazanin"/>
          <w:b w:val="false"/>
          <w:bCs w:val="false"/>
          <w:i w:val="false"/>
          <w:iCs w:val="false"/>
          <w:color w:val="333333"/>
          <w:sz w:val="20"/>
          <w:szCs w:val="20"/>
        </w:rPr>
        <w:t>3:514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515</w:t>
      </w:r>
      <w:r>
        <w:rPr>
          <w:rFonts w:ascii="IRNazanin" w:hAnsi="IRNazanin" w:eastAsia="IRNazanin"/>
          <w:b w:val="false"/>
          <w:b w:val="false"/>
          <w:bCs w:val="false"/>
          <w:i w:val="false"/>
          <w:i w:val="false"/>
          <w:iCs w:val="false"/>
          <w:color w:val="333333"/>
          <w:sz w:val="20"/>
          <w:sz w:val="20"/>
          <w:szCs w:val="20"/>
          <w:rtl w:val="true"/>
        </w:rPr>
        <w:t xml:space="preserve">، والعلّامة فی الإرشاد </w:t>
      </w:r>
      <w:r>
        <w:rPr>
          <w:rFonts w:eastAsia="IRNazanin" w:cs="IRNazanin"/>
          <w:b w:val="false"/>
          <w:bCs w:val="false"/>
          <w:i w:val="false"/>
          <w:iCs w:val="false"/>
          <w:color w:val="333333"/>
          <w:sz w:val="20"/>
          <w:szCs w:val="20"/>
        </w:rPr>
        <w:t>2:183</w:t>
      </w:r>
      <w:r>
        <w:rPr>
          <w:rFonts w:ascii="IRNazanin" w:hAnsi="IRNazanin" w:eastAsia="IRNazanin"/>
          <w:b w:val="false"/>
          <w:b w:val="false"/>
          <w:bCs w:val="false"/>
          <w:i w:val="false"/>
          <w:i w:val="false"/>
          <w:iCs w:val="false"/>
          <w:color w:val="333333"/>
          <w:sz w:val="20"/>
          <w:sz w:val="20"/>
          <w:szCs w:val="20"/>
          <w:rtl w:val="true"/>
        </w:rPr>
        <w:t>، وظاهر الشیخ فی 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722</w:t>
      </w:r>
      <w:r>
        <w:rPr>
          <w:rFonts w:ascii="IRNazanin" w:hAnsi="IRNazanin" w:eastAsia="IRNazanin"/>
          <w:b w:val="false"/>
          <w:b w:val="false"/>
          <w:bCs w:val="false"/>
          <w:i w:val="false"/>
          <w:i w:val="false"/>
          <w:iCs w:val="false"/>
          <w:color w:val="333333"/>
          <w:sz w:val="20"/>
          <w:sz w:val="20"/>
          <w:szCs w:val="20"/>
          <w:rtl w:val="true"/>
        </w:rPr>
        <w:t xml:space="preserve">، والقاضی فی المهذّب </w:t>
      </w:r>
      <w:r>
        <w:rPr>
          <w:rFonts w:eastAsia="IRNazanin" w:cs="IRNazanin"/>
          <w:b w:val="false"/>
          <w:bCs w:val="false"/>
          <w:i w:val="false"/>
          <w:iCs w:val="false"/>
          <w:color w:val="333333"/>
          <w:sz w:val="20"/>
          <w:szCs w:val="20"/>
        </w:rPr>
        <w:t>2:542</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18:510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السرقة</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18:482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السرقة</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18:513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السرقة،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مختار ابن إدریس فی أوّل کلامه، ثمّ عدل إلی أ نّه یقطع مطلقاً، راجع المسالک </w:t>
      </w:r>
      <w:r>
        <w:rPr>
          <w:rFonts w:eastAsia="IRNazanin" w:cs="IRNazanin"/>
          <w:b w:val="false"/>
          <w:bCs w:val="false"/>
          <w:i w:val="false"/>
          <w:iCs w:val="false"/>
          <w:color w:val="333333"/>
          <w:sz w:val="20"/>
          <w:szCs w:val="20"/>
        </w:rPr>
        <w:t>14:511</w:t>
      </w:r>
      <w:r>
        <w:rPr>
          <w:rFonts w:ascii="IRNazanin" w:hAnsi="IRNazanin" w:eastAsia="IRNazanin"/>
          <w:b w:val="false"/>
          <w:b w:val="false"/>
          <w:bCs w:val="false"/>
          <w:i w:val="false"/>
          <w:i w:val="false"/>
          <w:iCs w:val="false"/>
          <w:color w:val="333333"/>
          <w:sz w:val="20"/>
          <w:sz w:val="20"/>
          <w:szCs w:val="20"/>
          <w:rtl w:val="true"/>
        </w:rPr>
        <w:t xml:space="preserve">، والسرائر </w:t>
      </w:r>
      <w:r>
        <w:rPr>
          <w:rFonts w:eastAsia="IRNazanin" w:cs="IRNazanin"/>
          <w:b w:val="false"/>
          <w:bCs w:val="false"/>
          <w:i w:val="false"/>
          <w:iCs w:val="false"/>
          <w:color w:val="333333"/>
          <w:sz w:val="20"/>
          <w:szCs w:val="20"/>
        </w:rPr>
        <w:t>3:512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18:511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السرقة،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التحریر </w:t>
      </w:r>
      <w:r>
        <w:rPr>
          <w:rFonts w:eastAsia="IRNazanin" w:cs="IRNazanin"/>
          <w:b w:val="false"/>
          <w:bCs w:val="false"/>
          <w:i w:val="false"/>
          <w:iCs w:val="false"/>
          <w:color w:val="333333"/>
          <w:sz w:val="20"/>
          <w:szCs w:val="20"/>
        </w:rPr>
        <w:t>5:364</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التکفین،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مطلقاً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متعلّق بالصبیّ والمجنون، ومعناه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المال والقطع</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قاله الشیخ فی 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718</w:t>
      </w:r>
      <w:r>
        <w:rPr>
          <w:rFonts w:ascii="IRNazanin" w:hAnsi="IRNazanin" w:eastAsia="IRNazanin"/>
          <w:b w:val="false"/>
          <w:b w:val="false"/>
          <w:bCs w:val="false"/>
          <w:i w:val="false"/>
          <w:i w:val="false"/>
          <w:iCs w:val="false"/>
          <w:color w:val="333333"/>
          <w:sz w:val="20"/>
          <w:sz w:val="20"/>
          <w:szCs w:val="20"/>
          <w:rtl w:val="true"/>
        </w:rPr>
        <w:t>، وابن سعید فی الجامع للشرائع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561</w:t>
      </w:r>
      <w:r>
        <w:rPr>
          <w:rFonts w:ascii="IRNazanin" w:hAnsi="IRNazanin" w:eastAsia="IRNazanin"/>
          <w:b w:val="false"/>
          <w:b w:val="false"/>
          <w:bCs w:val="false"/>
          <w:i w:val="false"/>
          <w:i w:val="false"/>
          <w:iCs w:val="false"/>
          <w:color w:val="333333"/>
          <w:sz w:val="20"/>
          <w:sz w:val="20"/>
          <w:szCs w:val="20"/>
          <w:rtl w:val="true"/>
        </w:rPr>
        <w:t xml:space="preserve">، واعتمد علیه العلّامة فی المختلف </w:t>
      </w:r>
      <w:r>
        <w:rPr>
          <w:rFonts w:eastAsia="IRNazanin" w:cs="IRNazanin"/>
          <w:b w:val="false"/>
          <w:bCs w:val="false"/>
          <w:i w:val="false"/>
          <w:iCs w:val="false"/>
          <w:color w:val="333333"/>
          <w:sz w:val="20"/>
          <w:szCs w:val="20"/>
        </w:rPr>
        <w:t>9:209</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18:497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السرقة، الحدیث الأوّل</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یرد فی المخطوطات</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16:111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الإقرار،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18:487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السرقة، الحدیث الأوّل، وفیه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أحدهما علیهما السلام</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10:124</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xml:space="preserve">، والوسائل </w:t>
      </w:r>
      <w:r>
        <w:rPr>
          <w:rFonts w:eastAsia="IRNazanin" w:cs="IRNazanin"/>
          <w:b w:val="false"/>
          <w:bCs w:val="false"/>
          <w:i w:val="false"/>
          <w:iCs w:val="false"/>
          <w:color w:val="333333"/>
          <w:sz w:val="20"/>
          <w:szCs w:val="20"/>
        </w:rPr>
        <w:t>18:329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الحدود، الحدیث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مع اختلاف یسیر</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18:330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الحدود،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لیس کذلک</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2:541</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2:183</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w:t>
      </w:r>
      <w:r>
        <w:rPr>
          <w:rFonts w:eastAsia="IRNazanin" w:cs="IRNazanin"/>
          <w:b w:val="false"/>
          <w:bCs w:val="false"/>
          <w:i w:val="false"/>
          <w:iCs w:val="false"/>
          <w:color w:val="333333"/>
          <w:sz w:val="20"/>
          <w:szCs w:val="20"/>
        </w:rPr>
        <w:t>18:121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السرقة،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والحدیث منقول بالمعنی</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وجه الإطلاق یظهر من التفصیل الآتی</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قاله ابن حمزة فی الوسیلة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3:556</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التحریر </w:t>
      </w:r>
      <w:r>
        <w:rPr>
          <w:rFonts w:eastAsia="IRNazanin" w:cs="IRNazanin"/>
          <w:b w:val="false"/>
          <w:bCs w:val="false"/>
          <w:i w:val="false"/>
          <w:iCs w:val="false"/>
          <w:color w:val="333333"/>
          <w:sz w:val="20"/>
          <w:szCs w:val="20"/>
        </w:rPr>
        <w:t>5:372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18:489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السرقة،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18:489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السرقة،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الکعب</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18:490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السرقة،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نظر؛ لأنّه تخطٍّ عن موضع النصّ بغیر دلیل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 .</w:t>
      </w:r>
    </w:p>
  </w:footnote>
  <w:footnote w:id="1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الالتفات</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w:t>
      </w:r>
    </w:p>
  </w:footnote>
  <w:footnote w:id="1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یمین، وفی نسخة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الیمنی</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الیمنی</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القول بقطع یده الیسری للشیخ فی 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717</w:t>
      </w:r>
      <w:r>
        <w:rPr>
          <w:rFonts w:ascii="IRNazanin" w:hAnsi="IRNazanin" w:eastAsia="IRNazanin"/>
          <w:b w:val="false"/>
          <w:b w:val="false"/>
          <w:bCs w:val="false"/>
          <w:i w:val="false"/>
          <w:i w:val="false"/>
          <w:iCs w:val="false"/>
          <w:color w:val="333333"/>
          <w:sz w:val="20"/>
          <w:sz w:val="20"/>
          <w:szCs w:val="20"/>
          <w:rtl w:val="true"/>
        </w:rPr>
        <w:t>، وابن حمزة فی الوسیلة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والقول بقطع الرجل للشیخ فی المبسوط </w:t>
      </w:r>
      <w:r>
        <w:rPr>
          <w:rFonts w:eastAsia="IRNazanin" w:cs="IRNazanin"/>
          <w:b w:val="false"/>
          <w:bCs w:val="false"/>
          <w:i w:val="false"/>
          <w:iCs w:val="false"/>
          <w:color w:val="333333"/>
          <w:sz w:val="20"/>
          <w:szCs w:val="20"/>
        </w:rPr>
        <w:t>8:39</w:t>
      </w:r>
      <w:r>
        <w:rPr>
          <w:rFonts w:ascii="IRNazanin" w:hAnsi="IRNazanin" w:eastAsia="IRNazanin"/>
          <w:b w:val="false"/>
          <w:b w:val="false"/>
          <w:bCs w:val="false"/>
          <w:i w:val="false"/>
          <w:i w:val="false"/>
          <w:iCs w:val="false"/>
          <w:color w:val="333333"/>
          <w:sz w:val="20"/>
          <w:sz w:val="20"/>
          <w:szCs w:val="20"/>
          <w:rtl w:val="true"/>
        </w:rPr>
        <w:t xml:space="preserve">، والقاضی فی المهذّب </w:t>
      </w:r>
      <w:r>
        <w:rPr>
          <w:rFonts w:eastAsia="IRNazanin" w:cs="IRNazanin"/>
          <w:b w:val="false"/>
          <w:bCs w:val="false"/>
          <w:i w:val="false"/>
          <w:iCs w:val="false"/>
          <w:color w:val="333333"/>
          <w:sz w:val="20"/>
          <w:szCs w:val="20"/>
        </w:rPr>
        <w:t>2:544</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3:566</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717</w:t>
      </w:r>
      <w:r>
        <w:rPr>
          <w:rFonts w:ascii="IRNazanin" w:hAnsi="IRNazanin" w:eastAsia="IRNazanin"/>
          <w:b w:val="false"/>
          <w:b w:val="false"/>
          <w:bCs w:val="false"/>
          <w:i w:val="false"/>
          <w:i w:val="false"/>
          <w:iCs w:val="false"/>
          <w:color w:val="333333"/>
          <w:sz w:val="20"/>
          <w:sz w:val="20"/>
          <w:szCs w:val="20"/>
          <w:rtl w:val="true"/>
        </w:rPr>
        <w:t>، ولم یذکر الیسری</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18:495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السرقة،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المتقدّم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حسم العِرْق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قطعه ثمّ کواه لئلّا یسیل دمه</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بینهما</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القول بکون القطع للاُولی للصدوق فی المقنع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والسیّد فی الغنیة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xml:space="preserve">، والعلّامة فی القواعد </w:t>
      </w:r>
      <w:r>
        <w:rPr>
          <w:rFonts w:eastAsia="IRNazanin" w:cs="IRNazanin"/>
          <w:b w:val="false"/>
          <w:bCs w:val="false"/>
          <w:i w:val="false"/>
          <w:iCs w:val="false"/>
          <w:color w:val="333333"/>
          <w:sz w:val="20"/>
          <w:szCs w:val="20"/>
        </w:rPr>
        <w:t>3:567</w:t>
      </w:r>
      <w:r>
        <w:rPr>
          <w:rFonts w:ascii="IRNazanin" w:hAnsi="IRNazanin" w:eastAsia="IRNazanin"/>
          <w:b w:val="false"/>
          <w:b w:val="false"/>
          <w:bCs w:val="false"/>
          <w:i w:val="false"/>
          <w:i w:val="false"/>
          <w:iCs w:val="false"/>
          <w:color w:val="333333"/>
          <w:sz w:val="20"/>
          <w:sz w:val="20"/>
          <w:szCs w:val="20"/>
          <w:rtl w:val="true"/>
        </w:rPr>
        <w:t xml:space="preserve">، والتحریر </w:t>
      </w:r>
      <w:r>
        <w:rPr>
          <w:rFonts w:eastAsia="IRNazanin" w:cs="IRNazanin"/>
          <w:b w:val="false"/>
          <w:bCs w:val="false"/>
          <w:i w:val="false"/>
          <w:iCs w:val="false"/>
          <w:color w:val="333333"/>
          <w:sz w:val="20"/>
          <w:szCs w:val="20"/>
        </w:rPr>
        <w:t>5:376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والقول بکون القطع للأخیرة للشیخ فی 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719</w:t>
      </w:r>
      <w:r>
        <w:rPr>
          <w:rFonts w:ascii="IRNazanin" w:hAnsi="IRNazanin" w:eastAsia="IRNazanin"/>
          <w:b w:val="false"/>
          <w:b w:val="false"/>
          <w:bCs w:val="false"/>
          <w:i w:val="false"/>
          <w:i w:val="false"/>
          <w:iCs w:val="false"/>
          <w:color w:val="333333"/>
          <w:sz w:val="20"/>
          <w:sz w:val="20"/>
          <w:szCs w:val="20"/>
          <w:rtl w:val="true"/>
        </w:rPr>
        <w:t xml:space="preserve">، وابن إدریس فی السرائر </w:t>
      </w:r>
      <w:r>
        <w:rPr>
          <w:rFonts w:eastAsia="IRNazanin" w:cs="IRNazanin"/>
          <w:b w:val="false"/>
          <w:bCs w:val="false"/>
          <w:i w:val="false"/>
          <w:iCs w:val="false"/>
          <w:color w:val="333333"/>
          <w:sz w:val="20"/>
          <w:szCs w:val="20"/>
        </w:rPr>
        <w:t>3:493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xml:space="preserve">، والمحقّق فی الشرائع </w:t>
      </w:r>
      <w:r>
        <w:rPr>
          <w:rFonts w:eastAsia="IRNazanin" w:cs="IRNazanin"/>
          <w:b w:val="false"/>
          <w:bCs w:val="false"/>
          <w:i w:val="false"/>
          <w:iCs w:val="false"/>
          <w:color w:val="333333"/>
          <w:sz w:val="20"/>
          <w:szCs w:val="20"/>
        </w:rPr>
        <w:t>4:178</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بقطع</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القول بالقطع للصدوق فی المقنع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والشیخ فی 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719</w:t>
      </w:r>
      <w:r>
        <w:rPr>
          <w:rFonts w:ascii="IRNazanin" w:hAnsi="IRNazanin" w:eastAsia="IRNazanin"/>
          <w:b w:val="false"/>
          <w:b w:val="false"/>
          <w:bCs w:val="false"/>
          <w:i w:val="false"/>
          <w:i w:val="false"/>
          <w:iCs w:val="false"/>
          <w:color w:val="333333"/>
          <w:sz w:val="20"/>
          <w:sz w:val="20"/>
          <w:szCs w:val="20"/>
          <w:rtl w:val="true"/>
        </w:rPr>
        <w:t>، وابن سعید فی الجامع للشرائع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561</w:t>
      </w:r>
      <w:r>
        <w:rPr>
          <w:rFonts w:ascii="IRNazanin" w:hAnsi="IRNazanin" w:eastAsia="IRNazanin"/>
          <w:b w:val="false"/>
          <w:b w:val="false"/>
          <w:bCs w:val="false"/>
          <w:i w:val="false"/>
          <w:i w:val="false"/>
          <w:iCs w:val="false"/>
          <w:color w:val="333333"/>
          <w:sz w:val="20"/>
          <w:sz w:val="20"/>
          <w:szCs w:val="20"/>
          <w:rtl w:val="true"/>
        </w:rPr>
        <w:t>، وغیرهم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والقول بعدمه للشیخ فی المبسوط </w:t>
      </w:r>
      <w:r>
        <w:rPr>
          <w:rFonts w:eastAsia="IRNazanin" w:cs="IRNazanin"/>
          <w:b w:val="false"/>
          <w:bCs w:val="false"/>
          <w:i w:val="false"/>
          <w:iCs w:val="false"/>
          <w:color w:val="333333"/>
          <w:sz w:val="20"/>
          <w:szCs w:val="20"/>
        </w:rPr>
        <w:t>8:38</w:t>
      </w:r>
      <w:r>
        <w:rPr>
          <w:rFonts w:ascii="IRNazanin" w:hAnsi="IRNazanin" w:eastAsia="IRNazanin"/>
          <w:b w:val="false"/>
          <w:b w:val="false"/>
          <w:bCs w:val="false"/>
          <w:i w:val="false"/>
          <w:i w:val="false"/>
          <w:iCs w:val="false"/>
          <w:color w:val="333333"/>
          <w:sz w:val="20"/>
          <w:sz w:val="20"/>
          <w:szCs w:val="20"/>
          <w:rtl w:val="true"/>
        </w:rPr>
        <w:t xml:space="preserve">، وتبعه ابن إدریس فی السرائر </w:t>
      </w:r>
      <w:r>
        <w:rPr>
          <w:rFonts w:eastAsia="IRNazanin" w:cs="IRNazanin"/>
          <w:b w:val="false"/>
          <w:bCs w:val="false"/>
          <w:i w:val="false"/>
          <w:iCs w:val="false"/>
          <w:color w:val="333333"/>
          <w:sz w:val="20"/>
          <w:szCs w:val="20"/>
        </w:rPr>
        <w:t>3:494</w:t>
      </w:r>
      <w:r>
        <w:rPr>
          <w:rFonts w:ascii="IRNazanin" w:hAnsi="IRNazanin" w:eastAsia="IRNazanin"/>
          <w:b w:val="false"/>
          <w:b w:val="false"/>
          <w:bCs w:val="false"/>
          <w:i w:val="false"/>
          <w:i w:val="false"/>
          <w:iCs w:val="false"/>
          <w:color w:val="333333"/>
          <w:sz w:val="20"/>
          <w:sz w:val="20"/>
          <w:szCs w:val="20"/>
          <w:rtl w:val="true"/>
        </w:rPr>
        <w:t xml:space="preserve">، والعلّامة فی المختلف </w:t>
      </w:r>
      <w:r>
        <w:rPr>
          <w:rFonts w:eastAsia="IRNazanin" w:cs="IRNazanin"/>
          <w:b w:val="false"/>
          <w:bCs w:val="false"/>
          <w:i w:val="false"/>
          <w:iCs w:val="false"/>
          <w:color w:val="333333"/>
          <w:sz w:val="20"/>
          <w:szCs w:val="20"/>
        </w:rPr>
        <w:t>9:216</w:t>
      </w:r>
      <w:r>
        <w:rPr>
          <w:rFonts w:ascii="IRNazanin" w:hAnsi="IRNazanin" w:eastAsia="IRNazanin"/>
          <w:b w:val="false"/>
          <w:b w:val="false"/>
          <w:bCs w:val="false"/>
          <w:i w:val="false"/>
          <w:i w:val="false"/>
          <w:iCs w:val="false"/>
          <w:color w:val="333333"/>
          <w:sz w:val="20"/>
          <w:sz w:val="20"/>
          <w:szCs w:val="20"/>
          <w:rtl w:val="true"/>
        </w:rPr>
        <w:t>، وغیرهم</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18:499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السرقة، الحدیث الأوّل</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طریقها سهل بن زیاد، وهو ضعیف، مع أ نّه رواها عن الحسن بن محبوب، ولم یوجد فی کتاب مشیخته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 .</w:t>
      </w:r>
    </w:p>
  </w:footnote>
  <w:footnote w:id="1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المتّهم بالسوء</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اختاره العلّامة فی القواعد </w:t>
      </w:r>
      <w:r>
        <w:rPr>
          <w:rFonts w:eastAsia="IRNazanin" w:cs="IRNazanin"/>
          <w:b w:val="false"/>
          <w:bCs w:val="false"/>
          <w:i w:val="false"/>
          <w:iCs w:val="false"/>
          <w:color w:val="333333"/>
          <w:sz w:val="20"/>
          <w:szCs w:val="20"/>
        </w:rPr>
        <w:t>3:568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وولده فی الإیضاح </w:t>
      </w:r>
      <w:r>
        <w:rPr>
          <w:rFonts w:eastAsia="IRNazanin" w:cs="IRNazanin"/>
          <w:b w:val="false"/>
          <w:bCs w:val="false"/>
          <w:i w:val="false"/>
          <w:iCs w:val="false"/>
          <w:color w:val="333333"/>
          <w:sz w:val="20"/>
          <w:szCs w:val="20"/>
        </w:rPr>
        <w:t>4:543</w:t>
      </w:r>
      <w:r>
        <w:rPr>
          <w:rFonts w:ascii="IRNazanin" w:hAnsi="IRNazanin" w:eastAsia="IRNazanin"/>
          <w:b w:val="false"/>
          <w:b w:val="false"/>
          <w:bCs w:val="false"/>
          <w:i w:val="false"/>
          <w:i w:val="false"/>
          <w:iCs w:val="false"/>
          <w:color w:val="333333"/>
          <w:sz w:val="20"/>
          <w:sz w:val="20"/>
          <w:szCs w:val="20"/>
          <w:rtl w:val="true"/>
        </w:rPr>
        <w:t>، وقبلهما سلّار فی المراسم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وابن فهد فی المهذّب البارع </w:t>
      </w:r>
      <w:r>
        <w:rPr>
          <w:rFonts w:eastAsia="IRNazanin" w:cs="IRNazanin"/>
          <w:b w:val="false"/>
          <w:bCs w:val="false"/>
          <w:i w:val="false"/>
          <w:iCs w:val="false"/>
          <w:color w:val="333333"/>
          <w:sz w:val="20"/>
          <w:szCs w:val="20"/>
        </w:rPr>
        <w:t>5:193</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جَزٰاءُ اَلَّذِینَ یُحٰارِبُونَ اَللّٰهَ ، سورة 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العلّامة فی المختلف </w:t>
      </w:r>
      <w:r>
        <w:rPr>
          <w:rFonts w:eastAsia="IRNazanin" w:cs="IRNazanin"/>
          <w:b w:val="false"/>
          <w:bCs w:val="false"/>
          <w:i w:val="false"/>
          <w:iCs w:val="false"/>
          <w:color w:val="333333"/>
          <w:sz w:val="20"/>
          <w:szCs w:val="20"/>
        </w:rPr>
        <w:t>9:248</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18:532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533</w:t>
      </w:r>
      <w:r>
        <w:rPr>
          <w:rFonts w:ascii="IRNazanin" w:hAnsi="IRNazanin" w:eastAsia="IRNazanin"/>
          <w:b w:val="false"/>
          <w:b w:val="false"/>
          <w:bCs w:val="false"/>
          <w:i w:val="false"/>
          <w:i w:val="false"/>
          <w:iCs w:val="false"/>
          <w:color w:val="333333"/>
          <w:sz w:val="20"/>
          <w:sz w:val="20"/>
          <w:szCs w:val="20"/>
          <w:rtl w:val="true"/>
        </w:rPr>
        <w:t>، الباب الأوّل من أبواب حدّ المحارب، الحدیث الأوّل</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804</w:t>
      </w:r>
      <w:r>
        <w:rPr>
          <w:rFonts w:ascii="IRNazanin" w:hAnsi="IRNazanin" w:eastAsia="IRNazanin"/>
          <w:b w:val="false"/>
          <w:b w:val="false"/>
          <w:bCs w:val="false"/>
          <w:i w:val="false"/>
          <w:i w:val="false"/>
          <w:iCs w:val="false"/>
          <w:color w:val="333333"/>
          <w:sz w:val="20"/>
          <w:sz w:val="20"/>
          <w:szCs w:val="20"/>
          <w:rtl w:val="true"/>
        </w:rPr>
        <w:t>، والنهایة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720</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صحیحة محمّد بن مسلم السابقة</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المحقّق فی الشرائع </w:t>
      </w:r>
      <w:r>
        <w:rPr>
          <w:rFonts w:eastAsia="IRNazanin" w:cs="IRNazanin"/>
          <w:b w:val="false"/>
          <w:bCs w:val="false"/>
          <w:i w:val="false"/>
          <w:iCs w:val="false"/>
          <w:color w:val="333333"/>
          <w:sz w:val="20"/>
          <w:szCs w:val="20"/>
        </w:rPr>
        <w:t>4:180</w:t>
      </w:r>
      <w:r>
        <w:rPr>
          <w:rFonts w:ascii="IRNazanin" w:hAnsi="IRNazanin" w:eastAsia="IRNazanin"/>
          <w:b w:val="false"/>
          <w:b w:val="false"/>
          <w:bCs w:val="false"/>
          <w:i w:val="false"/>
          <w:i w:val="false"/>
          <w:iCs w:val="false"/>
          <w:color w:val="333333"/>
          <w:sz w:val="20"/>
          <w:sz w:val="20"/>
          <w:szCs w:val="20"/>
          <w:rtl w:val="true"/>
        </w:rPr>
        <w:t xml:space="preserve">، والعلّامة فی القواعد </w:t>
      </w:r>
      <w:r>
        <w:rPr>
          <w:rFonts w:eastAsia="IRNazanin" w:cs="IRNazanin"/>
          <w:b w:val="false"/>
          <w:bCs w:val="false"/>
          <w:i w:val="false"/>
          <w:iCs w:val="false"/>
          <w:color w:val="333333"/>
          <w:sz w:val="20"/>
          <w:szCs w:val="20"/>
        </w:rPr>
        <w:t>3:568</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الشهید فی غایة المراد </w:t>
      </w:r>
      <w:r>
        <w:rPr>
          <w:rFonts w:eastAsia="IRNazanin" w:cs="IRNazanin"/>
          <w:b w:val="false"/>
          <w:bCs w:val="false"/>
          <w:i w:val="false"/>
          <w:iCs w:val="false"/>
          <w:color w:val="333333"/>
          <w:sz w:val="20"/>
          <w:szCs w:val="20"/>
        </w:rPr>
        <w:t>4:280</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16:111</w:t>
      </w:r>
      <w:r>
        <w:rPr>
          <w:rFonts w:ascii="IRNazanin" w:hAnsi="IRNazanin" w:eastAsia="IRNazanin"/>
          <w:b w:val="false"/>
          <w:b w:val="false"/>
          <w:bCs w:val="false"/>
          <w:i w:val="false"/>
          <w:i w:val="false"/>
          <w:iCs w:val="false"/>
          <w:color w:val="333333"/>
          <w:sz w:val="20"/>
          <w:sz w:val="20"/>
          <w:szCs w:val="20"/>
          <w:rtl w:val="true"/>
        </w:rPr>
        <w:t xml:space="preserve">، الباب الأوّل من کتاب الإقرار،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یرد فی المخطوطات</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15:562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الکفّارات،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18:533</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حدّ المحارب،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وجه التردید بین الحسنة والصحیحة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الشیخ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10:133</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رواها عن یونس وطریقه إلیه متعدّد وأجودها علی ما ظهر الحسن، ولکنّ الفاضل ذکر فی المختلف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طریقه إلیه صحیح، فینبغی التأمّل فی ذلک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 .</w:t>
      </w:r>
    </w:p>
  </w:footnote>
  <w:footnote w:id="1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کالمفید فی 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805</w:t>
      </w:r>
      <w:r>
        <w:rPr>
          <w:rFonts w:ascii="IRNazanin" w:hAnsi="IRNazanin" w:eastAsia="IRNazanin"/>
          <w:b w:val="false"/>
          <w:b w:val="false"/>
          <w:bCs w:val="false"/>
          <w:i w:val="false"/>
          <w:i w:val="false"/>
          <w:iCs w:val="false"/>
          <w:color w:val="333333"/>
          <w:sz w:val="20"/>
          <w:sz w:val="20"/>
          <w:szCs w:val="20"/>
          <w:rtl w:val="true"/>
        </w:rPr>
        <w:t xml:space="preserve">، وابن إدریس فی السرائر </w:t>
      </w:r>
      <w:r>
        <w:rPr>
          <w:rFonts w:eastAsia="IRNazanin" w:cs="IRNazanin"/>
          <w:b w:val="false"/>
          <w:bCs w:val="false"/>
          <w:i w:val="false"/>
          <w:iCs w:val="false"/>
          <w:color w:val="333333"/>
          <w:sz w:val="20"/>
          <w:szCs w:val="20"/>
        </w:rPr>
        <w:t>3:505</w:t>
      </w:r>
      <w:r>
        <w:rPr>
          <w:rFonts w:ascii="IRNazanin" w:hAnsi="IRNazanin" w:eastAsia="IRNazanin"/>
          <w:b w:val="false"/>
          <w:b w:val="false"/>
          <w:bCs w:val="false"/>
          <w:i w:val="false"/>
          <w:i w:val="false"/>
          <w:iCs w:val="false"/>
          <w:color w:val="333333"/>
          <w:sz w:val="20"/>
          <w:sz w:val="20"/>
          <w:szCs w:val="20"/>
          <w:rtl w:val="true"/>
        </w:rPr>
        <w:t xml:space="preserve">، والعلّامة فی المختلف </w:t>
      </w:r>
      <w:r>
        <w:rPr>
          <w:rFonts w:eastAsia="IRNazanin" w:cs="IRNazanin"/>
          <w:b w:val="false"/>
          <w:bCs w:val="false"/>
          <w:i w:val="false"/>
          <w:iCs w:val="false"/>
          <w:color w:val="333333"/>
          <w:sz w:val="20"/>
          <w:szCs w:val="20"/>
        </w:rPr>
        <w:t>9:247</w:t>
      </w:r>
      <w:r>
        <w:rPr>
          <w:rFonts w:ascii="IRNazanin" w:hAnsi="IRNazanin" w:eastAsia="IRNazanin"/>
          <w:b w:val="false"/>
          <w:b w:val="false"/>
          <w:bCs w:val="false"/>
          <w:i w:val="false"/>
          <w:i w:val="false"/>
          <w:iCs w:val="false"/>
          <w:color w:val="333333"/>
          <w:sz w:val="20"/>
          <w:sz w:val="20"/>
          <w:szCs w:val="20"/>
          <w:rtl w:val="true"/>
        </w:rPr>
        <w:t>، وغیرهم</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720</w:t>
      </w:r>
      <w:r>
        <w:rPr>
          <w:rFonts w:ascii="IRNazanin" w:hAnsi="IRNazanin" w:eastAsia="IRNazanin"/>
          <w:b w:val="false"/>
          <w:b w:val="false"/>
          <w:bCs w:val="false"/>
          <w:i w:val="false"/>
          <w:i w:val="false"/>
          <w:iCs w:val="false"/>
          <w:color w:val="333333"/>
          <w:sz w:val="20"/>
          <w:sz w:val="20"/>
          <w:szCs w:val="20"/>
          <w:rtl w:val="true"/>
        </w:rPr>
        <w:t xml:space="preserve">، والخلاف </w:t>
      </w:r>
      <w:r>
        <w:rPr>
          <w:rFonts w:eastAsia="IRNazanin" w:cs="IRNazanin"/>
          <w:b w:val="false"/>
          <w:bCs w:val="false"/>
          <w:i w:val="false"/>
          <w:iCs w:val="false"/>
          <w:color w:val="333333"/>
          <w:sz w:val="20"/>
          <w:szCs w:val="20"/>
        </w:rPr>
        <w:t>5:458</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ابن إدریس فی السرائر </w:t>
      </w:r>
      <w:r>
        <w:rPr>
          <w:rFonts w:eastAsia="IRNazanin" w:cs="IRNazanin"/>
          <w:b w:val="false"/>
          <w:bCs w:val="false"/>
          <w:i w:val="false"/>
          <w:iCs w:val="false"/>
          <w:color w:val="333333"/>
          <w:sz w:val="20"/>
          <w:szCs w:val="20"/>
        </w:rPr>
        <w:t>3:506</w:t>
      </w:r>
      <w:r>
        <w:rPr>
          <w:rFonts w:ascii="IRNazanin" w:hAnsi="IRNazanin" w:eastAsia="IRNazanin"/>
          <w:b w:val="false"/>
          <w:b w:val="false"/>
          <w:bCs w:val="false"/>
          <w:i w:val="false"/>
          <w:i w:val="false"/>
          <w:iCs w:val="false"/>
          <w:color w:val="333333"/>
          <w:sz w:val="20"/>
          <w:sz w:val="20"/>
          <w:szCs w:val="20"/>
          <w:rtl w:val="true"/>
        </w:rPr>
        <w:t xml:space="preserve">، والعلّامة فی التحریر </w:t>
      </w:r>
      <w:r>
        <w:rPr>
          <w:rFonts w:eastAsia="IRNazanin" w:cs="IRNazanin"/>
          <w:b w:val="false"/>
          <w:bCs w:val="false"/>
          <w:i w:val="false"/>
          <w:iCs w:val="false"/>
          <w:color w:val="333333"/>
          <w:sz w:val="20"/>
          <w:szCs w:val="20"/>
        </w:rPr>
        <w:t>5:381</w:t>
      </w:r>
      <w:r>
        <w:rPr>
          <w:rFonts w:ascii="IRNazanin" w:hAnsi="IRNazanin" w:eastAsia="IRNazanin"/>
          <w:b w:val="false"/>
          <w:b w:val="false"/>
          <w:bCs w:val="false"/>
          <w:i w:val="false"/>
          <w:i w:val="false"/>
          <w:iCs w:val="false"/>
          <w:color w:val="333333"/>
          <w:sz w:val="20"/>
          <w:sz w:val="20"/>
          <w:szCs w:val="20"/>
          <w:rtl w:val="true"/>
        </w:rPr>
        <w:t xml:space="preserve">، والصیمری فی غایة المرام </w:t>
      </w:r>
      <w:r>
        <w:rPr>
          <w:rFonts w:eastAsia="IRNazanin" w:cs="IRNazanin"/>
          <w:b w:val="false"/>
          <w:bCs w:val="false"/>
          <w:i w:val="false"/>
          <w:iCs w:val="false"/>
          <w:color w:val="333333"/>
          <w:sz w:val="20"/>
          <w:szCs w:val="20"/>
        </w:rPr>
        <w:t>4:350</w:t>
      </w:r>
      <w:r>
        <w:rPr>
          <w:rFonts w:ascii="IRNazanin" w:hAnsi="IRNazanin" w:eastAsia="IRNazanin"/>
          <w:b w:val="false"/>
          <w:b w:val="false"/>
          <w:bCs w:val="false"/>
          <w:i w:val="false"/>
          <w:i w:val="false"/>
          <w:iCs w:val="false"/>
          <w:color w:val="333333"/>
          <w:sz w:val="20"/>
          <w:sz w:val="20"/>
          <w:szCs w:val="20"/>
          <w:rtl w:val="true"/>
        </w:rPr>
        <w:t>، وغیرهم</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18:532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537</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حدّ المحارب،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المسالک </w:t>
      </w:r>
      <w:r>
        <w:rPr>
          <w:rFonts w:eastAsia="IRNazanin" w:cs="IRNazanin"/>
          <w:b w:val="false"/>
          <w:bCs w:val="false"/>
          <w:i w:val="false"/>
          <w:iCs w:val="false"/>
          <w:color w:val="333333"/>
          <w:sz w:val="20"/>
          <w:szCs w:val="20"/>
        </w:rPr>
        <w:t>15:11</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720</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5:458</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المحاربة حاصلة مع الجرح</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اختیار الحاکم، وهذا علی مذهب المصنّف</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مذهب الشیخ وجماعة</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حالة</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قُتل</w:t>
      </w:r>
      <w:r>
        <w:rPr>
          <w:rFonts w:eastAsia="IRNazanin" w:cs="IRNazanin"/>
          <w:b w:val="false"/>
          <w:bCs w:val="false"/>
          <w:i w:val="false"/>
          <w:iCs w:val="false"/>
          <w:color w:val="333333"/>
          <w:sz w:val="20"/>
          <w:szCs w:val="20"/>
          <w:rtl w:val="true"/>
        </w:rPr>
        <w:t>.</w:t>
      </w:r>
    </w:p>
  </w:footnote>
  <w:footnote w:id="1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غیره</w:t>
      </w:r>
      <w:r>
        <w:rPr>
          <w:rFonts w:eastAsia="IRNazanin" w:cs="IRNazanin"/>
          <w:b w:val="false"/>
          <w:bCs w:val="false"/>
          <w:i w:val="false"/>
          <w:iCs w:val="false"/>
          <w:color w:val="333333"/>
          <w:sz w:val="20"/>
          <w:szCs w:val="20"/>
          <w:rtl w:val="true"/>
        </w:rPr>
        <w:t>.</w:t>
      </w:r>
    </w:p>
  </w:footnote>
  <w:footnote w:id="1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أخذ المال أم لا</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18:543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المحارب</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18:502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السرقة، الحدیث الأوّل</w:t>
      </w:r>
      <w:r>
        <w:rPr>
          <w:rFonts w:eastAsia="IRNazanin" w:cs="IRNazanin"/>
          <w:b w:val="false"/>
          <w:bCs w:val="false"/>
          <w:i w:val="false"/>
          <w:iCs w:val="false"/>
          <w:color w:val="333333"/>
          <w:sz w:val="20"/>
          <w:szCs w:val="20"/>
          <w:rtl w:val="true"/>
        </w:rPr>
        <w:t>.</w:t>
      </w:r>
    </w:p>
  </w:footnote>
  <w:footnote w:id="1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18:507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السرقة، وفیه حدیث واحد</w:t>
      </w:r>
      <w:r>
        <w:rPr>
          <w:rFonts w:eastAsia="IRNazanin" w:cs="IRNazanin"/>
          <w:b w:val="false"/>
          <w:bCs w:val="false"/>
          <w:i w:val="false"/>
          <w:iCs w:val="false"/>
          <w:color w:val="333333"/>
          <w:sz w:val="20"/>
          <w:szCs w:val="20"/>
          <w:rtl w:val="true"/>
        </w:rPr>
        <w:t>.</w:t>
      </w:r>
    </w:p>
  </w:footnote>
  <w:footnote w:id="1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4:243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ذیل الحدیث </w:t>
      </w:r>
      <w:r>
        <w:rPr>
          <w:rFonts w:eastAsia="IRNazanin" w:cs="IRNazanin"/>
          <w:b w:val="false"/>
          <w:bCs w:val="false"/>
          <w:i w:val="false"/>
          <w:iCs w:val="false"/>
          <w:color w:val="333333"/>
          <w:sz w:val="20"/>
          <w:szCs w:val="20"/>
        </w:rPr>
        <w:t>919</w:t>
      </w:r>
      <w:r>
        <w:rPr>
          <w:rFonts w:eastAsia="IRNazanin" w:cs="IRNazanin"/>
          <w:b w:val="false"/>
          <w:bCs w:val="false"/>
          <w:i w:val="false"/>
          <w:iCs w:val="false"/>
          <w:color w:val="333333"/>
          <w:sz w:val="20"/>
          <w:szCs w:val="20"/>
          <w:rtl w:val="true"/>
        </w:rPr>
        <w:t>.</w:t>
      </w:r>
    </w:p>
  </w:footnote>
  <w:footnote w:id="1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حیوان</w:t>
      </w:r>
      <w:r>
        <w:rPr>
          <w:rFonts w:eastAsia="IRNazanin" w:cs="IRNazanin"/>
          <w:b w:val="false"/>
          <w:bCs w:val="false"/>
          <w:i w:val="false"/>
          <w:iCs w:val="false"/>
          <w:color w:val="333333"/>
          <w:sz w:val="20"/>
          <w:szCs w:val="20"/>
          <w:rtl w:val="true"/>
        </w:rPr>
        <w:t>.</w:t>
      </w:r>
    </w:p>
  </w:footnote>
  <w:footnote w:id="1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1:524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بهم</w:t>
      </w:r>
      <w:r>
        <w:rPr>
          <w:rFonts w:eastAsia="IRNazanin" w:cs="IRNazanin"/>
          <w:b w:val="false"/>
          <w:bCs w:val="false"/>
          <w:i w:val="false"/>
          <w:iCs w:val="false"/>
          <w:color w:val="333333"/>
          <w:sz w:val="20"/>
          <w:szCs w:val="20"/>
          <w:rtl w:val="true"/>
        </w:rPr>
        <w:t>) .</w:t>
      </w:r>
    </w:p>
  </w:footnote>
  <w:footnote w:id="1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إعدامها</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التی قوبلت بالأصل، وفی سائر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لتُجتنب</w:t>
      </w:r>
      <w:r>
        <w:rPr>
          <w:rFonts w:eastAsia="IRNazanin" w:cs="IRNazanin"/>
          <w:b w:val="false"/>
          <w:bCs w:val="false"/>
          <w:i w:val="false"/>
          <w:iCs w:val="false"/>
          <w:color w:val="333333"/>
          <w:sz w:val="20"/>
          <w:szCs w:val="20"/>
          <w:rtl w:val="true"/>
        </w:rPr>
        <w:t>.</w:t>
      </w:r>
    </w:p>
  </w:footnote>
  <w:footnote w:id="1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یمکن أن یرید ما لو کان الاشتباه فی غیر المحصور، أو علی قول من قال بعدم وجوب الاجتناب فی المحصور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ویمکن أن یکون المراد حصول النسیان والغفلة، ونحو ذلک</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ونسختی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الشرح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المواقعة</w:t>
      </w:r>
      <w:r>
        <w:rPr>
          <w:rFonts w:eastAsia="IRNazanin" w:cs="IRNazanin"/>
          <w:b w:val="false"/>
          <w:bCs w:val="false"/>
          <w:i w:val="false"/>
          <w:iCs w:val="false"/>
          <w:color w:val="333333"/>
          <w:sz w:val="20"/>
          <w:szCs w:val="20"/>
          <w:rtl w:val="true"/>
        </w:rPr>
        <w:t>.</w:t>
      </w:r>
    </w:p>
  </w:footnote>
  <w:footnote w:id="1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 قائله، نعم قال المفید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اُخرجت إلی بلد آخر لا یعرف أهله ما فعل بها ولا ما 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ولعلّه مُشعر ببُعد البلد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789</w:t>
      </w:r>
      <w:r>
        <w:rPr>
          <w:rFonts w:eastAsia="IRNazanin" w:cs="IRNazanin"/>
          <w:b w:val="false"/>
          <w:bCs w:val="false"/>
          <w:i w:val="false"/>
          <w:iCs w:val="false"/>
          <w:color w:val="333333"/>
          <w:sz w:val="20"/>
          <w:szCs w:val="20"/>
          <w:rtl w:val="true"/>
        </w:rPr>
        <w:t>.</w:t>
      </w:r>
    </w:p>
  </w:footnote>
  <w:footnote w:id="1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قول الشارح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لئلّا یُعیّر فاعلها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وسیأتی</w:t>
      </w:r>
      <w:r>
        <w:rPr>
          <w:rFonts w:eastAsia="IRNazanin" w:cs="IRNazanin"/>
          <w:b w:val="false"/>
          <w:bCs w:val="false"/>
          <w:i w:val="false"/>
          <w:iCs w:val="false"/>
          <w:color w:val="333333"/>
          <w:sz w:val="20"/>
          <w:szCs w:val="20"/>
          <w:rtl w:val="true"/>
        </w:rPr>
        <w:t>.</w:t>
      </w:r>
    </w:p>
  </w:footnote>
  <w:footnote w:id="1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متعلّق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تُخرج من بلد الواقعة وتباع</w:t>
      </w:r>
      <w:r>
        <w:rPr>
          <w:rFonts w:eastAsia="IRNazanin" w:cs="IRNazanin"/>
          <w:b w:val="false"/>
          <w:bCs w:val="false"/>
          <w:i w:val="false"/>
          <w:iCs w:val="false"/>
          <w:color w:val="333333"/>
          <w:sz w:val="20"/>
          <w:szCs w:val="20"/>
          <w:rtl w:val="true"/>
        </w:rPr>
        <w:t>.</w:t>
      </w:r>
    </w:p>
  </w:footnote>
  <w:footnote w:id="1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ونسخة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لبهیمته</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القول بالصدقة للمفید فی 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790</w:t>
      </w:r>
      <w:r>
        <w:rPr>
          <w:rFonts w:ascii="IRNazanin" w:hAnsi="IRNazanin" w:eastAsia="IRNazanin"/>
          <w:b w:val="false"/>
          <w:b w:val="false"/>
          <w:bCs w:val="false"/>
          <w:i w:val="false"/>
          <w:i w:val="false"/>
          <w:iCs w:val="false"/>
          <w:color w:val="333333"/>
          <w:sz w:val="20"/>
          <w:sz w:val="20"/>
          <w:szCs w:val="20"/>
          <w:rtl w:val="true"/>
        </w:rPr>
        <w:t>، وابن حمزة فی الوسیلة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والقول بالإعادة إلی الغارم لابن إدریس فی السرائر </w:t>
      </w:r>
      <w:r>
        <w:rPr>
          <w:rFonts w:eastAsia="IRNazanin" w:cs="IRNazanin"/>
          <w:b w:val="false"/>
          <w:bCs w:val="false"/>
          <w:i w:val="false"/>
          <w:iCs w:val="false"/>
          <w:color w:val="333333"/>
          <w:sz w:val="20"/>
          <w:szCs w:val="20"/>
        </w:rPr>
        <w:t>3:468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xml:space="preserve">، والمحقّق فی الشرائع </w:t>
      </w:r>
      <w:r>
        <w:rPr>
          <w:rFonts w:eastAsia="IRNazanin" w:cs="IRNazanin"/>
          <w:b w:val="false"/>
          <w:bCs w:val="false"/>
          <w:i w:val="false"/>
          <w:iCs w:val="false"/>
          <w:color w:val="333333"/>
          <w:sz w:val="20"/>
          <w:szCs w:val="20"/>
        </w:rPr>
        <w:t>4:187</w:t>
      </w:r>
      <w:r>
        <w:rPr>
          <w:rFonts w:eastAsia="IRNazanin" w:cs="IRNazanin"/>
          <w:b w:val="false"/>
          <w:bCs w:val="false"/>
          <w:i w:val="false"/>
          <w:iCs w:val="false"/>
          <w:color w:val="333333"/>
          <w:sz w:val="20"/>
          <w:szCs w:val="20"/>
          <w:rtl w:val="true"/>
        </w:rPr>
        <w:t>.</w:t>
      </w:r>
    </w:p>
  </w:footnote>
  <w:footnote w:id="1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ولتکن</w:t>
      </w:r>
      <w:r>
        <w:rPr>
          <w:rFonts w:eastAsia="IRNazanin" w:cs="IRNazanin"/>
          <w:b w:val="false"/>
          <w:bCs w:val="false"/>
          <w:i w:val="false"/>
          <w:iCs w:val="false"/>
          <w:color w:val="333333"/>
          <w:sz w:val="20"/>
          <w:szCs w:val="20"/>
          <w:rtl w:val="true"/>
        </w:rPr>
        <w:t>.</w:t>
      </w:r>
    </w:p>
  </w:footnote>
  <w:footnote w:id="1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ما فی الوسائل </w:t>
      </w:r>
      <w:r>
        <w:rPr>
          <w:rFonts w:eastAsia="IRNazanin" w:cs="IRNazanin"/>
          <w:b w:val="false"/>
          <w:bCs w:val="false"/>
          <w:i w:val="false"/>
          <w:iCs w:val="false"/>
          <w:color w:val="333333"/>
          <w:sz w:val="20"/>
          <w:szCs w:val="20"/>
        </w:rPr>
        <w:t>18:571</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نکاح البهائم،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ما فی الوسائل </w:t>
      </w:r>
      <w:r>
        <w:rPr>
          <w:rFonts w:eastAsia="IRNazanin" w:cs="IRNazanin"/>
          <w:b w:val="false"/>
          <w:bCs w:val="false"/>
          <w:i w:val="false"/>
          <w:iCs w:val="false"/>
          <w:color w:val="333333"/>
          <w:sz w:val="20"/>
          <w:szCs w:val="20"/>
        </w:rPr>
        <w:t>18:571</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نکاح البهائم،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 سلّار فی المراسم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وابن سعید فی الجامع للشرائع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556</w:t>
      </w:r>
      <w:r>
        <w:rPr>
          <w:rFonts w:ascii="IRNazanin" w:hAnsi="IRNazanin" w:eastAsia="IRNazanin"/>
          <w:b w:val="false"/>
          <w:b w:val="false"/>
          <w:bCs w:val="false"/>
          <w:i w:val="false"/>
          <w:i w:val="false"/>
          <w:iCs w:val="false"/>
          <w:color w:val="333333"/>
          <w:sz w:val="20"/>
          <w:sz w:val="20"/>
          <w:szCs w:val="20"/>
          <w:rtl w:val="true"/>
        </w:rPr>
        <w:t>، والعلّامة فی تلخیص المرام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18:570</w:t>
      </w:r>
      <w:r>
        <w:rPr>
          <w:rFonts w:ascii="IRNazanin" w:hAnsi="IRNazanin" w:eastAsia="IRNazanin"/>
          <w:b w:val="false"/>
          <w:b w:val="false"/>
          <w:bCs w:val="false"/>
          <w:i w:val="false"/>
          <w:i w:val="false"/>
          <w:iCs w:val="false"/>
          <w:color w:val="333333"/>
          <w:sz w:val="20"/>
          <w:sz w:val="20"/>
          <w:szCs w:val="20"/>
          <w:rtl w:val="true"/>
        </w:rPr>
        <w:t>، الباب الأوّل من أبواب نکاح البهائم، الحدیث الأوّل</w:t>
      </w:r>
      <w:r>
        <w:rPr>
          <w:rFonts w:eastAsia="IRNazanin" w:cs="IRNazanin"/>
          <w:b w:val="false"/>
          <w:bCs w:val="false"/>
          <w:i w:val="false"/>
          <w:iCs w:val="false"/>
          <w:color w:val="333333"/>
          <w:sz w:val="20"/>
          <w:szCs w:val="20"/>
          <w:rtl w:val="true"/>
        </w:rPr>
        <w:t>.</w:t>
      </w:r>
    </w:p>
  </w:footnote>
  <w:footnote w:id="1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أوّل البحث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عُزّر واُغرم ثمنها</w:t>
      </w:r>
      <w:r>
        <w:rPr>
          <w:rFonts w:eastAsia="IRNazanin" w:cs="IRNazanin"/>
          <w:b w:val="false"/>
          <w:bCs w:val="false"/>
          <w:i w:val="false"/>
          <w:iCs w:val="false"/>
          <w:color w:val="333333"/>
          <w:sz w:val="20"/>
          <w:szCs w:val="20"/>
          <w:rtl w:val="true"/>
        </w:rPr>
        <w:t>.</w:t>
      </w:r>
    </w:p>
  </w:footnote>
  <w:footnote w:id="1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18:571</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نکاح البهائم،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ثبوت المعاوضة بتغریم الثمن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القیمة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وصیرورة الواطئ مالکاً للبهیمة وعود ثمنها بعد البیع إلیه</w:t>
      </w:r>
      <w:r>
        <w:rPr>
          <w:rFonts w:eastAsia="IRNazanin" w:cs="IRNazanin"/>
          <w:b w:val="false"/>
          <w:bCs w:val="false"/>
          <w:i w:val="false"/>
          <w:iCs w:val="false"/>
          <w:color w:val="333333"/>
          <w:sz w:val="20"/>
          <w:szCs w:val="20"/>
          <w:rtl w:val="true"/>
        </w:rPr>
        <w:t>.</w:t>
      </w:r>
    </w:p>
  </w:footnote>
  <w:footnote w:id="1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البهیمة</w:t>
      </w:r>
      <w:r>
        <w:rPr>
          <w:rFonts w:eastAsia="IRNazanin" w:cs="IRNazanin"/>
          <w:b w:val="false"/>
          <w:bCs w:val="false"/>
          <w:i w:val="false"/>
          <w:iCs w:val="false"/>
          <w:color w:val="333333"/>
          <w:sz w:val="20"/>
          <w:szCs w:val="20"/>
          <w:rtl w:val="true"/>
        </w:rPr>
        <w:t>.</w:t>
      </w:r>
    </w:p>
  </w:footnote>
  <w:footnote w:id="1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الزیادة</w:t>
      </w:r>
      <w:r>
        <w:rPr>
          <w:rFonts w:eastAsia="IRNazanin" w:cs="IRNazanin"/>
          <w:b w:val="false"/>
          <w:bCs w:val="false"/>
          <w:i w:val="false"/>
          <w:iCs w:val="false"/>
          <w:color w:val="333333"/>
          <w:sz w:val="20"/>
          <w:szCs w:val="20"/>
          <w:rtl w:val="true"/>
        </w:rPr>
        <w:t>.</w:t>
      </w:r>
    </w:p>
  </w:footnote>
  <w:footnote w:id="1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المعقوفتین لم یرد فی المخطوطات</w:t>
      </w:r>
      <w:r>
        <w:rPr>
          <w:rFonts w:eastAsia="IRNazanin" w:cs="IRNazanin"/>
          <w:b w:val="false"/>
          <w:bCs w:val="false"/>
          <w:i w:val="false"/>
          <w:iCs w:val="false"/>
          <w:color w:val="333333"/>
          <w:sz w:val="20"/>
          <w:szCs w:val="20"/>
          <w:rtl w:val="true"/>
        </w:rPr>
        <w:t>.</w:t>
      </w:r>
    </w:p>
  </w:footnote>
  <w:footnote w:id="1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سلف فی الأطعمة والأشربة، الصفحة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18:570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572</w:t>
      </w:r>
      <w:r>
        <w:rPr>
          <w:rFonts w:ascii="IRNazanin" w:hAnsi="IRNazanin" w:eastAsia="IRNazanin"/>
          <w:b w:val="false"/>
          <w:b w:val="false"/>
          <w:bCs w:val="false"/>
          <w:i w:val="false"/>
          <w:i w:val="false"/>
          <w:iCs w:val="false"/>
          <w:color w:val="333333"/>
          <w:sz w:val="20"/>
          <w:sz w:val="20"/>
          <w:szCs w:val="20"/>
          <w:rtl w:val="true"/>
        </w:rPr>
        <w:t>، الباب الأوّل من أبواب نکاح البهائم</w:t>
      </w:r>
      <w:r>
        <w:rPr>
          <w:rFonts w:eastAsia="IRNazanin" w:cs="IRNazanin"/>
          <w:b w:val="false"/>
          <w:bCs w:val="false"/>
          <w:i w:val="false"/>
          <w:iCs w:val="false"/>
          <w:color w:val="333333"/>
          <w:sz w:val="20"/>
          <w:szCs w:val="20"/>
          <w:rtl w:val="true"/>
        </w:rPr>
        <w:t>.</w:t>
      </w:r>
    </w:p>
  </w:footnote>
  <w:footnote w:id="1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الشرائع </w:t>
      </w:r>
      <w:r>
        <w:rPr>
          <w:rFonts w:eastAsia="IRNazanin" w:cs="IRNazanin"/>
          <w:b w:val="false"/>
          <w:bCs w:val="false"/>
          <w:i w:val="false"/>
          <w:iCs w:val="false"/>
          <w:color w:val="333333"/>
          <w:sz w:val="20"/>
          <w:szCs w:val="20"/>
        </w:rPr>
        <w:t>4:187</w:t>
      </w:r>
      <w:r>
        <w:rPr>
          <w:rFonts w:ascii="IRNazanin" w:hAnsi="IRNazanin" w:eastAsia="IRNazanin"/>
          <w:b w:val="false"/>
          <w:b w:val="false"/>
          <w:bCs w:val="false"/>
          <w:i w:val="false"/>
          <w:i w:val="false"/>
          <w:iCs w:val="false"/>
          <w:color w:val="333333"/>
          <w:sz w:val="20"/>
          <w:sz w:val="20"/>
          <w:szCs w:val="20"/>
          <w:rtl w:val="true"/>
        </w:rPr>
        <w:t xml:space="preserve">، والقواعد </w:t>
      </w:r>
      <w:r>
        <w:rPr>
          <w:rFonts w:eastAsia="IRNazanin" w:cs="IRNazanin"/>
          <w:b w:val="false"/>
          <w:bCs w:val="false"/>
          <w:i w:val="false"/>
          <w:iCs w:val="false"/>
          <w:color w:val="333333"/>
          <w:sz w:val="20"/>
          <w:szCs w:val="20"/>
        </w:rPr>
        <w:t>3:541</w:t>
      </w:r>
      <w:r>
        <w:rPr>
          <w:rFonts w:ascii="IRNazanin" w:hAnsi="IRNazanin" w:eastAsia="IRNazanin"/>
          <w:b w:val="false"/>
          <w:b w:val="false"/>
          <w:bCs w:val="false"/>
          <w:i w:val="false"/>
          <w:i w:val="false"/>
          <w:iCs w:val="false"/>
          <w:color w:val="333333"/>
          <w:sz w:val="20"/>
          <w:sz w:val="20"/>
          <w:szCs w:val="20"/>
          <w:rtl w:val="true"/>
        </w:rPr>
        <w:t xml:space="preserve">، وغایة المراد </w:t>
      </w:r>
      <w:r>
        <w:rPr>
          <w:rFonts w:eastAsia="IRNazanin" w:cs="IRNazanin"/>
          <w:b w:val="false"/>
          <w:bCs w:val="false"/>
          <w:i w:val="false"/>
          <w:iCs w:val="false"/>
          <w:color w:val="333333"/>
          <w:sz w:val="20"/>
          <w:szCs w:val="20"/>
        </w:rPr>
        <w:t>4:296</w:t>
      </w:r>
      <w:r>
        <w:rPr>
          <w:rFonts w:eastAsia="IRNazanin" w:cs="IRNazanin"/>
          <w:b w:val="false"/>
          <w:bCs w:val="false"/>
          <w:i w:val="false"/>
          <w:iCs w:val="false"/>
          <w:color w:val="333333"/>
          <w:sz w:val="20"/>
          <w:szCs w:val="20"/>
          <w:rtl w:val="true"/>
        </w:rPr>
        <w:t>.</w:t>
      </w:r>
    </w:p>
  </w:footnote>
  <w:footnote w:id="1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منه فی کتاب الأطعمة والأشربة، الصفحة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18:583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بقیّة الحدود، و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572</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نکاح البهائم،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 بل إنّما یری الشیخ فی کتبه التعزیر بما دون الحدّ حسب ما یراه الإمام، راجع 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708</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والخلاف </w:t>
      </w:r>
      <w:r>
        <w:rPr>
          <w:rFonts w:eastAsia="IRNazanin" w:cs="IRNazanin"/>
          <w:b w:val="false"/>
          <w:bCs w:val="false"/>
          <w:i w:val="false"/>
          <w:iCs w:val="false"/>
          <w:color w:val="333333"/>
          <w:sz w:val="20"/>
          <w:szCs w:val="20"/>
        </w:rPr>
        <w:t>5:382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1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18:570</w:t>
      </w:r>
      <w:r>
        <w:rPr>
          <w:rFonts w:ascii="IRNazanin" w:hAnsi="IRNazanin" w:eastAsia="IRNazanin"/>
          <w:b w:val="false"/>
          <w:b w:val="false"/>
          <w:bCs w:val="false"/>
          <w:i w:val="false"/>
          <w:i w:val="false"/>
          <w:iCs w:val="false"/>
          <w:color w:val="333333"/>
          <w:sz w:val="20"/>
          <w:sz w:val="20"/>
          <w:szCs w:val="20"/>
          <w:rtl w:val="true"/>
        </w:rPr>
        <w:t>، الباب الأوّل من أبواب نکاح البهائم، الحدیث الأوّل</w:t>
      </w:r>
      <w:r>
        <w:rPr>
          <w:rFonts w:eastAsia="IRNazanin" w:cs="IRNazanin"/>
          <w:b w:val="false"/>
          <w:bCs w:val="false"/>
          <w:i w:val="false"/>
          <w:iCs w:val="false"/>
          <w:color w:val="333333"/>
          <w:sz w:val="20"/>
          <w:szCs w:val="20"/>
          <w:rtl w:val="true"/>
        </w:rPr>
        <w:t>.</w:t>
      </w:r>
    </w:p>
  </w:footnote>
  <w:footnote w:id="1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18:570</w:t>
      </w:r>
      <w:r>
        <w:rPr>
          <w:rFonts w:ascii="IRNazanin" w:hAnsi="IRNazanin" w:eastAsia="IRNazanin"/>
          <w:b w:val="false"/>
          <w:b w:val="false"/>
          <w:bCs w:val="false"/>
          <w:i w:val="false"/>
          <w:i w:val="false"/>
          <w:iCs w:val="false"/>
          <w:color w:val="333333"/>
          <w:sz w:val="20"/>
          <w:sz w:val="20"/>
          <w:szCs w:val="20"/>
          <w:rtl w:val="true"/>
        </w:rPr>
        <w:t>، الباب الأوّل من أبواب نکاح البهائم، الحدیث الأوّل</w:t>
      </w:r>
      <w:r>
        <w:rPr>
          <w:rFonts w:eastAsia="IRNazanin" w:cs="IRNazanin"/>
          <w:b w:val="false"/>
          <w:bCs w:val="false"/>
          <w:i w:val="false"/>
          <w:iCs w:val="false"/>
          <w:color w:val="333333"/>
          <w:sz w:val="20"/>
          <w:szCs w:val="20"/>
          <w:rtl w:val="true"/>
        </w:rPr>
        <w:t>.</w:t>
      </w:r>
    </w:p>
  </w:footnote>
  <w:footnote w:id="1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الکافی والتهذیب والاستبصار والوسائل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الحسین بن خالد</w:t>
      </w:r>
      <w:r>
        <w:rPr>
          <w:rFonts w:eastAsia="IRNazanin" w:cs="IRNazanin"/>
          <w:b w:val="false"/>
          <w:bCs w:val="false"/>
          <w:i w:val="false"/>
          <w:iCs w:val="false"/>
          <w:color w:val="333333"/>
          <w:sz w:val="20"/>
          <w:szCs w:val="20"/>
          <w:rtl w:val="true"/>
        </w:rPr>
        <w:t>» .</w:t>
      </w:r>
    </w:p>
  </w:footnote>
  <w:footnote w:id="1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18:570</w:t>
      </w:r>
      <w:r>
        <w:rPr>
          <w:rFonts w:ascii="IRNazanin" w:hAnsi="IRNazanin" w:eastAsia="IRNazanin"/>
          <w:b w:val="false"/>
          <w:b w:val="false"/>
          <w:bCs w:val="false"/>
          <w:i w:val="false"/>
          <w:i w:val="false"/>
          <w:iCs w:val="false"/>
          <w:color w:val="333333"/>
          <w:sz w:val="20"/>
          <w:sz w:val="20"/>
          <w:szCs w:val="20"/>
          <w:rtl w:val="true"/>
        </w:rPr>
        <w:t>، الباب الأوّل من أبواب نکاح البهائم، الحدیث الأوّل</w:t>
      </w:r>
      <w:r>
        <w:rPr>
          <w:rFonts w:eastAsia="IRNazanin" w:cs="IRNazanin"/>
          <w:b w:val="false"/>
          <w:bCs w:val="false"/>
          <w:i w:val="false"/>
          <w:iCs w:val="false"/>
          <w:color w:val="333333"/>
          <w:sz w:val="20"/>
          <w:szCs w:val="20"/>
          <w:rtl w:val="true"/>
        </w:rPr>
        <w:t>.</w:t>
      </w:r>
    </w:p>
  </w:footnote>
  <w:footnote w:id="1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 إلیه الشیخ فی أحد قولیه، راجع التهذیب </w:t>
      </w:r>
      <w:r>
        <w:rPr>
          <w:rFonts w:eastAsia="IRNazanin" w:cs="IRNazanin"/>
          <w:b w:val="false"/>
          <w:bCs w:val="false"/>
          <w:i w:val="false"/>
          <w:iCs w:val="false"/>
          <w:color w:val="333333"/>
          <w:sz w:val="20"/>
          <w:szCs w:val="20"/>
        </w:rPr>
        <w:t>10:62</w:t>
      </w:r>
      <w:r>
        <w:rPr>
          <w:rFonts w:ascii="IRNazanin" w:hAnsi="IRNazanin" w:eastAsia="IRNazanin"/>
          <w:b w:val="false"/>
          <w:b w:val="false"/>
          <w:bCs w:val="false"/>
          <w:i w:val="false"/>
          <w:i w:val="false"/>
          <w:iCs w:val="false"/>
          <w:color w:val="333333"/>
          <w:sz w:val="20"/>
          <w:sz w:val="20"/>
          <w:szCs w:val="20"/>
          <w:rtl w:val="true"/>
        </w:rPr>
        <w:t xml:space="preserve">، ذیل الحدیث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4:224</w:t>
      </w:r>
      <w:r>
        <w:rPr>
          <w:rFonts w:ascii="IRNazanin" w:hAnsi="IRNazanin" w:eastAsia="IRNazanin"/>
          <w:b w:val="false"/>
          <w:b w:val="false"/>
          <w:bCs w:val="false"/>
          <w:i w:val="false"/>
          <w:i w:val="false"/>
          <w:iCs w:val="false"/>
          <w:color w:val="333333"/>
          <w:sz w:val="20"/>
          <w:sz w:val="20"/>
          <w:szCs w:val="20"/>
          <w:rtl w:val="true"/>
        </w:rPr>
        <w:t xml:space="preserve">، ذیل الحدیث </w:t>
      </w:r>
      <w:r>
        <w:rPr>
          <w:rFonts w:eastAsia="IRNazanin" w:cs="IRNazanin"/>
          <w:b w:val="false"/>
          <w:bCs w:val="false"/>
          <w:i w:val="false"/>
          <w:iCs w:val="false"/>
          <w:color w:val="333333"/>
          <w:sz w:val="20"/>
          <w:szCs w:val="20"/>
        </w:rPr>
        <w:t>840</w:t>
      </w:r>
      <w:r>
        <w:rPr>
          <w:rFonts w:eastAsia="IRNazanin" w:cs="IRNazanin"/>
          <w:b w:val="false"/>
          <w:bCs w:val="false"/>
          <w:i w:val="false"/>
          <w:iCs w:val="false"/>
          <w:color w:val="333333"/>
          <w:sz w:val="20"/>
          <w:szCs w:val="20"/>
          <w:rtl w:val="true"/>
        </w:rPr>
        <w:t>.</w:t>
      </w:r>
    </w:p>
  </w:footnote>
  <w:footnote w:id="1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18:572</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نکاح البهائم،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18:572</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نکاح البهائم،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قول الصدوق فی المقنع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1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18:572</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نکاح البهائم،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4:224</w:t>
      </w:r>
      <w:r>
        <w:rPr>
          <w:rFonts w:ascii="IRNazanin" w:hAnsi="IRNazanin" w:eastAsia="IRNazanin"/>
          <w:b w:val="false"/>
          <w:b w:val="false"/>
          <w:bCs w:val="false"/>
          <w:i w:val="false"/>
          <w:i w:val="false"/>
          <w:iCs w:val="false"/>
          <w:color w:val="333333"/>
          <w:sz w:val="20"/>
          <w:sz w:val="20"/>
          <w:szCs w:val="20"/>
          <w:rtl w:val="true"/>
        </w:rPr>
        <w:t xml:space="preserve">، ذیل الحدیث </w:t>
      </w:r>
      <w:r>
        <w:rPr>
          <w:rFonts w:eastAsia="IRNazanin" w:cs="IRNazanin"/>
          <w:b w:val="false"/>
          <w:bCs w:val="false"/>
          <w:i w:val="false"/>
          <w:iCs w:val="false"/>
          <w:color w:val="333333"/>
          <w:sz w:val="20"/>
          <w:szCs w:val="20"/>
        </w:rPr>
        <w:t>840</w:t>
      </w:r>
      <w:r>
        <w:rPr>
          <w:rFonts w:eastAsia="IRNazanin" w:cs="IRNazanin"/>
          <w:b w:val="false"/>
          <w:bCs w:val="false"/>
          <w:i w:val="false"/>
          <w:iCs w:val="false"/>
          <w:color w:val="333333"/>
          <w:sz w:val="20"/>
          <w:szCs w:val="20"/>
          <w:rtl w:val="true"/>
        </w:rPr>
        <w:t>.</w:t>
      </w:r>
    </w:p>
  </w:footnote>
  <w:footnote w:id="1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18:584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بقیّة الحدّ،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علی الحمل الثانی من حمل الشیخ قدس سره وهو حمل أخبار القتل علی ما إذا تکرّر منه الفعل ثلاثاً مع تخلّل التعزیر، فإنّه أراد به ما دون الحدّ، فیبقی خبر الحدّ منافیاً للتعزیر، فلا یدخل فی الجمع بین الأخبار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ر</w:t>
      </w:r>
      <w:r>
        <w:rPr>
          <w:rFonts w:eastAsia="IRNazanin" w:cs="IRNazanin"/>
          <w:b w:val="false"/>
          <w:bCs w:val="false"/>
          <w:i w:val="false"/>
          <w:iCs w:val="false"/>
          <w:color w:val="333333"/>
          <w:sz w:val="20"/>
          <w:szCs w:val="20"/>
          <w:rtl w:val="true"/>
        </w:rPr>
        <w:t>) .</w:t>
      </w:r>
    </w:p>
  </w:footnote>
  <w:footnote w:id="1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16:111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الإقرار،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کالشرب والقذف حیث یلزم فیها الإقرار مرّتین والزنا واللواط حیث یلزم فیه الإقرار أربع مرّات</w:t>
      </w:r>
      <w:r>
        <w:rPr>
          <w:rFonts w:eastAsia="IRNazanin" w:cs="IRNazanin"/>
          <w:b w:val="false"/>
          <w:bCs w:val="false"/>
          <w:i w:val="false"/>
          <w:iCs w:val="false"/>
          <w:color w:val="333333"/>
          <w:sz w:val="20"/>
          <w:szCs w:val="20"/>
          <w:rtl w:val="true"/>
        </w:rPr>
        <w:t>.</w:t>
      </w:r>
    </w:p>
  </w:footnote>
  <w:footnote w:id="1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18:570</w:t>
      </w:r>
      <w:r>
        <w:rPr>
          <w:rFonts w:ascii="IRNazanin" w:hAnsi="IRNazanin" w:eastAsia="IRNazanin"/>
          <w:b w:val="false"/>
          <w:b w:val="false"/>
          <w:bCs w:val="false"/>
          <w:i w:val="false"/>
          <w:i w:val="false"/>
          <w:iCs w:val="false"/>
          <w:color w:val="333333"/>
          <w:sz w:val="20"/>
          <w:sz w:val="20"/>
          <w:szCs w:val="20"/>
          <w:rtl w:val="true"/>
        </w:rPr>
        <w:t>، الباب الأوّل من أبواب نکاح البهائم، الحدیث الأوّل</w:t>
      </w:r>
      <w:r>
        <w:rPr>
          <w:rFonts w:eastAsia="IRNazanin" w:cs="IRNazanin"/>
          <w:b w:val="false"/>
          <w:bCs w:val="false"/>
          <w:i w:val="false"/>
          <w:iCs w:val="false"/>
          <w:color w:val="333333"/>
          <w:sz w:val="20"/>
          <w:szCs w:val="20"/>
          <w:rtl w:val="true"/>
        </w:rPr>
        <w:t>.</w:t>
      </w:r>
    </w:p>
  </w:footnote>
  <w:footnote w:id="1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18:570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571</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نکاح البهائم،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p>
  </w:footnote>
  <w:footnote w:id="1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والوسائل </w:t>
      </w:r>
      <w:r>
        <w:rPr>
          <w:rFonts w:eastAsia="IRNazanin" w:cs="IRNazanin"/>
          <w:b w:val="false"/>
          <w:bCs w:val="false"/>
          <w:i w:val="false"/>
          <w:iCs w:val="false"/>
          <w:color w:val="333333"/>
          <w:sz w:val="20"/>
          <w:szCs w:val="20"/>
        </w:rPr>
        <w:t>18:371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الزنا، والمستدرک </w:t>
      </w:r>
      <w:r>
        <w:rPr>
          <w:rFonts w:eastAsia="IRNazanin" w:cs="IRNazanin"/>
          <w:b w:val="false"/>
          <w:bCs w:val="false"/>
          <w:i w:val="false"/>
          <w:iCs w:val="false"/>
          <w:color w:val="333333"/>
          <w:sz w:val="20"/>
          <w:szCs w:val="20"/>
        </w:rPr>
        <w:t>18:83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اللواط، وفیه حدیث واحد</w:t>
      </w:r>
      <w:r>
        <w:rPr>
          <w:rFonts w:eastAsia="IRNazanin" w:cs="IRNazanin"/>
          <w:b w:val="false"/>
          <w:bCs w:val="false"/>
          <w:i w:val="false"/>
          <w:iCs w:val="false"/>
          <w:color w:val="333333"/>
          <w:sz w:val="20"/>
          <w:szCs w:val="20"/>
          <w:rtl w:val="true"/>
        </w:rPr>
        <w:t>.</w:t>
      </w:r>
    </w:p>
  </w:footnote>
  <w:footnote w:id="1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قاله المفید فی 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790</w:t>
      </w:r>
      <w:r>
        <w:rPr>
          <w:rFonts w:ascii="IRNazanin" w:hAnsi="IRNazanin" w:eastAsia="IRNazanin"/>
          <w:b w:val="false"/>
          <w:b w:val="false"/>
          <w:bCs w:val="false"/>
          <w:i w:val="false"/>
          <w:i w:val="false"/>
          <w:iCs w:val="false"/>
          <w:color w:val="333333"/>
          <w:sz w:val="20"/>
          <w:sz w:val="20"/>
          <w:szCs w:val="20"/>
          <w:rtl w:val="true"/>
        </w:rPr>
        <w:t>، والشیخ فی 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708</w:t>
      </w:r>
      <w:r>
        <w:rPr>
          <w:rFonts w:ascii="IRNazanin" w:hAnsi="IRNazanin" w:eastAsia="IRNazanin"/>
          <w:b w:val="false"/>
          <w:b w:val="false"/>
          <w:bCs w:val="false"/>
          <w:i w:val="false"/>
          <w:i w:val="false"/>
          <w:iCs w:val="false"/>
          <w:color w:val="333333"/>
          <w:sz w:val="20"/>
          <w:sz w:val="20"/>
          <w:szCs w:val="20"/>
          <w:rtl w:val="true"/>
        </w:rPr>
        <w:t xml:space="preserve">، والقاضی فی المهذّب </w:t>
      </w:r>
      <w:r>
        <w:rPr>
          <w:rFonts w:eastAsia="IRNazanin" w:cs="IRNazanin"/>
          <w:b w:val="false"/>
          <w:bCs w:val="false"/>
          <w:i w:val="false"/>
          <w:iCs w:val="false"/>
          <w:color w:val="333333"/>
          <w:sz w:val="20"/>
          <w:szCs w:val="20"/>
        </w:rPr>
        <w:t>2:534</w:t>
      </w:r>
      <w:r>
        <w:rPr>
          <w:rFonts w:ascii="IRNazanin" w:hAnsi="IRNazanin" w:eastAsia="IRNazanin"/>
          <w:b w:val="false"/>
          <w:b w:val="false"/>
          <w:bCs w:val="false"/>
          <w:i w:val="false"/>
          <w:i w:val="false"/>
          <w:iCs w:val="false"/>
          <w:color w:val="333333"/>
          <w:sz w:val="20"/>
          <w:sz w:val="20"/>
          <w:szCs w:val="20"/>
          <w:rtl w:val="true"/>
        </w:rPr>
        <w:t>، وغیرهم</w:t>
      </w:r>
      <w:r>
        <w:rPr>
          <w:rFonts w:eastAsia="IRNazanin" w:cs="IRNazanin"/>
          <w:b w:val="false"/>
          <w:bCs w:val="false"/>
          <w:i w:val="false"/>
          <w:iCs w:val="false"/>
          <w:color w:val="333333"/>
          <w:sz w:val="20"/>
          <w:szCs w:val="20"/>
          <w:rtl w:val="true"/>
        </w:rPr>
        <w:t>.</w:t>
      </w:r>
    </w:p>
  </w:footnote>
  <w:footnote w:id="1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18:371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الزنا</w:t>
      </w:r>
      <w:r>
        <w:rPr>
          <w:rFonts w:eastAsia="IRNazanin" w:cs="IRNazanin"/>
          <w:b w:val="false"/>
          <w:bCs w:val="false"/>
          <w:i w:val="false"/>
          <w:iCs w:val="false"/>
          <w:color w:val="333333"/>
          <w:sz w:val="20"/>
          <w:szCs w:val="20"/>
          <w:rtl w:val="true"/>
        </w:rPr>
        <w:t>.</w:t>
      </w:r>
    </w:p>
  </w:footnote>
  <w:footnote w:id="1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الإقرار، وفی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إقرار</w:t>
      </w:r>
      <w:r>
        <w:rPr>
          <w:rFonts w:eastAsia="IRNazanin" w:cs="IRNazanin"/>
          <w:b w:val="false"/>
          <w:bCs w:val="false"/>
          <w:i w:val="false"/>
          <w:iCs w:val="false"/>
          <w:color w:val="333333"/>
          <w:sz w:val="20"/>
          <w:szCs w:val="20"/>
          <w:rtl w:val="true"/>
        </w:rPr>
        <w:t>.</w:t>
      </w:r>
    </w:p>
  </w:footnote>
  <w:footnote w:id="1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18:259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الشهادات</w:t>
      </w:r>
      <w:r>
        <w:rPr>
          <w:rFonts w:eastAsia="IRNazanin" w:cs="IRNazanin"/>
          <w:b w:val="false"/>
          <w:bCs w:val="false"/>
          <w:i w:val="false"/>
          <w:iCs w:val="false"/>
          <w:color w:val="333333"/>
          <w:sz w:val="20"/>
          <w:szCs w:val="20"/>
          <w:rtl w:val="true"/>
        </w:rPr>
        <w:t>.</w:t>
      </w:r>
    </w:p>
  </w:footnote>
  <w:footnote w:id="1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بطلان القیاس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ش</w:t>
      </w:r>
      <w:r>
        <w:rPr>
          <w:rFonts w:eastAsia="IRNazanin" w:cs="IRNazanin"/>
          <w:b w:val="false"/>
          <w:bCs w:val="false"/>
          <w:i w:val="false"/>
          <w:iCs w:val="false"/>
          <w:color w:val="333333"/>
          <w:sz w:val="20"/>
          <w:szCs w:val="20"/>
          <w:rtl w:val="true"/>
        </w:rPr>
        <w:t>) .</w:t>
      </w:r>
    </w:p>
  </w:footnote>
  <w:footnote w:id="1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اللآلئ </w:t>
      </w:r>
      <w:r>
        <w:rPr>
          <w:rFonts w:eastAsia="IRNazanin" w:cs="IRNazanin"/>
          <w:b w:val="false"/>
          <w:bCs w:val="false"/>
          <w:i w:val="false"/>
          <w:iCs w:val="false"/>
          <w:color w:val="333333"/>
          <w:sz w:val="20"/>
          <w:szCs w:val="20"/>
        </w:rPr>
        <w:t>1:260</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2:577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النکاح</w:t>
      </w:r>
      <w:r>
        <w:rPr>
          <w:rFonts w:eastAsia="IRNazanin" w:cs="IRNazanin"/>
          <w:b w:val="false"/>
          <w:bCs w:val="false"/>
          <w:i w:val="false"/>
          <w:iCs w:val="false"/>
          <w:color w:val="333333"/>
          <w:sz w:val="20"/>
          <w:szCs w:val="20"/>
          <w:rtl w:val="true"/>
        </w:rPr>
        <w:t>.</w:t>
      </w:r>
    </w:p>
  </w:footnote>
  <w:footnote w:id="1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طریق ما روی عن أبی جعفر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أبی جمیلة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ضعیف کذّاب یضع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طریق ما روی عن أبی عبد اللّٰه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طلحة بن زید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بتریّ عامّی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فهارس المسالک </w:t>
      </w:r>
      <w:r>
        <w:rPr>
          <w:rFonts w:eastAsia="IRNazanin" w:cs="IRNazanin"/>
          <w:b w:val="false"/>
          <w:bCs w:val="false"/>
          <w:i w:val="false"/>
          <w:iCs w:val="false"/>
          <w:color w:val="333333"/>
          <w:sz w:val="20"/>
          <w:szCs w:val="20"/>
        </w:rPr>
        <w:t>16:297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18:574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نکاح البهائم، الحدیث الأوّل</w:t>
      </w:r>
      <w:r>
        <w:rPr>
          <w:rFonts w:eastAsia="IRNazanin" w:cs="IRNazanin"/>
          <w:b w:val="false"/>
          <w:bCs w:val="false"/>
          <w:i w:val="false"/>
          <w:iCs w:val="false"/>
          <w:color w:val="333333"/>
          <w:sz w:val="20"/>
          <w:szCs w:val="20"/>
          <w:rtl w:val="true"/>
        </w:rPr>
        <w:t>.</w:t>
      </w:r>
    </w:p>
  </w:footnote>
  <w:footnote w:id="1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المتقدّم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575</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إقرار العقلاء علی أنفسهم جائز، وقد تقدّم فی الصفحة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الهامش 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3:471</w:t>
      </w:r>
      <w:r>
        <w:rPr>
          <w:rFonts w:eastAsia="IRNazanin" w:cs="IRNazanin"/>
          <w:b w:val="false"/>
          <w:bCs w:val="false"/>
          <w:i w:val="false"/>
          <w:iCs w:val="false"/>
          <w:color w:val="333333"/>
          <w:sz w:val="20"/>
          <w:szCs w:val="20"/>
          <w:rtl w:val="true"/>
        </w:rPr>
        <w:t>.</w:t>
      </w:r>
    </w:p>
  </w:footnote>
  <w:footnote w:id="1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بنیّته</w:t>
      </w:r>
      <w:r>
        <w:rPr>
          <w:rFonts w:eastAsia="IRNazanin" w:cs="IRNazanin"/>
          <w:b w:val="false"/>
          <w:bCs w:val="false"/>
          <w:i w:val="false"/>
          <w:iCs w:val="false"/>
          <w:color w:val="333333"/>
          <w:sz w:val="20"/>
          <w:szCs w:val="20"/>
          <w:rtl w:val="true"/>
        </w:rPr>
        <w:t>.</w:t>
      </w:r>
    </w:p>
  </w:footnote>
  <w:footnote w:id="1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مغنی المحتاج </w:t>
      </w:r>
      <w:r>
        <w:rPr>
          <w:rFonts w:eastAsia="IRNazanin" w:cs="IRNazanin"/>
          <w:b w:val="false"/>
          <w:bCs w:val="false"/>
          <w:i w:val="false"/>
          <w:iCs w:val="false"/>
          <w:color w:val="333333"/>
          <w:sz w:val="20"/>
          <w:szCs w:val="20"/>
        </w:rPr>
        <w:t>4:136</w:t>
      </w:r>
      <w:r>
        <w:rPr>
          <w:rFonts w:eastAsia="IRNazanin" w:cs="IRNazanin"/>
          <w:b w:val="false"/>
          <w:bCs w:val="false"/>
          <w:i w:val="false"/>
          <w:iCs w:val="false"/>
          <w:color w:val="333333"/>
          <w:sz w:val="20"/>
          <w:szCs w:val="20"/>
          <w:rtl w:val="true"/>
        </w:rPr>
        <w:t>.</w:t>
      </w:r>
    </w:p>
  </w:footnote>
  <w:footnote w:id="1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کالمحقّق فی الشرائع </w:t>
      </w:r>
      <w:r>
        <w:rPr>
          <w:rFonts w:eastAsia="IRNazanin" w:cs="IRNazanin"/>
          <w:b w:val="false"/>
          <w:bCs w:val="false"/>
          <w:i w:val="false"/>
          <w:iCs w:val="false"/>
          <w:color w:val="333333"/>
          <w:sz w:val="20"/>
          <w:szCs w:val="20"/>
        </w:rPr>
        <w:t>4:171</w:t>
      </w:r>
      <w:r>
        <w:rPr>
          <w:rFonts w:ascii="IRNazanin" w:hAnsi="IRNazanin" w:eastAsia="IRNazanin"/>
          <w:b w:val="false"/>
          <w:b w:val="false"/>
          <w:bCs w:val="false"/>
          <w:i w:val="false"/>
          <w:i w:val="false"/>
          <w:iCs w:val="false"/>
          <w:color w:val="333333"/>
          <w:sz w:val="20"/>
          <w:sz w:val="20"/>
          <w:szCs w:val="20"/>
          <w:rtl w:val="true"/>
        </w:rPr>
        <w:t xml:space="preserve">، والعلّامة فی القواعد </w:t>
      </w:r>
      <w:r>
        <w:rPr>
          <w:rFonts w:eastAsia="IRNazanin" w:cs="IRNazanin"/>
          <w:b w:val="false"/>
          <w:bCs w:val="false"/>
          <w:i w:val="false"/>
          <w:iCs w:val="false"/>
          <w:color w:val="333333"/>
          <w:sz w:val="20"/>
          <w:szCs w:val="20"/>
        </w:rPr>
        <w:t>3:553</w:t>
      </w:r>
      <w:r>
        <w:rPr>
          <w:rFonts w:ascii="IRNazanin" w:hAnsi="IRNazanin" w:eastAsia="IRNazanin"/>
          <w:b w:val="false"/>
          <w:b w:val="false"/>
          <w:bCs w:val="false"/>
          <w:i w:val="false"/>
          <w:i w:val="false"/>
          <w:iCs w:val="false"/>
          <w:color w:val="333333"/>
          <w:sz w:val="20"/>
          <w:sz w:val="20"/>
          <w:szCs w:val="20"/>
          <w:rtl w:val="true"/>
        </w:rPr>
        <w:t xml:space="preserve">، والشهید فی اللمعة، وقد تقدّم فی الصفحة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1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کابن إدریس فی السرائر </w:t>
      </w:r>
      <w:r>
        <w:rPr>
          <w:rFonts w:eastAsia="IRNazanin" w:cs="IRNazanin"/>
          <w:b w:val="false"/>
          <w:bCs w:val="false"/>
          <w:i w:val="false"/>
          <w:iCs w:val="false"/>
          <w:color w:val="333333"/>
          <w:sz w:val="20"/>
          <w:szCs w:val="20"/>
        </w:rPr>
        <w:t>3:476</w:t>
      </w:r>
      <w:r>
        <w:rPr>
          <w:rFonts w:ascii="IRNazanin" w:hAnsi="IRNazanin" w:eastAsia="IRNazanin"/>
          <w:b w:val="false"/>
          <w:b w:val="false"/>
          <w:bCs w:val="false"/>
          <w:i w:val="false"/>
          <w:i w:val="false"/>
          <w:iCs w:val="false"/>
          <w:color w:val="333333"/>
          <w:sz w:val="20"/>
          <w:sz w:val="20"/>
          <w:szCs w:val="20"/>
          <w:rtl w:val="true"/>
        </w:rPr>
        <w:t xml:space="preserve">، والسیوری فی التنقیح الرائع </w:t>
      </w:r>
      <w:r>
        <w:rPr>
          <w:rFonts w:eastAsia="IRNazanin" w:cs="IRNazanin"/>
          <w:b w:val="false"/>
          <w:bCs w:val="false"/>
          <w:i w:val="false"/>
          <w:iCs w:val="false"/>
          <w:color w:val="333333"/>
          <w:sz w:val="20"/>
          <w:szCs w:val="20"/>
        </w:rPr>
        <w:t>4:371</w:t>
      </w:r>
      <w:r>
        <w:rPr>
          <w:rFonts w:ascii="IRNazanin" w:hAnsi="IRNazanin" w:eastAsia="IRNazanin"/>
          <w:b w:val="false"/>
          <w:b w:val="false"/>
          <w:bCs w:val="false"/>
          <w:i w:val="false"/>
          <w:i w:val="false"/>
          <w:iCs w:val="false"/>
          <w:color w:val="333333"/>
          <w:sz w:val="20"/>
          <w:sz w:val="20"/>
          <w:szCs w:val="20"/>
          <w:rtl w:val="true"/>
        </w:rPr>
        <w:t xml:space="preserve">، والشهید فی غایة المراد </w:t>
      </w:r>
      <w:r>
        <w:rPr>
          <w:rFonts w:eastAsia="IRNazanin" w:cs="IRNazanin"/>
          <w:b w:val="false"/>
          <w:bCs w:val="false"/>
          <w:i w:val="false"/>
          <w:iCs w:val="false"/>
          <w:color w:val="333333"/>
          <w:sz w:val="20"/>
          <w:szCs w:val="20"/>
        </w:rPr>
        <w:t>4:241</w:t>
      </w:r>
      <w:r>
        <w:rPr>
          <w:rFonts w:eastAsia="IRNazanin" w:cs="IRNazanin"/>
          <w:b w:val="false"/>
          <w:bCs w:val="false"/>
          <w:i w:val="false"/>
          <w:iCs w:val="false"/>
          <w:color w:val="333333"/>
          <w:sz w:val="20"/>
          <w:szCs w:val="20"/>
          <w:rtl w:val="true"/>
        </w:rPr>
        <w:t>.</w:t>
      </w:r>
    </w:p>
  </w:footnote>
  <w:footnote w:id="1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w:t>
      </w:r>
      <w:r>
        <w:rPr>
          <w:rFonts w:eastAsia="IRNazanin" w:cs="IRNazanin"/>
          <w:b w:val="false"/>
          <w:bCs w:val="false"/>
          <w:i w:val="false"/>
          <w:iCs w:val="false"/>
          <w:color w:val="333333"/>
          <w:sz w:val="20"/>
          <w:szCs w:val="20"/>
        </w:rPr>
        <w:t>18:163</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حدّ المرتدّ،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18:544</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حدّ المرتدّ،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المتقدّم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545</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ولیس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فلا تقربه</w:t>
      </w:r>
      <w:r>
        <w:rPr>
          <w:rFonts w:eastAsia="IRNazanin" w:cs="IRNazanin"/>
          <w:b w:val="false"/>
          <w:bCs w:val="false"/>
          <w:i w:val="false"/>
          <w:iCs w:val="false"/>
          <w:color w:val="333333"/>
          <w:sz w:val="20"/>
          <w:szCs w:val="20"/>
          <w:rtl w:val="true"/>
        </w:rPr>
        <w:t>» .</w:t>
      </w:r>
    </w:p>
  </w:footnote>
  <w:footnote w:id="1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الشهید فی الدروس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1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القتل، وبینونة الزوجة، وتقسیم الترکة</w:t>
      </w:r>
      <w:r>
        <w:rPr>
          <w:rFonts w:eastAsia="IRNazanin" w:cs="IRNazanin"/>
          <w:b w:val="false"/>
          <w:bCs w:val="false"/>
          <w:i w:val="false"/>
          <w:iCs w:val="false"/>
          <w:color w:val="333333"/>
          <w:sz w:val="20"/>
          <w:szCs w:val="20"/>
          <w:rtl w:val="true"/>
        </w:rPr>
        <w:t>.</w:t>
      </w:r>
    </w:p>
  </w:footnote>
  <w:footnote w:id="1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إطلاق روایة عمّار</w:t>
      </w:r>
      <w:r>
        <w:rPr>
          <w:rFonts w:eastAsia="IRNazanin" w:cs="IRNazanin"/>
          <w:b w:val="false"/>
          <w:bCs w:val="false"/>
          <w:i w:val="false"/>
          <w:iCs w:val="false"/>
          <w:color w:val="333333"/>
          <w:sz w:val="20"/>
          <w:szCs w:val="20"/>
          <w:rtl w:val="true"/>
        </w:rPr>
        <w:t>.</w:t>
      </w:r>
    </w:p>
  </w:footnote>
  <w:footnote w:id="1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منشؤهما کون سبب الانتقال هو الارتداد، فیکون المعتبر هو الوارث عنده وأنّ التکسّب تمام سبب الملک فیعتبر الوارث عنده، ویظهر الفائدة فیما لو کان للمرتدّ ولدان عند الارتداد ومات أحدهما عن ولد قبل التکسّب، فعلی الأوّل یکون المال المکتسب بین الولد وعمّه، وعلی الثانی یختصّ به العمّ؛ لأنّه الوارث حینئذٍ کما لو ارتدّ عن ولد وولد ولد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 .</w:t>
      </w:r>
    </w:p>
  </w:footnote>
  <w:footnote w:id="1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18:548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المرتدّ،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طریقه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الحسن بن شمّون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غالٍ ضعیف فاسد المذهب، راجع المسالک </w:t>
      </w:r>
      <w:r>
        <w:rPr>
          <w:rFonts w:eastAsia="IRNazanin" w:cs="IRNazanin"/>
          <w:b w:val="false"/>
          <w:bCs w:val="false"/>
          <w:i w:val="false"/>
          <w:iCs w:val="false"/>
          <w:color w:val="333333"/>
          <w:sz w:val="20"/>
          <w:szCs w:val="20"/>
        </w:rPr>
        <w:t>11:165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15:410</w:t>
      </w:r>
      <w:r>
        <w:rPr>
          <w:rFonts w:eastAsia="IRNazanin" w:cs="IRNazanin"/>
          <w:b w:val="false"/>
          <w:bCs w:val="false"/>
          <w:i w:val="false"/>
          <w:iCs w:val="false"/>
          <w:color w:val="333333"/>
          <w:sz w:val="20"/>
          <w:szCs w:val="20"/>
          <w:rtl w:val="true"/>
        </w:rPr>
        <w:t>.</w:t>
      </w:r>
    </w:p>
  </w:footnote>
  <w:footnote w:id="1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أوائل المیراث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لتنزیله منزلة المسلم فی کثیر من الأحکام، کقضاء عباداته الفائتة زمن الردّة، راجع الصفحة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الشرح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فالإمام</w:t>
      </w:r>
      <w:r>
        <w:rPr>
          <w:rFonts w:eastAsia="IRNazanin" w:cs="IRNazanin"/>
          <w:b w:val="false"/>
          <w:bCs w:val="false"/>
          <w:i w:val="false"/>
          <w:iCs w:val="false"/>
          <w:color w:val="333333"/>
          <w:sz w:val="20"/>
          <w:szCs w:val="20"/>
          <w:rtl w:val="true"/>
        </w:rPr>
        <w:t>.</w:t>
      </w:r>
    </w:p>
  </w:footnote>
  <w:footnote w:id="1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الشرح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أخشب</w:t>
      </w:r>
      <w:r>
        <w:rPr>
          <w:rFonts w:eastAsia="IRNazanin" w:cs="IRNazanin"/>
          <w:b w:val="false"/>
          <w:bCs w:val="false"/>
          <w:i w:val="false"/>
          <w:iCs w:val="false"/>
          <w:color w:val="333333"/>
          <w:sz w:val="20"/>
          <w:szCs w:val="20"/>
          <w:rtl w:val="true"/>
        </w:rPr>
        <w:t>.</w:t>
      </w:r>
    </w:p>
  </w:footnote>
  <w:footnote w:id="1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لابن الأثیر </w:t>
      </w:r>
      <w:r>
        <w:rPr>
          <w:rFonts w:eastAsia="IRNazanin" w:cs="IRNazanin"/>
          <w:b w:val="false"/>
          <w:bCs w:val="false"/>
          <w:i w:val="false"/>
          <w:iCs w:val="false"/>
          <w:color w:val="333333"/>
          <w:sz w:val="20"/>
          <w:szCs w:val="20"/>
        </w:rPr>
        <w:t>1:272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جشب</w:t>
      </w:r>
      <w:r>
        <w:rPr>
          <w:rFonts w:eastAsia="IRNazanin" w:cs="IRNazanin"/>
          <w:b w:val="false"/>
          <w:bCs w:val="false"/>
          <w:i w:val="false"/>
          <w:iCs w:val="false"/>
          <w:color w:val="333333"/>
          <w:sz w:val="20"/>
          <w:szCs w:val="20"/>
          <w:rtl w:val="true"/>
        </w:rPr>
        <w:t>) .</w:t>
      </w:r>
    </w:p>
  </w:footnote>
  <w:footnote w:id="1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Pr>
        <w:t>18:549</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من‌أبواب حدّ المرتدّ، ذیل الحدیث‌الأوّل، وفیه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أخشن‌الثیاب</w:t>
      </w:r>
      <w:r>
        <w:rPr>
          <w:rFonts w:eastAsia="IRNazanin" w:cs="IRNazanin"/>
          <w:b w:val="false"/>
          <w:bCs w:val="false"/>
          <w:i w:val="false"/>
          <w:iCs w:val="false"/>
          <w:color w:val="333333"/>
          <w:sz w:val="20"/>
          <w:szCs w:val="20"/>
          <w:rtl w:val="true"/>
        </w:rPr>
        <w:t>» .</w:t>
      </w:r>
    </w:p>
  </w:footnote>
  <w:footnote w:id="1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المتقدّم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550</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اللواط فی الصفحة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الشرب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 أم لا</w:t>
      </w:r>
      <w:r>
        <w:rPr>
          <w:rFonts w:eastAsia="IRNazanin" w:cs="IRNazanin"/>
          <w:b w:val="false"/>
          <w:bCs w:val="false"/>
          <w:i w:val="false"/>
          <w:iCs w:val="false"/>
          <w:color w:val="333333"/>
          <w:sz w:val="20"/>
          <w:szCs w:val="20"/>
          <w:rtl w:val="true"/>
        </w:rPr>
        <w:t>.</w:t>
      </w:r>
    </w:p>
  </w:footnote>
  <w:footnote w:id="1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العلّامة فی القواعد </w:t>
      </w:r>
      <w:r>
        <w:rPr>
          <w:rFonts w:eastAsia="IRNazanin" w:cs="IRNazanin"/>
          <w:b w:val="false"/>
          <w:bCs w:val="false"/>
          <w:i w:val="false"/>
          <w:iCs w:val="false"/>
          <w:color w:val="333333"/>
          <w:sz w:val="20"/>
          <w:szCs w:val="20"/>
        </w:rPr>
        <w:t>3:578</w:t>
      </w:r>
      <w:r>
        <w:rPr>
          <w:rFonts w:eastAsia="IRNazanin" w:cs="IRNazanin"/>
          <w:b w:val="false"/>
          <w:bCs w:val="false"/>
          <w:i w:val="false"/>
          <w:iCs w:val="false"/>
          <w:color w:val="333333"/>
          <w:sz w:val="20"/>
          <w:szCs w:val="20"/>
          <w:rtl w:val="true"/>
        </w:rPr>
        <w:t>.</w:t>
      </w:r>
    </w:p>
  </w:footnote>
  <w:footnote w:id="1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التحریر </w:t>
      </w:r>
      <w:r>
        <w:rPr>
          <w:rFonts w:eastAsia="IRNazanin" w:cs="IRNazanin"/>
          <w:b w:val="false"/>
          <w:bCs w:val="false"/>
          <w:i w:val="false"/>
          <w:iCs w:val="false"/>
          <w:color w:val="333333"/>
          <w:sz w:val="20"/>
          <w:szCs w:val="20"/>
        </w:rPr>
        <w:t>5:392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1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3:578</w:t>
      </w:r>
      <w:r>
        <w:rPr>
          <w:rFonts w:eastAsia="IRNazanin" w:cs="IRNazanin"/>
          <w:b w:val="false"/>
          <w:bCs w:val="false"/>
          <w:i w:val="false"/>
          <w:iCs w:val="false"/>
          <w:color w:val="333333"/>
          <w:sz w:val="20"/>
          <w:szCs w:val="20"/>
          <w:rtl w:val="true"/>
        </w:rPr>
        <w:t>.</w:t>
      </w:r>
    </w:p>
  </w:footnote>
  <w:footnote w:id="1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بقاء الولایة</w:t>
      </w:r>
      <w:r>
        <w:rPr>
          <w:rFonts w:eastAsia="IRNazanin" w:cs="IRNazanin"/>
          <w:b w:val="false"/>
          <w:bCs w:val="false"/>
          <w:i w:val="false"/>
          <w:iCs w:val="false"/>
          <w:color w:val="333333"/>
          <w:sz w:val="20"/>
          <w:szCs w:val="20"/>
          <w:rtl w:val="true"/>
        </w:rPr>
        <w:t>.</w:t>
      </w:r>
    </w:p>
  </w:footnote>
  <w:footnote w:id="1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ومن العقوبات المتفرّقة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یخفی عدم ملاءمة العطف إلّابتأویل</w:t>
      </w:r>
      <w:r>
        <w:rPr>
          <w:rFonts w:eastAsia="IRNazanin" w:cs="IRNazanin"/>
          <w:b w:val="false"/>
          <w:bCs w:val="false"/>
          <w:i w:val="false"/>
          <w:iCs w:val="false"/>
          <w:color w:val="333333"/>
          <w:sz w:val="20"/>
          <w:szCs w:val="20"/>
          <w:rtl w:val="true"/>
        </w:rPr>
        <w:t>.</w:t>
      </w:r>
    </w:p>
  </w:footnote>
  <w:footnote w:id="1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تعطیل قواه عن الحرکة</w:t>
      </w:r>
      <w:r>
        <w:rPr>
          <w:rFonts w:eastAsia="IRNazanin" w:cs="IRNazanin"/>
          <w:b w:val="false"/>
          <w:bCs w:val="false"/>
          <w:i w:val="false"/>
          <w:iCs w:val="false"/>
          <w:color w:val="333333"/>
          <w:sz w:val="20"/>
          <w:szCs w:val="20"/>
          <w:rtl w:val="true"/>
        </w:rPr>
        <w:t>.</w:t>
      </w:r>
    </w:p>
  </w:footnote>
  <w:footnote w:id="1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دفّف الجریحَ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أجهز علیه وأتمّ قتله</w:t>
      </w:r>
      <w:r>
        <w:rPr>
          <w:rFonts w:eastAsia="IRNazanin" w:cs="IRNazanin"/>
          <w:b w:val="false"/>
          <w:bCs w:val="false"/>
          <w:i w:val="false"/>
          <w:iCs w:val="false"/>
          <w:color w:val="333333"/>
          <w:sz w:val="20"/>
          <w:szCs w:val="20"/>
          <w:rtl w:val="true"/>
        </w:rPr>
        <w:t>.</w:t>
      </w:r>
    </w:p>
  </w:footnote>
  <w:footnote w:id="1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مملوکه</w:t>
      </w:r>
      <w:r>
        <w:rPr>
          <w:rFonts w:eastAsia="IRNazanin" w:cs="IRNazanin"/>
          <w:b w:val="false"/>
          <w:bCs w:val="false"/>
          <w:i w:val="false"/>
          <w:iCs w:val="false"/>
          <w:color w:val="333333"/>
          <w:sz w:val="20"/>
          <w:szCs w:val="20"/>
          <w:rtl w:val="true"/>
        </w:rPr>
        <w:t>.</w:t>
      </w:r>
    </w:p>
  </w:footnote>
  <w:footnote w:id="1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معتمداً علی الأسهل فالأسهل</w:t>
      </w:r>
      <w:r>
        <w:rPr>
          <w:rFonts w:eastAsia="IRNazanin" w:cs="IRNazanin"/>
          <w:b w:val="false"/>
          <w:bCs w:val="false"/>
          <w:i w:val="false"/>
          <w:iCs w:val="false"/>
          <w:color w:val="333333"/>
          <w:sz w:val="20"/>
          <w:szCs w:val="20"/>
          <w:rtl w:val="true"/>
        </w:rPr>
        <w:t>.</w:t>
      </w:r>
    </w:p>
  </w:footnote>
  <w:footnote w:id="1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غیر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w:t>
      </w:r>
    </w:p>
  </w:footnote>
  <w:footnote w:id="1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تکون</w:t>
      </w:r>
      <w:r>
        <w:rPr>
          <w:rFonts w:eastAsia="IRNazanin" w:cs="IRNazanin"/>
          <w:b w:val="false"/>
          <w:bCs w:val="false"/>
          <w:i w:val="false"/>
          <w:iCs w:val="false"/>
          <w:color w:val="333333"/>
          <w:sz w:val="20"/>
          <w:szCs w:val="20"/>
          <w:rtl w:val="true"/>
        </w:rPr>
        <w:t>.</w:t>
      </w:r>
    </w:p>
  </w:footnote>
  <w:footnote w:id="1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التدریج</w:t>
      </w:r>
      <w:r>
        <w:rPr>
          <w:rFonts w:eastAsia="IRNazanin" w:cs="IRNazanin"/>
          <w:b w:val="false"/>
          <w:bCs w:val="false"/>
          <w:i w:val="false"/>
          <w:iCs w:val="false"/>
          <w:color w:val="333333"/>
          <w:sz w:val="20"/>
          <w:szCs w:val="20"/>
          <w:rtl w:val="true"/>
        </w:rPr>
        <w:t>.</w:t>
      </w:r>
    </w:p>
  </w:footnote>
  <w:footnote w:id="1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4:1493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زهق</w:t>
      </w:r>
      <w:r>
        <w:rPr>
          <w:rFonts w:eastAsia="IRNazanin" w:cs="IRNazanin"/>
          <w:b w:val="false"/>
          <w:bCs w:val="false"/>
          <w:i w:val="false"/>
          <w:iCs w:val="false"/>
          <w:color w:val="333333"/>
          <w:sz w:val="20"/>
          <w:szCs w:val="20"/>
          <w:rtl w:val="true"/>
        </w:rPr>
        <w:t>) .</w:t>
      </w:r>
    </w:p>
  </w:footnote>
  <w:footnote w:id="1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شرحی الإشارات، النمط السابع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إتلافه</w:t>
      </w:r>
      <w:r>
        <w:rPr>
          <w:rFonts w:eastAsia="IRNazanin" w:cs="IRNazanin"/>
          <w:b w:val="false"/>
          <w:bCs w:val="false"/>
          <w:i w:val="false"/>
          <w:iCs w:val="false"/>
          <w:color w:val="333333"/>
          <w:sz w:val="20"/>
          <w:szCs w:val="20"/>
          <w:rtl w:val="true"/>
        </w:rPr>
        <w:t>.</w:t>
      </w:r>
    </w:p>
  </w:footnote>
  <w:footnote w:id="1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اللغة </w:t>
      </w:r>
      <w:r>
        <w:rPr>
          <w:rFonts w:eastAsia="IRNazanin" w:cs="IRNazanin"/>
          <w:b w:val="false"/>
          <w:bCs w:val="false"/>
          <w:i w:val="false"/>
          <w:iCs w:val="false"/>
          <w:color w:val="333333"/>
          <w:sz w:val="20"/>
          <w:szCs w:val="20"/>
        </w:rPr>
        <w:t>9:247</w:t>
      </w:r>
      <w:r>
        <w:rPr>
          <w:rFonts w:ascii="IRNazanin" w:hAnsi="IRNazanin" w:eastAsia="IRNazanin"/>
          <w:b w:val="false"/>
          <w:b w:val="false"/>
          <w:bCs w:val="false"/>
          <w:i w:val="false"/>
          <w:i w:val="false"/>
          <w:iCs w:val="false"/>
          <w:color w:val="333333"/>
          <w:sz w:val="20"/>
          <w:sz w:val="20"/>
          <w:szCs w:val="20"/>
          <w:rtl w:val="true"/>
        </w:rPr>
        <w:t>، وفیه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الحبل الذی تقاد به الدابّة</w:t>
      </w:r>
      <w:r>
        <w:rPr>
          <w:rFonts w:eastAsia="IRNazanin" w:cs="IRNazanin"/>
          <w:b w:val="false"/>
          <w:bCs w:val="false"/>
          <w:i w:val="false"/>
          <w:iCs w:val="false"/>
          <w:color w:val="333333"/>
          <w:sz w:val="20"/>
          <w:szCs w:val="20"/>
          <w:rtl w:val="true"/>
        </w:rPr>
        <w:t>.</w:t>
      </w:r>
    </w:p>
  </w:footnote>
  <w:footnote w:id="1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المحقّق فی المختصر النافع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فی الشرائع </w:t>
      </w:r>
      <w:r>
        <w:rPr>
          <w:rFonts w:eastAsia="IRNazanin" w:cs="IRNazanin"/>
          <w:b w:val="false"/>
          <w:bCs w:val="false"/>
          <w:i w:val="false"/>
          <w:iCs w:val="false"/>
          <w:color w:val="333333"/>
          <w:sz w:val="20"/>
          <w:szCs w:val="20"/>
        </w:rPr>
        <w:t>4:195</w:t>
      </w:r>
      <w:r>
        <w:rPr>
          <w:rFonts w:ascii="IRNazanin" w:hAnsi="IRNazanin" w:eastAsia="IRNazanin"/>
          <w:b w:val="false"/>
          <w:b w:val="false"/>
          <w:bCs w:val="false"/>
          <w:i w:val="false"/>
          <w:i w:val="false"/>
          <w:iCs w:val="false"/>
          <w:color w:val="333333"/>
          <w:sz w:val="20"/>
          <w:sz w:val="20"/>
          <w:szCs w:val="20"/>
          <w:rtl w:val="true"/>
        </w:rPr>
        <w:t xml:space="preserve">، والعلّامة فی القواعد </w:t>
      </w:r>
      <w:r>
        <w:rPr>
          <w:rFonts w:eastAsia="IRNazanin" w:cs="IRNazanin"/>
          <w:b w:val="false"/>
          <w:bCs w:val="false"/>
          <w:i w:val="false"/>
          <w:iCs w:val="false"/>
          <w:color w:val="333333"/>
          <w:sz w:val="20"/>
          <w:szCs w:val="20"/>
        </w:rPr>
        <w:t>3:582</w:t>
      </w:r>
      <w:r>
        <w:rPr>
          <w:rFonts w:eastAsia="IRNazanin" w:cs="IRNazanin"/>
          <w:b w:val="false"/>
          <w:bCs w:val="false"/>
          <w:i w:val="false"/>
          <w:iCs w:val="false"/>
          <w:color w:val="333333"/>
          <w:sz w:val="20"/>
          <w:szCs w:val="20"/>
          <w:rtl w:val="true"/>
        </w:rPr>
        <w:t>.</w:t>
      </w:r>
    </w:p>
  </w:footnote>
  <w:footnote w:id="1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الآیة الشریفة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یَقْتُلْ مُؤْمِناً مُتَعَمِّداً فَجَزٰاؤُهُ جَهَنَّمُ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وما فی الوسائل </w:t>
      </w:r>
      <w:r>
        <w:rPr>
          <w:rFonts w:eastAsia="IRNazanin" w:cs="IRNazanin"/>
          <w:b w:val="false"/>
          <w:bCs w:val="false"/>
          <w:i w:val="false"/>
          <w:iCs w:val="false"/>
          <w:color w:val="333333"/>
          <w:sz w:val="20"/>
          <w:szCs w:val="20"/>
        </w:rPr>
        <w:t>19:23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القصاص فی النفس</w:t>
      </w:r>
      <w:r>
        <w:rPr>
          <w:rFonts w:eastAsia="IRNazanin" w:cs="IRNazanin"/>
          <w:b w:val="false"/>
          <w:bCs w:val="false"/>
          <w:i w:val="false"/>
          <w:iCs w:val="false"/>
          <w:color w:val="333333"/>
          <w:sz w:val="20"/>
          <w:szCs w:val="20"/>
          <w:rtl w:val="true"/>
        </w:rPr>
        <w:t>.</w:t>
      </w:r>
    </w:p>
  </w:footnote>
  <w:footnote w:id="1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7:16</w:t>
      </w:r>
      <w:r>
        <w:rPr>
          <w:rFonts w:eastAsia="IRNazanin" w:cs="IRNazanin"/>
          <w:b w:val="false"/>
          <w:bCs w:val="false"/>
          <w:i w:val="false"/>
          <w:iCs w:val="false"/>
          <w:color w:val="333333"/>
          <w:sz w:val="20"/>
          <w:szCs w:val="20"/>
          <w:rtl w:val="true"/>
        </w:rPr>
        <w:t>.</w:t>
      </w:r>
    </w:p>
  </w:footnote>
  <w:footnote w:id="1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19:24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القصاص فی النفس،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الشهید 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الروایة الاُولی ضعف بعلیّ بن حمزة، وفی الثانیة إرسال، وفی الثالثة فی طریقها محمّد بن عیسی عن یونس، وهو ضعیف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15:68</w:t>
      </w:r>
      <w:r>
        <w:rPr>
          <w:rFonts w:eastAsia="IRNazanin" w:cs="IRNazanin"/>
          <w:b w:val="false"/>
          <w:bCs w:val="false"/>
          <w:i w:val="false"/>
          <w:iCs w:val="false"/>
          <w:color w:val="333333"/>
          <w:sz w:val="20"/>
          <w:szCs w:val="20"/>
          <w:rtl w:val="true"/>
        </w:rPr>
        <w:t>.</w:t>
      </w:r>
    </w:p>
  </w:footnote>
  <w:footnote w:id="1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یحتمل، وکذا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الشرح</w:t>
      </w:r>
      <w:r>
        <w:rPr>
          <w:rFonts w:eastAsia="IRNazanin" w:cs="IRNazanin"/>
          <w:b w:val="false"/>
          <w:bCs w:val="false"/>
          <w:i w:val="false"/>
          <w:iCs w:val="false"/>
          <w:color w:val="333333"/>
          <w:sz w:val="20"/>
          <w:szCs w:val="20"/>
          <w:rtl w:val="true"/>
        </w:rPr>
        <w:t>.</w:t>
      </w:r>
    </w:p>
  </w:footnote>
  <w:footnote w:id="1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کبس علی الشیء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 وضغط</w:t>
      </w:r>
      <w:r>
        <w:rPr>
          <w:rFonts w:eastAsia="IRNazanin" w:cs="IRNazanin"/>
          <w:b w:val="false"/>
          <w:bCs w:val="false"/>
          <w:i w:val="false"/>
          <w:iCs w:val="false"/>
          <w:color w:val="333333"/>
          <w:sz w:val="20"/>
          <w:szCs w:val="20"/>
          <w:rtl w:val="true"/>
        </w:rPr>
        <w:t>.</w:t>
      </w:r>
    </w:p>
  </w:footnote>
  <w:footnote w:id="1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فرّق بینهما العلّامة فی القواعد </w:t>
      </w:r>
      <w:r>
        <w:rPr>
          <w:rFonts w:eastAsia="IRNazanin" w:cs="IRNazanin"/>
          <w:b w:val="false"/>
          <w:bCs w:val="false"/>
          <w:i w:val="false"/>
          <w:iCs w:val="false"/>
          <w:color w:val="333333"/>
          <w:sz w:val="20"/>
          <w:szCs w:val="20"/>
        </w:rPr>
        <w:t>3:585</w:t>
      </w:r>
      <w:r>
        <w:rPr>
          <w:rFonts w:eastAsia="IRNazanin" w:cs="IRNazanin"/>
          <w:b w:val="false"/>
          <w:bCs w:val="false"/>
          <w:i w:val="false"/>
          <w:iCs w:val="false"/>
          <w:color w:val="333333"/>
          <w:sz w:val="20"/>
          <w:szCs w:val="20"/>
          <w:rtl w:val="true"/>
        </w:rPr>
        <w:t>.</w:t>
      </w:r>
    </w:p>
  </w:footnote>
  <w:footnote w:id="1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الماء والنار</w:t>
      </w:r>
      <w:r>
        <w:rPr>
          <w:rFonts w:eastAsia="IRNazanin" w:cs="IRNazanin"/>
          <w:b w:val="false"/>
          <w:bCs w:val="false"/>
          <w:i w:val="false"/>
          <w:iCs w:val="false"/>
          <w:color w:val="333333"/>
          <w:sz w:val="20"/>
          <w:szCs w:val="20"/>
          <w:rtl w:val="true"/>
        </w:rPr>
        <w:t>.</w:t>
      </w:r>
    </w:p>
  </w:footnote>
  <w:footnote w:id="1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سببیّته</w:t>
      </w:r>
      <w:r>
        <w:rPr>
          <w:rFonts w:eastAsia="IRNazanin" w:cs="IRNazanin"/>
          <w:b w:val="false"/>
          <w:bCs w:val="false"/>
          <w:i w:val="false"/>
          <w:iCs w:val="false"/>
          <w:color w:val="333333"/>
          <w:sz w:val="20"/>
          <w:szCs w:val="20"/>
          <w:rtl w:val="true"/>
        </w:rPr>
        <w:t>.</w:t>
      </w:r>
    </w:p>
  </w:footnote>
  <w:footnote w:id="1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للشیخ فی الخلاف </w:t>
      </w:r>
      <w:r>
        <w:rPr>
          <w:rFonts w:eastAsia="IRNazanin" w:cs="IRNazanin"/>
          <w:b w:val="false"/>
          <w:bCs w:val="false"/>
          <w:i w:val="false"/>
          <w:iCs w:val="false"/>
          <w:color w:val="333333"/>
          <w:sz w:val="20"/>
          <w:szCs w:val="20"/>
        </w:rPr>
        <w:t>5:162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والقاضی فی المهذّب </w:t>
      </w:r>
      <w:r>
        <w:rPr>
          <w:rFonts w:eastAsia="IRNazanin" w:cs="IRNazanin"/>
          <w:b w:val="false"/>
          <w:bCs w:val="false"/>
          <w:i w:val="false"/>
          <w:iCs w:val="false"/>
          <w:color w:val="333333"/>
          <w:sz w:val="20"/>
          <w:szCs w:val="20"/>
        </w:rPr>
        <w:t>2:464</w:t>
      </w:r>
      <w:r>
        <w:rPr>
          <w:rFonts w:ascii="IRNazanin" w:hAnsi="IRNazanin" w:eastAsia="IRNazanin"/>
          <w:b w:val="false"/>
          <w:b w:val="false"/>
          <w:bCs w:val="false"/>
          <w:i w:val="false"/>
          <w:i w:val="false"/>
          <w:iCs w:val="false"/>
          <w:color w:val="333333"/>
          <w:sz w:val="20"/>
          <w:sz w:val="20"/>
          <w:szCs w:val="20"/>
          <w:rtl w:val="true"/>
        </w:rPr>
        <w:t xml:space="preserve">، والعلّامة فی المختلف </w:t>
      </w:r>
      <w:r>
        <w:rPr>
          <w:rFonts w:eastAsia="IRNazanin" w:cs="IRNazanin"/>
          <w:b w:val="false"/>
          <w:bCs w:val="false"/>
          <w:i w:val="false"/>
          <w:iCs w:val="false"/>
          <w:color w:val="333333"/>
          <w:sz w:val="20"/>
          <w:szCs w:val="20"/>
        </w:rPr>
        <w:t>9:460</w:t>
      </w:r>
      <w:r>
        <w:rPr>
          <w:rFonts w:ascii="IRNazanin" w:hAnsi="IRNazanin" w:eastAsia="IRNazanin"/>
          <w:b w:val="false"/>
          <w:b w:val="false"/>
          <w:bCs w:val="false"/>
          <w:i w:val="false"/>
          <w:i w:val="false"/>
          <w:iCs w:val="false"/>
          <w:color w:val="333333"/>
          <w:sz w:val="20"/>
          <w:sz w:val="20"/>
          <w:szCs w:val="20"/>
          <w:rtl w:val="true"/>
        </w:rPr>
        <w:t>، وغیرهم</w:t>
      </w:r>
      <w:r>
        <w:rPr>
          <w:rFonts w:eastAsia="IRNazanin" w:cs="IRNazanin"/>
          <w:b w:val="false"/>
          <w:bCs w:val="false"/>
          <w:i w:val="false"/>
          <w:iCs w:val="false"/>
          <w:color w:val="333333"/>
          <w:sz w:val="20"/>
          <w:szCs w:val="20"/>
          <w:rtl w:val="true"/>
        </w:rPr>
        <w:t>.</w:t>
      </w:r>
    </w:p>
  </w:footnote>
  <w:footnote w:id="1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9:460</w:t>
      </w:r>
      <w:r>
        <w:rPr>
          <w:rFonts w:eastAsia="IRNazanin" w:cs="IRNazanin"/>
          <w:b w:val="false"/>
          <w:bCs w:val="false"/>
          <w:i w:val="false"/>
          <w:iCs w:val="false"/>
          <w:color w:val="333333"/>
          <w:sz w:val="20"/>
          <w:szCs w:val="20"/>
          <w:rtl w:val="true"/>
        </w:rPr>
        <w:t>.</w:t>
      </w:r>
    </w:p>
  </w:footnote>
  <w:footnote w:id="1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 بالقود للشیخ فی الخلاف </w:t>
      </w:r>
      <w:r>
        <w:rPr>
          <w:rFonts w:eastAsia="IRNazanin" w:cs="IRNazanin"/>
          <w:b w:val="false"/>
          <w:bCs w:val="false"/>
          <w:i w:val="false"/>
          <w:iCs w:val="false"/>
          <w:color w:val="333333"/>
          <w:sz w:val="20"/>
          <w:szCs w:val="20"/>
        </w:rPr>
        <w:t>5:162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Pr>
        <w:t>7:19</w:t>
      </w:r>
      <w:r>
        <w:rPr>
          <w:rFonts w:ascii="IRNazanin" w:hAnsi="IRNazanin" w:eastAsia="IRNazanin"/>
          <w:b w:val="false"/>
          <w:b w:val="false"/>
          <w:bCs w:val="false"/>
          <w:i w:val="false"/>
          <w:i w:val="false"/>
          <w:iCs w:val="false"/>
          <w:color w:val="333333"/>
          <w:sz w:val="20"/>
          <w:sz w:val="20"/>
          <w:szCs w:val="20"/>
          <w:rtl w:val="true"/>
        </w:rPr>
        <w:t xml:space="preserve">، واستوجهه العلّامة فی المختلف </w:t>
      </w:r>
      <w:r>
        <w:rPr>
          <w:rFonts w:eastAsia="IRNazanin" w:cs="IRNazanin"/>
          <w:b w:val="false"/>
          <w:bCs w:val="false"/>
          <w:i w:val="false"/>
          <w:iCs w:val="false"/>
          <w:color w:val="333333"/>
          <w:sz w:val="20"/>
          <w:szCs w:val="20"/>
        </w:rPr>
        <w:t>9:460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 بعدم القود للمحقّق فی الشرائع </w:t>
      </w:r>
      <w:r>
        <w:rPr>
          <w:rFonts w:eastAsia="IRNazanin" w:cs="IRNazanin"/>
          <w:b w:val="false"/>
          <w:bCs w:val="false"/>
          <w:i w:val="false"/>
          <w:iCs w:val="false"/>
          <w:color w:val="333333"/>
          <w:sz w:val="20"/>
          <w:szCs w:val="20"/>
        </w:rPr>
        <w:t>4:198</w:t>
      </w:r>
      <w:r>
        <w:rPr>
          <w:rFonts w:eastAsia="IRNazanin" w:cs="IRNazanin"/>
          <w:b w:val="false"/>
          <w:bCs w:val="false"/>
          <w:i w:val="false"/>
          <w:iCs w:val="false"/>
          <w:color w:val="333333"/>
          <w:sz w:val="20"/>
          <w:szCs w:val="20"/>
          <w:rtl w:val="true"/>
        </w:rPr>
        <w:t>.</w:t>
      </w:r>
    </w:p>
  </w:footnote>
  <w:footnote w:id="1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بالعادة</w:t>
      </w:r>
      <w:r>
        <w:rPr>
          <w:rFonts w:eastAsia="IRNazanin" w:cs="IRNazanin"/>
          <w:b w:val="false"/>
          <w:bCs w:val="false"/>
          <w:i w:val="false"/>
          <w:iCs w:val="false"/>
          <w:color w:val="333333"/>
          <w:sz w:val="20"/>
          <w:szCs w:val="20"/>
          <w:rtl w:val="true"/>
        </w:rPr>
        <w:t>.</w:t>
      </w:r>
    </w:p>
  </w:footnote>
  <w:footnote w:id="1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لعدم القصد حینئذٍ إلی القتل به</w:t>
      </w:r>
      <w:r>
        <w:rPr>
          <w:rFonts w:eastAsia="IRNazanin" w:cs="IRNazanin"/>
          <w:b w:val="false"/>
          <w:bCs w:val="false"/>
          <w:i w:val="false"/>
          <w:iCs w:val="false"/>
          <w:color w:val="333333"/>
          <w:sz w:val="20"/>
          <w:szCs w:val="20"/>
          <w:rtl w:val="true"/>
        </w:rPr>
        <w:t>.</w:t>
      </w:r>
    </w:p>
  </w:footnote>
  <w:footnote w:id="1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العمد</w:t>
      </w:r>
      <w:r>
        <w:rPr>
          <w:rFonts w:eastAsia="IRNazanin" w:cs="IRNazanin"/>
          <w:b w:val="false"/>
          <w:bCs w:val="false"/>
          <w:i w:val="false"/>
          <w:iCs w:val="false"/>
          <w:color w:val="333333"/>
          <w:sz w:val="20"/>
          <w:szCs w:val="20"/>
          <w:rtl w:val="true"/>
        </w:rPr>
        <w:t>.</w:t>
      </w:r>
    </w:p>
  </w:footnote>
  <w:footnote w:id="1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19:32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القصاص فی النفس، الحدیث الأوّل</w:t>
      </w:r>
      <w:r>
        <w:rPr>
          <w:rFonts w:eastAsia="IRNazanin" w:cs="IRNazanin"/>
          <w:b w:val="false"/>
          <w:bCs w:val="false"/>
          <w:i w:val="false"/>
          <w:iCs w:val="false"/>
          <w:color w:val="333333"/>
          <w:sz w:val="20"/>
          <w:szCs w:val="20"/>
          <w:rtl w:val="true"/>
        </w:rPr>
        <w:t>.</w:t>
      </w:r>
    </w:p>
  </w:footnote>
  <w:footnote w:id="1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المباشرة</w:t>
      </w:r>
      <w:r>
        <w:rPr>
          <w:rFonts w:eastAsia="IRNazanin" w:cs="IRNazanin"/>
          <w:b w:val="false"/>
          <w:bCs w:val="false"/>
          <w:i w:val="false"/>
          <w:iCs w:val="false"/>
          <w:color w:val="333333"/>
          <w:sz w:val="20"/>
          <w:szCs w:val="20"/>
          <w:rtl w:val="true"/>
        </w:rPr>
        <w:t>.</w:t>
      </w:r>
    </w:p>
  </w:footnote>
  <w:footnote w:id="1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1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تأتی فی الصفحة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1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المخطوطات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w:t>
      </w:r>
      <w:r>
        <w:rPr>
          <w:rFonts w:eastAsia="IRNazanin" w:cs="IRNazanin"/>
          <w:b w:val="false"/>
          <w:bCs w:val="false"/>
          <w:i w:val="false"/>
          <w:iCs w:val="false"/>
          <w:color w:val="333333"/>
          <w:sz w:val="20"/>
          <w:szCs w:val="20"/>
          <w:rtl w:val="true"/>
        </w:rPr>
        <w:t>.</w:t>
      </w:r>
    </w:p>
  </w:footnote>
  <w:footnote w:id="1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الذی لم یُقتل</w:t>
      </w:r>
      <w:r>
        <w:rPr>
          <w:rFonts w:eastAsia="IRNazanin" w:cs="IRNazanin"/>
          <w:b w:val="false"/>
          <w:bCs w:val="false"/>
          <w:i w:val="false"/>
          <w:iCs w:val="false"/>
          <w:color w:val="333333"/>
          <w:sz w:val="20"/>
          <w:szCs w:val="20"/>
          <w:rtl w:val="true"/>
        </w:rPr>
        <w:t>.</w:t>
      </w:r>
    </w:p>
  </w:footnote>
  <w:footnote w:id="1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w:t>
      </w:r>
    </w:p>
  </w:footnote>
  <w:footnote w:id="1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 کان</w:t>
      </w:r>
      <w:r>
        <w:rPr>
          <w:rFonts w:eastAsia="IRNazanin" w:cs="IRNazanin"/>
          <w:b w:val="false"/>
          <w:bCs w:val="false"/>
          <w:i w:val="false"/>
          <w:iCs w:val="false"/>
          <w:color w:val="333333"/>
          <w:sz w:val="20"/>
          <w:szCs w:val="20"/>
          <w:rtl w:val="true"/>
        </w:rPr>
        <w:t>.</w:t>
      </w:r>
    </w:p>
  </w:footnote>
  <w:footnote w:id="1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المولی</w:t>
      </w:r>
      <w:r>
        <w:rPr>
          <w:rFonts w:eastAsia="IRNazanin" w:cs="IRNazanin"/>
          <w:b w:val="false"/>
          <w:bCs w:val="false"/>
          <w:i w:val="false"/>
          <w:iCs w:val="false"/>
          <w:color w:val="333333"/>
          <w:sz w:val="20"/>
          <w:szCs w:val="20"/>
          <w:rtl w:val="true"/>
        </w:rPr>
        <w:t>.</w:t>
      </w:r>
    </w:p>
  </w:footnote>
  <w:footnote w:id="1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 قول الشیخ فی 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745</w:t>
      </w:r>
      <w:r>
        <w:rPr>
          <w:rFonts w:ascii="IRNazanin" w:hAnsi="IRNazanin" w:eastAsia="IRNazanin"/>
          <w:b w:val="false"/>
          <w:b w:val="false"/>
          <w:bCs w:val="false"/>
          <w:i w:val="false"/>
          <w:i w:val="false"/>
          <w:iCs w:val="false"/>
          <w:color w:val="333333"/>
          <w:sz w:val="20"/>
          <w:sz w:val="20"/>
          <w:szCs w:val="20"/>
          <w:rtl w:val="true"/>
        </w:rPr>
        <w:t xml:space="preserve">، والقاضی فی المهذّب </w:t>
      </w:r>
      <w:r>
        <w:rPr>
          <w:rFonts w:eastAsia="IRNazanin" w:cs="IRNazanin"/>
          <w:b w:val="false"/>
          <w:bCs w:val="false"/>
          <w:i w:val="false"/>
          <w:iCs w:val="false"/>
          <w:color w:val="333333"/>
          <w:sz w:val="20"/>
          <w:szCs w:val="20"/>
        </w:rPr>
        <w:t>2:468</w:t>
      </w:r>
      <w:r>
        <w:rPr>
          <w:rFonts w:ascii="IRNazanin" w:hAnsi="IRNazanin" w:eastAsia="IRNazanin"/>
          <w:b w:val="false"/>
          <w:b w:val="false"/>
          <w:bCs w:val="false"/>
          <w:i w:val="false"/>
          <w:i w:val="false"/>
          <w:iCs w:val="false"/>
          <w:color w:val="333333"/>
          <w:sz w:val="20"/>
          <w:sz w:val="20"/>
          <w:szCs w:val="20"/>
          <w:rtl w:val="true"/>
        </w:rPr>
        <w:t>، ومنها قول أبی الصلاح فی 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للتفصیل المسالک </w:t>
      </w:r>
      <w:r>
        <w:rPr>
          <w:rFonts w:eastAsia="IRNazanin" w:cs="IRNazanin"/>
          <w:b w:val="false"/>
          <w:bCs w:val="false"/>
          <w:i w:val="false"/>
          <w:iCs w:val="false"/>
          <w:color w:val="333333"/>
          <w:sz w:val="20"/>
          <w:szCs w:val="20"/>
        </w:rPr>
        <w:t>15:107</w:t>
      </w:r>
      <w:r>
        <w:rPr>
          <w:rFonts w:eastAsia="IRNazanin" w:cs="IRNazanin"/>
          <w:b w:val="false"/>
          <w:bCs w:val="false"/>
          <w:i w:val="false"/>
          <w:iCs w:val="false"/>
          <w:color w:val="333333"/>
          <w:sz w:val="20"/>
          <w:szCs w:val="20"/>
          <w:rtl w:val="true"/>
        </w:rPr>
        <w:t>.</w:t>
      </w:r>
    </w:p>
  </w:footnote>
  <w:footnote w:id="1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وهی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بِالْحُرِّ وَ اَلْعَبْدُ بِالْعَبْدِ وَ اَلْأُنْثیٰ بِالْأُنْثیٰ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19:59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القصاص فی النفس،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19:62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القصاص فی النفس، الحدیث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غایة المراد </w:t>
      </w:r>
      <w:r>
        <w:rPr>
          <w:rFonts w:eastAsia="IRNazanin" w:cs="IRNazanin"/>
          <w:b w:val="false"/>
          <w:bCs w:val="false"/>
          <w:i w:val="false"/>
          <w:iCs w:val="false"/>
          <w:color w:val="333333"/>
          <w:sz w:val="20"/>
          <w:szCs w:val="20"/>
        </w:rPr>
        <w:t>4:364</w:t>
      </w:r>
      <w:r>
        <w:rPr>
          <w:rFonts w:ascii="IRNazanin" w:hAnsi="IRNazanin" w:eastAsia="IRNazanin"/>
          <w:b w:val="false"/>
          <w:b w:val="false"/>
          <w:bCs w:val="false"/>
          <w:i w:val="false"/>
          <w:i w:val="false"/>
          <w:iCs w:val="false"/>
          <w:color w:val="333333"/>
          <w:sz w:val="20"/>
          <w:sz w:val="20"/>
          <w:szCs w:val="20"/>
          <w:rtl w:val="true"/>
        </w:rPr>
        <w:t xml:space="preserve">، وراجع المسالک </w:t>
      </w:r>
      <w:r>
        <w:rPr>
          <w:rFonts w:eastAsia="IRNazanin" w:cs="IRNazanin"/>
          <w:b w:val="false"/>
          <w:bCs w:val="false"/>
          <w:i w:val="false"/>
          <w:iCs w:val="false"/>
          <w:color w:val="333333"/>
          <w:sz w:val="20"/>
          <w:szCs w:val="20"/>
        </w:rPr>
        <w:t>15:109</w:t>
      </w:r>
      <w:r>
        <w:rPr>
          <w:rFonts w:eastAsia="IRNazanin" w:cs="IRNazanin"/>
          <w:b w:val="false"/>
          <w:bCs w:val="false"/>
          <w:i w:val="false"/>
          <w:iCs w:val="false"/>
          <w:color w:val="333333"/>
          <w:sz w:val="20"/>
          <w:szCs w:val="20"/>
          <w:rtl w:val="true"/>
        </w:rPr>
        <w:t>.</w:t>
      </w:r>
    </w:p>
  </w:footnote>
  <w:footnote w:id="1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فیقتصر</w:t>
      </w:r>
      <w:r>
        <w:rPr>
          <w:rFonts w:eastAsia="IRNazanin" w:cs="IRNazanin"/>
          <w:b w:val="false"/>
          <w:bCs w:val="false"/>
          <w:i w:val="false"/>
          <w:iCs w:val="false"/>
          <w:color w:val="333333"/>
          <w:sz w:val="20"/>
          <w:szCs w:val="20"/>
          <w:rtl w:val="true"/>
        </w:rPr>
        <w:t>.</w:t>
      </w:r>
    </w:p>
  </w:footnote>
  <w:footnote w:id="1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19:268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دیات الأعضاء، الحدیث الأوّل</w:t>
      </w:r>
      <w:r>
        <w:rPr>
          <w:rFonts w:eastAsia="IRNazanin" w:cs="IRNazanin"/>
          <w:b w:val="false"/>
          <w:bCs w:val="false"/>
          <w:i w:val="false"/>
          <w:iCs w:val="false"/>
          <w:color w:val="333333"/>
          <w:sz w:val="20"/>
          <w:szCs w:val="20"/>
          <w:rtl w:val="true"/>
        </w:rPr>
        <w:t>.</w:t>
      </w:r>
    </w:p>
  </w:footnote>
  <w:footnote w:id="1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یرد فی النسخ، وقد أثبتناه من الوسائل</w:t>
      </w:r>
      <w:r>
        <w:rPr>
          <w:rFonts w:eastAsia="IRNazanin" w:cs="IRNazanin"/>
          <w:b w:val="false"/>
          <w:bCs w:val="false"/>
          <w:i w:val="false"/>
          <w:iCs w:val="false"/>
          <w:color w:val="333333"/>
          <w:sz w:val="20"/>
          <w:szCs w:val="20"/>
          <w:rtl w:val="true"/>
        </w:rPr>
        <w:t>.</w:t>
      </w:r>
    </w:p>
  </w:footnote>
  <w:footnote w:id="1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19:122</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القصاص فی النفس،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748</w:t>
      </w:r>
      <w:r>
        <w:rPr>
          <w:rFonts w:eastAsia="IRNazanin" w:cs="IRNazanin"/>
          <w:b w:val="false"/>
          <w:bCs w:val="false"/>
          <w:i w:val="false"/>
          <w:iCs w:val="false"/>
          <w:color w:val="333333"/>
          <w:sz w:val="20"/>
          <w:szCs w:val="20"/>
          <w:rtl w:val="true"/>
        </w:rPr>
        <w:t>.</w:t>
      </w:r>
    </w:p>
  </w:footnote>
  <w:footnote w:id="1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19:122</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القصاص فی النفس،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القائلین ببلوغ الثلث</w:t>
      </w:r>
      <w:r>
        <w:rPr>
          <w:rFonts w:eastAsia="IRNazanin" w:cs="IRNazanin"/>
          <w:b w:val="false"/>
          <w:bCs w:val="false"/>
          <w:i w:val="false"/>
          <w:iCs w:val="false"/>
          <w:color w:val="333333"/>
          <w:sz w:val="20"/>
          <w:szCs w:val="20"/>
          <w:rtl w:val="true"/>
        </w:rPr>
        <w:t>.</w:t>
      </w:r>
    </w:p>
  </w:footnote>
  <w:footnote w:id="1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19:268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دیات الأعضاء، وراجع الهامش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 قائل له</w:t>
      </w:r>
      <w:r>
        <w:rPr>
          <w:rFonts w:eastAsia="IRNazanin" w:cs="IRNazanin"/>
          <w:b w:val="false"/>
          <w:bCs w:val="false"/>
          <w:i w:val="false"/>
          <w:iCs w:val="false"/>
          <w:color w:val="333333"/>
          <w:sz w:val="20"/>
          <w:szCs w:val="20"/>
          <w:rtl w:val="true"/>
        </w:rPr>
        <w:t>.</w:t>
      </w:r>
    </w:p>
  </w:footnote>
  <w:footnote w:id="1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19:71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القصاص فی النفس،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w:t>
      </w:r>
      <w:r>
        <w:rPr>
          <w:rFonts w:eastAsia="IRNazanin" w:cs="IRNazanin"/>
          <w:b w:val="false"/>
          <w:bCs w:val="false"/>
          <w:i w:val="false"/>
          <w:iCs w:val="false"/>
          <w:color w:val="333333"/>
          <w:sz w:val="20"/>
          <w:szCs w:val="20"/>
        </w:rPr>
        <w:t>8:35</w:t>
      </w:r>
      <w:r>
        <w:rPr>
          <w:rFonts w:ascii="IRNazanin" w:hAnsi="IRNazanin" w:eastAsia="IRNazanin"/>
          <w:b w:val="false"/>
          <w:b w:val="false"/>
          <w:bCs w:val="false"/>
          <w:i w:val="false"/>
          <w:i w:val="false"/>
          <w:iCs w:val="false"/>
          <w:color w:val="333333"/>
          <w:sz w:val="20"/>
          <w:sz w:val="20"/>
          <w:szCs w:val="20"/>
          <w:rtl w:val="true"/>
        </w:rPr>
        <w:t xml:space="preserve">، وکنز العمّال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39819</w:t>
      </w:r>
      <w:r>
        <w:rPr>
          <w:rFonts w:eastAsia="IRNazanin" w:cs="IRNazanin"/>
          <w:b w:val="false"/>
          <w:bCs w:val="false"/>
          <w:i w:val="false"/>
          <w:iCs w:val="false"/>
          <w:color w:val="333333"/>
          <w:sz w:val="20"/>
          <w:szCs w:val="20"/>
          <w:rtl w:val="true"/>
        </w:rPr>
        <w:t>.</w:t>
      </w:r>
    </w:p>
  </w:footnote>
  <w:footnote w:id="1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5:148</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1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10:192</w:t>
      </w:r>
      <w:r>
        <w:rPr>
          <w:rFonts w:ascii="IRNazanin" w:hAnsi="IRNazanin" w:eastAsia="IRNazanin"/>
          <w:b w:val="false"/>
          <w:b w:val="false"/>
          <w:bCs w:val="false"/>
          <w:i w:val="false"/>
          <w:i w:val="false"/>
          <w:iCs w:val="false"/>
          <w:color w:val="333333"/>
          <w:sz w:val="20"/>
          <w:sz w:val="20"/>
          <w:szCs w:val="20"/>
          <w:rtl w:val="true"/>
        </w:rPr>
        <w:t xml:space="preserve">، ذیل الحدیث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4:273</w:t>
      </w:r>
      <w:r>
        <w:rPr>
          <w:rFonts w:ascii="IRNazanin" w:hAnsi="IRNazanin" w:eastAsia="IRNazanin"/>
          <w:b w:val="false"/>
          <w:b w:val="false"/>
          <w:bCs w:val="false"/>
          <w:i w:val="false"/>
          <w:i w:val="false"/>
          <w:iCs w:val="false"/>
          <w:color w:val="333333"/>
          <w:sz w:val="20"/>
          <w:sz w:val="20"/>
          <w:szCs w:val="20"/>
          <w:rtl w:val="true"/>
        </w:rPr>
        <w:t xml:space="preserve">، ذیل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الصلاح فی 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وسلّار فی المراسم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وابن زهرة فی الغنیة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1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19:69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القصاص فی النفس، وفیه حدیثان، وراجع المسالک </w:t>
      </w:r>
      <w:r>
        <w:rPr>
          <w:rFonts w:eastAsia="IRNazanin" w:cs="IRNazanin"/>
          <w:b w:val="false"/>
          <w:bCs w:val="false"/>
          <w:i w:val="false"/>
          <w:iCs w:val="false"/>
          <w:color w:val="333333"/>
          <w:sz w:val="20"/>
          <w:szCs w:val="20"/>
        </w:rPr>
        <w:t>15:113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قاله سلّار فی المراسم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وابن حمزة فی الوسیلة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1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 به أکثر الأصحاب، 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المفید فی 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749</w:t>
      </w:r>
      <w:r>
        <w:rPr>
          <w:rFonts w:ascii="IRNazanin" w:hAnsi="IRNazanin" w:eastAsia="IRNazanin"/>
          <w:b w:val="false"/>
          <w:b w:val="false"/>
          <w:bCs w:val="false"/>
          <w:i w:val="false"/>
          <w:i w:val="false"/>
          <w:iCs w:val="false"/>
          <w:color w:val="333333"/>
          <w:sz w:val="20"/>
          <w:sz w:val="20"/>
          <w:szCs w:val="20"/>
          <w:rtl w:val="true"/>
        </w:rPr>
        <w:t>، والشیخ فی 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752</w:t>
      </w:r>
      <w:r>
        <w:rPr>
          <w:rFonts w:ascii="IRNazanin" w:hAnsi="IRNazanin" w:eastAsia="IRNazanin"/>
          <w:b w:val="false"/>
          <w:b w:val="false"/>
          <w:bCs w:val="false"/>
          <w:i w:val="false"/>
          <w:i w:val="false"/>
          <w:iCs w:val="false"/>
          <w:color w:val="333333"/>
          <w:sz w:val="20"/>
          <w:sz w:val="20"/>
          <w:szCs w:val="20"/>
          <w:rtl w:val="true"/>
        </w:rPr>
        <w:t>، وسلّار فی المراسم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19:68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القصاص فی النفس، الحدیث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قال الشارح فی المسالک </w:t>
      </w:r>
      <w:r>
        <w:rPr>
          <w:rFonts w:eastAsia="IRNazanin" w:cs="IRNazanin"/>
          <w:b w:val="false"/>
          <w:bCs w:val="false"/>
          <w:i w:val="false"/>
          <w:iCs w:val="false"/>
          <w:color w:val="333333"/>
          <w:sz w:val="20"/>
          <w:szCs w:val="20"/>
        </w:rPr>
        <w:t>15:115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طریقها سهل بن زیاد وضعفه مشهور ومحمّد بن الحسن بن شمّون وهو غالٍ ضعیف جدّاً وعبد اللّٰه بن عبد الرحمن الأصم وهو ضعیف لیس بشیء</w:t>
      </w:r>
      <w:r>
        <w:rPr>
          <w:rFonts w:eastAsia="IRNazanin" w:cs="IRNazanin"/>
          <w:b w:val="false"/>
          <w:bCs w:val="false"/>
          <w:i w:val="false"/>
          <w:iCs w:val="false"/>
          <w:color w:val="333333"/>
          <w:sz w:val="20"/>
          <w:szCs w:val="20"/>
          <w:rtl w:val="true"/>
        </w:rPr>
        <w:t>.</w:t>
      </w:r>
    </w:p>
  </w:footnote>
  <w:footnote w:id="1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الصفحة السابقة</w:t>
      </w:r>
      <w:r>
        <w:rPr>
          <w:rFonts w:eastAsia="IRNazanin" w:cs="IRNazanin"/>
          <w:b w:val="false"/>
          <w:bCs w:val="false"/>
          <w:i w:val="false"/>
          <w:iCs w:val="false"/>
          <w:color w:val="333333"/>
          <w:sz w:val="20"/>
          <w:szCs w:val="20"/>
          <w:rtl w:val="true"/>
        </w:rPr>
        <w:t>.</w:t>
      </w:r>
    </w:p>
  </w:footnote>
  <w:footnote w:id="1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الصفحة السابقة</w:t>
      </w:r>
      <w:r>
        <w:rPr>
          <w:rFonts w:eastAsia="IRNazanin" w:cs="IRNazanin"/>
          <w:b w:val="false"/>
          <w:bCs w:val="false"/>
          <w:i w:val="false"/>
          <w:iCs w:val="false"/>
          <w:color w:val="333333"/>
          <w:sz w:val="20"/>
          <w:szCs w:val="20"/>
          <w:rtl w:val="true"/>
        </w:rPr>
        <w:t>.</w:t>
      </w:r>
    </w:p>
  </w:footnote>
  <w:footnote w:id="1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لم یتجاوز بها</w:t>
      </w:r>
      <w:r>
        <w:rPr>
          <w:rFonts w:eastAsia="IRNazanin" w:cs="IRNazanin"/>
          <w:b w:val="false"/>
          <w:bCs w:val="false"/>
          <w:i w:val="false"/>
          <w:iCs w:val="false"/>
          <w:color w:val="333333"/>
          <w:sz w:val="20"/>
          <w:szCs w:val="20"/>
          <w:rtl w:val="true"/>
        </w:rPr>
        <w:t>.</w:t>
      </w:r>
    </w:p>
  </w:footnote>
  <w:footnote w:id="1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19:71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القصاص فی النفس،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عقل القتیلَ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أدّی دیته</w:t>
      </w:r>
      <w:r>
        <w:rPr>
          <w:rFonts w:eastAsia="IRNazanin" w:cs="IRNazanin"/>
          <w:b w:val="false"/>
          <w:bCs w:val="false"/>
          <w:i w:val="false"/>
          <w:iCs w:val="false"/>
          <w:color w:val="333333"/>
          <w:sz w:val="20"/>
          <w:szCs w:val="20"/>
          <w:rtl w:val="true"/>
        </w:rPr>
        <w:t>.</w:t>
      </w:r>
    </w:p>
  </w:footnote>
  <w:footnote w:id="1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سواء کان قیمته أکثر منه أم لا، وقاله الشیخ فی الخلاف </w:t>
      </w:r>
      <w:r>
        <w:rPr>
          <w:rFonts w:eastAsia="IRNazanin" w:cs="IRNazanin"/>
          <w:b w:val="false"/>
          <w:bCs w:val="false"/>
          <w:i w:val="false"/>
          <w:iCs w:val="false"/>
          <w:color w:val="333333"/>
          <w:sz w:val="20"/>
          <w:szCs w:val="20"/>
        </w:rPr>
        <w:t>5:149</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التخییر، وهکذا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الشرح</w:t>
      </w:r>
      <w:r>
        <w:rPr>
          <w:rFonts w:eastAsia="IRNazanin" w:cs="IRNazanin"/>
          <w:b w:val="false"/>
          <w:bCs w:val="false"/>
          <w:i w:val="false"/>
          <w:iCs w:val="false"/>
          <w:color w:val="333333"/>
          <w:sz w:val="20"/>
          <w:szCs w:val="20"/>
          <w:rtl w:val="true"/>
        </w:rPr>
        <w:t>.</w:t>
      </w:r>
    </w:p>
  </w:footnote>
  <w:footnote w:id="1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نبّه بالتسویة علی خلاف الشیخ فی الاستبصار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4:277</w:t>
      </w:r>
      <w:r>
        <w:rPr>
          <w:rFonts w:ascii="IRNazanin" w:hAnsi="IRNazanin" w:eastAsia="IRNazanin"/>
          <w:b w:val="false"/>
          <w:b w:val="false"/>
          <w:bCs w:val="false"/>
          <w:i w:val="false"/>
          <w:i w:val="false"/>
          <w:iCs w:val="false"/>
          <w:color w:val="333333"/>
          <w:sz w:val="20"/>
          <w:sz w:val="20"/>
          <w:szCs w:val="20"/>
          <w:rtl w:val="true"/>
        </w:rPr>
        <w:t xml:space="preserve">، ذیل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رقم </w:t>
      </w:r>
      <w:r>
        <w:rPr>
          <w:rFonts w:eastAsia="IRNazanin" w:cs="IRNazanin"/>
          <w:b w:val="false"/>
          <w:bCs w:val="false"/>
          <w:i w:val="false"/>
          <w:iCs w:val="false"/>
          <w:color w:val="333333"/>
          <w:sz w:val="20"/>
          <w:szCs w:val="20"/>
        </w:rPr>
        <w:t>11048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حیث جعل المؤدّی نصف ما علیه بمنزلة الحرّ استناداً إلی روایة علیّ بن جعفر عن أخیه علیه السلام وهو ضعیف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 .</w:t>
      </w:r>
    </w:p>
  </w:footnote>
  <w:footnote w:id="1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سواء عتق نصفُه أو أقلّ أو أکثر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ش</w:t>
      </w:r>
      <w:r>
        <w:rPr>
          <w:rFonts w:eastAsia="IRNazanin" w:cs="IRNazanin"/>
          <w:b w:val="false"/>
          <w:bCs w:val="false"/>
          <w:i w:val="false"/>
          <w:iCs w:val="false"/>
          <w:color w:val="333333"/>
          <w:sz w:val="20"/>
          <w:szCs w:val="20"/>
          <w:rtl w:val="true"/>
        </w:rPr>
        <w:t>) .</w:t>
      </w:r>
    </w:p>
  </w:footnote>
  <w:footnote w:id="1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19:61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القصاص فی النفس،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والحدیث عن أبی عبد اللّٰه علیه السلام</w:t>
      </w:r>
      <w:r>
        <w:rPr>
          <w:rFonts w:eastAsia="IRNazanin" w:cs="IRNazanin"/>
          <w:b w:val="false"/>
          <w:bCs w:val="false"/>
          <w:i w:val="false"/>
          <w:iCs w:val="false"/>
          <w:color w:val="333333"/>
          <w:sz w:val="20"/>
          <w:szCs w:val="20"/>
          <w:rtl w:val="true"/>
        </w:rPr>
        <w:t>.</w:t>
      </w:r>
    </w:p>
  </w:footnote>
  <w:footnote w:id="1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الصفحة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1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یساره</w:t>
      </w:r>
      <w:r>
        <w:rPr>
          <w:rFonts w:eastAsia="IRNazanin" w:cs="IRNazanin"/>
          <w:b w:val="false"/>
          <w:bCs w:val="false"/>
          <w:i w:val="false"/>
          <w:iCs w:val="false"/>
          <w:color w:val="333333"/>
          <w:sz w:val="20"/>
          <w:szCs w:val="20"/>
          <w:rtl w:val="true"/>
        </w:rPr>
        <w:t>.</w:t>
      </w:r>
    </w:p>
  </w:footnote>
  <w:footnote w:id="1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19:131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قصاص الطرف،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الشیخ فی الخلاف </w:t>
      </w:r>
      <w:r>
        <w:rPr>
          <w:rFonts w:eastAsia="IRNazanin" w:cs="IRNazanin"/>
          <w:b w:val="false"/>
          <w:bCs w:val="false"/>
          <w:i w:val="false"/>
          <w:iCs w:val="false"/>
          <w:color w:val="333333"/>
          <w:sz w:val="20"/>
          <w:szCs w:val="20"/>
        </w:rPr>
        <w:t>5:193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والنهایة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771</w:t>
      </w:r>
      <w:r>
        <w:rPr>
          <w:rFonts w:ascii="IRNazanin" w:hAnsi="IRNazanin" w:eastAsia="IRNazanin"/>
          <w:b w:val="false"/>
          <w:b w:val="false"/>
          <w:bCs w:val="false"/>
          <w:i w:val="false"/>
          <w:i w:val="false"/>
          <w:iCs w:val="false"/>
          <w:color w:val="333333"/>
          <w:sz w:val="20"/>
          <w:sz w:val="20"/>
          <w:szCs w:val="20"/>
          <w:rtl w:val="true"/>
        </w:rPr>
        <w:t xml:space="preserve">، وهو مذهب ابن الجنید وابن البرّاج فی الکامل، کما نقل عنهما فی المختلف </w:t>
      </w:r>
      <w:r>
        <w:rPr>
          <w:rFonts w:eastAsia="IRNazanin" w:cs="IRNazanin"/>
          <w:b w:val="false"/>
          <w:bCs w:val="false"/>
          <w:i w:val="false"/>
          <w:iCs w:val="false"/>
          <w:color w:val="333333"/>
          <w:sz w:val="20"/>
          <w:szCs w:val="20"/>
        </w:rPr>
        <w:t>9:394</w:t>
      </w:r>
      <w:r>
        <w:rPr>
          <w:rFonts w:eastAsia="IRNazanin" w:cs="IRNazanin"/>
          <w:b w:val="false"/>
          <w:bCs w:val="false"/>
          <w:i w:val="false"/>
          <w:iCs w:val="false"/>
          <w:color w:val="333333"/>
          <w:sz w:val="20"/>
          <w:szCs w:val="20"/>
          <w:rtl w:val="true"/>
        </w:rPr>
        <w:t>.</w:t>
      </w:r>
    </w:p>
  </w:footnote>
  <w:footnote w:id="1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ابن إدریس فی السرائر </w:t>
      </w:r>
      <w:r>
        <w:rPr>
          <w:rFonts w:eastAsia="IRNazanin" w:cs="IRNazanin"/>
          <w:b w:val="false"/>
          <w:bCs w:val="false"/>
          <w:i w:val="false"/>
          <w:iCs w:val="false"/>
          <w:color w:val="333333"/>
          <w:sz w:val="20"/>
          <w:szCs w:val="20"/>
        </w:rPr>
        <w:t>3:397</w:t>
      </w:r>
      <w:r>
        <w:rPr>
          <w:rFonts w:ascii="IRNazanin" w:hAnsi="IRNazanin" w:eastAsia="IRNazanin"/>
          <w:b w:val="false"/>
          <w:b w:val="false"/>
          <w:bCs w:val="false"/>
          <w:i w:val="false"/>
          <w:i w:val="false"/>
          <w:iCs w:val="false"/>
          <w:color w:val="333333"/>
          <w:sz w:val="20"/>
          <w:sz w:val="20"/>
          <w:szCs w:val="20"/>
          <w:rtl w:val="true"/>
        </w:rPr>
        <w:t xml:space="preserve">، واستوجهه الشارح فی المسالک </w:t>
      </w:r>
      <w:r>
        <w:rPr>
          <w:rFonts w:eastAsia="IRNazanin" w:cs="IRNazanin"/>
          <w:b w:val="false"/>
          <w:bCs w:val="false"/>
          <w:i w:val="false"/>
          <w:iCs w:val="false"/>
          <w:color w:val="333333"/>
          <w:sz w:val="20"/>
          <w:szCs w:val="20"/>
        </w:rPr>
        <w:t>15:127</w:t>
      </w:r>
      <w:r>
        <w:rPr>
          <w:rFonts w:eastAsia="IRNazanin" w:cs="IRNazanin"/>
          <w:b w:val="false"/>
          <w:bCs w:val="false"/>
          <w:i w:val="false"/>
          <w:iCs w:val="false"/>
          <w:color w:val="333333"/>
          <w:sz w:val="20"/>
          <w:szCs w:val="20"/>
          <w:rtl w:val="true"/>
        </w:rPr>
        <w:t>.</w:t>
      </w:r>
    </w:p>
  </w:footnote>
  <w:footnote w:id="1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سوی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المماثل</w:t>
      </w:r>
      <w:r>
        <w:rPr>
          <w:rFonts w:eastAsia="IRNazanin" w:cs="IRNazanin"/>
          <w:b w:val="false"/>
          <w:bCs w:val="false"/>
          <w:i w:val="false"/>
          <w:iCs w:val="false"/>
          <w:color w:val="333333"/>
          <w:sz w:val="20"/>
          <w:szCs w:val="20"/>
          <w:rtl w:val="true"/>
        </w:rPr>
        <w:t>.</w:t>
      </w:r>
    </w:p>
  </w:footnote>
  <w:footnote w:id="1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کالعلّامة فی المختلف </w:t>
      </w:r>
      <w:r>
        <w:rPr>
          <w:rFonts w:eastAsia="IRNazanin" w:cs="IRNazanin"/>
          <w:b w:val="false"/>
          <w:bCs w:val="false"/>
          <w:i w:val="false"/>
          <w:iCs w:val="false"/>
          <w:color w:val="333333"/>
          <w:sz w:val="20"/>
          <w:szCs w:val="20"/>
        </w:rPr>
        <w:t>9:395</w:t>
      </w:r>
      <w:r>
        <w:rPr>
          <w:rFonts w:ascii="IRNazanin" w:hAnsi="IRNazanin" w:eastAsia="IRNazanin"/>
          <w:b w:val="false"/>
          <w:b w:val="false"/>
          <w:bCs w:val="false"/>
          <w:i w:val="false"/>
          <w:i w:val="false"/>
          <w:iCs w:val="false"/>
          <w:color w:val="333333"/>
          <w:sz w:val="20"/>
          <w:sz w:val="20"/>
          <w:szCs w:val="20"/>
          <w:rtl w:val="true"/>
        </w:rPr>
        <w:t xml:space="preserve">، والفخر فی الإیضاح </w:t>
      </w:r>
      <w:r>
        <w:rPr>
          <w:rFonts w:eastAsia="IRNazanin" w:cs="IRNazanin"/>
          <w:b w:val="false"/>
          <w:bCs w:val="false"/>
          <w:i w:val="false"/>
          <w:iCs w:val="false"/>
          <w:color w:val="333333"/>
          <w:sz w:val="20"/>
          <w:szCs w:val="20"/>
        </w:rPr>
        <w:t>4:573</w:t>
      </w:r>
      <w:r>
        <w:rPr>
          <w:rFonts w:ascii="IRNazanin" w:hAnsi="IRNazanin" w:eastAsia="IRNazanin"/>
          <w:b w:val="false"/>
          <w:b w:val="false"/>
          <w:bCs w:val="false"/>
          <w:i w:val="false"/>
          <w:i w:val="false"/>
          <w:iCs w:val="false"/>
          <w:color w:val="333333"/>
          <w:sz w:val="20"/>
          <w:sz w:val="20"/>
          <w:szCs w:val="20"/>
          <w:rtl w:val="true"/>
        </w:rPr>
        <w:t xml:space="preserve">، وابن فهد الحلّی فی المهذّب البارع </w:t>
      </w:r>
      <w:r>
        <w:rPr>
          <w:rFonts w:eastAsia="IRNazanin" w:cs="IRNazanin"/>
          <w:b w:val="false"/>
          <w:bCs w:val="false"/>
          <w:i w:val="false"/>
          <w:iCs w:val="false"/>
          <w:color w:val="333333"/>
          <w:sz w:val="20"/>
          <w:szCs w:val="20"/>
        </w:rPr>
        <w:t>5:173</w:t>
      </w:r>
      <w:r>
        <w:rPr>
          <w:rFonts w:eastAsia="IRNazanin" w:cs="IRNazanin"/>
          <w:b w:val="false"/>
          <w:bCs w:val="false"/>
          <w:i w:val="false"/>
          <w:iCs w:val="false"/>
          <w:color w:val="333333"/>
          <w:sz w:val="20"/>
          <w:szCs w:val="20"/>
          <w:rtl w:val="true"/>
        </w:rPr>
        <w:t>.</w:t>
      </w:r>
    </w:p>
  </w:footnote>
  <w:footnote w:id="1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للثانی</w:t>
      </w:r>
      <w:r>
        <w:rPr>
          <w:rFonts w:eastAsia="IRNazanin" w:cs="IRNazanin"/>
          <w:b w:val="false"/>
          <w:bCs w:val="false"/>
          <w:i w:val="false"/>
          <w:iCs w:val="false"/>
          <w:color w:val="333333"/>
          <w:sz w:val="20"/>
          <w:szCs w:val="20"/>
          <w:rtl w:val="true"/>
        </w:rPr>
        <w:t>.</w:t>
      </w:r>
    </w:p>
  </w:footnote>
  <w:footnote w:id="1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19:77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القصاص فی النفس، الحدیث الأوّل</w:t>
      </w:r>
      <w:r>
        <w:rPr>
          <w:rFonts w:eastAsia="IRNazanin" w:cs="IRNazanin"/>
          <w:b w:val="false"/>
          <w:bCs w:val="false"/>
          <w:i w:val="false"/>
          <w:iCs w:val="false"/>
          <w:color w:val="333333"/>
          <w:sz w:val="20"/>
          <w:szCs w:val="20"/>
          <w:rtl w:val="true"/>
        </w:rPr>
        <w:t>.</w:t>
      </w:r>
    </w:p>
  </w:footnote>
  <w:footnote w:id="1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قاله الشیخ فی 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w:t>
      </w:r>
    </w:p>
  </w:footnote>
  <w:footnote w:id="1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للخبر تتمّة، راجع الوسائل </w:t>
      </w:r>
      <w:r>
        <w:rPr>
          <w:rFonts w:eastAsia="IRNazanin" w:cs="IRNazanin"/>
          <w:b w:val="false"/>
          <w:bCs w:val="false"/>
          <w:i w:val="false"/>
          <w:iCs w:val="false"/>
          <w:color w:val="333333"/>
          <w:sz w:val="20"/>
          <w:szCs w:val="20"/>
        </w:rPr>
        <w:t>19:77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القصاص فی النفس،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 الضعف بابن فضّال الواقع فی سنده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المسالک </w:t>
      </w:r>
      <w:r>
        <w:rPr>
          <w:rFonts w:eastAsia="IRNazanin" w:cs="IRNazanin"/>
          <w:b w:val="false"/>
          <w:bCs w:val="false"/>
          <w:i w:val="false"/>
          <w:iCs w:val="false"/>
          <w:color w:val="333333"/>
          <w:sz w:val="20"/>
          <w:szCs w:val="20"/>
        </w:rPr>
        <w:t>13:399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وکذا الحسن بن أحمد بن سلمة فإنّه مجهول</w:t>
      </w:r>
      <w:r>
        <w:rPr>
          <w:rFonts w:eastAsia="IRNazanin" w:cs="IRNazanin"/>
          <w:b w:val="false"/>
          <w:bCs w:val="false"/>
          <w:i w:val="false"/>
          <w:iCs w:val="false"/>
          <w:color w:val="333333"/>
          <w:sz w:val="20"/>
          <w:szCs w:val="20"/>
          <w:rtl w:val="true"/>
        </w:rPr>
        <w:t>.</w:t>
      </w:r>
    </w:p>
  </w:footnote>
  <w:footnote w:id="1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الشیخ فی المبسوط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تحقّقه</w:t>
      </w:r>
      <w:r>
        <w:rPr>
          <w:rFonts w:eastAsia="IRNazanin" w:cs="IRNazanin"/>
          <w:b w:val="false"/>
          <w:bCs w:val="false"/>
          <w:i w:val="false"/>
          <w:iCs w:val="false"/>
          <w:color w:val="333333"/>
          <w:sz w:val="20"/>
          <w:szCs w:val="20"/>
          <w:rtl w:val="true"/>
        </w:rPr>
        <w:t>.</w:t>
      </w:r>
    </w:p>
  </w:footnote>
  <w:footnote w:id="1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739</w:t>
      </w:r>
      <w:r>
        <w:rPr>
          <w:rFonts w:ascii="IRNazanin" w:hAnsi="IRNazanin" w:eastAsia="IRNazanin"/>
          <w:b w:val="false"/>
          <w:b w:val="false"/>
          <w:bCs w:val="false"/>
          <w:i w:val="false"/>
          <w:i w:val="false"/>
          <w:iCs w:val="false"/>
          <w:color w:val="333333"/>
          <w:sz w:val="20"/>
          <w:sz w:val="20"/>
          <w:szCs w:val="20"/>
          <w:rtl w:val="true"/>
        </w:rPr>
        <w:t>، والنهایة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749</w:t>
      </w:r>
      <w:r>
        <w:rPr>
          <w:rFonts w:eastAsia="IRNazanin" w:cs="IRNazanin"/>
          <w:b w:val="false"/>
          <w:bCs w:val="false"/>
          <w:i w:val="false"/>
          <w:iCs w:val="false"/>
          <w:color w:val="333333"/>
          <w:sz w:val="20"/>
          <w:szCs w:val="20"/>
          <w:rtl w:val="true"/>
        </w:rPr>
        <w:t>.</w:t>
      </w:r>
    </w:p>
  </w:footnote>
  <w:footnote w:id="1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النافع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9:323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والقول الآخر له وهو ثبوت التعزیر والدیة، راجع التحریر </w:t>
      </w:r>
      <w:r>
        <w:rPr>
          <w:rFonts w:eastAsia="IRNazanin" w:cs="IRNazanin"/>
          <w:b w:val="false"/>
          <w:bCs w:val="false"/>
          <w:i w:val="false"/>
          <w:iCs w:val="false"/>
          <w:color w:val="333333"/>
          <w:sz w:val="20"/>
          <w:szCs w:val="20"/>
        </w:rPr>
        <w:t>5:454</w:t>
      </w:r>
      <w:r>
        <w:rPr>
          <w:rFonts w:eastAsia="IRNazanin" w:cs="IRNazanin"/>
          <w:b w:val="false"/>
          <w:bCs w:val="false"/>
          <w:i w:val="false"/>
          <w:iCs w:val="false"/>
          <w:color w:val="333333"/>
          <w:sz w:val="20"/>
          <w:szCs w:val="20"/>
          <w:rtl w:val="true"/>
        </w:rPr>
        <w:t>.</w:t>
      </w:r>
    </w:p>
  </w:footnote>
  <w:footnote w:id="1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غایة المراد </w:t>
      </w:r>
      <w:r>
        <w:rPr>
          <w:rFonts w:eastAsia="IRNazanin" w:cs="IRNazanin"/>
          <w:b w:val="false"/>
          <w:bCs w:val="false"/>
          <w:i w:val="false"/>
          <w:iCs w:val="false"/>
          <w:color w:val="333333"/>
          <w:sz w:val="20"/>
          <w:szCs w:val="20"/>
        </w:rPr>
        <w:t>4:347</w:t>
      </w:r>
      <w:r>
        <w:rPr>
          <w:rFonts w:eastAsia="IRNazanin" w:cs="IRNazanin"/>
          <w:b w:val="false"/>
          <w:bCs w:val="false"/>
          <w:i w:val="false"/>
          <w:iCs w:val="false"/>
          <w:color w:val="333333"/>
          <w:sz w:val="20"/>
          <w:szCs w:val="20"/>
          <w:rtl w:val="true"/>
        </w:rPr>
        <w:t>.</w:t>
      </w:r>
    </w:p>
  </w:footnote>
  <w:footnote w:id="1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3:352</w:t>
      </w:r>
      <w:r>
        <w:rPr>
          <w:rFonts w:eastAsia="IRNazanin" w:cs="IRNazanin"/>
          <w:b w:val="false"/>
          <w:bCs w:val="false"/>
          <w:i w:val="false"/>
          <w:iCs w:val="false"/>
          <w:color w:val="333333"/>
          <w:sz w:val="20"/>
          <w:szCs w:val="20"/>
          <w:rtl w:val="true"/>
        </w:rPr>
        <w:t>.</w:t>
      </w:r>
    </w:p>
  </w:footnote>
  <w:footnote w:id="1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19:165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دیات النفس، وفیه حدیث واحد</w:t>
      </w:r>
      <w:r>
        <w:rPr>
          <w:rFonts w:eastAsia="IRNazanin" w:cs="IRNazanin"/>
          <w:b w:val="false"/>
          <w:bCs w:val="false"/>
          <w:i w:val="false"/>
          <w:iCs w:val="false"/>
          <w:color w:val="333333"/>
          <w:sz w:val="20"/>
          <w:szCs w:val="20"/>
          <w:rtl w:val="true"/>
        </w:rPr>
        <w:t>.</w:t>
      </w:r>
    </w:p>
  </w:footnote>
  <w:footnote w:id="1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غایة المراد </w:t>
      </w:r>
      <w:r>
        <w:rPr>
          <w:rFonts w:eastAsia="IRNazanin" w:cs="IRNazanin"/>
          <w:b w:val="false"/>
          <w:bCs w:val="false"/>
          <w:i w:val="false"/>
          <w:iCs w:val="false"/>
          <w:color w:val="333333"/>
          <w:sz w:val="20"/>
          <w:szCs w:val="20"/>
        </w:rPr>
        <w:t>4:347</w:t>
      </w:r>
      <w:r>
        <w:rPr>
          <w:rFonts w:eastAsia="IRNazanin" w:cs="IRNazanin"/>
          <w:b w:val="false"/>
          <w:bCs w:val="false"/>
          <w:i w:val="false"/>
          <w:iCs w:val="false"/>
          <w:color w:val="333333"/>
          <w:sz w:val="20"/>
          <w:szCs w:val="20"/>
          <w:rtl w:val="true"/>
        </w:rPr>
        <w:t>.</w:t>
      </w:r>
    </w:p>
  </w:footnote>
  <w:footnote w:id="1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نقله هنا قولاً، وقرّر الإجماع علیه فی غایة المراد</w:t>
      </w:r>
      <w:r>
        <w:rPr>
          <w:rFonts w:eastAsia="IRNazanin" w:cs="IRNazanin"/>
          <w:b w:val="false"/>
          <w:bCs w:val="false"/>
          <w:i w:val="false"/>
          <w:iCs w:val="false"/>
          <w:color w:val="333333"/>
          <w:sz w:val="20"/>
          <w:szCs w:val="20"/>
          <w:rtl w:val="true"/>
        </w:rPr>
        <w:t>.</w:t>
      </w:r>
    </w:p>
  </w:footnote>
  <w:footnote w:id="1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19:80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القصاص فی النفس،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9:324</w:t>
      </w:r>
      <w:r>
        <w:rPr>
          <w:rFonts w:eastAsia="IRNazanin" w:cs="IRNazanin"/>
          <w:b w:val="false"/>
          <w:bCs w:val="false"/>
          <w:i w:val="false"/>
          <w:iCs w:val="false"/>
          <w:color w:val="333333"/>
          <w:sz w:val="20"/>
          <w:szCs w:val="20"/>
          <w:rtl w:val="true"/>
        </w:rPr>
        <w:t>.</w:t>
      </w:r>
    </w:p>
  </w:footnote>
  <w:footnote w:id="1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749</w:t>
      </w:r>
      <w:r>
        <w:rPr>
          <w:rFonts w:eastAsia="IRNazanin" w:cs="IRNazanin"/>
          <w:b w:val="false"/>
          <w:bCs w:val="false"/>
          <w:i w:val="false"/>
          <w:iCs w:val="false"/>
          <w:color w:val="333333"/>
          <w:sz w:val="20"/>
          <w:szCs w:val="20"/>
          <w:rtl w:val="true"/>
        </w:rPr>
        <w:t>.</w:t>
      </w:r>
    </w:p>
  </w:footnote>
  <w:footnote w:id="1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کسلّار فی المراسم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وابن حمزة فی الوسیلة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1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9:324</w:t>
      </w:r>
      <w:r>
        <w:rPr>
          <w:rFonts w:eastAsia="IRNazanin" w:cs="IRNazanin"/>
          <w:b w:val="false"/>
          <w:bCs w:val="false"/>
          <w:i w:val="false"/>
          <w:iCs w:val="false"/>
          <w:color w:val="333333"/>
          <w:sz w:val="20"/>
          <w:szCs w:val="20"/>
          <w:rtl w:val="true"/>
        </w:rPr>
        <w:t>.</w:t>
      </w:r>
    </w:p>
  </w:footnote>
  <w:footnote w:id="1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حکاه عنه العلّامة فی المصدر المتقدّم</w:t>
      </w:r>
      <w:r>
        <w:rPr>
          <w:rFonts w:eastAsia="IRNazanin" w:cs="IRNazanin"/>
          <w:b w:val="false"/>
          <w:bCs w:val="false"/>
          <w:i w:val="false"/>
          <w:iCs w:val="false"/>
          <w:color w:val="333333"/>
          <w:sz w:val="20"/>
          <w:szCs w:val="20"/>
          <w:rtl w:val="true"/>
        </w:rPr>
        <w:t>.</w:t>
      </w:r>
    </w:p>
  </w:footnote>
  <w:footnote w:id="1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1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753</w:t>
      </w:r>
      <w:r>
        <w:rPr>
          <w:rFonts w:eastAsia="IRNazanin" w:cs="IRNazanin"/>
          <w:b w:val="false"/>
          <w:bCs w:val="false"/>
          <w:i w:val="false"/>
          <w:iCs w:val="false"/>
          <w:color w:val="333333"/>
          <w:sz w:val="20"/>
          <w:szCs w:val="20"/>
          <w:rtl w:val="true"/>
        </w:rPr>
        <w:t>.</w:t>
      </w:r>
    </w:p>
  </w:footnote>
  <w:footnote w:id="1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کسلّار فی المراسم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وابن حمزة فی الوسیلة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1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العلّامة إلیه فی الإرشاد </w:t>
      </w:r>
      <w:r>
        <w:rPr>
          <w:rFonts w:eastAsia="IRNazanin" w:cs="IRNazanin"/>
          <w:b w:val="false"/>
          <w:bCs w:val="false"/>
          <w:i w:val="false"/>
          <w:iCs w:val="false"/>
          <w:color w:val="333333"/>
          <w:sz w:val="20"/>
          <w:szCs w:val="20"/>
        </w:rPr>
        <w:t>2:204</w:t>
      </w:r>
      <w:r>
        <w:rPr>
          <w:rFonts w:ascii="IRNazanin" w:hAnsi="IRNazanin" w:eastAsia="IRNazanin"/>
          <w:b w:val="false"/>
          <w:b w:val="false"/>
          <w:bCs w:val="false"/>
          <w:i w:val="false"/>
          <w:i w:val="false"/>
          <w:iCs w:val="false"/>
          <w:color w:val="333333"/>
          <w:sz w:val="20"/>
          <w:sz w:val="20"/>
          <w:szCs w:val="20"/>
          <w:rtl w:val="true"/>
        </w:rPr>
        <w:t xml:space="preserve">، والتحریر </w:t>
      </w:r>
      <w:r>
        <w:rPr>
          <w:rFonts w:eastAsia="IRNazanin" w:cs="IRNazanin"/>
          <w:b w:val="false"/>
          <w:bCs w:val="false"/>
          <w:i w:val="false"/>
          <w:iCs w:val="false"/>
          <w:color w:val="333333"/>
          <w:sz w:val="20"/>
          <w:szCs w:val="20"/>
        </w:rPr>
        <w:t>5:455</w:t>
      </w:r>
      <w:r>
        <w:rPr>
          <w:rFonts w:ascii="IRNazanin" w:hAnsi="IRNazanin" w:eastAsia="IRNazanin"/>
          <w:b w:val="false"/>
          <w:b w:val="false"/>
          <w:bCs w:val="false"/>
          <w:i w:val="false"/>
          <w:i w:val="false"/>
          <w:iCs w:val="false"/>
          <w:color w:val="333333"/>
          <w:sz w:val="20"/>
          <w:sz w:val="20"/>
          <w:szCs w:val="20"/>
          <w:rtl w:val="true"/>
        </w:rPr>
        <w:t xml:space="preserve">، وکذلک السیّد عمید الدین نقله فی کنز الفوائد </w:t>
      </w:r>
      <w:r>
        <w:rPr>
          <w:rFonts w:eastAsia="IRNazanin" w:cs="IRNazanin"/>
          <w:b w:val="false"/>
          <w:bCs w:val="false"/>
          <w:i w:val="false"/>
          <w:iCs w:val="false"/>
          <w:color w:val="333333"/>
          <w:sz w:val="20"/>
          <w:szCs w:val="20"/>
        </w:rPr>
        <w:t>3:698</w:t>
      </w:r>
      <w:r>
        <w:rPr>
          <w:rFonts w:ascii="IRNazanin" w:hAnsi="IRNazanin" w:eastAsia="IRNazanin"/>
          <w:b w:val="false"/>
          <w:b w:val="false"/>
          <w:bCs w:val="false"/>
          <w:i w:val="false"/>
          <w:i w:val="false"/>
          <w:iCs w:val="false"/>
          <w:color w:val="333333"/>
          <w:sz w:val="20"/>
          <w:sz w:val="20"/>
          <w:szCs w:val="20"/>
          <w:rtl w:val="true"/>
        </w:rPr>
        <w:t>، عن النهایة</w:t>
      </w:r>
      <w:r>
        <w:rPr>
          <w:rFonts w:eastAsia="IRNazanin" w:cs="IRNazanin"/>
          <w:b w:val="false"/>
          <w:bCs w:val="false"/>
          <w:i w:val="false"/>
          <w:iCs w:val="false"/>
          <w:color w:val="333333"/>
          <w:sz w:val="20"/>
          <w:szCs w:val="20"/>
          <w:rtl w:val="true"/>
        </w:rPr>
        <w:t>.</w:t>
      </w:r>
    </w:p>
  </w:footnote>
  <w:footnote w:id="1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غایة المراد </w:t>
      </w:r>
      <w:r>
        <w:rPr>
          <w:rFonts w:eastAsia="IRNazanin" w:cs="IRNazanin"/>
          <w:b w:val="false"/>
          <w:bCs w:val="false"/>
          <w:i w:val="false"/>
          <w:iCs w:val="false"/>
          <w:color w:val="333333"/>
          <w:sz w:val="20"/>
          <w:szCs w:val="20"/>
        </w:rPr>
        <w:t>4:351</w:t>
      </w:r>
      <w:r>
        <w:rPr>
          <w:rFonts w:eastAsia="IRNazanin" w:cs="IRNazanin"/>
          <w:b w:val="false"/>
          <w:bCs w:val="false"/>
          <w:i w:val="false"/>
          <w:iCs w:val="false"/>
          <w:color w:val="333333"/>
          <w:sz w:val="20"/>
          <w:szCs w:val="20"/>
          <w:rtl w:val="true"/>
        </w:rPr>
        <w:t>.</w:t>
      </w:r>
    </w:p>
  </w:footnote>
  <w:footnote w:id="1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سوی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القول</w:t>
      </w:r>
      <w:r>
        <w:rPr>
          <w:rFonts w:eastAsia="IRNazanin" w:cs="IRNazanin"/>
          <w:b w:val="false"/>
          <w:bCs w:val="false"/>
          <w:i w:val="false"/>
          <w:iCs w:val="false"/>
          <w:color w:val="333333"/>
          <w:sz w:val="20"/>
          <w:szCs w:val="20"/>
          <w:rtl w:val="true"/>
        </w:rPr>
        <w:t>.</w:t>
      </w:r>
    </w:p>
  </w:footnote>
  <w:footnote w:id="1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19:81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القصاص فی النفس، وفیه حدیث واحد</w:t>
      </w:r>
      <w:r>
        <w:rPr>
          <w:rFonts w:eastAsia="IRNazanin" w:cs="IRNazanin"/>
          <w:b w:val="false"/>
          <w:bCs w:val="false"/>
          <w:i w:val="false"/>
          <w:iCs w:val="false"/>
          <w:color w:val="333333"/>
          <w:sz w:val="20"/>
          <w:szCs w:val="20"/>
          <w:rtl w:val="true"/>
        </w:rPr>
        <w:t>.</w:t>
      </w:r>
    </w:p>
  </w:footnote>
  <w:footnote w:id="1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والزمر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3:351</w:t>
      </w:r>
      <w:r>
        <w:rPr>
          <w:rFonts w:eastAsia="IRNazanin" w:cs="IRNazanin"/>
          <w:b w:val="false"/>
          <w:bCs w:val="false"/>
          <w:i w:val="false"/>
          <w:iCs w:val="false"/>
          <w:color w:val="333333"/>
          <w:sz w:val="20"/>
          <w:szCs w:val="20"/>
          <w:rtl w:val="true"/>
        </w:rPr>
        <w:t>.</w:t>
      </w:r>
    </w:p>
  </w:footnote>
  <w:footnote w:id="1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کالمحقّق فی الشرائع </w:t>
      </w:r>
      <w:r>
        <w:rPr>
          <w:rFonts w:eastAsia="IRNazanin" w:cs="IRNazanin"/>
          <w:b w:val="false"/>
          <w:bCs w:val="false"/>
          <w:i w:val="false"/>
          <w:iCs w:val="false"/>
          <w:color w:val="333333"/>
          <w:sz w:val="20"/>
          <w:szCs w:val="20"/>
        </w:rPr>
        <w:t>4:211</w:t>
      </w:r>
      <w:r>
        <w:rPr>
          <w:rFonts w:ascii="IRNazanin" w:hAnsi="IRNazanin" w:eastAsia="IRNazanin"/>
          <w:b w:val="false"/>
          <w:b w:val="false"/>
          <w:bCs w:val="false"/>
          <w:i w:val="false"/>
          <w:i w:val="false"/>
          <w:iCs w:val="false"/>
          <w:color w:val="333333"/>
          <w:sz w:val="20"/>
          <w:sz w:val="20"/>
          <w:szCs w:val="20"/>
          <w:rtl w:val="true"/>
        </w:rPr>
        <w:t xml:space="preserve">، والعلّامة فی المختلف </w:t>
      </w:r>
      <w:r>
        <w:rPr>
          <w:rFonts w:eastAsia="IRNazanin" w:cs="IRNazanin"/>
          <w:b w:val="false"/>
          <w:bCs w:val="false"/>
          <w:i w:val="false"/>
          <w:iCs w:val="false"/>
          <w:color w:val="333333"/>
          <w:sz w:val="20"/>
          <w:szCs w:val="20"/>
        </w:rPr>
        <w:t>9:322</w:t>
      </w:r>
      <w:r>
        <w:rPr>
          <w:rFonts w:ascii="IRNazanin" w:hAnsi="IRNazanin" w:eastAsia="IRNazanin"/>
          <w:b w:val="false"/>
          <w:b w:val="false"/>
          <w:bCs w:val="false"/>
          <w:i w:val="false"/>
          <w:i w:val="false"/>
          <w:iCs w:val="false"/>
          <w:color w:val="333333"/>
          <w:sz w:val="20"/>
          <w:sz w:val="20"/>
          <w:szCs w:val="20"/>
          <w:rtl w:val="true"/>
        </w:rPr>
        <w:t xml:space="preserve">، والشهید الأوّل فی غایة المراد </w:t>
      </w:r>
      <w:r>
        <w:rPr>
          <w:rFonts w:eastAsia="IRNazanin" w:cs="IRNazanin"/>
          <w:b w:val="false"/>
          <w:bCs w:val="false"/>
          <w:i w:val="false"/>
          <w:iCs w:val="false"/>
          <w:color w:val="333333"/>
          <w:sz w:val="20"/>
          <w:szCs w:val="20"/>
        </w:rPr>
        <w:t>4:352</w:t>
      </w:r>
      <w:r>
        <w:rPr>
          <w:rFonts w:eastAsia="IRNazanin" w:cs="IRNazanin"/>
          <w:b w:val="false"/>
          <w:bCs w:val="false"/>
          <w:i w:val="false"/>
          <w:iCs w:val="false"/>
          <w:color w:val="333333"/>
          <w:sz w:val="20"/>
          <w:szCs w:val="20"/>
          <w:rtl w:val="true"/>
        </w:rPr>
        <w:t>.</w:t>
      </w:r>
    </w:p>
  </w:footnote>
  <w:footnote w:id="1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وجّهه الشهید الأوّل فی غایة المراد </w:t>
      </w:r>
      <w:r>
        <w:rPr>
          <w:rFonts w:eastAsia="IRNazanin" w:cs="IRNazanin"/>
          <w:b w:val="false"/>
          <w:bCs w:val="false"/>
          <w:i w:val="false"/>
          <w:iCs w:val="false"/>
          <w:color w:val="333333"/>
          <w:sz w:val="20"/>
          <w:szCs w:val="20"/>
        </w:rPr>
        <w:t>4:351</w:t>
      </w:r>
      <w:r>
        <w:rPr>
          <w:rFonts w:eastAsia="IRNazanin" w:cs="IRNazanin"/>
          <w:b w:val="false"/>
          <w:bCs w:val="false"/>
          <w:i w:val="false"/>
          <w:iCs w:val="false"/>
          <w:color w:val="333333"/>
          <w:sz w:val="20"/>
          <w:szCs w:val="20"/>
          <w:rtl w:val="true"/>
        </w:rPr>
        <w:t>.</w:t>
      </w:r>
    </w:p>
  </w:footnote>
  <w:footnote w:id="1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ابن إدریس فی السرائر </w:t>
      </w:r>
      <w:r>
        <w:rPr>
          <w:rFonts w:eastAsia="IRNazanin" w:cs="IRNazanin"/>
          <w:b w:val="false"/>
          <w:bCs w:val="false"/>
          <w:i w:val="false"/>
          <w:iCs w:val="false"/>
          <w:color w:val="333333"/>
          <w:sz w:val="20"/>
          <w:szCs w:val="20"/>
        </w:rPr>
        <w:t>1:357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حیث حکم بکفر ولد الزنا والظاهر أنّ الحکم ثابت حتّی مع إظهاره الإیمان، کما استظهر ذلک فی الحدائق </w:t>
      </w:r>
      <w:r>
        <w:rPr>
          <w:rFonts w:eastAsia="IRNazanin" w:cs="IRNazanin"/>
          <w:b w:val="false"/>
          <w:bCs w:val="false"/>
          <w:i w:val="false"/>
          <w:iCs w:val="false"/>
          <w:color w:val="333333"/>
          <w:sz w:val="20"/>
          <w:szCs w:val="20"/>
        </w:rPr>
        <w:t>5:192</w:t>
      </w:r>
      <w:r>
        <w:rPr>
          <w:rFonts w:eastAsia="IRNazanin" w:cs="IRNazanin"/>
          <w:b w:val="false"/>
          <w:bCs w:val="false"/>
          <w:i w:val="false"/>
          <w:iCs w:val="false"/>
          <w:color w:val="333333"/>
          <w:sz w:val="20"/>
          <w:szCs w:val="20"/>
          <w:rtl w:val="true"/>
        </w:rPr>
        <w:t>.</w:t>
      </w:r>
    </w:p>
  </w:footnote>
  <w:footnote w:id="1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المرتدّ</w:t>
      </w:r>
      <w:r>
        <w:rPr>
          <w:rFonts w:eastAsia="IRNazanin" w:cs="IRNazanin"/>
          <w:b w:val="false"/>
          <w:bCs w:val="false"/>
          <w:i w:val="false"/>
          <w:iCs w:val="false"/>
          <w:color w:val="333333"/>
          <w:sz w:val="20"/>
          <w:szCs w:val="20"/>
          <w:rtl w:val="true"/>
        </w:rPr>
        <w:t>.</w:t>
      </w:r>
    </w:p>
  </w:footnote>
  <w:footnote w:id="1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w:t>
      </w:r>
      <w:r>
        <w:rPr>
          <w:rFonts w:eastAsia="IRNazanin" w:cs="IRNazanin"/>
          <w:b w:val="false"/>
          <w:bCs w:val="false"/>
          <w:i w:val="false"/>
          <w:iCs w:val="false"/>
          <w:color w:val="333333"/>
          <w:sz w:val="20"/>
          <w:szCs w:val="20"/>
        </w:rPr>
        <w:t>8:38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یسیر</w:t>
      </w:r>
      <w:r>
        <w:rPr>
          <w:rFonts w:eastAsia="IRNazanin" w:cs="IRNazanin"/>
          <w:b w:val="false"/>
          <w:bCs w:val="false"/>
          <w:i w:val="false"/>
          <w:iCs w:val="false"/>
          <w:color w:val="333333"/>
          <w:sz w:val="20"/>
          <w:szCs w:val="20"/>
          <w:rtl w:val="true"/>
        </w:rPr>
        <w:t>.</w:t>
      </w:r>
    </w:p>
  </w:footnote>
  <w:footnote w:id="1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19:56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القصاص فی النفس،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w:t>
      </w:r>
      <w:r>
        <w:rPr>
          <w:rFonts w:eastAsia="IRNazanin" w:cs="IRNazanin"/>
          <w:b w:val="false"/>
          <w:bCs w:val="false"/>
          <w:i w:val="false"/>
          <w:iCs w:val="false"/>
          <w:color w:val="333333"/>
          <w:sz w:val="20"/>
          <w:szCs w:val="20"/>
          <w:rtl w:val="true"/>
        </w:rPr>
        <w:t>.</w:t>
      </w:r>
    </w:p>
  </w:footnote>
  <w:footnote w:id="1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19:307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العاقلة،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19:307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العاقلة،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المتقدّم، الحدیث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یحمل علی العاقلة</w:t>
      </w:r>
      <w:r>
        <w:rPr>
          <w:rFonts w:eastAsia="IRNazanin" w:cs="IRNazanin"/>
          <w:b w:val="false"/>
          <w:bCs w:val="false"/>
          <w:i w:val="false"/>
          <w:iCs w:val="false"/>
          <w:color w:val="333333"/>
          <w:sz w:val="20"/>
          <w:szCs w:val="20"/>
          <w:rtl w:val="true"/>
        </w:rPr>
        <w:t>» .</w:t>
      </w:r>
    </w:p>
  </w:footnote>
  <w:footnote w:id="1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التحریر </w:t>
      </w:r>
      <w:r>
        <w:rPr>
          <w:rFonts w:eastAsia="IRNazanin" w:cs="IRNazanin"/>
          <w:b w:val="false"/>
          <w:bCs w:val="false"/>
          <w:i w:val="false"/>
          <w:iCs w:val="false"/>
          <w:color w:val="333333"/>
          <w:sz w:val="20"/>
          <w:szCs w:val="20"/>
        </w:rPr>
        <w:t>5:464</w:t>
      </w:r>
      <w:r>
        <w:rPr>
          <w:rFonts w:eastAsia="IRNazanin" w:cs="IRNazanin"/>
          <w:b w:val="false"/>
          <w:bCs w:val="false"/>
          <w:i w:val="false"/>
          <w:iCs w:val="false"/>
          <w:color w:val="333333"/>
          <w:sz w:val="20"/>
          <w:szCs w:val="20"/>
          <w:rtl w:val="true"/>
        </w:rPr>
        <w:t>.</w:t>
      </w:r>
    </w:p>
  </w:footnote>
  <w:footnote w:id="1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w:t>
      </w:r>
    </w:p>
  </w:footnote>
  <w:footnote w:id="1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1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w:t>
      </w:r>
    </w:p>
  </w:footnote>
  <w:footnote w:id="1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اللغة </w:t>
      </w:r>
      <w:r>
        <w:rPr>
          <w:rFonts w:eastAsia="IRNazanin" w:cs="IRNazanin"/>
          <w:b w:val="false"/>
          <w:bCs w:val="false"/>
          <w:i w:val="false"/>
          <w:iCs w:val="false"/>
          <w:color w:val="333333"/>
          <w:sz w:val="20"/>
          <w:szCs w:val="20"/>
        </w:rPr>
        <w:t>5:2010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قسم</w:t>
      </w:r>
      <w:r>
        <w:rPr>
          <w:rFonts w:eastAsia="IRNazanin" w:cs="IRNazanin"/>
          <w:b w:val="false"/>
          <w:bCs w:val="false"/>
          <w:i w:val="false"/>
          <w:iCs w:val="false"/>
          <w:color w:val="333333"/>
          <w:sz w:val="20"/>
          <w:szCs w:val="20"/>
          <w:rtl w:val="true"/>
        </w:rPr>
        <w:t>) .</w:t>
      </w:r>
    </w:p>
  </w:footnote>
  <w:footnote w:id="1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16:111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الإقرار،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قاله الشیخ فی 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742</w:t>
      </w:r>
      <w:r>
        <w:rPr>
          <w:rFonts w:ascii="IRNazanin" w:hAnsi="IRNazanin" w:eastAsia="IRNazanin"/>
          <w:b w:val="false"/>
          <w:b w:val="false"/>
          <w:bCs w:val="false"/>
          <w:i w:val="false"/>
          <w:i w:val="false"/>
          <w:iCs w:val="false"/>
          <w:color w:val="333333"/>
          <w:sz w:val="20"/>
          <w:sz w:val="20"/>
          <w:szCs w:val="20"/>
          <w:rtl w:val="true"/>
        </w:rPr>
        <w:t xml:space="preserve">، وتبعه القاضی فی المهذّب </w:t>
      </w:r>
      <w:r>
        <w:rPr>
          <w:rFonts w:eastAsia="IRNazanin" w:cs="IRNazanin"/>
          <w:b w:val="false"/>
          <w:bCs w:val="false"/>
          <w:i w:val="false"/>
          <w:iCs w:val="false"/>
          <w:color w:val="333333"/>
          <w:sz w:val="20"/>
          <w:szCs w:val="20"/>
        </w:rPr>
        <w:t>2:502</w:t>
      </w:r>
      <w:r>
        <w:rPr>
          <w:rFonts w:ascii="IRNazanin" w:hAnsi="IRNazanin" w:eastAsia="IRNazanin"/>
          <w:b w:val="false"/>
          <w:b w:val="false"/>
          <w:bCs w:val="false"/>
          <w:i w:val="false"/>
          <w:i w:val="false"/>
          <w:iCs w:val="false"/>
          <w:color w:val="333333"/>
          <w:sz w:val="20"/>
          <w:sz w:val="20"/>
          <w:szCs w:val="20"/>
          <w:rtl w:val="true"/>
        </w:rPr>
        <w:t xml:space="preserve">، وابن إدریس فی السرائر </w:t>
      </w:r>
      <w:r>
        <w:rPr>
          <w:rFonts w:eastAsia="IRNazanin" w:cs="IRNazanin"/>
          <w:b w:val="false"/>
          <w:bCs w:val="false"/>
          <w:i w:val="false"/>
          <w:iCs w:val="false"/>
          <w:color w:val="333333"/>
          <w:sz w:val="20"/>
          <w:szCs w:val="20"/>
        </w:rPr>
        <w:t>3:341</w:t>
      </w:r>
      <w:r>
        <w:rPr>
          <w:rFonts w:ascii="IRNazanin" w:hAnsi="IRNazanin" w:eastAsia="IRNazanin"/>
          <w:b w:val="false"/>
          <w:b w:val="false"/>
          <w:bCs w:val="false"/>
          <w:i w:val="false"/>
          <w:i w:val="false"/>
          <w:iCs w:val="false"/>
          <w:color w:val="333333"/>
          <w:sz w:val="20"/>
          <w:sz w:val="20"/>
          <w:szCs w:val="20"/>
          <w:rtl w:val="true"/>
        </w:rPr>
        <w:t>، وابن سعید فی الجامع للشرائع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w:t>
      </w:r>
    </w:p>
  </w:footnote>
  <w:footnote w:id="1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والجنون</w:t>
      </w:r>
      <w:r>
        <w:rPr>
          <w:rFonts w:eastAsia="IRNazanin" w:cs="IRNazanin"/>
          <w:b w:val="false"/>
          <w:bCs w:val="false"/>
          <w:i w:val="false"/>
          <w:iCs w:val="false"/>
          <w:color w:val="333333"/>
          <w:sz w:val="20"/>
          <w:szCs w:val="20"/>
          <w:rtl w:val="true"/>
        </w:rPr>
        <w:t>.</w:t>
      </w:r>
    </w:p>
  </w:footnote>
  <w:footnote w:id="1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للجانی</w:t>
      </w:r>
      <w:r>
        <w:rPr>
          <w:rFonts w:eastAsia="IRNazanin" w:cs="IRNazanin"/>
          <w:b w:val="false"/>
          <w:bCs w:val="false"/>
          <w:i w:val="false"/>
          <w:iCs w:val="false"/>
          <w:color w:val="333333"/>
          <w:sz w:val="20"/>
          <w:szCs w:val="20"/>
          <w:rtl w:val="true"/>
        </w:rPr>
        <w:t>.</w:t>
      </w:r>
    </w:p>
  </w:footnote>
  <w:footnote w:id="1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کتاب الإقرار، الجزء الثالث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p>
  </w:footnote>
  <w:footnote w:id="1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أصالة عدم سماع الرجوع بعد الإقرار</w:t>
      </w:r>
      <w:r>
        <w:rPr>
          <w:rFonts w:eastAsia="IRNazanin" w:cs="IRNazanin"/>
          <w:b w:val="false"/>
          <w:bCs w:val="false"/>
          <w:i w:val="false"/>
          <w:iCs w:val="false"/>
          <w:color w:val="333333"/>
          <w:sz w:val="20"/>
          <w:szCs w:val="20"/>
          <w:rtl w:val="true"/>
        </w:rPr>
        <w:t>.</w:t>
      </w:r>
    </w:p>
  </w:footnote>
  <w:footnote w:id="1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الشیخ فی المبسوط </w:t>
      </w:r>
      <w:r>
        <w:rPr>
          <w:rFonts w:eastAsia="IRNazanin" w:cs="IRNazanin"/>
          <w:b w:val="false"/>
          <w:bCs w:val="false"/>
          <w:i w:val="false"/>
          <w:iCs w:val="false"/>
          <w:color w:val="333333"/>
          <w:sz w:val="20"/>
          <w:szCs w:val="20"/>
        </w:rPr>
        <w:t>8:172</w:t>
      </w:r>
      <w:r>
        <w:rPr>
          <w:rFonts w:ascii="IRNazanin" w:hAnsi="IRNazanin" w:eastAsia="IRNazanin"/>
          <w:b w:val="false"/>
          <w:b w:val="false"/>
          <w:bCs w:val="false"/>
          <w:i w:val="false"/>
          <w:i w:val="false"/>
          <w:iCs w:val="false"/>
          <w:color w:val="333333"/>
          <w:sz w:val="20"/>
          <w:sz w:val="20"/>
          <w:szCs w:val="20"/>
          <w:rtl w:val="true"/>
        </w:rPr>
        <w:t xml:space="preserve">، ونقله العلّامة عن ابن الجنید فی المختلف </w:t>
      </w:r>
      <w:r>
        <w:rPr>
          <w:rFonts w:eastAsia="IRNazanin" w:cs="IRNazanin"/>
          <w:b w:val="false"/>
          <w:bCs w:val="false"/>
          <w:i w:val="false"/>
          <w:iCs w:val="false"/>
          <w:color w:val="333333"/>
          <w:sz w:val="20"/>
          <w:szCs w:val="20"/>
        </w:rPr>
        <w:t>8:455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وقال به أبو الصلاح فی 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وغیرهم</w:t>
      </w:r>
      <w:r>
        <w:rPr>
          <w:rFonts w:eastAsia="IRNazanin" w:cs="IRNazanin"/>
          <w:b w:val="false"/>
          <w:bCs w:val="false"/>
          <w:i w:val="false"/>
          <w:iCs w:val="false"/>
          <w:color w:val="333333"/>
          <w:sz w:val="20"/>
          <w:szCs w:val="20"/>
          <w:rtl w:val="true"/>
        </w:rPr>
        <w:t>.</w:t>
      </w:r>
    </w:p>
  </w:footnote>
  <w:footnote w:id="1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نسبه المحقّق أیضاً فی الشرائع إلی الشذوذ مع ذهاب أکثر الأصحاب إلیه، فراجع المسالک </w:t>
      </w:r>
      <w:r>
        <w:rPr>
          <w:rFonts w:eastAsia="IRNazanin" w:cs="IRNazanin"/>
          <w:b w:val="false"/>
          <w:bCs w:val="false"/>
          <w:i w:val="false"/>
          <w:iCs w:val="false"/>
          <w:color w:val="333333"/>
          <w:sz w:val="20"/>
          <w:szCs w:val="20"/>
        </w:rPr>
        <w:t>15:178</w:t>
      </w:r>
      <w:r>
        <w:rPr>
          <w:rFonts w:eastAsia="IRNazanin" w:cs="IRNazanin"/>
          <w:b w:val="false"/>
          <w:bCs w:val="false"/>
          <w:i w:val="false"/>
          <w:iCs w:val="false"/>
          <w:color w:val="333333"/>
          <w:sz w:val="20"/>
          <w:szCs w:val="20"/>
          <w:rtl w:val="true"/>
        </w:rPr>
        <w:t>.</w:t>
      </w:r>
    </w:p>
  </w:footnote>
  <w:footnote w:id="1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 التی تقطع الجلد وتأخذ اللحم یسیراً</w:t>
      </w:r>
      <w:r>
        <w:rPr>
          <w:rFonts w:eastAsia="IRNazanin" w:cs="IRNazanin"/>
          <w:b w:val="false"/>
          <w:bCs w:val="false"/>
          <w:i w:val="false"/>
          <w:iCs w:val="false"/>
          <w:color w:val="333333"/>
          <w:sz w:val="20"/>
          <w:szCs w:val="20"/>
          <w:rtl w:val="true"/>
        </w:rPr>
        <w:t>.</w:t>
      </w:r>
    </w:p>
  </w:footnote>
  <w:footnote w:id="1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w:t>
      </w:r>
    </w:p>
  </w:footnote>
  <w:footnote w:id="1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فبقید</w:t>
      </w:r>
      <w:r>
        <w:rPr>
          <w:rFonts w:eastAsia="IRNazanin" w:cs="IRNazanin"/>
          <w:b w:val="false"/>
          <w:bCs w:val="false"/>
          <w:i w:val="false"/>
          <w:iCs w:val="false"/>
          <w:color w:val="333333"/>
          <w:sz w:val="20"/>
          <w:szCs w:val="20"/>
          <w:rtl w:val="true"/>
        </w:rPr>
        <w:t>.</w:t>
      </w:r>
    </w:p>
  </w:footnote>
  <w:footnote w:id="1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الأحکام مشهورةٌ ومستندها أخبار لا تبلغ حدّ الصحّة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 .</w:t>
      </w:r>
    </w:p>
  </w:footnote>
  <w:footnote w:id="1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فالمشهور</w:t>
      </w:r>
      <w:r>
        <w:rPr>
          <w:rFonts w:eastAsia="IRNazanin" w:cs="IRNazanin"/>
          <w:b w:val="false"/>
          <w:bCs w:val="false"/>
          <w:i w:val="false"/>
          <w:iCs w:val="false"/>
          <w:color w:val="333333"/>
          <w:sz w:val="20"/>
          <w:szCs w:val="20"/>
          <w:rtl w:val="true"/>
        </w:rPr>
        <w:t>.</w:t>
      </w:r>
    </w:p>
  </w:footnote>
  <w:footnote w:id="1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قاله الشیخ فی 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740</w:t>
      </w:r>
      <w:r>
        <w:rPr>
          <w:rFonts w:ascii="IRNazanin" w:hAnsi="IRNazanin" w:eastAsia="IRNazanin"/>
          <w:b w:val="false"/>
          <w:b w:val="false"/>
          <w:bCs w:val="false"/>
          <w:i w:val="false"/>
          <w:i w:val="false"/>
          <w:iCs w:val="false"/>
          <w:color w:val="333333"/>
          <w:sz w:val="20"/>
          <w:sz w:val="20"/>
          <w:szCs w:val="20"/>
          <w:rtl w:val="true"/>
        </w:rPr>
        <w:t xml:space="preserve">، والخلاف </w:t>
      </w:r>
      <w:r>
        <w:rPr>
          <w:rFonts w:eastAsia="IRNazanin" w:cs="IRNazanin"/>
          <w:b w:val="false"/>
          <w:bCs w:val="false"/>
          <w:i w:val="false"/>
          <w:iCs w:val="false"/>
          <w:color w:val="333333"/>
          <w:sz w:val="20"/>
          <w:szCs w:val="20"/>
        </w:rPr>
        <w:t>5:308</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والقاضی فی المهذّب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 وابن حمزة فی الوسیلة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1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19:119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دعوی القتل وما یثبت به، الحدیث الأوّل</w:t>
      </w:r>
      <w:r>
        <w:rPr>
          <w:rFonts w:eastAsia="IRNazanin" w:cs="IRNazanin"/>
          <w:b w:val="false"/>
          <w:bCs w:val="false"/>
          <w:i w:val="false"/>
          <w:iCs w:val="false"/>
          <w:color w:val="333333"/>
          <w:sz w:val="20"/>
          <w:szCs w:val="20"/>
          <w:rtl w:val="true"/>
        </w:rPr>
        <w:t>.</w:t>
      </w:r>
    </w:p>
  </w:footnote>
  <w:footnote w:id="1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زیادة ما یلی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ولو تعدّد المدّعی علیه فعلی کلّ واحد خمسون علی الأقوی، صحّ</w:t>
      </w:r>
      <w:r>
        <w:rPr>
          <w:rFonts w:eastAsia="IRNazanin" w:cs="IRNazanin"/>
          <w:b w:val="false"/>
          <w:bCs w:val="false"/>
          <w:i w:val="false"/>
          <w:iCs w:val="false"/>
          <w:color w:val="333333"/>
          <w:sz w:val="20"/>
          <w:szCs w:val="20"/>
          <w:rtl w:val="true"/>
        </w:rPr>
        <w:t>.</w:t>
      </w:r>
    </w:p>
  </w:footnote>
  <w:footnote w:id="1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خمسین</w:t>
      </w:r>
      <w:r>
        <w:rPr>
          <w:rFonts w:eastAsia="IRNazanin" w:cs="IRNazanin"/>
          <w:b w:val="false"/>
          <w:bCs w:val="false"/>
          <w:i w:val="false"/>
          <w:iCs w:val="false"/>
          <w:color w:val="333333"/>
          <w:sz w:val="20"/>
          <w:szCs w:val="20"/>
          <w:rtl w:val="true"/>
        </w:rPr>
        <w:t>.</w:t>
      </w:r>
    </w:p>
  </w:footnote>
  <w:footnote w:id="1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 إلیه الشیخ فی 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741</w:t>
      </w:r>
      <w:r>
        <w:rPr>
          <w:rFonts w:ascii="IRNazanin" w:hAnsi="IRNazanin" w:eastAsia="IRNazanin"/>
          <w:b w:val="false"/>
          <w:b w:val="false"/>
          <w:bCs w:val="false"/>
          <w:i w:val="false"/>
          <w:i w:val="false"/>
          <w:iCs w:val="false"/>
          <w:color w:val="333333"/>
          <w:sz w:val="20"/>
          <w:sz w:val="20"/>
          <w:szCs w:val="20"/>
          <w:rtl w:val="true"/>
        </w:rPr>
        <w:t xml:space="preserve">، والخلاف </w:t>
      </w:r>
      <w:r>
        <w:rPr>
          <w:rFonts w:eastAsia="IRNazanin" w:cs="IRNazanin"/>
          <w:b w:val="false"/>
          <w:bCs w:val="false"/>
          <w:i w:val="false"/>
          <w:iCs w:val="false"/>
          <w:color w:val="333333"/>
          <w:sz w:val="20"/>
          <w:szCs w:val="20"/>
        </w:rPr>
        <w:t>5:313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وتبعه القاضی فی المهذّب </w:t>
      </w:r>
      <w:r>
        <w:rPr>
          <w:rFonts w:eastAsia="IRNazanin" w:cs="IRNazanin"/>
          <w:b w:val="false"/>
          <w:bCs w:val="false"/>
          <w:i w:val="false"/>
          <w:iCs w:val="false"/>
          <w:color w:val="333333"/>
          <w:sz w:val="20"/>
          <w:szCs w:val="20"/>
        </w:rPr>
        <w:t>2:501</w:t>
      </w:r>
      <w:r>
        <w:rPr>
          <w:rFonts w:ascii="IRNazanin" w:hAnsi="IRNazanin" w:eastAsia="IRNazanin"/>
          <w:b w:val="false"/>
          <w:b w:val="false"/>
          <w:bCs w:val="false"/>
          <w:i w:val="false"/>
          <w:i w:val="false"/>
          <w:iCs w:val="false"/>
          <w:color w:val="333333"/>
          <w:sz w:val="20"/>
          <w:sz w:val="20"/>
          <w:szCs w:val="20"/>
          <w:rtl w:val="true"/>
        </w:rPr>
        <w:t>، وابن زهرة فی الغنیة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1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بخصوص</w:t>
      </w:r>
      <w:r>
        <w:rPr>
          <w:rFonts w:eastAsia="IRNazanin" w:cs="IRNazanin"/>
          <w:b w:val="false"/>
          <w:bCs w:val="false"/>
          <w:i w:val="false"/>
          <w:iCs w:val="false"/>
          <w:color w:val="333333"/>
          <w:sz w:val="20"/>
          <w:szCs w:val="20"/>
          <w:rtl w:val="true"/>
        </w:rPr>
        <w:t>.</w:t>
      </w:r>
    </w:p>
  </w:footnote>
  <w:footnote w:id="1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7:223</w:t>
      </w:r>
      <w:r>
        <w:rPr>
          <w:rFonts w:eastAsia="IRNazanin" w:cs="IRNazanin"/>
          <w:b w:val="false"/>
          <w:bCs w:val="false"/>
          <w:i w:val="false"/>
          <w:iCs w:val="false"/>
          <w:color w:val="333333"/>
          <w:sz w:val="20"/>
          <w:szCs w:val="20"/>
          <w:rtl w:val="true"/>
        </w:rPr>
        <w:t>.</w:t>
      </w:r>
    </w:p>
  </w:footnote>
  <w:footnote w:id="1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أنّ أصل الیمین هنا علی المدّعی</w:t>
      </w:r>
      <w:r>
        <w:rPr>
          <w:rFonts w:eastAsia="IRNazanin" w:cs="IRNazanin"/>
          <w:b w:val="false"/>
          <w:bCs w:val="false"/>
          <w:i w:val="false"/>
          <w:iCs w:val="false"/>
          <w:color w:val="333333"/>
          <w:sz w:val="20"/>
          <w:szCs w:val="20"/>
          <w:rtl w:val="true"/>
        </w:rPr>
        <w:t>.</w:t>
      </w:r>
    </w:p>
  </w:footnote>
  <w:footnote w:id="1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الأولیاء ببیّنة</w:t>
      </w:r>
      <w:r>
        <w:rPr>
          <w:rFonts w:eastAsia="IRNazanin" w:cs="IRNazanin"/>
          <w:b w:val="false"/>
          <w:bCs w:val="false"/>
          <w:i w:val="false"/>
          <w:iCs w:val="false"/>
          <w:color w:val="333333"/>
          <w:sz w:val="20"/>
          <w:szCs w:val="20"/>
          <w:rtl w:val="true"/>
        </w:rPr>
        <w:t>.</w:t>
      </w:r>
    </w:p>
  </w:footnote>
  <w:footnote w:id="1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19:121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دعوی القتل وما یثبت به، وفیه حدیث واحد، وفیه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جاء أولیاء المقتول بثبتٍ</w:t>
      </w:r>
      <w:r>
        <w:rPr>
          <w:rFonts w:eastAsia="IRNazanin" w:cs="IRNazanin"/>
          <w:b w:val="false"/>
          <w:bCs w:val="false"/>
          <w:i w:val="false"/>
          <w:iCs w:val="false"/>
          <w:color w:val="333333"/>
          <w:sz w:val="20"/>
          <w:szCs w:val="20"/>
          <w:rtl w:val="true"/>
        </w:rPr>
        <w:t>.</w:t>
      </w:r>
    </w:p>
  </w:footnote>
  <w:footnote w:id="1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744</w:t>
      </w:r>
      <w:r>
        <w:rPr>
          <w:rFonts w:eastAsia="IRNazanin" w:cs="IRNazanin"/>
          <w:b w:val="false"/>
          <w:bCs w:val="false"/>
          <w:i w:val="false"/>
          <w:iCs w:val="false"/>
          <w:color w:val="333333"/>
          <w:sz w:val="20"/>
          <w:szCs w:val="20"/>
          <w:rtl w:val="true"/>
        </w:rPr>
        <w:t>.</w:t>
      </w:r>
    </w:p>
  </w:footnote>
  <w:footnote w:id="1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 فی طریقها السکونی وهو ضعیف، راجع فهارس المسالک </w:t>
      </w:r>
      <w:r>
        <w:rPr>
          <w:rFonts w:eastAsia="IRNazanin" w:cs="IRNazanin"/>
          <w:b w:val="false"/>
          <w:bCs w:val="false"/>
          <w:i w:val="false"/>
          <w:iCs w:val="false"/>
          <w:color w:val="333333"/>
          <w:sz w:val="20"/>
          <w:szCs w:val="20"/>
        </w:rPr>
        <w:t>16:301</w:t>
      </w:r>
      <w:r>
        <w:rPr>
          <w:rFonts w:eastAsia="IRNazanin" w:cs="IRNazanin"/>
          <w:b w:val="false"/>
          <w:bCs w:val="false"/>
          <w:i w:val="false"/>
          <w:iCs w:val="false"/>
          <w:color w:val="333333"/>
          <w:sz w:val="20"/>
          <w:szCs w:val="20"/>
          <w:rtl w:val="true"/>
        </w:rPr>
        <w:t>.</w:t>
      </w:r>
    </w:p>
  </w:footnote>
  <w:footnote w:id="1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قصاص النفس</w:t>
      </w:r>
      <w:r>
        <w:rPr>
          <w:rFonts w:eastAsia="IRNazanin" w:cs="IRNazanin"/>
          <w:b w:val="false"/>
          <w:bCs w:val="false"/>
          <w:i w:val="false"/>
          <w:iCs w:val="false"/>
          <w:color w:val="333333"/>
          <w:sz w:val="20"/>
          <w:szCs w:val="20"/>
          <w:rtl w:val="true"/>
        </w:rPr>
        <w:t>.</w:t>
      </w:r>
    </w:p>
  </w:footnote>
  <w:footnote w:id="1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عدم انقطاع دمها</w:t>
      </w:r>
      <w:r>
        <w:rPr>
          <w:rFonts w:eastAsia="IRNazanin" w:cs="IRNazanin"/>
          <w:b w:val="false"/>
          <w:bCs w:val="false"/>
          <w:i w:val="false"/>
          <w:iCs w:val="false"/>
          <w:color w:val="333333"/>
          <w:sz w:val="20"/>
          <w:szCs w:val="20"/>
          <w:rtl w:val="true"/>
        </w:rPr>
        <w:t>.</w:t>
      </w:r>
    </w:p>
  </w:footnote>
  <w:footnote w:id="1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w:t>
      </w:r>
    </w:p>
  </w:footnote>
  <w:footnote w:id="1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19:131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قصاص الطرف،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ترتیب</w:t>
      </w:r>
      <w:r>
        <w:rPr>
          <w:rFonts w:eastAsia="IRNazanin" w:cs="IRNazanin"/>
          <w:b w:val="false"/>
          <w:bCs w:val="false"/>
          <w:i w:val="false"/>
          <w:iCs w:val="false"/>
          <w:color w:val="333333"/>
          <w:sz w:val="20"/>
          <w:szCs w:val="20"/>
          <w:rtl w:val="true"/>
        </w:rPr>
        <w:t>.</w:t>
      </w:r>
    </w:p>
  </w:footnote>
  <w:footnote w:id="1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شجّة، وهی الجراحة فی الرأس خاصّة</w:t>
      </w:r>
      <w:r>
        <w:rPr>
          <w:rFonts w:eastAsia="IRNazanin" w:cs="IRNazanin"/>
          <w:b w:val="false"/>
          <w:bCs w:val="false"/>
          <w:i w:val="false"/>
          <w:iCs w:val="false"/>
          <w:color w:val="333333"/>
          <w:sz w:val="20"/>
          <w:szCs w:val="20"/>
          <w:rtl w:val="true"/>
        </w:rPr>
        <w:t>.</w:t>
      </w:r>
    </w:p>
  </w:footnote>
  <w:footnote w:id="1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یأتی فی الفصل الثالث من کتاب الدیات</w:t>
      </w:r>
      <w:r>
        <w:rPr>
          <w:rFonts w:eastAsia="IRNazanin" w:cs="IRNazanin"/>
          <w:b w:val="false"/>
          <w:bCs w:val="false"/>
          <w:i w:val="false"/>
          <w:iCs w:val="false"/>
          <w:color w:val="333333"/>
          <w:sz w:val="20"/>
          <w:szCs w:val="20"/>
          <w:rtl w:val="true"/>
        </w:rPr>
        <w:t>.</w:t>
      </w:r>
    </w:p>
  </w:footnote>
  <w:footnote w:id="1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یأتی تفسیرهما فی الفصل الثالث من کتاب الدیات</w:t>
      </w:r>
      <w:r>
        <w:rPr>
          <w:rFonts w:eastAsia="IRNazanin" w:cs="IRNazanin"/>
          <w:b w:val="false"/>
          <w:bCs w:val="false"/>
          <w:i w:val="false"/>
          <w:iCs w:val="false"/>
          <w:color w:val="333333"/>
          <w:sz w:val="20"/>
          <w:szCs w:val="20"/>
          <w:rtl w:val="true"/>
        </w:rPr>
        <w:t>.</w:t>
      </w:r>
    </w:p>
  </w:footnote>
  <w:footnote w:id="1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یأتی تفسیرهما فی الفصل الثالث من کتاب الدیات</w:t>
      </w:r>
      <w:r>
        <w:rPr>
          <w:rFonts w:eastAsia="IRNazanin" w:cs="IRNazanin"/>
          <w:b w:val="false"/>
          <w:bCs w:val="false"/>
          <w:i w:val="false"/>
          <w:iCs w:val="false"/>
          <w:color w:val="333333"/>
          <w:sz w:val="20"/>
          <w:szCs w:val="20"/>
          <w:rtl w:val="true"/>
        </w:rPr>
        <w:t>.</w:t>
      </w:r>
    </w:p>
  </w:footnote>
  <w:footnote w:id="1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الشیخ فی المبسوط </w:t>
      </w:r>
      <w:r>
        <w:rPr>
          <w:rFonts w:eastAsia="IRNazanin" w:cs="IRNazanin"/>
          <w:b w:val="false"/>
          <w:bCs w:val="false"/>
          <w:i w:val="false"/>
          <w:iCs w:val="false"/>
          <w:color w:val="333333"/>
          <w:sz w:val="20"/>
          <w:szCs w:val="20"/>
        </w:rPr>
        <w:t>7:75</w:t>
      </w:r>
      <w:r>
        <w:rPr>
          <w:rFonts w:eastAsia="IRNazanin" w:cs="IRNazanin"/>
          <w:b w:val="false"/>
          <w:bCs w:val="false"/>
          <w:i w:val="false"/>
          <w:iCs w:val="false"/>
          <w:color w:val="333333"/>
          <w:sz w:val="20"/>
          <w:szCs w:val="20"/>
          <w:rtl w:val="true"/>
        </w:rPr>
        <w:t>.</w:t>
      </w:r>
    </w:p>
  </w:footnote>
  <w:footnote w:id="1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15:11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39746</w:t>
      </w:r>
      <w:r>
        <w:rPr>
          <w:rFonts w:ascii="IRNazanin" w:hAnsi="IRNazanin" w:eastAsia="IRNazanin"/>
          <w:b w:val="false"/>
          <w:b w:val="false"/>
          <w:bCs w:val="false"/>
          <w:i w:val="false"/>
          <w:i w:val="false"/>
          <w:iCs w:val="false"/>
          <w:color w:val="333333"/>
          <w:sz w:val="20"/>
          <w:sz w:val="20"/>
          <w:szCs w:val="20"/>
          <w:rtl w:val="true"/>
        </w:rPr>
        <w:t xml:space="preserve">، وسنن البیهقی </w:t>
      </w:r>
      <w:r>
        <w:rPr>
          <w:rFonts w:eastAsia="IRNazanin" w:cs="IRNazanin"/>
          <w:b w:val="false"/>
          <w:bCs w:val="false"/>
          <w:i w:val="false"/>
          <w:iCs w:val="false"/>
          <w:color w:val="333333"/>
          <w:sz w:val="20"/>
          <w:szCs w:val="20"/>
        </w:rPr>
        <w:t>8:62</w:t>
      </w:r>
      <w:r>
        <w:rPr>
          <w:rFonts w:ascii="IRNazanin" w:hAnsi="IRNazanin" w:eastAsia="IRNazanin"/>
          <w:b w:val="false"/>
          <w:b w:val="false"/>
          <w:bCs w:val="false"/>
          <w:i w:val="false"/>
          <w:i w:val="false"/>
          <w:iCs w:val="false"/>
          <w:color w:val="333333"/>
          <w:sz w:val="20"/>
          <w:sz w:val="20"/>
          <w:szCs w:val="20"/>
          <w:rtl w:val="true"/>
        </w:rPr>
        <w:t>، وفیهما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قود إلّابحدیدة</w:t>
      </w:r>
      <w:r>
        <w:rPr>
          <w:rFonts w:eastAsia="IRNazanin" w:cs="IRNazanin"/>
          <w:b w:val="false"/>
          <w:bCs w:val="false"/>
          <w:i w:val="false"/>
          <w:iCs w:val="false"/>
          <w:color w:val="333333"/>
          <w:sz w:val="20"/>
          <w:szCs w:val="20"/>
          <w:rtl w:val="true"/>
        </w:rPr>
        <w:t>» .</w:t>
      </w:r>
    </w:p>
  </w:footnote>
  <w:footnote w:id="1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لفظ الحدیث عن الباقر علیه السلام قال محمدّ بن قیس 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أعور فقأ عینَ صحیح متعمّداً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تفقأ عینه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فیکون أعمی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الحقّ أعماه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19:134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قصاص الطرف، الحدیث الأوّل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 .</w:t>
      </w:r>
    </w:p>
  </w:footnote>
  <w:footnote w:id="1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فی المختلف </w:t>
      </w:r>
      <w:r>
        <w:rPr>
          <w:rFonts w:eastAsia="IRNazanin" w:cs="IRNazanin"/>
          <w:b w:val="false"/>
          <w:bCs w:val="false"/>
          <w:i w:val="false"/>
          <w:iCs w:val="false"/>
          <w:color w:val="333333"/>
          <w:sz w:val="20"/>
          <w:szCs w:val="20"/>
        </w:rPr>
        <w:t>9:362</w:t>
      </w:r>
      <w:r>
        <w:rPr>
          <w:rFonts w:ascii="IRNazanin" w:hAnsi="IRNazanin" w:eastAsia="IRNazanin"/>
          <w:b w:val="false"/>
          <w:b w:val="false"/>
          <w:bCs w:val="false"/>
          <w:i w:val="false"/>
          <w:i w:val="false"/>
          <w:iCs w:val="false"/>
          <w:color w:val="333333"/>
          <w:sz w:val="20"/>
          <w:sz w:val="20"/>
          <w:szCs w:val="20"/>
          <w:rtl w:val="true"/>
        </w:rPr>
        <w:t>، ولکن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کانت له الدیة کاملة؛ لأنّ الجانی أذهب جمیع بصره</w:t>
      </w:r>
      <w:r>
        <w:rPr>
          <w:rFonts w:eastAsia="IRNazanin" w:cs="IRNazanin"/>
          <w:b w:val="false"/>
          <w:bCs w:val="false"/>
          <w:i w:val="false"/>
          <w:iCs w:val="false"/>
          <w:color w:val="333333"/>
          <w:sz w:val="20"/>
          <w:szCs w:val="20"/>
          <w:rtl w:val="true"/>
        </w:rPr>
        <w:t>.</w:t>
      </w:r>
    </w:p>
  </w:footnote>
  <w:footnote w:id="1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7:146</w:t>
      </w:r>
      <w:r>
        <w:rPr>
          <w:rFonts w:ascii="IRNazanin" w:hAnsi="IRNazanin" w:eastAsia="IRNazanin"/>
          <w:b w:val="false"/>
          <w:b w:val="false"/>
          <w:bCs w:val="false"/>
          <w:i w:val="false"/>
          <w:i w:val="false"/>
          <w:iCs w:val="false"/>
          <w:color w:val="333333"/>
          <w:sz w:val="20"/>
          <w:sz w:val="20"/>
          <w:szCs w:val="20"/>
          <w:rtl w:val="true"/>
        </w:rPr>
        <w:t>، والنهایة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766</w:t>
      </w:r>
      <w:r>
        <w:rPr>
          <w:rFonts w:ascii="IRNazanin" w:hAnsi="IRNazanin" w:eastAsia="IRNazanin"/>
          <w:b w:val="false"/>
          <w:b w:val="false"/>
          <w:bCs w:val="false"/>
          <w:i w:val="false"/>
          <w:i w:val="false"/>
          <w:iCs w:val="false"/>
          <w:color w:val="333333"/>
          <w:sz w:val="20"/>
          <w:sz w:val="20"/>
          <w:szCs w:val="20"/>
          <w:rtl w:val="true"/>
        </w:rPr>
        <w:t>، وقوله الآخر هو الذی اختاره المصنّف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الخلاف </w:t>
      </w:r>
      <w:r>
        <w:rPr>
          <w:rFonts w:eastAsia="IRNazanin" w:cs="IRNazanin"/>
          <w:b w:val="false"/>
          <w:bCs w:val="false"/>
          <w:i w:val="false"/>
          <w:iCs w:val="false"/>
          <w:color w:val="333333"/>
          <w:sz w:val="20"/>
          <w:szCs w:val="20"/>
        </w:rPr>
        <w:t>5:251</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 ابن حمزة فی الوسیلة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وسلّار فی المراسم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والعلّامة فی المختلف </w:t>
      </w:r>
      <w:r>
        <w:rPr>
          <w:rFonts w:eastAsia="IRNazanin" w:cs="IRNazanin"/>
          <w:b w:val="false"/>
          <w:bCs w:val="false"/>
          <w:i w:val="false"/>
          <w:iCs w:val="false"/>
          <w:color w:val="333333"/>
          <w:sz w:val="20"/>
          <w:szCs w:val="20"/>
        </w:rPr>
        <w:t>9:364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1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19:252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دیات الأعضاء، الحدیث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ویعفی عن عین صاحبه</w:t>
      </w:r>
      <w:r>
        <w:rPr>
          <w:rFonts w:eastAsia="IRNazanin" w:cs="IRNazanin"/>
          <w:b w:val="false"/>
          <w:bCs w:val="false"/>
          <w:i w:val="false"/>
          <w:iCs w:val="false"/>
          <w:color w:val="333333"/>
          <w:sz w:val="20"/>
          <w:szCs w:val="20"/>
          <w:rtl w:val="true"/>
        </w:rPr>
        <w:t>» .</w:t>
      </w:r>
    </w:p>
  </w:footnote>
  <w:footnote w:id="1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عدّة الاُصول </w:t>
      </w:r>
      <w:r>
        <w:rPr>
          <w:rFonts w:eastAsia="IRNazanin" w:cs="IRNazanin"/>
          <w:b w:val="false"/>
          <w:bCs w:val="false"/>
          <w:i w:val="false"/>
          <w:iCs w:val="false"/>
          <w:color w:val="333333"/>
          <w:sz w:val="20"/>
          <w:szCs w:val="20"/>
        </w:rPr>
        <w:t>2:527</w:t>
      </w:r>
      <w:r>
        <w:rPr>
          <w:rFonts w:eastAsia="IRNazanin" w:cs="IRNazanin"/>
          <w:b w:val="false"/>
          <w:bCs w:val="false"/>
          <w:i w:val="false"/>
          <w:iCs w:val="false"/>
          <w:color w:val="333333"/>
          <w:sz w:val="20"/>
          <w:szCs w:val="20"/>
          <w:rtl w:val="true"/>
        </w:rPr>
        <w:t>.</w:t>
      </w:r>
    </w:p>
  </w:footnote>
  <w:footnote w:id="1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عدم الردّ وأصالة البراءة</w:t>
      </w:r>
      <w:r>
        <w:rPr>
          <w:rFonts w:eastAsia="IRNazanin" w:cs="IRNazanin"/>
          <w:b w:val="false"/>
          <w:bCs w:val="false"/>
          <w:i w:val="false"/>
          <w:iCs w:val="false"/>
          <w:color w:val="333333"/>
          <w:sz w:val="20"/>
          <w:szCs w:val="20"/>
          <w:rtl w:val="true"/>
        </w:rPr>
        <w:t>.</w:t>
      </w:r>
    </w:p>
  </w:footnote>
  <w:footnote w:id="1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4:236</w:t>
      </w:r>
      <w:r>
        <w:rPr>
          <w:rFonts w:eastAsia="IRNazanin" w:cs="IRNazanin"/>
          <w:b w:val="false"/>
          <w:bCs w:val="false"/>
          <w:i w:val="false"/>
          <w:iCs w:val="false"/>
          <w:color w:val="333333"/>
          <w:sz w:val="20"/>
          <w:szCs w:val="20"/>
          <w:rtl w:val="true"/>
        </w:rPr>
        <w:t>.</w:t>
      </w:r>
    </w:p>
  </w:footnote>
  <w:footnote w:id="1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التحریر </w:t>
      </w:r>
      <w:r>
        <w:rPr>
          <w:rFonts w:eastAsia="IRNazanin" w:cs="IRNazanin"/>
          <w:b w:val="false"/>
          <w:bCs w:val="false"/>
          <w:i w:val="false"/>
          <w:iCs w:val="false"/>
          <w:color w:val="333333"/>
          <w:sz w:val="20"/>
          <w:szCs w:val="20"/>
        </w:rPr>
        <w:t>5:511</w:t>
      </w:r>
      <w:r>
        <w:rPr>
          <w:rFonts w:eastAsia="IRNazanin" w:cs="IRNazanin"/>
          <w:b w:val="false"/>
          <w:bCs w:val="false"/>
          <w:i w:val="false"/>
          <w:iCs w:val="false"/>
          <w:color w:val="333333"/>
          <w:sz w:val="20"/>
          <w:szCs w:val="20"/>
          <w:rtl w:val="true"/>
        </w:rPr>
        <w:t>.</w:t>
      </w:r>
    </w:p>
  </w:footnote>
  <w:footnote w:id="1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9:365</w:t>
      </w:r>
      <w:r>
        <w:rPr>
          <w:rFonts w:eastAsia="IRNazanin" w:cs="IRNazanin"/>
          <w:b w:val="false"/>
          <w:bCs w:val="false"/>
          <w:i w:val="false"/>
          <w:iCs w:val="false"/>
          <w:color w:val="333333"/>
          <w:sz w:val="20"/>
          <w:szCs w:val="20"/>
          <w:rtl w:val="true"/>
        </w:rPr>
        <w:t>.</w:t>
      </w:r>
    </w:p>
  </w:footnote>
  <w:footnote w:id="1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ما ذهب إلیه ابن الجنید وجماعة، والمناسب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 التعبیر بالأوّل نسبیّ بملاحظة ما ذکره أخیراً فی توجیه منشأ توقّف المصنّف</w:t>
      </w:r>
      <w:r>
        <w:rPr>
          <w:rFonts w:eastAsia="IRNazanin" w:cs="IRNazanin"/>
          <w:b w:val="false"/>
          <w:bCs w:val="false"/>
          <w:i w:val="false"/>
          <w:iCs w:val="false"/>
          <w:color w:val="333333"/>
          <w:sz w:val="20"/>
          <w:szCs w:val="20"/>
          <w:rtl w:val="true"/>
        </w:rPr>
        <w:t>.</w:t>
      </w:r>
    </w:p>
  </w:footnote>
  <w:footnote w:id="1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3:639</w:t>
      </w:r>
      <w:r>
        <w:rPr>
          <w:rFonts w:ascii="IRNazanin" w:hAnsi="IRNazanin" w:eastAsia="IRNazanin"/>
          <w:b w:val="false"/>
          <w:b w:val="false"/>
          <w:bCs w:val="false"/>
          <w:i w:val="false"/>
          <w:i w:val="false"/>
          <w:iCs w:val="false"/>
          <w:color w:val="333333"/>
          <w:sz w:val="20"/>
          <w:sz w:val="20"/>
          <w:szCs w:val="20"/>
          <w:rtl w:val="true"/>
        </w:rPr>
        <w:t xml:space="preserve">، والإرشاد </w:t>
      </w:r>
      <w:r>
        <w:rPr>
          <w:rFonts w:eastAsia="IRNazanin" w:cs="IRNazanin"/>
          <w:b w:val="false"/>
          <w:bCs w:val="false"/>
          <w:i w:val="false"/>
          <w:iCs w:val="false"/>
          <w:color w:val="333333"/>
          <w:sz w:val="20"/>
          <w:szCs w:val="20"/>
        </w:rPr>
        <w:t>2:207</w:t>
      </w:r>
      <w:r>
        <w:rPr>
          <w:rFonts w:eastAsia="IRNazanin" w:cs="IRNazanin"/>
          <w:b w:val="false"/>
          <w:bCs w:val="false"/>
          <w:i w:val="false"/>
          <w:iCs w:val="false"/>
          <w:color w:val="333333"/>
          <w:sz w:val="20"/>
          <w:szCs w:val="20"/>
          <w:rtl w:val="true"/>
        </w:rPr>
        <w:t>.</w:t>
      </w:r>
    </w:p>
  </w:footnote>
  <w:footnote w:id="1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ما اختاره المصنّف من عدم وجوب ردّ شیء</w:t>
      </w:r>
      <w:r>
        <w:rPr>
          <w:rFonts w:eastAsia="IRNazanin" w:cs="IRNazanin"/>
          <w:b w:val="false"/>
          <w:bCs w:val="false"/>
          <w:i w:val="false"/>
          <w:iCs w:val="false"/>
          <w:color w:val="333333"/>
          <w:sz w:val="20"/>
          <w:szCs w:val="20"/>
          <w:rtl w:val="true"/>
        </w:rPr>
        <w:t>.</w:t>
      </w:r>
    </w:p>
  </w:footnote>
  <w:footnote w:id="1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غایة المراد </w:t>
      </w:r>
      <w:r>
        <w:rPr>
          <w:rFonts w:eastAsia="IRNazanin" w:cs="IRNazanin"/>
          <w:b w:val="false"/>
          <w:bCs w:val="false"/>
          <w:i w:val="false"/>
          <w:iCs w:val="false"/>
          <w:color w:val="333333"/>
          <w:sz w:val="20"/>
          <w:szCs w:val="20"/>
        </w:rPr>
        <w:t>4:374</w:t>
      </w:r>
      <w:r>
        <w:rPr>
          <w:rFonts w:eastAsia="IRNazanin" w:cs="IRNazanin"/>
          <w:b w:val="false"/>
          <w:bCs w:val="false"/>
          <w:i w:val="false"/>
          <w:iCs w:val="false"/>
          <w:color w:val="333333"/>
          <w:sz w:val="20"/>
          <w:szCs w:val="20"/>
          <w:rtl w:val="true"/>
        </w:rPr>
        <w:t>.</w:t>
      </w:r>
    </w:p>
  </w:footnote>
  <w:footnote w:id="1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کنز العرفان </w:t>
      </w:r>
      <w:r>
        <w:rPr>
          <w:rFonts w:eastAsia="IRNazanin" w:cs="IRNazanin"/>
          <w:b w:val="false"/>
          <w:bCs w:val="false"/>
          <w:i w:val="false"/>
          <w:iCs w:val="false"/>
          <w:color w:val="333333"/>
          <w:sz w:val="20"/>
          <w:szCs w:val="20"/>
        </w:rPr>
        <w:t>2:355</w:t>
      </w:r>
      <w:r>
        <w:rPr>
          <w:rFonts w:eastAsia="IRNazanin" w:cs="IRNazanin"/>
          <w:b w:val="false"/>
          <w:bCs w:val="false"/>
          <w:i w:val="false"/>
          <w:iCs w:val="false"/>
          <w:color w:val="333333"/>
          <w:sz w:val="20"/>
          <w:szCs w:val="20"/>
          <w:rtl w:val="true"/>
        </w:rPr>
        <w:t>.</w:t>
      </w:r>
    </w:p>
  </w:footnote>
  <w:footnote w:id="1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10:183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w:t>
      </w:r>
    </w:p>
  </w:footnote>
  <w:footnote w:id="1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یقدح</w:t>
      </w:r>
      <w:r>
        <w:rPr>
          <w:rFonts w:eastAsia="IRNazanin" w:cs="IRNazanin"/>
          <w:b w:val="false"/>
          <w:bCs w:val="false"/>
          <w:i w:val="false"/>
          <w:iCs w:val="false"/>
          <w:color w:val="333333"/>
          <w:sz w:val="20"/>
          <w:szCs w:val="20"/>
          <w:rtl w:val="true"/>
        </w:rPr>
        <w:t>.</w:t>
      </w:r>
    </w:p>
  </w:footnote>
  <w:footnote w:id="1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 فی صدر الآیة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کَتَبْنٰا عَلَیْهِمْ فِیهٰا أَنَّ اَلنَّفْسَ بِالنَّفْسِ</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فیکون معنی ذیل الآیة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کَتَبْنٰا عَلَیْهِمْ فِیهٰا أَنَّ مَنْ لَمْ یَحْکُمْ بِمٰا أَنْزَلَ اَللّٰهُ</w:t>
      </w:r>
      <w:r>
        <w:rPr>
          <w:rFonts w:eastAsia="IRNazanin" w:cs="IRNazanin"/>
          <w:b w:val="false"/>
          <w:bCs w:val="false"/>
          <w:i w:val="false"/>
          <w:iCs w:val="false"/>
          <w:color w:val="333333"/>
          <w:sz w:val="20"/>
          <w:szCs w:val="20"/>
          <w:rtl w:val="true"/>
        </w:rPr>
        <w:t>. . .</w:t>
      </w:r>
    </w:p>
  </w:footnote>
  <w:footnote w:id="1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هو العلّامة فی القواعد </w:t>
      </w:r>
      <w:r>
        <w:rPr>
          <w:rFonts w:eastAsia="IRNazanin" w:cs="IRNazanin"/>
          <w:b w:val="false"/>
          <w:bCs w:val="false"/>
          <w:i w:val="false"/>
          <w:iCs w:val="false"/>
          <w:color w:val="333333"/>
          <w:sz w:val="20"/>
          <w:szCs w:val="20"/>
        </w:rPr>
        <w:t>3:639</w:t>
      </w:r>
      <w:r>
        <w:rPr>
          <w:rFonts w:ascii="IRNazanin" w:hAnsi="IRNazanin" w:eastAsia="IRNazanin"/>
          <w:b w:val="false"/>
          <w:b w:val="false"/>
          <w:bCs w:val="false"/>
          <w:i w:val="false"/>
          <w:i w:val="false"/>
          <w:iCs w:val="false"/>
          <w:color w:val="333333"/>
          <w:sz w:val="20"/>
          <w:sz w:val="20"/>
          <w:szCs w:val="20"/>
          <w:rtl w:val="true"/>
        </w:rPr>
        <w:t xml:space="preserve">، والتحریر </w:t>
      </w:r>
      <w:r>
        <w:rPr>
          <w:rFonts w:eastAsia="IRNazanin" w:cs="IRNazanin"/>
          <w:b w:val="false"/>
          <w:bCs w:val="false"/>
          <w:i w:val="false"/>
          <w:iCs w:val="false"/>
          <w:color w:val="333333"/>
          <w:sz w:val="20"/>
          <w:szCs w:val="20"/>
        </w:rPr>
        <w:t>5:511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 وتلخیص المرام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الشرح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للشمس</w:t>
      </w:r>
      <w:r>
        <w:rPr>
          <w:rFonts w:eastAsia="IRNazanin" w:cs="IRNazanin"/>
          <w:b w:val="false"/>
          <w:bCs w:val="false"/>
          <w:i w:val="false"/>
          <w:iCs w:val="false"/>
          <w:color w:val="333333"/>
          <w:sz w:val="20"/>
          <w:szCs w:val="20"/>
          <w:rtl w:val="true"/>
        </w:rPr>
        <w:t>.</w:t>
      </w:r>
    </w:p>
  </w:footnote>
  <w:footnote w:id="1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19:129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قصاص الطرف، وفیه حدیث واحد نقل هنا بمضمونه</w:t>
      </w:r>
      <w:r>
        <w:rPr>
          <w:rFonts w:eastAsia="IRNazanin" w:cs="IRNazanin"/>
          <w:b w:val="false"/>
          <w:bCs w:val="false"/>
          <w:i w:val="false"/>
          <w:iCs w:val="false"/>
          <w:color w:val="333333"/>
          <w:sz w:val="20"/>
          <w:szCs w:val="20"/>
          <w:rtl w:val="true"/>
        </w:rPr>
        <w:t>.</w:t>
      </w:r>
    </w:p>
  </w:footnote>
  <w:footnote w:id="1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یرد فی المخطوطات</w:t>
      </w:r>
      <w:r>
        <w:rPr>
          <w:rFonts w:eastAsia="IRNazanin" w:cs="IRNazanin"/>
          <w:b w:val="false"/>
          <w:bCs w:val="false"/>
          <w:i w:val="false"/>
          <w:iCs w:val="false"/>
          <w:color w:val="333333"/>
          <w:sz w:val="20"/>
          <w:szCs w:val="20"/>
          <w:rtl w:val="true"/>
        </w:rPr>
        <w:t>.</w:t>
      </w:r>
    </w:p>
  </w:footnote>
  <w:footnote w:id="1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وضع الکافور فی العین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 .</w:t>
      </w:r>
    </w:p>
  </w:footnote>
  <w:footnote w:id="1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طریقها ابن فضّال، عن سلیمان الدهّان، والأوّل فطحی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10:283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والثانی مجهول</w:t>
      </w:r>
      <w:r>
        <w:rPr>
          <w:rFonts w:eastAsia="IRNazanin" w:cs="IRNazanin"/>
          <w:b w:val="false"/>
          <w:bCs w:val="false"/>
          <w:i w:val="false"/>
          <w:iCs w:val="false"/>
          <w:color w:val="333333"/>
          <w:sz w:val="20"/>
          <w:szCs w:val="20"/>
          <w:rtl w:val="true"/>
        </w:rPr>
        <w:t>.</w:t>
      </w:r>
    </w:p>
  </w:footnote>
  <w:footnote w:id="1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یثبت</w:t>
      </w:r>
      <w:r>
        <w:rPr>
          <w:rFonts w:eastAsia="IRNazanin" w:cs="IRNazanin"/>
          <w:b w:val="false"/>
          <w:bCs w:val="false"/>
          <w:i w:val="false"/>
          <w:iCs w:val="false"/>
          <w:color w:val="333333"/>
          <w:sz w:val="20"/>
          <w:szCs w:val="20"/>
          <w:rtl w:val="true"/>
        </w:rPr>
        <w:t>.</w:t>
      </w:r>
    </w:p>
  </w:footnote>
  <w:footnote w:id="1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علی وجه یثبت، وما لا یثبت</w:t>
      </w:r>
      <w:r>
        <w:rPr>
          <w:rFonts w:eastAsia="IRNazanin" w:cs="IRNazanin"/>
          <w:b w:val="false"/>
          <w:bCs w:val="false"/>
          <w:i w:val="false"/>
          <w:iCs w:val="false"/>
          <w:color w:val="333333"/>
          <w:sz w:val="20"/>
          <w:szCs w:val="20"/>
          <w:rtl w:val="true"/>
        </w:rPr>
        <w:t>.</w:t>
      </w:r>
    </w:p>
  </w:footnote>
  <w:footnote w:id="1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w:t>
      </w:r>
    </w:p>
  </w:footnote>
  <w:footnote w:id="1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حمزة فی الوسیلة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وابن زهرة فی الغنیة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 ونقل العلّامة فی المختلف </w:t>
      </w:r>
      <w:r>
        <w:rPr>
          <w:rFonts w:eastAsia="IRNazanin" w:cs="IRNazanin"/>
          <w:b w:val="false"/>
          <w:bCs w:val="false"/>
          <w:i w:val="false"/>
          <w:iCs w:val="false"/>
          <w:color w:val="333333"/>
          <w:sz w:val="20"/>
          <w:szCs w:val="20"/>
        </w:rPr>
        <w:t>9:357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جماعة ثبوت الدیة فیه</w:t>
      </w:r>
      <w:r>
        <w:rPr>
          <w:rFonts w:eastAsia="IRNazanin" w:cs="IRNazanin"/>
          <w:b w:val="false"/>
          <w:bCs w:val="false"/>
          <w:i w:val="false"/>
          <w:iCs w:val="false"/>
          <w:color w:val="333333"/>
          <w:sz w:val="20"/>
          <w:szCs w:val="20"/>
          <w:rtl w:val="true"/>
        </w:rPr>
        <w:t>.</w:t>
      </w:r>
    </w:p>
  </w:footnote>
  <w:footnote w:id="1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3:639</w:t>
      </w:r>
      <w:r>
        <w:rPr>
          <w:rFonts w:eastAsia="IRNazanin" w:cs="IRNazanin"/>
          <w:b w:val="false"/>
          <w:bCs w:val="false"/>
          <w:i w:val="false"/>
          <w:iCs w:val="false"/>
          <w:color w:val="333333"/>
          <w:sz w:val="20"/>
          <w:szCs w:val="20"/>
          <w:rtl w:val="true"/>
        </w:rPr>
        <w:t>.</w:t>
      </w:r>
    </w:p>
  </w:footnote>
  <w:footnote w:id="1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یستوفی</w:t>
      </w:r>
      <w:r>
        <w:rPr>
          <w:rFonts w:eastAsia="IRNazanin" w:cs="IRNazanin"/>
          <w:b w:val="false"/>
          <w:bCs w:val="false"/>
          <w:i w:val="false"/>
          <w:iCs w:val="false"/>
          <w:color w:val="333333"/>
          <w:sz w:val="20"/>
          <w:szCs w:val="20"/>
          <w:rtl w:val="true"/>
        </w:rPr>
        <w:t>.</w:t>
      </w:r>
    </w:p>
  </w:footnote>
  <w:footnote w:id="1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الأقنی من الاُنوف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ارتفع وسط قصبته وضاق منخره</w:t>
      </w:r>
      <w:r>
        <w:rPr>
          <w:rFonts w:eastAsia="IRNazanin" w:cs="IRNazanin"/>
          <w:b w:val="false"/>
          <w:bCs w:val="false"/>
          <w:i w:val="false"/>
          <w:iCs w:val="false"/>
          <w:color w:val="333333"/>
          <w:sz w:val="20"/>
          <w:szCs w:val="20"/>
          <w:rtl w:val="true"/>
        </w:rPr>
        <w:t>.</w:t>
      </w:r>
    </w:p>
  </w:footnote>
  <w:footnote w:id="1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انخفض وسط قصبته</w:t>
      </w:r>
      <w:r>
        <w:rPr>
          <w:rFonts w:eastAsia="IRNazanin" w:cs="IRNazanin"/>
          <w:b w:val="false"/>
          <w:bCs w:val="false"/>
          <w:i w:val="false"/>
          <w:iCs w:val="false"/>
          <w:color w:val="333333"/>
          <w:sz w:val="20"/>
          <w:szCs w:val="20"/>
          <w:rtl w:val="true"/>
        </w:rPr>
        <w:t>.</w:t>
      </w:r>
    </w:p>
  </w:footnote>
  <w:footnote w:id="1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یأتی فی کتاب الدیات شرح أقسام الأسنان واسم کلّ منها</w:t>
      </w:r>
      <w:r>
        <w:rPr>
          <w:rFonts w:eastAsia="IRNazanin" w:cs="IRNazanin"/>
          <w:b w:val="false"/>
          <w:bCs w:val="false"/>
          <w:i w:val="false"/>
          <w:iCs w:val="false"/>
          <w:color w:val="333333"/>
          <w:sz w:val="20"/>
          <w:szCs w:val="20"/>
          <w:rtl w:val="true"/>
        </w:rPr>
        <w:t>.</w:t>
      </w:r>
    </w:p>
  </w:footnote>
  <w:footnote w:id="1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ونسخةٍ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بینهما</w:t>
      </w:r>
      <w:r>
        <w:rPr>
          <w:rFonts w:eastAsia="IRNazanin" w:cs="IRNazanin"/>
          <w:b w:val="false"/>
          <w:bCs w:val="false"/>
          <w:i w:val="false"/>
          <w:iCs w:val="false"/>
          <w:color w:val="333333"/>
          <w:sz w:val="20"/>
          <w:szCs w:val="20"/>
          <w:rtl w:val="true"/>
        </w:rPr>
        <w:t>.</w:t>
      </w:r>
    </w:p>
  </w:footnote>
  <w:footnote w:id="1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بزیادة</w:t>
      </w:r>
      <w:r>
        <w:rPr>
          <w:rFonts w:eastAsia="IRNazanin" w:cs="IRNazanin"/>
          <w:b w:val="false"/>
          <w:bCs w:val="false"/>
          <w:i w:val="false"/>
          <w:iCs w:val="false"/>
          <w:color w:val="333333"/>
          <w:sz w:val="20"/>
          <w:szCs w:val="20"/>
          <w:rtl w:val="true"/>
        </w:rPr>
        <w:t>.</w:t>
      </w:r>
    </w:p>
  </w:footnote>
  <w:footnote w:id="1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1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حیث کونهما یمینین أو یسارین</w:t>
      </w:r>
      <w:r>
        <w:rPr>
          <w:rFonts w:eastAsia="IRNazanin" w:cs="IRNazanin"/>
          <w:b w:val="false"/>
          <w:bCs w:val="false"/>
          <w:i w:val="false"/>
          <w:iCs w:val="false"/>
          <w:color w:val="333333"/>
          <w:sz w:val="20"/>
          <w:szCs w:val="20"/>
          <w:rtl w:val="true"/>
        </w:rPr>
        <w:t>.</w:t>
      </w:r>
    </w:p>
  </w:footnote>
  <w:footnote w:id="1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لوجوب</w:t>
      </w:r>
      <w:r>
        <w:rPr>
          <w:rFonts w:eastAsia="IRNazanin" w:cs="IRNazanin"/>
          <w:b w:val="false"/>
          <w:bCs w:val="false"/>
          <w:i w:val="false"/>
          <w:iCs w:val="false"/>
          <w:color w:val="333333"/>
          <w:sz w:val="20"/>
          <w:szCs w:val="20"/>
          <w:rtl w:val="true"/>
        </w:rPr>
        <w:t>.</w:t>
      </w:r>
    </w:p>
  </w:footnote>
  <w:footnote w:id="1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نسخ المتن والشرح، والقیاس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الإصبع</w:t>
      </w:r>
      <w:r>
        <w:rPr>
          <w:rFonts w:eastAsia="IRNazanin" w:cs="IRNazanin"/>
          <w:b w:val="false"/>
          <w:bCs w:val="false"/>
          <w:i w:val="false"/>
          <w:iCs w:val="false"/>
          <w:color w:val="333333"/>
          <w:sz w:val="20"/>
          <w:szCs w:val="20"/>
          <w:rtl w:val="true"/>
        </w:rPr>
        <w:t>.</w:t>
      </w:r>
    </w:p>
  </w:footnote>
  <w:footnote w:id="1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بدایة المجتهد </w:t>
      </w:r>
      <w:r>
        <w:rPr>
          <w:rFonts w:eastAsia="IRNazanin" w:cs="IRNazanin"/>
          <w:b w:val="false"/>
          <w:bCs w:val="false"/>
          <w:i w:val="false"/>
          <w:iCs w:val="false"/>
          <w:color w:val="333333"/>
          <w:sz w:val="20"/>
          <w:szCs w:val="20"/>
        </w:rPr>
        <w:t>2:401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1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القصاص فی النفس،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العلّامة فی المختلف </w:t>
      </w:r>
      <w:r>
        <w:rPr>
          <w:rFonts w:eastAsia="IRNazanin" w:cs="IRNazanin"/>
          <w:b w:val="false"/>
          <w:bCs w:val="false"/>
          <w:i w:val="false"/>
          <w:iCs w:val="false"/>
          <w:color w:val="333333"/>
          <w:sz w:val="20"/>
          <w:szCs w:val="20"/>
        </w:rPr>
        <w:t>9:274</w:t>
      </w:r>
      <w:r>
        <w:rPr>
          <w:rFonts w:eastAsia="IRNazanin" w:cs="IRNazanin"/>
          <w:b w:val="false"/>
          <w:bCs w:val="false"/>
          <w:i w:val="false"/>
          <w:iCs w:val="false"/>
          <w:color w:val="333333"/>
          <w:sz w:val="20"/>
          <w:szCs w:val="20"/>
          <w:rtl w:val="true"/>
        </w:rPr>
        <w:t>.</w:t>
      </w:r>
    </w:p>
  </w:footnote>
  <w:footnote w:id="1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19:145</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دیات النفس، آخر الحدیث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وفیه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العلاء بن الفضیل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وکذا فی المصادر</w:t>
      </w:r>
      <w:r>
        <w:rPr>
          <w:rFonts w:eastAsia="IRNazanin" w:cs="IRNazanin"/>
          <w:b w:val="false"/>
          <w:bCs w:val="false"/>
          <w:i w:val="false"/>
          <w:iCs w:val="false"/>
          <w:color w:val="333333"/>
          <w:sz w:val="20"/>
          <w:szCs w:val="20"/>
          <w:rtl w:val="true"/>
        </w:rPr>
        <w:t>.</w:t>
      </w:r>
    </w:p>
  </w:footnote>
  <w:footnote w:id="1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عدلین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شرحاً لا متناً</w:t>
      </w:r>
      <w:r>
        <w:rPr>
          <w:rFonts w:eastAsia="IRNazanin" w:cs="IRNazanin"/>
          <w:b w:val="false"/>
          <w:bCs w:val="false"/>
          <w:i w:val="false"/>
          <w:iCs w:val="false"/>
          <w:color w:val="333333"/>
          <w:sz w:val="20"/>
          <w:szCs w:val="20"/>
          <w:rtl w:val="true"/>
        </w:rPr>
        <w:t>) .</w:t>
      </w:r>
    </w:p>
  </w:footnote>
  <w:footnote w:id="1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3:628</w:t>
      </w:r>
      <w:r>
        <w:rPr>
          <w:rFonts w:eastAsia="IRNazanin" w:cs="IRNazanin"/>
          <w:b w:val="false"/>
          <w:bCs w:val="false"/>
          <w:i w:val="false"/>
          <w:iCs w:val="false"/>
          <w:color w:val="333333"/>
          <w:sz w:val="20"/>
          <w:szCs w:val="20"/>
          <w:rtl w:val="true"/>
        </w:rPr>
        <w:t>.</w:t>
      </w:r>
    </w:p>
  </w:footnote>
  <w:footnote w:id="1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العلّامة فی المختلف </w:t>
      </w:r>
      <w:r>
        <w:rPr>
          <w:rFonts w:eastAsia="IRNazanin" w:cs="IRNazanin"/>
          <w:b w:val="false"/>
          <w:bCs w:val="false"/>
          <w:i w:val="false"/>
          <w:iCs w:val="false"/>
          <w:color w:val="333333"/>
          <w:sz w:val="20"/>
          <w:szCs w:val="20"/>
        </w:rPr>
        <w:t>9:444</w:t>
      </w:r>
      <w:r>
        <w:rPr>
          <w:rFonts w:eastAsia="IRNazanin" w:cs="IRNazanin"/>
          <w:b w:val="false"/>
          <w:bCs w:val="false"/>
          <w:i w:val="false"/>
          <w:iCs w:val="false"/>
          <w:color w:val="333333"/>
          <w:sz w:val="20"/>
          <w:szCs w:val="20"/>
          <w:rtl w:val="true"/>
        </w:rPr>
        <w:t>.</w:t>
      </w:r>
    </w:p>
  </w:footnote>
  <w:footnote w:id="1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متوجّه</w:t>
      </w:r>
      <w:r>
        <w:rPr>
          <w:rFonts w:eastAsia="IRNazanin" w:cs="IRNazanin"/>
          <w:b w:val="false"/>
          <w:bCs w:val="false"/>
          <w:i w:val="false"/>
          <w:iCs w:val="false"/>
          <w:color w:val="333333"/>
          <w:sz w:val="20"/>
          <w:szCs w:val="20"/>
          <w:rtl w:val="true"/>
        </w:rPr>
        <w:t>.</w:t>
      </w:r>
    </w:p>
  </w:footnote>
  <w:footnote w:id="1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w:t>
      </w:r>
    </w:p>
  </w:footnote>
  <w:footnote w:id="1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فی الشرائع </w:t>
      </w:r>
      <w:r>
        <w:rPr>
          <w:rFonts w:eastAsia="IRNazanin" w:cs="IRNazanin"/>
          <w:b w:val="false"/>
          <w:bCs w:val="false"/>
          <w:i w:val="false"/>
          <w:iCs w:val="false"/>
          <w:color w:val="333333"/>
          <w:sz w:val="20"/>
          <w:szCs w:val="20"/>
        </w:rPr>
        <w:t>4:201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والعلّامة فی الإرشاد </w:t>
      </w:r>
      <w:r>
        <w:rPr>
          <w:rFonts w:eastAsia="IRNazanin" w:cs="IRNazanin"/>
          <w:b w:val="false"/>
          <w:bCs w:val="false"/>
          <w:i w:val="false"/>
          <w:iCs w:val="false"/>
          <w:color w:val="333333"/>
          <w:sz w:val="20"/>
          <w:szCs w:val="20"/>
        </w:rPr>
        <w:t>2:199</w:t>
      </w:r>
      <w:r>
        <w:rPr>
          <w:rFonts w:ascii="IRNazanin" w:hAnsi="IRNazanin" w:eastAsia="IRNazanin"/>
          <w:b w:val="false"/>
          <w:b w:val="false"/>
          <w:bCs w:val="false"/>
          <w:i w:val="false"/>
          <w:i w:val="false"/>
          <w:iCs w:val="false"/>
          <w:color w:val="333333"/>
          <w:sz w:val="20"/>
          <w:sz w:val="20"/>
          <w:szCs w:val="20"/>
          <w:rtl w:val="true"/>
        </w:rPr>
        <w:t xml:space="preserve">، والتحریر </w:t>
      </w:r>
      <w:r>
        <w:rPr>
          <w:rFonts w:eastAsia="IRNazanin" w:cs="IRNazanin"/>
          <w:b w:val="false"/>
          <w:bCs w:val="false"/>
          <w:i w:val="false"/>
          <w:iCs w:val="false"/>
          <w:color w:val="333333"/>
          <w:sz w:val="20"/>
          <w:szCs w:val="20"/>
        </w:rPr>
        <w:t>5:433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xml:space="preserve">، والصیمری فی غایة المرام </w:t>
      </w:r>
      <w:r>
        <w:rPr>
          <w:rFonts w:eastAsia="IRNazanin" w:cs="IRNazanin"/>
          <w:b w:val="false"/>
          <w:bCs w:val="false"/>
          <w:i w:val="false"/>
          <w:iCs w:val="false"/>
          <w:color w:val="333333"/>
          <w:sz w:val="20"/>
          <w:szCs w:val="20"/>
        </w:rPr>
        <w:t>4:369</w:t>
      </w:r>
      <w:r>
        <w:rPr>
          <w:rFonts w:eastAsia="IRNazanin" w:cs="IRNazanin"/>
          <w:b w:val="false"/>
          <w:bCs w:val="false"/>
          <w:i w:val="false"/>
          <w:iCs w:val="false"/>
          <w:color w:val="333333"/>
          <w:sz w:val="20"/>
          <w:szCs w:val="20"/>
          <w:rtl w:val="true"/>
        </w:rPr>
        <w:t>.</w:t>
      </w:r>
    </w:p>
  </w:footnote>
  <w:footnote w:id="1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القصاص فی النفس، الحدیث الأوّل</w:t>
      </w:r>
      <w:r>
        <w:rPr>
          <w:rFonts w:eastAsia="IRNazanin" w:cs="IRNazanin"/>
          <w:b w:val="false"/>
          <w:bCs w:val="false"/>
          <w:i w:val="false"/>
          <w:iCs w:val="false"/>
          <w:color w:val="333333"/>
          <w:sz w:val="20"/>
          <w:szCs w:val="20"/>
          <w:rtl w:val="true"/>
        </w:rPr>
        <w:t>.</w:t>
      </w:r>
    </w:p>
  </w:footnote>
  <w:footnote w:id="1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7:22</w:t>
      </w:r>
      <w:r>
        <w:rPr>
          <w:rFonts w:ascii="IRNazanin" w:hAnsi="IRNazanin" w:eastAsia="IRNazanin"/>
          <w:b w:val="false"/>
          <w:b w:val="false"/>
          <w:bCs w:val="false"/>
          <w:i w:val="false"/>
          <w:i w:val="false"/>
          <w:iCs w:val="false"/>
          <w:color w:val="333333"/>
          <w:sz w:val="20"/>
          <w:sz w:val="20"/>
          <w:szCs w:val="20"/>
          <w:rtl w:val="true"/>
        </w:rPr>
        <w:t xml:space="preserve">، والخلاف </w:t>
      </w:r>
      <w:r>
        <w:rPr>
          <w:rFonts w:eastAsia="IRNazanin" w:cs="IRNazanin"/>
          <w:b w:val="false"/>
          <w:bCs w:val="false"/>
          <w:i w:val="false"/>
          <w:iCs w:val="false"/>
          <w:color w:val="333333"/>
          <w:sz w:val="20"/>
          <w:szCs w:val="20"/>
        </w:rPr>
        <w:t>5:163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19:281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دیات المنافع، الحدیث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عبیدة الحذّاء عن الباقر علیه السلام</w:t>
      </w:r>
      <w:r>
        <w:rPr>
          <w:rFonts w:eastAsia="IRNazanin" w:cs="IRNazanin"/>
          <w:b w:val="false"/>
          <w:bCs w:val="false"/>
          <w:i w:val="false"/>
          <w:iCs w:val="false"/>
          <w:color w:val="333333"/>
          <w:sz w:val="20"/>
          <w:szCs w:val="20"/>
          <w:rtl w:val="true"/>
        </w:rPr>
        <w:t>.</w:t>
      </w:r>
    </w:p>
  </w:footnote>
  <w:footnote w:id="1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19:47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القصاص فی النفس،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المفید فی 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743</w:t>
      </w:r>
      <w:r>
        <w:rPr>
          <w:rFonts w:ascii="IRNazanin" w:hAnsi="IRNazanin" w:eastAsia="IRNazanin"/>
          <w:b w:val="false"/>
          <w:b w:val="false"/>
          <w:bCs w:val="false"/>
          <w:i w:val="false"/>
          <w:i w:val="false"/>
          <w:iCs w:val="false"/>
          <w:color w:val="333333"/>
          <w:sz w:val="20"/>
          <w:sz w:val="20"/>
          <w:szCs w:val="20"/>
          <w:rtl w:val="true"/>
        </w:rPr>
        <w:t xml:space="preserve">، ومن جلده إمام المسلمین حدّاً فی حقّ من حقوق اللّٰه عزّ وجلّ فمات لم یکن له دیة، فإن جلده حدّاً أو أدباً فی حقوق الناس فمات کان ضامناً لدیته، وتبعه الشیخ فی الاستبصار </w:t>
      </w:r>
      <w:r>
        <w:rPr>
          <w:rFonts w:eastAsia="IRNazanin" w:cs="IRNazanin"/>
          <w:b w:val="false"/>
          <w:bCs w:val="false"/>
          <w:i w:val="false"/>
          <w:iCs w:val="false"/>
          <w:color w:val="333333"/>
          <w:sz w:val="20"/>
          <w:szCs w:val="20"/>
        </w:rPr>
        <w:t>4:279</w:t>
      </w:r>
      <w:r>
        <w:rPr>
          <w:rFonts w:ascii="IRNazanin" w:hAnsi="IRNazanin" w:eastAsia="IRNazanin"/>
          <w:b w:val="false"/>
          <w:b w:val="false"/>
          <w:bCs w:val="false"/>
          <w:i w:val="false"/>
          <w:i w:val="false"/>
          <w:iCs w:val="false"/>
          <w:color w:val="333333"/>
          <w:sz w:val="20"/>
          <w:sz w:val="20"/>
          <w:szCs w:val="20"/>
          <w:rtl w:val="true"/>
        </w:rPr>
        <w:t xml:space="preserve">، ذیل الحدیث </w:t>
      </w:r>
      <w:r>
        <w:rPr>
          <w:rFonts w:eastAsia="IRNazanin" w:cs="IRNazanin"/>
          <w:b w:val="false"/>
          <w:bCs w:val="false"/>
          <w:i w:val="false"/>
          <w:iCs w:val="false"/>
          <w:color w:val="333333"/>
          <w:sz w:val="20"/>
          <w:szCs w:val="20"/>
        </w:rPr>
        <w:t>1056</w:t>
      </w:r>
      <w:r>
        <w:rPr>
          <w:rFonts w:eastAsia="IRNazanin" w:cs="IRNazanin"/>
          <w:b w:val="false"/>
          <w:bCs w:val="false"/>
          <w:i w:val="false"/>
          <w:iCs w:val="false"/>
          <w:color w:val="333333"/>
          <w:sz w:val="20"/>
          <w:szCs w:val="20"/>
          <w:rtl w:val="true"/>
        </w:rPr>
        <w:t>.</w:t>
      </w:r>
    </w:p>
  </w:footnote>
  <w:footnote w:id="1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19:46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القصاص فی النفس،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والظاهر أنّ ضعفه بحسن بن صالح بن حیّ الثوری وحاله فی الزیدیّة مشهور، المسالک </w:t>
      </w:r>
      <w:r>
        <w:rPr>
          <w:rFonts w:eastAsia="IRNazanin" w:cs="IRNazanin"/>
          <w:b w:val="false"/>
          <w:bCs w:val="false"/>
          <w:i w:val="false"/>
          <w:iCs w:val="false"/>
          <w:color w:val="333333"/>
          <w:sz w:val="20"/>
          <w:szCs w:val="20"/>
        </w:rPr>
        <w:t>16:287</w:t>
      </w:r>
      <w:r>
        <w:rPr>
          <w:rFonts w:eastAsia="IRNazanin" w:cs="IRNazanin"/>
          <w:b w:val="false"/>
          <w:bCs w:val="false"/>
          <w:i w:val="false"/>
          <w:iCs w:val="false"/>
          <w:color w:val="333333"/>
          <w:sz w:val="20"/>
          <w:szCs w:val="20"/>
          <w:rtl w:val="true"/>
        </w:rPr>
        <w:t>.</w:t>
      </w:r>
    </w:p>
  </w:footnote>
  <w:footnote w:id="1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فی الشرائع </w:t>
      </w:r>
      <w:r>
        <w:rPr>
          <w:rFonts w:eastAsia="IRNazanin" w:cs="IRNazanin"/>
          <w:b w:val="false"/>
          <w:bCs w:val="false"/>
          <w:i w:val="false"/>
          <w:iCs w:val="false"/>
          <w:color w:val="333333"/>
          <w:sz w:val="20"/>
          <w:szCs w:val="20"/>
        </w:rPr>
        <w:t>4:229</w:t>
      </w:r>
      <w:r>
        <w:rPr>
          <w:rFonts w:eastAsia="IRNazanin" w:cs="IRNazanin"/>
          <w:b w:val="false"/>
          <w:bCs w:val="false"/>
          <w:i w:val="false"/>
          <w:iCs w:val="false"/>
          <w:color w:val="333333"/>
          <w:sz w:val="20"/>
          <w:szCs w:val="20"/>
          <w:rtl w:val="true"/>
        </w:rPr>
        <w:t>.</w:t>
      </w:r>
    </w:p>
  </w:footnote>
  <w:footnote w:id="1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قاله الشیخ فی 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673</w:t>
      </w:r>
      <w:r>
        <w:rPr>
          <w:rFonts w:ascii="IRNazanin" w:hAnsi="IRNazanin" w:eastAsia="IRNazanin"/>
          <w:b w:val="false"/>
          <w:b w:val="false"/>
          <w:bCs w:val="false"/>
          <w:i w:val="false"/>
          <w:i w:val="false"/>
          <w:iCs w:val="false"/>
          <w:color w:val="333333"/>
          <w:sz w:val="20"/>
          <w:sz w:val="20"/>
          <w:szCs w:val="20"/>
          <w:rtl w:val="true"/>
        </w:rPr>
        <w:t>، وابن زهرة فی الغنیة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والکیدری فی إصباح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ذلک کلّه فی إرث الدیة وحکمه وحکم إرث القصاص واحد، کما صرّح به الشهید الثانی، راجع المسالک </w:t>
      </w:r>
      <w:r>
        <w:rPr>
          <w:rFonts w:eastAsia="IRNazanin" w:cs="IRNazanin"/>
          <w:b w:val="false"/>
          <w:bCs w:val="false"/>
          <w:i w:val="false"/>
          <w:iCs w:val="false"/>
          <w:color w:val="333333"/>
          <w:sz w:val="20"/>
          <w:szCs w:val="20"/>
        </w:rPr>
        <w:t>15:228</w:t>
      </w:r>
      <w:r>
        <w:rPr>
          <w:rFonts w:eastAsia="IRNazanin" w:cs="IRNazanin"/>
          <w:b w:val="false"/>
          <w:bCs w:val="false"/>
          <w:i w:val="false"/>
          <w:iCs w:val="false"/>
          <w:color w:val="333333"/>
          <w:sz w:val="20"/>
          <w:szCs w:val="20"/>
          <w:rtl w:val="true"/>
        </w:rPr>
        <w:t>.</w:t>
      </w:r>
    </w:p>
  </w:footnote>
  <w:footnote w:id="1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الشیخ فی الاستبصار </w:t>
      </w:r>
      <w:r>
        <w:rPr>
          <w:rFonts w:eastAsia="IRNazanin" w:cs="IRNazanin"/>
          <w:b w:val="false"/>
          <w:bCs w:val="false"/>
          <w:i w:val="false"/>
          <w:iCs w:val="false"/>
          <w:color w:val="333333"/>
          <w:sz w:val="20"/>
          <w:szCs w:val="20"/>
        </w:rPr>
        <w:t>4:263</w:t>
      </w:r>
      <w:r>
        <w:rPr>
          <w:rFonts w:ascii="IRNazanin" w:hAnsi="IRNazanin" w:eastAsia="IRNazanin"/>
          <w:b w:val="false"/>
          <w:b w:val="false"/>
          <w:bCs w:val="false"/>
          <w:i w:val="false"/>
          <w:i w:val="false"/>
          <w:iCs w:val="false"/>
          <w:color w:val="333333"/>
          <w:sz w:val="20"/>
          <w:sz w:val="20"/>
          <w:szCs w:val="20"/>
          <w:rtl w:val="true"/>
        </w:rPr>
        <w:t xml:space="preserve">، ذیل الحدیث </w:t>
      </w:r>
      <w:r>
        <w:rPr>
          <w:rFonts w:eastAsia="IRNazanin" w:cs="IRNazanin"/>
          <w:b w:val="false"/>
          <w:bCs w:val="false"/>
          <w:i w:val="false"/>
          <w:iCs w:val="false"/>
          <w:color w:val="333333"/>
          <w:sz w:val="20"/>
          <w:szCs w:val="20"/>
        </w:rPr>
        <w:t>991</w:t>
      </w:r>
      <w:r>
        <w:rPr>
          <w:rFonts w:ascii="IRNazanin" w:hAnsi="IRNazanin" w:eastAsia="IRNazanin"/>
          <w:b w:val="false"/>
          <w:b w:val="false"/>
          <w:bCs w:val="false"/>
          <w:i w:val="false"/>
          <w:i w:val="false"/>
          <w:iCs w:val="false"/>
          <w:color w:val="333333"/>
          <w:sz w:val="20"/>
          <w:sz w:val="20"/>
          <w:szCs w:val="20"/>
          <w:rtl w:val="true"/>
        </w:rPr>
        <w:t xml:space="preserve">، وفی المسالک </w:t>
      </w:r>
      <w:r>
        <w:rPr>
          <w:rFonts w:eastAsia="IRNazanin" w:cs="IRNazanin"/>
          <w:b w:val="false"/>
          <w:bCs w:val="false"/>
          <w:i w:val="false"/>
          <w:iCs w:val="false"/>
          <w:color w:val="333333"/>
          <w:sz w:val="20"/>
          <w:szCs w:val="20"/>
        </w:rPr>
        <w:t>5:227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هذا القول إلی المبسوط، ولکن ما فی المبسوط </w:t>
      </w:r>
      <w:r>
        <w:rPr>
          <w:rFonts w:eastAsia="IRNazanin" w:cs="IRNazanin"/>
          <w:b w:val="false"/>
          <w:bCs w:val="false"/>
          <w:i w:val="false"/>
          <w:iCs w:val="false"/>
          <w:color w:val="333333"/>
          <w:sz w:val="20"/>
          <w:szCs w:val="20"/>
        </w:rPr>
        <w:t>7:54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خلاف ذلک، بل نسبه إلی جماعة وقوّی القول الأوّل</w:t>
      </w:r>
      <w:r>
        <w:rPr>
          <w:rFonts w:eastAsia="IRNazanin" w:cs="IRNazanin"/>
          <w:b w:val="false"/>
          <w:bCs w:val="false"/>
          <w:i w:val="false"/>
          <w:iCs w:val="false"/>
          <w:color w:val="333333"/>
          <w:sz w:val="20"/>
          <w:szCs w:val="20"/>
          <w:rtl w:val="true"/>
        </w:rPr>
        <w:t>.</w:t>
      </w:r>
    </w:p>
  </w:footnote>
  <w:footnote w:id="1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17:432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موجبات الإرث،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لغیر الإمام</w:t>
      </w:r>
      <w:r>
        <w:rPr>
          <w:rFonts w:eastAsia="IRNazanin" w:cs="IRNazanin"/>
          <w:b w:val="false"/>
          <w:bCs w:val="false"/>
          <w:i w:val="false"/>
          <w:iCs w:val="false"/>
          <w:color w:val="333333"/>
          <w:sz w:val="20"/>
          <w:szCs w:val="20"/>
          <w:rtl w:val="true"/>
        </w:rPr>
        <w:t>.</w:t>
      </w:r>
    </w:p>
  </w:footnote>
  <w:footnote w:id="1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 إلیه المفید فی 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760</w:t>
      </w:r>
      <w:r>
        <w:rPr>
          <w:rFonts w:ascii="IRNazanin" w:hAnsi="IRNazanin" w:eastAsia="IRNazanin"/>
          <w:b w:val="false"/>
          <w:b w:val="false"/>
          <w:bCs w:val="false"/>
          <w:i w:val="false"/>
          <w:i w:val="false"/>
          <w:iCs w:val="false"/>
          <w:color w:val="333333"/>
          <w:sz w:val="20"/>
          <w:sz w:val="20"/>
          <w:szCs w:val="20"/>
          <w:rtl w:val="true"/>
        </w:rPr>
        <w:t xml:space="preserve">، والشیخ فی المبسوط </w:t>
      </w:r>
      <w:r>
        <w:rPr>
          <w:rFonts w:eastAsia="IRNazanin" w:cs="IRNazanin"/>
          <w:b w:val="false"/>
          <w:bCs w:val="false"/>
          <w:i w:val="false"/>
          <w:iCs w:val="false"/>
          <w:color w:val="333333"/>
          <w:sz w:val="20"/>
          <w:szCs w:val="20"/>
        </w:rPr>
        <w:t>7:100</w:t>
      </w:r>
      <w:r>
        <w:rPr>
          <w:rFonts w:ascii="IRNazanin" w:hAnsi="IRNazanin" w:eastAsia="IRNazanin"/>
          <w:b w:val="false"/>
          <w:b w:val="false"/>
          <w:bCs w:val="false"/>
          <w:i w:val="false"/>
          <w:i w:val="false"/>
          <w:iCs w:val="false"/>
          <w:color w:val="333333"/>
          <w:sz w:val="20"/>
          <w:sz w:val="20"/>
          <w:szCs w:val="20"/>
          <w:rtl w:val="true"/>
        </w:rPr>
        <w:t xml:space="preserve">، والخلاف </w:t>
      </w:r>
      <w:r>
        <w:rPr>
          <w:rFonts w:eastAsia="IRNazanin" w:cs="IRNazanin"/>
          <w:b w:val="false"/>
          <w:bCs w:val="false"/>
          <w:i w:val="false"/>
          <w:iCs w:val="false"/>
          <w:color w:val="333333"/>
          <w:sz w:val="20"/>
          <w:szCs w:val="20"/>
        </w:rPr>
        <w:t>5:205</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والعلّامة فی القواعد </w:t>
      </w:r>
      <w:r>
        <w:rPr>
          <w:rFonts w:eastAsia="IRNazanin" w:cs="IRNazanin"/>
          <w:b w:val="false"/>
          <w:bCs w:val="false"/>
          <w:i w:val="false"/>
          <w:iCs w:val="false"/>
          <w:color w:val="333333"/>
          <w:sz w:val="20"/>
          <w:szCs w:val="20"/>
        </w:rPr>
        <w:t>3:662</w:t>
      </w:r>
      <w:r>
        <w:rPr>
          <w:rFonts w:ascii="IRNazanin" w:hAnsi="IRNazanin" w:eastAsia="IRNazanin"/>
          <w:b w:val="false"/>
          <w:b w:val="false"/>
          <w:bCs w:val="false"/>
          <w:i w:val="false"/>
          <w:i w:val="false"/>
          <w:iCs w:val="false"/>
          <w:color w:val="333333"/>
          <w:sz w:val="20"/>
          <w:sz w:val="20"/>
          <w:szCs w:val="20"/>
          <w:rtl w:val="true"/>
        </w:rPr>
        <w:t>، وغیرهم</w:t>
      </w:r>
      <w:r>
        <w:rPr>
          <w:rFonts w:eastAsia="IRNazanin" w:cs="IRNazanin"/>
          <w:b w:val="false"/>
          <w:bCs w:val="false"/>
          <w:i w:val="false"/>
          <w:iCs w:val="false"/>
          <w:color w:val="333333"/>
          <w:sz w:val="20"/>
          <w:szCs w:val="20"/>
          <w:rtl w:val="true"/>
        </w:rPr>
        <w:t>.</w:t>
      </w:r>
    </w:p>
  </w:footnote>
  <w:footnote w:id="1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فیُعذر</w:t>
      </w:r>
      <w:r>
        <w:rPr>
          <w:rFonts w:eastAsia="IRNazanin" w:cs="IRNazanin"/>
          <w:b w:val="false"/>
          <w:bCs w:val="false"/>
          <w:i w:val="false"/>
          <w:iCs w:val="false"/>
          <w:color w:val="333333"/>
          <w:sz w:val="20"/>
          <w:szCs w:val="20"/>
          <w:rtl w:val="true"/>
        </w:rPr>
        <w:t>.</w:t>
      </w:r>
    </w:p>
  </w:footnote>
  <w:footnote w:id="1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7:54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والخلاف </w:t>
      </w:r>
      <w:r>
        <w:rPr>
          <w:rFonts w:eastAsia="IRNazanin" w:cs="IRNazanin"/>
          <w:b w:val="false"/>
          <w:bCs w:val="false"/>
          <w:i w:val="false"/>
          <w:iCs w:val="false"/>
          <w:color w:val="333333"/>
          <w:sz w:val="20"/>
          <w:szCs w:val="20"/>
        </w:rPr>
        <w:t>5:179</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534</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عموم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قُتِلَ مَظْلُوماً فَقَدْ جَعَلْنٰا لِوَلِیِّهِ سُلْطٰاناً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مصدر میمیّ، وفی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هدر</w:t>
      </w:r>
      <w:r>
        <w:rPr>
          <w:rFonts w:eastAsia="IRNazanin" w:cs="IRNazanin"/>
          <w:b w:val="false"/>
          <w:bCs w:val="false"/>
          <w:i w:val="false"/>
          <w:iCs w:val="false"/>
          <w:color w:val="333333"/>
          <w:sz w:val="20"/>
          <w:szCs w:val="20"/>
          <w:rtl w:val="true"/>
        </w:rPr>
        <w:t>.</w:t>
      </w:r>
    </w:p>
  </w:footnote>
  <w:footnote w:id="1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صاحب الجواهر </w:t>
      </w:r>
      <w:r>
        <w:rPr>
          <w:rFonts w:eastAsia="IRNazanin" w:cs="IRNazanin"/>
          <w:b w:val="false"/>
          <w:bCs w:val="false"/>
          <w:i w:val="false"/>
          <w:iCs w:val="false"/>
          <w:color w:val="333333"/>
          <w:sz w:val="20"/>
          <w:szCs w:val="20"/>
        </w:rPr>
        <w:t>42:303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نتحقّق ما فی الروضة من نسبة مراعاة المصلحة إلی الشیخ وأکثر المتأخّرین</w:t>
      </w:r>
      <w:r>
        <w:rPr>
          <w:rFonts w:eastAsia="IRNazanin" w:cs="IRNazanin"/>
          <w:b w:val="false"/>
          <w:bCs w:val="false"/>
          <w:i w:val="false"/>
          <w:iCs w:val="false"/>
          <w:color w:val="333333"/>
          <w:sz w:val="20"/>
          <w:szCs w:val="20"/>
          <w:rtl w:val="true"/>
        </w:rPr>
        <w:t>.</w:t>
      </w:r>
    </w:p>
  </w:footnote>
  <w:footnote w:id="1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19:83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القصاص فی النفس، الحدیث الأوّل</w:t>
      </w:r>
      <w:r>
        <w:rPr>
          <w:rFonts w:eastAsia="IRNazanin" w:cs="IRNazanin"/>
          <w:b w:val="false"/>
          <w:bCs w:val="false"/>
          <w:i w:val="false"/>
          <w:iCs w:val="false"/>
          <w:color w:val="333333"/>
          <w:sz w:val="20"/>
          <w:szCs w:val="20"/>
          <w:rtl w:val="true"/>
        </w:rPr>
        <w:t>.</w:t>
      </w:r>
    </w:p>
  </w:footnote>
  <w:footnote w:id="1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19:86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القصاص فی النفس،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ابن إدریس فی السرائر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والمحقّق فی الشرائع </w:t>
      </w:r>
      <w:r>
        <w:rPr>
          <w:rFonts w:eastAsia="IRNazanin" w:cs="IRNazanin"/>
          <w:b w:val="false"/>
          <w:bCs w:val="false"/>
          <w:i w:val="false"/>
          <w:iCs w:val="false"/>
          <w:color w:val="333333"/>
          <w:sz w:val="20"/>
          <w:szCs w:val="20"/>
        </w:rPr>
        <w:t>4:231</w:t>
      </w:r>
      <w:r>
        <w:rPr>
          <w:rFonts w:ascii="IRNazanin" w:hAnsi="IRNazanin" w:eastAsia="IRNazanin"/>
          <w:b w:val="false"/>
          <w:b w:val="false"/>
          <w:bCs w:val="false"/>
          <w:i w:val="false"/>
          <w:i w:val="false"/>
          <w:iCs w:val="false"/>
          <w:color w:val="333333"/>
          <w:sz w:val="20"/>
          <w:sz w:val="20"/>
          <w:szCs w:val="20"/>
          <w:rtl w:val="true"/>
        </w:rPr>
        <w:t xml:space="preserve">، والعلّامة فی التحریر </w:t>
      </w:r>
      <w:r>
        <w:rPr>
          <w:rFonts w:eastAsia="IRNazanin" w:cs="IRNazanin"/>
          <w:b w:val="false"/>
          <w:bCs w:val="false"/>
          <w:i w:val="false"/>
          <w:iCs w:val="false"/>
          <w:color w:val="333333"/>
          <w:sz w:val="20"/>
          <w:szCs w:val="20"/>
        </w:rPr>
        <w:t>5:496</w:t>
      </w:r>
      <w:r>
        <w:rPr>
          <w:rFonts w:ascii="IRNazanin" w:hAnsi="IRNazanin" w:eastAsia="IRNazanin"/>
          <w:b w:val="false"/>
          <w:b w:val="false"/>
          <w:bCs w:val="false"/>
          <w:i w:val="false"/>
          <w:i w:val="false"/>
          <w:iCs w:val="false"/>
          <w:color w:val="333333"/>
          <w:sz w:val="20"/>
          <w:sz w:val="20"/>
          <w:szCs w:val="20"/>
          <w:rtl w:val="true"/>
        </w:rPr>
        <w:t xml:space="preserve">، والإرشاد </w:t>
      </w:r>
      <w:r>
        <w:rPr>
          <w:rFonts w:eastAsia="IRNazanin" w:cs="IRNazanin"/>
          <w:b w:val="false"/>
          <w:bCs w:val="false"/>
          <w:i w:val="false"/>
          <w:iCs w:val="false"/>
          <w:color w:val="333333"/>
          <w:sz w:val="20"/>
          <w:szCs w:val="20"/>
        </w:rPr>
        <w:t>2:199</w:t>
      </w:r>
      <w:r>
        <w:rPr>
          <w:rFonts w:eastAsia="IRNazanin" w:cs="IRNazanin"/>
          <w:b w:val="false"/>
          <w:bCs w:val="false"/>
          <w:i w:val="false"/>
          <w:iCs w:val="false"/>
          <w:color w:val="333333"/>
          <w:sz w:val="20"/>
          <w:szCs w:val="20"/>
          <w:rtl w:val="true"/>
        </w:rPr>
        <w:t>.</w:t>
      </w:r>
    </w:p>
  </w:footnote>
  <w:footnote w:id="1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عموم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قُتِلَ مَظْلُوماً فَقَدْ جَعَلْنٰا لِوَلِیِّهِ سُلْطٰاناً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Pr>
        <w:t>7:56</w:t>
      </w:r>
      <w:r>
        <w:rPr>
          <w:rFonts w:eastAsia="IRNazanin" w:cs="IRNazanin"/>
          <w:b w:val="false"/>
          <w:bCs w:val="false"/>
          <w:i w:val="false"/>
          <w:iCs w:val="false"/>
          <w:color w:val="333333"/>
          <w:sz w:val="20"/>
          <w:szCs w:val="20"/>
          <w:rtl w:val="true"/>
        </w:rPr>
        <w:t>.</w:t>
      </w:r>
    </w:p>
  </w:footnote>
  <w:footnote w:id="1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الصلاح فی 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وابن زهرة فی الغنیة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والکیدری فی إصباح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19:92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القصاص فی النفس، الحدیث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13:112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الدین والقرض،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لشخص</w:t>
      </w:r>
      <w:r>
        <w:rPr>
          <w:rFonts w:eastAsia="IRNazanin" w:cs="IRNazanin"/>
          <w:b w:val="false"/>
          <w:bCs w:val="false"/>
          <w:i w:val="false"/>
          <w:iCs w:val="false"/>
          <w:color w:val="333333"/>
          <w:sz w:val="20"/>
          <w:szCs w:val="20"/>
          <w:rtl w:val="true"/>
        </w:rPr>
        <w:t>.</w:t>
      </w:r>
    </w:p>
  </w:footnote>
  <w:footnote w:id="1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کتاب الوکالة</w:t>
      </w:r>
      <w:r>
        <w:rPr>
          <w:rFonts w:eastAsia="IRNazanin" w:cs="IRNazanin"/>
          <w:b w:val="false"/>
          <w:bCs w:val="false"/>
          <w:i w:val="false"/>
          <w:iCs w:val="false"/>
          <w:color w:val="333333"/>
          <w:sz w:val="20"/>
          <w:szCs w:val="20"/>
          <w:rtl w:val="true"/>
        </w:rPr>
        <w:t>.</w:t>
      </w:r>
    </w:p>
  </w:footnote>
  <w:footnote w:id="1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بتشدید الیاء بصیغة الفاعل والمفعول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ویجوز تخفیفه مع فتح المیم، مأخوذة من الخیال بمعنی الظنّ</w:t>
      </w:r>
      <w:r>
        <w:rPr>
          <w:rFonts w:eastAsia="IRNazanin" w:cs="IRNazanin"/>
          <w:b w:val="false"/>
          <w:bCs w:val="false"/>
          <w:i w:val="false"/>
          <w:iCs w:val="false"/>
          <w:color w:val="333333"/>
          <w:sz w:val="20"/>
          <w:szCs w:val="20"/>
          <w:rtl w:val="true"/>
        </w:rPr>
        <w:t>.</w:t>
      </w:r>
    </w:p>
  </w:footnote>
  <w:footnote w:id="1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قوّاه فی المبسوط </w:t>
      </w:r>
      <w:r>
        <w:rPr>
          <w:rFonts w:eastAsia="IRNazanin" w:cs="IRNazanin"/>
          <w:b w:val="false"/>
          <w:bCs w:val="false"/>
          <w:i w:val="false"/>
          <w:iCs w:val="false"/>
          <w:color w:val="333333"/>
          <w:sz w:val="20"/>
          <w:szCs w:val="20"/>
        </w:rPr>
        <w:t>7:59</w:t>
      </w:r>
      <w:r>
        <w:rPr>
          <w:rFonts w:ascii="IRNazanin" w:hAnsi="IRNazanin" w:eastAsia="IRNazanin"/>
          <w:b w:val="false"/>
          <w:b w:val="false"/>
          <w:bCs w:val="false"/>
          <w:i w:val="false"/>
          <w:i w:val="false"/>
          <w:iCs w:val="false"/>
          <w:color w:val="333333"/>
          <w:sz w:val="20"/>
          <w:sz w:val="20"/>
          <w:szCs w:val="20"/>
          <w:rtl w:val="true"/>
        </w:rPr>
        <w:t>، وجعل القول الأوّل أحوط</w:t>
      </w:r>
      <w:r>
        <w:rPr>
          <w:rFonts w:eastAsia="IRNazanin" w:cs="IRNazanin"/>
          <w:b w:val="false"/>
          <w:bCs w:val="false"/>
          <w:i w:val="false"/>
          <w:iCs w:val="false"/>
          <w:color w:val="333333"/>
          <w:sz w:val="20"/>
          <w:szCs w:val="20"/>
          <w:rtl w:val="true"/>
        </w:rPr>
        <w:t>.</w:t>
      </w:r>
    </w:p>
  </w:footnote>
  <w:footnote w:id="1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یأتی تخریجها</w:t>
      </w:r>
      <w:r>
        <w:rPr>
          <w:rFonts w:eastAsia="IRNazanin" w:cs="IRNazanin"/>
          <w:b w:val="false"/>
          <w:bCs w:val="false"/>
          <w:i w:val="false"/>
          <w:iCs w:val="false"/>
          <w:color w:val="333333"/>
          <w:sz w:val="20"/>
          <w:szCs w:val="20"/>
          <w:rtl w:val="true"/>
        </w:rPr>
        <w:t>.</w:t>
      </w:r>
    </w:p>
  </w:footnote>
  <w:footnote w:id="1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19:303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العاقلة، الحدیث الأوّل وفیه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أخذت الدیة من ماله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وفی طریقها أبو بصیر وهو مشترک بین الثقة والضعیف، راجع المسالک </w:t>
      </w:r>
      <w:r>
        <w:rPr>
          <w:rFonts w:eastAsia="IRNazanin" w:cs="IRNazanin"/>
          <w:b w:val="false"/>
          <w:bCs w:val="false"/>
          <w:i w:val="false"/>
          <w:iCs w:val="false"/>
          <w:color w:val="333333"/>
          <w:sz w:val="20"/>
          <w:szCs w:val="20"/>
        </w:rPr>
        <w:t>16:300</w:t>
      </w:r>
      <w:r>
        <w:rPr>
          <w:rFonts w:eastAsia="IRNazanin" w:cs="IRNazanin"/>
          <w:b w:val="false"/>
          <w:bCs w:val="false"/>
          <w:i w:val="false"/>
          <w:iCs w:val="false"/>
          <w:color w:val="333333"/>
          <w:sz w:val="20"/>
          <w:szCs w:val="20"/>
          <w:rtl w:val="true"/>
        </w:rPr>
        <w:t>.</w:t>
      </w:r>
    </w:p>
  </w:footnote>
  <w:footnote w:id="1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بناءً علی أنّ المراد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أبی 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الراوی عنه ابن أبی نصر هو الباقر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صرّح بذلک آنفاً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 ابن أبی نصر لم یدرک الباقر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ویحتمل أن یکون المراد من أبی جعفر هو الجواد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المصدر المتقدّم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فی 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736</w:t>
      </w:r>
      <w:r>
        <w:rPr>
          <w:rFonts w:ascii="IRNazanin" w:hAnsi="IRNazanin" w:eastAsia="IRNazanin"/>
          <w:b w:val="false"/>
          <w:b w:val="false"/>
          <w:bCs w:val="false"/>
          <w:i w:val="false"/>
          <w:i w:val="false"/>
          <w:iCs w:val="false"/>
          <w:color w:val="333333"/>
          <w:sz w:val="20"/>
          <w:sz w:val="20"/>
          <w:szCs w:val="20"/>
          <w:rtl w:val="true"/>
        </w:rPr>
        <w:t xml:space="preserve">، والقاضی فی المهذّب </w:t>
      </w:r>
      <w:r>
        <w:rPr>
          <w:rFonts w:eastAsia="IRNazanin" w:cs="IRNazanin"/>
          <w:b w:val="false"/>
          <w:bCs w:val="false"/>
          <w:i w:val="false"/>
          <w:iCs w:val="false"/>
          <w:color w:val="333333"/>
          <w:sz w:val="20"/>
          <w:szCs w:val="20"/>
        </w:rPr>
        <w:t>2:457</w:t>
      </w:r>
      <w:r>
        <w:rPr>
          <w:rFonts w:ascii="IRNazanin" w:hAnsi="IRNazanin" w:eastAsia="IRNazanin"/>
          <w:b w:val="false"/>
          <w:b w:val="false"/>
          <w:bCs w:val="false"/>
          <w:i w:val="false"/>
          <w:i w:val="false"/>
          <w:iCs w:val="false"/>
          <w:color w:val="333333"/>
          <w:sz w:val="20"/>
          <w:sz w:val="20"/>
          <w:szCs w:val="20"/>
          <w:rtl w:val="true"/>
        </w:rPr>
        <w:t xml:space="preserve">، والعلّامة فی المختلف </w:t>
      </w:r>
      <w:r>
        <w:rPr>
          <w:rFonts w:eastAsia="IRNazanin" w:cs="IRNazanin"/>
          <w:b w:val="false"/>
          <w:bCs w:val="false"/>
          <w:i w:val="false"/>
          <w:iCs w:val="false"/>
          <w:color w:val="333333"/>
          <w:sz w:val="20"/>
          <w:szCs w:val="20"/>
        </w:rPr>
        <w:t>9:287</w:t>
      </w:r>
      <w:r>
        <w:rPr>
          <w:rFonts w:eastAsia="IRNazanin" w:cs="IRNazanin"/>
          <w:b w:val="false"/>
          <w:bCs w:val="false"/>
          <w:i w:val="false"/>
          <w:iCs w:val="false"/>
          <w:color w:val="333333"/>
          <w:sz w:val="20"/>
          <w:szCs w:val="20"/>
          <w:rtl w:val="true"/>
        </w:rPr>
        <w:t>.</w:t>
      </w:r>
    </w:p>
  </w:footnote>
  <w:footnote w:id="1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قاله ابن زهرة فی الغنیة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1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یبطل</w:t>
      </w:r>
      <w:r>
        <w:rPr>
          <w:rFonts w:eastAsia="IRNazanin" w:cs="IRNazanin"/>
          <w:b w:val="false"/>
          <w:bCs w:val="false"/>
          <w:i w:val="false"/>
          <w:iCs w:val="false"/>
          <w:color w:val="333333"/>
          <w:sz w:val="20"/>
          <w:szCs w:val="20"/>
          <w:rtl w:val="true"/>
        </w:rPr>
        <w:t>.</w:t>
      </w:r>
    </w:p>
  </w:footnote>
  <w:footnote w:id="1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10:167</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663</w:t>
      </w:r>
      <w:r>
        <w:rPr>
          <w:rFonts w:ascii="IRNazanin" w:hAnsi="IRNazanin" w:eastAsia="IRNazanin"/>
          <w:b w:val="false"/>
          <w:b w:val="false"/>
          <w:bCs w:val="false"/>
          <w:i w:val="false"/>
          <w:i w:val="false"/>
          <w:iCs w:val="false"/>
          <w:color w:val="333333"/>
          <w:sz w:val="20"/>
          <w:sz w:val="20"/>
          <w:szCs w:val="20"/>
          <w:rtl w:val="true"/>
        </w:rPr>
        <w:t xml:space="preserve">، والفقیه </w:t>
      </w:r>
      <w:r>
        <w:rPr>
          <w:rFonts w:eastAsia="IRNazanin" w:cs="IRNazanin"/>
          <w:b w:val="false"/>
          <w:bCs w:val="false"/>
          <w:i w:val="false"/>
          <w:iCs w:val="false"/>
          <w:color w:val="333333"/>
          <w:sz w:val="20"/>
          <w:szCs w:val="20"/>
        </w:rPr>
        <w:t>4:100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5179</w:t>
      </w:r>
      <w:r>
        <w:rPr>
          <w:rFonts w:ascii="IRNazanin" w:hAnsi="IRNazanin" w:eastAsia="IRNazanin"/>
          <w:b w:val="false"/>
          <w:b w:val="false"/>
          <w:bCs w:val="false"/>
          <w:i w:val="false"/>
          <w:i w:val="false"/>
          <w:iCs w:val="false"/>
          <w:color w:val="333333"/>
          <w:sz w:val="20"/>
          <w:sz w:val="20"/>
          <w:szCs w:val="20"/>
          <w:rtl w:val="true"/>
        </w:rPr>
        <w:t>، وفیهما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علیّ علیه السلام</w:t>
      </w:r>
      <w:r>
        <w:rPr>
          <w:rFonts w:eastAsia="IRNazanin" w:cs="IRNazanin"/>
          <w:b w:val="false"/>
          <w:bCs w:val="false"/>
          <w:i w:val="false"/>
          <w:iCs w:val="false"/>
          <w:color w:val="333333"/>
          <w:sz w:val="20"/>
          <w:szCs w:val="20"/>
          <w:rtl w:val="true"/>
        </w:rPr>
        <w:t>.</w:t>
      </w:r>
    </w:p>
  </w:footnote>
  <w:footnote w:id="1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3:330</w:t>
      </w:r>
      <w:r>
        <w:rPr>
          <w:rFonts w:eastAsia="IRNazanin" w:cs="IRNazanin"/>
          <w:b w:val="false"/>
          <w:bCs w:val="false"/>
          <w:i w:val="false"/>
          <w:iCs w:val="false"/>
          <w:color w:val="333333"/>
          <w:sz w:val="20"/>
          <w:szCs w:val="20"/>
          <w:rtl w:val="true"/>
        </w:rPr>
        <w:t>.</w:t>
      </w:r>
    </w:p>
  </w:footnote>
  <w:footnote w:id="1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غایة المراد </w:t>
      </w:r>
      <w:r>
        <w:rPr>
          <w:rFonts w:eastAsia="IRNazanin" w:cs="IRNazanin"/>
          <w:b w:val="false"/>
          <w:bCs w:val="false"/>
          <w:i w:val="false"/>
          <w:iCs w:val="false"/>
          <w:color w:val="333333"/>
          <w:sz w:val="20"/>
          <w:szCs w:val="20"/>
        </w:rPr>
        <w:t>4:319</w:t>
      </w:r>
      <w:r>
        <w:rPr>
          <w:rFonts w:eastAsia="IRNazanin" w:cs="IRNazanin"/>
          <w:b w:val="false"/>
          <w:bCs w:val="false"/>
          <w:i w:val="false"/>
          <w:iCs w:val="false"/>
          <w:color w:val="333333"/>
          <w:sz w:val="20"/>
          <w:szCs w:val="20"/>
          <w:rtl w:val="true"/>
        </w:rPr>
        <w:t>.</w:t>
      </w:r>
    </w:p>
  </w:footnote>
  <w:footnote w:id="1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w:t>
      </w:r>
    </w:p>
  </w:footnote>
  <w:footnote w:id="1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فی کتاب القصاص، الصفحة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1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10:167</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663</w:t>
      </w:r>
      <w:r>
        <w:rPr>
          <w:rFonts w:ascii="IRNazanin" w:hAnsi="IRNazanin" w:eastAsia="IRNazanin"/>
          <w:b w:val="false"/>
          <w:b w:val="false"/>
          <w:bCs w:val="false"/>
          <w:i w:val="false"/>
          <w:i w:val="false"/>
          <w:iCs w:val="false"/>
          <w:color w:val="333333"/>
          <w:sz w:val="20"/>
          <w:sz w:val="20"/>
          <w:szCs w:val="20"/>
          <w:rtl w:val="true"/>
        </w:rPr>
        <w:t xml:space="preserve">، والفقیه </w:t>
      </w:r>
      <w:r>
        <w:rPr>
          <w:rFonts w:eastAsia="IRNazanin" w:cs="IRNazanin"/>
          <w:b w:val="false"/>
          <w:bCs w:val="false"/>
          <w:i w:val="false"/>
          <w:iCs w:val="false"/>
          <w:color w:val="333333"/>
          <w:sz w:val="20"/>
          <w:szCs w:val="20"/>
        </w:rPr>
        <w:t>4:100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5179</w:t>
      </w:r>
      <w:r>
        <w:rPr>
          <w:rFonts w:ascii="IRNazanin" w:hAnsi="IRNazanin" w:eastAsia="IRNazanin"/>
          <w:b w:val="false"/>
          <w:b w:val="false"/>
          <w:bCs w:val="false"/>
          <w:i w:val="false"/>
          <w:i w:val="false"/>
          <w:iCs w:val="false"/>
          <w:color w:val="333333"/>
          <w:sz w:val="20"/>
          <w:sz w:val="20"/>
          <w:szCs w:val="20"/>
          <w:rtl w:val="true"/>
        </w:rPr>
        <w:t xml:space="preserve">، والوسائل </w:t>
      </w:r>
      <w:r>
        <w:rPr>
          <w:rFonts w:eastAsia="IRNazanin" w:cs="IRNazanin"/>
          <w:b w:val="false"/>
          <w:bCs w:val="false"/>
          <w:i w:val="false"/>
          <w:iCs w:val="false"/>
          <w:color w:val="333333"/>
          <w:sz w:val="20"/>
          <w:szCs w:val="20"/>
        </w:rPr>
        <w:t>19:53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القصاص فی النفس، ذیل الحدیث الأوّل، و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العاقلة، ذیل الحدیث الأوّل، إلّاأنّ لفظ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یبطل</w:t>
      </w:r>
      <w:r>
        <w:rPr>
          <w:rFonts w:eastAsia="IRNazanin" w:cs="IRNazanin"/>
          <w:b w:val="false"/>
          <w:bCs w:val="false"/>
          <w:i w:val="false"/>
          <w:iCs w:val="false"/>
          <w:color w:val="333333"/>
          <w:sz w:val="20"/>
          <w:szCs w:val="20"/>
          <w:rtl w:val="true"/>
        </w:rPr>
        <w:t>.</w:t>
      </w:r>
    </w:p>
  </w:footnote>
  <w:footnote w:id="1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الخطأ المحض یکون الضامن هو العاقلة وهنا الطبیب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ر</w:t>
      </w:r>
      <w:r>
        <w:rPr>
          <w:rFonts w:eastAsia="IRNazanin" w:cs="IRNazanin"/>
          <w:b w:val="false"/>
          <w:bCs w:val="false"/>
          <w:i w:val="false"/>
          <w:iCs w:val="false"/>
          <w:color w:val="333333"/>
          <w:sz w:val="20"/>
          <w:szCs w:val="20"/>
          <w:rtl w:val="true"/>
        </w:rPr>
        <w:t>) .</w:t>
      </w:r>
    </w:p>
  </w:footnote>
  <w:footnote w:id="1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علیه بعینه، وانظر السرائر </w:t>
      </w:r>
      <w:r>
        <w:rPr>
          <w:rFonts w:eastAsia="IRNazanin" w:cs="IRNazanin"/>
          <w:b w:val="false"/>
          <w:bCs w:val="false"/>
          <w:i w:val="false"/>
          <w:iCs w:val="false"/>
          <w:color w:val="333333"/>
          <w:sz w:val="20"/>
          <w:szCs w:val="20"/>
        </w:rPr>
        <w:t>3:373</w:t>
      </w:r>
      <w:r>
        <w:rPr>
          <w:rFonts w:eastAsia="IRNazanin" w:cs="IRNazanin"/>
          <w:b w:val="false"/>
          <w:bCs w:val="false"/>
          <w:i w:val="false"/>
          <w:iCs w:val="false"/>
          <w:color w:val="333333"/>
          <w:sz w:val="20"/>
          <w:szCs w:val="20"/>
          <w:rtl w:val="true"/>
        </w:rPr>
        <w:t>.</w:t>
      </w:r>
    </w:p>
  </w:footnote>
  <w:footnote w:id="1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19:195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موجبات الضمان،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غایة المراد </w:t>
      </w:r>
      <w:r>
        <w:rPr>
          <w:rFonts w:eastAsia="IRNazanin" w:cs="IRNazanin"/>
          <w:b w:val="false"/>
          <w:bCs w:val="false"/>
          <w:i w:val="false"/>
          <w:iCs w:val="false"/>
          <w:color w:val="333333"/>
          <w:sz w:val="20"/>
          <w:szCs w:val="20"/>
        </w:rPr>
        <w:t>4:448</w:t>
      </w:r>
      <w:r>
        <w:rPr>
          <w:rFonts w:ascii="IRNazanin" w:hAnsi="IRNazanin" w:eastAsia="IRNazanin"/>
          <w:b w:val="false"/>
          <w:b w:val="false"/>
          <w:bCs w:val="false"/>
          <w:i w:val="false"/>
          <w:i w:val="false"/>
          <w:iCs w:val="false"/>
          <w:color w:val="333333"/>
          <w:sz w:val="20"/>
          <w:sz w:val="20"/>
          <w:szCs w:val="20"/>
          <w:rtl w:val="true"/>
        </w:rPr>
        <w:t>، نقله عن النکت</w:t>
      </w:r>
      <w:r>
        <w:rPr>
          <w:rFonts w:eastAsia="IRNazanin" w:cs="IRNazanin"/>
          <w:b w:val="false"/>
          <w:bCs w:val="false"/>
          <w:i w:val="false"/>
          <w:iCs w:val="false"/>
          <w:color w:val="333333"/>
          <w:sz w:val="20"/>
          <w:szCs w:val="20"/>
          <w:rtl w:val="true"/>
        </w:rPr>
        <w:t>.</w:t>
      </w:r>
    </w:p>
  </w:footnote>
  <w:footnote w:id="1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 السیّد ابن زهرة فی الغنیة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والمحقّق فی نکت النهایة </w:t>
      </w:r>
      <w:r>
        <w:rPr>
          <w:rFonts w:eastAsia="IRNazanin" w:cs="IRNazanin"/>
          <w:b w:val="false"/>
          <w:bCs w:val="false"/>
          <w:i w:val="false"/>
          <w:iCs w:val="false"/>
          <w:color w:val="333333"/>
          <w:sz w:val="20"/>
          <w:szCs w:val="20"/>
        </w:rPr>
        <w:t>3:421</w:t>
      </w:r>
      <w:r>
        <w:rPr>
          <w:rFonts w:eastAsia="IRNazanin" w:cs="IRNazanin"/>
          <w:b w:val="false"/>
          <w:bCs w:val="false"/>
          <w:i w:val="false"/>
          <w:iCs w:val="false"/>
          <w:color w:val="333333"/>
          <w:sz w:val="20"/>
          <w:szCs w:val="20"/>
          <w:rtl w:val="true"/>
        </w:rPr>
        <w:t>.</w:t>
      </w:r>
    </w:p>
  </w:footnote>
  <w:footnote w:id="1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19:194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موجبات الضمان، الحدیث الأوّل</w:t>
      </w:r>
      <w:r>
        <w:rPr>
          <w:rFonts w:eastAsia="IRNazanin" w:cs="IRNazanin"/>
          <w:b w:val="false"/>
          <w:bCs w:val="false"/>
          <w:i w:val="false"/>
          <w:iCs w:val="false"/>
          <w:color w:val="333333"/>
          <w:sz w:val="20"/>
          <w:szCs w:val="20"/>
          <w:rtl w:val="true"/>
        </w:rPr>
        <w:t>.</w:t>
      </w:r>
    </w:p>
  </w:footnote>
  <w:footnote w:id="1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المذکور فی الخبر، بأن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ولیّ نفسه؛ لأنّه یتولّی المطالبة إذا کانت الجنایة غیر القتل</w:t>
      </w:r>
      <w:r>
        <w:rPr>
          <w:rFonts w:eastAsia="IRNazanin" w:cs="IRNazanin"/>
          <w:b w:val="false"/>
          <w:bCs w:val="false"/>
          <w:i w:val="false"/>
          <w:iCs w:val="false"/>
          <w:color w:val="333333"/>
          <w:sz w:val="20"/>
          <w:szCs w:val="20"/>
          <w:rtl w:val="true"/>
        </w:rPr>
        <w:t>.</w:t>
      </w:r>
    </w:p>
  </w:footnote>
  <w:footnote w:id="1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p>
  </w:footnote>
  <w:footnote w:id="1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التعبیر إشارة إلی ضعفه</w:t>
      </w:r>
      <w:r>
        <w:rPr>
          <w:rFonts w:eastAsia="IRNazanin" w:cs="IRNazanin"/>
          <w:b w:val="false"/>
          <w:bCs w:val="false"/>
          <w:i w:val="false"/>
          <w:iCs w:val="false"/>
          <w:color w:val="333333"/>
          <w:sz w:val="20"/>
          <w:szCs w:val="20"/>
          <w:rtl w:val="true"/>
        </w:rPr>
        <w:t>.</w:t>
      </w:r>
    </w:p>
  </w:footnote>
  <w:footnote w:id="1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ونسخة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یصیر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یصار ظ، فی النسخة الأصل التی کانت بخطّ الشارح رحمه الله کان هذا اللفظ مشتبهاً بین یصیر ویصار</w:t>
      </w:r>
      <w:r>
        <w:rPr>
          <w:rFonts w:eastAsia="IRNazanin" w:cs="IRNazanin"/>
          <w:b w:val="false"/>
          <w:bCs w:val="false"/>
          <w:i w:val="false"/>
          <w:iCs w:val="false"/>
          <w:color w:val="333333"/>
          <w:sz w:val="20"/>
          <w:szCs w:val="20"/>
          <w:rtl w:val="true"/>
        </w:rPr>
        <w:t>.</w:t>
      </w:r>
    </w:p>
  </w:footnote>
  <w:footnote w:id="1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ما حکاه عن ابن إدریس فی التنقیح الرائع </w:t>
      </w:r>
      <w:r>
        <w:rPr>
          <w:rFonts w:eastAsia="IRNazanin" w:cs="IRNazanin"/>
          <w:b w:val="false"/>
          <w:bCs w:val="false"/>
          <w:i w:val="false"/>
          <w:iCs w:val="false"/>
          <w:color w:val="333333"/>
          <w:sz w:val="20"/>
          <w:szCs w:val="20"/>
        </w:rPr>
        <w:t>4:470</w:t>
      </w:r>
      <w:r>
        <w:rPr>
          <w:rFonts w:eastAsia="IRNazanin" w:cs="IRNazanin"/>
          <w:b w:val="false"/>
          <w:bCs w:val="false"/>
          <w:i w:val="false"/>
          <w:iCs w:val="false"/>
          <w:color w:val="333333"/>
          <w:sz w:val="20"/>
          <w:szCs w:val="20"/>
          <w:rtl w:val="true"/>
        </w:rPr>
        <w:t>.</w:t>
      </w:r>
    </w:p>
  </w:footnote>
  <w:footnote w:id="1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758</w:t>
      </w:r>
      <w:r>
        <w:rPr>
          <w:rFonts w:eastAsia="IRNazanin" w:cs="IRNazanin"/>
          <w:b w:val="false"/>
          <w:bCs w:val="false"/>
          <w:i w:val="false"/>
          <w:iCs w:val="false"/>
          <w:color w:val="333333"/>
          <w:sz w:val="20"/>
          <w:szCs w:val="20"/>
          <w:rtl w:val="true"/>
        </w:rPr>
        <w:t>.</w:t>
      </w:r>
    </w:p>
  </w:footnote>
  <w:footnote w:id="1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فی الصفحة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1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الإطلاق روایةٌ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19:188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موجبات الضمان، الحدیث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طریقها سهل بن زیاد، فهی مطرحةٌ ویرجع فی الحکم إلی القواعد المقرّرة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 .</w:t>
      </w:r>
    </w:p>
  </w:footnote>
  <w:footnote w:id="1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758</w:t>
      </w:r>
      <w:r>
        <w:rPr>
          <w:rFonts w:eastAsia="IRNazanin" w:cs="IRNazanin"/>
          <w:b w:val="false"/>
          <w:bCs w:val="false"/>
          <w:i w:val="false"/>
          <w:iCs w:val="false"/>
          <w:color w:val="333333"/>
          <w:sz w:val="20"/>
          <w:szCs w:val="20"/>
          <w:rtl w:val="true"/>
        </w:rPr>
        <w:t>.</w:t>
      </w:r>
    </w:p>
  </w:footnote>
  <w:footnote w:id="1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وهی مرسلة یونس عن بعض أصحابنا، راجع الوسائل </w:t>
      </w:r>
      <w:r>
        <w:rPr>
          <w:rFonts w:eastAsia="IRNazanin" w:cs="IRNazanin"/>
          <w:b w:val="false"/>
          <w:bCs w:val="false"/>
          <w:i w:val="false"/>
          <w:iCs w:val="false"/>
          <w:color w:val="333333"/>
          <w:sz w:val="20"/>
          <w:szCs w:val="20"/>
        </w:rPr>
        <w:t>19:202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موجبات الضمان،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المسالک </w:t>
      </w:r>
      <w:r>
        <w:rPr>
          <w:rFonts w:eastAsia="IRNazanin" w:cs="IRNazanin"/>
          <w:b w:val="false"/>
          <w:bCs w:val="false"/>
          <w:i w:val="false"/>
          <w:iCs w:val="false"/>
          <w:color w:val="333333"/>
          <w:sz w:val="20"/>
          <w:szCs w:val="20"/>
        </w:rPr>
        <w:t>15:331</w:t>
      </w:r>
      <w:r>
        <w:rPr>
          <w:rFonts w:eastAsia="IRNazanin" w:cs="IRNazanin"/>
          <w:b w:val="false"/>
          <w:bCs w:val="false"/>
          <w:i w:val="false"/>
          <w:iCs w:val="false"/>
          <w:color w:val="333333"/>
          <w:sz w:val="20"/>
          <w:szCs w:val="20"/>
          <w:rtl w:val="true"/>
        </w:rPr>
        <w:t>.</w:t>
      </w:r>
    </w:p>
  </w:footnote>
  <w:footnote w:id="1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المتقدّم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الحدیث الأوّل</w:t>
      </w:r>
      <w:r>
        <w:rPr>
          <w:rFonts w:eastAsia="IRNazanin" w:cs="IRNazanin"/>
          <w:b w:val="false"/>
          <w:bCs w:val="false"/>
          <w:i w:val="false"/>
          <w:iCs w:val="false"/>
          <w:color w:val="333333"/>
          <w:sz w:val="20"/>
          <w:szCs w:val="20"/>
          <w:rtl w:val="true"/>
        </w:rPr>
        <w:t>.</w:t>
      </w:r>
    </w:p>
  </w:footnote>
  <w:footnote w:id="1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7:158</w:t>
      </w:r>
      <w:r>
        <w:rPr>
          <w:rFonts w:eastAsia="IRNazanin" w:cs="IRNazanin"/>
          <w:b w:val="false"/>
          <w:bCs w:val="false"/>
          <w:i w:val="false"/>
          <w:iCs w:val="false"/>
          <w:color w:val="333333"/>
          <w:sz w:val="20"/>
          <w:szCs w:val="20"/>
          <w:rtl w:val="true"/>
        </w:rPr>
        <w:t>.</w:t>
      </w:r>
    </w:p>
  </w:footnote>
  <w:footnote w:id="1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المسالک فی وجه الضعف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لظهور کونه مستنداً إلی فعله المقصود، والخطأ فی قصد القتل، راجع </w:t>
      </w:r>
      <w:r>
        <w:rPr>
          <w:rFonts w:eastAsia="IRNazanin" w:cs="IRNazanin"/>
          <w:b w:val="false"/>
          <w:bCs w:val="false"/>
          <w:i w:val="false"/>
          <w:iCs w:val="false"/>
          <w:color w:val="333333"/>
          <w:sz w:val="20"/>
          <w:szCs w:val="20"/>
        </w:rPr>
        <w:t>15:332</w:t>
      </w:r>
      <w:r>
        <w:rPr>
          <w:rFonts w:eastAsia="IRNazanin" w:cs="IRNazanin"/>
          <w:b w:val="false"/>
          <w:bCs w:val="false"/>
          <w:i w:val="false"/>
          <w:iCs w:val="false"/>
          <w:color w:val="333333"/>
          <w:sz w:val="20"/>
          <w:szCs w:val="20"/>
          <w:rtl w:val="true"/>
        </w:rPr>
        <w:t>.</w:t>
      </w:r>
    </w:p>
  </w:footnote>
  <w:footnote w:id="1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 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p>
  </w:footnote>
  <w:footnote w:id="1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19:50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القصاص فی النفس، وفیه حدیث واحد</w:t>
      </w:r>
      <w:r>
        <w:rPr>
          <w:rFonts w:eastAsia="IRNazanin" w:cs="IRNazanin"/>
          <w:b w:val="false"/>
          <w:bCs w:val="false"/>
          <w:i w:val="false"/>
          <w:iCs w:val="false"/>
          <w:color w:val="333333"/>
          <w:sz w:val="20"/>
          <w:szCs w:val="20"/>
          <w:rtl w:val="true"/>
        </w:rPr>
        <w:t>.</w:t>
      </w:r>
    </w:p>
  </w:footnote>
  <w:footnote w:id="1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هو العلّامة فی التحریر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 .</w:t>
      </w:r>
    </w:p>
  </w:footnote>
  <w:footnote w:id="1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من العبارات المشکلة، قال بعض المحشّین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والأولی جعل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الواقع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منصوباً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إنسان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 له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فاعلاً لدَفَع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الأظهر أن یُقرأ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مجهولاً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الواقع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بالرفع علی أن یکون مفعولاً له یقوم مقام فاعله، ویجعل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إنسان غیره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متعلّقاً بدفع، راجع هوامش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w:t>
      </w:r>
    </w:p>
  </w:footnote>
  <w:footnote w:id="1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الجانبین</w:t>
      </w:r>
      <w:r>
        <w:rPr>
          <w:rFonts w:eastAsia="IRNazanin" w:cs="IRNazanin"/>
          <w:b w:val="false"/>
          <w:bCs w:val="false"/>
          <w:i w:val="false"/>
          <w:iCs w:val="false"/>
          <w:color w:val="333333"/>
          <w:sz w:val="20"/>
          <w:szCs w:val="20"/>
          <w:rtl w:val="true"/>
        </w:rPr>
        <w:t>.</w:t>
      </w:r>
    </w:p>
  </w:footnote>
  <w:footnote w:id="1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قاله الشیخ فی 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758</w:t>
      </w:r>
      <w:r>
        <w:rPr>
          <w:rFonts w:eastAsia="IRNazanin" w:cs="IRNazanin"/>
          <w:b w:val="false"/>
          <w:bCs w:val="false"/>
          <w:i w:val="false"/>
          <w:iCs w:val="false"/>
          <w:color w:val="333333"/>
          <w:sz w:val="20"/>
          <w:szCs w:val="20"/>
          <w:rtl w:val="true"/>
        </w:rPr>
        <w:t>.</w:t>
      </w:r>
    </w:p>
  </w:footnote>
  <w:footnote w:id="1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19:41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القصاص فی النفس، الحدیث الأوّل</w:t>
      </w:r>
      <w:r>
        <w:rPr>
          <w:rFonts w:eastAsia="IRNazanin" w:cs="IRNazanin"/>
          <w:b w:val="false"/>
          <w:bCs w:val="false"/>
          <w:i w:val="false"/>
          <w:iCs w:val="false"/>
          <w:color w:val="333333"/>
          <w:sz w:val="20"/>
          <w:szCs w:val="20"/>
          <w:rtl w:val="true"/>
        </w:rPr>
        <w:t>.</w:t>
      </w:r>
    </w:p>
  </w:footnote>
  <w:footnote w:id="1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بلیلٍ</w:t>
      </w:r>
      <w:r>
        <w:rPr>
          <w:rFonts w:eastAsia="IRNazanin" w:cs="IRNazanin"/>
          <w:b w:val="false"/>
          <w:bCs w:val="false"/>
          <w:i w:val="false"/>
          <w:iCs w:val="false"/>
          <w:color w:val="333333"/>
          <w:sz w:val="20"/>
          <w:szCs w:val="20"/>
          <w:rtl w:val="true"/>
        </w:rPr>
        <w:t>) .</w:t>
      </w:r>
    </w:p>
  </w:footnote>
  <w:footnote w:id="1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 وفی الکافی والتهذیب والوسائل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 بن أبی المقدام</w:t>
      </w:r>
      <w:r>
        <w:rPr>
          <w:rFonts w:eastAsia="IRNazanin" w:cs="IRNazanin"/>
          <w:b w:val="false"/>
          <w:bCs w:val="false"/>
          <w:i w:val="false"/>
          <w:iCs w:val="false"/>
          <w:color w:val="333333"/>
          <w:sz w:val="20"/>
          <w:szCs w:val="20"/>
          <w:rtl w:val="true"/>
        </w:rPr>
        <w:t>.</w:t>
      </w:r>
    </w:p>
  </w:footnote>
  <w:footnote w:id="1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19:36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القصاص فی النفس، الحدیث الأوّل</w:t>
      </w:r>
      <w:r>
        <w:rPr>
          <w:rFonts w:eastAsia="IRNazanin" w:cs="IRNazanin"/>
          <w:b w:val="false"/>
          <w:bCs w:val="false"/>
          <w:i w:val="false"/>
          <w:iCs w:val="false"/>
          <w:color w:val="333333"/>
          <w:sz w:val="20"/>
          <w:szCs w:val="20"/>
          <w:rtl w:val="true"/>
        </w:rPr>
        <w:t>.</w:t>
      </w:r>
    </w:p>
  </w:footnote>
  <w:footnote w:id="1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سیأتی تفصیلها</w:t>
      </w:r>
      <w:r>
        <w:rPr>
          <w:rFonts w:eastAsia="IRNazanin" w:cs="IRNazanin"/>
          <w:b w:val="false"/>
          <w:bCs w:val="false"/>
          <w:i w:val="false"/>
          <w:iCs w:val="false"/>
          <w:color w:val="333333"/>
          <w:sz w:val="20"/>
          <w:szCs w:val="20"/>
          <w:rtl w:val="true"/>
        </w:rPr>
        <w:t>.</w:t>
      </w:r>
    </w:p>
  </w:footnote>
  <w:footnote w:id="1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757</w:t>
      </w:r>
      <w:r>
        <w:rPr>
          <w:rFonts w:eastAsia="IRNazanin" w:cs="IRNazanin"/>
          <w:b w:val="false"/>
          <w:bCs w:val="false"/>
          <w:i w:val="false"/>
          <w:iCs w:val="false"/>
          <w:color w:val="333333"/>
          <w:sz w:val="20"/>
          <w:szCs w:val="20"/>
          <w:rtl w:val="true"/>
        </w:rPr>
        <w:t>.</w:t>
      </w:r>
    </w:p>
  </w:footnote>
  <w:footnote w:id="1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کالمفید فی 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746</w:t>
      </w:r>
      <w:r>
        <w:rPr>
          <w:rFonts w:ascii="IRNazanin" w:hAnsi="IRNazanin" w:eastAsia="IRNazanin"/>
          <w:b w:val="false"/>
          <w:b w:val="false"/>
          <w:bCs w:val="false"/>
          <w:i w:val="false"/>
          <w:i w:val="false"/>
          <w:iCs w:val="false"/>
          <w:color w:val="333333"/>
          <w:sz w:val="20"/>
          <w:sz w:val="20"/>
          <w:szCs w:val="20"/>
          <w:rtl w:val="true"/>
        </w:rPr>
        <w:t>، وسلّار فی المراسم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وابن حمزة فی الوسیلة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1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4:252</w:t>
      </w:r>
      <w:r>
        <w:rPr>
          <w:rFonts w:eastAsia="IRNazanin" w:cs="IRNazanin"/>
          <w:b w:val="false"/>
          <w:bCs w:val="false"/>
          <w:i w:val="false"/>
          <w:iCs w:val="false"/>
          <w:color w:val="333333"/>
          <w:sz w:val="20"/>
          <w:szCs w:val="20"/>
          <w:rtl w:val="true"/>
        </w:rPr>
        <w:t>.</w:t>
      </w:r>
    </w:p>
  </w:footnote>
  <w:footnote w:id="1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التحریر </w:t>
      </w:r>
      <w:r>
        <w:rPr>
          <w:rFonts w:eastAsia="IRNazanin" w:cs="IRNazanin"/>
          <w:b w:val="false"/>
          <w:bCs w:val="false"/>
          <w:i w:val="false"/>
          <w:iCs w:val="false"/>
          <w:color w:val="333333"/>
          <w:sz w:val="20"/>
          <w:szCs w:val="20"/>
        </w:rPr>
        <w:t>5:563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w:t>
      </w:r>
    </w:p>
  </w:footnote>
  <w:footnote w:id="1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9:343</w:t>
      </w:r>
      <w:r>
        <w:rPr>
          <w:rFonts w:eastAsia="IRNazanin" w:cs="IRNazanin"/>
          <w:b w:val="false"/>
          <w:bCs w:val="false"/>
          <w:i w:val="false"/>
          <w:iCs w:val="false"/>
          <w:color w:val="333333"/>
          <w:sz w:val="20"/>
          <w:szCs w:val="20"/>
          <w:rtl w:val="true"/>
        </w:rPr>
        <w:t>.</w:t>
      </w:r>
    </w:p>
  </w:footnote>
  <w:footnote w:id="1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3:653</w:t>
      </w:r>
      <w:r>
        <w:rPr>
          <w:rFonts w:ascii="IRNazanin" w:hAnsi="IRNazanin" w:eastAsia="IRNazanin"/>
          <w:b w:val="false"/>
          <w:b w:val="false"/>
          <w:bCs w:val="false"/>
          <w:i w:val="false"/>
          <w:i w:val="false"/>
          <w:iCs w:val="false"/>
          <w:color w:val="333333"/>
          <w:sz w:val="20"/>
          <w:sz w:val="20"/>
          <w:szCs w:val="20"/>
          <w:rtl w:val="true"/>
        </w:rPr>
        <w:t xml:space="preserve">، والإرشاد </w:t>
      </w:r>
      <w:r>
        <w:rPr>
          <w:rFonts w:eastAsia="IRNazanin" w:cs="IRNazanin"/>
          <w:b w:val="false"/>
          <w:bCs w:val="false"/>
          <w:i w:val="false"/>
          <w:iCs w:val="false"/>
          <w:color w:val="333333"/>
          <w:sz w:val="20"/>
          <w:szCs w:val="20"/>
        </w:rPr>
        <w:t>2:224</w:t>
      </w:r>
      <w:r>
        <w:rPr>
          <w:rFonts w:eastAsia="IRNazanin" w:cs="IRNazanin"/>
          <w:b w:val="false"/>
          <w:bCs w:val="false"/>
          <w:i w:val="false"/>
          <w:iCs w:val="false"/>
          <w:color w:val="333333"/>
          <w:sz w:val="20"/>
          <w:szCs w:val="20"/>
          <w:rtl w:val="true"/>
        </w:rPr>
        <w:t>.</w:t>
      </w:r>
    </w:p>
  </w:footnote>
  <w:footnote w:id="1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إن وُجد مقتولاً</w:t>
      </w:r>
      <w:r>
        <w:rPr>
          <w:rFonts w:eastAsia="IRNazanin" w:cs="IRNazanin"/>
          <w:b w:val="false"/>
          <w:bCs w:val="false"/>
          <w:i w:val="false"/>
          <w:iCs w:val="false"/>
          <w:color w:val="333333"/>
          <w:sz w:val="20"/>
          <w:szCs w:val="20"/>
          <w:rtl w:val="true"/>
        </w:rPr>
        <w:t>.</w:t>
      </w:r>
    </w:p>
  </w:footnote>
  <w:footnote w:id="2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الفضیل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الراوی عن أبی المقدام، فإنّه ضعیف، المسالک </w:t>
      </w:r>
      <w:r>
        <w:rPr>
          <w:rFonts w:eastAsia="IRNazanin" w:cs="IRNazanin"/>
          <w:b w:val="false"/>
          <w:bCs w:val="false"/>
          <w:i w:val="false"/>
          <w:iCs w:val="false"/>
          <w:color w:val="333333"/>
          <w:sz w:val="20"/>
          <w:szCs w:val="20"/>
        </w:rPr>
        <w:t>16:296</w:t>
      </w:r>
      <w:r>
        <w:rPr>
          <w:rFonts w:eastAsia="IRNazanin" w:cs="IRNazanin"/>
          <w:b w:val="false"/>
          <w:bCs w:val="false"/>
          <w:i w:val="false"/>
          <w:iCs w:val="false"/>
          <w:color w:val="333333"/>
          <w:sz w:val="20"/>
          <w:szCs w:val="20"/>
          <w:rtl w:val="true"/>
        </w:rPr>
        <w:t>.</w:t>
      </w:r>
    </w:p>
  </w:footnote>
  <w:footnote w:id="2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به ظاهراً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جعفر 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الراوی عن عبد اللّٰه بن میمون فإنّه مشترک بین 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جامع الرواة </w:t>
      </w:r>
      <w:r>
        <w:rPr>
          <w:rFonts w:eastAsia="IRNazanin" w:cs="IRNazanin"/>
          <w:b w:val="false"/>
          <w:bCs w:val="false"/>
          <w:i w:val="false"/>
          <w:iCs w:val="false"/>
          <w:color w:val="333333"/>
          <w:sz w:val="20"/>
          <w:szCs w:val="20"/>
        </w:rPr>
        <w:t>1:156</w:t>
      </w:r>
      <w:r>
        <w:rPr>
          <w:rFonts w:eastAsia="IRNazanin" w:cs="IRNazanin"/>
          <w:b w:val="false"/>
          <w:bCs w:val="false"/>
          <w:i w:val="false"/>
          <w:iCs w:val="false"/>
          <w:color w:val="333333"/>
          <w:sz w:val="20"/>
          <w:szCs w:val="20"/>
          <w:rtl w:val="true"/>
        </w:rPr>
        <w:t>.</w:t>
      </w:r>
    </w:p>
  </w:footnote>
  <w:footnote w:id="2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سواء وجد مقتولاً أم میّتاً أو غیر معلوم</w:t>
      </w:r>
      <w:r>
        <w:rPr>
          <w:rFonts w:eastAsia="IRNazanin" w:cs="IRNazanin"/>
          <w:b w:val="false"/>
          <w:bCs w:val="false"/>
          <w:i w:val="false"/>
          <w:iCs w:val="false"/>
          <w:color w:val="333333"/>
          <w:sz w:val="20"/>
          <w:szCs w:val="20"/>
          <w:rtl w:val="true"/>
        </w:rPr>
        <w:t>.</w:t>
      </w:r>
    </w:p>
  </w:footnote>
  <w:footnote w:id="2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فی الصفحة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2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 نّها بدل النفس مع الشکّ فی موجب القود، راجع الصفحة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2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القَوَد إن وُجد مقتولاً، والدیة إن وُجد میّتاً</w:t>
      </w:r>
      <w:r>
        <w:rPr>
          <w:rFonts w:eastAsia="IRNazanin" w:cs="IRNazanin"/>
          <w:b w:val="false"/>
          <w:bCs w:val="false"/>
          <w:i w:val="false"/>
          <w:iCs w:val="false"/>
          <w:color w:val="333333"/>
          <w:sz w:val="20"/>
          <w:szCs w:val="20"/>
          <w:rtl w:val="true"/>
        </w:rPr>
        <w:t>.</w:t>
      </w:r>
    </w:p>
  </w:footnote>
  <w:footnote w:id="2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العموم الوارد فی خبر عمرو بن أبی المقدام، والإطلاق الوارد فی خبر عبد اللّٰه بن میمون</w:t>
      </w:r>
      <w:r>
        <w:rPr>
          <w:rFonts w:eastAsia="IRNazanin" w:cs="IRNazanin"/>
          <w:b w:val="false"/>
          <w:bCs w:val="false"/>
          <w:i w:val="false"/>
          <w:iCs w:val="false"/>
          <w:color w:val="333333"/>
          <w:sz w:val="20"/>
          <w:szCs w:val="20"/>
          <w:rtl w:val="true"/>
        </w:rPr>
        <w:t>.</w:t>
      </w:r>
    </w:p>
  </w:footnote>
  <w:footnote w:id="2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الفتاوی الواردة فی الصفحة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2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غایة المراد </w:t>
      </w:r>
      <w:r>
        <w:rPr>
          <w:rFonts w:eastAsia="IRNazanin" w:cs="IRNazanin"/>
          <w:b w:val="false"/>
          <w:bCs w:val="false"/>
          <w:i w:val="false"/>
          <w:iCs w:val="false"/>
          <w:color w:val="333333"/>
          <w:sz w:val="20"/>
          <w:szCs w:val="20"/>
        </w:rPr>
        <w:t>4:460</w:t>
      </w:r>
      <w:r>
        <w:rPr>
          <w:rFonts w:eastAsia="IRNazanin" w:cs="IRNazanin"/>
          <w:b w:val="false"/>
          <w:bCs w:val="false"/>
          <w:i w:val="false"/>
          <w:iCs w:val="false"/>
          <w:color w:val="333333"/>
          <w:sz w:val="20"/>
          <w:szCs w:val="20"/>
          <w:rtl w:val="true"/>
        </w:rPr>
        <w:t>.</w:t>
      </w:r>
    </w:p>
  </w:footnote>
  <w:footnote w:id="2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القصاص والدیة وغیرهما</w:t>
      </w:r>
      <w:r>
        <w:rPr>
          <w:rFonts w:eastAsia="IRNazanin" w:cs="IRNazanin"/>
          <w:b w:val="false"/>
          <w:bCs w:val="false"/>
          <w:i w:val="false"/>
          <w:iCs w:val="false"/>
          <w:color w:val="333333"/>
          <w:sz w:val="20"/>
          <w:szCs w:val="20"/>
          <w:rtl w:val="true"/>
        </w:rPr>
        <w:t>.</w:t>
      </w:r>
    </w:p>
  </w:footnote>
  <w:footnote w:id="2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4:160</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5363</w:t>
      </w:r>
      <w:r>
        <w:rPr>
          <w:rFonts w:ascii="IRNazanin" w:hAnsi="IRNazanin" w:eastAsia="IRNazanin"/>
          <w:b w:val="false"/>
          <w:b w:val="false"/>
          <w:bCs w:val="false"/>
          <w:i w:val="false"/>
          <w:i w:val="false"/>
          <w:iCs w:val="false"/>
          <w:color w:val="333333"/>
          <w:sz w:val="20"/>
          <w:sz w:val="20"/>
          <w:szCs w:val="20"/>
          <w:rtl w:val="true"/>
        </w:rPr>
        <w:t xml:space="preserve">، والوسائل </w:t>
      </w:r>
      <w:r>
        <w:rPr>
          <w:rFonts w:eastAsia="IRNazanin" w:cs="IRNazanin"/>
          <w:b w:val="false"/>
          <w:bCs w:val="false"/>
          <w:i w:val="false"/>
          <w:iCs w:val="false"/>
          <w:color w:val="333333"/>
          <w:sz w:val="20"/>
          <w:szCs w:val="20"/>
        </w:rPr>
        <w:t>19:199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موجبات الضمان، الحدیث الأوّل وذیله</w:t>
      </w:r>
      <w:r>
        <w:rPr>
          <w:rFonts w:eastAsia="IRNazanin" w:cs="IRNazanin"/>
          <w:b w:val="false"/>
          <w:bCs w:val="false"/>
          <w:i w:val="false"/>
          <w:iCs w:val="false"/>
          <w:color w:val="333333"/>
          <w:sz w:val="20"/>
          <w:szCs w:val="20"/>
          <w:rtl w:val="true"/>
        </w:rPr>
        <w:t>.</w:t>
      </w:r>
    </w:p>
  </w:footnote>
  <w:footnote w:id="2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رواها فی التهذیب بطریقین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10:222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872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أحدهما 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أسلم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ضعیف غالٍ، والآخر فیه جماعة مجهولون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 .</w:t>
      </w:r>
    </w:p>
  </w:footnote>
  <w:footnote w:id="2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غیر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للاُصول</w:t>
      </w:r>
      <w:r>
        <w:rPr>
          <w:rFonts w:eastAsia="IRNazanin" w:cs="IRNazanin"/>
          <w:b w:val="false"/>
          <w:bCs w:val="false"/>
          <w:i w:val="false"/>
          <w:iCs w:val="false"/>
          <w:color w:val="333333"/>
          <w:sz w:val="20"/>
          <w:szCs w:val="20"/>
          <w:rtl w:val="true"/>
        </w:rPr>
        <w:t>.</w:t>
      </w:r>
    </w:p>
  </w:footnote>
  <w:footnote w:id="2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2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19:199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موجبات الضمان،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نخس الدابّة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غرز جنبَها أو مؤخَّرها بعود ونحوه فهاجت، وبفلان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هیّجه وأزعجه</w:t>
      </w:r>
      <w:r>
        <w:rPr>
          <w:rFonts w:eastAsia="IRNazanin" w:cs="IRNazanin"/>
          <w:b w:val="false"/>
          <w:bCs w:val="false"/>
          <w:i w:val="false"/>
          <w:iCs w:val="false"/>
          <w:color w:val="333333"/>
          <w:sz w:val="20"/>
          <w:szCs w:val="20"/>
          <w:rtl w:val="true"/>
        </w:rPr>
        <w:t>.</w:t>
      </w:r>
    </w:p>
  </w:footnote>
  <w:footnote w:id="2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قمص الفرس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رفع یدیه معاً وطرحهما معاً، والبعیر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وثب ونفر</w:t>
      </w:r>
      <w:r>
        <w:rPr>
          <w:rFonts w:eastAsia="IRNazanin" w:cs="IRNazanin"/>
          <w:b w:val="false"/>
          <w:bCs w:val="false"/>
          <w:i w:val="false"/>
          <w:iCs w:val="false"/>
          <w:color w:val="333333"/>
          <w:sz w:val="20"/>
          <w:szCs w:val="20"/>
          <w:rtl w:val="true"/>
        </w:rPr>
        <w:t>.</w:t>
      </w:r>
    </w:p>
  </w:footnote>
  <w:footnote w:id="2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المخطوطات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طرحتهما</w:t>
      </w:r>
      <w:r>
        <w:rPr>
          <w:rFonts w:eastAsia="IRNazanin" w:cs="IRNazanin"/>
          <w:b w:val="false"/>
          <w:bCs w:val="false"/>
          <w:i w:val="false"/>
          <w:iCs w:val="false"/>
          <w:color w:val="333333"/>
          <w:sz w:val="20"/>
          <w:szCs w:val="20"/>
          <w:rtl w:val="true"/>
        </w:rPr>
        <w:t>.</w:t>
      </w:r>
    </w:p>
  </w:footnote>
  <w:footnote w:id="2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19:178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موجبات الضمان، الحدیث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طریقه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 جمیلة مفضّل بن 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ضعیف کذّاب، راجع المسالک </w:t>
      </w:r>
      <w:r>
        <w:rPr>
          <w:rFonts w:eastAsia="IRNazanin" w:cs="IRNazanin"/>
          <w:b w:val="false"/>
          <w:bCs w:val="false"/>
          <w:i w:val="false"/>
          <w:iCs w:val="false"/>
          <w:color w:val="333333"/>
          <w:sz w:val="20"/>
          <w:szCs w:val="20"/>
        </w:rPr>
        <w:t>15:346</w:t>
      </w:r>
      <w:r>
        <w:rPr>
          <w:rFonts w:eastAsia="IRNazanin" w:cs="IRNazanin"/>
          <w:b w:val="false"/>
          <w:bCs w:val="false"/>
          <w:i w:val="false"/>
          <w:iCs w:val="false"/>
          <w:color w:val="333333"/>
          <w:sz w:val="20"/>
          <w:szCs w:val="20"/>
          <w:rtl w:val="true"/>
        </w:rPr>
        <w:t>.</w:t>
      </w:r>
    </w:p>
  </w:footnote>
  <w:footnote w:id="2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763</w:t>
      </w:r>
      <w:r>
        <w:rPr>
          <w:rFonts w:eastAsia="IRNazanin" w:cs="IRNazanin"/>
          <w:b w:val="false"/>
          <w:bCs w:val="false"/>
          <w:i w:val="false"/>
          <w:iCs w:val="false"/>
          <w:color w:val="333333"/>
          <w:sz w:val="20"/>
          <w:szCs w:val="20"/>
          <w:rtl w:val="true"/>
        </w:rPr>
        <w:t>.</w:t>
      </w:r>
    </w:p>
  </w:footnote>
  <w:footnote w:id="2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 الصدوق فی المقنع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531</w:t>
      </w:r>
      <w:r>
        <w:rPr>
          <w:rFonts w:ascii="IRNazanin" w:hAnsi="IRNazanin" w:eastAsia="IRNazanin"/>
          <w:b w:val="false"/>
          <w:b w:val="false"/>
          <w:bCs w:val="false"/>
          <w:i w:val="false"/>
          <w:i w:val="false"/>
          <w:iCs w:val="false"/>
          <w:color w:val="333333"/>
          <w:sz w:val="20"/>
          <w:sz w:val="20"/>
          <w:szCs w:val="20"/>
          <w:rtl w:val="true"/>
        </w:rPr>
        <w:t xml:space="preserve">، والقاضی فی المهذّب </w:t>
      </w:r>
      <w:r>
        <w:rPr>
          <w:rFonts w:eastAsia="IRNazanin" w:cs="IRNazanin"/>
          <w:b w:val="false"/>
          <w:bCs w:val="false"/>
          <w:i w:val="false"/>
          <w:iCs w:val="false"/>
          <w:color w:val="333333"/>
          <w:sz w:val="20"/>
          <w:szCs w:val="20"/>
        </w:rPr>
        <w:t>2:499</w:t>
      </w:r>
      <w:r>
        <w:rPr>
          <w:rFonts w:eastAsia="IRNazanin" w:cs="IRNazanin"/>
          <w:b w:val="false"/>
          <w:bCs w:val="false"/>
          <w:i w:val="false"/>
          <w:iCs w:val="false"/>
          <w:color w:val="333333"/>
          <w:sz w:val="20"/>
          <w:szCs w:val="20"/>
          <w:rtl w:val="true"/>
        </w:rPr>
        <w:t>.</w:t>
      </w:r>
    </w:p>
  </w:footnote>
  <w:footnote w:id="2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750</w:t>
      </w:r>
      <w:r>
        <w:rPr>
          <w:rFonts w:eastAsia="IRNazanin" w:cs="IRNazanin"/>
          <w:b w:val="false"/>
          <w:bCs w:val="false"/>
          <w:i w:val="false"/>
          <w:iCs w:val="false"/>
          <w:color w:val="333333"/>
          <w:sz w:val="20"/>
          <w:szCs w:val="20"/>
          <w:rtl w:val="true"/>
        </w:rPr>
        <w:t>.</w:t>
      </w:r>
    </w:p>
  </w:footnote>
  <w:footnote w:id="2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19:179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موجبات الضمان،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النافع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والشرائع </w:t>
      </w:r>
      <w:r>
        <w:rPr>
          <w:rFonts w:eastAsia="IRNazanin" w:cs="IRNazanin"/>
          <w:b w:val="false"/>
          <w:bCs w:val="false"/>
          <w:i w:val="false"/>
          <w:iCs w:val="false"/>
          <w:color w:val="333333"/>
          <w:sz w:val="20"/>
          <w:szCs w:val="20"/>
        </w:rPr>
        <w:t>4:251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وجّه وحسّن قول المفید</w:t>
      </w:r>
      <w:r>
        <w:rPr>
          <w:rFonts w:eastAsia="IRNazanin" w:cs="IRNazanin"/>
          <w:b w:val="false"/>
          <w:bCs w:val="false"/>
          <w:i w:val="false"/>
          <w:iCs w:val="false"/>
          <w:color w:val="333333"/>
          <w:sz w:val="20"/>
          <w:szCs w:val="20"/>
          <w:rtl w:val="true"/>
        </w:rPr>
        <w:t>.</w:t>
      </w:r>
    </w:p>
  </w:footnote>
  <w:footnote w:id="2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9:338</w:t>
      </w:r>
      <w:r>
        <w:rPr>
          <w:rFonts w:eastAsia="IRNazanin" w:cs="IRNazanin"/>
          <w:b w:val="false"/>
          <w:bCs w:val="false"/>
          <w:i w:val="false"/>
          <w:iCs w:val="false"/>
          <w:color w:val="333333"/>
          <w:sz w:val="20"/>
          <w:szCs w:val="20"/>
          <w:rtl w:val="true"/>
        </w:rPr>
        <w:t>.</w:t>
      </w:r>
    </w:p>
  </w:footnote>
  <w:footnote w:id="2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3:374</w:t>
      </w:r>
      <w:r>
        <w:rPr>
          <w:rFonts w:eastAsia="IRNazanin" w:cs="IRNazanin"/>
          <w:b w:val="false"/>
          <w:bCs w:val="false"/>
          <w:i w:val="false"/>
          <w:iCs w:val="false"/>
          <w:color w:val="333333"/>
          <w:sz w:val="20"/>
          <w:szCs w:val="20"/>
          <w:rtl w:val="true"/>
        </w:rPr>
        <w:t>.</w:t>
      </w:r>
    </w:p>
  </w:footnote>
  <w:footnote w:id="2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فیتعیّن</w:t>
      </w:r>
      <w:r>
        <w:rPr>
          <w:rFonts w:eastAsia="IRNazanin" w:cs="IRNazanin"/>
          <w:b w:val="false"/>
          <w:bCs w:val="false"/>
          <w:i w:val="false"/>
          <w:iCs w:val="false"/>
          <w:color w:val="333333"/>
          <w:sz w:val="20"/>
          <w:szCs w:val="20"/>
          <w:rtl w:val="true"/>
        </w:rPr>
        <w:t>.</w:t>
      </w:r>
    </w:p>
  </w:footnote>
  <w:footnote w:id="2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غایة المراد </w:t>
      </w:r>
      <w:r>
        <w:rPr>
          <w:rFonts w:eastAsia="IRNazanin" w:cs="IRNazanin"/>
          <w:b w:val="false"/>
          <w:bCs w:val="false"/>
          <w:i w:val="false"/>
          <w:iCs w:val="false"/>
          <w:color w:val="333333"/>
          <w:sz w:val="20"/>
          <w:szCs w:val="20"/>
        </w:rPr>
        <w:t>4:456</w:t>
      </w:r>
      <w:r>
        <w:rPr>
          <w:rFonts w:eastAsia="IRNazanin" w:cs="IRNazanin"/>
          <w:b w:val="false"/>
          <w:bCs w:val="false"/>
          <w:i w:val="false"/>
          <w:iCs w:val="false"/>
          <w:color w:val="333333"/>
          <w:sz w:val="20"/>
          <w:szCs w:val="20"/>
          <w:rtl w:val="true"/>
        </w:rPr>
        <w:t>.</w:t>
      </w:r>
    </w:p>
  </w:footnote>
  <w:footnote w:id="2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قصده</w:t>
      </w:r>
      <w:r>
        <w:rPr>
          <w:rFonts w:eastAsia="IRNazanin" w:cs="IRNazanin"/>
          <w:b w:val="false"/>
          <w:bCs w:val="false"/>
          <w:i w:val="false"/>
          <w:iCs w:val="false"/>
          <w:color w:val="333333"/>
          <w:sz w:val="20"/>
          <w:szCs w:val="20"/>
          <w:rtl w:val="true"/>
        </w:rPr>
        <w:t>.</w:t>
      </w:r>
    </w:p>
  </w:footnote>
  <w:footnote w:id="2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الشرح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مهراً لها</w:t>
      </w:r>
      <w:r>
        <w:rPr>
          <w:rFonts w:eastAsia="IRNazanin" w:cs="IRNazanin"/>
          <w:b w:val="false"/>
          <w:bCs w:val="false"/>
          <w:i w:val="false"/>
          <w:iCs w:val="false"/>
          <w:color w:val="333333"/>
          <w:sz w:val="20"/>
          <w:szCs w:val="20"/>
          <w:rtl w:val="true"/>
        </w:rPr>
        <w:t>.</w:t>
      </w:r>
    </w:p>
  </w:footnote>
  <w:footnote w:id="2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19:45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القصاص فی النفس،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آخر کتاب القصاص، الصفحة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هلک قاتل العمد، فالمرویّ أخذُ الدیة من ماله</w:t>
      </w:r>
      <w:r>
        <w:rPr>
          <w:rFonts w:eastAsia="IRNazanin" w:cs="IRNazanin"/>
          <w:b w:val="false"/>
          <w:bCs w:val="false"/>
          <w:i w:val="false"/>
          <w:iCs w:val="false"/>
          <w:color w:val="333333"/>
          <w:sz w:val="20"/>
          <w:szCs w:val="20"/>
          <w:rtl w:val="true"/>
        </w:rPr>
        <w:t>.</w:t>
      </w:r>
    </w:p>
  </w:footnote>
  <w:footnote w:id="2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19:45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القصاص فی النفس،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طریقه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 بن طلحة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یرد فیه توثیق ولا مدح یدرجه فی الحسان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جامع الرواة </w:t>
      </w:r>
      <w:r>
        <w:rPr>
          <w:rFonts w:eastAsia="IRNazanin" w:cs="IRNazanin"/>
          <w:b w:val="false"/>
          <w:bCs w:val="false"/>
          <w:i w:val="false"/>
          <w:iCs w:val="false"/>
          <w:color w:val="333333"/>
          <w:sz w:val="20"/>
          <w:szCs w:val="20"/>
        </w:rPr>
        <w:t>1:493</w:t>
      </w:r>
      <w:r>
        <w:rPr>
          <w:rFonts w:eastAsia="IRNazanin" w:cs="IRNazanin"/>
          <w:b w:val="false"/>
          <w:bCs w:val="false"/>
          <w:i w:val="false"/>
          <w:iCs w:val="false"/>
          <w:color w:val="333333"/>
          <w:sz w:val="20"/>
          <w:szCs w:val="20"/>
          <w:rtl w:val="true"/>
        </w:rPr>
        <w:t>.</w:t>
      </w:r>
    </w:p>
  </w:footnote>
  <w:footnote w:id="2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19:172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الباب الأوّل من أبواب موجبات الضمان، الحدیث الأوّل، نقلاً بالمضمون</w:t>
      </w:r>
      <w:r>
        <w:rPr>
          <w:rFonts w:eastAsia="IRNazanin" w:cs="IRNazanin"/>
          <w:b w:val="false"/>
          <w:bCs w:val="false"/>
          <w:i w:val="false"/>
          <w:iCs w:val="false"/>
          <w:color w:val="333333"/>
          <w:sz w:val="20"/>
          <w:szCs w:val="20"/>
          <w:rtl w:val="true"/>
        </w:rPr>
        <w:t>.</w:t>
      </w:r>
    </w:p>
  </w:footnote>
  <w:footnote w:id="2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غایة المراد </w:t>
      </w:r>
      <w:r>
        <w:rPr>
          <w:rFonts w:eastAsia="IRNazanin" w:cs="IRNazanin"/>
          <w:b w:val="false"/>
          <w:bCs w:val="false"/>
          <w:i w:val="false"/>
          <w:iCs w:val="false"/>
          <w:color w:val="333333"/>
          <w:sz w:val="20"/>
          <w:szCs w:val="20"/>
        </w:rPr>
        <w:t>4:467</w:t>
      </w:r>
      <w:r>
        <w:rPr>
          <w:rFonts w:eastAsia="IRNazanin" w:cs="IRNazanin"/>
          <w:b w:val="false"/>
          <w:bCs w:val="false"/>
          <w:i w:val="false"/>
          <w:iCs w:val="false"/>
          <w:color w:val="333333"/>
          <w:sz w:val="20"/>
          <w:szCs w:val="20"/>
          <w:rtl w:val="true"/>
        </w:rPr>
        <w:t>.</w:t>
      </w:r>
    </w:p>
  </w:footnote>
  <w:footnote w:id="2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القول بالدیة للعلّامة فی التحریر </w:t>
      </w:r>
      <w:r>
        <w:rPr>
          <w:rFonts w:eastAsia="IRNazanin" w:cs="IRNazanin"/>
          <w:b w:val="false"/>
          <w:bCs w:val="false"/>
          <w:i w:val="false"/>
          <w:iCs w:val="false"/>
          <w:color w:val="333333"/>
          <w:sz w:val="20"/>
          <w:szCs w:val="20"/>
        </w:rPr>
        <w:t>5:465</w:t>
      </w:r>
      <w:r>
        <w:rPr>
          <w:rFonts w:ascii="IRNazanin" w:hAnsi="IRNazanin" w:eastAsia="IRNazanin"/>
          <w:b w:val="false"/>
          <w:b w:val="false"/>
          <w:bCs w:val="false"/>
          <w:i w:val="false"/>
          <w:i w:val="false"/>
          <w:iCs w:val="false"/>
          <w:color w:val="333333"/>
          <w:sz w:val="20"/>
          <w:sz w:val="20"/>
          <w:szCs w:val="20"/>
          <w:rtl w:val="true"/>
        </w:rPr>
        <w:t xml:space="preserve">، وابن فهد فی المهذّب البارع </w:t>
      </w:r>
      <w:r>
        <w:rPr>
          <w:rFonts w:eastAsia="IRNazanin" w:cs="IRNazanin"/>
          <w:b w:val="false"/>
          <w:bCs w:val="false"/>
          <w:i w:val="false"/>
          <w:iCs w:val="false"/>
          <w:color w:val="333333"/>
          <w:sz w:val="20"/>
          <w:szCs w:val="20"/>
        </w:rPr>
        <w:t>5:284</w:t>
      </w:r>
      <w:r>
        <w:rPr>
          <w:rFonts w:ascii="IRNazanin" w:hAnsi="IRNazanin" w:eastAsia="IRNazanin"/>
          <w:b w:val="false"/>
          <w:b w:val="false"/>
          <w:bCs w:val="false"/>
          <w:i w:val="false"/>
          <w:i w:val="false"/>
          <w:iCs w:val="false"/>
          <w:color w:val="333333"/>
          <w:sz w:val="20"/>
          <w:sz w:val="20"/>
          <w:szCs w:val="20"/>
          <w:rtl w:val="true"/>
        </w:rPr>
        <w:t xml:space="preserve">، والشهید فی غایة المراد </w:t>
      </w:r>
      <w:r>
        <w:rPr>
          <w:rFonts w:eastAsia="IRNazanin" w:cs="IRNazanin"/>
          <w:b w:val="false"/>
          <w:bCs w:val="false"/>
          <w:i w:val="false"/>
          <w:iCs w:val="false"/>
          <w:color w:val="333333"/>
          <w:sz w:val="20"/>
          <w:szCs w:val="20"/>
        </w:rPr>
        <w:t>4:340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والقول بالقصاص لابن إدریس فی السرائر </w:t>
      </w:r>
      <w:r>
        <w:rPr>
          <w:rFonts w:eastAsia="IRNazanin" w:cs="IRNazanin"/>
          <w:b w:val="false"/>
          <w:bCs w:val="false"/>
          <w:i w:val="false"/>
          <w:iCs w:val="false"/>
          <w:color w:val="333333"/>
          <w:sz w:val="20"/>
          <w:szCs w:val="20"/>
        </w:rPr>
        <w:t>3:374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والمحقّق فی الشرائع </w:t>
      </w:r>
      <w:r>
        <w:rPr>
          <w:rFonts w:eastAsia="IRNazanin" w:cs="IRNazanin"/>
          <w:b w:val="false"/>
          <w:bCs w:val="false"/>
          <w:i w:val="false"/>
          <w:iCs w:val="false"/>
          <w:color w:val="333333"/>
          <w:sz w:val="20"/>
          <w:szCs w:val="20"/>
        </w:rPr>
        <w:t>4:216</w:t>
      </w:r>
      <w:r>
        <w:rPr>
          <w:rFonts w:ascii="IRNazanin" w:hAnsi="IRNazanin" w:eastAsia="IRNazanin"/>
          <w:b w:val="false"/>
          <w:b w:val="false"/>
          <w:bCs w:val="false"/>
          <w:i w:val="false"/>
          <w:i w:val="false"/>
          <w:iCs w:val="false"/>
          <w:color w:val="333333"/>
          <w:sz w:val="20"/>
          <w:sz w:val="20"/>
          <w:szCs w:val="20"/>
          <w:rtl w:val="true"/>
        </w:rPr>
        <w:t xml:space="preserve">، وفخر المحقّقین فی الإیضاح </w:t>
      </w:r>
      <w:r>
        <w:rPr>
          <w:rFonts w:eastAsia="IRNazanin" w:cs="IRNazanin"/>
          <w:b w:val="false"/>
          <w:bCs w:val="false"/>
          <w:i w:val="false"/>
          <w:iCs w:val="false"/>
          <w:color w:val="333333"/>
          <w:sz w:val="20"/>
          <w:szCs w:val="20"/>
        </w:rPr>
        <w:t>4:601</w:t>
      </w:r>
      <w:r>
        <w:rPr>
          <w:rFonts w:ascii="IRNazanin" w:hAnsi="IRNazanin" w:eastAsia="IRNazanin"/>
          <w:b w:val="false"/>
          <w:b w:val="false"/>
          <w:bCs w:val="false"/>
          <w:i w:val="false"/>
          <w:i w:val="false"/>
          <w:iCs w:val="false"/>
          <w:color w:val="333333"/>
          <w:sz w:val="20"/>
          <w:sz w:val="20"/>
          <w:szCs w:val="20"/>
          <w:rtl w:val="true"/>
        </w:rPr>
        <w:t>، وغیرهم</w:t>
      </w:r>
      <w:r>
        <w:rPr>
          <w:rFonts w:eastAsia="IRNazanin" w:cs="IRNazanin"/>
          <w:b w:val="false"/>
          <w:bCs w:val="false"/>
          <w:i w:val="false"/>
          <w:iCs w:val="false"/>
          <w:color w:val="333333"/>
          <w:sz w:val="20"/>
          <w:szCs w:val="20"/>
          <w:rtl w:val="true"/>
        </w:rPr>
        <w:t>.</w:t>
      </w:r>
    </w:p>
  </w:footnote>
  <w:footnote w:id="2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بالجرّ معطوف علی مدخول باء الجارّة</w:t>
      </w:r>
      <w:r>
        <w:rPr>
          <w:rFonts w:eastAsia="IRNazanin" w:cs="IRNazanin"/>
          <w:b w:val="false"/>
          <w:bCs w:val="false"/>
          <w:i w:val="false"/>
          <w:iCs w:val="false"/>
          <w:color w:val="333333"/>
          <w:sz w:val="20"/>
          <w:szCs w:val="20"/>
          <w:rtl w:val="true"/>
        </w:rPr>
        <w:t>.</w:t>
      </w:r>
    </w:p>
  </w:footnote>
  <w:footnote w:id="2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القتل والجرح</w:t>
      </w:r>
      <w:r>
        <w:rPr>
          <w:rFonts w:eastAsia="IRNazanin" w:cs="IRNazanin"/>
          <w:b w:val="false"/>
          <w:bCs w:val="false"/>
          <w:i w:val="false"/>
          <w:iCs w:val="false"/>
          <w:color w:val="333333"/>
          <w:sz w:val="20"/>
          <w:szCs w:val="20"/>
          <w:rtl w:val="true"/>
        </w:rPr>
        <w:t>.</w:t>
      </w:r>
    </w:p>
  </w:footnote>
  <w:footnote w:id="2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 نّهم</w:t>
      </w:r>
      <w:r>
        <w:rPr>
          <w:rFonts w:eastAsia="IRNazanin" w:cs="IRNazanin"/>
          <w:b w:val="false"/>
          <w:bCs w:val="false"/>
          <w:i w:val="false"/>
          <w:iCs w:val="false"/>
          <w:color w:val="333333"/>
          <w:sz w:val="20"/>
          <w:szCs w:val="20"/>
          <w:rtl w:val="true"/>
        </w:rPr>
        <w:t>.</w:t>
      </w:r>
    </w:p>
  </w:footnote>
  <w:footnote w:id="2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أغرقوه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والمناسب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أغرقاه أو غرّقاه</w:t>
      </w:r>
      <w:r>
        <w:rPr>
          <w:rFonts w:eastAsia="IRNazanin" w:cs="IRNazanin"/>
          <w:b w:val="false"/>
          <w:bCs w:val="false"/>
          <w:i w:val="false"/>
          <w:iCs w:val="false"/>
          <w:color w:val="333333"/>
          <w:sz w:val="20"/>
          <w:szCs w:val="20"/>
          <w:rtl w:val="true"/>
        </w:rPr>
        <w:t>.</w:t>
      </w:r>
    </w:p>
  </w:footnote>
  <w:footnote w:id="2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19:174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موجبات الضمان، وفیه حدیث واحد</w:t>
      </w:r>
      <w:r>
        <w:rPr>
          <w:rFonts w:eastAsia="IRNazanin" w:cs="IRNazanin"/>
          <w:b w:val="false"/>
          <w:bCs w:val="false"/>
          <w:i w:val="false"/>
          <w:iCs w:val="false"/>
          <w:color w:val="333333"/>
          <w:sz w:val="20"/>
          <w:szCs w:val="20"/>
          <w:rtl w:val="true"/>
        </w:rPr>
        <w:t>.</w:t>
      </w:r>
    </w:p>
  </w:footnote>
  <w:footnote w:id="2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نظره إلی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النوفلی عن السکونی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سند الکافی، وإلی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قیس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سند التهذیب، وقد صرّح فی المسالک </w:t>
      </w:r>
      <w:r>
        <w:rPr>
          <w:rFonts w:eastAsia="IRNazanin" w:cs="IRNazanin"/>
          <w:b w:val="false"/>
          <w:bCs w:val="false"/>
          <w:i w:val="false"/>
          <w:iCs w:val="false"/>
          <w:color w:val="333333"/>
          <w:sz w:val="20"/>
          <w:szCs w:val="20"/>
        </w:rPr>
        <w:t>15:357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قیس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مشترک بین الثقة والضعیف</w:t>
      </w:r>
      <w:r>
        <w:rPr>
          <w:rFonts w:eastAsia="IRNazanin" w:cs="IRNazanin"/>
          <w:b w:val="false"/>
          <w:bCs w:val="false"/>
          <w:i w:val="false"/>
          <w:iCs w:val="false"/>
          <w:color w:val="333333"/>
          <w:sz w:val="20"/>
          <w:szCs w:val="20"/>
          <w:rtl w:val="true"/>
        </w:rPr>
        <w:t>.</w:t>
      </w:r>
    </w:p>
  </w:footnote>
  <w:footnote w:id="2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سابقاً کان أو لا</w:t>
      </w:r>
      <w:r>
        <w:rPr>
          <w:rFonts w:eastAsia="IRNazanin" w:cs="IRNazanin"/>
          <w:b w:val="false"/>
          <w:bCs w:val="false"/>
          <w:i w:val="false"/>
          <w:iCs w:val="false"/>
          <w:color w:val="333333"/>
          <w:sz w:val="20"/>
          <w:szCs w:val="20"/>
          <w:rtl w:val="true"/>
        </w:rPr>
        <w:t>.</w:t>
      </w:r>
    </w:p>
  </w:footnote>
  <w:footnote w:id="2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2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فی المسالک </w:t>
      </w:r>
      <w:r>
        <w:rPr>
          <w:rFonts w:eastAsia="IRNazanin" w:cs="IRNazanin"/>
          <w:b w:val="false"/>
          <w:bCs w:val="false"/>
          <w:i w:val="false"/>
          <w:iCs w:val="false"/>
          <w:color w:val="333333"/>
          <w:sz w:val="20"/>
          <w:szCs w:val="20"/>
        </w:rPr>
        <w:t>15:353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سئل المصنّف رحمه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صاحب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السبب فی ذکرها مرویّة کذلک، فأجاب بستّة أوجه</w:t>
      </w:r>
      <w:r>
        <w:rPr>
          <w:rFonts w:eastAsia="IRNazanin" w:cs="IRNazanin"/>
          <w:b w:val="false"/>
          <w:bCs w:val="false"/>
          <w:i w:val="false"/>
          <w:iCs w:val="false"/>
          <w:color w:val="333333"/>
          <w:sz w:val="20"/>
          <w:szCs w:val="20"/>
          <w:rtl w:val="true"/>
        </w:rPr>
        <w:t>.</w:t>
      </w:r>
    </w:p>
  </w:footnote>
  <w:footnote w:id="2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المختصر النافع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2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13:271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الإجارة</w:t>
      </w:r>
      <w:r>
        <w:rPr>
          <w:rFonts w:eastAsia="IRNazanin" w:cs="IRNazanin"/>
          <w:b w:val="false"/>
          <w:bCs w:val="false"/>
          <w:i w:val="false"/>
          <w:iCs w:val="false"/>
          <w:color w:val="333333"/>
          <w:sz w:val="20"/>
          <w:szCs w:val="20"/>
          <w:rtl w:val="true"/>
        </w:rPr>
        <w:t>.</w:t>
      </w:r>
    </w:p>
  </w:footnote>
  <w:footnote w:id="2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3:653</w:t>
      </w:r>
      <w:r>
        <w:rPr>
          <w:rFonts w:eastAsia="IRNazanin" w:cs="IRNazanin"/>
          <w:b w:val="false"/>
          <w:bCs w:val="false"/>
          <w:i w:val="false"/>
          <w:iCs w:val="false"/>
          <w:color w:val="333333"/>
          <w:sz w:val="20"/>
          <w:szCs w:val="20"/>
          <w:rtl w:val="true"/>
        </w:rPr>
        <w:t>.</w:t>
      </w:r>
    </w:p>
  </w:footnote>
  <w:footnote w:id="2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التحریر </w:t>
      </w:r>
      <w:r>
        <w:rPr>
          <w:rFonts w:eastAsia="IRNazanin" w:cs="IRNazanin"/>
          <w:b w:val="false"/>
          <w:bCs w:val="false"/>
          <w:i w:val="false"/>
          <w:iCs w:val="false"/>
          <w:color w:val="333333"/>
          <w:sz w:val="20"/>
          <w:szCs w:val="20"/>
        </w:rPr>
        <w:t>5:545</w:t>
      </w:r>
      <w:r>
        <w:rPr>
          <w:rFonts w:eastAsia="IRNazanin" w:cs="IRNazanin"/>
          <w:b w:val="false"/>
          <w:bCs w:val="false"/>
          <w:i w:val="false"/>
          <w:iCs w:val="false"/>
          <w:color w:val="333333"/>
          <w:sz w:val="20"/>
          <w:szCs w:val="20"/>
          <w:rtl w:val="true"/>
        </w:rPr>
        <w:t>.</w:t>
      </w:r>
    </w:p>
  </w:footnote>
  <w:footnote w:id="2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التحریر </w:t>
      </w:r>
      <w:r>
        <w:rPr>
          <w:rFonts w:eastAsia="IRNazanin" w:cs="IRNazanin"/>
          <w:b w:val="false"/>
          <w:bCs w:val="false"/>
          <w:i w:val="false"/>
          <w:iCs w:val="false"/>
          <w:color w:val="333333"/>
          <w:sz w:val="20"/>
          <w:szCs w:val="20"/>
        </w:rPr>
        <w:t>5:540</w:t>
      </w:r>
      <w:r>
        <w:rPr>
          <w:rFonts w:eastAsia="IRNazanin" w:cs="IRNazanin"/>
          <w:b w:val="false"/>
          <w:bCs w:val="false"/>
          <w:i w:val="false"/>
          <w:iCs w:val="false"/>
          <w:color w:val="333333"/>
          <w:sz w:val="20"/>
          <w:szCs w:val="20"/>
          <w:rtl w:val="true"/>
        </w:rPr>
        <w:t>.</w:t>
      </w:r>
    </w:p>
  </w:footnote>
  <w:footnote w:id="2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المتقدّم</w:t>
      </w:r>
      <w:r>
        <w:rPr>
          <w:rFonts w:eastAsia="IRNazanin" w:cs="IRNazanin"/>
          <w:b w:val="false"/>
          <w:bCs w:val="false"/>
          <w:i w:val="false"/>
          <w:iCs w:val="false"/>
          <w:color w:val="333333"/>
          <w:sz w:val="20"/>
          <w:szCs w:val="20"/>
          <w:rtl w:val="true"/>
        </w:rPr>
        <w:t>.</w:t>
      </w:r>
    </w:p>
  </w:footnote>
  <w:footnote w:id="2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الشیخ فی الخلاف </w:t>
      </w:r>
      <w:r>
        <w:rPr>
          <w:rFonts w:eastAsia="IRNazanin" w:cs="IRNazanin"/>
          <w:b w:val="false"/>
          <w:bCs w:val="false"/>
          <w:i w:val="false"/>
          <w:iCs w:val="false"/>
          <w:color w:val="333333"/>
          <w:sz w:val="20"/>
          <w:szCs w:val="20"/>
        </w:rPr>
        <w:t>5:290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ویحیی بن سعید فی الجامع للشرائع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w:t>
      </w:r>
    </w:p>
  </w:footnote>
  <w:footnote w:id="2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19:179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موجبات الضمان،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موجبات الضمان، الحدیث الأوّل مع اختلاف یسیر</w:t>
      </w:r>
      <w:r>
        <w:rPr>
          <w:rFonts w:eastAsia="IRNazanin" w:cs="IRNazanin"/>
          <w:b w:val="false"/>
          <w:bCs w:val="false"/>
          <w:i w:val="false"/>
          <w:iCs w:val="false"/>
          <w:color w:val="333333"/>
          <w:sz w:val="20"/>
          <w:szCs w:val="20"/>
          <w:rtl w:val="true"/>
        </w:rPr>
        <w:t>.</w:t>
      </w:r>
    </w:p>
  </w:footnote>
  <w:footnote w:id="2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جمیع الدیة، لا نصفها</w:t>
      </w:r>
      <w:r>
        <w:rPr>
          <w:rFonts w:eastAsia="IRNazanin" w:cs="IRNazanin"/>
          <w:b w:val="false"/>
          <w:bCs w:val="false"/>
          <w:i w:val="false"/>
          <w:iCs w:val="false"/>
          <w:color w:val="333333"/>
          <w:sz w:val="20"/>
          <w:szCs w:val="20"/>
          <w:rtl w:val="true"/>
        </w:rPr>
        <w:t>.</w:t>
      </w:r>
    </w:p>
  </w:footnote>
  <w:footnote w:id="2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w:t>
      </w:r>
    </w:p>
  </w:footnote>
  <w:footnote w:id="2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الشیخ فی المبسوط </w:t>
      </w:r>
      <w:r>
        <w:rPr>
          <w:rFonts w:eastAsia="IRNazanin" w:cs="IRNazanin"/>
          <w:b w:val="false"/>
          <w:bCs w:val="false"/>
          <w:i w:val="false"/>
          <w:iCs w:val="false"/>
          <w:color w:val="333333"/>
          <w:sz w:val="20"/>
          <w:szCs w:val="20"/>
        </w:rPr>
        <w:t>7:188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وتبعه العلّامة فی القواعد </w:t>
      </w:r>
      <w:r>
        <w:rPr>
          <w:rFonts w:eastAsia="IRNazanin" w:cs="IRNazanin"/>
          <w:b w:val="false"/>
          <w:bCs w:val="false"/>
          <w:i w:val="false"/>
          <w:iCs w:val="false"/>
          <w:color w:val="333333"/>
          <w:sz w:val="20"/>
          <w:szCs w:val="20"/>
        </w:rPr>
        <w:t>3:655</w:t>
      </w:r>
      <w:r>
        <w:rPr>
          <w:rFonts w:ascii="IRNazanin" w:hAnsi="IRNazanin" w:eastAsia="IRNazanin"/>
          <w:b w:val="false"/>
          <w:b w:val="false"/>
          <w:bCs w:val="false"/>
          <w:i w:val="false"/>
          <w:i w:val="false"/>
          <w:iCs w:val="false"/>
          <w:color w:val="333333"/>
          <w:sz w:val="20"/>
          <w:sz w:val="20"/>
          <w:szCs w:val="20"/>
          <w:rtl w:val="true"/>
        </w:rPr>
        <w:t xml:space="preserve">، وولده فی الإیضاح </w:t>
      </w:r>
      <w:r>
        <w:rPr>
          <w:rFonts w:eastAsia="IRNazanin" w:cs="IRNazanin"/>
          <w:b w:val="false"/>
          <w:bCs w:val="false"/>
          <w:i w:val="false"/>
          <w:iCs w:val="false"/>
          <w:color w:val="333333"/>
          <w:sz w:val="20"/>
          <w:szCs w:val="20"/>
        </w:rPr>
        <w:t>4:665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w:t>
      </w:r>
    </w:p>
  </w:footnote>
  <w:footnote w:id="2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حائط</w:t>
      </w:r>
      <w:r>
        <w:rPr>
          <w:rFonts w:eastAsia="IRNazanin" w:cs="IRNazanin"/>
          <w:b w:val="false"/>
          <w:bCs w:val="false"/>
          <w:i w:val="false"/>
          <w:iCs w:val="false"/>
          <w:color w:val="333333"/>
          <w:sz w:val="20"/>
          <w:szCs w:val="20"/>
          <w:rtl w:val="true"/>
        </w:rPr>
        <w:t>.</w:t>
      </w:r>
    </w:p>
  </w:footnote>
  <w:footnote w:id="2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فی الشرائع </w:t>
      </w:r>
      <w:r>
        <w:rPr>
          <w:rFonts w:eastAsia="IRNazanin" w:cs="IRNazanin"/>
          <w:b w:val="false"/>
          <w:bCs w:val="false"/>
          <w:i w:val="false"/>
          <w:iCs w:val="false"/>
          <w:color w:val="333333"/>
          <w:sz w:val="20"/>
          <w:szCs w:val="20"/>
        </w:rPr>
        <w:t>4:256</w:t>
      </w:r>
      <w:r>
        <w:rPr>
          <w:rFonts w:eastAsia="IRNazanin" w:cs="IRNazanin"/>
          <w:b w:val="false"/>
          <w:bCs w:val="false"/>
          <w:i w:val="false"/>
          <w:iCs w:val="false"/>
          <w:color w:val="333333"/>
          <w:sz w:val="20"/>
          <w:szCs w:val="20"/>
          <w:rtl w:val="true"/>
        </w:rPr>
        <w:t>.</w:t>
      </w:r>
    </w:p>
  </w:footnote>
  <w:footnote w:id="2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العلّامة فی التحریر </w:t>
      </w:r>
      <w:r>
        <w:rPr>
          <w:rFonts w:eastAsia="IRNazanin" w:cs="IRNazanin"/>
          <w:b w:val="false"/>
          <w:bCs w:val="false"/>
          <w:i w:val="false"/>
          <w:iCs w:val="false"/>
          <w:color w:val="333333"/>
          <w:sz w:val="20"/>
          <w:szCs w:val="20"/>
        </w:rPr>
        <w:t>4:525</w:t>
      </w:r>
      <w:r>
        <w:rPr>
          <w:rFonts w:eastAsia="IRNazanin" w:cs="IRNazanin"/>
          <w:b w:val="false"/>
          <w:bCs w:val="false"/>
          <w:i w:val="false"/>
          <w:iCs w:val="false"/>
          <w:color w:val="333333"/>
          <w:sz w:val="20"/>
          <w:szCs w:val="20"/>
          <w:rtl w:val="true"/>
        </w:rPr>
        <w:t>.</w:t>
      </w:r>
    </w:p>
  </w:footnote>
  <w:footnote w:id="2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الجزء الثالث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w:t>
      </w:r>
    </w:p>
  </w:footnote>
  <w:footnote w:id="2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762</w:t>
      </w:r>
      <w:r>
        <w:rPr>
          <w:rFonts w:eastAsia="IRNazanin" w:cs="IRNazanin"/>
          <w:b w:val="false"/>
          <w:bCs w:val="false"/>
          <w:i w:val="false"/>
          <w:iCs w:val="false"/>
          <w:color w:val="333333"/>
          <w:sz w:val="20"/>
          <w:szCs w:val="20"/>
          <w:rtl w:val="true"/>
        </w:rPr>
        <w:t>.</w:t>
      </w:r>
    </w:p>
  </w:footnote>
  <w:footnote w:id="2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 المفید فی 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748</w:t>
      </w:r>
      <w:r>
        <w:rPr>
          <w:rFonts w:ascii="IRNazanin" w:hAnsi="IRNazanin" w:eastAsia="IRNazanin"/>
          <w:b w:val="false"/>
          <w:b w:val="false"/>
          <w:bCs w:val="false"/>
          <w:i w:val="false"/>
          <w:i w:val="false"/>
          <w:iCs w:val="false"/>
          <w:color w:val="333333"/>
          <w:sz w:val="20"/>
          <w:sz w:val="20"/>
          <w:szCs w:val="20"/>
          <w:rtl w:val="true"/>
        </w:rPr>
        <w:t>، وسلّار فی المراسم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والقاضی فی المهذّب </w:t>
      </w:r>
      <w:r>
        <w:rPr>
          <w:rFonts w:eastAsia="IRNazanin" w:cs="IRNazanin"/>
          <w:b w:val="false"/>
          <w:bCs w:val="false"/>
          <w:i w:val="false"/>
          <w:iCs w:val="false"/>
          <w:color w:val="333333"/>
          <w:sz w:val="20"/>
          <w:szCs w:val="20"/>
        </w:rPr>
        <w:t>2:497</w:t>
      </w:r>
      <w:r>
        <w:rPr>
          <w:rFonts w:eastAsia="IRNazanin" w:cs="IRNazanin"/>
          <w:b w:val="false"/>
          <w:bCs w:val="false"/>
          <w:i w:val="false"/>
          <w:iCs w:val="false"/>
          <w:color w:val="333333"/>
          <w:sz w:val="20"/>
          <w:szCs w:val="20"/>
          <w:rtl w:val="true"/>
        </w:rPr>
        <w:t>.</w:t>
      </w:r>
    </w:p>
  </w:footnote>
  <w:footnote w:id="2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19:191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موجبات الضمان، الحدیث الأوّل</w:t>
      </w:r>
      <w:r>
        <w:rPr>
          <w:rFonts w:eastAsia="IRNazanin" w:cs="IRNazanin"/>
          <w:b w:val="false"/>
          <w:bCs w:val="false"/>
          <w:i w:val="false"/>
          <w:iCs w:val="false"/>
          <w:color w:val="333333"/>
          <w:sz w:val="20"/>
          <w:szCs w:val="20"/>
          <w:rtl w:val="true"/>
        </w:rPr>
        <w:t>.</w:t>
      </w:r>
    </w:p>
  </w:footnote>
  <w:footnote w:id="2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سندها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الخزرج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الحسین بن الزبرقان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مصعب بن سلام وکلاهما مجهولان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جامع الرواة </w:t>
      </w:r>
      <w:r>
        <w:rPr>
          <w:rFonts w:eastAsia="IRNazanin" w:cs="IRNazanin"/>
          <w:b w:val="false"/>
          <w:bCs w:val="false"/>
          <w:i w:val="false"/>
          <w:iCs w:val="false"/>
          <w:color w:val="333333"/>
          <w:sz w:val="20"/>
          <w:szCs w:val="20"/>
        </w:rPr>
        <w:t>2:383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2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القول بالإلحاق والضمان للشیخ فی المبسوط </w:t>
      </w:r>
      <w:r>
        <w:rPr>
          <w:rFonts w:eastAsia="IRNazanin" w:cs="IRNazanin"/>
          <w:b w:val="false"/>
          <w:bCs w:val="false"/>
          <w:i w:val="false"/>
          <w:iCs w:val="false"/>
          <w:color w:val="333333"/>
          <w:sz w:val="20"/>
          <w:szCs w:val="20"/>
        </w:rPr>
        <w:t>8:79</w:t>
      </w:r>
      <w:r>
        <w:rPr>
          <w:rFonts w:ascii="IRNazanin" w:hAnsi="IRNazanin" w:eastAsia="IRNazanin"/>
          <w:b w:val="false"/>
          <w:b w:val="false"/>
          <w:bCs w:val="false"/>
          <w:i w:val="false"/>
          <w:i w:val="false"/>
          <w:iCs w:val="false"/>
          <w:color w:val="333333"/>
          <w:sz w:val="20"/>
          <w:sz w:val="20"/>
          <w:szCs w:val="20"/>
          <w:rtl w:val="true"/>
        </w:rPr>
        <w:t>، وابن حمزة فی الوسیلة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xml:space="preserve">، والعلّامة فی القواعد </w:t>
      </w:r>
      <w:r>
        <w:rPr>
          <w:rFonts w:eastAsia="IRNazanin" w:cs="IRNazanin"/>
          <w:b w:val="false"/>
          <w:bCs w:val="false"/>
          <w:i w:val="false"/>
          <w:iCs w:val="false"/>
          <w:color w:val="333333"/>
          <w:sz w:val="20"/>
          <w:szCs w:val="20"/>
        </w:rPr>
        <w:t>3:657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القول بعدم الضمان فلم نجد قائله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استبعد المحقّق الضمان فی الشرائع </w:t>
      </w:r>
      <w:r>
        <w:rPr>
          <w:rFonts w:eastAsia="IRNazanin" w:cs="IRNazanin"/>
          <w:b w:val="false"/>
          <w:bCs w:val="false"/>
          <w:i w:val="false"/>
          <w:iCs w:val="false"/>
          <w:color w:val="333333"/>
          <w:sz w:val="20"/>
          <w:szCs w:val="20"/>
        </w:rPr>
        <w:t>4:256</w:t>
      </w:r>
      <w:r>
        <w:rPr>
          <w:rFonts w:eastAsia="IRNazanin" w:cs="IRNazanin"/>
          <w:b w:val="false"/>
          <w:bCs w:val="false"/>
          <w:i w:val="false"/>
          <w:iCs w:val="false"/>
          <w:color w:val="333333"/>
          <w:sz w:val="20"/>
          <w:szCs w:val="20"/>
          <w:rtl w:val="true"/>
        </w:rPr>
        <w:t>.</w:t>
      </w:r>
    </w:p>
  </w:footnote>
  <w:footnote w:id="2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19:190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موجبات الضمان،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762</w:t>
      </w:r>
      <w:r>
        <w:rPr>
          <w:rFonts w:ascii="IRNazanin" w:hAnsi="IRNazanin" w:eastAsia="IRNazanin"/>
          <w:b w:val="false"/>
          <w:b w:val="false"/>
          <w:bCs w:val="false"/>
          <w:i w:val="false"/>
          <w:i w:val="false"/>
          <w:iCs w:val="false"/>
          <w:color w:val="333333"/>
          <w:sz w:val="20"/>
          <w:sz w:val="20"/>
          <w:szCs w:val="20"/>
          <w:rtl w:val="true"/>
        </w:rPr>
        <w:t xml:space="preserve">، والسرائر </w:t>
      </w:r>
      <w:r>
        <w:rPr>
          <w:rFonts w:eastAsia="IRNazanin" w:cs="IRNazanin"/>
          <w:b w:val="false"/>
          <w:bCs w:val="false"/>
          <w:i w:val="false"/>
          <w:iCs w:val="false"/>
          <w:color w:val="333333"/>
          <w:sz w:val="20"/>
          <w:szCs w:val="20"/>
        </w:rPr>
        <w:t>3:372</w:t>
      </w:r>
      <w:r>
        <w:rPr>
          <w:rFonts w:ascii="IRNazanin" w:hAnsi="IRNazanin" w:eastAsia="IRNazanin"/>
          <w:b w:val="false"/>
          <w:b w:val="false"/>
          <w:bCs w:val="false"/>
          <w:i w:val="false"/>
          <w:i w:val="false"/>
          <w:iCs w:val="false"/>
          <w:color w:val="333333"/>
          <w:sz w:val="20"/>
          <w:sz w:val="20"/>
          <w:szCs w:val="20"/>
          <w:rtl w:val="true"/>
        </w:rPr>
        <w:t xml:space="preserve">، والقواعد </w:t>
      </w:r>
      <w:r>
        <w:rPr>
          <w:rFonts w:eastAsia="IRNazanin" w:cs="IRNazanin"/>
          <w:b w:val="false"/>
          <w:bCs w:val="false"/>
          <w:i w:val="false"/>
          <w:iCs w:val="false"/>
          <w:color w:val="333333"/>
          <w:sz w:val="20"/>
          <w:szCs w:val="20"/>
        </w:rPr>
        <w:t>3:657</w:t>
      </w:r>
      <w:r>
        <w:rPr>
          <w:rFonts w:ascii="IRNazanin" w:hAnsi="IRNazanin" w:eastAsia="IRNazanin"/>
          <w:b w:val="false"/>
          <w:b w:val="false"/>
          <w:bCs w:val="false"/>
          <w:i w:val="false"/>
          <w:i w:val="false"/>
          <w:iCs w:val="false"/>
          <w:color w:val="333333"/>
          <w:sz w:val="20"/>
          <w:sz w:val="20"/>
          <w:szCs w:val="20"/>
          <w:rtl w:val="true"/>
        </w:rPr>
        <w:t>، وغیرها</w:t>
      </w:r>
      <w:r>
        <w:rPr>
          <w:rFonts w:eastAsia="IRNazanin" w:cs="IRNazanin"/>
          <w:b w:val="false"/>
          <w:bCs w:val="false"/>
          <w:i w:val="false"/>
          <w:iCs w:val="false"/>
          <w:color w:val="333333"/>
          <w:sz w:val="20"/>
          <w:szCs w:val="20"/>
          <w:rtl w:val="true"/>
        </w:rPr>
        <w:t>.</w:t>
      </w:r>
    </w:p>
  </w:footnote>
  <w:footnote w:id="2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19:183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موجبات الضمان</w:t>
      </w:r>
      <w:r>
        <w:rPr>
          <w:rFonts w:eastAsia="IRNazanin" w:cs="IRNazanin"/>
          <w:b w:val="false"/>
          <w:bCs w:val="false"/>
          <w:i w:val="false"/>
          <w:iCs w:val="false"/>
          <w:color w:val="333333"/>
          <w:sz w:val="20"/>
          <w:szCs w:val="20"/>
          <w:rtl w:val="true"/>
        </w:rPr>
        <w:t>.</w:t>
      </w:r>
    </w:p>
  </w:footnote>
  <w:footnote w:id="2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السابق</w:t>
      </w:r>
      <w:r>
        <w:rPr>
          <w:rFonts w:eastAsia="IRNazanin" w:cs="IRNazanin"/>
          <w:b w:val="false"/>
          <w:bCs w:val="false"/>
          <w:i w:val="false"/>
          <w:iCs w:val="false"/>
          <w:color w:val="333333"/>
          <w:sz w:val="20"/>
          <w:szCs w:val="20"/>
          <w:rtl w:val="true"/>
        </w:rPr>
        <w:t>.</w:t>
      </w:r>
    </w:p>
  </w:footnote>
  <w:footnote w:id="2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المباشر</w:t>
      </w:r>
      <w:r>
        <w:rPr>
          <w:rFonts w:eastAsia="IRNazanin" w:cs="IRNazanin"/>
          <w:b w:val="false"/>
          <w:bCs w:val="false"/>
          <w:i w:val="false"/>
          <w:iCs w:val="false"/>
          <w:color w:val="333333"/>
          <w:sz w:val="20"/>
          <w:szCs w:val="20"/>
          <w:rtl w:val="true"/>
        </w:rPr>
        <w:t>.</w:t>
      </w:r>
    </w:p>
  </w:footnote>
  <w:footnote w:id="2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19:176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موجبات الضمان،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کالمفید فی 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750</w:t>
      </w:r>
      <w:r>
        <w:rPr>
          <w:rFonts w:ascii="IRNazanin" w:hAnsi="IRNazanin" w:eastAsia="IRNazanin"/>
          <w:b w:val="false"/>
          <w:b w:val="false"/>
          <w:bCs w:val="false"/>
          <w:i w:val="false"/>
          <w:i w:val="false"/>
          <w:iCs w:val="false"/>
          <w:color w:val="333333"/>
          <w:sz w:val="20"/>
          <w:sz w:val="20"/>
          <w:szCs w:val="20"/>
          <w:rtl w:val="true"/>
        </w:rPr>
        <w:t>، والشیخ فی 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764</w:t>
      </w:r>
      <w:r>
        <w:rPr>
          <w:rFonts w:ascii="IRNazanin" w:hAnsi="IRNazanin" w:eastAsia="IRNazanin"/>
          <w:b w:val="false"/>
          <w:b w:val="false"/>
          <w:bCs w:val="false"/>
          <w:i w:val="false"/>
          <w:i w:val="false"/>
          <w:iCs w:val="false"/>
          <w:color w:val="333333"/>
          <w:sz w:val="20"/>
          <w:sz w:val="20"/>
          <w:szCs w:val="20"/>
          <w:rtl w:val="true"/>
        </w:rPr>
        <w:t>، وابن حمزة فی الوسیلة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2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2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العمانی کما نقله المحقّق فی نکت النهایة </w:t>
      </w:r>
      <w:r>
        <w:rPr>
          <w:rFonts w:eastAsia="IRNazanin" w:cs="IRNazanin"/>
          <w:b w:val="false"/>
          <w:bCs w:val="false"/>
          <w:i w:val="false"/>
          <w:iCs w:val="false"/>
          <w:color w:val="333333"/>
          <w:sz w:val="20"/>
          <w:szCs w:val="20"/>
        </w:rPr>
        <w:t>3:426</w:t>
      </w:r>
      <w:r>
        <w:rPr>
          <w:rFonts w:ascii="IRNazanin" w:hAnsi="IRNazanin" w:eastAsia="IRNazanin"/>
          <w:b w:val="false"/>
          <w:b w:val="false"/>
          <w:bCs w:val="false"/>
          <w:i w:val="false"/>
          <w:i w:val="false"/>
          <w:iCs w:val="false"/>
          <w:color w:val="333333"/>
          <w:sz w:val="20"/>
          <w:sz w:val="20"/>
          <w:szCs w:val="20"/>
          <w:rtl w:val="true"/>
        </w:rPr>
        <w:t xml:space="preserve">، والفاضل المقداد فی التنقیح </w:t>
      </w:r>
      <w:r>
        <w:rPr>
          <w:rFonts w:eastAsia="IRNazanin" w:cs="IRNazanin"/>
          <w:b w:val="false"/>
          <w:bCs w:val="false"/>
          <w:i w:val="false"/>
          <w:iCs w:val="false"/>
          <w:color w:val="333333"/>
          <w:sz w:val="20"/>
          <w:szCs w:val="20"/>
        </w:rPr>
        <w:t>4:491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واختاره المحقق نفسه فی النکتب </w:t>
      </w:r>
      <w:r>
        <w:rPr>
          <w:rFonts w:eastAsia="IRNazanin" w:cs="IRNazanin"/>
          <w:b w:val="false"/>
          <w:bCs w:val="false"/>
          <w:i w:val="false"/>
          <w:iCs w:val="false"/>
          <w:color w:val="333333"/>
          <w:sz w:val="20"/>
          <w:szCs w:val="20"/>
        </w:rPr>
        <w:t>3:427</w:t>
      </w:r>
      <w:r>
        <w:rPr>
          <w:rFonts w:eastAsia="IRNazanin" w:cs="IRNazanin"/>
          <w:b w:val="false"/>
          <w:bCs w:val="false"/>
          <w:i w:val="false"/>
          <w:iCs w:val="false"/>
          <w:color w:val="333333"/>
          <w:sz w:val="20"/>
          <w:szCs w:val="20"/>
          <w:rtl w:val="true"/>
        </w:rPr>
        <w:t>.</w:t>
      </w:r>
    </w:p>
  </w:footnote>
  <w:footnote w:id="2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نسب فی الروایة الدیةَ إلی الثالث</w:t>
      </w:r>
      <w:r>
        <w:rPr>
          <w:rFonts w:eastAsia="IRNazanin" w:cs="IRNazanin"/>
          <w:b w:val="false"/>
          <w:bCs w:val="false"/>
          <w:i w:val="false"/>
          <w:iCs w:val="false"/>
          <w:color w:val="333333"/>
          <w:sz w:val="20"/>
          <w:szCs w:val="20"/>
          <w:rtl w:val="true"/>
        </w:rPr>
        <w:t>.</w:t>
      </w:r>
    </w:p>
  </w:footnote>
  <w:footnote w:id="2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الدیة</w:t>
      </w:r>
      <w:r>
        <w:rPr>
          <w:rFonts w:eastAsia="IRNazanin" w:cs="IRNazanin"/>
          <w:b w:val="false"/>
          <w:bCs w:val="false"/>
          <w:i w:val="false"/>
          <w:iCs w:val="false"/>
          <w:color w:val="333333"/>
          <w:sz w:val="20"/>
          <w:szCs w:val="20"/>
          <w:rtl w:val="true"/>
        </w:rPr>
        <w:t>.</w:t>
      </w:r>
    </w:p>
  </w:footnote>
  <w:footnote w:id="2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الدیة</w:t>
      </w:r>
      <w:r>
        <w:rPr>
          <w:rFonts w:eastAsia="IRNazanin" w:cs="IRNazanin"/>
          <w:b w:val="false"/>
          <w:bCs w:val="false"/>
          <w:i w:val="false"/>
          <w:iCs w:val="false"/>
          <w:color w:val="333333"/>
          <w:sz w:val="20"/>
          <w:szCs w:val="20"/>
          <w:rtl w:val="true"/>
        </w:rPr>
        <w:t>.</w:t>
      </w:r>
    </w:p>
  </w:footnote>
  <w:footnote w:id="2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19:175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موجبات الضمان، الحدیث الأوّل</w:t>
      </w:r>
      <w:r>
        <w:rPr>
          <w:rFonts w:eastAsia="IRNazanin" w:cs="IRNazanin"/>
          <w:b w:val="false"/>
          <w:bCs w:val="false"/>
          <w:i w:val="false"/>
          <w:iCs w:val="false"/>
          <w:color w:val="333333"/>
          <w:sz w:val="20"/>
          <w:szCs w:val="20"/>
          <w:rtl w:val="true"/>
        </w:rPr>
        <w:t>.</w:t>
      </w:r>
    </w:p>
  </w:footnote>
  <w:footnote w:id="2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التوجیه للعلّامة فی القواعد </w:t>
      </w:r>
      <w:r>
        <w:rPr>
          <w:rFonts w:eastAsia="IRNazanin" w:cs="IRNazanin"/>
          <w:b w:val="false"/>
          <w:bCs w:val="false"/>
          <w:i w:val="false"/>
          <w:iCs w:val="false"/>
          <w:color w:val="333333"/>
          <w:sz w:val="20"/>
          <w:szCs w:val="20"/>
        </w:rPr>
        <w:t>3:661</w:t>
      </w:r>
      <w:r>
        <w:rPr>
          <w:rFonts w:eastAsia="IRNazanin" w:cs="IRNazanin"/>
          <w:b w:val="false"/>
          <w:bCs w:val="false"/>
          <w:i w:val="false"/>
          <w:iCs w:val="false"/>
          <w:color w:val="333333"/>
          <w:sz w:val="20"/>
          <w:szCs w:val="20"/>
          <w:rtl w:val="true"/>
        </w:rPr>
        <w:t>.</w:t>
      </w:r>
    </w:p>
  </w:footnote>
  <w:footnote w:id="2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w:t>
      </w:r>
    </w:p>
  </w:footnote>
  <w:footnote w:id="2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شبهه</w:t>
      </w:r>
      <w:r>
        <w:rPr>
          <w:rFonts w:eastAsia="IRNazanin" w:cs="IRNazanin"/>
          <w:b w:val="false"/>
          <w:bCs w:val="false"/>
          <w:i w:val="false"/>
          <w:iCs w:val="false"/>
          <w:color w:val="333333"/>
          <w:sz w:val="20"/>
          <w:szCs w:val="20"/>
          <w:rtl w:val="true"/>
        </w:rPr>
        <w:t>.</w:t>
      </w:r>
    </w:p>
  </w:footnote>
  <w:footnote w:id="2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بالضمان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غایة المراد </w:t>
      </w:r>
      <w:r>
        <w:rPr>
          <w:rFonts w:eastAsia="IRNazanin" w:cs="IRNazanin"/>
          <w:b w:val="false"/>
          <w:bCs w:val="false"/>
          <w:i w:val="false"/>
          <w:iCs w:val="false"/>
          <w:color w:val="333333"/>
          <w:sz w:val="20"/>
          <w:szCs w:val="20"/>
        </w:rPr>
        <w:t>4:476</w:t>
      </w:r>
      <w:r>
        <w:rPr>
          <w:rFonts w:eastAsia="IRNazanin" w:cs="IRNazanin"/>
          <w:b w:val="false"/>
          <w:bCs w:val="false"/>
          <w:i w:val="false"/>
          <w:iCs w:val="false"/>
          <w:color w:val="333333"/>
          <w:sz w:val="20"/>
          <w:szCs w:val="20"/>
          <w:rtl w:val="true"/>
        </w:rPr>
        <w:t>.</w:t>
      </w:r>
    </w:p>
  </w:footnote>
  <w:footnote w:id="2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محمّد بن قیس وخبر سهل بن زیاد، المتقدّمان فی الصفحة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2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التحریر </w:t>
      </w:r>
      <w:r>
        <w:rPr>
          <w:rFonts w:eastAsia="IRNazanin" w:cs="IRNazanin"/>
          <w:b w:val="false"/>
          <w:bCs w:val="false"/>
          <w:i w:val="false"/>
          <w:iCs w:val="false"/>
          <w:color w:val="333333"/>
          <w:sz w:val="20"/>
          <w:szCs w:val="20"/>
        </w:rPr>
        <w:t>5:555</w:t>
      </w:r>
      <w:r>
        <w:rPr>
          <w:rFonts w:eastAsia="IRNazanin" w:cs="IRNazanin"/>
          <w:b w:val="false"/>
          <w:bCs w:val="false"/>
          <w:i w:val="false"/>
          <w:iCs w:val="false"/>
          <w:color w:val="333333"/>
          <w:sz w:val="20"/>
          <w:szCs w:val="20"/>
          <w:rtl w:val="true"/>
        </w:rPr>
        <w:t>.</w:t>
      </w:r>
    </w:p>
  </w:footnote>
  <w:footnote w:id="2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حواشیه علی القواعد علی ما نقله السیّد العاملی فی مفتاح الکرامة </w:t>
      </w:r>
      <w:r>
        <w:rPr>
          <w:rFonts w:eastAsia="IRNazanin" w:cs="IRNazanin"/>
          <w:b w:val="false"/>
          <w:bCs w:val="false"/>
          <w:i w:val="false"/>
          <w:iCs w:val="false"/>
          <w:color w:val="333333"/>
          <w:sz w:val="20"/>
          <w:szCs w:val="20"/>
        </w:rPr>
        <w:t>10:353</w:t>
      </w:r>
      <w:r>
        <w:rPr>
          <w:rFonts w:eastAsia="IRNazanin" w:cs="IRNazanin"/>
          <w:b w:val="false"/>
          <w:bCs w:val="false"/>
          <w:i w:val="false"/>
          <w:iCs w:val="false"/>
          <w:color w:val="333333"/>
          <w:sz w:val="20"/>
          <w:szCs w:val="20"/>
          <w:rtl w:val="true"/>
        </w:rPr>
        <w:t>.</w:t>
      </w:r>
    </w:p>
  </w:footnote>
  <w:footnote w:id="2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سیأتی من الشارح قدس سره أنّ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سنّها خمس سنین فصاعداً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ویأتی منه فی الصفحة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ولمّا کانت الثنیّة ما دخلت فی السنة السادسة</w:t>
      </w:r>
      <w:r>
        <w:rPr>
          <w:rFonts w:eastAsia="IRNazanin" w:cs="IRNazanin"/>
          <w:b w:val="false"/>
          <w:bCs w:val="false"/>
          <w:i w:val="false"/>
          <w:iCs w:val="false"/>
          <w:color w:val="333333"/>
          <w:sz w:val="20"/>
          <w:szCs w:val="20"/>
          <w:rtl w:val="true"/>
        </w:rPr>
        <w:t>» .</w:t>
      </w:r>
    </w:p>
  </w:footnote>
  <w:footnote w:id="2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وهی الإبل الداخلة فی السنة التاسعة</w:t>
      </w:r>
      <w:r>
        <w:rPr>
          <w:rFonts w:eastAsia="IRNazanin" w:cs="IRNazanin"/>
          <w:b w:val="false"/>
          <w:bCs w:val="false"/>
          <w:i w:val="false"/>
          <w:iCs w:val="false"/>
          <w:color w:val="333333"/>
          <w:sz w:val="20"/>
          <w:szCs w:val="20"/>
          <w:rtl w:val="true"/>
        </w:rPr>
        <w:t>.</w:t>
      </w:r>
    </w:p>
  </w:footnote>
  <w:footnote w:id="2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قاله</w:t>
      </w:r>
      <w:r>
        <w:rPr>
          <w:rFonts w:eastAsia="IRNazanin" w:cs="IRNazanin"/>
          <w:b w:val="false"/>
          <w:bCs w:val="false"/>
          <w:i w:val="false"/>
          <w:iCs w:val="false"/>
          <w:color w:val="333333"/>
          <w:sz w:val="20"/>
          <w:szCs w:val="20"/>
          <w:rtl w:val="true"/>
        </w:rPr>
        <w:t>.</w:t>
      </w:r>
    </w:p>
  </w:footnote>
  <w:footnote w:id="2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4:1673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حلل</w:t>
      </w:r>
      <w:r>
        <w:rPr>
          <w:rFonts w:eastAsia="IRNazanin" w:cs="IRNazanin"/>
          <w:b w:val="false"/>
          <w:bCs w:val="false"/>
          <w:i w:val="false"/>
          <w:iCs w:val="false"/>
          <w:color w:val="333333"/>
          <w:sz w:val="20"/>
          <w:szCs w:val="20"/>
          <w:rtl w:val="true"/>
        </w:rPr>
        <w:t>) .</w:t>
      </w:r>
    </w:p>
  </w:footnote>
  <w:footnote w:id="2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دون إبل دیة العمد</w:t>
      </w:r>
      <w:r>
        <w:rPr>
          <w:rFonts w:eastAsia="IRNazanin" w:cs="IRNazanin"/>
          <w:b w:val="false"/>
          <w:bCs w:val="false"/>
          <w:i w:val="false"/>
          <w:iCs w:val="false"/>
          <w:color w:val="333333"/>
          <w:sz w:val="20"/>
          <w:szCs w:val="20"/>
          <w:rtl w:val="true"/>
        </w:rPr>
        <w:t>.</w:t>
      </w:r>
    </w:p>
  </w:footnote>
  <w:footnote w:id="2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المسألة ثلاثة أقوال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اختاره الشهیدان هنا، والمحقّق فی المختصر النافع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والعلّامة فی القواعد </w:t>
      </w:r>
      <w:r>
        <w:rPr>
          <w:rFonts w:eastAsia="IRNazanin" w:cs="IRNazanin"/>
          <w:b w:val="false"/>
          <w:bCs w:val="false"/>
          <w:i w:val="false"/>
          <w:iCs w:val="false"/>
          <w:color w:val="333333"/>
          <w:sz w:val="20"/>
          <w:szCs w:val="20"/>
        </w:rPr>
        <w:t>3:667</w:t>
      </w:r>
      <w:r>
        <w:rPr>
          <w:rFonts w:ascii="IRNazanin" w:hAnsi="IRNazanin" w:eastAsia="IRNazanin"/>
          <w:b w:val="false"/>
          <w:b w:val="false"/>
          <w:bCs w:val="false"/>
          <w:i w:val="false"/>
          <w:i w:val="false"/>
          <w:iCs w:val="false"/>
          <w:color w:val="333333"/>
          <w:sz w:val="20"/>
          <w:sz w:val="20"/>
          <w:szCs w:val="20"/>
          <w:rtl w:val="true"/>
        </w:rPr>
        <w:t>، وفی 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738</w:t>
      </w:r>
      <w:r>
        <w:rPr>
          <w:rFonts w:ascii="IRNazanin" w:hAnsi="IRNazanin" w:eastAsia="IRNazanin"/>
          <w:b w:val="false"/>
          <w:b w:val="false"/>
          <w:bCs w:val="false"/>
          <w:i w:val="false"/>
          <w:i w:val="false"/>
          <w:iCs w:val="false"/>
          <w:color w:val="333333"/>
          <w:sz w:val="20"/>
          <w:sz w:val="20"/>
          <w:szCs w:val="20"/>
          <w:rtl w:val="true"/>
        </w:rPr>
        <w:t>، والوسیلة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والمهذّب </w:t>
      </w:r>
      <w:r>
        <w:rPr>
          <w:rFonts w:eastAsia="IRNazanin" w:cs="IRNazanin"/>
          <w:b w:val="false"/>
          <w:bCs w:val="false"/>
          <w:i w:val="false"/>
          <w:iCs w:val="false"/>
          <w:color w:val="333333"/>
          <w:sz w:val="20"/>
          <w:szCs w:val="20"/>
        </w:rPr>
        <w:t>2:459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أربع وثلاثون خَلِفَة بدل ثنیّة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 وثلاثون حقّة، ثلاث وثلاثون جذعة، أربع وثلاثون ثنیّة کلّها طروقة الحمل، وهو قول المفید فی 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735</w:t>
      </w:r>
      <w:r>
        <w:rPr>
          <w:rFonts w:ascii="IRNazanin" w:hAnsi="IRNazanin" w:eastAsia="IRNazanin"/>
          <w:b w:val="false"/>
          <w:b w:val="false"/>
          <w:bCs w:val="false"/>
          <w:i w:val="false"/>
          <w:i w:val="false"/>
          <w:iCs w:val="false"/>
          <w:color w:val="333333"/>
          <w:sz w:val="20"/>
          <w:sz w:val="20"/>
          <w:szCs w:val="20"/>
          <w:rtl w:val="true"/>
        </w:rPr>
        <w:t>، وسلّار فی المراسم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وأبی الصلاح فی 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أربعون خَلِفَة من ثنیّة إلی بازل عامها، ثلاثون حقّة، ثلاثون بنت لبون، وهو خیرة الصدوق فی المقنع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514</w:t>
      </w:r>
      <w:r>
        <w:rPr>
          <w:rFonts w:ascii="IRNazanin" w:hAnsi="IRNazanin" w:eastAsia="IRNazanin"/>
          <w:b w:val="false"/>
          <w:b w:val="false"/>
          <w:bCs w:val="false"/>
          <w:i w:val="false"/>
          <w:i w:val="false"/>
          <w:iCs w:val="false"/>
          <w:color w:val="333333"/>
          <w:sz w:val="20"/>
          <w:sz w:val="20"/>
          <w:szCs w:val="20"/>
          <w:rtl w:val="true"/>
        </w:rPr>
        <w:t xml:space="preserve">، وابن الجنید نقله عنه العلّامة فی المختلف </w:t>
      </w:r>
      <w:r>
        <w:rPr>
          <w:rFonts w:eastAsia="IRNazanin" w:cs="IRNazanin"/>
          <w:b w:val="false"/>
          <w:bCs w:val="false"/>
          <w:i w:val="false"/>
          <w:iCs w:val="false"/>
          <w:color w:val="333333"/>
          <w:sz w:val="20"/>
          <w:szCs w:val="20"/>
        </w:rPr>
        <w:t>9:279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وابن فهد الحلّی فی المقتصر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للتفصیل المهذّب البارع </w:t>
      </w:r>
      <w:r>
        <w:rPr>
          <w:rFonts w:eastAsia="IRNazanin" w:cs="IRNazanin"/>
          <w:b w:val="false"/>
          <w:bCs w:val="false"/>
          <w:i w:val="false"/>
          <w:iCs w:val="false"/>
          <w:color w:val="333333"/>
          <w:sz w:val="20"/>
          <w:szCs w:val="20"/>
        </w:rPr>
        <w:t>5:241</w:t>
      </w:r>
      <w:r>
        <w:rPr>
          <w:rFonts w:ascii="IRNazanin" w:hAnsi="IRNazanin" w:eastAsia="IRNazanin"/>
          <w:b w:val="false"/>
          <w:b w:val="false"/>
          <w:bCs w:val="false"/>
          <w:i w:val="false"/>
          <w:i w:val="false"/>
          <w:iCs w:val="false"/>
          <w:color w:val="333333"/>
          <w:sz w:val="20"/>
          <w:sz w:val="20"/>
          <w:szCs w:val="20"/>
          <w:rtl w:val="true"/>
        </w:rPr>
        <w:t xml:space="preserve">، والتنقیح الرائع </w:t>
      </w:r>
      <w:r>
        <w:rPr>
          <w:rFonts w:eastAsia="IRNazanin" w:cs="IRNazanin"/>
          <w:b w:val="false"/>
          <w:bCs w:val="false"/>
          <w:i w:val="false"/>
          <w:iCs w:val="false"/>
          <w:color w:val="333333"/>
          <w:sz w:val="20"/>
          <w:szCs w:val="20"/>
        </w:rPr>
        <w:t>4:463</w:t>
      </w:r>
      <w:r>
        <w:rPr>
          <w:rFonts w:ascii="IRNazanin" w:hAnsi="IRNazanin" w:eastAsia="IRNazanin"/>
          <w:b w:val="false"/>
          <w:b w:val="false"/>
          <w:bCs w:val="false"/>
          <w:i w:val="false"/>
          <w:i w:val="false"/>
          <w:iCs w:val="false"/>
          <w:color w:val="333333"/>
          <w:sz w:val="20"/>
          <w:sz w:val="20"/>
          <w:szCs w:val="20"/>
          <w:rtl w:val="true"/>
        </w:rPr>
        <w:t xml:space="preserve">، والریاض </w:t>
      </w:r>
      <w:r>
        <w:rPr>
          <w:rFonts w:eastAsia="IRNazanin" w:cs="IRNazanin"/>
          <w:b w:val="false"/>
          <w:bCs w:val="false"/>
          <w:i w:val="false"/>
          <w:iCs w:val="false"/>
          <w:color w:val="333333"/>
          <w:sz w:val="20"/>
          <w:szCs w:val="20"/>
        </w:rPr>
        <w:t>14:181</w:t>
      </w:r>
      <w:r>
        <w:rPr>
          <w:rFonts w:ascii="IRNazanin" w:hAnsi="IRNazanin" w:eastAsia="IRNazanin"/>
          <w:b w:val="false"/>
          <w:b w:val="false"/>
          <w:bCs w:val="false"/>
          <w:i w:val="false"/>
          <w:i w:val="false"/>
          <w:iCs w:val="false"/>
          <w:color w:val="333333"/>
          <w:sz w:val="20"/>
          <w:sz w:val="20"/>
          <w:szCs w:val="20"/>
          <w:rtl w:val="true"/>
        </w:rPr>
        <w:t xml:space="preserve">، والجواهر </w:t>
      </w:r>
      <w:r>
        <w:rPr>
          <w:rFonts w:eastAsia="IRNazanin" w:cs="IRNazanin"/>
          <w:b w:val="false"/>
          <w:bCs w:val="false"/>
          <w:i w:val="false"/>
          <w:iCs w:val="false"/>
          <w:color w:val="333333"/>
          <w:sz w:val="20"/>
          <w:szCs w:val="20"/>
        </w:rPr>
        <w:t>43:19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19:147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دیات النفس،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دیات النفس، الحدیث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ولم تذکر فیهما ثلاث وثلاثون بنت لبون</w:t>
      </w:r>
      <w:r>
        <w:rPr>
          <w:rFonts w:eastAsia="IRNazanin" w:cs="IRNazanin"/>
          <w:b w:val="false"/>
          <w:bCs w:val="false"/>
          <w:i w:val="false"/>
          <w:iCs w:val="false"/>
          <w:color w:val="333333"/>
          <w:sz w:val="20"/>
          <w:szCs w:val="20"/>
          <w:rtl w:val="true"/>
        </w:rPr>
        <w:t>.</w:t>
      </w:r>
    </w:p>
  </w:footnote>
  <w:footnote w:id="2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فسّرنا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طروقة الفحل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بالحامل</w:t>
      </w:r>
      <w:r>
        <w:rPr>
          <w:rFonts w:eastAsia="IRNazanin" w:cs="IRNazanin"/>
          <w:b w:val="false"/>
          <w:bCs w:val="false"/>
          <w:i w:val="false"/>
          <w:iCs w:val="false"/>
          <w:color w:val="333333"/>
          <w:sz w:val="20"/>
          <w:szCs w:val="20"/>
          <w:rtl w:val="true"/>
        </w:rPr>
        <w:t>.</w:t>
      </w:r>
    </w:p>
  </w:footnote>
  <w:footnote w:id="2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طریق الاُولی علیّ بن أبی حمزة البطائنی، وفی طریق الثانیة محمّد بن سنان وکلاهما ضعیف جدّاً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وراجع المسالک </w:t>
      </w:r>
      <w:r>
        <w:rPr>
          <w:rFonts w:eastAsia="IRNazanin" w:cs="IRNazanin"/>
          <w:b w:val="false"/>
          <w:bCs w:val="false"/>
          <w:i w:val="false"/>
          <w:iCs w:val="false"/>
          <w:color w:val="333333"/>
          <w:sz w:val="20"/>
          <w:szCs w:val="20"/>
        </w:rPr>
        <w:t>15:318</w:t>
      </w:r>
      <w:r>
        <w:rPr>
          <w:rFonts w:eastAsia="IRNazanin" w:cs="IRNazanin"/>
          <w:b w:val="false"/>
          <w:bCs w:val="false"/>
          <w:i w:val="false"/>
          <w:iCs w:val="false"/>
          <w:color w:val="333333"/>
          <w:sz w:val="20"/>
          <w:szCs w:val="20"/>
          <w:rtl w:val="true"/>
        </w:rPr>
        <w:t>.</w:t>
      </w:r>
    </w:p>
  </w:footnote>
  <w:footnote w:id="2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736</w:t>
      </w:r>
      <w:r>
        <w:rPr>
          <w:rFonts w:eastAsia="IRNazanin" w:cs="IRNazanin"/>
          <w:b w:val="false"/>
          <w:bCs w:val="false"/>
          <w:i w:val="false"/>
          <w:iCs w:val="false"/>
          <w:color w:val="333333"/>
          <w:sz w:val="20"/>
          <w:szCs w:val="20"/>
          <w:rtl w:val="true"/>
        </w:rPr>
        <w:t>.</w:t>
      </w:r>
    </w:p>
  </w:footnote>
  <w:footnote w:id="2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الشیخ فی المبسوط </w:t>
      </w:r>
      <w:r>
        <w:rPr>
          <w:rFonts w:eastAsia="IRNazanin" w:cs="IRNazanin"/>
          <w:b w:val="false"/>
          <w:bCs w:val="false"/>
          <w:i w:val="false"/>
          <w:iCs w:val="false"/>
          <w:color w:val="333333"/>
          <w:sz w:val="20"/>
          <w:szCs w:val="20"/>
        </w:rPr>
        <w:t>7:115</w:t>
      </w:r>
      <w:r>
        <w:rPr>
          <w:rFonts w:ascii="IRNazanin" w:hAnsi="IRNazanin" w:eastAsia="IRNazanin"/>
          <w:b w:val="false"/>
          <w:b w:val="false"/>
          <w:bCs w:val="false"/>
          <w:i w:val="false"/>
          <w:i w:val="false"/>
          <w:iCs w:val="false"/>
          <w:color w:val="333333"/>
          <w:sz w:val="20"/>
          <w:sz w:val="20"/>
          <w:szCs w:val="20"/>
          <w:rtl w:val="true"/>
        </w:rPr>
        <w:t>، وسلّار فی المراسم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وابن زهرة فی الغنیة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وغیرهم</w:t>
      </w:r>
      <w:r>
        <w:rPr>
          <w:rFonts w:eastAsia="IRNazanin" w:cs="IRNazanin"/>
          <w:b w:val="false"/>
          <w:bCs w:val="false"/>
          <w:i w:val="false"/>
          <w:iCs w:val="false"/>
          <w:color w:val="333333"/>
          <w:sz w:val="20"/>
          <w:szCs w:val="20"/>
          <w:rtl w:val="true"/>
        </w:rPr>
        <w:t>.</w:t>
      </w:r>
    </w:p>
  </w:footnote>
  <w:footnote w:id="2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19:150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دیات النفس، وفیه حدیث واحد</w:t>
      </w:r>
      <w:r>
        <w:rPr>
          <w:rFonts w:eastAsia="IRNazanin" w:cs="IRNazanin"/>
          <w:b w:val="false"/>
          <w:bCs w:val="false"/>
          <w:i w:val="false"/>
          <w:iCs w:val="false"/>
          <w:color w:val="333333"/>
          <w:sz w:val="20"/>
          <w:szCs w:val="20"/>
          <w:rtl w:val="true"/>
        </w:rPr>
        <w:t>.</w:t>
      </w:r>
    </w:p>
  </w:footnote>
  <w:footnote w:id="2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19:146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دیات النفس، الحدیث الأوّل</w:t>
      </w:r>
      <w:r>
        <w:rPr>
          <w:rFonts w:eastAsia="IRNazanin" w:cs="IRNazanin"/>
          <w:b w:val="false"/>
          <w:bCs w:val="false"/>
          <w:i w:val="false"/>
          <w:iCs w:val="false"/>
          <w:color w:val="333333"/>
          <w:sz w:val="20"/>
          <w:szCs w:val="20"/>
          <w:rtl w:val="true"/>
        </w:rPr>
        <w:t>.</w:t>
      </w:r>
    </w:p>
  </w:footnote>
  <w:footnote w:id="2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9:281</w:t>
      </w:r>
      <w:r>
        <w:rPr>
          <w:rFonts w:eastAsia="IRNazanin" w:cs="IRNazanin"/>
          <w:b w:val="false"/>
          <w:bCs w:val="false"/>
          <w:i w:val="false"/>
          <w:iCs w:val="false"/>
          <w:color w:val="333333"/>
          <w:sz w:val="20"/>
          <w:szCs w:val="20"/>
          <w:rtl w:val="true"/>
        </w:rPr>
        <w:t>.</w:t>
      </w:r>
    </w:p>
  </w:footnote>
  <w:footnote w:id="2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التحریر </w:t>
      </w:r>
      <w:r>
        <w:rPr>
          <w:rFonts w:eastAsia="IRNazanin" w:cs="IRNazanin"/>
          <w:b w:val="false"/>
          <w:bCs w:val="false"/>
          <w:i w:val="false"/>
          <w:iCs w:val="false"/>
          <w:color w:val="333333"/>
          <w:sz w:val="20"/>
          <w:szCs w:val="20"/>
        </w:rPr>
        <w:t>5:563</w:t>
      </w:r>
      <w:r>
        <w:rPr>
          <w:rFonts w:eastAsia="IRNazanin" w:cs="IRNazanin"/>
          <w:b w:val="false"/>
          <w:bCs w:val="false"/>
          <w:i w:val="false"/>
          <w:iCs w:val="false"/>
          <w:color w:val="333333"/>
          <w:sz w:val="20"/>
          <w:szCs w:val="20"/>
          <w:rtl w:val="true"/>
        </w:rPr>
        <w:t>.</w:t>
      </w:r>
    </w:p>
  </w:footnote>
  <w:footnote w:id="2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3:667</w:t>
      </w:r>
      <w:r>
        <w:rPr>
          <w:rFonts w:ascii="IRNazanin" w:hAnsi="IRNazanin" w:eastAsia="IRNazanin"/>
          <w:b w:val="false"/>
          <w:b w:val="false"/>
          <w:bCs w:val="false"/>
          <w:i w:val="false"/>
          <w:i w:val="false"/>
          <w:iCs w:val="false"/>
          <w:color w:val="333333"/>
          <w:sz w:val="20"/>
          <w:sz w:val="20"/>
          <w:szCs w:val="20"/>
          <w:rtl w:val="true"/>
        </w:rPr>
        <w:t xml:space="preserve">، والإرشاد </w:t>
      </w:r>
      <w:r>
        <w:rPr>
          <w:rFonts w:eastAsia="IRNazanin" w:cs="IRNazanin"/>
          <w:b w:val="false"/>
          <w:bCs w:val="false"/>
          <w:i w:val="false"/>
          <w:iCs w:val="false"/>
          <w:color w:val="333333"/>
          <w:sz w:val="20"/>
          <w:szCs w:val="20"/>
        </w:rPr>
        <w:t>2:233</w:t>
      </w:r>
      <w:r>
        <w:rPr>
          <w:rFonts w:ascii="IRNazanin" w:hAnsi="IRNazanin" w:eastAsia="IRNazanin"/>
          <w:b w:val="false"/>
          <w:b w:val="false"/>
          <w:bCs w:val="false"/>
          <w:i w:val="false"/>
          <w:i w:val="false"/>
          <w:iCs w:val="false"/>
          <w:color w:val="333333"/>
          <w:sz w:val="20"/>
          <w:sz w:val="20"/>
          <w:szCs w:val="20"/>
          <w:rtl w:val="true"/>
        </w:rPr>
        <w:t>، والتبصرة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2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المشار إلیها فی الهامش 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الصفحة السابقة</w:t>
      </w:r>
      <w:r>
        <w:rPr>
          <w:rFonts w:eastAsia="IRNazanin" w:cs="IRNazanin"/>
          <w:b w:val="false"/>
          <w:bCs w:val="false"/>
          <w:i w:val="false"/>
          <w:iCs w:val="false"/>
          <w:color w:val="333333"/>
          <w:sz w:val="20"/>
          <w:szCs w:val="20"/>
          <w:rtl w:val="true"/>
        </w:rPr>
        <w:t>.</w:t>
      </w:r>
    </w:p>
  </w:footnote>
  <w:footnote w:id="2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شبیه العمد، والخطأ المحض</w:t>
      </w:r>
      <w:r>
        <w:rPr>
          <w:rFonts w:eastAsia="IRNazanin" w:cs="IRNazanin"/>
          <w:b w:val="false"/>
          <w:bCs w:val="false"/>
          <w:i w:val="false"/>
          <w:iCs w:val="false"/>
          <w:color w:val="333333"/>
          <w:sz w:val="20"/>
          <w:szCs w:val="20"/>
          <w:rtl w:val="true"/>
        </w:rPr>
        <w:t>.</w:t>
      </w:r>
    </w:p>
  </w:footnote>
  <w:footnote w:id="2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روایة أبی ولّاد المتقدّمة فی الصفحة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2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عطف علی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ودیة الخطأ عشرون بنت مخاض و</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والاُمور الخمسة هی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مئتا بقرة،</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مئتا حُلّة،</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 شاة،</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 دینار،</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عشرة آلاف درهم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فی الصفحة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2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19:146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دیات النفس، الحدیث الأوّل</w:t>
      </w:r>
      <w:r>
        <w:rPr>
          <w:rFonts w:eastAsia="IRNazanin" w:cs="IRNazanin"/>
          <w:b w:val="false"/>
          <w:bCs w:val="false"/>
          <w:i w:val="false"/>
          <w:iCs w:val="false"/>
          <w:color w:val="333333"/>
          <w:sz w:val="20"/>
          <w:szCs w:val="20"/>
          <w:rtl w:val="true"/>
        </w:rPr>
        <w:t>.</w:t>
      </w:r>
    </w:p>
  </w:footnote>
  <w:footnote w:id="2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لانهتاکه</w:t>
      </w:r>
      <w:r>
        <w:rPr>
          <w:rFonts w:eastAsia="IRNazanin" w:cs="IRNazanin"/>
          <w:b w:val="false"/>
          <w:bCs w:val="false"/>
          <w:i w:val="false"/>
          <w:iCs w:val="false"/>
          <w:color w:val="333333"/>
          <w:sz w:val="20"/>
          <w:szCs w:val="20"/>
          <w:rtl w:val="true"/>
        </w:rPr>
        <w:t>.</w:t>
      </w:r>
    </w:p>
  </w:footnote>
  <w:footnote w:id="2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19:149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دیات النفس</w:t>
      </w:r>
      <w:r>
        <w:rPr>
          <w:rFonts w:eastAsia="IRNazanin" w:cs="IRNazanin"/>
          <w:b w:val="false"/>
          <w:bCs w:val="false"/>
          <w:i w:val="false"/>
          <w:iCs w:val="false"/>
          <w:color w:val="333333"/>
          <w:sz w:val="20"/>
          <w:szCs w:val="20"/>
          <w:rtl w:val="true"/>
        </w:rPr>
        <w:t>.</w:t>
      </w:r>
    </w:p>
  </w:footnote>
  <w:footnote w:id="2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743</w:t>
      </w:r>
      <w:r>
        <w:rPr>
          <w:rFonts w:ascii="IRNazanin" w:hAnsi="IRNazanin" w:eastAsia="IRNazanin"/>
          <w:b w:val="false"/>
          <w:b w:val="false"/>
          <w:bCs w:val="false"/>
          <w:i w:val="false"/>
          <w:i w:val="false"/>
          <w:iCs w:val="false"/>
          <w:color w:val="333333"/>
          <w:sz w:val="20"/>
          <w:sz w:val="20"/>
          <w:szCs w:val="20"/>
          <w:rtl w:val="true"/>
        </w:rPr>
        <w:t>، والنهایة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756</w:t>
      </w:r>
      <w:r>
        <w:rPr>
          <w:rFonts w:eastAsia="IRNazanin" w:cs="IRNazanin"/>
          <w:b w:val="false"/>
          <w:bCs w:val="false"/>
          <w:i w:val="false"/>
          <w:iCs w:val="false"/>
          <w:color w:val="333333"/>
          <w:sz w:val="20"/>
          <w:szCs w:val="20"/>
          <w:rtl w:val="true"/>
        </w:rPr>
        <w:t>.</w:t>
      </w:r>
    </w:p>
  </w:footnote>
  <w:footnote w:id="2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القاضی فی المهذّب </w:t>
      </w:r>
      <w:r>
        <w:rPr>
          <w:rFonts w:eastAsia="IRNazanin" w:cs="IRNazanin"/>
          <w:b w:val="false"/>
          <w:bCs w:val="false"/>
          <w:i w:val="false"/>
          <w:iCs w:val="false"/>
          <w:color w:val="333333"/>
          <w:sz w:val="20"/>
          <w:szCs w:val="20"/>
        </w:rPr>
        <w:t>2:516</w:t>
      </w:r>
      <w:r>
        <w:rPr>
          <w:rFonts w:ascii="IRNazanin" w:hAnsi="IRNazanin" w:eastAsia="IRNazanin"/>
          <w:b w:val="false"/>
          <w:b w:val="false"/>
          <w:bCs w:val="false"/>
          <w:i w:val="false"/>
          <w:i w:val="false"/>
          <w:iCs w:val="false"/>
          <w:color w:val="333333"/>
          <w:sz w:val="20"/>
          <w:sz w:val="20"/>
          <w:szCs w:val="20"/>
          <w:rtl w:val="true"/>
        </w:rPr>
        <w:t>، وابن زهرة فی الغنیة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xml:space="preserve">، والعلّامة فی القواعد </w:t>
      </w:r>
      <w:r>
        <w:rPr>
          <w:rFonts w:eastAsia="IRNazanin" w:cs="IRNazanin"/>
          <w:b w:val="false"/>
          <w:bCs w:val="false"/>
          <w:i w:val="false"/>
          <w:iCs w:val="false"/>
          <w:color w:val="333333"/>
          <w:sz w:val="20"/>
          <w:szCs w:val="20"/>
        </w:rPr>
        <w:t>3:667</w:t>
      </w:r>
      <w:r>
        <w:rPr>
          <w:rFonts w:ascii="IRNazanin" w:hAnsi="IRNazanin" w:eastAsia="IRNazanin"/>
          <w:b w:val="false"/>
          <w:b w:val="false"/>
          <w:bCs w:val="false"/>
          <w:i w:val="false"/>
          <w:i w:val="false"/>
          <w:iCs w:val="false"/>
          <w:color w:val="333333"/>
          <w:sz w:val="20"/>
          <w:sz w:val="20"/>
          <w:szCs w:val="20"/>
          <w:rtl w:val="true"/>
        </w:rPr>
        <w:t>، وغیرهم</w:t>
      </w:r>
      <w:r>
        <w:rPr>
          <w:rFonts w:eastAsia="IRNazanin" w:cs="IRNazanin"/>
          <w:b w:val="false"/>
          <w:bCs w:val="false"/>
          <w:i w:val="false"/>
          <w:iCs w:val="false"/>
          <w:color w:val="333333"/>
          <w:sz w:val="20"/>
          <w:szCs w:val="20"/>
          <w:rtl w:val="true"/>
        </w:rPr>
        <w:t>.</w:t>
      </w:r>
    </w:p>
  </w:footnote>
  <w:footnote w:id="2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ألحقه فخر المحقّقین فی الإیضاح </w:t>
      </w:r>
      <w:r>
        <w:rPr>
          <w:rFonts w:eastAsia="IRNazanin" w:cs="IRNazanin"/>
          <w:b w:val="false"/>
          <w:bCs w:val="false"/>
          <w:i w:val="false"/>
          <w:iCs w:val="false"/>
          <w:color w:val="333333"/>
          <w:sz w:val="20"/>
          <w:szCs w:val="20"/>
        </w:rPr>
        <w:t>4:681</w:t>
      </w:r>
      <w:r>
        <w:rPr>
          <w:rFonts w:eastAsia="IRNazanin" w:cs="IRNazanin"/>
          <w:b w:val="false"/>
          <w:bCs w:val="false"/>
          <w:i w:val="false"/>
          <w:iCs w:val="false"/>
          <w:color w:val="333333"/>
          <w:sz w:val="20"/>
          <w:szCs w:val="20"/>
          <w:rtl w:val="true"/>
        </w:rPr>
        <w:t>.</w:t>
      </w:r>
    </w:p>
  </w:footnote>
  <w:footnote w:id="2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فی الصفحة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القصاص</w:t>
      </w:r>
      <w:r>
        <w:rPr>
          <w:rFonts w:eastAsia="IRNazanin" w:cs="IRNazanin"/>
          <w:b w:val="false"/>
          <w:bCs w:val="false"/>
          <w:i w:val="false"/>
          <w:iCs w:val="false"/>
          <w:color w:val="333333"/>
          <w:sz w:val="20"/>
          <w:szCs w:val="20"/>
          <w:rtl w:val="true"/>
        </w:rPr>
        <w:t>.</w:t>
      </w:r>
    </w:p>
  </w:footnote>
  <w:footnote w:id="2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وهی وجوب حفظ النفس مهما قدر علیه، راجع الصفحة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2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مقیّدة برضی ولیّ الدم</w:t>
      </w:r>
      <w:r>
        <w:rPr>
          <w:rFonts w:eastAsia="IRNazanin" w:cs="IRNazanin"/>
          <w:b w:val="false"/>
          <w:bCs w:val="false"/>
          <w:i w:val="false"/>
          <w:iCs w:val="false"/>
          <w:color w:val="333333"/>
          <w:sz w:val="20"/>
          <w:szCs w:val="20"/>
          <w:rtl w:val="true"/>
        </w:rPr>
        <w:t>.</w:t>
      </w:r>
    </w:p>
  </w:footnote>
  <w:footnote w:id="2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فرض تخییر الجانی عمداً</w:t>
      </w:r>
      <w:r>
        <w:rPr>
          <w:rFonts w:eastAsia="IRNazanin" w:cs="IRNazanin"/>
          <w:b w:val="false"/>
          <w:bCs w:val="false"/>
          <w:i w:val="false"/>
          <w:iCs w:val="false"/>
          <w:color w:val="333333"/>
          <w:sz w:val="20"/>
          <w:szCs w:val="20"/>
          <w:rtl w:val="true"/>
        </w:rPr>
        <w:t>.</w:t>
      </w:r>
    </w:p>
  </w:footnote>
  <w:footnote w:id="2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التخیّر</w:t>
      </w:r>
      <w:r>
        <w:rPr>
          <w:rFonts w:eastAsia="IRNazanin" w:cs="IRNazanin"/>
          <w:b w:val="false"/>
          <w:bCs w:val="false"/>
          <w:i w:val="false"/>
          <w:iCs w:val="false"/>
          <w:color w:val="333333"/>
          <w:sz w:val="20"/>
          <w:szCs w:val="20"/>
          <w:rtl w:val="true"/>
        </w:rPr>
        <w:t>.</w:t>
      </w:r>
    </w:p>
  </w:footnote>
  <w:footnote w:id="2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19:141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الباب الأوّل من أبواب دیات النفس</w:t>
      </w:r>
      <w:r>
        <w:rPr>
          <w:rFonts w:eastAsia="IRNazanin" w:cs="IRNazanin"/>
          <w:b w:val="false"/>
          <w:bCs w:val="false"/>
          <w:i w:val="false"/>
          <w:iCs w:val="false"/>
          <w:color w:val="333333"/>
          <w:sz w:val="20"/>
          <w:szCs w:val="20"/>
          <w:rtl w:val="true"/>
        </w:rPr>
        <w:t>.</w:t>
      </w:r>
    </w:p>
  </w:footnote>
  <w:footnote w:id="2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هو الشیخ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الخلاف </w:t>
      </w:r>
      <w:r>
        <w:rPr>
          <w:rFonts w:eastAsia="IRNazanin" w:cs="IRNazanin"/>
          <w:b w:val="false"/>
          <w:bCs w:val="false"/>
          <w:i w:val="false"/>
          <w:iCs w:val="false"/>
          <w:color w:val="333333"/>
          <w:sz w:val="20"/>
          <w:szCs w:val="20"/>
        </w:rPr>
        <w:t>5:226</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وجماعة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الدیلمی فی المراسم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وابن حمزة فی الوسیلة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xml:space="preserve">، والقاضی فی المهذّب </w:t>
      </w:r>
      <w:r>
        <w:rPr>
          <w:rFonts w:eastAsia="IRNazanin" w:cs="IRNazanin"/>
          <w:b w:val="false"/>
          <w:bCs w:val="false"/>
          <w:i w:val="false"/>
          <w:iCs w:val="false"/>
          <w:color w:val="333333"/>
          <w:sz w:val="20"/>
          <w:szCs w:val="20"/>
        </w:rPr>
        <w:t>2:457</w:t>
      </w:r>
      <w:r>
        <w:rPr>
          <w:rFonts w:ascii="IRNazanin" w:hAnsi="IRNazanin" w:eastAsia="IRNazanin"/>
          <w:b w:val="false"/>
          <w:b w:val="false"/>
          <w:bCs w:val="false"/>
          <w:i w:val="false"/>
          <w:i w:val="false"/>
          <w:iCs w:val="false"/>
          <w:color w:val="333333"/>
          <w:sz w:val="20"/>
          <w:sz w:val="20"/>
          <w:szCs w:val="20"/>
          <w:rtl w:val="true"/>
        </w:rPr>
        <w:t xml:space="preserve">، وغیرهم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 .</w:t>
      </w:r>
    </w:p>
  </w:footnote>
  <w:footnote w:id="2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الحکم بالتنصیف</w:t>
      </w:r>
      <w:r>
        <w:rPr>
          <w:rFonts w:eastAsia="IRNazanin" w:cs="IRNazanin"/>
          <w:b w:val="false"/>
          <w:bCs w:val="false"/>
          <w:i w:val="false"/>
          <w:iCs w:val="false"/>
          <w:color w:val="333333"/>
          <w:sz w:val="20"/>
          <w:szCs w:val="20"/>
          <w:rtl w:val="true"/>
        </w:rPr>
        <w:t>.</w:t>
      </w:r>
    </w:p>
  </w:footnote>
  <w:footnote w:id="2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19:160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دیات النفس</w:t>
      </w:r>
      <w:r>
        <w:rPr>
          <w:rFonts w:eastAsia="IRNazanin" w:cs="IRNazanin"/>
          <w:b w:val="false"/>
          <w:bCs w:val="false"/>
          <w:i w:val="false"/>
          <w:iCs w:val="false"/>
          <w:color w:val="333333"/>
          <w:sz w:val="20"/>
          <w:szCs w:val="20"/>
          <w:rtl w:val="true"/>
        </w:rPr>
        <w:t>.</w:t>
      </w:r>
    </w:p>
  </w:footnote>
  <w:footnote w:id="2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739</w:t>
      </w:r>
      <w:r>
        <w:rPr>
          <w:rFonts w:ascii="IRNazanin" w:hAnsi="IRNazanin" w:eastAsia="IRNazanin"/>
          <w:b w:val="false"/>
          <w:b w:val="false"/>
          <w:bCs w:val="false"/>
          <w:i w:val="false"/>
          <w:i w:val="false"/>
          <w:iCs w:val="false"/>
          <w:color w:val="333333"/>
          <w:sz w:val="20"/>
          <w:sz w:val="20"/>
          <w:szCs w:val="20"/>
          <w:rtl w:val="true"/>
        </w:rPr>
        <w:t>، والانتصار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545</w:t>
      </w:r>
      <w:r>
        <w:rPr>
          <w:rFonts w:ascii="IRNazanin" w:hAnsi="IRNazanin" w:eastAsia="IRNazanin"/>
          <w:b w:val="false"/>
          <w:b w:val="false"/>
          <w:bCs w:val="false"/>
          <w:i w:val="false"/>
          <w:i w:val="false"/>
          <w:iCs w:val="false"/>
          <w:color w:val="333333"/>
          <w:sz w:val="20"/>
          <w:sz w:val="20"/>
          <w:szCs w:val="20"/>
          <w:rtl w:val="true"/>
        </w:rPr>
        <w:t xml:space="preserve">، والخلاف </w:t>
      </w:r>
      <w:r>
        <w:rPr>
          <w:rFonts w:eastAsia="IRNazanin" w:cs="IRNazanin"/>
          <w:b w:val="false"/>
          <w:bCs w:val="false"/>
          <w:i w:val="false"/>
          <w:iCs w:val="false"/>
          <w:color w:val="333333"/>
          <w:sz w:val="20"/>
          <w:szCs w:val="20"/>
        </w:rPr>
        <w:t>5:263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وغیرهم</w:t>
      </w:r>
      <w:r>
        <w:rPr>
          <w:rFonts w:eastAsia="IRNazanin" w:cs="IRNazanin"/>
          <w:b w:val="false"/>
          <w:bCs w:val="false"/>
          <w:i w:val="false"/>
          <w:iCs w:val="false"/>
          <w:color w:val="333333"/>
          <w:sz w:val="20"/>
          <w:szCs w:val="20"/>
          <w:rtl w:val="true"/>
        </w:rPr>
        <w:t>.</w:t>
      </w:r>
    </w:p>
  </w:footnote>
  <w:footnote w:id="2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19:163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دیات النفس،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المتقدّم،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10:187</w:t>
      </w:r>
      <w:r>
        <w:rPr>
          <w:rFonts w:ascii="IRNazanin" w:hAnsi="IRNazanin" w:eastAsia="IRNazanin"/>
          <w:b w:val="false"/>
          <w:b w:val="false"/>
          <w:bCs w:val="false"/>
          <w:i w:val="false"/>
          <w:i w:val="false"/>
          <w:iCs w:val="false"/>
          <w:color w:val="333333"/>
          <w:sz w:val="20"/>
          <w:sz w:val="20"/>
          <w:szCs w:val="20"/>
          <w:rtl w:val="true"/>
        </w:rPr>
        <w:t xml:space="preserve">، ذیل الحدیث </w:t>
      </w:r>
      <w:r>
        <w:rPr>
          <w:rFonts w:eastAsia="IRNazanin" w:cs="IRNazanin"/>
          <w:b w:val="false"/>
          <w:bCs w:val="false"/>
          <w:i w:val="false"/>
          <w:iCs w:val="false"/>
          <w:color w:val="333333"/>
          <w:sz w:val="20"/>
          <w:szCs w:val="20"/>
        </w:rPr>
        <w:t>738</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4:269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ذیل الحدیث </w:t>
      </w:r>
      <w:r>
        <w:rPr>
          <w:rFonts w:eastAsia="IRNazanin" w:cs="IRNazanin"/>
          <w:b w:val="false"/>
          <w:bCs w:val="false"/>
          <w:i w:val="false"/>
          <w:iCs w:val="false"/>
          <w:color w:val="333333"/>
          <w:sz w:val="20"/>
          <w:szCs w:val="20"/>
        </w:rPr>
        <w:t>1019</w:t>
      </w:r>
      <w:r>
        <w:rPr>
          <w:rFonts w:eastAsia="IRNazanin" w:cs="IRNazanin"/>
          <w:b w:val="false"/>
          <w:bCs w:val="false"/>
          <w:i w:val="false"/>
          <w:iCs w:val="false"/>
          <w:color w:val="333333"/>
          <w:sz w:val="20"/>
          <w:szCs w:val="20"/>
          <w:rtl w:val="true"/>
        </w:rPr>
        <w:t>.</w:t>
      </w:r>
    </w:p>
  </w:footnote>
  <w:footnote w:id="2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التفصیل مشهورٌ بین الأصحاب ولم نقف علی مستنده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 .</w:t>
      </w:r>
    </w:p>
  </w:footnote>
  <w:footnote w:id="2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بعض المحشّین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الطرف والنفس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بعضهم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ولو انتحلوا الإسلام کالغلاة والنواصب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بعضهم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کانوا من الثلاثة إذا لم یتعهّدوا شرائط الذمّة</w:t>
      </w:r>
      <w:r>
        <w:rPr>
          <w:rFonts w:eastAsia="IRNazanin" w:cs="IRNazanin"/>
          <w:b w:val="false"/>
          <w:bCs w:val="false"/>
          <w:i w:val="false"/>
          <w:iCs w:val="false"/>
          <w:color w:val="333333"/>
          <w:sz w:val="20"/>
          <w:szCs w:val="20"/>
          <w:rtl w:val="true"/>
        </w:rPr>
        <w:t>.</w:t>
      </w:r>
    </w:p>
  </w:footnote>
  <w:footnote w:id="2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اختاره ابن إدریس فی السرائر </w:t>
      </w:r>
      <w:r>
        <w:rPr>
          <w:rFonts w:eastAsia="IRNazanin" w:cs="IRNazanin"/>
          <w:b w:val="false"/>
          <w:bCs w:val="false"/>
          <w:i w:val="false"/>
          <w:iCs w:val="false"/>
          <w:color w:val="333333"/>
          <w:sz w:val="20"/>
          <w:szCs w:val="20"/>
        </w:rPr>
        <w:t>2:497</w:t>
      </w:r>
      <w:r>
        <w:rPr>
          <w:rFonts w:ascii="IRNazanin" w:hAnsi="IRNazanin" w:eastAsia="IRNazanin"/>
          <w:b w:val="false"/>
          <w:b w:val="false"/>
          <w:bCs w:val="false"/>
          <w:i w:val="false"/>
          <w:i w:val="false"/>
          <w:iCs w:val="false"/>
          <w:color w:val="333333"/>
          <w:sz w:val="20"/>
          <w:sz w:val="20"/>
          <w:szCs w:val="20"/>
          <w:rtl w:val="true"/>
        </w:rPr>
        <w:t xml:space="preserve">، والعلّامة فی القواعد </w:t>
      </w:r>
      <w:r>
        <w:rPr>
          <w:rFonts w:eastAsia="IRNazanin" w:cs="IRNazanin"/>
          <w:b w:val="false"/>
          <w:bCs w:val="false"/>
          <w:i w:val="false"/>
          <w:iCs w:val="false"/>
          <w:color w:val="333333"/>
          <w:sz w:val="20"/>
          <w:szCs w:val="20"/>
        </w:rPr>
        <w:t>2:226</w:t>
      </w:r>
      <w:r>
        <w:rPr>
          <w:rFonts w:ascii="IRNazanin" w:hAnsi="IRNazanin" w:eastAsia="IRNazanin"/>
          <w:b w:val="false"/>
          <w:b w:val="false"/>
          <w:bCs w:val="false"/>
          <w:i w:val="false"/>
          <w:i w:val="false"/>
          <w:iCs w:val="false"/>
          <w:color w:val="333333"/>
          <w:sz w:val="20"/>
          <w:sz w:val="20"/>
          <w:szCs w:val="20"/>
          <w:rtl w:val="true"/>
        </w:rPr>
        <w:t xml:space="preserve">، وولده فی الإیضاح </w:t>
      </w:r>
      <w:r>
        <w:rPr>
          <w:rFonts w:eastAsia="IRNazanin" w:cs="IRNazanin"/>
          <w:b w:val="false"/>
          <w:bCs w:val="false"/>
          <w:i w:val="false"/>
          <w:iCs w:val="false"/>
          <w:color w:val="333333"/>
          <w:sz w:val="20"/>
          <w:szCs w:val="20"/>
        </w:rPr>
        <w:t>2:172</w:t>
      </w:r>
      <w:r>
        <w:rPr>
          <w:rFonts w:ascii="IRNazanin" w:hAnsi="IRNazanin" w:eastAsia="IRNazanin"/>
          <w:b w:val="false"/>
          <w:b w:val="false"/>
          <w:bCs w:val="false"/>
          <w:i w:val="false"/>
          <w:i w:val="false"/>
          <w:iCs w:val="false"/>
          <w:color w:val="333333"/>
          <w:sz w:val="20"/>
          <w:sz w:val="20"/>
          <w:szCs w:val="20"/>
          <w:rtl w:val="true"/>
        </w:rPr>
        <w:t xml:space="preserve">، والشهید الأوّل فی غایة المراد </w:t>
      </w:r>
      <w:r>
        <w:rPr>
          <w:rFonts w:eastAsia="IRNazanin" w:cs="IRNazanin"/>
          <w:b w:val="false"/>
          <w:bCs w:val="false"/>
          <w:i w:val="false"/>
          <w:iCs w:val="false"/>
          <w:color w:val="333333"/>
          <w:sz w:val="20"/>
          <w:szCs w:val="20"/>
        </w:rPr>
        <w:t>2:404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والقول الآخر وهو التخییر بین دفعه وأخذ القیمة أو إمساکه للشیخ فی الخلاف </w:t>
      </w:r>
      <w:r>
        <w:rPr>
          <w:rFonts w:eastAsia="IRNazanin" w:cs="IRNazanin"/>
          <w:b w:val="false"/>
          <w:bCs w:val="false"/>
          <w:i w:val="false"/>
          <w:iCs w:val="false"/>
          <w:color w:val="333333"/>
          <w:sz w:val="20"/>
          <w:szCs w:val="20"/>
        </w:rPr>
        <w:t>3:400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2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10:250</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992</w:t>
      </w:r>
      <w:r>
        <w:rPr>
          <w:rFonts w:ascii="IRNazanin" w:hAnsi="IRNazanin" w:eastAsia="IRNazanin"/>
          <w:b w:val="false"/>
          <w:b w:val="false"/>
          <w:bCs w:val="false"/>
          <w:i w:val="false"/>
          <w:i w:val="false"/>
          <w:iCs w:val="false"/>
          <w:color w:val="333333"/>
          <w:sz w:val="20"/>
          <w:sz w:val="20"/>
          <w:szCs w:val="20"/>
          <w:rtl w:val="true"/>
        </w:rPr>
        <w:t xml:space="preserve">، والوسائل </w:t>
      </w:r>
      <w:r>
        <w:rPr>
          <w:rFonts w:eastAsia="IRNazanin" w:cs="IRNazanin"/>
          <w:b w:val="false"/>
          <w:bCs w:val="false"/>
          <w:i w:val="false"/>
          <w:iCs w:val="false"/>
          <w:color w:val="333333"/>
          <w:sz w:val="20"/>
          <w:szCs w:val="20"/>
        </w:rPr>
        <w:t>19:261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دیات الأعضاء،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19:261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دیات الأعضاء،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نبتت بعدُ أم لا</w:t>
      </w:r>
      <w:r>
        <w:rPr>
          <w:rFonts w:eastAsia="IRNazanin" w:cs="IRNazanin"/>
          <w:b w:val="false"/>
          <w:bCs w:val="false"/>
          <w:i w:val="false"/>
          <w:iCs w:val="false"/>
          <w:color w:val="333333"/>
          <w:sz w:val="20"/>
          <w:szCs w:val="20"/>
          <w:rtl w:val="true"/>
        </w:rPr>
        <w:t>.</w:t>
      </w:r>
    </w:p>
  </w:footnote>
  <w:footnote w:id="2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وهی أنّ فی شعر الرأس واللحیة إذا لم ینبت عشر الدیة، وهو قول المفید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 مئة دینار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 نّه مع نباته مئة دینار، وهو قول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لکنّه قال فی المقنع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حلق رأس رجل فلم ینبت فعلیه مئة دینار، وإن حلق لحیته فعلیه الدیة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فی موضع آخر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نبتت فعلیه ثلث الدیة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شعر اللحیة إذا نبت ثلث الدیة، وهو قول الشیخ فی 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 .</w:t>
      </w:r>
    </w:p>
  </w:footnote>
  <w:footnote w:id="2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ابن إدریس فی السرائر </w:t>
      </w:r>
      <w:r>
        <w:rPr>
          <w:rFonts w:eastAsia="IRNazanin" w:cs="IRNazanin"/>
          <w:b w:val="false"/>
          <w:bCs w:val="false"/>
          <w:i w:val="false"/>
          <w:iCs w:val="false"/>
          <w:color w:val="333333"/>
          <w:sz w:val="20"/>
          <w:szCs w:val="20"/>
        </w:rPr>
        <w:t>3:378</w:t>
      </w:r>
      <w:r>
        <w:rPr>
          <w:rFonts w:eastAsia="IRNazanin" w:cs="IRNazanin"/>
          <w:b w:val="false"/>
          <w:bCs w:val="false"/>
          <w:i w:val="false"/>
          <w:iCs w:val="false"/>
          <w:color w:val="333333"/>
          <w:sz w:val="20"/>
          <w:szCs w:val="20"/>
          <w:rtl w:val="true"/>
        </w:rPr>
        <w:t>.</w:t>
      </w:r>
    </w:p>
  </w:footnote>
  <w:footnote w:id="2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قاله ابن زهرة فی الغنیة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والکیدری فی إصباح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2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19:261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دیات الأعضاء،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3:378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2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الإرشاد </w:t>
      </w:r>
      <w:r>
        <w:rPr>
          <w:rFonts w:eastAsia="IRNazanin" w:cs="IRNazanin"/>
          <w:b w:val="false"/>
          <w:bCs w:val="false"/>
          <w:i w:val="false"/>
          <w:iCs w:val="false"/>
          <w:color w:val="333333"/>
          <w:sz w:val="20"/>
          <w:szCs w:val="20"/>
        </w:rPr>
        <w:t>2:236</w:t>
      </w:r>
      <w:r>
        <w:rPr>
          <w:rFonts w:ascii="IRNazanin" w:hAnsi="IRNazanin" w:eastAsia="IRNazanin"/>
          <w:b w:val="false"/>
          <w:b w:val="false"/>
          <w:bCs w:val="false"/>
          <w:i w:val="false"/>
          <w:i w:val="false"/>
          <w:iCs w:val="false"/>
          <w:color w:val="333333"/>
          <w:sz w:val="20"/>
          <w:sz w:val="20"/>
          <w:szCs w:val="20"/>
          <w:rtl w:val="true"/>
        </w:rPr>
        <w:t xml:space="preserve">، والتحریر </w:t>
      </w:r>
      <w:r>
        <w:rPr>
          <w:rFonts w:eastAsia="IRNazanin" w:cs="IRNazanin"/>
          <w:b w:val="false"/>
          <w:bCs w:val="false"/>
          <w:i w:val="false"/>
          <w:iCs w:val="false"/>
          <w:color w:val="333333"/>
          <w:sz w:val="20"/>
          <w:szCs w:val="20"/>
        </w:rPr>
        <w:t>5:600</w:t>
      </w:r>
      <w:r>
        <w:rPr>
          <w:rFonts w:ascii="IRNazanin" w:hAnsi="IRNazanin" w:eastAsia="IRNazanin"/>
          <w:b w:val="false"/>
          <w:b w:val="false"/>
          <w:bCs w:val="false"/>
          <w:i w:val="false"/>
          <w:i w:val="false"/>
          <w:iCs w:val="false"/>
          <w:color w:val="333333"/>
          <w:sz w:val="20"/>
          <w:sz w:val="20"/>
          <w:szCs w:val="20"/>
          <w:rtl w:val="true"/>
        </w:rPr>
        <w:t xml:space="preserve">، والمختلف </w:t>
      </w:r>
      <w:r>
        <w:rPr>
          <w:rFonts w:eastAsia="IRNazanin" w:cs="IRNazanin"/>
          <w:b w:val="false"/>
          <w:bCs w:val="false"/>
          <w:i w:val="false"/>
          <w:iCs w:val="false"/>
          <w:color w:val="333333"/>
          <w:sz w:val="20"/>
          <w:szCs w:val="20"/>
        </w:rPr>
        <w:t>9:360</w:t>
      </w:r>
      <w:r>
        <w:rPr>
          <w:rFonts w:eastAsia="IRNazanin" w:cs="IRNazanin"/>
          <w:b w:val="false"/>
          <w:bCs w:val="false"/>
          <w:i w:val="false"/>
          <w:iCs w:val="false"/>
          <w:color w:val="333333"/>
          <w:sz w:val="20"/>
          <w:szCs w:val="20"/>
          <w:rtl w:val="true"/>
        </w:rPr>
        <w:t>.</w:t>
      </w:r>
    </w:p>
  </w:footnote>
  <w:footnote w:id="2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7:130</w:t>
      </w:r>
      <w:r>
        <w:rPr>
          <w:rFonts w:ascii="IRNazanin" w:hAnsi="IRNazanin" w:eastAsia="IRNazanin"/>
          <w:b w:val="false"/>
          <w:b w:val="false"/>
          <w:bCs w:val="false"/>
          <w:i w:val="false"/>
          <w:i w:val="false"/>
          <w:iCs w:val="false"/>
          <w:color w:val="333333"/>
          <w:sz w:val="20"/>
          <w:sz w:val="20"/>
          <w:szCs w:val="20"/>
          <w:rtl w:val="true"/>
        </w:rPr>
        <w:t xml:space="preserve">، والخلاف </w:t>
      </w:r>
      <w:r>
        <w:rPr>
          <w:rFonts w:eastAsia="IRNazanin" w:cs="IRNazanin"/>
          <w:b w:val="false"/>
          <w:bCs w:val="false"/>
          <w:i w:val="false"/>
          <w:iCs w:val="false"/>
          <w:color w:val="333333"/>
          <w:sz w:val="20"/>
          <w:szCs w:val="20"/>
        </w:rPr>
        <w:t>5:197</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3:670</w:t>
      </w:r>
      <w:r>
        <w:rPr>
          <w:rFonts w:eastAsia="IRNazanin" w:cs="IRNazanin"/>
          <w:b w:val="false"/>
          <w:bCs w:val="false"/>
          <w:i w:val="false"/>
          <w:iCs w:val="false"/>
          <w:color w:val="333333"/>
          <w:sz w:val="20"/>
          <w:szCs w:val="20"/>
          <w:rtl w:val="true"/>
        </w:rPr>
        <w:t>.</w:t>
      </w:r>
    </w:p>
  </w:footnote>
  <w:footnote w:id="2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یرد فی المخطوطات</w:t>
      </w:r>
      <w:r>
        <w:rPr>
          <w:rFonts w:eastAsia="IRNazanin" w:cs="IRNazanin"/>
          <w:b w:val="false"/>
          <w:bCs w:val="false"/>
          <w:i w:val="false"/>
          <w:iCs w:val="false"/>
          <w:color w:val="333333"/>
          <w:sz w:val="20"/>
          <w:szCs w:val="20"/>
          <w:rtl w:val="true"/>
        </w:rPr>
        <w:t>.</w:t>
      </w:r>
    </w:p>
  </w:footnote>
  <w:footnote w:id="2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19:217</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دیات الأعضاء،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2:476</w:t>
      </w:r>
      <w:r>
        <w:rPr>
          <w:rFonts w:eastAsia="IRNazanin" w:cs="IRNazanin"/>
          <w:b w:val="false"/>
          <w:bCs w:val="false"/>
          <w:i w:val="false"/>
          <w:iCs w:val="false"/>
          <w:color w:val="333333"/>
          <w:sz w:val="20"/>
          <w:szCs w:val="20"/>
          <w:rtl w:val="true"/>
        </w:rPr>
        <w:t>.</w:t>
      </w:r>
    </w:p>
  </w:footnote>
  <w:footnote w:id="2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شحمة العین التی تجمع السواد والبیاض، أو هی السواد والبیاض أو الحدقة</w:t>
      </w:r>
      <w:r>
        <w:rPr>
          <w:rFonts w:eastAsia="IRNazanin" w:cs="IRNazanin"/>
          <w:b w:val="false"/>
          <w:bCs w:val="false"/>
          <w:i w:val="false"/>
          <w:iCs w:val="false"/>
          <w:color w:val="333333"/>
          <w:sz w:val="20"/>
          <w:szCs w:val="20"/>
          <w:rtl w:val="true"/>
        </w:rPr>
        <w:t>.</w:t>
      </w:r>
    </w:p>
  </w:footnote>
  <w:footnote w:id="2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مؤنّث الأجهر، ومن معانیه من لا یبصر فی الشمس</w:t>
      </w:r>
      <w:r>
        <w:rPr>
          <w:rFonts w:eastAsia="IRNazanin" w:cs="IRNazanin"/>
          <w:b w:val="false"/>
          <w:bCs w:val="false"/>
          <w:i w:val="false"/>
          <w:iCs w:val="false"/>
          <w:color w:val="333333"/>
          <w:sz w:val="20"/>
          <w:szCs w:val="20"/>
          <w:rtl w:val="true"/>
        </w:rPr>
        <w:t>.</w:t>
      </w:r>
    </w:p>
  </w:footnote>
  <w:footnote w:id="2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مؤنّث الأرمد، من الرمد و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العین</w:t>
      </w:r>
    </w:p>
  </w:footnote>
  <w:footnote w:id="2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الشیخ فی الخلاف </w:t>
      </w:r>
      <w:r>
        <w:rPr>
          <w:rFonts w:eastAsia="IRNazanin" w:cs="IRNazanin"/>
          <w:b w:val="false"/>
          <w:bCs w:val="false"/>
          <w:i w:val="false"/>
          <w:iCs w:val="false"/>
          <w:color w:val="333333"/>
          <w:sz w:val="20"/>
          <w:szCs w:val="20"/>
        </w:rPr>
        <w:t>5:236</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وتبعه ابن إدریس فی السرائر </w:t>
      </w:r>
      <w:r>
        <w:rPr>
          <w:rFonts w:eastAsia="IRNazanin" w:cs="IRNazanin"/>
          <w:b w:val="false"/>
          <w:bCs w:val="false"/>
          <w:i w:val="false"/>
          <w:iCs w:val="false"/>
          <w:color w:val="333333"/>
          <w:sz w:val="20"/>
          <w:szCs w:val="20"/>
        </w:rPr>
        <w:t>3:378</w:t>
      </w:r>
      <w:r>
        <w:rPr>
          <w:rFonts w:eastAsia="IRNazanin" w:cs="IRNazanin"/>
          <w:b w:val="false"/>
          <w:bCs w:val="false"/>
          <w:i w:val="false"/>
          <w:iCs w:val="false"/>
          <w:color w:val="333333"/>
          <w:sz w:val="20"/>
          <w:szCs w:val="20"/>
          <w:rtl w:val="true"/>
        </w:rPr>
        <w:t>.</w:t>
      </w:r>
    </w:p>
  </w:footnote>
  <w:footnote w:id="2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قاله المفید فی 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755</w:t>
      </w:r>
      <w:r>
        <w:rPr>
          <w:rFonts w:ascii="IRNazanin" w:hAnsi="IRNazanin" w:eastAsia="IRNazanin"/>
          <w:b w:val="false"/>
          <w:b w:val="false"/>
          <w:bCs w:val="false"/>
          <w:i w:val="false"/>
          <w:i w:val="false"/>
          <w:iCs w:val="false"/>
          <w:color w:val="333333"/>
          <w:sz w:val="20"/>
          <w:sz w:val="20"/>
          <w:szCs w:val="20"/>
          <w:rtl w:val="true"/>
        </w:rPr>
        <w:t>، والشیخ فی 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764</w:t>
      </w:r>
      <w:r>
        <w:rPr>
          <w:rFonts w:ascii="IRNazanin" w:hAnsi="IRNazanin" w:eastAsia="IRNazanin"/>
          <w:b w:val="false"/>
          <w:b w:val="false"/>
          <w:bCs w:val="false"/>
          <w:i w:val="false"/>
          <w:i w:val="false"/>
          <w:iCs w:val="false"/>
          <w:color w:val="333333"/>
          <w:sz w:val="20"/>
          <w:sz w:val="20"/>
          <w:szCs w:val="20"/>
          <w:rtl w:val="true"/>
        </w:rPr>
        <w:t>، وابن زهرة فی الغنیة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وغیرهم</w:t>
      </w:r>
      <w:r>
        <w:rPr>
          <w:rFonts w:eastAsia="IRNazanin" w:cs="IRNazanin"/>
          <w:b w:val="false"/>
          <w:bCs w:val="false"/>
          <w:i w:val="false"/>
          <w:iCs w:val="false"/>
          <w:color w:val="333333"/>
          <w:sz w:val="20"/>
          <w:szCs w:val="20"/>
          <w:rtl w:val="true"/>
        </w:rPr>
        <w:t>.</w:t>
      </w:r>
    </w:p>
  </w:footnote>
  <w:footnote w:id="2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المخطوطات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سدس</w:t>
      </w:r>
      <w:r>
        <w:rPr>
          <w:rFonts w:eastAsia="IRNazanin" w:cs="IRNazanin"/>
          <w:b w:val="false"/>
          <w:bCs w:val="false"/>
          <w:i w:val="false"/>
          <w:iCs w:val="false"/>
          <w:color w:val="333333"/>
          <w:sz w:val="20"/>
          <w:szCs w:val="20"/>
          <w:rtl w:val="true"/>
        </w:rPr>
        <w:t>.</w:t>
      </w:r>
    </w:p>
  </w:footnote>
  <w:footnote w:id="2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19:218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دیات الأعضاء،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 ضعفه بسهل بن زیاد، المسالک </w:t>
      </w:r>
      <w:r>
        <w:rPr>
          <w:rFonts w:eastAsia="IRNazanin" w:cs="IRNazanin"/>
          <w:b w:val="false"/>
          <w:bCs w:val="false"/>
          <w:i w:val="false"/>
          <w:iCs w:val="false"/>
          <w:color w:val="333333"/>
          <w:sz w:val="20"/>
          <w:szCs w:val="20"/>
        </w:rPr>
        <w:t>16:290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وجهالته بعبد اللّٰه بن أیّوب، راجع جامع الرواة </w:t>
      </w:r>
      <w:r>
        <w:rPr>
          <w:rFonts w:eastAsia="IRNazanin" w:cs="IRNazanin"/>
          <w:b w:val="false"/>
          <w:bCs w:val="false"/>
          <w:i w:val="false"/>
          <w:iCs w:val="false"/>
          <w:color w:val="333333"/>
          <w:sz w:val="20"/>
          <w:szCs w:val="20"/>
        </w:rPr>
        <w:t>2:267</w:t>
      </w:r>
      <w:r>
        <w:rPr>
          <w:rFonts w:eastAsia="IRNazanin" w:cs="IRNazanin"/>
          <w:b w:val="false"/>
          <w:bCs w:val="false"/>
          <w:i w:val="false"/>
          <w:iCs w:val="false"/>
          <w:color w:val="333333"/>
          <w:sz w:val="20"/>
          <w:szCs w:val="20"/>
          <w:rtl w:val="true"/>
        </w:rPr>
        <w:t>.</w:t>
      </w:r>
    </w:p>
  </w:footnote>
  <w:footnote w:id="2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القول لابن فهد الحلّی فی المهذّب البارع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 .</w:t>
      </w:r>
    </w:p>
  </w:footnote>
  <w:footnote w:id="2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المراد بها خبر ظریف، ولیس فیه ظهور فیما قیل</w:t>
      </w:r>
      <w:r>
        <w:rPr>
          <w:rFonts w:eastAsia="IRNazanin" w:cs="IRNazanin"/>
          <w:b w:val="false"/>
          <w:bCs w:val="false"/>
          <w:i w:val="false"/>
          <w:iCs w:val="false"/>
          <w:color w:val="333333"/>
          <w:sz w:val="20"/>
          <w:szCs w:val="20"/>
          <w:rtl w:val="true"/>
        </w:rPr>
        <w:t>.</w:t>
      </w:r>
    </w:p>
  </w:footnote>
  <w:footnote w:id="2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الخلاف </w:t>
      </w:r>
      <w:r>
        <w:rPr>
          <w:rFonts w:eastAsia="IRNazanin" w:cs="IRNazanin"/>
          <w:b w:val="false"/>
          <w:bCs w:val="false"/>
          <w:i w:val="false"/>
          <w:iCs w:val="false"/>
          <w:color w:val="333333"/>
          <w:sz w:val="20"/>
          <w:szCs w:val="20"/>
        </w:rPr>
        <w:t>5:235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والغنیة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 والتنقیح الرائع </w:t>
      </w:r>
      <w:r>
        <w:rPr>
          <w:rFonts w:eastAsia="IRNazanin" w:cs="IRNazanin"/>
          <w:b w:val="false"/>
          <w:bCs w:val="false"/>
          <w:i w:val="false"/>
          <w:iCs w:val="false"/>
          <w:color w:val="333333"/>
          <w:sz w:val="20"/>
          <w:szCs w:val="20"/>
        </w:rPr>
        <w:t>4:495</w:t>
      </w:r>
      <w:r>
        <w:rPr>
          <w:rFonts w:ascii="IRNazanin" w:hAnsi="IRNazanin" w:eastAsia="IRNazanin"/>
          <w:b w:val="false"/>
          <w:b w:val="false"/>
          <w:bCs w:val="false"/>
          <w:i w:val="false"/>
          <w:i w:val="false"/>
          <w:iCs w:val="false"/>
          <w:color w:val="333333"/>
          <w:sz w:val="20"/>
          <w:sz w:val="20"/>
          <w:szCs w:val="20"/>
          <w:rtl w:val="true"/>
        </w:rPr>
        <w:t>، وورد التعبیر فی الکتب الثلاثة بالإجماع</w:t>
      </w:r>
      <w:r>
        <w:rPr>
          <w:rFonts w:eastAsia="IRNazanin" w:cs="IRNazanin"/>
          <w:b w:val="false"/>
          <w:bCs w:val="false"/>
          <w:i w:val="false"/>
          <w:iCs w:val="false"/>
          <w:color w:val="333333"/>
          <w:sz w:val="20"/>
          <w:szCs w:val="20"/>
          <w:rtl w:val="true"/>
        </w:rPr>
        <w:t>.</w:t>
      </w:r>
    </w:p>
  </w:footnote>
  <w:footnote w:id="2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3:380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2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نبّه بقوله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أنّ العوراء کثیراً ما تُطلق علی الصحیحة التی یقابلها فاسدةٌ، بمعنی أ نّها لا اُخت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هنا نشأ وهم ابن إدریس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3:380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کلام الشیخ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7:146</w:t>
      </w:r>
      <w:r>
        <w:rPr>
          <w:rFonts w:ascii="IRNazanin" w:hAnsi="IRNazanin" w:eastAsia="IRNazanin"/>
          <w:b w:val="false"/>
          <w:b w:val="false"/>
          <w:bCs w:val="false"/>
          <w:i w:val="false"/>
          <w:i w:val="false"/>
          <w:iCs w:val="false"/>
          <w:color w:val="333333"/>
          <w:sz w:val="20"/>
          <w:sz w:val="20"/>
          <w:szCs w:val="20"/>
          <w:rtl w:val="true"/>
        </w:rPr>
        <w:t xml:space="preserve">، والخلاف </w:t>
      </w:r>
      <w:r>
        <w:rPr>
          <w:rFonts w:eastAsia="IRNazanin" w:cs="IRNazanin"/>
          <w:b w:val="false"/>
          <w:bCs w:val="false"/>
          <w:i w:val="false"/>
          <w:iCs w:val="false"/>
          <w:color w:val="333333"/>
          <w:sz w:val="20"/>
          <w:szCs w:val="20"/>
        </w:rPr>
        <w:t>5:236</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والنهایة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 .</w:t>
      </w:r>
    </w:p>
  </w:footnote>
  <w:footnote w:id="2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19:255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دیات الأعضاء،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3:381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2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19:223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دیات الأعضاء،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الشارح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طریقها سهل بن زیاد وابن شمّون وعبد اللّٰه الأصمّ، وهم فی غایة الضعف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15:410</w:t>
      </w:r>
      <w:r>
        <w:rPr>
          <w:rFonts w:eastAsia="IRNazanin" w:cs="IRNazanin"/>
          <w:b w:val="false"/>
          <w:bCs w:val="false"/>
          <w:i w:val="false"/>
          <w:iCs w:val="false"/>
          <w:color w:val="333333"/>
          <w:sz w:val="20"/>
          <w:szCs w:val="20"/>
          <w:rtl w:val="true"/>
        </w:rPr>
        <w:t>.</w:t>
      </w:r>
    </w:p>
  </w:footnote>
  <w:footnote w:id="2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766</w:t>
      </w:r>
      <w:r>
        <w:rPr>
          <w:rFonts w:ascii="IRNazanin" w:hAnsi="IRNazanin" w:eastAsia="IRNazanin"/>
          <w:b w:val="false"/>
          <w:b w:val="false"/>
          <w:bCs w:val="false"/>
          <w:i w:val="false"/>
          <w:i w:val="false"/>
          <w:iCs w:val="false"/>
          <w:color w:val="333333"/>
          <w:sz w:val="20"/>
          <w:sz w:val="20"/>
          <w:szCs w:val="20"/>
          <w:rtl w:val="true"/>
        </w:rPr>
        <w:t xml:space="preserve">، الخلاف </w:t>
      </w:r>
      <w:r>
        <w:rPr>
          <w:rFonts w:eastAsia="IRNazanin" w:cs="IRNazanin"/>
          <w:b w:val="false"/>
          <w:bCs w:val="false"/>
          <w:i w:val="false"/>
          <w:iCs w:val="false"/>
          <w:color w:val="333333"/>
          <w:sz w:val="20"/>
          <w:szCs w:val="20"/>
        </w:rPr>
        <w:t>5:234</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 ابن حمزة فی الوسیلة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والمحقّق فی المختصر النافع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والعلّامة فی القواعد </w:t>
      </w:r>
      <w:r>
        <w:rPr>
          <w:rFonts w:eastAsia="IRNazanin" w:cs="IRNazanin"/>
          <w:b w:val="false"/>
          <w:bCs w:val="false"/>
          <w:i w:val="false"/>
          <w:iCs w:val="false"/>
          <w:color w:val="333333"/>
          <w:sz w:val="20"/>
          <w:szCs w:val="20"/>
        </w:rPr>
        <w:t>3:673</w:t>
      </w:r>
      <w:r>
        <w:rPr>
          <w:rFonts w:ascii="IRNazanin" w:hAnsi="IRNazanin" w:eastAsia="IRNazanin"/>
          <w:b w:val="false"/>
          <w:b w:val="false"/>
          <w:bCs w:val="false"/>
          <w:i w:val="false"/>
          <w:i w:val="false"/>
          <w:iCs w:val="false"/>
          <w:color w:val="333333"/>
          <w:sz w:val="20"/>
          <w:sz w:val="20"/>
          <w:szCs w:val="20"/>
          <w:rtl w:val="true"/>
        </w:rPr>
        <w:t>، وتلخیص المرام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والتبصرة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2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3:382</w:t>
      </w:r>
      <w:r>
        <w:rPr>
          <w:rFonts w:eastAsia="IRNazanin" w:cs="IRNazanin"/>
          <w:b w:val="false"/>
          <w:bCs w:val="false"/>
          <w:i w:val="false"/>
          <w:iCs w:val="false"/>
          <w:color w:val="333333"/>
          <w:sz w:val="20"/>
          <w:szCs w:val="20"/>
          <w:rtl w:val="true"/>
        </w:rPr>
        <w:t>.</w:t>
      </w:r>
    </w:p>
  </w:footnote>
  <w:footnote w:id="2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احتماله</w:t>
      </w:r>
      <w:r>
        <w:rPr>
          <w:rFonts w:eastAsia="IRNazanin" w:cs="IRNazanin"/>
          <w:b w:val="false"/>
          <w:bCs w:val="false"/>
          <w:i w:val="false"/>
          <w:iCs w:val="false"/>
          <w:color w:val="333333"/>
          <w:sz w:val="20"/>
          <w:szCs w:val="20"/>
          <w:rtl w:val="true"/>
        </w:rPr>
        <w:t>.</w:t>
      </w:r>
    </w:p>
  </w:footnote>
  <w:footnote w:id="2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الشیخ فی المبسوط </w:t>
      </w:r>
      <w:r>
        <w:rPr>
          <w:rFonts w:eastAsia="IRNazanin" w:cs="IRNazanin"/>
          <w:b w:val="false"/>
          <w:bCs w:val="false"/>
          <w:i w:val="false"/>
          <w:iCs w:val="false"/>
          <w:color w:val="333333"/>
          <w:sz w:val="20"/>
          <w:szCs w:val="20"/>
        </w:rPr>
        <w:t>7:131</w:t>
      </w:r>
      <w:r>
        <w:rPr>
          <w:rFonts w:ascii="IRNazanin" w:hAnsi="IRNazanin" w:eastAsia="IRNazanin"/>
          <w:b w:val="false"/>
          <w:b w:val="false"/>
          <w:bCs w:val="false"/>
          <w:i w:val="false"/>
          <w:i w:val="false"/>
          <w:iCs w:val="false"/>
          <w:color w:val="333333"/>
          <w:sz w:val="20"/>
          <w:sz w:val="20"/>
          <w:szCs w:val="20"/>
          <w:rtl w:val="true"/>
        </w:rPr>
        <w:t xml:space="preserve">، والقاضی فی المهذّب </w:t>
      </w:r>
      <w:r>
        <w:rPr>
          <w:rFonts w:eastAsia="IRNazanin" w:cs="IRNazanin"/>
          <w:b w:val="false"/>
          <w:bCs w:val="false"/>
          <w:i w:val="false"/>
          <w:iCs w:val="false"/>
          <w:color w:val="333333"/>
          <w:sz w:val="20"/>
          <w:szCs w:val="20"/>
        </w:rPr>
        <w:t>2:482</w:t>
      </w:r>
      <w:r>
        <w:rPr>
          <w:rFonts w:ascii="IRNazanin" w:hAnsi="IRNazanin" w:eastAsia="IRNazanin"/>
          <w:b w:val="false"/>
          <w:b w:val="false"/>
          <w:bCs w:val="false"/>
          <w:i w:val="false"/>
          <w:i w:val="false"/>
          <w:iCs w:val="false"/>
          <w:color w:val="333333"/>
          <w:sz w:val="20"/>
          <w:sz w:val="20"/>
          <w:szCs w:val="20"/>
          <w:rtl w:val="true"/>
        </w:rPr>
        <w:t xml:space="preserve">، واستقربه العلّامة فی التحریر </w:t>
      </w:r>
      <w:r>
        <w:rPr>
          <w:rFonts w:eastAsia="IRNazanin" w:cs="IRNazanin"/>
          <w:b w:val="false"/>
          <w:bCs w:val="false"/>
          <w:i w:val="false"/>
          <w:iCs w:val="false"/>
          <w:color w:val="333333"/>
          <w:sz w:val="20"/>
          <w:szCs w:val="20"/>
        </w:rPr>
        <w:t>5:571</w:t>
      </w:r>
      <w:r>
        <w:rPr>
          <w:rFonts w:ascii="IRNazanin" w:hAnsi="IRNazanin" w:eastAsia="IRNazanin"/>
          <w:b w:val="false"/>
          <w:b w:val="false"/>
          <w:bCs w:val="false"/>
          <w:i w:val="false"/>
          <w:i w:val="false"/>
          <w:iCs w:val="false"/>
          <w:color w:val="333333"/>
          <w:sz w:val="20"/>
          <w:sz w:val="20"/>
          <w:szCs w:val="20"/>
          <w:rtl w:val="true"/>
        </w:rPr>
        <w:t xml:space="preserve">، والقواعد </w:t>
      </w:r>
      <w:r>
        <w:rPr>
          <w:rFonts w:eastAsia="IRNazanin" w:cs="IRNazanin"/>
          <w:b w:val="false"/>
          <w:bCs w:val="false"/>
          <w:i w:val="false"/>
          <w:iCs w:val="false"/>
          <w:color w:val="333333"/>
          <w:sz w:val="20"/>
          <w:szCs w:val="20"/>
        </w:rPr>
        <w:t>3:671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w:t>
      </w:r>
    </w:p>
  </w:footnote>
  <w:footnote w:id="2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فی المسالک </w:t>
      </w:r>
      <w:r>
        <w:rPr>
          <w:rFonts w:eastAsia="IRNazanin" w:cs="IRNazanin"/>
          <w:b w:val="false"/>
          <w:bCs w:val="false"/>
          <w:i w:val="false"/>
          <w:iCs w:val="false"/>
          <w:color w:val="333333"/>
          <w:sz w:val="20"/>
          <w:szCs w:val="20"/>
        </w:rPr>
        <w:t>15:409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واختلفوا فی تفسیر الروثة، ففی کتاب ظریف الذی هو مستند الحکم بالنصف أنّ روثة الأنف طرفه، وهو الموافق لکلام أهل اللغة، قال فی الصحاح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الروثة طرف الأرنبة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إنّها الحاجز بین المنخرین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ونقل عن ابن بابویه أ نّها مجمع المارن والأنف</w:t>
      </w:r>
      <w:r>
        <w:rPr>
          <w:rFonts w:eastAsia="IRNazanin" w:cs="IRNazanin"/>
          <w:b w:val="false"/>
          <w:bCs w:val="false"/>
          <w:i w:val="false"/>
          <w:iCs w:val="false"/>
          <w:color w:val="333333"/>
          <w:sz w:val="20"/>
          <w:szCs w:val="20"/>
          <w:rtl w:val="true"/>
        </w:rPr>
        <w:t>.</w:t>
      </w:r>
    </w:p>
  </w:footnote>
  <w:footnote w:id="2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19:267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دیات الأعضاء، الحدیث الأوّل</w:t>
      </w:r>
      <w:r>
        <w:rPr>
          <w:rFonts w:eastAsia="IRNazanin" w:cs="IRNazanin"/>
          <w:b w:val="false"/>
          <w:bCs w:val="false"/>
          <w:i w:val="false"/>
          <w:iCs w:val="false"/>
          <w:color w:val="333333"/>
          <w:sz w:val="20"/>
          <w:szCs w:val="20"/>
          <w:rtl w:val="true"/>
        </w:rPr>
        <w:t>.</w:t>
      </w:r>
    </w:p>
  </w:footnote>
  <w:footnote w:id="2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الشیخ فی المبسوط </w:t>
      </w:r>
      <w:r>
        <w:rPr>
          <w:rFonts w:eastAsia="IRNazanin" w:cs="IRNazanin"/>
          <w:b w:val="false"/>
          <w:bCs w:val="false"/>
          <w:i w:val="false"/>
          <w:iCs w:val="false"/>
          <w:color w:val="333333"/>
          <w:sz w:val="20"/>
          <w:szCs w:val="20"/>
        </w:rPr>
        <w:t>7:131</w:t>
      </w:r>
      <w:r>
        <w:rPr>
          <w:rFonts w:eastAsia="IRNazanin" w:cs="IRNazanin"/>
          <w:b w:val="false"/>
          <w:bCs w:val="false"/>
          <w:i w:val="false"/>
          <w:iCs w:val="false"/>
          <w:color w:val="333333"/>
          <w:sz w:val="20"/>
          <w:szCs w:val="20"/>
          <w:rtl w:val="true"/>
        </w:rPr>
        <w:t>.</w:t>
      </w:r>
    </w:p>
  </w:footnote>
  <w:footnote w:id="2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بنفس غیاث</w:t>
      </w:r>
      <w:r>
        <w:rPr>
          <w:rFonts w:eastAsia="IRNazanin" w:cs="IRNazanin"/>
          <w:b w:val="false"/>
          <w:bCs w:val="false"/>
          <w:i w:val="false"/>
          <w:iCs w:val="false"/>
          <w:color w:val="333333"/>
          <w:sz w:val="20"/>
          <w:szCs w:val="20"/>
          <w:rtl w:val="true"/>
        </w:rPr>
        <w:t>.</w:t>
      </w:r>
    </w:p>
  </w:footnote>
  <w:footnote w:id="2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19:217</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دیات الأعضاء،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مقطوع بسند التهذیب، لکن بسند الفقیه متّصل إلی الصادق علیه السلام، کما فی الوسائل</w:t>
      </w:r>
      <w:r>
        <w:rPr>
          <w:rFonts w:eastAsia="IRNazanin" w:cs="IRNazanin"/>
          <w:b w:val="false"/>
          <w:bCs w:val="false"/>
          <w:i w:val="false"/>
          <w:iCs w:val="false"/>
          <w:color w:val="333333"/>
          <w:sz w:val="20"/>
          <w:szCs w:val="20"/>
          <w:rtl w:val="true"/>
        </w:rPr>
        <w:t>.</w:t>
      </w:r>
    </w:p>
  </w:footnote>
  <w:footnote w:id="2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19:216</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دیات الأعضاء،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وبه روایة حسنةٌ رواها عبد اللّٰه بن سنان عن الصادق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المتقدّم، الحدیث الأوّل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 .</w:t>
      </w:r>
    </w:p>
  </w:footnote>
  <w:footnote w:id="2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قاله المفید فی 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755</w:t>
      </w:r>
      <w:r>
        <w:rPr>
          <w:rFonts w:ascii="IRNazanin" w:hAnsi="IRNazanin" w:eastAsia="IRNazanin"/>
          <w:b w:val="false"/>
          <w:b w:val="false"/>
          <w:bCs w:val="false"/>
          <w:i w:val="false"/>
          <w:i w:val="false"/>
          <w:iCs w:val="false"/>
          <w:color w:val="333333"/>
          <w:sz w:val="20"/>
          <w:sz w:val="20"/>
          <w:szCs w:val="20"/>
          <w:rtl w:val="true"/>
        </w:rPr>
        <w:t xml:space="preserve">، وتبعه الشیخ فی المبسوط </w:t>
      </w:r>
      <w:r>
        <w:rPr>
          <w:rFonts w:eastAsia="IRNazanin" w:cs="IRNazanin"/>
          <w:b w:val="false"/>
          <w:bCs w:val="false"/>
          <w:i w:val="false"/>
          <w:iCs w:val="false"/>
          <w:color w:val="333333"/>
          <w:sz w:val="20"/>
          <w:szCs w:val="20"/>
        </w:rPr>
        <w:t>7:132</w:t>
      </w:r>
      <w:r>
        <w:rPr>
          <w:rFonts w:ascii="IRNazanin" w:hAnsi="IRNazanin" w:eastAsia="IRNazanin"/>
          <w:b w:val="false"/>
          <w:b w:val="false"/>
          <w:bCs w:val="false"/>
          <w:i w:val="false"/>
          <w:i w:val="false"/>
          <w:iCs w:val="false"/>
          <w:color w:val="333333"/>
          <w:sz w:val="20"/>
          <w:sz w:val="20"/>
          <w:szCs w:val="20"/>
          <w:rtl w:val="true"/>
        </w:rPr>
        <w:t>، والحلبی فی الکافی فی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2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ابن الجنید علی ما حکاه عنه العلّامة فی المختلف </w:t>
      </w:r>
      <w:r>
        <w:rPr>
          <w:rFonts w:eastAsia="IRNazanin" w:cs="IRNazanin"/>
          <w:b w:val="false"/>
          <w:bCs w:val="false"/>
          <w:i w:val="false"/>
          <w:iCs w:val="false"/>
          <w:color w:val="333333"/>
          <w:sz w:val="20"/>
          <w:szCs w:val="20"/>
        </w:rPr>
        <w:t>9:369</w:t>
      </w:r>
      <w:r>
        <w:rPr>
          <w:rFonts w:eastAsia="IRNazanin" w:cs="IRNazanin"/>
          <w:b w:val="false"/>
          <w:bCs w:val="false"/>
          <w:i w:val="false"/>
          <w:iCs w:val="false"/>
          <w:color w:val="333333"/>
          <w:sz w:val="20"/>
          <w:szCs w:val="20"/>
          <w:rtl w:val="true"/>
        </w:rPr>
        <w:t>.</w:t>
      </w:r>
    </w:p>
  </w:footnote>
  <w:footnote w:id="2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 الصدوق فی المقنع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 والشیخ فی 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766</w:t>
      </w:r>
      <w:r>
        <w:rPr>
          <w:rFonts w:ascii="IRNazanin" w:hAnsi="IRNazanin" w:eastAsia="IRNazanin"/>
          <w:b w:val="false"/>
          <w:b w:val="false"/>
          <w:bCs w:val="false"/>
          <w:i w:val="false"/>
          <w:i w:val="false"/>
          <w:iCs w:val="false"/>
          <w:color w:val="333333"/>
          <w:sz w:val="20"/>
          <w:sz w:val="20"/>
          <w:szCs w:val="20"/>
          <w:rtl w:val="true"/>
        </w:rPr>
        <w:t>، وابن حمزة فی الوسیلة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2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9:370</w:t>
      </w:r>
      <w:r>
        <w:rPr>
          <w:rFonts w:eastAsia="IRNazanin" w:cs="IRNazanin"/>
          <w:b w:val="false"/>
          <w:bCs w:val="false"/>
          <w:i w:val="false"/>
          <w:iCs w:val="false"/>
          <w:color w:val="333333"/>
          <w:sz w:val="20"/>
          <w:szCs w:val="20"/>
          <w:rtl w:val="true"/>
        </w:rPr>
        <w:t>.</w:t>
      </w:r>
    </w:p>
  </w:footnote>
  <w:footnote w:id="2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19:222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دیات الأعضاء،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طریقها أبو جمیلة، المفضّل بن صالح وهو کذّاب وضّاع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 .</w:t>
      </w:r>
    </w:p>
  </w:footnote>
  <w:footnote w:id="2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بعضهما</w:t>
      </w:r>
      <w:r>
        <w:rPr>
          <w:rFonts w:eastAsia="IRNazanin" w:cs="IRNazanin"/>
          <w:b w:val="false"/>
          <w:bCs w:val="false"/>
          <w:i w:val="false"/>
          <w:iCs w:val="false"/>
          <w:color w:val="333333"/>
          <w:sz w:val="20"/>
          <w:szCs w:val="20"/>
          <w:rtl w:val="true"/>
        </w:rPr>
        <w:t>.</w:t>
      </w:r>
    </w:p>
  </w:footnote>
  <w:footnote w:id="2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 والکسر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زاویة الفم</w:t>
      </w:r>
      <w:r>
        <w:rPr>
          <w:rFonts w:eastAsia="IRNazanin" w:cs="IRNazanin"/>
          <w:b w:val="false"/>
          <w:bCs w:val="false"/>
          <w:i w:val="false"/>
          <w:iCs w:val="false"/>
          <w:color w:val="333333"/>
          <w:sz w:val="20"/>
          <w:szCs w:val="20"/>
          <w:rtl w:val="true"/>
        </w:rPr>
        <w:t>.</w:t>
      </w:r>
    </w:p>
  </w:footnote>
  <w:footnote w:id="2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الشیخ فی المبسوط </w:t>
      </w:r>
      <w:r>
        <w:rPr>
          <w:rFonts w:eastAsia="IRNazanin" w:cs="IRNazanin"/>
          <w:b w:val="false"/>
          <w:bCs w:val="false"/>
          <w:i w:val="false"/>
          <w:iCs w:val="false"/>
          <w:color w:val="333333"/>
          <w:sz w:val="20"/>
          <w:szCs w:val="20"/>
        </w:rPr>
        <w:t>7:132</w:t>
      </w:r>
      <w:r>
        <w:rPr>
          <w:rFonts w:eastAsia="IRNazanin" w:cs="IRNazanin"/>
          <w:b w:val="false"/>
          <w:bCs w:val="false"/>
          <w:i w:val="false"/>
          <w:iCs w:val="false"/>
          <w:color w:val="333333"/>
          <w:sz w:val="20"/>
          <w:szCs w:val="20"/>
          <w:rtl w:val="true"/>
        </w:rPr>
        <w:t>.</w:t>
      </w:r>
    </w:p>
  </w:footnote>
  <w:footnote w:id="2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الحروف المنسوبة إلی اللسان التی للّسان مدخل فی أدائها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نسخة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اللبنیّة</w:t>
      </w:r>
      <w:r>
        <w:rPr>
          <w:rFonts w:eastAsia="IRNazanin" w:cs="IRNazanin"/>
          <w:b w:val="false"/>
          <w:bCs w:val="false"/>
          <w:i w:val="false"/>
          <w:iCs w:val="false"/>
          <w:color w:val="333333"/>
          <w:sz w:val="20"/>
          <w:szCs w:val="20"/>
          <w:rtl w:val="true"/>
        </w:rPr>
        <w:t>.</w:t>
      </w:r>
    </w:p>
  </w:footnote>
  <w:footnote w:id="2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کالکاف واللام والمیم والنون والواو والهاء والیاء</w:t>
      </w:r>
      <w:r>
        <w:rPr>
          <w:rFonts w:eastAsia="IRNazanin" w:cs="IRNazanin"/>
          <w:b w:val="false"/>
          <w:bCs w:val="false"/>
          <w:i w:val="false"/>
          <w:iCs w:val="false"/>
          <w:color w:val="333333"/>
          <w:sz w:val="20"/>
          <w:szCs w:val="20"/>
          <w:rtl w:val="true"/>
        </w:rPr>
        <w:t>.</w:t>
      </w:r>
    </w:p>
  </w:footnote>
  <w:footnote w:id="2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کالقاف والصاد والضاد والعین والغین</w:t>
      </w:r>
      <w:r>
        <w:rPr>
          <w:rFonts w:eastAsia="IRNazanin" w:cs="IRNazanin"/>
          <w:b w:val="false"/>
          <w:bCs w:val="false"/>
          <w:i w:val="false"/>
          <w:iCs w:val="false"/>
          <w:color w:val="333333"/>
          <w:sz w:val="20"/>
          <w:szCs w:val="20"/>
          <w:rtl w:val="true"/>
        </w:rPr>
        <w:t>.</w:t>
      </w:r>
    </w:p>
  </w:footnote>
  <w:footnote w:id="2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19:273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دیات المنافع، سیّما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الشیخ فی المبسوط </w:t>
      </w:r>
      <w:r>
        <w:rPr>
          <w:rFonts w:eastAsia="IRNazanin" w:cs="IRNazanin"/>
          <w:b w:val="false"/>
          <w:bCs w:val="false"/>
          <w:i w:val="false"/>
          <w:iCs w:val="false"/>
          <w:color w:val="333333"/>
          <w:sz w:val="20"/>
          <w:szCs w:val="20"/>
        </w:rPr>
        <w:t>7:134</w:t>
      </w:r>
      <w:r>
        <w:rPr>
          <w:rFonts w:ascii="IRNazanin" w:hAnsi="IRNazanin" w:eastAsia="IRNazanin"/>
          <w:b w:val="false"/>
          <w:b w:val="false"/>
          <w:bCs w:val="false"/>
          <w:i w:val="false"/>
          <w:i w:val="false"/>
          <w:iCs w:val="false"/>
          <w:color w:val="333333"/>
          <w:sz w:val="20"/>
          <w:sz w:val="20"/>
          <w:szCs w:val="20"/>
          <w:rtl w:val="true"/>
        </w:rPr>
        <w:t xml:space="preserve">، وتبعه العلّامة فی المختلف </w:t>
      </w:r>
      <w:r>
        <w:rPr>
          <w:rFonts w:eastAsia="IRNazanin" w:cs="IRNazanin"/>
          <w:b w:val="false"/>
          <w:bCs w:val="false"/>
          <w:i w:val="false"/>
          <w:iCs w:val="false"/>
          <w:color w:val="333333"/>
          <w:sz w:val="20"/>
          <w:szCs w:val="20"/>
        </w:rPr>
        <w:t>9:373</w:t>
      </w:r>
      <w:r>
        <w:rPr>
          <w:rFonts w:ascii="IRNazanin" w:hAnsi="IRNazanin" w:eastAsia="IRNazanin"/>
          <w:b w:val="false"/>
          <w:b w:val="false"/>
          <w:bCs w:val="false"/>
          <w:i w:val="false"/>
          <w:i w:val="false"/>
          <w:iCs w:val="false"/>
          <w:color w:val="333333"/>
          <w:sz w:val="20"/>
          <w:sz w:val="20"/>
          <w:szCs w:val="20"/>
          <w:rtl w:val="true"/>
        </w:rPr>
        <w:t xml:space="preserve">، واستقربه فی القواعد </w:t>
      </w:r>
      <w:r>
        <w:rPr>
          <w:rFonts w:eastAsia="IRNazanin" w:cs="IRNazanin"/>
          <w:b w:val="false"/>
          <w:bCs w:val="false"/>
          <w:i w:val="false"/>
          <w:iCs w:val="false"/>
          <w:color w:val="333333"/>
          <w:sz w:val="20"/>
          <w:szCs w:val="20"/>
        </w:rPr>
        <w:t>3:674</w:t>
      </w:r>
      <w:r>
        <w:rPr>
          <w:rFonts w:eastAsia="IRNazanin" w:cs="IRNazanin"/>
          <w:b w:val="false"/>
          <w:bCs w:val="false"/>
          <w:i w:val="false"/>
          <w:iCs w:val="false"/>
          <w:color w:val="333333"/>
          <w:sz w:val="20"/>
          <w:szCs w:val="20"/>
          <w:rtl w:val="true"/>
        </w:rPr>
        <w:t>.</w:t>
      </w:r>
    </w:p>
  </w:footnote>
  <w:footnote w:id="2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الشیخ فی الخلاف </w:t>
      </w:r>
      <w:r>
        <w:rPr>
          <w:rFonts w:eastAsia="IRNazanin" w:cs="IRNazanin"/>
          <w:b w:val="false"/>
          <w:bCs w:val="false"/>
          <w:i w:val="false"/>
          <w:iCs w:val="false"/>
          <w:color w:val="333333"/>
          <w:sz w:val="20"/>
          <w:szCs w:val="20"/>
        </w:rPr>
        <w:t>5:240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وابن حمزة فی الوسیلة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وابن زهرة فی الغنیة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وغیرهم</w:t>
      </w:r>
      <w:r>
        <w:rPr>
          <w:rFonts w:eastAsia="IRNazanin" w:cs="IRNazanin"/>
          <w:b w:val="false"/>
          <w:bCs w:val="false"/>
          <w:i w:val="false"/>
          <w:iCs w:val="false"/>
          <w:color w:val="333333"/>
          <w:sz w:val="20"/>
          <w:szCs w:val="20"/>
          <w:rtl w:val="true"/>
        </w:rPr>
        <w:t>.</w:t>
      </w:r>
    </w:p>
  </w:footnote>
  <w:footnote w:id="2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19:279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دیات المنافع، ذیل الحدیث الأوّل</w:t>
      </w:r>
      <w:r>
        <w:rPr>
          <w:rFonts w:eastAsia="IRNazanin" w:cs="IRNazanin"/>
          <w:b w:val="false"/>
          <w:bCs w:val="false"/>
          <w:i w:val="false"/>
          <w:iCs w:val="false"/>
          <w:color w:val="333333"/>
          <w:sz w:val="20"/>
          <w:szCs w:val="20"/>
          <w:rtl w:val="true"/>
        </w:rPr>
        <w:t>.</w:t>
      </w:r>
    </w:p>
  </w:footnote>
  <w:footnote w:id="2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طریقها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الولید عن محمّد بن الفرات عن الأصبغ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ومحمّد بن الولید فطحیّ، وابن الفرات ضعیف جدّاً غالٍ لم یدرک الأصبغ</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 .</w:t>
      </w:r>
    </w:p>
  </w:footnote>
  <w:footnote w:id="2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أثغر الصبیّ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سقطت أسنانه الرواضع، وإذا نبت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أثْغَرَ</w:t>
      </w:r>
      <w:r>
        <w:rPr>
          <w:rFonts w:eastAsia="IRNazanin" w:cs="IRNazanin"/>
          <w:b w:val="false"/>
          <w:bCs w:val="false"/>
          <w:i w:val="false"/>
          <w:iCs w:val="false"/>
          <w:color w:val="333333"/>
          <w:sz w:val="20"/>
          <w:szCs w:val="20"/>
          <w:rtl w:val="true"/>
        </w:rPr>
        <w:t>.</w:t>
      </w:r>
    </w:p>
  </w:footnote>
  <w:footnote w:id="2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أصلها، منبتها</w:t>
      </w:r>
      <w:r>
        <w:rPr>
          <w:rFonts w:eastAsia="IRNazanin" w:cs="IRNazanin"/>
          <w:b w:val="false"/>
          <w:bCs w:val="false"/>
          <w:i w:val="false"/>
          <w:iCs w:val="false"/>
          <w:color w:val="333333"/>
          <w:sz w:val="20"/>
          <w:szCs w:val="20"/>
          <w:rtl w:val="true"/>
        </w:rPr>
        <w:t>.</w:t>
      </w:r>
    </w:p>
  </w:footnote>
  <w:footnote w:id="2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العلّامة فی المختلف </w:t>
      </w:r>
      <w:r>
        <w:rPr>
          <w:rFonts w:eastAsia="IRNazanin" w:cs="IRNazanin"/>
          <w:b w:val="false"/>
          <w:bCs w:val="false"/>
          <w:i w:val="false"/>
          <w:iCs w:val="false"/>
          <w:color w:val="333333"/>
          <w:sz w:val="20"/>
          <w:szCs w:val="20"/>
        </w:rPr>
        <w:t>9:376</w:t>
      </w:r>
      <w:r>
        <w:rPr>
          <w:rFonts w:eastAsia="IRNazanin" w:cs="IRNazanin"/>
          <w:b w:val="false"/>
          <w:bCs w:val="false"/>
          <w:i w:val="false"/>
          <w:iCs w:val="false"/>
          <w:color w:val="333333"/>
          <w:sz w:val="20"/>
          <w:szCs w:val="20"/>
          <w:rtl w:val="true"/>
        </w:rPr>
        <w:t>.</w:t>
      </w:r>
    </w:p>
  </w:footnote>
  <w:footnote w:id="2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علیها، وقد اعترف غیر واحد بعدم العثور علیها، راجع الجواهر </w:t>
      </w:r>
      <w:r>
        <w:rPr>
          <w:rFonts w:eastAsia="IRNazanin" w:cs="IRNazanin"/>
          <w:b w:val="false"/>
          <w:bCs w:val="false"/>
          <w:i w:val="false"/>
          <w:iCs w:val="false"/>
          <w:color w:val="333333"/>
          <w:sz w:val="20"/>
          <w:szCs w:val="20"/>
        </w:rPr>
        <w:t>43:239</w:t>
      </w:r>
      <w:r>
        <w:rPr>
          <w:rFonts w:eastAsia="IRNazanin" w:cs="IRNazanin"/>
          <w:b w:val="false"/>
          <w:bCs w:val="false"/>
          <w:i w:val="false"/>
          <w:iCs w:val="false"/>
          <w:color w:val="333333"/>
          <w:sz w:val="20"/>
          <w:szCs w:val="20"/>
          <w:rtl w:val="true"/>
        </w:rPr>
        <w:t>.</w:t>
      </w:r>
    </w:p>
  </w:footnote>
  <w:footnote w:id="2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فی الشرائع </w:t>
      </w:r>
      <w:r>
        <w:rPr>
          <w:rFonts w:eastAsia="IRNazanin" w:cs="IRNazanin"/>
          <w:b w:val="false"/>
          <w:bCs w:val="false"/>
          <w:i w:val="false"/>
          <w:iCs w:val="false"/>
          <w:color w:val="333333"/>
          <w:sz w:val="20"/>
          <w:szCs w:val="20"/>
        </w:rPr>
        <w:t>4:266</w:t>
      </w:r>
      <w:r>
        <w:rPr>
          <w:rFonts w:ascii="IRNazanin" w:hAnsi="IRNazanin" w:eastAsia="IRNazanin"/>
          <w:b w:val="false"/>
          <w:b w:val="false"/>
          <w:bCs w:val="false"/>
          <w:i w:val="false"/>
          <w:i w:val="false"/>
          <w:iCs w:val="false"/>
          <w:color w:val="333333"/>
          <w:sz w:val="20"/>
          <w:sz w:val="20"/>
          <w:szCs w:val="20"/>
          <w:rtl w:val="true"/>
        </w:rPr>
        <w:t>، والمختصر النافع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2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بالتاء والثاء</w:t>
      </w:r>
      <w:r>
        <w:rPr>
          <w:rFonts w:eastAsia="IRNazanin" w:cs="IRNazanin"/>
          <w:b w:val="false"/>
          <w:bCs w:val="false"/>
          <w:i w:val="false"/>
          <w:iCs w:val="false"/>
          <w:color w:val="333333"/>
          <w:sz w:val="20"/>
          <w:szCs w:val="20"/>
          <w:rtl w:val="true"/>
        </w:rPr>
        <w:t>.</w:t>
      </w:r>
    </w:p>
  </w:footnote>
  <w:footnote w:id="2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قول الماتن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المقادیم الاثنی عشر ستمئة دینار، وفی المآخیر أربعمئة</w:t>
      </w:r>
      <w:r>
        <w:rPr>
          <w:rFonts w:eastAsia="IRNazanin" w:cs="IRNazanin"/>
          <w:b w:val="false"/>
          <w:bCs w:val="false"/>
          <w:i w:val="false"/>
          <w:iCs w:val="false"/>
          <w:color w:val="333333"/>
          <w:sz w:val="20"/>
          <w:szCs w:val="20"/>
          <w:rtl w:val="true"/>
        </w:rPr>
        <w:t>.</w:t>
      </w:r>
    </w:p>
  </w:footnote>
  <w:footnote w:id="2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7:138</w:t>
      </w:r>
      <w:r>
        <w:rPr>
          <w:rFonts w:eastAsia="IRNazanin" w:cs="IRNazanin"/>
          <w:b w:val="false"/>
          <w:bCs w:val="false"/>
          <w:i w:val="false"/>
          <w:iCs w:val="false"/>
          <w:color w:val="333333"/>
          <w:sz w:val="20"/>
          <w:szCs w:val="20"/>
          <w:rtl w:val="true"/>
        </w:rPr>
        <w:t>.</w:t>
      </w:r>
    </w:p>
  </w:footnote>
  <w:footnote w:id="2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 ابن حمزة فی الوسیلة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وابن زهرة فی الغنیة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و الحلبی فی الکافی فی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والتعبیر فیهما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عُشر عشر الدیة</w:t>
      </w:r>
      <w:r>
        <w:rPr>
          <w:rFonts w:eastAsia="IRNazanin" w:cs="IRNazanin"/>
          <w:b w:val="false"/>
          <w:bCs w:val="false"/>
          <w:i w:val="false"/>
          <w:iCs w:val="false"/>
          <w:color w:val="333333"/>
          <w:sz w:val="20"/>
          <w:szCs w:val="20"/>
          <w:rtl w:val="true"/>
        </w:rPr>
        <w:t>» .</w:t>
      </w:r>
    </w:p>
  </w:footnote>
  <w:footnote w:id="2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9:379</w:t>
      </w:r>
      <w:r>
        <w:rPr>
          <w:rFonts w:eastAsia="IRNazanin" w:cs="IRNazanin"/>
          <w:b w:val="false"/>
          <w:bCs w:val="false"/>
          <w:i w:val="false"/>
          <w:iCs w:val="false"/>
          <w:color w:val="333333"/>
          <w:sz w:val="20"/>
          <w:szCs w:val="20"/>
          <w:rtl w:val="true"/>
        </w:rPr>
        <w:t>.</w:t>
      </w:r>
    </w:p>
  </w:footnote>
  <w:footnote w:id="2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19:225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دیات الأعضاء،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طریقه مع الغضّ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سهل بن زیاد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محمّد بن الحسن بن شمّون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ضعیف فاسد المذهب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المسالک </w:t>
      </w:r>
      <w:r>
        <w:rPr>
          <w:rFonts w:eastAsia="IRNazanin" w:cs="IRNazanin"/>
          <w:b w:val="false"/>
          <w:bCs w:val="false"/>
          <w:i w:val="false"/>
          <w:iCs w:val="false"/>
          <w:color w:val="333333"/>
          <w:sz w:val="20"/>
          <w:szCs w:val="20"/>
        </w:rPr>
        <w:t>15:410</w:t>
      </w:r>
      <w:r>
        <w:rPr>
          <w:rFonts w:eastAsia="IRNazanin" w:cs="IRNazanin"/>
          <w:b w:val="false"/>
          <w:bCs w:val="false"/>
          <w:i w:val="false"/>
          <w:iCs w:val="false"/>
          <w:color w:val="333333"/>
          <w:sz w:val="20"/>
          <w:szCs w:val="20"/>
          <w:rtl w:val="true"/>
        </w:rPr>
        <w:t>.</w:t>
      </w:r>
    </w:p>
  </w:footnote>
  <w:footnote w:id="2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2:481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مَوصل طرف الذراع فی الکفّ</w:t>
      </w:r>
      <w:r>
        <w:rPr>
          <w:rFonts w:eastAsia="IRNazanin" w:cs="IRNazanin"/>
          <w:b w:val="false"/>
          <w:bCs w:val="false"/>
          <w:i w:val="false"/>
          <w:iCs w:val="false"/>
          <w:color w:val="333333"/>
          <w:sz w:val="20"/>
          <w:szCs w:val="20"/>
          <w:rtl w:val="true"/>
        </w:rPr>
        <w:t>» .</w:t>
      </w:r>
    </w:p>
  </w:footnote>
  <w:footnote w:id="2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 هذا الفرق بعینه</w:t>
      </w:r>
      <w:r>
        <w:rPr>
          <w:rFonts w:eastAsia="IRNazanin" w:cs="IRNazanin"/>
          <w:b w:val="false"/>
          <w:bCs w:val="false"/>
          <w:i w:val="false"/>
          <w:iCs w:val="false"/>
          <w:color w:val="333333"/>
          <w:sz w:val="20"/>
          <w:szCs w:val="20"/>
          <w:rtl w:val="true"/>
        </w:rPr>
        <w:t>.</w:t>
      </w:r>
    </w:p>
  </w:footnote>
  <w:footnote w:id="2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19:217</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دیات الأعضاء،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علی قائل به، وجعله الشارح فی المسالک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وجهاً من وجوه المسألة</w:t>
      </w:r>
      <w:r>
        <w:rPr>
          <w:rFonts w:eastAsia="IRNazanin" w:cs="IRNazanin"/>
          <w:b w:val="false"/>
          <w:bCs w:val="false"/>
          <w:i w:val="false"/>
          <w:iCs w:val="false"/>
          <w:color w:val="333333"/>
          <w:sz w:val="20"/>
          <w:szCs w:val="20"/>
          <w:rtl w:val="true"/>
        </w:rPr>
        <w:t>.</w:t>
      </w:r>
    </w:p>
  </w:footnote>
  <w:footnote w:id="2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الشیخ فی المبسوط </w:t>
      </w:r>
      <w:r>
        <w:rPr>
          <w:rFonts w:eastAsia="IRNazanin" w:cs="IRNazanin"/>
          <w:b w:val="false"/>
          <w:bCs w:val="false"/>
          <w:i w:val="false"/>
          <w:iCs w:val="false"/>
          <w:color w:val="333333"/>
          <w:sz w:val="20"/>
          <w:szCs w:val="20"/>
        </w:rPr>
        <w:t>7:143</w:t>
      </w:r>
      <w:r>
        <w:rPr>
          <w:rFonts w:ascii="IRNazanin" w:hAnsi="IRNazanin" w:eastAsia="IRNazanin"/>
          <w:b w:val="false"/>
          <w:b w:val="false"/>
          <w:bCs w:val="false"/>
          <w:i w:val="false"/>
          <w:i w:val="false"/>
          <w:iCs w:val="false"/>
          <w:color w:val="333333"/>
          <w:sz w:val="20"/>
          <w:sz w:val="20"/>
          <w:szCs w:val="20"/>
          <w:rtl w:val="true"/>
        </w:rPr>
        <w:t xml:space="preserve">، والقاضی فی المهذّب </w:t>
      </w:r>
      <w:r>
        <w:rPr>
          <w:rFonts w:eastAsia="IRNazanin" w:cs="IRNazanin"/>
          <w:b w:val="false"/>
          <w:bCs w:val="false"/>
          <w:i w:val="false"/>
          <w:iCs w:val="false"/>
          <w:color w:val="333333"/>
          <w:sz w:val="20"/>
          <w:szCs w:val="20"/>
        </w:rPr>
        <w:t>2:473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xml:space="preserve">، واختاره العلّامة فی المختلف </w:t>
      </w:r>
      <w:r>
        <w:rPr>
          <w:rFonts w:eastAsia="IRNazanin" w:cs="IRNazanin"/>
          <w:b w:val="false"/>
          <w:bCs w:val="false"/>
          <w:i w:val="false"/>
          <w:iCs w:val="false"/>
          <w:color w:val="333333"/>
          <w:sz w:val="20"/>
          <w:szCs w:val="20"/>
        </w:rPr>
        <w:t>9:449</w:t>
      </w:r>
      <w:r>
        <w:rPr>
          <w:rFonts w:eastAsia="IRNazanin" w:cs="IRNazanin"/>
          <w:b w:val="false"/>
          <w:bCs w:val="false"/>
          <w:i w:val="false"/>
          <w:iCs w:val="false"/>
          <w:color w:val="333333"/>
          <w:sz w:val="20"/>
          <w:szCs w:val="20"/>
          <w:rtl w:val="true"/>
        </w:rPr>
        <w:t>.</w:t>
      </w:r>
    </w:p>
  </w:footnote>
  <w:footnote w:id="2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الشیخ فی المبسوط </w:t>
      </w:r>
      <w:r>
        <w:rPr>
          <w:rFonts w:eastAsia="IRNazanin" w:cs="IRNazanin"/>
          <w:b w:val="false"/>
          <w:bCs w:val="false"/>
          <w:i w:val="false"/>
          <w:iCs w:val="false"/>
          <w:color w:val="333333"/>
          <w:sz w:val="20"/>
          <w:szCs w:val="20"/>
        </w:rPr>
        <w:t>7:145</w:t>
      </w:r>
      <w:r>
        <w:rPr>
          <w:rFonts w:eastAsia="IRNazanin" w:cs="IRNazanin"/>
          <w:b w:val="false"/>
          <w:bCs w:val="false"/>
          <w:i w:val="false"/>
          <w:iCs w:val="false"/>
          <w:color w:val="333333"/>
          <w:sz w:val="20"/>
          <w:szCs w:val="20"/>
          <w:rtl w:val="true"/>
        </w:rPr>
        <w:t>.</w:t>
      </w:r>
    </w:p>
  </w:footnote>
  <w:footnote w:id="2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19:264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دیات الأعضاء،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المتقدّم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قاله ابن زهرة فی الغنیة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وابن حمزة فی الوسیلة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والکیدری فی الإصباح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2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19:266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دیات الأعضاء، الحدیث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تقدّم وجه ضعفها فی الصفحة </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xml:space="preserve">، الهامش رقم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19:267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دیات الأعضاء،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حمله علی ذلک السیوری فی التنقیح الرائع </w:t>
      </w:r>
      <w:r>
        <w:rPr>
          <w:rFonts w:eastAsia="IRNazanin" w:cs="IRNazanin"/>
          <w:b w:val="false"/>
          <w:bCs w:val="false"/>
          <w:i w:val="false"/>
          <w:iCs w:val="false"/>
          <w:color w:val="333333"/>
          <w:sz w:val="20"/>
          <w:szCs w:val="20"/>
        </w:rPr>
        <w:t>4:502</w:t>
      </w:r>
      <w:r>
        <w:rPr>
          <w:rFonts w:eastAsia="IRNazanin" w:cs="IRNazanin"/>
          <w:b w:val="false"/>
          <w:bCs w:val="false"/>
          <w:i w:val="false"/>
          <w:iCs w:val="false"/>
          <w:color w:val="333333"/>
          <w:sz w:val="20"/>
          <w:szCs w:val="20"/>
          <w:rtl w:val="true"/>
        </w:rPr>
        <w:t>.</w:t>
      </w:r>
    </w:p>
  </w:footnote>
  <w:footnote w:id="2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القول لابن إدریس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3:388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ورجّحه العلّامة فی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وولده فی الشرح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الإیضاح </w:t>
      </w:r>
      <w:r>
        <w:rPr>
          <w:rFonts w:eastAsia="IRNazanin" w:cs="IRNazanin"/>
          <w:b w:val="false"/>
          <w:bCs w:val="false"/>
          <w:i w:val="false"/>
          <w:iCs w:val="false"/>
          <w:color w:val="333333"/>
          <w:sz w:val="20"/>
          <w:szCs w:val="20"/>
        </w:rPr>
        <w:t>4:698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 .</w:t>
      </w:r>
    </w:p>
  </w:footnote>
  <w:footnote w:id="2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19:214</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دیات الأعضاء،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w:t>
      </w:r>
      <w:r>
        <w:rPr>
          <w:rFonts w:eastAsia="IRNazanin" w:cs="IRNazanin"/>
          <w:b w:val="false"/>
          <w:bCs w:val="false"/>
          <w:i w:val="false"/>
          <w:iCs w:val="false"/>
          <w:color w:val="333333"/>
          <w:sz w:val="20"/>
          <w:szCs w:val="20"/>
          <w:rtl w:val="true"/>
        </w:rPr>
        <w:t>.</w:t>
      </w:r>
    </w:p>
  </w:footnote>
  <w:footnote w:id="2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الأثیر فی 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عثم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عثمتُ یده فعثمت إذا جبرتها علی غیر استواءٍ وبقی فیها شیء لم ینحکم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 .</w:t>
      </w:r>
    </w:p>
  </w:footnote>
  <w:footnote w:id="2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19:231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دیات الأعضاء، الحدیث الأوّل مع اختلاف یسیر</w:t>
      </w:r>
      <w:r>
        <w:rPr>
          <w:rFonts w:eastAsia="IRNazanin" w:cs="IRNazanin"/>
          <w:b w:val="false"/>
          <w:bCs w:val="false"/>
          <w:i w:val="false"/>
          <w:iCs w:val="false"/>
          <w:color w:val="333333"/>
          <w:sz w:val="20"/>
          <w:szCs w:val="20"/>
          <w:rtl w:val="true"/>
        </w:rPr>
        <w:t>.</w:t>
      </w:r>
    </w:p>
  </w:footnote>
  <w:footnote w:id="2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5:253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العلّامة فی القواعد </w:t>
      </w:r>
      <w:r>
        <w:rPr>
          <w:rFonts w:eastAsia="IRNazanin" w:cs="IRNazanin"/>
          <w:b w:val="false"/>
          <w:bCs w:val="false"/>
          <w:i w:val="false"/>
          <w:iCs w:val="false"/>
          <w:color w:val="333333"/>
          <w:sz w:val="20"/>
          <w:szCs w:val="20"/>
        </w:rPr>
        <w:t>3:680</w:t>
      </w:r>
      <w:r>
        <w:rPr>
          <w:rFonts w:ascii="IRNazanin" w:hAnsi="IRNazanin" w:eastAsia="IRNazanin"/>
          <w:b w:val="false"/>
          <w:b w:val="false"/>
          <w:bCs w:val="false"/>
          <w:i w:val="false"/>
          <w:i w:val="false"/>
          <w:iCs w:val="false"/>
          <w:color w:val="333333"/>
          <w:sz w:val="20"/>
          <w:sz w:val="20"/>
          <w:szCs w:val="20"/>
          <w:rtl w:val="true"/>
        </w:rPr>
        <w:t xml:space="preserve">، والإرشاد </w:t>
      </w:r>
      <w:r>
        <w:rPr>
          <w:rFonts w:eastAsia="IRNazanin" w:cs="IRNazanin"/>
          <w:b w:val="false"/>
          <w:bCs w:val="false"/>
          <w:i w:val="false"/>
          <w:iCs w:val="false"/>
          <w:color w:val="333333"/>
          <w:sz w:val="20"/>
          <w:szCs w:val="20"/>
        </w:rPr>
        <w:t>2:239</w:t>
      </w:r>
      <w:r>
        <w:rPr>
          <w:rFonts w:ascii="IRNazanin" w:hAnsi="IRNazanin" w:eastAsia="IRNazanin"/>
          <w:b w:val="false"/>
          <w:b w:val="false"/>
          <w:bCs w:val="false"/>
          <w:i w:val="false"/>
          <w:i w:val="false"/>
          <w:iCs w:val="false"/>
          <w:color w:val="333333"/>
          <w:sz w:val="20"/>
          <w:sz w:val="20"/>
          <w:szCs w:val="20"/>
          <w:rtl w:val="true"/>
        </w:rPr>
        <w:t>، والتبصرة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نعثر علی قائل غیره وإن قال الصیمری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هو المشهور بین الأصحاب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غایة المرام </w:t>
      </w:r>
      <w:r>
        <w:rPr>
          <w:rFonts w:eastAsia="IRNazanin" w:cs="IRNazanin"/>
          <w:b w:val="false"/>
          <w:bCs w:val="false"/>
          <w:i w:val="false"/>
          <w:iCs w:val="false"/>
          <w:color w:val="333333"/>
          <w:sz w:val="20"/>
          <w:szCs w:val="20"/>
        </w:rPr>
        <w:t>4:457</w:t>
      </w:r>
      <w:r>
        <w:rPr>
          <w:rFonts w:eastAsia="IRNazanin" w:cs="IRNazanin"/>
          <w:b w:val="false"/>
          <w:bCs w:val="false"/>
          <w:i w:val="false"/>
          <w:iCs w:val="false"/>
          <w:color w:val="333333"/>
          <w:sz w:val="20"/>
          <w:szCs w:val="20"/>
          <w:rtl w:val="true"/>
        </w:rPr>
        <w:t>.</w:t>
      </w:r>
    </w:p>
  </w:footnote>
  <w:footnote w:id="2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4:268</w:t>
      </w:r>
      <w:r>
        <w:rPr>
          <w:rFonts w:eastAsia="IRNazanin" w:cs="IRNazanin"/>
          <w:b w:val="false"/>
          <w:bCs w:val="false"/>
          <w:i w:val="false"/>
          <w:iCs w:val="false"/>
          <w:color w:val="333333"/>
          <w:sz w:val="20"/>
          <w:szCs w:val="20"/>
          <w:rtl w:val="true"/>
        </w:rPr>
        <w:t>.</w:t>
      </w:r>
    </w:p>
  </w:footnote>
  <w:footnote w:id="2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التحریر </w:t>
      </w:r>
      <w:r>
        <w:rPr>
          <w:rFonts w:eastAsia="IRNazanin" w:cs="IRNazanin"/>
          <w:b w:val="false"/>
          <w:bCs w:val="false"/>
          <w:i w:val="false"/>
          <w:iCs w:val="false"/>
          <w:color w:val="333333"/>
          <w:sz w:val="20"/>
          <w:szCs w:val="20"/>
        </w:rPr>
        <w:t>5:582</w:t>
      </w:r>
      <w:r>
        <w:rPr>
          <w:rFonts w:eastAsia="IRNazanin" w:cs="IRNazanin"/>
          <w:b w:val="false"/>
          <w:bCs w:val="false"/>
          <w:i w:val="false"/>
          <w:iCs w:val="false"/>
          <w:color w:val="333333"/>
          <w:sz w:val="20"/>
          <w:szCs w:val="20"/>
          <w:rtl w:val="true"/>
        </w:rPr>
        <w:t>.</w:t>
      </w:r>
    </w:p>
  </w:footnote>
  <w:footnote w:id="2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مسألة العود فی التحریر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ولا یخلو من نظرٍ، بل ینبغی ثبوت الحکومة بعوده مطلقاً وزیادتها بنقصه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 .</w:t>
      </w:r>
    </w:p>
  </w:footnote>
  <w:footnote w:id="2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ما ذکر من الحکومة وغیرها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ر</w:t>
      </w:r>
      <w:r>
        <w:rPr>
          <w:rFonts w:eastAsia="IRNazanin" w:cs="IRNazanin"/>
          <w:b w:val="false"/>
          <w:bCs w:val="false"/>
          <w:i w:val="false"/>
          <w:iCs w:val="false"/>
          <w:color w:val="333333"/>
          <w:sz w:val="20"/>
          <w:szCs w:val="20"/>
          <w:rtl w:val="true"/>
        </w:rPr>
        <w:t>) .</w:t>
      </w:r>
    </w:p>
  </w:footnote>
  <w:footnote w:id="2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للذکر</w:t>
      </w:r>
      <w:r>
        <w:rPr>
          <w:rFonts w:eastAsia="IRNazanin" w:cs="IRNazanin"/>
          <w:b w:val="false"/>
          <w:bCs w:val="false"/>
          <w:i w:val="false"/>
          <w:iCs w:val="false"/>
          <w:color w:val="333333"/>
          <w:sz w:val="20"/>
          <w:szCs w:val="20"/>
          <w:rtl w:val="true"/>
        </w:rPr>
        <w:t>.</w:t>
      </w:r>
    </w:p>
  </w:footnote>
  <w:footnote w:id="2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لو قطعا منفردین</w:t>
      </w:r>
      <w:r>
        <w:rPr>
          <w:rFonts w:eastAsia="IRNazanin" w:cs="IRNazanin"/>
          <w:b w:val="false"/>
          <w:bCs w:val="false"/>
          <w:i w:val="false"/>
          <w:iCs w:val="false"/>
          <w:color w:val="333333"/>
          <w:sz w:val="20"/>
          <w:szCs w:val="20"/>
          <w:rtl w:val="true"/>
        </w:rPr>
        <w:t>.</w:t>
      </w:r>
    </w:p>
  </w:footnote>
  <w:footnote w:id="2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7:148</w:t>
      </w:r>
      <w:r>
        <w:rPr>
          <w:rFonts w:eastAsia="IRNazanin" w:cs="IRNazanin"/>
          <w:b w:val="false"/>
          <w:bCs w:val="false"/>
          <w:i w:val="false"/>
          <w:iCs w:val="false"/>
          <w:color w:val="333333"/>
          <w:sz w:val="20"/>
          <w:szCs w:val="20"/>
          <w:rtl w:val="true"/>
        </w:rPr>
        <w:t>.</w:t>
      </w:r>
    </w:p>
  </w:footnote>
  <w:footnote w:id="2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19:217</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دیات الأعضاء،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7:148</w:t>
      </w:r>
      <w:r>
        <w:rPr>
          <w:rFonts w:eastAsia="IRNazanin" w:cs="IRNazanin"/>
          <w:b w:val="false"/>
          <w:bCs w:val="false"/>
          <w:i w:val="false"/>
          <w:iCs w:val="false"/>
          <w:color w:val="333333"/>
          <w:sz w:val="20"/>
          <w:szCs w:val="20"/>
          <w:rtl w:val="true"/>
        </w:rPr>
        <w:t>.</w:t>
      </w:r>
    </w:p>
  </w:footnote>
  <w:footnote w:id="2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5:257</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الفقیه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2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الوسیلة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2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19:231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دیات الأعضاء، الحدیث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والفقیه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نسبه جماعة إلی فخر المحقّقین، منهم ابن فهد الحلّی فی المقتصر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xml:space="preserve">، والصیمری فی غایة المرام </w:t>
      </w:r>
      <w:r>
        <w:rPr>
          <w:rFonts w:eastAsia="IRNazanin" w:cs="IRNazanin"/>
          <w:b w:val="false"/>
          <w:bCs w:val="false"/>
          <w:i w:val="false"/>
          <w:iCs w:val="false"/>
          <w:color w:val="333333"/>
          <w:sz w:val="20"/>
          <w:szCs w:val="20"/>
        </w:rPr>
        <w:t>4:458</w:t>
      </w:r>
      <w:r>
        <w:rPr>
          <w:rFonts w:ascii="IRNazanin" w:hAnsi="IRNazanin" w:eastAsia="IRNazanin"/>
          <w:b w:val="false"/>
          <w:b w:val="false"/>
          <w:bCs w:val="false"/>
          <w:i w:val="false"/>
          <w:i w:val="false"/>
          <w:iCs w:val="false"/>
          <w:color w:val="333333"/>
          <w:sz w:val="20"/>
          <w:sz w:val="20"/>
          <w:szCs w:val="20"/>
          <w:rtl w:val="true"/>
        </w:rPr>
        <w:t xml:space="preserve">، والسیّد العاملی فی مفتاح الکرامة </w:t>
      </w:r>
      <w:r>
        <w:rPr>
          <w:rFonts w:eastAsia="IRNazanin" w:cs="IRNazanin"/>
          <w:b w:val="false"/>
          <w:bCs w:val="false"/>
          <w:i w:val="false"/>
          <w:iCs w:val="false"/>
          <w:color w:val="333333"/>
          <w:sz w:val="20"/>
          <w:szCs w:val="20"/>
        </w:rPr>
        <w:t>11:176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الإیضاح </w:t>
      </w:r>
      <w:r>
        <w:rPr>
          <w:rFonts w:eastAsia="IRNazanin" w:cs="IRNazanin"/>
          <w:b w:val="false"/>
          <w:bCs w:val="false"/>
          <w:i w:val="false"/>
          <w:iCs w:val="false"/>
          <w:color w:val="333333"/>
          <w:sz w:val="20"/>
          <w:szCs w:val="20"/>
        </w:rPr>
        <w:t>4:699</w:t>
      </w:r>
      <w:r>
        <w:rPr>
          <w:rFonts w:eastAsia="IRNazanin" w:cs="IRNazanin"/>
          <w:b w:val="false"/>
          <w:bCs w:val="false"/>
          <w:i w:val="false"/>
          <w:iCs w:val="false"/>
          <w:color w:val="333333"/>
          <w:sz w:val="20"/>
          <w:szCs w:val="20"/>
          <w:rtl w:val="true"/>
        </w:rPr>
        <w:t>.</w:t>
      </w:r>
    </w:p>
  </w:footnote>
  <w:footnote w:id="2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الظاهر أو علی القاعدة، أو البراءة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ر</w:t>
      </w:r>
      <w:r>
        <w:rPr>
          <w:rFonts w:eastAsia="IRNazanin" w:cs="IRNazanin"/>
          <w:b w:val="false"/>
          <w:bCs w:val="false"/>
          <w:i w:val="false"/>
          <w:iCs w:val="false"/>
          <w:color w:val="333333"/>
          <w:sz w:val="20"/>
          <w:szCs w:val="20"/>
          <w:rtl w:val="true"/>
        </w:rPr>
        <w:t>) .</w:t>
      </w:r>
    </w:p>
  </w:footnote>
  <w:footnote w:id="2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19:217</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دیات الأعضاء،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5:259</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 ابن حمزة فی الوسیلة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سلّار فی المراسم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ویحیی بن سعید فی الجامع للشرائع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w:t>
      </w:r>
    </w:p>
  </w:footnote>
  <w:footnote w:id="2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9:390</w:t>
      </w:r>
      <w:r>
        <w:rPr>
          <w:rFonts w:eastAsia="IRNazanin" w:cs="IRNazanin"/>
          <w:b w:val="false"/>
          <w:bCs w:val="false"/>
          <w:i w:val="false"/>
          <w:iCs w:val="false"/>
          <w:color w:val="333333"/>
          <w:sz w:val="20"/>
          <w:szCs w:val="20"/>
          <w:rtl w:val="true"/>
        </w:rPr>
        <w:t>.</w:t>
      </w:r>
    </w:p>
  </w:footnote>
  <w:footnote w:id="2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19:213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الباب الأوّل من أبواب دیات الأعضاء، الحدیث الأوّل</w:t>
      </w:r>
      <w:r>
        <w:rPr>
          <w:rFonts w:eastAsia="IRNazanin" w:cs="IRNazanin"/>
          <w:b w:val="false"/>
          <w:bCs w:val="false"/>
          <w:i w:val="false"/>
          <w:iCs w:val="false"/>
          <w:color w:val="333333"/>
          <w:sz w:val="20"/>
          <w:szCs w:val="20"/>
          <w:rtl w:val="true"/>
        </w:rPr>
        <w:t>.</w:t>
      </w:r>
    </w:p>
  </w:footnote>
  <w:footnote w:id="2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المتقدّم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الروایتان السابقتان</w:t>
      </w:r>
      <w:r>
        <w:rPr>
          <w:rFonts w:eastAsia="IRNazanin" w:cs="IRNazanin"/>
          <w:b w:val="false"/>
          <w:bCs w:val="false"/>
          <w:i w:val="false"/>
          <w:iCs w:val="false"/>
          <w:color w:val="333333"/>
          <w:sz w:val="20"/>
          <w:szCs w:val="20"/>
          <w:rtl w:val="true"/>
        </w:rPr>
        <w:t>.</w:t>
      </w:r>
    </w:p>
  </w:footnote>
  <w:footnote w:id="2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منه أنّ روایة عبد اللّٰه بن سنان حسنة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الروایة الاُخری مرفوعة، راجع غایة المراد </w:t>
      </w:r>
      <w:r>
        <w:rPr>
          <w:rFonts w:eastAsia="IRNazanin" w:cs="IRNazanin"/>
          <w:b w:val="false"/>
          <w:bCs w:val="false"/>
          <w:i w:val="false"/>
          <w:iCs w:val="false"/>
          <w:color w:val="333333"/>
          <w:sz w:val="20"/>
          <w:szCs w:val="20"/>
        </w:rPr>
        <w:t>4:539</w:t>
      </w:r>
      <w:r>
        <w:rPr>
          <w:rFonts w:eastAsia="IRNazanin" w:cs="IRNazanin"/>
          <w:b w:val="false"/>
          <w:bCs w:val="false"/>
          <w:i w:val="false"/>
          <w:iCs w:val="false"/>
          <w:color w:val="333333"/>
          <w:sz w:val="20"/>
          <w:szCs w:val="20"/>
          <w:rtl w:val="true"/>
        </w:rPr>
        <w:t>.</w:t>
      </w:r>
    </w:p>
  </w:footnote>
  <w:footnote w:id="2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غایة المراد </w:t>
      </w:r>
      <w:r>
        <w:rPr>
          <w:rFonts w:eastAsia="IRNazanin" w:cs="IRNazanin"/>
          <w:b w:val="false"/>
          <w:bCs w:val="false"/>
          <w:i w:val="false"/>
          <w:iCs w:val="false"/>
          <w:color w:val="333333"/>
          <w:sz w:val="20"/>
          <w:szCs w:val="20"/>
        </w:rPr>
        <w:t>4:541</w:t>
      </w:r>
      <w:r>
        <w:rPr>
          <w:rFonts w:ascii="IRNazanin" w:hAnsi="IRNazanin" w:eastAsia="IRNazanin"/>
          <w:b w:val="false"/>
          <w:b w:val="false"/>
          <w:bCs w:val="false"/>
          <w:i w:val="false"/>
          <w:i w:val="false"/>
          <w:iCs w:val="false"/>
          <w:color w:val="333333"/>
          <w:sz w:val="20"/>
          <w:sz w:val="20"/>
          <w:szCs w:val="20"/>
          <w:rtl w:val="true"/>
        </w:rPr>
        <w:t xml:space="preserve">، وانظر الحیوان للجاحظ </w:t>
      </w:r>
      <w:r>
        <w:rPr>
          <w:rFonts w:eastAsia="IRNazanin" w:cs="IRNazanin"/>
          <w:b w:val="false"/>
          <w:bCs w:val="false"/>
          <w:i w:val="false"/>
          <w:iCs w:val="false"/>
          <w:color w:val="333333"/>
          <w:sz w:val="20"/>
          <w:szCs w:val="20"/>
        </w:rPr>
        <w:t>1:123</w:t>
      </w:r>
      <w:r>
        <w:rPr>
          <w:rFonts w:eastAsia="IRNazanin" w:cs="IRNazanin"/>
          <w:b w:val="false"/>
          <w:bCs w:val="false"/>
          <w:i w:val="false"/>
          <w:iCs w:val="false"/>
          <w:color w:val="333333"/>
          <w:sz w:val="20"/>
          <w:szCs w:val="20"/>
          <w:rtl w:val="true"/>
        </w:rPr>
        <w:t>.</w:t>
      </w:r>
    </w:p>
  </w:footnote>
  <w:footnote w:id="2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1:333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فحج</w:t>
      </w:r>
      <w:r>
        <w:rPr>
          <w:rFonts w:eastAsia="IRNazanin" w:cs="IRNazanin"/>
          <w:b w:val="false"/>
          <w:bCs w:val="false"/>
          <w:i w:val="false"/>
          <w:iCs w:val="false"/>
          <w:color w:val="333333"/>
          <w:sz w:val="20"/>
          <w:szCs w:val="20"/>
          <w:rtl w:val="true"/>
        </w:rPr>
        <w:t>) .</w:t>
      </w:r>
    </w:p>
  </w:footnote>
  <w:footnote w:id="2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19:236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دیات الأعضاء، الحدیث الأوّل</w:t>
      </w:r>
      <w:r>
        <w:rPr>
          <w:rFonts w:eastAsia="IRNazanin" w:cs="IRNazanin"/>
          <w:b w:val="false"/>
          <w:bCs w:val="false"/>
          <w:i w:val="false"/>
          <w:iCs w:val="false"/>
          <w:color w:val="333333"/>
          <w:sz w:val="20"/>
          <w:szCs w:val="20"/>
          <w:rtl w:val="true"/>
        </w:rPr>
        <w:t>.</w:t>
      </w:r>
    </w:p>
  </w:footnote>
  <w:footnote w:id="2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قاله المحقّق فی المختصر النافع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ویحیی بن سعید فی الجامع للشرائع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2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الجزء الثالث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19:212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دیات الأعضاء،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14:381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یحرم بالمصاهرة ونحوها،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التحریر </w:t>
      </w:r>
      <w:r>
        <w:rPr>
          <w:rFonts w:eastAsia="IRNazanin" w:cs="IRNazanin"/>
          <w:b w:val="false"/>
          <w:bCs w:val="false"/>
          <w:i w:val="false"/>
          <w:iCs w:val="false"/>
          <w:color w:val="333333"/>
          <w:sz w:val="20"/>
          <w:szCs w:val="20"/>
        </w:rPr>
        <w:t>5:597</w:t>
      </w:r>
      <w:r>
        <w:rPr>
          <w:rFonts w:eastAsia="IRNazanin" w:cs="IRNazanin"/>
          <w:b w:val="false"/>
          <w:bCs w:val="false"/>
          <w:i w:val="false"/>
          <w:iCs w:val="false"/>
          <w:color w:val="333333"/>
          <w:sz w:val="20"/>
          <w:szCs w:val="20"/>
          <w:rtl w:val="true"/>
        </w:rPr>
        <w:t>.</w:t>
      </w:r>
    </w:p>
  </w:footnote>
  <w:footnote w:id="2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 والظاهر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نقصانه</w:t>
      </w:r>
      <w:r>
        <w:rPr>
          <w:rFonts w:eastAsia="IRNazanin" w:cs="IRNazanin"/>
          <w:b w:val="false"/>
          <w:bCs w:val="false"/>
          <w:i w:val="false"/>
          <w:iCs w:val="false"/>
          <w:color w:val="333333"/>
          <w:sz w:val="20"/>
          <w:szCs w:val="20"/>
          <w:rtl w:val="true"/>
        </w:rPr>
        <w:t>.</w:t>
      </w:r>
    </w:p>
  </w:footnote>
  <w:footnote w:id="2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سبق فی دیة أصابع الیدین</w:t>
      </w:r>
      <w:r>
        <w:rPr>
          <w:rFonts w:eastAsia="IRNazanin" w:cs="IRNazanin"/>
          <w:b w:val="false"/>
          <w:bCs w:val="false"/>
          <w:i w:val="false"/>
          <w:iCs w:val="false"/>
          <w:color w:val="333333"/>
          <w:sz w:val="20"/>
          <w:szCs w:val="20"/>
          <w:rtl w:val="true"/>
        </w:rPr>
        <w:t>.</w:t>
      </w:r>
    </w:p>
  </w:footnote>
  <w:footnote w:id="2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التی قوبلت بالأصل، وفی سائر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حدّهما</w:t>
      </w:r>
      <w:r>
        <w:rPr>
          <w:rFonts w:eastAsia="IRNazanin" w:cs="IRNazanin"/>
          <w:b w:val="false"/>
          <w:bCs w:val="false"/>
          <w:i w:val="false"/>
          <w:iCs w:val="false"/>
          <w:color w:val="333333"/>
          <w:sz w:val="20"/>
          <w:szCs w:val="20"/>
          <w:rtl w:val="true"/>
        </w:rPr>
        <w:t>.</w:t>
      </w:r>
    </w:p>
  </w:footnote>
  <w:footnote w:id="2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بین القدم والساق والفخذ</w:t>
      </w:r>
      <w:r>
        <w:rPr>
          <w:rFonts w:eastAsia="IRNazanin" w:cs="IRNazanin"/>
          <w:b w:val="false"/>
          <w:bCs w:val="false"/>
          <w:i w:val="false"/>
          <w:iCs w:val="false"/>
          <w:color w:val="333333"/>
          <w:sz w:val="20"/>
          <w:szCs w:val="20"/>
          <w:rtl w:val="true"/>
        </w:rPr>
        <w:t>.</w:t>
      </w:r>
    </w:p>
  </w:footnote>
  <w:footnote w:id="2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مسألة الید</w:t>
      </w:r>
      <w:r>
        <w:rPr>
          <w:rFonts w:eastAsia="IRNazanin" w:cs="IRNazanin"/>
          <w:b w:val="false"/>
          <w:bCs w:val="false"/>
          <w:i w:val="false"/>
          <w:iCs w:val="false"/>
          <w:color w:val="333333"/>
          <w:sz w:val="20"/>
          <w:szCs w:val="20"/>
          <w:rtl w:val="true"/>
        </w:rPr>
        <w:t>.</w:t>
      </w:r>
    </w:p>
  </w:footnote>
  <w:footnote w:id="2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19:226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دیات الأعضاء، وفیه حدیث واحد</w:t>
      </w:r>
      <w:r>
        <w:rPr>
          <w:rFonts w:eastAsia="IRNazanin" w:cs="IRNazanin"/>
          <w:b w:val="false"/>
          <w:bCs w:val="false"/>
          <w:i w:val="false"/>
          <w:iCs w:val="false"/>
          <w:color w:val="333333"/>
          <w:sz w:val="20"/>
          <w:szCs w:val="20"/>
          <w:rtl w:val="true"/>
        </w:rPr>
        <w:t>.</w:t>
      </w:r>
    </w:p>
  </w:footnote>
  <w:footnote w:id="2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عموم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الترقوة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خبر ظریف المشار إلیه آنفاً</w:t>
      </w:r>
      <w:r>
        <w:rPr>
          <w:rFonts w:eastAsia="IRNazanin" w:cs="IRNazanin"/>
          <w:b w:val="false"/>
          <w:bCs w:val="false"/>
          <w:i w:val="false"/>
          <w:iCs w:val="false"/>
          <w:color w:val="333333"/>
          <w:sz w:val="20"/>
          <w:szCs w:val="20"/>
          <w:rtl w:val="true"/>
        </w:rPr>
        <w:t>.</w:t>
      </w:r>
    </w:p>
  </w:footnote>
  <w:footnote w:id="2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ثلثا</w:t>
      </w:r>
      <w:r>
        <w:rPr>
          <w:rFonts w:eastAsia="IRNazanin" w:cs="IRNazanin"/>
          <w:b w:val="false"/>
          <w:bCs w:val="false"/>
          <w:i w:val="false"/>
          <w:iCs w:val="false"/>
          <w:color w:val="333333"/>
          <w:sz w:val="20"/>
          <w:szCs w:val="20"/>
          <w:rtl w:val="true"/>
        </w:rPr>
        <w:t>.</w:t>
      </w:r>
    </w:p>
  </w:footnote>
  <w:footnote w:id="2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بعض نسخ الکتاب</w:t>
      </w:r>
      <w:r>
        <w:rPr>
          <w:rFonts w:eastAsia="IRNazanin" w:cs="IRNazanin"/>
          <w:b w:val="false"/>
          <w:bCs w:val="false"/>
          <w:i w:val="false"/>
          <w:iCs w:val="false"/>
          <w:color w:val="333333"/>
          <w:sz w:val="20"/>
          <w:szCs w:val="20"/>
          <w:rtl w:val="true"/>
        </w:rPr>
        <w:t>.</w:t>
      </w:r>
    </w:p>
  </w:footnote>
  <w:footnote w:id="2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بعینه، لکن فی خبر ظریف ثلث دیة النفس فی رضّ کلّ من المنکب والمرفق والرکبة، وثلث دیة الید فی رضّ الرسغ، وثلث دیة الرِجلین فی رضّ الکعب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الفقیه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النافع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2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کتاب ظریف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فکّ کلّ من المنکب والمرفق والورک والرکبة ثلاثون دیناراً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الفقیه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فلعلّ المحقّق نسبه إلیهما مقتصراً علی ذلک؛ لضعف مستنده، راجع المسالک </w:t>
      </w:r>
      <w:r>
        <w:rPr>
          <w:rFonts w:eastAsia="IRNazanin" w:cs="IRNazanin"/>
          <w:b w:val="false"/>
          <w:bCs w:val="false"/>
          <w:i w:val="false"/>
          <w:iCs w:val="false"/>
          <w:color w:val="333333"/>
          <w:sz w:val="20"/>
          <w:szCs w:val="20"/>
        </w:rPr>
        <w:t>15:441</w:t>
      </w:r>
      <w:r>
        <w:rPr>
          <w:rFonts w:eastAsia="IRNazanin" w:cs="IRNazanin"/>
          <w:b w:val="false"/>
          <w:bCs w:val="false"/>
          <w:i w:val="false"/>
          <w:iCs w:val="false"/>
          <w:color w:val="333333"/>
          <w:sz w:val="20"/>
          <w:szCs w:val="20"/>
          <w:rtl w:val="true"/>
        </w:rPr>
        <w:t>.</w:t>
      </w:r>
    </w:p>
  </w:footnote>
  <w:footnote w:id="2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19:231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دیات الأعضاء، وفیه حدیث واحد</w:t>
      </w:r>
      <w:r>
        <w:rPr>
          <w:rFonts w:eastAsia="IRNazanin" w:cs="IRNazanin"/>
          <w:b w:val="false"/>
          <w:bCs w:val="false"/>
          <w:i w:val="false"/>
          <w:iCs w:val="false"/>
          <w:color w:val="333333"/>
          <w:sz w:val="20"/>
          <w:szCs w:val="20"/>
          <w:rtl w:val="true"/>
        </w:rPr>
        <w:t>.</w:t>
      </w:r>
    </w:p>
  </w:footnote>
  <w:footnote w:id="2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19:284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دیات المنافع، الحدیث الأوّل</w:t>
      </w:r>
      <w:r>
        <w:rPr>
          <w:rFonts w:eastAsia="IRNazanin" w:cs="IRNazanin"/>
          <w:b w:val="false"/>
          <w:bCs w:val="false"/>
          <w:i w:val="false"/>
          <w:iCs w:val="false"/>
          <w:color w:val="333333"/>
          <w:sz w:val="20"/>
          <w:szCs w:val="20"/>
          <w:rtl w:val="true"/>
        </w:rPr>
        <w:t>.</w:t>
      </w:r>
    </w:p>
  </w:footnote>
  <w:footnote w:id="2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w:t>
      </w:r>
      <w:r>
        <w:rPr>
          <w:rFonts w:eastAsia="IRNazanin" w:cs="IRNazanin"/>
          <w:b w:val="false"/>
          <w:bCs w:val="false"/>
          <w:i w:val="false"/>
          <w:iCs w:val="false"/>
          <w:color w:val="333333"/>
          <w:sz w:val="20"/>
          <w:szCs w:val="20"/>
          <w:rtl w:val="true"/>
        </w:rPr>
        <w:t>.</w:t>
      </w:r>
    </w:p>
  </w:footnote>
  <w:footnote w:id="2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حلقة الدبر</w:t>
      </w:r>
      <w:r>
        <w:rPr>
          <w:rFonts w:eastAsia="IRNazanin" w:cs="IRNazanin"/>
          <w:b w:val="false"/>
          <w:bCs w:val="false"/>
          <w:i w:val="false"/>
          <w:iCs w:val="false"/>
          <w:color w:val="333333"/>
          <w:sz w:val="20"/>
          <w:szCs w:val="20"/>
          <w:rtl w:val="true"/>
        </w:rPr>
        <w:t>.</w:t>
      </w:r>
    </w:p>
  </w:footnote>
  <w:footnote w:id="2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19:284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دیات المنافع،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19:256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دیات الأعضاء،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قاله ابن حمزة فی الوسیلة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2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الحدیث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فی الوسائل </w:t>
      </w:r>
      <w:r>
        <w:rPr>
          <w:rFonts w:eastAsia="IRNazanin" w:cs="IRNazanin"/>
          <w:b w:val="false"/>
          <w:bCs w:val="false"/>
          <w:i w:val="false"/>
          <w:iCs w:val="false"/>
          <w:color w:val="333333"/>
          <w:sz w:val="20"/>
          <w:szCs w:val="20"/>
        </w:rPr>
        <w:t>19:256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دیات الأعضاء،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تفویت المنفعة الواحدة فی البدن</w:t>
      </w:r>
      <w:r>
        <w:rPr>
          <w:rFonts w:eastAsia="IRNazanin" w:cs="IRNazanin"/>
          <w:b w:val="false"/>
          <w:bCs w:val="false"/>
          <w:i w:val="false"/>
          <w:iCs w:val="false"/>
          <w:color w:val="333333"/>
          <w:sz w:val="20"/>
          <w:szCs w:val="20"/>
          <w:rtl w:val="true"/>
        </w:rPr>
        <w:t>.</w:t>
      </w:r>
    </w:p>
  </w:footnote>
  <w:footnote w:id="2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روایة هشام فقد سبق الحدیث عن إرسالها، وأمّا روایة ظریف فقد قال عنها فی المسالک </w:t>
      </w:r>
      <w:r>
        <w:rPr>
          <w:rFonts w:eastAsia="IRNazanin" w:cs="IRNazanin"/>
          <w:b w:val="false"/>
          <w:bCs w:val="false"/>
          <w:i w:val="false"/>
          <w:iCs w:val="false"/>
          <w:color w:val="333333"/>
          <w:sz w:val="20"/>
          <w:szCs w:val="20"/>
        </w:rPr>
        <w:t>15:209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فی طریقها ضعف وجهالة</w:t>
      </w:r>
      <w:r>
        <w:rPr>
          <w:rFonts w:eastAsia="IRNazanin" w:cs="IRNazanin"/>
          <w:b w:val="false"/>
          <w:bCs w:val="false"/>
          <w:i w:val="false"/>
          <w:iCs w:val="false"/>
          <w:color w:val="333333"/>
          <w:sz w:val="20"/>
          <w:szCs w:val="20"/>
          <w:rtl w:val="true"/>
        </w:rPr>
        <w:t>.</w:t>
      </w:r>
    </w:p>
  </w:footnote>
  <w:footnote w:id="2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19:137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قصاص الطرف، وفیه حدیث واحد</w:t>
      </w:r>
      <w:r>
        <w:rPr>
          <w:rFonts w:eastAsia="IRNazanin" w:cs="IRNazanin"/>
          <w:b w:val="false"/>
          <w:bCs w:val="false"/>
          <w:i w:val="false"/>
          <w:iCs w:val="false"/>
          <w:color w:val="333333"/>
          <w:sz w:val="20"/>
          <w:szCs w:val="20"/>
          <w:rtl w:val="true"/>
        </w:rPr>
        <w:t>.</w:t>
      </w:r>
    </w:p>
  </w:footnote>
  <w:footnote w:id="2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سنده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النوفلی، عن السکونی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والظاهر أنّ ضعفه بالسکونی، راجع المسالک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2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کالعلّامة فی المختلف </w:t>
      </w:r>
      <w:r>
        <w:rPr>
          <w:rFonts w:eastAsia="IRNazanin" w:cs="IRNazanin"/>
          <w:b w:val="false"/>
          <w:bCs w:val="false"/>
          <w:i w:val="false"/>
          <w:iCs w:val="false"/>
          <w:color w:val="333333"/>
          <w:sz w:val="20"/>
          <w:szCs w:val="20"/>
        </w:rPr>
        <w:t>9:392</w:t>
      </w:r>
      <w:r>
        <w:rPr>
          <w:rFonts w:ascii="IRNazanin" w:hAnsi="IRNazanin" w:eastAsia="IRNazanin"/>
          <w:b w:val="false"/>
          <w:b w:val="false"/>
          <w:bCs w:val="false"/>
          <w:i w:val="false"/>
          <w:i w:val="false"/>
          <w:iCs w:val="false"/>
          <w:color w:val="333333"/>
          <w:sz w:val="20"/>
          <w:sz w:val="20"/>
          <w:szCs w:val="20"/>
          <w:rtl w:val="true"/>
        </w:rPr>
        <w:t xml:space="preserve">، ومال إلیه ولده فی الإیضاح </w:t>
      </w:r>
      <w:r>
        <w:rPr>
          <w:rFonts w:eastAsia="IRNazanin" w:cs="IRNazanin"/>
          <w:b w:val="false"/>
          <w:bCs w:val="false"/>
          <w:i w:val="false"/>
          <w:iCs w:val="false"/>
          <w:color w:val="333333"/>
          <w:sz w:val="20"/>
          <w:szCs w:val="20"/>
        </w:rPr>
        <w:t>4:700</w:t>
      </w:r>
      <w:r>
        <w:rPr>
          <w:rFonts w:ascii="IRNazanin" w:hAnsi="IRNazanin" w:eastAsia="IRNazanin"/>
          <w:b w:val="false"/>
          <w:b w:val="false"/>
          <w:bCs w:val="false"/>
          <w:i w:val="false"/>
          <w:i w:val="false"/>
          <w:iCs w:val="false"/>
          <w:color w:val="333333"/>
          <w:sz w:val="20"/>
          <w:sz w:val="20"/>
          <w:szCs w:val="20"/>
          <w:rtl w:val="true"/>
        </w:rPr>
        <w:t xml:space="preserve">، وکابن فهد الحلّی فی المهذّب البارع </w:t>
      </w:r>
      <w:r>
        <w:rPr>
          <w:rFonts w:eastAsia="IRNazanin" w:cs="IRNazanin"/>
          <w:b w:val="false"/>
          <w:bCs w:val="false"/>
          <w:i w:val="false"/>
          <w:iCs w:val="false"/>
          <w:color w:val="333333"/>
          <w:sz w:val="20"/>
          <w:szCs w:val="20"/>
        </w:rPr>
        <w:t>5:353</w:t>
      </w:r>
      <w:r>
        <w:rPr>
          <w:rFonts w:eastAsia="IRNazanin" w:cs="IRNazanin"/>
          <w:b w:val="false"/>
          <w:bCs w:val="false"/>
          <w:i w:val="false"/>
          <w:iCs w:val="false"/>
          <w:color w:val="333333"/>
          <w:sz w:val="20"/>
          <w:szCs w:val="20"/>
          <w:rtl w:val="true"/>
        </w:rPr>
        <w:t>.</w:t>
      </w:r>
    </w:p>
  </w:footnote>
  <w:footnote w:id="2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المبسوط </w:t>
      </w:r>
      <w:r>
        <w:rPr>
          <w:rFonts w:eastAsia="IRNazanin" w:cs="IRNazanin"/>
          <w:b w:val="false"/>
          <w:bCs w:val="false"/>
          <w:i w:val="false"/>
          <w:iCs w:val="false"/>
          <w:color w:val="333333"/>
          <w:sz w:val="20"/>
          <w:szCs w:val="20"/>
        </w:rPr>
        <w:t>7:126</w:t>
      </w:r>
      <w:r>
        <w:rPr>
          <w:rFonts w:ascii="IRNazanin" w:hAnsi="IRNazanin" w:eastAsia="IRNazanin"/>
          <w:b w:val="false"/>
          <w:b w:val="false"/>
          <w:bCs w:val="false"/>
          <w:i w:val="false"/>
          <w:i w:val="false"/>
          <w:iCs w:val="false"/>
          <w:color w:val="333333"/>
          <w:sz w:val="20"/>
          <w:sz w:val="20"/>
          <w:szCs w:val="20"/>
          <w:rtl w:val="true"/>
        </w:rPr>
        <w:t>، والوسیلة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xml:space="preserve">، وصرّح به فی القواعد </w:t>
      </w:r>
      <w:r>
        <w:rPr>
          <w:rFonts w:eastAsia="IRNazanin" w:cs="IRNazanin"/>
          <w:b w:val="false"/>
          <w:bCs w:val="false"/>
          <w:i w:val="false"/>
          <w:iCs w:val="false"/>
          <w:color w:val="333333"/>
          <w:sz w:val="20"/>
          <w:szCs w:val="20"/>
        </w:rPr>
        <w:t>3:684</w:t>
      </w:r>
      <w:r>
        <w:rPr>
          <w:rFonts w:eastAsia="IRNazanin" w:cs="IRNazanin"/>
          <w:b w:val="false"/>
          <w:bCs w:val="false"/>
          <w:i w:val="false"/>
          <w:iCs w:val="false"/>
          <w:color w:val="333333"/>
          <w:sz w:val="20"/>
          <w:szCs w:val="20"/>
          <w:rtl w:val="true"/>
        </w:rPr>
        <w:t>.</w:t>
      </w:r>
    </w:p>
  </w:footnote>
  <w:footnote w:id="2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یرد فی المخطوطات</w:t>
      </w:r>
      <w:r>
        <w:rPr>
          <w:rFonts w:eastAsia="IRNazanin" w:cs="IRNazanin"/>
          <w:b w:val="false"/>
          <w:bCs w:val="false"/>
          <w:i w:val="false"/>
          <w:iCs w:val="false"/>
          <w:color w:val="333333"/>
          <w:sz w:val="20"/>
          <w:szCs w:val="20"/>
          <w:rtl w:val="true"/>
        </w:rPr>
        <w:t>.</w:t>
      </w:r>
    </w:p>
  </w:footnote>
  <w:footnote w:id="2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مسألة ذهاب العقل</w:t>
      </w:r>
      <w:r>
        <w:rPr>
          <w:rFonts w:eastAsia="IRNazanin" w:cs="IRNazanin"/>
          <w:b w:val="false"/>
          <w:bCs w:val="false"/>
          <w:i w:val="false"/>
          <w:iCs w:val="false"/>
          <w:color w:val="333333"/>
          <w:sz w:val="20"/>
          <w:szCs w:val="20"/>
          <w:rtl w:val="true"/>
        </w:rPr>
        <w:t>.</w:t>
      </w:r>
    </w:p>
  </w:footnote>
  <w:footnote w:id="2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عمشت عینه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ضعف بصرها مع سیلان دمعها فی أکثر الأوقات</w:t>
      </w:r>
      <w:r>
        <w:rPr>
          <w:rFonts w:eastAsia="IRNazanin" w:cs="IRNazanin"/>
          <w:b w:val="false"/>
          <w:bCs w:val="false"/>
          <w:i w:val="false"/>
          <w:iCs w:val="false"/>
          <w:color w:val="333333"/>
          <w:sz w:val="20"/>
          <w:szCs w:val="20"/>
          <w:rtl w:val="true"/>
        </w:rPr>
        <w:t>.</w:t>
      </w:r>
    </w:p>
  </w:footnote>
  <w:footnote w:id="2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الأخفش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الضعیف البصر الذی یبصر باللیل دون النهار</w:t>
      </w:r>
      <w:r>
        <w:rPr>
          <w:rFonts w:eastAsia="IRNazanin" w:cs="IRNazanin"/>
          <w:b w:val="false"/>
          <w:bCs w:val="false"/>
          <w:i w:val="false"/>
          <w:iCs w:val="false"/>
          <w:color w:val="333333"/>
          <w:sz w:val="20"/>
          <w:szCs w:val="20"/>
          <w:rtl w:val="true"/>
        </w:rPr>
        <w:t>.</w:t>
      </w:r>
    </w:p>
  </w:footnote>
  <w:footnote w:id="2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تثنیة الضمیر باعتبار الشاهدین</w:t>
      </w:r>
      <w:r>
        <w:rPr>
          <w:rFonts w:eastAsia="IRNazanin" w:cs="IRNazanin"/>
          <w:b w:val="false"/>
          <w:bCs w:val="false"/>
          <w:i w:val="false"/>
          <w:iCs w:val="false"/>
          <w:color w:val="333333"/>
          <w:sz w:val="20"/>
          <w:szCs w:val="20"/>
          <w:rtl w:val="true"/>
        </w:rPr>
        <w:t>.</w:t>
      </w:r>
    </w:p>
  </w:footnote>
  <w:footnote w:id="2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قاله أبو الصلاح فی 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وسلّار فی المراسم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وابن زهرة فی الغنیة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2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19:279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دیات المنافع، وفیه حدیث واحد</w:t>
      </w:r>
      <w:r>
        <w:rPr>
          <w:rFonts w:eastAsia="IRNazanin" w:cs="IRNazanin"/>
          <w:b w:val="false"/>
          <w:bCs w:val="false"/>
          <w:i w:val="false"/>
          <w:iCs w:val="false"/>
          <w:color w:val="333333"/>
          <w:sz w:val="20"/>
          <w:szCs w:val="20"/>
          <w:rtl w:val="true"/>
        </w:rPr>
        <w:t>.</w:t>
      </w:r>
    </w:p>
  </w:footnote>
  <w:footnote w:id="2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طریقه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بن الولید، عن محمّد بن الفرات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فی المسالک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الأوّل فطحیّ والثانی ضعیف جدّاً غالٍ ولم یدرک الأصبغ، فتکون مع الضعف مرسلة</w:t>
      </w:r>
      <w:r>
        <w:rPr>
          <w:rFonts w:eastAsia="IRNazanin" w:cs="IRNazanin"/>
          <w:b w:val="false"/>
          <w:bCs w:val="false"/>
          <w:i w:val="false"/>
          <w:iCs w:val="false"/>
          <w:color w:val="333333"/>
          <w:sz w:val="20"/>
          <w:szCs w:val="20"/>
          <w:rtl w:val="true"/>
        </w:rPr>
        <w:t>.</w:t>
      </w:r>
    </w:p>
  </w:footnote>
  <w:footnote w:id="2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تجعل علامة عنده</w:t>
      </w:r>
      <w:r>
        <w:rPr>
          <w:rFonts w:eastAsia="IRNazanin" w:cs="IRNazanin"/>
          <w:b w:val="false"/>
          <w:bCs w:val="false"/>
          <w:i w:val="false"/>
          <w:iCs w:val="false"/>
          <w:color w:val="333333"/>
          <w:sz w:val="20"/>
          <w:szCs w:val="20"/>
          <w:rtl w:val="true"/>
        </w:rPr>
        <w:t>.</w:t>
      </w:r>
    </w:p>
  </w:footnote>
  <w:footnote w:id="2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19:282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دیات المنافع، الحدیث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بالمضمون</w:t>
      </w:r>
      <w:r>
        <w:rPr>
          <w:rFonts w:eastAsia="IRNazanin" w:cs="IRNazanin"/>
          <w:b w:val="false"/>
          <w:bCs w:val="false"/>
          <w:i w:val="false"/>
          <w:iCs w:val="false"/>
          <w:color w:val="333333"/>
          <w:sz w:val="20"/>
          <w:szCs w:val="20"/>
          <w:rtl w:val="true"/>
        </w:rPr>
        <w:t>.</w:t>
      </w:r>
    </w:p>
  </w:footnote>
  <w:footnote w:id="2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أطلق فی القواعد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ثبوت الیمین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ویشکل بما ذکرناه من الشکّ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یذکره غیره یمیناً مطلقاً، وإثباته حسنٌ حیث یمکن؛ لعموم الخبر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2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تخریجها فی الصفحة السابقة، الهامش رقم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4:1458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حرق</w:t>
      </w:r>
      <w:r>
        <w:rPr>
          <w:rFonts w:eastAsia="IRNazanin" w:cs="IRNazanin"/>
          <w:b w:val="false"/>
          <w:bCs w:val="false"/>
          <w:i w:val="false"/>
          <w:iCs w:val="false"/>
          <w:color w:val="333333"/>
          <w:sz w:val="20"/>
          <w:szCs w:val="20"/>
          <w:rtl w:val="true"/>
        </w:rPr>
        <w:t>) .</w:t>
      </w:r>
    </w:p>
  </w:footnote>
  <w:footnote w:id="2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العلّامة جازماً به فی کتبه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القواعد </w:t>
      </w:r>
      <w:r>
        <w:rPr>
          <w:rFonts w:eastAsia="IRNazanin" w:cs="IRNazanin"/>
          <w:b w:val="false"/>
          <w:bCs w:val="false"/>
          <w:i w:val="false"/>
          <w:iCs w:val="false"/>
          <w:color w:val="333333"/>
          <w:sz w:val="20"/>
          <w:szCs w:val="20"/>
        </w:rPr>
        <w:t>3:688</w:t>
      </w:r>
      <w:r>
        <w:rPr>
          <w:rFonts w:ascii="IRNazanin" w:hAnsi="IRNazanin" w:eastAsia="IRNazanin"/>
          <w:b w:val="false"/>
          <w:b w:val="false"/>
          <w:bCs w:val="false"/>
          <w:i w:val="false"/>
          <w:i w:val="false"/>
          <w:iCs w:val="false"/>
          <w:color w:val="333333"/>
          <w:sz w:val="20"/>
          <w:sz w:val="20"/>
          <w:szCs w:val="20"/>
          <w:rtl w:val="true"/>
        </w:rPr>
        <w:t xml:space="preserve">، والتحریر </w:t>
      </w:r>
      <w:r>
        <w:rPr>
          <w:rFonts w:eastAsia="IRNazanin" w:cs="IRNazanin"/>
          <w:b w:val="false"/>
          <w:bCs w:val="false"/>
          <w:i w:val="false"/>
          <w:iCs w:val="false"/>
          <w:color w:val="333333"/>
          <w:sz w:val="20"/>
          <w:szCs w:val="20"/>
        </w:rPr>
        <w:t>5:612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وتوقّف المحقّق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الشرائع </w:t>
      </w:r>
      <w:r>
        <w:rPr>
          <w:rFonts w:eastAsia="IRNazanin" w:cs="IRNazanin"/>
          <w:b w:val="false"/>
          <w:bCs w:val="false"/>
          <w:i w:val="false"/>
          <w:iCs w:val="false"/>
          <w:color w:val="333333"/>
          <w:sz w:val="20"/>
          <w:szCs w:val="20"/>
        </w:rPr>
        <w:t>4:274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کالمصنّف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 .</w:t>
      </w:r>
    </w:p>
  </w:footnote>
  <w:footnote w:id="2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ثقب الاُذن النافذ إلی الرأس</w:t>
      </w:r>
      <w:r>
        <w:rPr>
          <w:rFonts w:eastAsia="IRNazanin" w:cs="IRNazanin"/>
          <w:b w:val="false"/>
          <w:bCs w:val="false"/>
          <w:i w:val="false"/>
          <w:iCs w:val="false"/>
          <w:color w:val="333333"/>
          <w:sz w:val="20"/>
          <w:szCs w:val="20"/>
          <w:rtl w:val="true"/>
        </w:rPr>
        <w:t>.</w:t>
      </w:r>
    </w:p>
  </w:footnote>
  <w:footnote w:id="2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3:688</w:t>
      </w:r>
      <w:r>
        <w:rPr>
          <w:rFonts w:ascii="IRNazanin" w:hAnsi="IRNazanin" w:eastAsia="IRNazanin"/>
          <w:b w:val="false"/>
          <w:b w:val="false"/>
          <w:bCs w:val="false"/>
          <w:i w:val="false"/>
          <w:i w:val="false"/>
          <w:iCs w:val="false"/>
          <w:color w:val="333333"/>
          <w:sz w:val="20"/>
          <w:sz w:val="20"/>
          <w:szCs w:val="20"/>
          <w:rtl w:val="true"/>
        </w:rPr>
        <w:t xml:space="preserve">، والتحریر </w:t>
      </w:r>
      <w:r>
        <w:rPr>
          <w:rFonts w:eastAsia="IRNazanin" w:cs="IRNazanin"/>
          <w:b w:val="false"/>
          <w:bCs w:val="false"/>
          <w:i w:val="false"/>
          <w:iCs w:val="false"/>
          <w:color w:val="333333"/>
          <w:sz w:val="20"/>
          <w:szCs w:val="20"/>
        </w:rPr>
        <w:t>5:612</w:t>
      </w:r>
      <w:r>
        <w:rPr>
          <w:rFonts w:ascii="IRNazanin" w:hAnsi="IRNazanin" w:eastAsia="IRNazanin"/>
          <w:b w:val="false"/>
          <w:b w:val="false"/>
          <w:bCs w:val="false"/>
          <w:i w:val="false"/>
          <w:i w:val="false"/>
          <w:iCs w:val="false"/>
          <w:color w:val="333333"/>
          <w:sz w:val="20"/>
          <w:sz w:val="20"/>
          <w:szCs w:val="20"/>
          <w:rtl w:val="true"/>
        </w:rPr>
        <w:t xml:space="preserve">، والإرشاد </w:t>
      </w:r>
      <w:r>
        <w:rPr>
          <w:rFonts w:eastAsia="IRNazanin" w:cs="IRNazanin"/>
          <w:b w:val="false"/>
          <w:bCs w:val="false"/>
          <w:i w:val="false"/>
          <w:iCs w:val="false"/>
          <w:color w:val="333333"/>
          <w:sz w:val="20"/>
          <w:szCs w:val="20"/>
        </w:rPr>
        <w:t>2:243</w:t>
      </w:r>
      <w:r>
        <w:rPr>
          <w:rFonts w:eastAsia="IRNazanin" w:cs="IRNazanin"/>
          <w:b w:val="false"/>
          <w:bCs w:val="false"/>
          <w:i w:val="false"/>
          <w:iCs w:val="false"/>
          <w:color w:val="333333"/>
          <w:sz w:val="20"/>
          <w:szCs w:val="20"/>
          <w:rtl w:val="true"/>
        </w:rPr>
        <w:t>.</w:t>
      </w:r>
    </w:p>
  </w:footnote>
  <w:footnote w:id="2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کالشیخ فی المبسوط </w:t>
      </w:r>
      <w:r>
        <w:rPr>
          <w:rFonts w:eastAsia="IRNazanin" w:cs="IRNazanin"/>
          <w:b w:val="false"/>
          <w:bCs w:val="false"/>
          <w:i w:val="false"/>
          <w:iCs w:val="false"/>
          <w:color w:val="333333"/>
          <w:sz w:val="20"/>
          <w:szCs w:val="20"/>
        </w:rPr>
        <w:t>7:133</w:t>
      </w:r>
      <w:r>
        <w:rPr>
          <w:rFonts w:ascii="IRNazanin" w:hAnsi="IRNazanin" w:eastAsia="IRNazanin"/>
          <w:b w:val="false"/>
          <w:b w:val="false"/>
          <w:bCs w:val="false"/>
          <w:i w:val="false"/>
          <w:i w:val="false"/>
          <w:iCs w:val="false"/>
          <w:color w:val="333333"/>
          <w:sz w:val="20"/>
          <w:sz w:val="20"/>
          <w:szCs w:val="20"/>
          <w:rtl w:val="true"/>
        </w:rPr>
        <w:t>، وابن حمزة فی الوسیلة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 وابن إدریس فی السرائر </w:t>
      </w:r>
      <w:r>
        <w:rPr>
          <w:rFonts w:eastAsia="IRNazanin" w:cs="IRNazanin"/>
          <w:b w:val="false"/>
          <w:bCs w:val="false"/>
          <w:i w:val="false"/>
          <w:iCs w:val="false"/>
          <w:color w:val="333333"/>
          <w:sz w:val="20"/>
          <w:szCs w:val="20"/>
        </w:rPr>
        <w:t>3:383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2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19:217</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دیات الأعضاء،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2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التی قوبلت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وفی هامشها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أفزّه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أفزعه وأزعجه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سائر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الأثیر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الصَبِر، وهو الدواء المُرّ المعروف، راجع النهایة </w:t>
      </w:r>
      <w:r>
        <w:rPr>
          <w:rFonts w:eastAsia="IRNazanin" w:cs="IRNazanin"/>
          <w:b w:val="false"/>
          <w:bCs w:val="false"/>
          <w:i w:val="false"/>
          <w:iCs w:val="false"/>
          <w:color w:val="333333"/>
          <w:sz w:val="20"/>
          <w:szCs w:val="20"/>
        </w:rPr>
        <w:t>4:347</w:t>
      </w:r>
      <w:r>
        <w:rPr>
          <w:rFonts w:eastAsia="IRNazanin" w:cs="IRNazanin"/>
          <w:b w:val="false"/>
          <w:bCs w:val="false"/>
          <w:i w:val="false"/>
          <w:iCs w:val="false"/>
          <w:color w:val="333333"/>
          <w:sz w:val="20"/>
          <w:szCs w:val="20"/>
          <w:rtl w:val="true"/>
        </w:rPr>
        <w:t>.</w:t>
      </w:r>
    </w:p>
  </w:footnote>
  <w:footnote w:id="2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التحریر </w:t>
      </w:r>
      <w:r>
        <w:rPr>
          <w:rFonts w:eastAsia="IRNazanin" w:cs="IRNazanin"/>
          <w:b w:val="false"/>
          <w:bCs w:val="false"/>
          <w:i w:val="false"/>
          <w:iCs w:val="false"/>
          <w:color w:val="333333"/>
          <w:sz w:val="20"/>
          <w:szCs w:val="20"/>
        </w:rPr>
        <w:t>5:612</w:t>
      </w:r>
      <w:r>
        <w:rPr>
          <w:rFonts w:eastAsia="IRNazanin" w:cs="IRNazanin"/>
          <w:b w:val="false"/>
          <w:bCs w:val="false"/>
          <w:i w:val="false"/>
          <w:iCs w:val="false"/>
          <w:color w:val="333333"/>
          <w:sz w:val="20"/>
          <w:szCs w:val="20"/>
          <w:rtl w:val="true"/>
        </w:rPr>
        <w:t>.</w:t>
      </w:r>
    </w:p>
  </w:footnote>
  <w:footnote w:id="2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المُلحق هو العلّامة فی القواعد </w:t>
      </w:r>
      <w:r>
        <w:rPr>
          <w:rFonts w:eastAsia="IRNazanin" w:cs="IRNazanin"/>
          <w:b w:val="false"/>
          <w:bCs w:val="false"/>
          <w:i w:val="false"/>
          <w:iCs w:val="false"/>
          <w:color w:val="333333"/>
          <w:sz w:val="20"/>
          <w:szCs w:val="20"/>
        </w:rPr>
        <w:t>3:689</w:t>
      </w:r>
      <w:r>
        <w:rPr>
          <w:rFonts w:eastAsia="IRNazanin" w:cs="IRNazanin"/>
          <w:b w:val="false"/>
          <w:bCs w:val="false"/>
          <w:i w:val="false"/>
          <w:iCs w:val="false"/>
          <w:color w:val="333333"/>
          <w:sz w:val="20"/>
          <w:szCs w:val="20"/>
          <w:rtl w:val="true"/>
        </w:rPr>
        <w:t>.</w:t>
      </w:r>
    </w:p>
  </w:footnote>
  <w:footnote w:id="2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المجنیّ علیه</w:t>
      </w:r>
      <w:r>
        <w:rPr>
          <w:rFonts w:eastAsia="IRNazanin" w:cs="IRNazanin"/>
          <w:b w:val="false"/>
          <w:bCs w:val="false"/>
          <w:i w:val="false"/>
          <w:iCs w:val="false"/>
          <w:color w:val="333333"/>
          <w:sz w:val="20"/>
          <w:szCs w:val="20"/>
          <w:rtl w:val="true"/>
        </w:rPr>
        <w:t>.</w:t>
      </w:r>
    </w:p>
  </w:footnote>
  <w:footnote w:id="2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19:285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دیات المنافع،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غیاث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بتریّ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المسالک </w:t>
      </w:r>
      <w:r>
        <w:rPr>
          <w:rFonts w:eastAsia="IRNazanin" w:cs="IRNazanin"/>
          <w:b w:val="false"/>
          <w:bCs w:val="false"/>
          <w:i w:val="false"/>
          <w:iCs w:val="false"/>
          <w:color w:val="333333"/>
          <w:sz w:val="20"/>
          <w:szCs w:val="20"/>
        </w:rPr>
        <w:t>9:471</w:t>
      </w:r>
      <w:r>
        <w:rPr>
          <w:rFonts w:eastAsia="IRNazanin" w:cs="IRNazanin"/>
          <w:b w:val="false"/>
          <w:bCs w:val="false"/>
          <w:i w:val="false"/>
          <w:iCs w:val="false"/>
          <w:color w:val="333333"/>
          <w:sz w:val="20"/>
          <w:szCs w:val="20"/>
          <w:rtl w:val="true"/>
        </w:rPr>
        <w:t>.</w:t>
      </w:r>
    </w:p>
  </w:footnote>
  <w:footnote w:id="2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قاله الشیخ فی 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769</w:t>
      </w:r>
      <w:r>
        <w:rPr>
          <w:rFonts w:ascii="IRNazanin" w:hAnsi="IRNazanin" w:eastAsia="IRNazanin"/>
          <w:b w:val="false"/>
          <w:b w:val="false"/>
          <w:bCs w:val="false"/>
          <w:i w:val="false"/>
          <w:i w:val="false"/>
          <w:iCs w:val="false"/>
          <w:color w:val="333333"/>
          <w:sz w:val="20"/>
          <w:sz w:val="20"/>
          <w:szCs w:val="20"/>
          <w:rtl w:val="true"/>
        </w:rPr>
        <w:t>، وابن حمزة فی الوسیلة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xml:space="preserve">، وابن إدریس فی السرائر </w:t>
      </w:r>
      <w:r>
        <w:rPr>
          <w:rFonts w:eastAsia="IRNazanin" w:cs="IRNazanin"/>
          <w:b w:val="false"/>
          <w:bCs w:val="false"/>
          <w:i w:val="false"/>
          <w:iCs w:val="false"/>
          <w:color w:val="333333"/>
          <w:sz w:val="20"/>
          <w:szCs w:val="20"/>
        </w:rPr>
        <w:t>3:391</w:t>
      </w:r>
      <w:r>
        <w:rPr>
          <w:rFonts w:eastAsia="IRNazanin" w:cs="IRNazanin"/>
          <w:b w:val="false"/>
          <w:bCs w:val="false"/>
          <w:i w:val="false"/>
          <w:iCs w:val="false"/>
          <w:color w:val="333333"/>
          <w:sz w:val="20"/>
          <w:szCs w:val="20"/>
          <w:rtl w:val="true"/>
        </w:rPr>
        <w:t>.</w:t>
      </w:r>
    </w:p>
  </w:footnote>
  <w:footnote w:id="2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19:285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دیات المنافع،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3:689</w:t>
      </w:r>
      <w:r>
        <w:rPr>
          <w:rFonts w:eastAsia="IRNazanin" w:cs="IRNazanin"/>
          <w:b w:val="false"/>
          <w:bCs w:val="false"/>
          <w:i w:val="false"/>
          <w:iCs w:val="false"/>
          <w:color w:val="333333"/>
          <w:sz w:val="20"/>
          <w:szCs w:val="20"/>
          <w:rtl w:val="true"/>
        </w:rPr>
        <w:t>.</w:t>
      </w:r>
    </w:p>
  </w:footnote>
  <w:footnote w:id="2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للجلدة</w:t>
      </w:r>
      <w:r>
        <w:rPr>
          <w:rFonts w:eastAsia="IRNazanin" w:cs="IRNazanin"/>
          <w:b w:val="false"/>
          <w:bCs w:val="false"/>
          <w:i w:val="false"/>
          <w:iCs w:val="false"/>
          <w:color w:val="333333"/>
          <w:sz w:val="20"/>
          <w:szCs w:val="20"/>
          <w:rtl w:val="true"/>
        </w:rPr>
        <w:t>.</w:t>
      </w:r>
    </w:p>
  </w:footnote>
  <w:footnote w:id="2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قاله الشیخ فی 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775</w:t>
      </w:r>
      <w:r>
        <w:rPr>
          <w:rFonts w:ascii="IRNazanin" w:hAnsi="IRNazanin" w:eastAsia="IRNazanin"/>
          <w:b w:val="false"/>
          <w:b w:val="false"/>
          <w:bCs w:val="false"/>
          <w:i w:val="false"/>
          <w:i w:val="false"/>
          <w:iCs w:val="false"/>
          <w:color w:val="333333"/>
          <w:sz w:val="20"/>
          <w:sz w:val="20"/>
          <w:szCs w:val="20"/>
          <w:rtl w:val="true"/>
        </w:rPr>
        <w:t>، وابن زهرة فی الغنیة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وابن حمزة فی الوسیلة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2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19:293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دیات الشجاج والجراح، الحدیث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الحرصة شبه الخدش بعیر</w:t>
      </w:r>
      <w:r>
        <w:rPr>
          <w:rFonts w:eastAsia="IRNazanin" w:cs="IRNazanin"/>
          <w:b w:val="false"/>
          <w:bCs w:val="false"/>
          <w:i w:val="false"/>
          <w:iCs w:val="false"/>
          <w:color w:val="333333"/>
          <w:sz w:val="20"/>
          <w:szCs w:val="20"/>
          <w:rtl w:val="true"/>
        </w:rPr>
        <w:t>.</w:t>
      </w:r>
    </w:p>
  </w:footnote>
  <w:footnote w:id="2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المتقدّم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حِقَّة، وهی الإبل سنّها ثلاث سنین إلی أربع</w:t>
      </w:r>
      <w:r>
        <w:rPr>
          <w:rFonts w:eastAsia="IRNazanin" w:cs="IRNazanin"/>
          <w:b w:val="false"/>
          <w:bCs w:val="false"/>
          <w:i w:val="false"/>
          <w:iCs w:val="false"/>
          <w:color w:val="333333"/>
          <w:sz w:val="20"/>
          <w:szCs w:val="20"/>
          <w:rtl w:val="true"/>
        </w:rPr>
        <w:t>.</w:t>
      </w:r>
    </w:p>
  </w:footnote>
  <w:footnote w:id="2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خَلِفة، وهی الإبل طروقة الفحل</w:t>
      </w:r>
      <w:r>
        <w:rPr>
          <w:rFonts w:eastAsia="IRNazanin" w:cs="IRNazanin"/>
          <w:b w:val="false"/>
          <w:bCs w:val="false"/>
          <w:i w:val="false"/>
          <w:iCs w:val="false"/>
          <w:color w:val="333333"/>
          <w:sz w:val="20"/>
          <w:szCs w:val="20"/>
          <w:rtl w:val="true"/>
        </w:rPr>
        <w:t>.</w:t>
      </w:r>
    </w:p>
  </w:footnote>
  <w:footnote w:id="2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19:146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دیات النفس، الحدیث الأوّل</w:t>
      </w:r>
      <w:r>
        <w:rPr>
          <w:rFonts w:eastAsia="IRNazanin" w:cs="IRNazanin"/>
          <w:b w:val="false"/>
          <w:bCs w:val="false"/>
          <w:i w:val="false"/>
          <w:iCs w:val="false"/>
          <w:color w:val="333333"/>
          <w:sz w:val="20"/>
          <w:szCs w:val="20"/>
          <w:rtl w:val="true"/>
        </w:rPr>
        <w:t>.</w:t>
      </w:r>
    </w:p>
  </w:footnote>
  <w:footnote w:id="2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ما اختاره فی الدیة الکاملة، وقد مرّ أ نّها أربع وثلاثون ثنیّة، وثلاث وثلاثون بنت لبون، وثلاث وثلاثون حِقّة، راجع الصفحة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2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لا یتحقّق التوزیع بلا کسرٍ بما حرّره</w:t>
      </w:r>
      <w:r>
        <w:rPr>
          <w:rFonts w:eastAsia="IRNazanin" w:cs="IRNazanin"/>
          <w:b w:val="false"/>
          <w:bCs w:val="false"/>
          <w:i w:val="false"/>
          <w:iCs w:val="false"/>
          <w:color w:val="333333"/>
          <w:sz w:val="20"/>
          <w:szCs w:val="20"/>
          <w:rtl w:val="true"/>
        </w:rPr>
        <w:t>.</w:t>
      </w:r>
    </w:p>
  </w:footnote>
  <w:footnote w:id="2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وهی الخَلِفة تکون أزید سنّاً من الحِقّة</w:t>
      </w:r>
      <w:r>
        <w:rPr>
          <w:rFonts w:eastAsia="IRNazanin" w:cs="IRNazanin"/>
          <w:b w:val="false"/>
          <w:bCs w:val="false"/>
          <w:i w:val="false"/>
          <w:iCs w:val="false"/>
          <w:color w:val="333333"/>
          <w:sz w:val="20"/>
          <w:szCs w:val="20"/>
          <w:rtl w:val="true"/>
        </w:rPr>
        <w:t>.</w:t>
      </w:r>
    </w:p>
  </w:footnote>
  <w:footnote w:id="2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یوجد لدینا کتابه</w:t>
      </w:r>
      <w:r>
        <w:rPr>
          <w:rFonts w:eastAsia="IRNazanin" w:cs="IRNazanin"/>
          <w:b w:val="false"/>
          <w:bCs w:val="false"/>
          <w:i w:val="false"/>
          <w:iCs w:val="false"/>
          <w:color w:val="333333"/>
          <w:sz w:val="20"/>
          <w:szCs w:val="20"/>
          <w:rtl w:val="true"/>
        </w:rPr>
        <w:t>.</w:t>
      </w:r>
    </w:p>
  </w:footnote>
  <w:footnote w:id="2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5:1835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3:1015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فرش</w:t>
      </w:r>
      <w:r>
        <w:rPr>
          <w:rFonts w:eastAsia="IRNazanin" w:cs="IRNazanin"/>
          <w:b w:val="false"/>
          <w:bCs w:val="false"/>
          <w:i w:val="false"/>
          <w:iCs w:val="false"/>
          <w:color w:val="333333"/>
          <w:sz w:val="20"/>
          <w:szCs w:val="20"/>
          <w:rtl w:val="true"/>
        </w:rPr>
        <w:t>) .</w:t>
      </w:r>
    </w:p>
  </w:footnote>
  <w:footnote w:id="2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الوعاء</w:t>
      </w:r>
      <w:r>
        <w:rPr>
          <w:rFonts w:eastAsia="IRNazanin" w:cs="IRNazanin"/>
          <w:b w:val="false"/>
          <w:bCs w:val="false"/>
          <w:i w:val="false"/>
          <w:iCs w:val="false"/>
          <w:color w:val="333333"/>
          <w:sz w:val="20"/>
          <w:szCs w:val="20"/>
          <w:rtl w:val="true"/>
        </w:rPr>
        <w:t>.</w:t>
      </w:r>
    </w:p>
  </w:footnote>
  <w:footnote w:id="2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19:291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دیات الشجاج والجراح،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المتقدّم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19:291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دیات الشجاج والجراح، الأحادیث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المتقدّم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هو المحقّق فی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وقبله ابن إدریس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فإنّه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المأمومة ثلث دیة النفس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ثلاثة وثلاثون بعیراً فحسب بلا زیادة ولا نقصان إن کان من أصحاب الإبل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یلزمه من أصحابنا ثلث البعیر الذی یتکمّل به ثلث المئة بعیر التی هی دیة النفس؛ لأنّ روایاتهم هکذا مطلقة، وکذا تصنیفاتهم وإجماعهم منعقد علی هذا الإطلاق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ثلث الدیة من العین أو الورق علی السواء؛ لأنّ ذلک یتحدّد فیه الثلث ولا یتحدّد فی الإبل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 نظر لمنع الإجماع وعدم إمکان التحدید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صرّح جماعةٌ بوجوب الثلث أیضاً، وعلیه دلّ الخبر 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 .</w:t>
      </w:r>
    </w:p>
  </w:footnote>
  <w:footnote w:id="2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بینهما</w:t>
      </w:r>
      <w:r>
        <w:rPr>
          <w:rFonts w:eastAsia="IRNazanin" w:cs="IRNazanin"/>
          <w:b w:val="false"/>
          <w:bCs w:val="false"/>
          <w:i w:val="false"/>
          <w:iCs w:val="false"/>
          <w:color w:val="333333"/>
          <w:sz w:val="20"/>
          <w:szCs w:val="20"/>
          <w:rtl w:val="true"/>
        </w:rPr>
        <w:t>.</w:t>
      </w:r>
    </w:p>
  </w:footnote>
  <w:footnote w:id="2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فإن</w:t>
      </w:r>
      <w:r>
        <w:rPr>
          <w:rFonts w:eastAsia="IRNazanin" w:cs="IRNazanin"/>
          <w:b w:val="false"/>
          <w:bCs w:val="false"/>
          <w:i w:val="false"/>
          <w:iCs w:val="false"/>
          <w:color w:val="333333"/>
          <w:sz w:val="20"/>
          <w:szCs w:val="20"/>
          <w:rtl w:val="true"/>
        </w:rPr>
        <w:t>.</w:t>
      </w:r>
    </w:p>
  </w:footnote>
  <w:footnote w:id="2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العلّامة فی القواعد </w:t>
      </w:r>
      <w:r>
        <w:rPr>
          <w:rFonts w:eastAsia="IRNazanin" w:cs="IRNazanin"/>
          <w:b w:val="false"/>
          <w:bCs w:val="false"/>
          <w:i w:val="false"/>
          <w:iCs w:val="false"/>
          <w:color w:val="333333"/>
          <w:sz w:val="20"/>
          <w:szCs w:val="20"/>
        </w:rPr>
        <w:t>3:690</w:t>
      </w:r>
      <w:r>
        <w:rPr>
          <w:rFonts w:ascii="IRNazanin" w:hAnsi="IRNazanin" w:eastAsia="IRNazanin"/>
          <w:b w:val="false"/>
          <w:b w:val="false"/>
          <w:bCs w:val="false"/>
          <w:i w:val="false"/>
          <w:i w:val="false"/>
          <w:iCs w:val="false"/>
          <w:color w:val="333333"/>
          <w:sz w:val="20"/>
          <w:sz w:val="20"/>
          <w:szCs w:val="20"/>
          <w:rtl w:val="true"/>
        </w:rPr>
        <w:t xml:space="preserve">، وابن فهد الحلّی فی المهذّب البارع </w:t>
      </w:r>
      <w:r>
        <w:rPr>
          <w:rFonts w:eastAsia="IRNazanin" w:cs="IRNazanin"/>
          <w:b w:val="false"/>
          <w:bCs w:val="false"/>
          <w:i w:val="false"/>
          <w:iCs w:val="false"/>
          <w:color w:val="333333"/>
          <w:sz w:val="20"/>
          <w:szCs w:val="20"/>
        </w:rPr>
        <w:t>5:361</w:t>
      </w:r>
      <w:r>
        <w:rPr>
          <w:rFonts w:eastAsia="IRNazanin" w:cs="IRNazanin"/>
          <w:b w:val="false"/>
          <w:bCs w:val="false"/>
          <w:i w:val="false"/>
          <w:iCs w:val="false"/>
          <w:color w:val="333333"/>
          <w:sz w:val="20"/>
          <w:szCs w:val="20"/>
          <w:rtl w:val="true"/>
        </w:rPr>
        <w:t>.</w:t>
      </w:r>
    </w:p>
  </w:footnote>
  <w:footnote w:id="2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المأمومة</w:t>
      </w:r>
      <w:r>
        <w:rPr>
          <w:rFonts w:eastAsia="IRNazanin" w:cs="IRNazanin"/>
          <w:b w:val="false"/>
          <w:bCs w:val="false"/>
          <w:i w:val="false"/>
          <w:iCs w:val="false"/>
          <w:color w:val="333333"/>
          <w:sz w:val="20"/>
          <w:szCs w:val="20"/>
          <w:rtl w:val="true"/>
        </w:rPr>
        <w:t>.</w:t>
      </w:r>
    </w:p>
  </w:footnote>
  <w:footnote w:id="2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فیما صلحت وفسدت</w:t>
      </w:r>
      <w:r>
        <w:rPr>
          <w:rFonts w:eastAsia="IRNazanin" w:cs="IRNazanin"/>
          <w:b w:val="false"/>
          <w:bCs w:val="false"/>
          <w:i w:val="false"/>
          <w:iCs w:val="false"/>
          <w:color w:val="333333"/>
          <w:sz w:val="20"/>
          <w:szCs w:val="20"/>
          <w:rtl w:val="true"/>
        </w:rPr>
        <w:t>.</w:t>
      </w:r>
    </w:p>
  </w:footnote>
  <w:footnote w:id="2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19:221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دیات الأعضاء، الحدیث الأوّل</w:t>
      </w:r>
      <w:r>
        <w:rPr>
          <w:rFonts w:eastAsia="IRNazanin" w:cs="IRNazanin"/>
          <w:b w:val="false"/>
          <w:bCs w:val="false"/>
          <w:i w:val="false"/>
          <w:iCs w:val="false"/>
          <w:color w:val="333333"/>
          <w:sz w:val="20"/>
          <w:szCs w:val="20"/>
          <w:rtl w:val="true"/>
        </w:rPr>
        <w:t>.</w:t>
      </w:r>
    </w:p>
  </w:footnote>
  <w:footnote w:id="2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التحریر </w:t>
      </w:r>
      <w:r>
        <w:rPr>
          <w:rFonts w:eastAsia="IRNazanin" w:cs="IRNazanin"/>
          <w:b w:val="false"/>
          <w:bCs w:val="false"/>
          <w:i w:val="false"/>
          <w:iCs w:val="false"/>
          <w:color w:val="333333"/>
          <w:sz w:val="20"/>
          <w:szCs w:val="20"/>
        </w:rPr>
        <w:t>5:572</w:t>
      </w:r>
      <w:r>
        <w:rPr>
          <w:rFonts w:ascii="IRNazanin" w:hAnsi="IRNazanin" w:eastAsia="IRNazanin"/>
          <w:b w:val="false"/>
          <w:b w:val="false"/>
          <w:bCs w:val="false"/>
          <w:i w:val="false"/>
          <w:i w:val="false"/>
          <w:iCs w:val="false"/>
          <w:color w:val="333333"/>
          <w:sz w:val="20"/>
          <w:sz w:val="20"/>
          <w:szCs w:val="20"/>
          <w:rtl w:val="true"/>
        </w:rPr>
        <w:t xml:space="preserve">، والإرشاد </w:t>
      </w:r>
      <w:r>
        <w:rPr>
          <w:rFonts w:eastAsia="IRNazanin" w:cs="IRNazanin"/>
          <w:b w:val="false"/>
          <w:bCs w:val="false"/>
          <w:i w:val="false"/>
          <w:iCs w:val="false"/>
          <w:color w:val="333333"/>
          <w:sz w:val="20"/>
          <w:szCs w:val="20"/>
        </w:rPr>
        <w:t>2:245</w:t>
      </w:r>
      <w:r>
        <w:rPr>
          <w:rFonts w:eastAsia="IRNazanin" w:cs="IRNazanin"/>
          <w:b w:val="false"/>
          <w:bCs w:val="false"/>
          <w:i w:val="false"/>
          <w:iCs w:val="false"/>
          <w:color w:val="333333"/>
          <w:sz w:val="20"/>
          <w:szCs w:val="20"/>
          <w:rtl w:val="true"/>
        </w:rPr>
        <w:t>.</w:t>
      </w:r>
    </w:p>
  </w:footnote>
  <w:footnote w:id="2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دیتهما</w:t>
      </w:r>
      <w:r>
        <w:rPr>
          <w:rFonts w:eastAsia="IRNazanin" w:cs="IRNazanin"/>
          <w:b w:val="false"/>
          <w:bCs w:val="false"/>
          <w:i w:val="false"/>
          <w:iCs w:val="false"/>
          <w:color w:val="333333"/>
          <w:sz w:val="20"/>
          <w:szCs w:val="20"/>
          <w:rtl w:val="true"/>
        </w:rPr>
        <w:t>.</w:t>
      </w:r>
    </w:p>
  </w:footnote>
  <w:footnote w:id="2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فخمسهما</w:t>
      </w:r>
      <w:r>
        <w:rPr>
          <w:rFonts w:eastAsia="IRNazanin" w:cs="IRNazanin"/>
          <w:b w:val="false"/>
          <w:bCs w:val="false"/>
          <w:i w:val="false"/>
          <w:iCs w:val="false"/>
          <w:color w:val="333333"/>
          <w:sz w:val="20"/>
          <w:szCs w:val="20"/>
          <w:rtl w:val="true"/>
        </w:rPr>
        <w:t>.</w:t>
      </w:r>
    </w:p>
  </w:footnote>
  <w:footnote w:id="2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19:221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دیات الأعضاء، الحدیث الأوّل</w:t>
      </w:r>
      <w:r>
        <w:rPr>
          <w:rFonts w:eastAsia="IRNazanin" w:cs="IRNazanin"/>
          <w:b w:val="false"/>
          <w:bCs w:val="false"/>
          <w:i w:val="false"/>
          <w:iCs w:val="false"/>
          <w:color w:val="333333"/>
          <w:sz w:val="20"/>
          <w:szCs w:val="20"/>
          <w:rtl w:val="true"/>
        </w:rPr>
        <w:t>.</w:t>
      </w:r>
    </w:p>
  </w:footnote>
  <w:footnote w:id="2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19:295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دیات الشجاج والجراح، الحدیث الأوّل</w:t>
      </w:r>
      <w:r>
        <w:rPr>
          <w:rFonts w:eastAsia="IRNazanin" w:cs="IRNazanin"/>
          <w:b w:val="false"/>
          <w:bCs w:val="false"/>
          <w:i w:val="false"/>
          <w:iCs w:val="false"/>
          <w:color w:val="333333"/>
          <w:sz w:val="20"/>
          <w:szCs w:val="20"/>
          <w:rtl w:val="true"/>
        </w:rPr>
        <w:t>.</w:t>
      </w:r>
    </w:p>
  </w:footnote>
  <w:footnote w:id="2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نصف الوجه</w:t>
      </w:r>
      <w:r>
        <w:rPr>
          <w:rFonts w:eastAsia="IRNazanin" w:cs="IRNazanin"/>
          <w:b w:val="false"/>
          <w:bCs w:val="false"/>
          <w:i w:val="false"/>
          <w:iCs w:val="false"/>
          <w:color w:val="333333"/>
          <w:sz w:val="20"/>
          <w:szCs w:val="20"/>
          <w:rtl w:val="true"/>
        </w:rPr>
        <w:t>.</w:t>
      </w:r>
    </w:p>
  </w:footnote>
  <w:footnote w:id="2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واجدة له بروایة الصدوق، راجع الفقیه </w:t>
      </w:r>
      <w:r>
        <w:rPr>
          <w:rFonts w:eastAsia="IRNazanin" w:cs="IRNazanin"/>
          <w:b w:val="false"/>
          <w:bCs w:val="false"/>
          <w:i w:val="false"/>
          <w:iCs w:val="false"/>
          <w:color w:val="333333"/>
          <w:sz w:val="20"/>
          <w:szCs w:val="20"/>
        </w:rPr>
        <w:t>4:158</w:t>
      </w:r>
      <w:r>
        <w:rPr>
          <w:rFonts w:eastAsia="IRNazanin" w:cs="IRNazanin"/>
          <w:b w:val="false"/>
          <w:bCs w:val="false"/>
          <w:i w:val="false"/>
          <w:iCs w:val="false"/>
          <w:color w:val="333333"/>
          <w:sz w:val="20"/>
          <w:szCs w:val="20"/>
          <w:rtl w:val="true"/>
        </w:rPr>
        <w:t>.</w:t>
      </w:r>
    </w:p>
  </w:footnote>
  <w:footnote w:id="2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عرفاً</w:t>
      </w:r>
      <w:r>
        <w:rPr>
          <w:rFonts w:eastAsia="IRNazanin" w:cs="IRNazanin"/>
          <w:b w:val="false"/>
          <w:bCs w:val="false"/>
          <w:i w:val="false"/>
          <w:iCs w:val="false"/>
          <w:color w:val="333333"/>
          <w:sz w:val="20"/>
          <w:szCs w:val="20"/>
          <w:rtl w:val="true"/>
        </w:rPr>
        <w:t>.</w:t>
      </w:r>
    </w:p>
  </w:footnote>
  <w:footnote w:id="2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علی قائله، نعم اختاره هو فی حاشیة الإرشاد، راجع غایة المراد </w:t>
      </w:r>
      <w:r>
        <w:rPr>
          <w:rFonts w:eastAsia="IRNazanin" w:cs="IRNazanin"/>
          <w:b w:val="false"/>
          <w:bCs w:val="false"/>
          <w:i w:val="false"/>
          <w:iCs w:val="false"/>
          <w:color w:val="333333"/>
          <w:sz w:val="20"/>
          <w:szCs w:val="20"/>
        </w:rPr>
        <w:t>4:559</w:t>
      </w:r>
      <w:r>
        <w:rPr>
          <w:rFonts w:eastAsia="IRNazanin" w:cs="IRNazanin"/>
          <w:b w:val="false"/>
          <w:bCs w:val="false"/>
          <w:i w:val="false"/>
          <w:iCs w:val="false"/>
          <w:color w:val="333333"/>
          <w:sz w:val="20"/>
          <w:szCs w:val="20"/>
          <w:rtl w:val="true"/>
        </w:rPr>
        <w:t>.</w:t>
      </w:r>
    </w:p>
  </w:footnote>
  <w:footnote w:id="2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ضعفه بإسحاق بن عمّار، فإنّه وإن کان ثقة لکنّه فطحی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المسالک </w:t>
      </w:r>
      <w:r>
        <w:rPr>
          <w:rFonts w:eastAsia="IRNazanin" w:cs="IRNazanin"/>
          <w:b w:val="false"/>
          <w:bCs w:val="false"/>
          <w:i w:val="false"/>
          <w:iCs w:val="false"/>
          <w:color w:val="333333"/>
          <w:sz w:val="20"/>
          <w:szCs w:val="20"/>
        </w:rPr>
        <w:t>13:267</w:t>
      </w:r>
      <w:r>
        <w:rPr>
          <w:rFonts w:eastAsia="IRNazanin" w:cs="IRNazanin"/>
          <w:b w:val="false"/>
          <w:bCs w:val="false"/>
          <w:i w:val="false"/>
          <w:iCs w:val="false"/>
          <w:color w:val="333333"/>
          <w:sz w:val="20"/>
          <w:szCs w:val="20"/>
          <w:rtl w:val="true"/>
        </w:rPr>
        <w:t>.</w:t>
      </w:r>
    </w:p>
  </w:footnote>
  <w:footnote w:id="2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الأصابع</w:t>
      </w:r>
      <w:r>
        <w:rPr>
          <w:rFonts w:eastAsia="IRNazanin" w:cs="IRNazanin"/>
          <w:b w:val="false"/>
          <w:bCs w:val="false"/>
          <w:i w:val="false"/>
          <w:iCs w:val="false"/>
          <w:color w:val="333333"/>
          <w:sz w:val="20"/>
          <w:szCs w:val="20"/>
          <w:rtl w:val="true"/>
        </w:rPr>
        <w:t>.</w:t>
      </w:r>
    </w:p>
  </w:footnote>
  <w:footnote w:id="2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10:308</w:t>
      </w:r>
      <w:r>
        <w:rPr>
          <w:rFonts w:ascii="IRNazanin" w:hAnsi="IRNazanin" w:eastAsia="IRNazanin"/>
          <w:b w:val="false"/>
          <w:b w:val="false"/>
          <w:bCs w:val="false"/>
          <w:i w:val="false"/>
          <w:i w:val="false"/>
          <w:iCs w:val="false"/>
          <w:color w:val="333333"/>
          <w:sz w:val="20"/>
          <w:sz w:val="20"/>
          <w:szCs w:val="20"/>
          <w:rtl w:val="true"/>
        </w:rPr>
        <w:t xml:space="preserve">، ذیل الحدیث </w:t>
      </w:r>
      <w:r>
        <w:rPr>
          <w:rFonts w:eastAsia="IRNazanin" w:cs="IRNazanin"/>
          <w:b w:val="false"/>
          <w:bCs w:val="false"/>
          <w:i w:val="false"/>
          <w:iCs w:val="false"/>
          <w:color w:val="333333"/>
          <w:sz w:val="20"/>
          <w:szCs w:val="20"/>
        </w:rPr>
        <w:t>1148</w:t>
      </w:r>
      <w:r>
        <w:rPr>
          <w:rFonts w:eastAsia="IRNazanin" w:cs="IRNazanin"/>
          <w:b w:val="false"/>
          <w:bCs w:val="false"/>
          <w:i w:val="false"/>
          <w:iCs w:val="false"/>
          <w:color w:val="333333"/>
          <w:sz w:val="20"/>
          <w:szCs w:val="20"/>
          <w:rtl w:val="true"/>
        </w:rPr>
        <w:t>.</w:t>
      </w:r>
    </w:p>
  </w:footnote>
  <w:footnote w:id="2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کالمحقّق فی الشرائع </w:t>
      </w:r>
      <w:r>
        <w:rPr>
          <w:rFonts w:eastAsia="IRNazanin" w:cs="IRNazanin"/>
          <w:b w:val="false"/>
          <w:bCs w:val="false"/>
          <w:i w:val="false"/>
          <w:iCs w:val="false"/>
          <w:color w:val="333333"/>
          <w:sz w:val="20"/>
          <w:szCs w:val="20"/>
        </w:rPr>
        <w:t>4:278</w:t>
      </w:r>
      <w:r>
        <w:rPr>
          <w:rFonts w:ascii="IRNazanin" w:hAnsi="IRNazanin" w:eastAsia="IRNazanin"/>
          <w:b w:val="false"/>
          <w:b w:val="false"/>
          <w:bCs w:val="false"/>
          <w:i w:val="false"/>
          <w:i w:val="false"/>
          <w:iCs w:val="false"/>
          <w:color w:val="333333"/>
          <w:sz w:val="20"/>
          <w:sz w:val="20"/>
          <w:szCs w:val="20"/>
          <w:rtl w:val="true"/>
        </w:rPr>
        <w:t>، والمختصر النافع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ویحیی بن سعید فی الجامع للشرائع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601</w:t>
      </w:r>
      <w:r>
        <w:rPr>
          <w:rFonts w:ascii="IRNazanin" w:hAnsi="IRNazanin" w:eastAsia="IRNazanin"/>
          <w:b w:val="false"/>
          <w:b w:val="false"/>
          <w:bCs w:val="false"/>
          <w:i w:val="false"/>
          <w:i w:val="false"/>
          <w:iCs w:val="false"/>
          <w:color w:val="333333"/>
          <w:sz w:val="20"/>
          <w:sz w:val="20"/>
          <w:szCs w:val="20"/>
          <w:rtl w:val="true"/>
        </w:rPr>
        <w:t xml:space="preserve">، والعلّامة فی الإرشاد </w:t>
      </w:r>
      <w:r>
        <w:rPr>
          <w:rFonts w:eastAsia="IRNazanin" w:cs="IRNazanin"/>
          <w:b w:val="false"/>
          <w:bCs w:val="false"/>
          <w:i w:val="false"/>
          <w:iCs w:val="false"/>
          <w:color w:val="333333"/>
          <w:sz w:val="20"/>
          <w:szCs w:val="20"/>
        </w:rPr>
        <w:t>2:245</w:t>
      </w:r>
      <w:r>
        <w:rPr>
          <w:rFonts w:eastAsia="IRNazanin" w:cs="IRNazanin"/>
          <w:b w:val="false"/>
          <w:bCs w:val="false"/>
          <w:i w:val="false"/>
          <w:iCs w:val="false"/>
          <w:color w:val="333333"/>
          <w:sz w:val="20"/>
          <w:szCs w:val="20"/>
          <w:rtl w:val="true"/>
        </w:rPr>
        <w:t>.</w:t>
      </w:r>
    </w:p>
  </w:footnote>
  <w:footnote w:id="2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مستنده کتاب ظریف، وقد عرفت حاله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 .</w:t>
      </w:r>
    </w:p>
  </w:footnote>
  <w:footnote w:id="2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w:t>
      </w:r>
      <w:r>
        <w:rPr>
          <w:rFonts w:eastAsia="IRNazanin" w:cs="IRNazanin"/>
          <w:b w:val="false"/>
          <w:bCs w:val="false"/>
          <w:i w:val="false"/>
          <w:iCs w:val="false"/>
          <w:color w:val="333333"/>
          <w:sz w:val="20"/>
          <w:szCs w:val="20"/>
          <w:rtl w:val="true"/>
        </w:rPr>
        <w:t>.</w:t>
      </w:r>
    </w:p>
  </w:footnote>
  <w:footnote w:id="2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2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w:t>
      </w:r>
      <w:r>
        <w:rPr>
          <w:rFonts w:eastAsia="IRNazanin" w:cs="IRNazanin"/>
          <w:b w:val="false"/>
          <w:bCs w:val="false"/>
          <w:i w:val="false"/>
          <w:iCs w:val="false"/>
          <w:color w:val="333333"/>
          <w:sz w:val="20"/>
          <w:szCs w:val="20"/>
          <w:rtl w:val="true"/>
        </w:rPr>
        <w:t>.</w:t>
      </w:r>
    </w:p>
  </w:footnote>
  <w:footnote w:id="2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السَلْعَة والسَلَعة والسِلَعة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زیادة فی البدن، کالغدّة ونحوها</w:t>
      </w:r>
      <w:r>
        <w:rPr>
          <w:rFonts w:eastAsia="IRNazanin" w:cs="IRNazanin"/>
          <w:b w:val="false"/>
          <w:bCs w:val="false"/>
          <w:i w:val="false"/>
          <w:iCs w:val="false"/>
          <w:color w:val="333333"/>
          <w:sz w:val="20"/>
          <w:szCs w:val="20"/>
          <w:rtl w:val="true"/>
        </w:rPr>
        <w:t>.</w:t>
      </w:r>
    </w:p>
  </w:footnote>
  <w:footnote w:id="2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قطعه من العبد لا یوجب النقصان فی القیمة، بل یزید فیها</w:t>
      </w:r>
      <w:r>
        <w:rPr>
          <w:rFonts w:eastAsia="IRNazanin" w:cs="IRNazanin"/>
          <w:b w:val="false"/>
          <w:bCs w:val="false"/>
          <w:i w:val="false"/>
          <w:iCs w:val="false"/>
          <w:color w:val="333333"/>
          <w:sz w:val="20"/>
          <w:szCs w:val="20"/>
          <w:rtl w:val="true"/>
        </w:rPr>
        <w:t>.</w:t>
      </w:r>
    </w:p>
  </w:footnote>
  <w:footnote w:id="2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الرجوع إلی دیة الحرّ، راجع الصفحة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2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739</w:t>
      </w:r>
      <w:r>
        <w:rPr>
          <w:rFonts w:eastAsia="IRNazanin" w:cs="IRNazanin"/>
          <w:b w:val="false"/>
          <w:bCs w:val="false"/>
          <w:i w:val="false"/>
          <w:iCs w:val="false"/>
          <w:color w:val="333333"/>
          <w:sz w:val="20"/>
          <w:szCs w:val="20"/>
          <w:rtl w:val="true"/>
        </w:rPr>
        <w:t>.</w:t>
      </w:r>
    </w:p>
  </w:footnote>
  <w:footnote w:id="2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القاضی فی المهذّب </w:t>
      </w:r>
      <w:r>
        <w:rPr>
          <w:rFonts w:eastAsia="IRNazanin" w:cs="IRNazanin"/>
          <w:b w:val="false"/>
          <w:bCs w:val="false"/>
          <w:i w:val="false"/>
          <w:iCs w:val="false"/>
          <w:color w:val="333333"/>
          <w:sz w:val="20"/>
          <w:szCs w:val="20"/>
        </w:rPr>
        <w:t>2:460</w:t>
      </w:r>
      <w:r>
        <w:rPr>
          <w:rFonts w:ascii="IRNazanin" w:hAnsi="IRNazanin" w:eastAsia="IRNazanin"/>
          <w:b w:val="false"/>
          <w:b w:val="false"/>
          <w:bCs w:val="false"/>
          <w:i w:val="false"/>
          <w:i w:val="false"/>
          <w:iCs w:val="false"/>
          <w:color w:val="333333"/>
          <w:sz w:val="20"/>
          <w:sz w:val="20"/>
          <w:szCs w:val="20"/>
          <w:rtl w:val="true"/>
        </w:rPr>
        <w:t>، وابن زهرة فی الغنیة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2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4:280</w:t>
      </w:r>
      <w:r>
        <w:rPr>
          <w:rFonts w:eastAsia="IRNazanin" w:cs="IRNazanin"/>
          <w:b w:val="false"/>
          <w:bCs w:val="false"/>
          <w:i w:val="false"/>
          <w:iCs w:val="false"/>
          <w:color w:val="333333"/>
          <w:sz w:val="20"/>
          <w:szCs w:val="20"/>
          <w:rtl w:val="true"/>
        </w:rPr>
        <w:t>.</w:t>
      </w:r>
    </w:p>
  </w:footnote>
  <w:footnote w:id="2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2:246</w:t>
      </w:r>
      <w:r>
        <w:rPr>
          <w:rFonts w:ascii="IRNazanin" w:hAnsi="IRNazanin" w:eastAsia="IRNazanin"/>
          <w:b w:val="false"/>
          <w:b w:val="false"/>
          <w:bCs w:val="false"/>
          <w:i w:val="false"/>
          <w:i w:val="false"/>
          <w:iCs w:val="false"/>
          <w:color w:val="333333"/>
          <w:sz w:val="20"/>
          <w:sz w:val="20"/>
          <w:szCs w:val="20"/>
          <w:rtl w:val="true"/>
        </w:rPr>
        <w:t xml:space="preserve">، والقواعد </w:t>
      </w:r>
      <w:r>
        <w:rPr>
          <w:rFonts w:eastAsia="IRNazanin" w:cs="IRNazanin"/>
          <w:b w:val="false"/>
          <w:bCs w:val="false"/>
          <w:i w:val="false"/>
          <w:iCs w:val="false"/>
          <w:color w:val="333333"/>
          <w:sz w:val="20"/>
          <w:szCs w:val="20"/>
        </w:rPr>
        <w:t>3:692</w:t>
      </w:r>
      <w:r>
        <w:rPr>
          <w:rFonts w:eastAsia="IRNazanin" w:cs="IRNazanin"/>
          <w:b w:val="false"/>
          <w:bCs w:val="false"/>
          <w:i w:val="false"/>
          <w:iCs w:val="false"/>
          <w:color w:val="333333"/>
          <w:sz w:val="20"/>
          <w:szCs w:val="20"/>
          <w:rtl w:val="true"/>
        </w:rPr>
        <w:t>.</w:t>
      </w:r>
    </w:p>
  </w:footnote>
  <w:footnote w:id="2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19:93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القصاص فی النفس،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3:336</w:t>
      </w:r>
      <w:r>
        <w:rPr>
          <w:rFonts w:eastAsia="IRNazanin" w:cs="IRNazanin"/>
          <w:b w:val="false"/>
          <w:bCs w:val="false"/>
          <w:i w:val="false"/>
          <w:iCs w:val="false"/>
          <w:color w:val="333333"/>
          <w:sz w:val="20"/>
          <w:szCs w:val="20"/>
          <w:rtl w:val="true"/>
        </w:rPr>
        <w:t>.</w:t>
      </w:r>
    </w:p>
  </w:footnote>
  <w:footnote w:id="2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الجزء الثالث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19:237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دیات الأعضاء</w:t>
      </w:r>
      <w:r>
        <w:rPr>
          <w:rFonts w:eastAsia="IRNazanin" w:cs="IRNazanin"/>
          <w:b w:val="false"/>
          <w:bCs w:val="false"/>
          <w:i w:val="false"/>
          <w:iCs w:val="false"/>
          <w:color w:val="333333"/>
          <w:sz w:val="20"/>
          <w:szCs w:val="20"/>
          <w:rtl w:val="true"/>
        </w:rPr>
        <w:t>.</w:t>
      </w:r>
    </w:p>
  </w:footnote>
  <w:footnote w:id="2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المتقدّم،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الشیخ فی المبسوط </w:t>
      </w:r>
      <w:r>
        <w:rPr>
          <w:rFonts w:eastAsia="IRNazanin" w:cs="IRNazanin"/>
          <w:b w:val="false"/>
          <w:bCs w:val="false"/>
          <w:i w:val="false"/>
          <w:iCs w:val="false"/>
          <w:color w:val="333333"/>
          <w:sz w:val="20"/>
          <w:szCs w:val="20"/>
        </w:rPr>
        <w:t>7:196</w:t>
      </w:r>
      <w:r>
        <w:rPr>
          <w:rFonts w:ascii="IRNazanin" w:hAnsi="IRNazanin" w:eastAsia="IRNazanin"/>
          <w:b w:val="false"/>
          <w:b w:val="false"/>
          <w:bCs w:val="false"/>
          <w:i w:val="false"/>
          <w:i w:val="false"/>
          <w:iCs w:val="false"/>
          <w:color w:val="333333"/>
          <w:sz w:val="20"/>
          <w:sz w:val="20"/>
          <w:szCs w:val="20"/>
          <w:rtl w:val="true"/>
        </w:rPr>
        <w:t xml:space="preserve">، والخلاف </w:t>
      </w:r>
      <w:r>
        <w:rPr>
          <w:rFonts w:eastAsia="IRNazanin" w:cs="IRNazanin"/>
          <w:b w:val="false"/>
          <w:bCs w:val="false"/>
          <w:i w:val="false"/>
          <w:iCs w:val="false"/>
          <w:color w:val="333333"/>
          <w:sz w:val="20"/>
          <w:szCs w:val="20"/>
        </w:rPr>
        <w:t>4:113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19:243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دیات الأعضاء،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المتقدّم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من نکاح صحیح علی مذهبه حتّی یلحق به، وإلّا فلا دیة</w:t>
      </w:r>
      <w:r>
        <w:rPr>
          <w:rFonts w:eastAsia="IRNazanin" w:cs="IRNazanin"/>
          <w:b w:val="false"/>
          <w:bCs w:val="false"/>
          <w:i w:val="false"/>
          <w:iCs w:val="false"/>
          <w:color w:val="333333"/>
          <w:sz w:val="20"/>
          <w:szCs w:val="20"/>
          <w:rtl w:val="true"/>
        </w:rPr>
        <w:t>.</w:t>
      </w:r>
    </w:p>
  </w:footnote>
  <w:footnote w:id="2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وهی روایة النوفلی عن السکونی، راجع الوسائل </w:t>
      </w:r>
      <w:r>
        <w:rPr>
          <w:rFonts w:eastAsia="IRNazanin" w:cs="IRNazanin"/>
          <w:b w:val="false"/>
          <w:bCs w:val="false"/>
          <w:i w:val="false"/>
          <w:iCs w:val="false"/>
          <w:color w:val="333333"/>
          <w:sz w:val="20"/>
          <w:szCs w:val="20"/>
        </w:rPr>
        <w:t>19:166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دیات النفس،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وضعفها بالسکونی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المسالک </w:t>
      </w:r>
      <w:r>
        <w:rPr>
          <w:rFonts w:eastAsia="IRNazanin" w:cs="IRNazanin"/>
          <w:b w:val="false"/>
          <w:bCs w:val="false"/>
          <w:i w:val="false"/>
          <w:iCs w:val="false"/>
          <w:color w:val="333333"/>
          <w:sz w:val="20"/>
          <w:szCs w:val="20"/>
        </w:rPr>
        <w:t>11:99</w:t>
      </w:r>
      <w:r>
        <w:rPr>
          <w:rFonts w:eastAsia="IRNazanin" w:cs="IRNazanin"/>
          <w:b w:val="false"/>
          <w:bCs w:val="false"/>
          <w:i w:val="false"/>
          <w:iCs w:val="false"/>
          <w:color w:val="333333"/>
          <w:sz w:val="20"/>
          <w:szCs w:val="20"/>
          <w:rtl w:val="true"/>
        </w:rPr>
        <w:t>.</w:t>
      </w:r>
    </w:p>
  </w:footnote>
  <w:footnote w:id="2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 والمناسب تأنیث الضمیر</w:t>
      </w:r>
      <w:r>
        <w:rPr>
          <w:rFonts w:eastAsia="IRNazanin" w:cs="IRNazanin"/>
          <w:b w:val="false"/>
          <w:bCs w:val="false"/>
          <w:i w:val="false"/>
          <w:iCs w:val="false"/>
          <w:color w:val="333333"/>
          <w:sz w:val="20"/>
          <w:szCs w:val="20"/>
          <w:rtl w:val="true"/>
        </w:rPr>
        <w:t>.</w:t>
      </w:r>
    </w:p>
  </w:footnote>
  <w:footnote w:id="2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19:169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دیات النفس، وفیه حدیث واحد، وفیه عن ابن مسکان</w:t>
      </w:r>
      <w:r>
        <w:rPr>
          <w:rFonts w:eastAsia="IRNazanin" w:cs="IRNazanin"/>
          <w:b w:val="false"/>
          <w:bCs w:val="false"/>
          <w:i w:val="false"/>
          <w:iCs w:val="false"/>
          <w:color w:val="333333"/>
          <w:sz w:val="20"/>
          <w:szCs w:val="20"/>
          <w:rtl w:val="true"/>
        </w:rPr>
        <w:t>.</w:t>
      </w:r>
    </w:p>
  </w:footnote>
  <w:footnote w:id="2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19:237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دیات الأعضاء، الحدیث الأوّل</w:t>
      </w:r>
      <w:r>
        <w:rPr>
          <w:rFonts w:eastAsia="IRNazanin" w:cs="IRNazanin"/>
          <w:b w:val="false"/>
          <w:bCs w:val="false"/>
          <w:i w:val="false"/>
          <w:iCs w:val="false"/>
          <w:color w:val="333333"/>
          <w:sz w:val="20"/>
          <w:szCs w:val="20"/>
          <w:rtl w:val="true"/>
        </w:rPr>
        <w:t>.</w:t>
      </w:r>
    </w:p>
  </w:footnote>
  <w:footnote w:id="2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بالقرعة ابن إدریس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ومدّعی الإجماع الشیخ فی الخلاف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5:294</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 .</w:t>
      </w:r>
    </w:p>
  </w:footnote>
  <w:footnote w:id="2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بالقرعة ابن إدریس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ومدّعی الإجماع الشیخ فی الخلاف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5:294</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 .</w:t>
      </w:r>
    </w:p>
  </w:footnote>
  <w:footnote w:id="2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العلّامة فی التحریر </w:t>
      </w:r>
      <w:r>
        <w:rPr>
          <w:rFonts w:eastAsia="IRNazanin" w:cs="IRNazanin"/>
          <w:b w:val="false"/>
          <w:bCs w:val="false"/>
          <w:i w:val="false"/>
          <w:iCs w:val="false"/>
          <w:color w:val="333333"/>
          <w:sz w:val="20"/>
          <w:szCs w:val="20"/>
        </w:rPr>
        <w:t>5:635</w:t>
      </w:r>
      <w:r>
        <w:rPr>
          <w:rFonts w:eastAsia="IRNazanin" w:cs="IRNazanin"/>
          <w:b w:val="false"/>
          <w:bCs w:val="false"/>
          <w:i w:val="false"/>
          <w:iCs w:val="false"/>
          <w:color w:val="333333"/>
          <w:sz w:val="20"/>
          <w:szCs w:val="20"/>
          <w:rtl w:val="true"/>
        </w:rPr>
        <w:t>.</w:t>
      </w:r>
    </w:p>
  </w:footnote>
  <w:footnote w:id="2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یرث الجنینَ، والمراد دیته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ر</w:t>
      </w:r>
      <w:r>
        <w:rPr>
          <w:rFonts w:eastAsia="IRNazanin" w:cs="IRNazanin"/>
          <w:b w:val="false"/>
          <w:bCs w:val="false"/>
          <w:i w:val="false"/>
          <w:iCs w:val="false"/>
          <w:color w:val="333333"/>
          <w:sz w:val="20"/>
          <w:szCs w:val="20"/>
          <w:rtl w:val="true"/>
        </w:rPr>
        <w:t>) .</w:t>
      </w:r>
    </w:p>
  </w:footnote>
  <w:footnote w:id="2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19:247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دیات الأعضاء</w:t>
      </w:r>
      <w:r>
        <w:rPr>
          <w:rFonts w:eastAsia="IRNazanin" w:cs="IRNazanin"/>
          <w:b w:val="false"/>
          <w:bCs w:val="false"/>
          <w:i w:val="false"/>
          <w:iCs w:val="false"/>
          <w:color w:val="333333"/>
          <w:sz w:val="20"/>
          <w:szCs w:val="20"/>
          <w:rtl w:val="true"/>
        </w:rPr>
        <w:t>.</w:t>
      </w:r>
    </w:p>
  </w:footnote>
  <w:footnote w:id="2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المتقدّم،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الحسین بن خالد</w:t>
      </w:r>
      <w:r>
        <w:rPr>
          <w:rFonts w:eastAsia="IRNazanin" w:cs="IRNazanin"/>
          <w:b w:val="false"/>
          <w:bCs w:val="false"/>
          <w:i w:val="false"/>
          <w:iCs w:val="false"/>
          <w:color w:val="333333"/>
          <w:sz w:val="20"/>
          <w:szCs w:val="20"/>
          <w:rtl w:val="true"/>
        </w:rPr>
        <w:t>.</w:t>
      </w:r>
    </w:p>
  </w:footnote>
  <w:footnote w:id="2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7:347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باب الرجل یقطع رأس المیّت، الحدیث الأوّل</w:t>
      </w:r>
      <w:r>
        <w:rPr>
          <w:rFonts w:eastAsia="IRNazanin" w:cs="IRNazanin"/>
          <w:b w:val="false"/>
          <w:bCs w:val="false"/>
          <w:i w:val="false"/>
          <w:iCs w:val="false"/>
          <w:color w:val="333333"/>
          <w:sz w:val="20"/>
          <w:szCs w:val="20"/>
          <w:rtl w:val="true"/>
        </w:rPr>
        <w:t>.</w:t>
      </w:r>
    </w:p>
  </w:footnote>
  <w:footnote w:id="2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19:247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دیات الأعضاء،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2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وهی واقعة بعض موالی المنصور</w:t>
      </w:r>
      <w:r>
        <w:rPr>
          <w:rFonts w:eastAsia="IRNazanin" w:cs="IRNazanin"/>
          <w:b w:val="false"/>
          <w:bCs w:val="false"/>
          <w:i w:val="false"/>
          <w:iCs w:val="false"/>
          <w:color w:val="333333"/>
          <w:sz w:val="20"/>
          <w:szCs w:val="20"/>
          <w:rtl w:val="true"/>
        </w:rPr>
        <w:t>.</w:t>
      </w:r>
    </w:p>
  </w:footnote>
  <w:footnote w:id="2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العموم المستفاد من إطلاق أخبار الباب، مثل قوله علیه السلام حین سُئل عن رجل قطع رأس رجل بعد موته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لیس لورثته فیها شیء</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19:247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دیات الأعضاء،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ولو کان من الرجال وممّن تقرّب بالأب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قاله الشیخ فی 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737</w:t>
      </w:r>
      <w:r>
        <w:rPr>
          <w:rFonts w:eastAsia="IRNazanin" w:cs="IRNazanin"/>
          <w:b w:val="false"/>
          <w:bCs w:val="false"/>
          <w:i w:val="false"/>
          <w:iCs w:val="false"/>
          <w:color w:val="333333"/>
          <w:sz w:val="20"/>
          <w:szCs w:val="20"/>
          <w:rtl w:val="true"/>
        </w:rPr>
        <w:t>.</w:t>
      </w:r>
    </w:p>
  </w:footnote>
  <w:footnote w:id="2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العلّامة عن ابن الجنید فی المختلف </w:t>
      </w:r>
      <w:r>
        <w:rPr>
          <w:rFonts w:eastAsia="IRNazanin" w:cs="IRNazanin"/>
          <w:b w:val="false"/>
          <w:bCs w:val="false"/>
          <w:i w:val="false"/>
          <w:iCs w:val="false"/>
          <w:color w:val="333333"/>
          <w:sz w:val="20"/>
          <w:szCs w:val="20"/>
        </w:rPr>
        <w:t>9:290</w:t>
      </w:r>
      <w:r>
        <w:rPr>
          <w:rFonts w:eastAsia="IRNazanin" w:cs="IRNazanin"/>
          <w:b w:val="false"/>
          <w:bCs w:val="false"/>
          <w:i w:val="false"/>
          <w:iCs w:val="false"/>
          <w:color w:val="333333"/>
          <w:sz w:val="20"/>
          <w:szCs w:val="20"/>
          <w:rtl w:val="true"/>
        </w:rPr>
        <w:t>.</w:t>
      </w:r>
    </w:p>
  </w:footnote>
  <w:footnote w:id="2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19:300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العاقلة، الحدیث الأوّل</w:t>
      </w:r>
      <w:r>
        <w:rPr>
          <w:rFonts w:eastAsia="IRNazanin" w:cs="IRNazanin"/>
          <w:b w:val="false"/>
          <w:bCs w:val="false"/>
          <w:i w:val="false"/>
          <w:iCs w:val="false"/>
          <w:color w:val="333333"/>
          <w:sz w:val="20"/>
          <w:szCs w:val="20"/>
          <w:rtl w:val="true"/>
        </w:rPr>
        <w:t>.</w:t>
      </w:r>
    </w:p>
  </w:footnote>
  <w:footnote w:id="2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سلمة بن کهیل بتریّ مذموم، راجع المسالک </w:t>
      </w:r>
      <w:r>
        <w:rPr>
          <w:rFonts w:eastAsia="IRNazanin" w:cs="IRNazanin"/>
          <w:b w:val="false"/>
          <w:bCs w:val="false"/>
          <w:i w:val="false"/>
          <w:iCs w:val="false"/>
          <w:color w:val="333333"/>
          <w:sz w:val="20"/>
          <w:szCs w:val="20"/>
        </w:rPr>
        <w:t>15:510</w:t>
      </w:r>
      <w:r>
        <w:rPr>
          <w:rFonts w:eastAsia="IRNazanin" w:cs="IRNazanin"/>
          <w:b w:val="false"/>
          <w:bCs w:val="false"/>
          <w:i w:val="false"/>
          <w:iCs w:val="false"/>
          <w:color w:val="333333"/>
          <w:sz w:val="20"/>
          <w:szCs w:val="20"/>
          <w:rtl w:val="true"/>
        </w:rPr>
        <w:t>.</w:t>
      </w:r>
    </w:p>
  </w:footnote>
  <w:footnote w:id="2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w:t>
      </w:r>
      <w:r>
        <w:rPr>
          <w:rFonts w:eastAsia="IRNazanin" w:cs="IRNazanin"/>
          <w:b w:val="false"/>
          <w:bCs w:val="false"/>
          <w:i w:val="false"/>
          <w:iCs w:val="false"/>
          <w:color w:val="333333"/>
          <w:sz w:val="20"/>
          <w:szCs w:val="20"/>
        </w:rPr>
        <w:t>18:419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العاقلة،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سوی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عصباته</w:t>
      </w:r>
      <w:r>
        <w:rPr>
          <w:rFonts w:eastAsia="IRNazanin" w:cs="IRNazanin"/>
          <w:b w:val="false"/>
          <w:bCs w:val="false"/>
          <w:i w:val="false"/>
          <w:iCs w:val="false"/>
          <w:color w:val="333333"/>
          <w:sz w:val="20"/>
          <w:szCs w:val="20"/>
          <w:rtl w:val="true"/>
        </w:rPr>
        <w:t>.</w:t>
      </w:r>
    </w:p>
  </w:footnote>
  <w:footnote w:id="2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سوی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عصباته</w:t>
      </w:r>
      <w:r>
        <w:rPr>
          <w:rFonts w:eastAsia="IRNazanin" w:cs="IRNazanin"/>
          <w:b w:val="false"/>
          <w:bCs w:val="false"/>
          <w:i w:val="false"/>
          <w:iCs w:val="false"/>
          <w:color w:val="333333"/>
          <w:sz w:val="20"/>
          <w:szCs w:val="20"/>
          <w:rtl w:val="true"/>
        </w:rPr>
        <w:t>.</w:t>
      </w:r>
    </w:p>
  </w:footnote>
  <w:footnote w:id="2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سوی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عصباته</w:t>
      </w:r>
      <w:r>
        <w:rPr>
          <w:rFonts w:eastAsia="IRNazanin" w:cs="IRNazanin"/>
          <w:b w:val="false"/>
          <w:bCs w:val="false"/>
          <w:i w:val="false"/>
          <w:iCs w:val="false"/>
          <w:color w:val="333333"/>
          <w:sz w:val="20"/>
          <w:szCs w:val="20"/>
          <w:rtl w:val="true"/>
        </w:rPr>
        <w:t>.</w:t>
      </w:r>
    </w:p>
  </w:footnote>
  <w:footnote w:id="2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 المتقدّم فی العمودین</w:t>
      </w:r>
      <w:r>
        <w:rPr>
          <w:rFonts w:eastAsia="IRNazanin" w:cs="IRNazanin"/>
          <w:b w:val="false"/>
          <w:bCs w:val="false"/>
          <w:i w:val="false"/>
          <w:iCs w:val="false"/>
          <w:color w:val="333333"/>
          <w:sz w:val="20"/>
          <w:szCs w:val="20"/>
          <w:rtl w:val="true"/>
        </w:rPr>
        <w:t>.</w:t>
      </w:r>
    </w:p>
  </w:footnote>
  <w:footnote w:id="2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الإنسان</w:t>
      </w:r>
      <w:r>
        <w:rPr>
          <w:rFonts w:eastAsia="IRNazanin" w:cs="IRNazanin"/>
          <w:b w:val="false"/>
          <w:bCs w:val="false"/>
          <w:i w:val="false"/>
          <w:iCs w:val="false"/>
          <w:color w:val="333333"/>
          <w:sz w:val="20"/>
          <w:szCs w:val="20"/>
          <w:rtl w:val="true"/>
        </w:rPr>
        <w:t>.</w:t>
      </w:r>
    </w:p>
  </w:footnote>
  <w:footnote w:id="2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کتاب القصاص فی الصفحة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2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العلّامة عن ابن الجنید فی المختلف </w:t>
      </w:r>
      <w:r>
        <w:rPr>
          <w:rFonts w:eastAsia="IRNazanin" w:cs="IRNazanin"/>
          <w:b w:val="false"/>
          <w:bCs w:val="false"/>
          <w:i w:val="false"/>
          <w:iCs w:val="false"/>
          <w:color w:val="333333"/>
          <w:sz w:val="20"/>
          <w:szCs w:val="20"/>
        </w:rPr>
        <w:t>9:441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وحسّنه</w:t>
      </w:r>
      <w:r>
        <w:rPr>
          <w:rFonts w:eastAsia="IRNazanin" w:cs="IRNazanin"/>
          <w:b w:val="false"/>
          <w:bCs w:val="false"/>
          <w:i w:val="false"/>
          <w:iCs w:val="false"/>
          <w:color w:val="333333"/>
          <w:sz w:val="20"/>
          <w:szCs w:val="20"/>
          <w:rtl w:val="true"/>
        </w:rPr>
        <w:t>.</w:t>
      </w:r>
    </w:p>
  </w:footnote>
  <w:footnote w:id="2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التحریر </w:t>
      </w:r>
      <w:r>
        <w:rPr>
          <w:rFonts w:eastAsia="IRNazanin" w:cs="IRNazanin"/>
          <w:b w:val="false"/>
          <w:bCs w:val="false"/>
          <w:i w:val="false"/>
          <w:iCs w:val="false"/>
          <w:color w:val="333333"/>
          <w:sz w:val="20"/>
          <w:szCs w:val="20"/>
        </w:rPr>
        <w:t>5:641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w:t>
      </w:r>
    </w:p>
  </w:footnote>
  <w:footnote w:id="2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w:t>
      </w:r>
      <w:r>
        <w:rPr>
          <w:rFonts w:eastAsia="IRNazanin" w:cs="IRNazanin"/>
          <w:b w:val="false"/>
          <w:bCs w:val="false"/>
          <w:i w:val="false"/>
          <w:iCs w:val="false"/>
          <w:color w:val="333333"/>
          <w:sz w:val="20"/>
          <w:szCs w:val="20"/>
        </w:rPr>
        <w:t>18:416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العاقلة، الحدیث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وسنن أبی داود </w:t>
      </w:r>
      <w:r>
        <w:rPr>
          <w:rFonts w:eastAsia="IRNazanin" w:cs="IRNazanin"/>
          <w:b w:val="false"/>
          <w:bCs w:val="false"/>
          <w:i w:val="false"/>
          <w:iCs w:val="false"/>
          <w:color w:val="333333"/>
          <w:sz w:val="20"/>
          <w:szCs w:val="20"/>
        </w:rPr>
        <w:t>8:4575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4576</w:t>
      </w:r>
      <w:r>
        <w:rPr>
          <w:rFonts w:eastAsia="IRNazanin" w:cs="IRNazanin"/>
          <w:b w:val="false"/>
          <w:bCs w:val="false"/>
          <w:i w:val="false"/>
          <w:iCs w:val="false"/>
          <w:color w:val="333333"/>
          <w:sz w:val="20"/>
          <w:szCs w:val="20"/>
          <w:rtl w:val="true"/>
        </w:rPr>
        <w:t>.</w:t>
      </w:r>
    </w:p>
  </w:footnote>
  <w:footnote w:id="2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التحریر </w:t>
      </w:r>
      <w:r>
        <w:rPr>
          <w:rFonts w:eastAsia="IRNazanin" w:cs="IRNazanin"/>
          <w:b w:val="false"/>
          <w:bCs w:val="false"/>
          <w:i w:val="false"/>
          <w:iCs w:val="false"/>
          <w:color w:val="333333"/>
          <w:sz w:val="20"/>
          <w:szCs w:val="20"/>
        </w:rPr>
        <w:t>5:569</w:t>
      </w:r>
      <w:r>
        <w:rPr>
          <w:rFonts w:eastAsia="IRNazanin" w:cs="IRNazanin"/>
          <w:b w:val="false"/>
          <w:bCs w:val="false"/>
          <w:i w:val="false"/>
          <w:iCs w:val="false"/>
          <w:color w:val="333333"/>
          <w:sz w:val="20"/>
          <w:szCs w:val="20"/>
          <w:rtl w:val="true"/>
        </w:rPr>
        <w:t>.</w:t>
      </w:r>
    </w:p>
  </w:footnote>
  <w:footnote w:id="2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3:711</w:t>
      </w:r>
      <w:r>
        <w:rPr>
          <w:rFonts w:eastAsia="IRNazanin" w:cs="IRNazanin"/>
          <w:b w:val="false"/>
          <w:bCs w:val="false"/>
          <w:i w:val="false"/>
          <w:iCs w:val="false"/>
          <w:color w:val="333333"/>
          <w:sz w:val="20"/>
          <w:szCs w:val="20"/>
          <w:rtl w:val="true"/>
        </w:rPr>
        <w:t>.</w:t>
      </w:r>
    </w:p>
  </w:footnote>
  <w:footnote w:id="2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w:t>
      </w:r>
      <w:r>
        <w:rPr>
          <w:rFonts w:eastAsia="IRNazanin" w:cs="IRNazanin"/>
          <w:b w:val="false"/>
          <w:bCs w:val="false"/>
          <w:i w:val="false"/>
          <w:iCs w:val="false"/>
          <w:color w:val="333333"/>
          <w:sz w:val="20"/>
          <w:szCs w:val="20"/>
        </w:rPr>
        <w:t>18:419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العاقلة،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19:303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العاقلة، الحدیث الأوّل</w:t>
      </w:r>
      <w:r>
        <w:rPr>
          <w:rFonts w:eastAsia="IRNazanin" w:cs="IRNazanin"/>
          <w:b w:val="false"/>
          <w:bCs w:val="false"/>
          <w:i w:val="false"/>
          <w:iCs w:val="false"/>
          <w:color w:val="333333"/>
          <w:sz w:val="20"/>
          <w:szCs w:val="20"/>
          <w:rtl w:val="true"/>
        </w:rPr>
        <w:t>.</w:t>
      </w:r>
    </w:p>
  </w:footnote>
  <w:footnote w:id="2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3:708</w:t>
      </w:r>
      <w:r>
        <w:rPr>
          <w:rFonts w:ascii="IRNazanin" w:hAnsi="IRNazanin" w:eastAsia="IRNazanin"/>
          <w:b w:val="false"/>
          <w:b w:val="false"/>
          <w:bCs w:val="false"/>
          <w:i w:val="false"/>
          <w:i w:val="false"/>
          <w:iCs w:val="false"/>
          <w:color w:val="333333"/>
          <w:sz w:val="20"/>
          <w:sz w:val="20"/>
          <w:szCs w:val="20"/>
          <w:rtl w:val="true"/>
        </w:rPr>
        <w:t xml:space="preserve">، والتحریر </w:t>
      </w:r>
      <w:r>
        <w:rPr>
          <w:rFonts w:eastAsia="IRNazanin" w:cs="IRNazanin"/>
          <w:b w:val="false"/>
          <w:bCs w:val="false"/>
          <w:i w:val="false"/>
          <w:iCs w:val="false"/>
          <w:color w:val="333333"/>
          <w:sz w:val="20"/>
          <w:szCs w:val="20"/>
        </w:rPr>
        <w:t>5:641</w:t>
      </w:r>
      <w:r>
        <w:rPr>
          <w:rFonts w:eastAsia="IRNazanin" w:cs="IRNazanin"/>
          <w:b w:val="false"/>
          <w:bCs w:val="false"/>
          <w:i w:val="false"/>
          <w:iCs w:val="false"/>
          <w:color w:val="333333"/>
          <w:sz w:val="20"/>
          <w:szCs w:val="20"/>
          <w:rtl w:val="true"/>
        </w:rPr>
        <w:t>.</w:t>
      </w:r>
    </w:p>
  </w:footnote>
  <w:footnote w:id="2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الشیخ فی المبسوط </w:t>
      </w:r>
      <w:r>
        <w:rPr>
          <w:rFonts w:eastAsia="IRNazanin" w:cs="IRNazanin"/>
          <w:b w:val="false"/>
          <w:bCs w:val="false"/>
          <w:i w:val="false"/>
          <w:iCs w:val="false"/>
          <w:color w:val="333333"/>
          <w:sz w:val="20"/>
          <w:szCs w:val="20"/>
        </w:rPr>
        <w:t>7:174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وعبّر عن الفقیر هنا بالمتجمّل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والمتجمّل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صبر علی الدهر ولم یظهر علی نفسه الذُلّ، أو لزم الحیاء ولم یجزع جزعاً قبیحاً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الخلاف </w:t>
      </w:r>
      <w:r>
        <w:rPr>
          <w:rFonts w:eastAsia="IRNazanin" w:cs="IRNazanin"/>
          <w:b w:val="false"/>
          <w:bCs w:val="false"/>
          <w:i w:val="false"/>
          <w:iCs w:val="false"/>
          <w:color w:val="333333"/>
          <w:sz w:val="20"/>
          <w:szCs w:val="20"/>
        </w:rPr>
        <w:t>5:282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عبّر عنه بالمتوسّط والمراد بهما الفقیر، راجع غایة المراد </w:t>
      </w:r>
      <w:r>
        <w:rPr>
          <w:rFonts w:eastAsia="IRNazanin" w:cs="IRNazanin"/>
          <w:b w:val="false"/>
          <w:bCs w:val="false"/>
          <w:i w:val="false"/>
          <w:iCs w:val="false"/>
          <w:color w:val="333333"/>
          <w:sz w:val="20"/>
          <w:szCs w:val="20"/>
        </w:rPr>
        <w:t>4:488</w:t>
      </w:r>
      <w:r>
        <w:rPr>
          <w:rFonts w:eastAsia="IRNazanin" w:cs="IRNazanin"/>
          <w:b w:val="false"/>
          <w:bCs w:val="false"/>
          <w:i w:val="false"/>
          <w:iCs w:val="false"/>
          <w:color w:val="333333"/>
          <w:sz w:val="20"/>
          <w:szCs w:val="20"/>
          <w:rtl w:val="true"/>
        </w:rPr>
        <w:t>.</w:t>
      </w:r>
    </w:p>
  </w:footnote>
  <w:footnote w:id="2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القاضی فی المهذّب </w:t>
      </w:r>
      <w:r>
        <w:rPr>
          <w:rFonts w:eastAsia="IRNazanin" w:cs="IRNazanin"/>
          <w:b w:val="false"/>
          <w:bCs w:val="false"/>
          <w:i w:val="false"/>
          <w:iCs w:val="false"/>
          <w:color w:val="333333"/>
          <w:sz w:val="20"/>
          <w:szCs w:val="20"/>
        </w:rPr>
        <w:t>2:504</w:t>
      </w:r>
      <w:r>
        <w:rPr>
          <w:rFonts w:ascii="IRNazanin" w:hAnsi="IRNazanin" w:eastAsia="IRNazanin"/>
          <w:b w:val="false"/>
          <w:b w:val="false"/>
          <w:bCs w:val="false"/>
          <w:i w:val="false"/>
          <w:i w:val="false"/>
          <w:iCs w:val="false"/>
          <w:color w:val="333333"/>
          <w:sz w:val="20"/>
          <w:sz w:val="20"/>
          <w:szCs w:val="20"/>
          <w:rtl w:val="true"/>
        </w:rPr>
        <w:t>، وعبّر بدل الفقیر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لم یکن موسراً، والعلّامة فی القواعد </w:t>
      </w:r>
      <w:r>
        <w:rPr>
          <w:rFonts w:eastAsia="IRNazanin" w:cs="IRNazanin"/>
          <w:b w:val="false"/>
          <w:bCs w:val="false"/>
          <w:i w:val="false"/>
          <w:iCs w:val="false"/>
          <w:color w:val="333333"/>
          <w:sz w:val="20"/>
          <w:szCs w:val="20"/>
        </w:rPr>
        <w:t>3:711</w:t>
      </w:r>
      <w:r>
        <w:rPr>
          <w:rFonts w:ascii="IRNazanin" w:hAnsi="IRNazanin" w:eastAsia="IRNazanin"/>
          <w:b w:val="false"/>
          <w:b w:val="false"/>
          <w:bCs w:val="false"/>
          <w:i w:val="false"/>
          <w:i w:val="false"/>
          <w:iCs w:val="false"/>
          <w:color w:val="333333"/>
          <w:sz w:val="20"/>
          <w:sz w:val="20"/>
          <w:szCs w:val="20"/>
          <w:rtl w:val="true"/>
        </w:rPr>
        <w:t xml:space="preserve">، والإرشاد </w:t>
      </w:r>
      <w:r>
        <w:rPr>
          <w:rFonts w:eastAsia="IRNazanin" w:cs="IRNazanin"/>
          <w:b w:val="false"/>
          <w:bCs w:val="false"/>
          <w:i w:val="false"/>
          <w:iCs w:val="false"/>
          <w:color w:val="333333"/>
          <w:sz w:val="20"/>
          <w:szCs w:val="20"/>
        </w:rPr>
        <w:t>2:230</w:t>
      </w:r>
      <w:r>
        <w:rPr>
          <w:rFonts w:eastAsia="IRNazanin" w:cs="IRNazanin"/>
          <w:b w:val="false"/>
          <w:bCs w:val="false"/>
          <w:i w:val="false"/>
          <w:iCs w:val="false"/>
          <w:color w:val="333333"/>
          <w:sz w:val="20"/>
          <w:szCs w:val="20"/>
          <w:rtl w:val="true"/>
        </w:rPr>
        <w:t>.</w:t>
      </w:r>
    </w:p>
  </w:footnote>
  <w:footnote w:id="2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19:304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العاقلة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w:t>
      </w:r>
      <w:r>
        <w:rPr>
          <w:rFonts w:eastAsia="IRNazanin" w:cs="IRNazanin"/>
          <w:b w:val="false"/>
          <w:bCs w:val="false"/>
          <w:i w:val="false"/>
          <w:iCs w:val="false"/>
          <w:color w:val="333333"/>
          <w:sz w:val="20"/>
          <w:szCs w:val="20"/>
        </w:rPr>
        <w:t>18:419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العاقلة،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فی الشرائع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2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17:393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موانع الإرث،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العلّامة عن ابن أبی عقیل فی المختلف </w:t>
      </w:r>
      <w:r>
        <w:rPr>
          <w:rFonts w:eastAsia="IRNazanin" w:cs="IRNazanin"/>
          <w:b w:val="false"/>
          <w:bCs w:val="false"/>
          <w:i w:val="false"/>
          <w:iCs w:val="false"/>
          <w:color w:val="333333"/>
          <w:sz w:val="20"/>
          <w:szCs w:val="20"/>
        </w:rPr>
        <w:t>9:65</w:t>
      </w:r>
      <w:r>
        <w:rPr>
          <w:rFonts w:eastAsia="IRNazanin" w:cs="IRNazanin"/>
          <w:b w:val="false"/>
          <w:bCs w:val="false"/>
          <w:i w:val="false"/>
          <w:iCs w:val="false"/>
          <w:color w:val="333333"/>
          <w:sz w:val="20"/>
          <w:szCs w:val="20"/>
          <w:rtl w:val="true"/>
        </w:rPr>
        <w:t>.</w:t>
      </w:r>
    </w:p>
  </w:footnote>
  <w:footnote w:id="2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قول الأکثر للسیّد المرتضی فی الانتصار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595</w:t>
      </w:r>
      <w:r>
        <w:rPr>
          <w:rFonts w:ascii="IRNazanin" w:hAnsi="IRNazanin" w:eastAsia="IRNazanin"/>
          <w:b w:val="false"/>
          <w:b w:val="false"/>
          <w:bCs w:val="false"/>
          <w:i w:val="false"/>
          <w:i w:val="false"/>
          <w:iCs w:val="false"/>
          <w:color w:val="333333"/>
          <w:sz w:val="20"/>
          <w:sz w:val="20"/>
          <w:szCs w:val="20"/>
          <w:rtl w:val="true"/>
        </w:rPr>
        <w:t xml:space="preserve">، والشیخ فی الخلاف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والعلّامة فی القواعد </w:t>
      </w:r>
      <w:r>
        <w:rPr>
          <w:rFonts w:eastAsia="IRNazanin" w:cs="IRNazanin"/>
          <w:b w:val="false"/>
          <w:bCs w:val="false"/>
          <w:i w:val="false"/>
          <w:iCs w:val="false"/>
          <w:color w:val="333333"/>
          <w:sz w:val="20"/>
          <w:szCs w:val="20"/>
        </w:rPr>
        <w:t>3:346</w:t>
      </w:r>
      <w:r>
        <w:rPr>
          <w:rFonts w:eastAsia="IRNazanin" w:cs="IRNazanin"/>
          <w:b w:val="false"/>
          <w:bCs w:val="false"/>
          <w:i w:val="false"/>
          <w:iCs w:val="false"/>
          <w:color w:val="333333"/>
          <w:sz w:val="20"/>
          <w:szCs w:val="20"/>
          <w:rtl w:val="true"/>
        </w:rPr>
        <w:t>.</w:t>
      </w:r>
    </w:p>
  </w:footnote>
  <w:footnote w:id="2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الکفّارات، الجزء الثانی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w:t>
      </w:r>
    </w:p>
  </w:footnote>
  <w:footnote w:id="2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اُخرجت الکفّارات من ثلث ماله</w:t>
      </w:r>
      <w:r>
        <w:rPr>
          <w:rFonts w:eastAsia="IRNazanin" w:cs="IRNazanin"/>
          <w:b w:val="false"/>
          <w:bCs w:val="false"/>
          <w:i w:val="false"/>
          <w:iCs w:val="false"/>
          <w:color w:val="333333"/>
          <w:sz w:val="20"/>
          <w:szCs w:val="20"/>
          <w:rtl w:val="true"/>
        </w:rPr>
        <w:t>.</w:t>
      </w:r>
    </w:p>
  </w:footnote>
  <w:footnote w:id="2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قیّده</w:t>
      </w:r>
      <w:r>
        <w:rPr>
          <w:rFonts w:eastAsia="IRNazanin" w:cs="IRNazanin"/>
          <w:b w:val="false"/>
          <w:bCs w:val="false"/>
          <w:i w:val="false"/>
          <w:iCs w:val="false"/>
          <w:color w:val="333333"/>
          <w:sz w:val="20"/>
          <w:szCs w:val="20"/>
          <w:rtl w:val="true"/>
        </w:rPr>
        <w:t>.</w:t>
      </w:r>
    </w:p>
  </w:footnote>
  <w:footnote w:id="2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769</w:t>
      </w:r>
      <w:r>
        <w:rPr>
          <w:rFonts w:ascii="IRNazanin" w:hAnsi="IRNazanin" w:eastAsia="IRNazanin"/>
          <w:b w:val="false"/>
          <w:b w:val="false"/>
          <w:bCs w:val="false"/>
          <w:i w:val="false"/>
          <w:i w:val="false"/>
          <w:iCs w:val="false"/>
          <w:color w:val="333333"/>
          <w:sz w:val="20"/>
          <w:sz w:val="20"/>
          <w:szCs w:val="20"/>
          <w:rtl w:val="true"/>
        </w:rPr>
        <w:t>، والنهایة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780</w:t>
      </w:r>
      <w:r>
        <w:rPr>
          <w:rFonts w:eastAsia="IRNazanin" w:cs="IRNazanin"/>
          <w:b w:val="false"/>
          <w:bCs w:val="false"/>
          <w:i w:val="false"/>
          <w:iCs w:val="false"/>
          <w:color w:val="333333"/>
          <w:sz w:val="20"/>
          <w:szCs w:val="20"/>
          <w:rtl w:val="true"/>
        </w:rPr>
        <w:t>.</w:t>
      </w:r>
    </w:p>
  </w:footnote>
  <w:footnote w:id="2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القاضی فی المهذّب </w:t>
      </w:r>
      <w:r>
        <w:rPr>
          <w:rFonts w:eastAsia="IRNazanin" w:cs="IRNazanin"/>
          <w:b w:val="false"/>
          <w:bCs w:val="false"/>
          <w:i w:val="false"/>
          <w:iCs w:val="false"/>
          <w:color w:val="333333"/>
          <w:sz w:val="20"/>
          <w:szCs w:val="20"/>
        </w:rPr>
        <w:t>2:512</w:t>
      </w:r>
      <w:r>
        <w:rPr>
          <w:rFonts w:ascii="IRNazanin" w:hAnsi="IRNazanin" w:eastAsia="IRNazanin"/>
          <w:b w:val="false"/>
          <w:b w:val="false"/>
          <w:bCs w:val="false"/>
          <w:i w:val="false"/>
          <w:i w:val="false"/>
          <w:iCs w:val="false"/>
          <w:color w:val="333333"/>
          <w:sz w:val="20"/>
          <w:sz w:val="20"/>
          <w:szCs w:val="20"/>
          <w:rtl w:val="true"/>
        </w:rPr>
        <w:t>، وسلّار فی المراسم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ویحیی بن سعید فی الجامع للشرائع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w:t>
      </w:r>
    </w:p>
  </w:footnote>
  <w:footnote w:id="2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التی قوبلت بالأصل ونسخة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غیر الأرش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هامشها ما یلی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عین الأرش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فما موصولة لا نافیة کما علی کون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غیر الأرش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هو العین، فتبصّر</w:t>
      </w:r>
      <w:r>
        <w:rPr>
          <w:rFonts w:eastAsia="IRNazanin" w:cs="IRNazanin"/>
          <w:b w:val="false"/>
          <w:bCs w:val="false"/>
          <w:i w:val="false"/>
          <w:iCs w:val="false"/>
          <w:color w:val="333333"/>
          <w:sz w:val="20"/>
          <w:szCs w:val="20"/>
          <w:rtl w:val="true"/>
        </w:rPr>
        <w:t>.</w:t>
      </w:r>
    </w:p>
  </w:footnote>
  <w:footnote w:id="2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القاضی فی المهذّب </w:t>
      </w:r>
      <w:r>
        <w:rPr>
          <w:rFonts w:eastAsia="IRNazanin" w:cs="IRNazanin"/>
          <w:b w:val="false"/>
          <w:bCs w:val="false"/>
          <w:i w:val="false"/>
          <w:iCs w:val="false"/>
          <w:color w:val="333333"/>
          <w:sz w:val="20"/>
          <w:szCs w:val="20"/>
        </w:rPr>
        <w:t>1:436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xml:space="preserve">، والعلّامة فی المختلف </w:t>
      </w:r>
      <w:r>
        <w:rPr>
          <w:rFonts w:eastAsia="IRNazanin" w:cs="IRNazanin"/>
          <w:b w:val="false"/>
          <w:bCs w:val="false"/>
          <w:i w:val="false"/>
          <w:iCs w:val="false"/>
          <w:color w:val="333333"/>
          <w:sz w:val="20"/>
          <w:szCs w:val="20"/>
        </w:rPr>
        <w:t>6:116</w:t>
      </w:r>
      <w:r>
        <w:rPr>
          <w:rFonts w:eastAsia="IRNazanin" w:cs="IRNazanin"/>
          <w:b w:val="false"/>
          <w:bCs w:val="false"/>
          <w:i w:val="false"/>
          <w:iCs w:val="false"/>
          <w:color w:val="333333"/>
          <w:sz w:val="20"/>
          <w:szCs w:val="20"/>
          <w:rtl w:val="true"/>
        </w:rPr>
        <w:t>.</w:t>
      </w:r>
    </w:p>
  </w:footnote>
  <w:footnote w:id="2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الشیخ فی المبسوط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والخلاف </w:t>
      </w:r>
      <w:r>
        <w:rPr>
          <w:rFonts w:eastAsia="IRNazanin" w:cs="IRNazanin"/>
          <w:b w:val="false"/>
          <w:bCs w:val="false"/>
          <w:i w:val="false"/>
          <w:iCs w:val="false"/>
          <w:color w:val="333333"/>
          <w:sz w:val="20"/>
          <w:szCs w:val="20"/>
        </w:rPr>
        <w:t>3:415</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وابن حمزة فی الوسیلة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2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الثانی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p>
  </w:footnote>
  <w:footnote w:id="2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19:167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دیات النفس، الأحادیث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المقنع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534</w:t>
      </w:r>
      <w:r>
        <w:rPr>
          <w:rFonts w:ascii="IRNazanin" w:hAnsi="IRNazanin" w:eastAsia="IRNazanin"/>
          <w:b w:val="false"/>
          <w:b w:val="false"/>
          <w:bCs w:val="false"/>
          <w:i w:val="false"/>
          <w:i w:val="false"/>
          <w:iCs w:val="false"/>
          <w:color w:val="333333"/>
          <w:sz w:val="20"/>
          <w:sz w:val="20"/>
          <w:szCs w:val="20"/>
          <w:rtl w:val="true"/>
        </w:rPr>
        <w:t xml:space="preserve">، والسرائر </w:t>
      </w:r>
      <w:r>
        <w:rPr>
          <w:rFonts w:eastAsia="IRNazanin" w:cs="IRNazanin"/>
          <w:b w:val="false"/>
          <w:bCs w:val="false"/>
          <w:i w:val="false"/>
          <w:iCs w:val="false"/>
          <w:color w:val="333333"/>
          <w:sz w:val="20"/>
          <w:szCs w:val="20"/>
        </w:rPr>
        <w:t>3:421</w:t>
      </w:r>
      <w:r>
        <w:rPr>
          <w:rFonts w:ascii="IRNazanin" w:hAnsi="IRNazanin" w:eastAsia="IRNazanin"/>
          <w:b w:val="false"/>
          <w:b w:val="false"/>
          <w:bCs w:val="false"/>
          <w:i w:val="false"/>
          <w:i w:val="false"/>
          <w:iCs w:val="false"/>
          <w:color w:val="333333"/>
          <w:sz w:val="20"/>
          <w:sz w:val="20"/>
          <w:szCs w:val="20"/>
          <w:rtl w:val="true"/>
        </w:rPr>
        <w:t xml:space="preserve">، والشرائع </w:t>
      </w:r>
      <w:r>
        <w:rPr>
          <w:rFonts w:eastAsia="IRNazanin" w:cs="IRNazanin"/>
          <w:b w:val="false"/>
          <w:bCs w:val="false"/>
          <w:i w:val="false"/>
          <w:iCs w:val="false"/>
          <w:color w:val="333333"/>
          <w:sz w:val="20"/>
          <w:szCs w:val="20"/>
        </w:rPr>
        <w:t>4:285</w:t>
      </w:r>
      <w:r>
        <w:rPr>
          <w:rFonts w:ascii="IRNazanin" w:hAnsi="IRNazanin" w:eastAsia="IRNazanin"/>
          <w:b w:val="false"/>
          <w:b w:val="false"/>
          <w:bCs w:val="false"/>
          <w:i w:val="false"/>
          <w:i w:val="false"/>
          <w:iCs w:val="false"/>
          <w:color w:val="333333"/>
          <w:sz w:val="20"/>
          <w:sz w:val="20"/>
          <w:szCs w:val="20"/>
          <w:rtl w:val="true"/>
        </w:rPr>
        <w:t xml:space="preserve">، والقواعد </w:t>
      </w:r>
      <w:r>
        <w:rPr>
          <w:rFonts w:eastAsia="IRNazanin" w:cs="IRNazanin"/>
          <w:b w:val="false"/>
          <w:bCs w:val="false"/>
          <w:i w:val="false"/>
          <w:iCs w:val="false"/>
          <w:color w:val="333333"/>
          <w:sz w:val="20"/>
          <w:szCs w:val="20"/>
        </w:rPr>
        <w:t>3:701</w:t>
      </w:r>
      <w:r>
        <w:rPr>
          <w:rFonts w:eastAsia="IRNazanin" w:cs="IRNazanin"/>
          <w:b w:val="false"/>
          <w:bCs w:val="false"/>
          <w:i w:val="false"/>
          <w:iCs w:val="false"/>
          <w:color w:val="333333"/>
          <w:sz w:val="20"/>
          <w:szCs w:val="20"/>
          <w:rtl w:val="true"/>
        </w:rPr>
        <w:t>.</w:t>
      </w:r>
    </w:p>
  </w:footnote>
  <w:footnote w:id="2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العلّامة عن ابن الجنید، واستحسنه فی المختلف </w:t>
      </w:r>
      <w:r>
        <w:rPr>
          <w:rFonts w:eastAsia="IRNazanin" w:cs="IRNazanin"/>
          <w:b w:val="false"/>
          <w:bCs w:val="false"/>
          <w:i w:val="false"/>
          <w:iCs w:val="false"/>
          <w:color w:val="333333"/>
          <w:sz w:val="20"/>
          <w:szCs w:val="20"/>
        </w:rPr>
        <w:t>9:423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2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المقدار</w:t>
      </w:r>
      <w:r>
        <w:rPr>
          <w:rFonts w:eastAsia="IRNazanin" w:cs="IRNazanin"/>
          <w:b w:val="false"/>
          <w:bCs w:val="false"/>
          <w:i w:val="false"/>
          <w:iCs w:val="false"/>
          <w:color w:val="333333"/>
          <w:sz w:val="20"/>
          <w:szCs w:val="20"/>
          <w:rtl w:val="true"/>
        </w:rPr>
        <w:t>.</w:t>
      </w:r>
    </w:p>
  </w:footnote>
  <w:footnote w:id="2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19:167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دیات النفس،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الأوّل اقتضی ردّ الروایات المشهورة نظراً إلی أ نّها خبر واحد ولعدم صحّتها، والثانی قبول الخبر الضعیف النادر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 .</w:t>
      </w:r>
    </w:p>
  </w:footnote>
  <w:footnote w:id="2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780</w:t>
      </w:r>
      <w:r>
        <w:rPr>
          <w:rFonts w:eastAsia="IRNazanin" w:cs="IRNazanin"/>
          <w:b w:val="false"/>
          <w:bCs w:val="false"/>
          <w:i w:val="false"/>
          <w:iCs w:val="false"/>
          <w:color w:val="333333"/>
          <w:sz w:val="20"/>
          <w:szCs w:val="20"/>
          <w:rtl w:val="true"/>
        </w:rPr>
        <w:t>.</w:t>
      </w:r>
    </w:p>
  </w:footnote>
  <w:footnote w:id="2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19:167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دیات النفس، الأحادیث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سلّار فی المراسم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والکیدری فی إصباح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510</w:t>
      </w:r>
      <w:r>
        <w:rPr>
          <w:rFonts w:ascii="IRNazanin" w:hAnsi="IRNazanin" w:eastAsia="IRNazanin"/>
          <w:b w:val="false"/>
          <w:b w:val="false"/>
          <w:bCs w:val="false"/>
          <w:i w:val="false"/>
          <w:i w:val="false"/>
          <w:iCs w:val="false"/>
          <w:color w:val="333333"/>
          <w:sz w:val="20"/>
          <w:sz w:val="20"/>
          <w:szCs w:val="20"/>
          <w:rtl w:val="true"/>
        </w:rPr>
        <w:t>، ویحیی بن سعید فی الجامع للشرائع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w:t>
      </w:r>
    </w:p>
  </w:footnote>
  <w:footnote w:id="2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10:310</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1155</w:t>
      </w:r>
      <w:r>
        <w:rPr>
          <w:rFonts w:ascii="IRNazanin" w:hAnsi="IRNazanin" w:eastAsia="IRNazanin"/>
          <w:b w:val="false"/>
          <w:b w:val="false"/>
          <w:bCs w:val="false"/>
          <w:i w:val="false"/>
          <w:i w:val="false"/>
          <w:iCs w:val="false"/>
          <w:color w:val="333333"/>
          <w:sz w:val="20"/>
          <w:sz w:val="20"/>
          <w:szCs w:val="20"/>
          <w:rtl w:val="true"/>
        </w:rPr>
        <w:t xml:space="preserve">، والوسائل </w:t>
      </w:r>
      <w:r>
        <w:rPr>
          <w:rFonts w:eastAsia="IRNazanin" w:cs="IRNazanin"/>
          <w:b w:val="false"/>
          <w:bCs w:val="false"/>
          <w:i w:val="false"/>
          <w:iCs w:val="false"/>
          <w:color w:val="333333"/>
          <w:sz w:val="20"/>
          <w:szCs w:val="20"/>
        </w:rPr>
        <w:t>19:167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دیات النفس، الحدیث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وفیه عن أبی عبد اللّٰه علیه السلام</w:t>
      </w:r>
      <w:r>
        <w:rPr>
          <w:rFonts w:eastAsia="IRNazanin" w:cs="IRNazanin"/>
          <w:b w:val="false"/>
          <w:bCs w:val="false"/>
          <w:i w:val="false"/>
          <w:iCs w:val="false"/>
          <w:color w:val="333333"/>
          <w:sz w:val="20"/>
          <w:szCs w:val="20"/>
          <w:rtl w:val="true"/>
        </w:rPr>
        <w:t>.</w:t>
      </w:r>
    </w:p>
  </w:footnote>
  <w:footnote w:id="2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769</w:t>
      </w:r>
      <w:r>
        <w:rPr>
          <w:rFonts w:ascii="IRNazanin" w:hAnsi="IRNazanin" w:eastAsia="IRNazanin"/>
          <w:b w:val="false"/>
          <w:b w:val="false"/>
          <w:bCs w:val="false"/>
          <w:i w:val="false"/>
          <w:i w:val="false"/>
          <w:iCs w:val="false"/>
          <w:color w:val="333333"/>
          <w:sz w:val="20"/>
          <w:sz w:val="20"/>
          <w:szCs w:val="20"/>
          <w:rtl w:val="true"/>
        </w:rPr>
        <w:t>، والنهایة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780</w:t>
      </w:r>
      <w:r>
        <w:rPr>
          <w:rFonts w:eastAsia="IRNazanin" w:cs="IRNazanin"/>
          <w:b w:val="false"/>
          <w:bCs w:val="false"/>
          <w:i w:val="false"/>
          <w:iCs w:val="false"/>
          <w:color w:val="333333"/>
          <w:sz w:val="20"/>
          <w:szCs w:val="20"/>
          <w:rtl w:val="true"/>
        </w:rPr>
        <w:t>.</w:t>
      </w:r>
    </w:p>
  </w:footnote>
  <w:footnote w:id="2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3:421</w:t>
      </w:r>
      <w:r>
        <w:rPr>
          <w:rFonts w:eastAsia="IRNazanin" w:cs="IRNazanin"/>
          <w:b w:val="false"/>
          <w:bCs w:val="false"/>
          <w:i w:val="false"/>
          <w:iCs w:val="false"/>
          <w:color w:val="333333"/>
          <w:sz w:val="20"/>
          <w:szCs w:val="20"/>
          <w:rtl w:val="true"/>
        </w:rPr>
        <w:t>.</w:t>
      </w:r>
    </w:p>
  </w:footnote>
  <w:footnote w:id="2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 الصدوق فی المقنع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534</w:t>
      </w:r>
      <w:r>
        <w:rPr>
          <w:rFonts w:ascii="IRNazanin" w:hAnsi="IRNazanin" w:eastAsia="IRNazanin"/>
          <w:b w:val="false"/>
          <w:b w:val="false"/>
          <w:bCs w:val="false"/>
          <w:i w:val="false"/>
          <w:i w:val="false"/>
          <w:iCs w:val="false"/>
          <w:color w:val="333333"/>
          <w:sz w:val="20"/>
          <w:sz w:val="20"/>
          <w:szCs w:val="20"/>
          <w:rtl w:val="true"/>
        </w:rPr>
        <w:t xml:space="preserve">، والقاضی فی المهذّب </w:t>
      </w:r>
      <w:r>
        <w:rPr>
          <w:rFonts w:eastAsia="IRNazanin" w:cs="IRNazanin"/>
          <w:b w:val="false"/>
          <w:bCs w:val="false"/>
          <w:i w:val="false"/>
          <w:iCs w:val="false"/>
          <w:color w:val="333333"/>
          <w:sz w:val="20"/>
          <w:szCs w:val="20"/>
        </w:rPr>
        <w:t>2:512</w:t>
      </w:r>
      <w:r>
        <w:rPr>
          <w:rFonts w:ascii="IRNazanin" w:hAnsi="IRNazanin" w:eastAsia="IRNazanin"/>
          <w:b w:val="false"/>
          <w:b w:val="false"/>
          <w:bCs w:val="false"/>
          <w:i w:val="false"/>
          <w:i w:val="false"/>
          <w:iCs w:val="false"/>
          <w:color w:val="333333"/>
          <w:sz w:val="20"/>
          <w:sz w:val="20"/>
          <w:szCs w:val="20"/>
          <w:rtl w:val="true"/>
        </w:rPr>
        <w:t>، وابن حمزة فی الوسیلة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2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19:167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دیات النفس،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ضعفها بابن فضّال لأنّه فطحی، راجع المسالک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ابن فهد الحلّی إلی العلّامة فی المختلف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راجع المقتصر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2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کلب الصید</w:t>
      </w:r>
      <w:r>
        <w:rPr>
          <w:rFonts w:eastAsia="IRNazanin" w:cs="IRNazanin"/>
          <w:b w:val="false"/>
          <w:bCs w:val="false"/>
          <w:i w:val="false"/>
          <w:iCs w:val="false"/>
          <w:color w:val="333333"/>
          <w:sz w:val="20"/>
          <w:szCs w:val="20"/>
          <w:rtl w:val="true"/>
        </w:rPr>
        <w:t>.</w:t>
      </w:r>
    </w:p>
  </w:footnote>
  <w:footnote w:id="2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جریب من برّ</w:t>
      </w:r>
      <w:r>
        <w:rPr>
          <w:rFonts w:eastAsia="IRNazanin" w:cs="IRNazanin"/>
          <w:b w:val="false"/>
          <w:bCs w:val="false"/>
          <w:i w:val="false"/>
          <w:iCs w:val="false"/>
          <w:color w:val="333333"/>
          <w:sz w:val="20"/>
          <w:szCs w:val="20"/>
          <w:rtl w:val="true"/>
        </w:rPr>
        <w:t>.</w:t>
      </w:r>
    </w:p>
  </w:footnote>
  <w:footnote w:id="2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کالعلّامة فی القواعد </w:t>
      </w:r>
      <w:r>
        <w:rPr>
          <w:rFonts w:eastAsia="IRNazanin" w:cs="IRNazanin"/>
          <w:b w:val="false"/>
          <w:bCs w:val="false"/>
          <w:i w:val="false"/>
          <w:iCs w:val="false"/>
          <w:color w:val="333333"/>
          <w:sz w:val="20"/>
          <w:szCs w:val="20"/>
        </w:rPr>
        <w:t>3:702</w:t>
      </w:r>
      <w:r>
        <w:rPr>
          <w:rFonts w:ascii="IRNazanin" w:hAnsi="IRNazanin" w:eastAsia="IRNazanin"/>
          <w:b w:val="false"/>
          <w:b w:val="false"/>
          <w:bCs w:val="false"/>
          <w:i w:val="false"/>
          <w:i w:val="false"/>
          <w:iCs w:val="false"/>
          <w:color w:val="333333"/>
          <w:sz w:val="20"/>
          <w:sz w:val="20"/>
          <w:szCs w:val="20"/>
          <w:rtl w:val="true"/>
        </w:rPr>
        <w:t xml:space="preserve">، والسیوری فی التنقیح الرائع </w:t>
      </w:r>
      <w:r>
        <w:rPr>
          <w:rFonts w:eastAsia="IRNazanin" w:cs="IRNazanin"/>
          <w:b w:val="false"/>
          <w:bCs w:val="false"/>
          <w:i w:val="false"/>
          <w:iCs w:val="false"/>
          <w:color w:val="333333"/>
          <w:sz w:val="20"/>
          <w:szCs w:val="20"/>
        </w:rPr>
        <w:t>4:526</w:t>
      </w:r>
      <w:r>
        <w:rPr>
          <w:rFonts w:eastAsia="IRNazanin" w:cs="IRNazanin"/>
          <w:b w:val="false"/>
          <w:bCs w:val="false"/>
          <w:i w:val="false"/>
          <w:iCs w:val="false"/>
          <w:color w:val="333333"/>
          <w:sz w:val="20"/>
          <w:szCs w:val="20"/>
          <w:rtl w:val="true"/>
        </w:rPr>
        <w:t>.</w:t>
      </w:r>
    </w:p>
  </w:footnote>
  <w:footnote w:id="2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کالشیخ فی 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780</w:t>
      </w:r>
      <w:r>
        <w:rPr>
          <w:rFonts w:ascii="IRNazanin" w:hAnsi="IRNazanin" w:eastAsia="IRNazanin"/>
          <w:b w:val="false"/>
          <w:b w:val="false"/>
          <w:bCs w:val="false"/>
          <w:i w:val="false"/>
          <w:i w:val="false"/>
          <w:iCs w:val="false"/>
          <w:color w:val="333333"/>
          <w:sz w:val="20"/>
          <w:sz w:val="20"/>
          <w:szCs w:val="20"/>
          <w:rtl w:val="true"/>
        </w:rPr>
        <w:t xml:space="preserve">، والمحقّق فی الشرائع </w:t>
      </w:r>
      <w:r>
        <w:rPr>
          <w:rFonts w:eastAsia="IRNazanin" w:cs="IRNazanin"/>
          <w:b w:val="false"/>
          <w:bCs w:val="false"/>
          <w:i w:val="false"/>
          <w:iCs w:val="false"/>
          <w:color w:val="333333"/>
          <w:sz w:val="20"/>
          <w:szCs w:val="20"/>
        </w:rPr>
        <w:t>4:286</w:t>
      </w:r>
      <w:r>
        <w:rPr>
          <w:rFonts w:ascii="IRNazanin" w:hAnsi="IRNazanin" w:eastAsia="IRNazanin"/>
          <w:b w:val="false"/>
          <w:b w:val="false"/>
          <w:bCs w:val="false"/>
          <w:i w:val="false"/>
          <w:i w:val="false"/>
          <w:iCs w:val="false"/>
          <w:color w:val="333333"/>
          <w:sz w:val="20"/>
          <w:sz w:val="20"/>
          <w:szCs w:val="20"/>
          <w:rtl w:val="true"/>
        </w:rPr>
        <w:t xml:space="preserve">، والعلّامة فی القواعد </w:t>
      </w:r>
      <w:r>
        <w:rPr>
          <w:rFonts w:eastAsia="IRNazanin" w:cs="IRNazanin"/>
          <w:b w:val="false"/>
          <w:bCs w:val="false"/>
          <w:i w:val="false"/>
          <w:iCs w:val="false"/>
          <w:color w:val="333333"/>
          <w:sz w:val="20"/>
          <w:szCs w:val="20"/>
        </w:rPr>
        <w:t>3:702</w:t>
      </w:r>
      <w:r>
        <w:rPr>
          <w:rFonts w:eastAsia="IRNazanin" w:cs="IRNazanin"/>
          <w:b w:val="false"/>
          <w:bCs w:val="false"/>
          <w:i w:val="false"/>
          <w:iCs w:val="false"/>
          <w:color w:val="333333"/>
          <w:sz w:val="20"/>
          <w:szCs w:val="20"/>
          <w:rtl w:val="true"/>
        </w:rPr>
        <w:t>.</w:t>
      </w:r>
    </w:p>
  </w:footnote>
  <w:footnote w:id="2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نسبه ابن فهد الحلّی إلی ابن الجنید، وإلی ظاهر الصدوق فی المقنع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وعبّر فیهما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زنبیل من تراب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قفیز</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راجع المقتصر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2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منهما</w:t>
      </w:r>
      <w:r>
        <w:rPr>
          <w:rFonts w:eastAsia="IRNazanin" w:cs="IRNazanin"/>
          <w:b w:val="false"/>
          <w:bCs w:val="false"/>
          <w:i w:val="false"/>
          <w:iCs w:val="false"/>
          <w:color w:val="333333"/>
          <w:sz w:val="20"/>
          <w:szCs w:val="20"/>
          <w:rtl w:val="true"/>
        </w:rPr>
        <w:t>.</w:t>
      </w:r>
    </w:p>
  </w:footnote>
  <w:footnote w:id="2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الخمر والآلة، أو فی العین والعیب، أو فی القیمة والأرش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ر</w:t>
      </w:r>
      <w:r>
        <w:rPr>
          <w:rFonts w:eastAsia="IRNazanin" w:cs="IRNazanin"/>
          <w:b w:val="false"/>
          <w:bCs w:val="false"/>
          <w:i w:val="false"/>
          <w:iCs w:val="false"/>
          <w:color w:val="333333"/>
          <w:sz w:val="20"/>
          <w:szCs w:val="20"/>
          <w:rtl w:val="true"/>
        </w:rPr>
        <w:t>) .</w:t>
      </w:r>
    </w:p>
  </w:footnote>
  <w:footnote w:id="2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کلباً کان أم غیره، ومن أیّ الکلاب کان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ر</w:t>
      </w:r>
      <w:r>
        <w:rPr>
          <w:rFonts w:eastAsia="IRNazanin" w:cs="IRNazanin"/>
          <w:b w:val="false"/>
          <w:bCs w:val="false"/>
          <w:i w:val="false"/>
          <w:iCs w:val="false"/>
          <w:color w:val="333333"/>
          <w:sz w:val="20"/>
          <w:szCs w:val="20"/>
          <w:rtl w:val="true"/>
        </w:rPr>
        <w:t>) .</w:t>
      </w:r>
    </w:p>
  </w:footnote>
  <w:footnote w:id="2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19:208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موجبات الضمان، الحدیث الأوّل</w:t>
      </w:r>
      <w:r>
        <w:rPr>
          <w:rFonts w:eastAsia="IRNazanin" w:cs="IRNazanin"/>
          <w:b w:val="false"/>
          <w:bCs w:val="false"/>
          <w:i w:val="false"/>
          <w:iCs w:val="false"/>
          <w:color w:val="333333"/>
          <w:sz w:val="20"/>
          <w:szCs w:val="20"/>
          <w:rtl w:val="true"/>
        </w:rPr>
        <w:t>.</w:t>
      </w:r>
    </w:p>
  </w:footnote>
  <w:footnote w:id="2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w:t>
      </w:r>
      <w:r>
        <w:rPr>
          <w:rFonts w:eastAsia="IRNazanin" w:cs="IRNazanin"/>
          <w:b w:val="false"/>
          <w:bCs w:val="false"/>
          <w:i w:val="false"/>
          <w:iCs w:val="false"/>
          <w:color w:val="333333"/>
          <w:sz w:val="20"/>
          <w:szCs w:val="20"/>
        </w:rPr>
        <w:t>18:330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موجبات الضمان، الحدیث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3:424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2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w:t>
      </w:r>
    </w:p>
  </w:footnote>
  <w:footnote w:id="2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3:702</w:t>
      </w:r>
      <w:r>
        <w:rPr>
          <w:rFonts w:eastAsia="IRNazanin" w:cs="IRNazanin"/>
          <w:b w:val="false"/>
          <w:bCs w:val="false"/>
          <w:i w:val="false"/>
          <w:iCs w:val="false"/>
          <w:color w:val="333333"/>
          <w:sz w:val="20"/>
          <w:szCs w:val="20"/>
          <w:rtl w:val="true"/>
        </w:rPr>
        <w:t>.</w:t>
      </w:r>
    </w:p>
  </w:footnote>
  <w:footnote w:id="2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والظاهر أنّ ضعفها بالسکونی، راجع المسالک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2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غایة المراد </w:t>
      </w:r>
      <w:r>
        <w:rPr>
          <w:rFonts w:eastAsia="IRNazanin" w:cs="IRNazanin"/>
          <w:b w:val="false"/>
          <w:bCs w:val="false"/>
          <w:i w:val="false"/>
          <w:iCs w:val="false"/>
          <w:color w:val="333333"/>
          <w:sz w:val="20"/>
          <w:szCs w:val="20"/>
        </w:rPr>
        <w:t>4.520</w:t>
      </w:r>
    </w:p>
  </w:footnote>
  <w:footnote w:id="2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19:207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موجبات الضمان، وفیه حدیث واحد</w:t>
      </w:r>
      <w:r>
        <w:rPr>
          <w:rFonts w:eastAsia="IRNazanin" w:cs="IRNazanin"/>
          <w:b w:val="false"/>
          <w:bCs w:val="false"/>
          <w:i w:val="false"/>
          <w:iCs w:val="false"/>
          <w:color w:val="333333"/>
          <w:sz w:val="20"/>
          <w:szCs w:val="20"/>
          <w:rtl w:val="true"/>
        </w:rPr>
        <w:t>.</w:t>
      </w:r>
    </w:p>
  </w:footnote>
  <w:footnote w:id="2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کالشیخ فی 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781</w:t>
      </w:r>
      <w:r>
        <w:rPr>
          <w:rFonts w:ascii="IRNazanin" w:hAnsi="IRNazanin" w:eastAsia="IRNazanin"/>
          <w:b w:val="false"/>
          <w:b w:val="false"/>
          <w:bCs w:val="false"/>
          <w:i w:val="false"/>
          <w:i w:val="false"/>
          <w:iCs w:val="false"/>
          <w:color w:val="333333"/>
          <w:sz w:val="20"/>
          <w:sz w:val="20"/>
          <w:szCs w:val="20"/>
          <w:rtl w:val="true"/>
        </w:rPr>
        <w:t xml:space="preserve">، والمحقّق فی الشرائع </w:t>
      </w:r>
      <w:r>
        <w:rPr>
          <w:rFonts w:eastAsia="IRNazanin" w:cs="IRNazanin"/>
          <w:b w:val="false"/>
          <w:bCs w:val="false"/>
          <w:i w:val="false"/>
          <w:iCs w:val="false"/>
          <w:color w:val="333333"/>
          <w:sz w:val="20"/>
          <w:szCs w:val="20"/>
        </w:rPr>
        <w:t>4:286</w:t>
      </w:r>
      <w:r>
        <w:rPr>
          <w:rFonts w:ascii="IRNazanin" w:hAnsi="IRNazanin" w:eastAsia="IRNazanin"/>
          <w:b w:val="false"/>
          <w:b w:val="false"/>
          <w:bCs w:val="false"/>
          <w:i w:val="false"/>
          <w:i w:val="false"/>
          <w:iCs w:val="false"/>
          <w:color w:val="333333"/>
          <w:sz w:val="20"/>
          <w:sz w:val="20"/>
          <w:szCs w:val="20"/>
          <w:rtl w:val="true"/>
        </w:rPr>
        <w:t xml:space="preserve">، والعلّامة فی القواعد </w:t>
      </w:r>
      <w:r>
        <w:rPr>
          <w:rFonts w:eastAsia="IRNazanin" w:cs="IRNazanin"/>
          <w:b w:val="false"/>
          <w:bCs w:val="false"/>
          <w:i w:val="false"/>
          <w:iCs w:val="false"/>
          <w:color w:val="333333"/>
          <w:sz w:val="20"/>
          <w:szCs w:val="20"/>
        </w:rPr>
        <w:t>3:702</w:t>
      </w:r>
      <w:r>
        <w:rPr>
          <w:rFonts w:eastAsia="IRNazanin" w:cs="IRNazanin"/>
          <w:b w:val="false"/>
          <w:bCs w:val="false"/>
          <w:i w:val="false"/>
          <w:iCs w:val="false"/>
          <w:color w:val="333333"/>
          <w:sz w:val="20"/>
          <w:szCs w:val="20"/>
          <w:rtl w:val="true"/>
        </w:rPr>
        <w:t>.</w:t>
      </w:r>
    </w:p>
  </w:footnote>
  <w:footnote w:id="2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مقدّمة المصنّف فی الجزء الأوّل</w:t>
      </w:r>
      <w:r>
        <w:rPr>
          <w:rFonts w:eastAsia="IRNazanin" w:cs="IRNazanin"/>
          <w:b w:val="false"/>
          <w:bCs w:val="false"/>
          <w:i w:val="false"/>
          <w:iCs w:val="false"/>
          <w:color w:val="333333"/>
          <w:sz w:val="20"/>
          <w:szCs w:val="20"/>
          <w:rtl w:val="true"/>
        </w:rPr>
        <w:t>.</w:t>
      </w:r>
    </w:p>
  </w:footnote>
  <w:footnote w:id="2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صلّی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صلاته</w:t>
      </w:r>
      <w:r>
        <w:rPr>
          <w:rFonts w:eastAsia="IRNazanin" w:cs="IRNazanin"/>
          <w:b w:val="false"/>
          <w:bCs w:val="false"/>
          <w:i w:val="false"/>
          <w:iCs w:val="false"/>
          <w:color w:val="333333"/>
          <w:sz w:val="20"/>
          <w:szCs w:val="20"/>
          <w:rtl w:val="true"/>
        </w:rPr>
        <w:t>.</w:t>
      </w:r>
    </w:p>
  </w:footnote>
  <w:footnote w:id="2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واختم بالخیر</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image" Target="media/image2.jpeg"/><Relationship Id="rId549" Type="http://schemas.openxmlformats.org/officeDocument/2006/relationships/image" Target="media/image2.jpeg"/><Relationship Id="rId550" Type="http://schemas.openxmlformats.org/officeDocument/2006/relationships/footer" Target="footer543.xml"/><Relationship Id="rId551" Type="http://schemas.openxmlformats.org/officeDocument/2006/relationships/footnotes" Target="footnotes.xml"/><Relationship Id="rId552" Type="http://schemas.openxmlformats.org/officeDocument/2006/relationships/numbering" Target="numbering.xml"/><Relationship Id="rId553" Type="http://schemas.openxmlformats.org/officeDocument/2006/relationships/fontTable" Target="fontTable.xml"/><Relationship Id="rId554" Type="http://schemas.openxmlformats.org/officeDocument/2006/relationships/settings" Target="settings.xml"/><Relationship Id="rId55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552</Pages>
  <Words>54480</Words>
  <Characters>243513</Characters>
  <CharactersWithSpaces>295984</CharactersWithSpaces>
  <Paragraphs>2010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2026-08-26T01:24:17Z</dcterms:created>
  <dc:creator>ghaemiyeh.com</dc:creator>
  <dc:description/>
  <dc:language>en-US</dc:language>
  <cp:lastModifiedBy/>
  <dcterms:modified xsi:type="dcterms:W3CDTF">2026-08-26T04:54:37Z</dcterms:modified>
  <cp:revision>1</cp:revision>
  <dc:subject/>
  <dc:title>الروضه البهیه فی شرح اللمعه الدمشقیه الطبعه الحدیثه جلد 4</dc:title>
</cp:coreProperties>
</file>

<file path=docProps/custom.xml><?xml version="1.0" encoding="utf-8"?>
<Properties xmlns="http://schemas.openxmlformats.org/officeDocument/2006/custom-properties" xmlns:vt="http://schemas.openxmlformats.org/officeDocument/2006/docPropsVTypes"/>
</file>