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المسائل الطوسیه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37765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23776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237769_1280447820">
            <w:r>
              <w:rPr>
                <w:webHidden/>
                <w:rStyle w:val="IndexLink"/>
                <w:rtl w:val="true"/>
              </w:rPr>
              <w:t>المسائل الطوسية</w:t>
            </w:r>
            <w:r>
              <w:rPr>
                <w:rStyle w:val="IndexLink"/>
                <w:rtl w:val="true"/>
              </w:rPr>
              <w:tab/>
            </w:r>
            <w:r>
              <w:rPr>
                <w:rStyle w:val="IndexLink"/>
              </w:rPr>
              <w:t>7</w:t>
            </w:r>
          </w:hyperlink>
        </w:p>
        <w:p>
          <w:pPr>
            <w:pStyle w:val="Contents2"/>
            <w:tabs>
              <w:tab w:val="clear" w:pos="8743"/>
              <w:tab w:val="right" w:pos="9026" w:leader="dot"/>
            </w:tabs>
            <w:rPr/>
          </w:pPr>
          <w:hyperlink w:anchor="__RefHeading___Toc16237771_1280447820">
            <w:r>
              <w:rPr>
                <w:webHidden/>
                <w:rStyle w:val="IndexLink"/>
                <w:rtl w:val="true"/>
              </w:rPr>
              <w:t>وبه نستعين</w:t>
            </w:r>
            <w:r>
              <w:rPr>
                <w:rStyle w:val="IndexLink"/>
                <w:rtl w:val="true"/>
              </w:rPr>
              <w:tab/>
            </w:r>
            <w:r>
              <w:rPr>
                <w:rStyle w:val="IndexLink"/>
              </w:rPr>
              <w:t>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57_204248"/>
      <w:bookmarkStart w:id="1" w:name="pg18757_204248"/>
      <w:bookmarkEnd w:id="1"/>
    </w:p>
    <w:p>
      <w:pPr>
        <w:pStyle w:val="Heading2"/>
        <w:numPr>
          <w:ilvl w:val="1"/>
          <w:numId w:val="1"/>
        </w:numPr>
        <w:rPr/>
      </w:pPr>
      <w:bookmarkStart w:id="2" w:name="pg18757_204248"/>
      <w:bookmarkStart w:id="3" w:name="__RefHeading___Toc16237765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الطوسية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المفید محمدبن محمدبن النعمان ابن‌المعلم ابی‌عبدالله العکبری البغدادی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التی سالها الشیخ الطوسی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التی سالها الشیخ الطوسی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التی سالها الشیخ الطوسی عن الشیخ المفید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3649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3776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9" o:detectmouseclick="t"/>
                <v:stroke color="#3465a4" joinstyle="round" endcap="flat"/>
                <w10:wrap type="none"/>
              </v:shape>
            </w:pict>
          </mc:Fallback>
        </mc:AlternateContent>
      </w:r>
      <w:bookmarkStart w:id="7" w:name="pg18757_204251"/>
    </w:p>
    <w:p>
      <w:pPr>
        <w:pStyle w:val="Heading2"/>
        <w:numPr>
          <w:ilvl w:val="1"/>
          <w:numId w:val="1"/>
        </w:numPr>
        <w:rPr/>
      </w:pPr>
      <w:bookmarkStart w:id="8" w:name="__RefHeading___Toc16237769_1280447820"/>
      <w:bookmarkStart w:id="9" w:name="_Toc3"/>
      <w:bookmarkEnd w:id="7"/>
      <w:bookmarkEnd w:id="8"/>
      <w:r>
        <w:rPr>
          <w:rtl w:val="true"/>
        </w:rPr>
        <w:t>المسائل الطوسية</w:t>
      </w:r>
      <w:bookmarkEnd w:id="9"/>
    </w:p>
    <w:p>
      <w:pPr>
        <w:pStyle w:val="BookText"/>
        <w:rPr/>
      </w:pPr>
      <w:r>
        <w:rPr>
          <w:rFonts w:ascii="Amiri" w:hAnsi="Amiri" w:eastAsia="Amiri" w:cs="Amiri"/>
          <w:color w:val="111111"/>
          <w:sz w:val="28"/>
          <w:sz w:val="28"/>
          <w:szCs w:val="28"/>
          <w:rtl w:val="true"/>
          <w:lang w:bidi="ar-SA"/>
        </w:rPr>
        <w:t xml:space="preserve">أجوبة مسائل الشيخ الطوسي مخطوطة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المسائل التي سألها الشيخ أبو جعفر الطوسي بخطه رحمة الله، للشيخ المفيد رحمه الله وعاد الجواب من الشيخ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احتوى على عدة أسئلة، يبدأ كل سؤال بما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الشيخ الجليل المفيد أطال الله بقاءه وكبت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في بعض الأمثلة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وأدام نعماءه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أخر كل سؤال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أفتنا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متطولا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أفتنا موفقا للصواب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كل 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محمد بن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ملحقة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رغم قدمها ونفاستها، قد شوهت حافات صفحاتها بالرطوبة، مما أثر على بعض الكلمات بل الجمل، فلم تقرأ في الصورة المتوفرة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الوقوف على نسخة أخرى يساعد على الاستفادة من هذا الأثر 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2" o:detectmouseclick="t"/>
                <v:stroke color="#3465a4" joinstyle="round" endcap="flat"/>
                <w10:wrap type="none"/>
              </v:shape>
            </w:pict>
          </mc:Fallback>
        </mc:AlternateContent>
      </w:r>
      <w:bookmarkStart w:id="10" w:name="pg18757_204252"/>
    </w:p>
    <w:p>
      <w:pPr>
        <w:pStyle w:val="Heading2"/>
        <w:numPr>
          <w:ilvl w:val="1"/>
          <w:numId w:val="1"/>
        </w:numPr>
        <w:rPr/>
      </w:pPr>
      <w:bookmarkStart w:id="11" w:name="__RefHeading___Toc16237771_1280447820"/>
      <w:bookmarkStart w:id="12" w:name="_Toc4"/>
      <w:bookmarkEnd w:id="10"/>
      <w:bookmarkEnd w:id="11"/>
      <w:r>
        <w:rPr>
          <w:rtl w:val="true"/>
        </w:rPr>
        <w:t>وبه نستعين</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المسائل التي سألها الشيخ أبو جعفر الطوسي بخطه رحمه الله للشيخ المفيد رحمه الله وعاد الجواب من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يقول سيدنا الشيخ الجليل المفيد، أطال الله بقاءه وكبت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الهجرة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قذف به ابن ربيعة الطرابلسي لعلي بن نصر الفائقي وشهد به عليه، إن كان الفائقي بريئا عند الله تعالى مما قذفه به وشهد عليه، ما يكون حكم ابن ربيعة في</w:t>
      </w:r>
    </w:p>
    <w:p>
      <w:pPr>
        <w:pStyle w:val="BookText"/>
        <w:rPr/>
      </w:pPr>
      <w:r>
        <w:rPr>
          <w:rFonts w:ascii="Amiri" w:hAnsi="Amiri" w:eastAsia="Amiri" w:cs="Amiri"/>
          <w:color w:val="111111"/>
          <w:sz w:val="28"/>
          <w:sz w:val="28"/>
          <w:szCs w:val="28"/>
          <w:rtl w:val="true"/>
          <w:lang w:bidi="ar-SA"/>
        </w:rPr>
        <w:t xml:space="preserve">دينه </w:t>
      </w:r>
      <w:r>
        <w:rPr>
          <w:rStyle w:val="FootnoteAnchor"/>
          <w:rtl w:val="true"/>
        </w:rPr>
        <w:footnoteReference w:id="3"/>
      </w:r>
      <w:r>
        <w:rPr>
          <w:rFonts w:ascii="Amiri" w:hAnsi="Amiri" w:eastAsia="Amiri" w:cs="Amiri"/>
          <w:color w:val="111111"/>
          <w:sz w:val="28"/>
          <w:sz w:val="28"/>
          <w:szCs w:val="28"/>
          <w:rtl w:val="true"/>
          <w:lang w:bidi="ar-SA"/>
        </w:rPr>
        <w:t>مع تظاهره باعتقاد الحق ولزوم الأعمال؟ أفتنا في ذلك موفقا للصواب،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الفائقي بريئا مما حكم به عليه الرجل المذكور وشهد به عليه من الكفر والفسوق فغدا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عن الإيمان؟ فإن كان مات على ذلك فهو مستحق لعقاب النار، نعوذ بالله منها ولن يخرجه عن استحقاقه العقاب، ما كان متظاهرا به من الدين؟ فليس كل متظاهر بدين فهو في باطنه على الثقة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محمد بن محمد بن النعمان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الشيخ الجليل، المفيد أطال الله بقاءه وكبت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وترك أولادا، أحدهم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مشاعة فباعها الأولاد الحاضرون، وتصرف فيها المشتري وغرسها، وبعد مدة قدم الولد الغائب وطالب بإرثه منها، وطلب قلع </w:t>
      </w:r>
      <w:r>
        <w:rPr>
          <w:rStyle w:val="FootnoteAnchor"/>
          <w:rtl w:val="true"/>
        </w:rPr>
        <w:footnoteReference w:id="4"/>
      </w:r>
      <w:r>
        <w:rPr>
          <w:rFonts w:ascii="Amiri" w:hAnsi="Amiri" w:eastAsia="Amiri" w:cs="Amiri"/>
          <w:color w:val="111111"/>
          <w:sz w:val="28"/>
          <w:sz w:val="28"/>
          <w:szCs w:val="28"/>
          <w:rtl w:val="true"/>
          <w:lang w:bidi="ar-SA"/>
        </w:rPr>
        <w:t xml:space="preserve">، جميع الغرض، هل له ذلك؟ أم تقاسم ويقلع ما غرس في حقه؟ أم يبقيه ويأخذ بأجرة المثل فيما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في مدة غيبته؟ أفتنا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موفقا للصواب،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للولد القادم المطالبة بإرثه وأن تتميز حقه منها بالقسمة، وله إذا تميز الحق أن يقلع الغرس منه؟ أو يتركه بحاله ويتصرف فيه كيف شاء، ويأخذ وارتفاعه، وله الأخذ بأجرة مثل الغرس في حقه طول المدة التي استغله المبتاع فيها ويرجع المبتاع على البائع له بالدرك فيما أنفق في ذلك الحق، وقيمة الغرس وارتفاعه إن لم يكن علم بحق الغائب في الأرض؟ وإن كان قد علم بحقه ثم تصرف فيه بالغرس والاستغلال فلا درك له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المالك فيما 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الإسلامي، والنهاية في مجرد الفقه والفتوى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الكتاب العربي بيروت ومسند الشيعة في أحكام الشريعة للفقيه مولى أحمد النراقي</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محمد بن محمد بن النعمان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فإن اختار المالك القلع للغرس بعد المقاسمة فقلعه ففسدت الأرض بذلك، فهل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الأرض؟ وهل للغارس أن يقلع ما غرسه بعد مقاسمة الملك من حصة المالك دون حصة نفسه؟ هل له 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قلع الغرس، وعلى الغارس عقر الأرض التي فسدت بالقلع، </w:t>
      </w:r>
    </w:p>
    <w:p>
      <w:pPr>
        <w:pStyle w:val="BookText"/>
        <w:rPr/>
      </w:pPr>
      <w:r>
        <w:rPr>
          <w:rFonts w:ascii="Amiri" w:hAnsi="Amiri" w:eastAsia="Amiri" w:cs="Amiri"/>
          <w:color w:val="111111"/>
          <w:sz w:val="28"/>
          <w:sz w:val="28"/>
          <w:szCs w:val="28"/>
          <w:rtl w:val="true"/>
          <w:lang w:bidi="ar-SA"/>
        </w:rPr>
        <w:t xml:space="preserve">وللغارس أن يقلع غرسه أيضا منها ويلتزم الغرم، وليس للمالك أن يمنع الغارس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بطلب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عقر الأرض؟ وليس للغارس أن يمتنع من أداء عقر الأرض إذا قلع المالك الغرس منها </w:t>
      </w:r>
      <w:r>
        <w:rPr>
          <w:rStyle w:val="FootnoteAnchor"/>
          <w:rtl w:val="true"/>
        </w:rPr>
        <w:footnoteReference w:id="6"/>
      </w:r>
      <w:r>
        <w:rPr>
          <w:rFonts w:ascii="Amiri" w:hAnsi="Amiri" w:eastAsia="Amiri" w:cs="Amiri"/>
          <w:color w:val="111111"/>
          <w:sz w:val="28"/>
          <w:sz w:val="28"/>
          <w:szCs w:val="28"/>
          <w:rtl w:val="true"/>
          <w:lang w:bidi="ar-SA"/>
        </w:rPr>
        <w:t>وكتب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سيدنا الشيخ الجليل المفيد، أطال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وقف دارا أو حانوتا، أو ضيعة، أو غير ذلك من العقار على ولده وولد ولده، وجعلها بعد انقراضهم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شريك في سهم من ذلك، أقل من سهم أو أكثر مشاعا وطلب عنه الشريك أن يقاسمه بعد إنفاقه ما خصه من ذلك؟ هل له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شريكه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المقاسمة، الرجوع في ذلك؟ وهل لمن أوقف وقفا على هذه الجهة الرجوع فيه وبيعه عند الحاجة إليه؟ أو غير الحاجة والتصرف فيه بالبيع؟ أو القسمة قبل تسليم ما أوقفه عليهم؟ وهل يجوز الشرط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احتجت كان لي </w:t>
      </w:r>
      <w:r>
        <w:rPr>
          <w:rStyle w:val="FootnoteAnchor"/>
          <w:rtl w:val="true"/>
        </w:rPr>
        <w:footnoteReference w:id="7"/>
      </w:r>
      <w:r>
        <w:rPr>
          <w:rFonts w:ascii="Amiri" w:hAnsi="Amiri" w:eastAsia="Amiri" w:cs="Amiri"/>
          <w:color w:val="111111"/>
          <w:sz w:val="28"/>
          <w:sz w:val="28"/>
          <w:szCs w:val="28"/>
          <w:rtl w:val="true"/>
          <w:lang w:bidi="ar-SA"/>
        </w:rPr>
        <w:t xml:space="preserve">الرجعة إليهم فيما أوقفته وبيعه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أفتنا في ذلك موفقا للصواب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شئ من ذلك؟ ومتى شرط الواقف في الوقف أنه، إن احتاج إليه في حياته لفقر كان له بيعه، يجوز له، إن احتاج، لبيعه وصرف ثمنه في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p>
    <w:p>
      <w:pPr>
        <w:pStyle w:val="BookText"/>
        <w:rPr/>
      </w:pPr>
      <w:r>
        <w:rPr>
          <w:rFonts w:ascii="IRNazanin" w:hAnsi="IRNazanin" w:eastAsia="IRNazanin"/>
          <w:color w:val="111111"/>
          <w:sz w:val="28"/>
          <w:sz w:val="28"/>
          <w:szCs w:val="28"/>
          <w:rtl w:val="true"/>
          <w:lang w:bidi="fa-IR"/>
        </w:rPr>
        <w:t>محمد بن محمد النعمان</w:t>
      </w:r>
      <w:r>
        <w:rPr>
          <w:rFonts w:eastAsia="IRNazanin" w:cs="IRNazanin"/>
          <w:color w:val="111111"/>
          <w:sz w:val="28"/>
          <w:szCs w:val="28"/>
          <w:rtl w:val="true"/>
          <w:lang w:bidi="fa-IR"/>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سيدنا الشيخ الجليل المفيد، أطال الله بقاءه وكبت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 ترضعه مرضعة عدة مرات، هل يحرم عليه بذلك ما يحرم عليه بالنسب؟ أفتنا في ذلك متطولا إن شاء الله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نص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أخته منها وجدته من ذلك وبنات أخيه وأختهما منها وجدته</w:t>
      </w:r>
    </w:p>
    <w:p>
      <w:pPr>
        <w:pStyle w:val="BookText"/>
        <w:rPr/>
      </w:pPr>
      <w:r>
        <w:rPr>
          <w:rFonts w:ascii="Amiri" w:hAnsi="Amiri" w:eastAsia="Amiri" w:cs="Amiri"/>
          <w:color w:val="111111"/>
          <w:sz w:val="28"/>
          <w:sz w:val="28"/>
          <w:szCs w:val="28"/>
          <w:rtl w:val="true"/>
          <w:lang w:bidi="ar-SA"/>
        </w:rPr>
        <w:t>من ذلك وبنات جده منه ولا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بناتها من الرضاعة إذا كانت منها بلبن من</w:t>
      </w:r>
    </w:p>
    <w:p>
      <w:pPr>
        <w:pStyle w:val="BookText"/>
        <w:rPr/>
      </w:pPr>
      <w:r>
        <w:rPr>
          <w:rFonts w:ascii="Amiri" w:hAnsi="Amiri" w:eastAsia="Amiri" w:cs="Amiri"/>
          <w:color w:val="111111"/>
          <w:sz w:val="28"/>
          <w:sz w:val="28"/>
          <w:szCs w:val="28"/>
          <w:rtl w:val="true"/>
          <w:lang w:bidi="ar-SA"/>
        </w:rPr>
        <w:t>غير أبيه من الرضاعة ومعي اللبن الفحل أنه كان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هذا</w:t>
      </w:r>
    </w:p>
    <w:p>
      <w:pPr>
        <w:pStyle w:val="BookText"/>
        <w:rPr/>
      </w:pPr>
      <w:r>
        <w:rPr>
          <w:rFonts w:ascii="Amiri" w:hAnsi="Amiri" w:eastAsia="Amiri" w:cs="Amiri"/>
          <w:color w:val="111111"/>
          <w:sz w:val="28"/>
          <w:sz w:val="28"/>
          <w:szCs w:val="28"/>
          <w:rtl w:val="true"/>
          <w:lang w:bidi="ar-SA"/>
        </w:rPr>
        <w:t>السؤال وجوابه بعون الله واستفدنا فيه من كتابي المقنعة والنهاية للشيخين</w:t>
      </w:r>
    </w:p>
    <w:p>
      <w:pPr>
        <w:pStyle w:val="BookText"/>
        <w:rPr/>
      </w:pPr>
      <w:r>
        <w:rPr>
          <w:rFonts w:ascii="Amiri" w:hAnsi="Amiri" w:eastAsia="Amiri" w:cs="Amiri"/>
          <w:color w:val="111111"/>
          <w:sz w:val="28"/>
          <w:sz w:val="28"/>
          <w:szCs w:val="28"/>
          <w:rtl w:val="true"/>
          <w:lang w:bidi="ar-SA"/>
        </w:rPr>
        <w:t>السعيدين المفيد والطوسي رضوان الله عليهما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إذا أرضعته مرضعة عشر دفعات متواليات، لا يفصل بينهن برضاع امرأة أخرى بشرط أن كان من لبن فحلها، يحرم عليه بالرضاعة كل ما يحرم عليه بالنسب فعلى هذا يكون بعل مرضعته، الذي اللبن له، أبا من الرضاعة ويحرم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 منها وجدته من ذلك وبنات أخيه وأختهما منها وجدته من ذلك وبنات جده منه، ولا يخل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تزويج بنات أبيه من الرضاعة وأخواته ويحل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بناتها من الرضاعة، إذا كانت منها بلبن من غير أبيه من الرضاعة، ومعنى اللبن</w:t>
      </w:r>
    </w:p>
    <w:p>
      <w:pPr>
        <w:pStyle w:val="BookText"/>
        <w:rPr/>
      </w:pPr>
      <w:r>
        <w:rPr>
          <w:rFonts w:ascii="Amiri" w:hAnsi="Amiri" w:eastAsia="Amiri" w:cs="Amiri"/>
          <w:color w:val="111111"/>
          <w:sz w:val="28"/>
          <w:sz w:val="28"/>
          <w:szCs w:val="28"/>
          <w:rtl w:val="true"/>
          <w:lang w:bidi="ar-SA"/>
        </w:rPr>
        <w:t xml:space="preserve">الفحل أنه إن كان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أرضعت امرأته من لبنه ولبن ولده ولد امرأة أخرى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قال سألت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لبن الفحل؟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أرضعت امرأتك من لبنك ولبن ولدك</w:t>
      </w:r>
    </w:p>
    <w:p>
      <w:pPr>
        <w:pStyle w:val="BookText"/>
        <w:rPr/>
      </w:pPr>
      <w:r>
        <w:rPr>
          <w:rFonts w:ascii="Amiri" w:hAnsi="Amiri" w:eastAsia="Amiri" w:cs="Amiri"/>
          <w:color w:val="111111"/>
          <w:sz w:val="28"/>
          <w:sz w:val="28"/>
          <w:szCs w:val="28"/>
          <w:rtl w:val="true"/>
          <w:lang w:bidi="ar-SA"/>
        </w:rPr>
        <w:t xml:space="preserve">ولد امرأة أخرى فهو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بتصحيح الشيخ محمد باقر بهبودي، مكتبة المرتضوية،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والنهاية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يقول سيدنا الشيخ الجليل المفيد، أطال الله بقاءه وكبت أعداءه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شاهد شهد على شخص بما وجده من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جاؤوه بعد مدة بالمشهود عليه، فأنكره ولم يتحقق معرفته ولم يتغير عليه خطه، هل له أن يشهد بما يجده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خطه؟ أفتنا في ذلك موفقا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يشهد إذا شك في المشهود عليه وإن لم يشك في خطه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إذا وجد في روزنامج أبيه دينا على غيره وهو يعلم أنه لا يكتب إلا حقا ساغ له أن</w:t>
      </w:r>
    </w:p>
    <w:p>
      <w:pPr>
        <w:pStyle w:val="BookText"/>
        <w:rPr/>
      </w:pPr>
      <w:r>
        <w:rPr>
          <w:rFonts w:ascii="Amiri" w:hAnsi="Amiri" w:eastAsia="Amiri" w:cs="Amiri"/>
          <w:color w:val="111111"/>
          <w:sz w:val="28"/>
          <w:sz w:val="28"/>
          <w:szCs w:val="28"/>
          <w:rtl w:val="true"/>
          <w:lang w:bidi="ar-SA"/>
        </w:rPr>
        <w:t>يحلف ويستحق، وبمثله لا يشهد، والذي يقتضيه مذهبنا أنه لا يجوز أن يحلف على</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w:t>
      </w:r>
    </w:p>
    <w:p>
      <w:pPr>
        <w:pStyle w:val="BookText"/>
        <w:rPr/>
      </w:pPr>
      <w:r>
        <w:rPr>
          <w:rFonts w:ascii="IRNazanin" w:hAnsi="IRNazanin" w:eastAsia="IRNazanin"/>
          <w:color w:val="111111"/>
          <w:sz w:val="28"/>
          <w:sz w:val="28"/>
          <w:szCs w:val="28"/>
          <w:rtl w:val="true"/>
          <w:lang w:bidi="fa-IR"/>
        </w:rPr>
        <w:t>محمد بن محمد بن النعمان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يقول سيدنا الشيخ الجليل المفيد، أطال الله بقاءه وكبت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قاض ولي بلدة وهو غير عارف بأهلها، هل له أن يقبل شهادة أهلها على ظاهر العدالة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أفتنا في ذلك موفقا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شهادة من لا خبرة له به ولا علم بأمانته؟ وعليه إذا لم يكن عرفهم أن يسأل عنهم ويجتهد في تعرفهم فإذا لم يجد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يخرجهم من العدالة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بعصبية في الشهادة ولا هوى قبل شهادتهم إذ كانوا مؤمنين على ظاهر العدالة </w:t>
      </w:r>
      <w:r>
        <w:rPr>
          <w:rStyle w:val="FootnoteAnchor"/>
          <w:rtl w:val="true"/>
        </w:rPr>
        <w:footnoteReference w:id="12"/>
      </w:r>
      <w:r>
        <w:rPr>
          <w:rFonts w:ascii="Amiri" w:hAnsi="Amiri" w:eastAsia="Amiri" w:cs="Amiri"/>
          <w:color w:val="111111"/>
          <w:sz w:val="28"/>
          <w:sz w:val="28"/>
          <w:szCs w:val="28"/>
          <w:rtl w:val="true"/>
          <w:lang w:bidi="ar-SA"/>
        </w:rPr>
        <w:t>وكتب محمد بن محمد بن النعمان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يقول سيدنا الشيخ الجليل المفيد، أطال الله بقاءه وأدام نعماءه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له شجر في أرض له مظلة على أرض قوم أخر تؤذيهم في حائطهم وتظل أرضهم وتحول بينهم وبين ما يزرعونه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هل لهم إلزام صاحب الشجر قلعها، أو قطعها، أوليس لهم ذلك؟ وهل عليه غرم ما يفسده عليهم؟ وهل لهم أكل ما يسقط من ذلك الشجر؟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شئ من ذلك ولا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سيدنا الجليل المفيد، أطال الله بقاءه وكبت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يستمتع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حيضها أو نفاسها؟ هل له وطؤها في غير الموضع؟ أفتنا متطولا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الوطئ في أحشاش </w:t>
      </w:r>
      <w:r>
        <w:rPr>
          <w:rStyle w:val="FootnoteAnchor"/>
          <w:rtl w:val="true"/>
        </w:rPr>
        <w:footnoteReference w:id="13"/>
      </w:r>
      <w:r>
        <w:rPr>
          <w:rFonts w:ascii="Amiri" w:hAnsi="Amiri" w:eastAsia="Amiri" w:cs="Amiri"/>
          <w:color w:val="111111"/>
          <w:sz w:val="28"/>
          <w:sz w:val="28"/>
          <w:szCs w:val="28"/>
          <w:rtl w:val="true"/>
          <w:lang w:bidi="ar-SA"/>
        </w:rPr>
        <w:t xml:space="preserve">النساء مكروه وليس عليهم حد أو الاستمتاع بالمرأة أيام حيضها أو نفاسها، ما بين السرة والركبة بما عدا القبل يكون مكروها، إلا أنه لا يستحق به حدا ولا عقابا </w:t>
      </w:r>
      <w:r>
        <w:rPr>
          <w:rStyle w:val="FootnoteAnchor"/>
          <w:rtl w:val="true"/>
        </w:rPr>
        <w:footnoteReference w:id="14"/>
      </w:r>
      <w:r>
        <w:rPr>
          <w:rFonts w:ascii="Amiri" w:hAnsi="Amiri" w:eastAsia="Amiri" w:cs="Amiri"/>
          <w:color w:val="111111"/>
          <w:sz w:val="28"/>
          <w:sz w:val="28"/>
          <w:szCs w:val="28"/>
          <w:rtl w:val="true"/>
          <w:lang w:bidi="ar-SA"/>
        </w:rPr>
        <w:t>وكتب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سيدنا الشيخ الجليل المفيد، أطال الله بقاءه وكبت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إخوة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سفينة في البحر وغرقا، ولأحدهما أولاد والآخر ليس له أولاد، ما الحكم في موارثيهم؟ أفتنا موفقا للصواب إن شاء 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وبالله التوفيق يجعل أولا الأخ الذي ليس له أولاد في حكم 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فيرثه </w:t>
      </w:r>
    </w:p>
    <w:p>
      <w:pPr>
        <w:pStyle w:val="BookText"/>
        <w:rPr/>
      </w:pPr>
      <w:r>
        <w:rPr>
          <w:rFonts w:ascii="Amiri" w:hAnsi="Amiri" w:eastAsia="Amiri" w:cs="Amiri"/>
          <w:color w:val="111111"/>
          <w:sz w:val="28"/>
          <w:sz w:val="28"/>
          <w:szCs w:val="28"/>
          <w:rtl w:val="true"/>
          <w:lang w:bidi="ar-SA"/>
        </w:rPr>
        <w:t xml:space="preserve">الأربعة الأخر، ثم يجعل صاحب الولد في حكم الهالك بعد أخيه، فيرثه ولده ما خلف وما ورثه من أخيه، ولا يرث الثلاثة من تركته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وقارن برسائل العشر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بتحقيق الشيخ رضا الأستادي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سيدنا الشيخ الجليل المفيد، أطال الله بقاءه وكبت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امرأته تطليقة واحدة بشهادة رجلين مسلمين 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قضت عدتها وملكت نفسها ثم خطبها فأجابت فراجعها، هل تكون قد بانت منه بواحدة، أو يكون قد هدم العقد الثاني ما مضى من الطلاق؟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 نكاحها بعد انقضاء عدتها انهدمت التطليقة الأولة وحصلت معه على حكم نكاح لم يكن قبله عقد له ولا طلاق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يوضح للطالب عند المراجعة بالمقنعة وكتب شيخ الطائفة من التهذيب</w:t>
      </w:r>
    </w:p>
    <w:p>
      <w:pPr>
        <w:pStyle w:val="BookText"/>
        <w:rPr/>
      </w:pPr>
      <w:r>
        <w:rPr>
          <w:rFonts w:ascii="Amiri" w:hAnsi="Amiri" w:eastAsia="Amiri" w:cs="Amiri"/>
          <w:color w:val="111111"/>
          <w:sz w:val="28"/>
          <w:sz w:val="28"/>
          <w:szCs w:val="28"/>
          <w:rtl w:val="true"/>
          <w:lang w:bidi="ar-SA"/>
        </w:rPr>
        <w:t xml:space="preserve">والاستبصار والمبسوط والنهاية بل أفتيا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أفتى غيرهم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الفتوى ولصاحب جواهر الكلام هنا كلام لا بأس بذكره ليوضح ما في المقام وبالله</w:t>
      </w:r>
    </w:p>
    <w:p>
      <w:pPr>
        <w:pStyle w:val="BookText"/>
        <w:rPr/>
      </w:pPr>
      <w:r>
        <w:rPr>
          <w:rFonts w:ascii="Amiri" w:hAnsi="Amiri" w:eastAsia="Amiri" w:cs="Amiri"/>
          <w:color w:val="111111"/>
          <w:sz w:val="28"/>
          <w:sz w:val="28"/>
          <w:szCs w:val="28"/>
          <w:rtl w:val="true"/>
          <w:lang w:bidi="ar-SA"/>
        </w:rPr>
        <w:t xml:space="preserve">التوفيق،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طلقها وخرجت من العدة ثم نكحها،</w:t>
      </w:r>
    </w:p>
    <w:p>
      <w:pPr>
        <w:pStyle w:val="BookText"/>
        <w:rPr/>
      </w:pPr>
      <w:r>
        <w:rPr>
          <w:rFonts w:ascii="Amiri" w:hAnsi="Amiri" w:eastAsia="Amiri" w:cs="Amiri"/>
          <w:color w:val="111111"/>
          <w:sz w:val="28"/>
          <w:sz w:val="28"/>
          <w:szCs w:val="28"/>
          <w:rtl w:val="true"/>
          <w:lang w:bidi="ar-SA"/>
        </w:rPr>
        <w:t>مستأنفا ثم طلقها وتركها حتى قضت العدة ثم استأنف نكاحها، ثم طلقها</w:t>
      </w:r>
    </w:p>
    <w:p>
      <w:pPr>
        <w:pStyle w:val="BookText"/>
        <w:rPr/>
      </w:pPr>
      <w:r>
        <w:rPr>
          <w:rFonts w:ascii="Amiri" w:hAnsi="Amiri" w:eastAsia="Amiri" w:cs="Amiri"/>
          <w:color w:val="111111"/>
          <w:sz w:val="28"/>
          <w:sz w:val="28"/>
          <w:szCs w:val="28"/>
          <w:rtl w:val="true"/>
          <w:lang w:bidi="ar-SA"/>
        </w:rPr>
        <w:t>ثالثة حرمت عليه حتى تنكح زوجا غيره فإذا فارقها واعتدت جاز له مراجعتها،</w:t>
      </w:r>
    </w:p>
    <w:p>
      <w:pPr>
        <w:pStyle w:val="BookText"/>
        <w:rPr/>
      </w:pPr>
      <w:r>
        <w:rPr>
          <w:rFonts w:ascii="Amiri" w:hAnsi="Amiri" w:eastAsia="Amiri" w:cs="Amiri"/>
          <w:color w:val="111111"/>
          <w:sz w:val="28"/>
          <w:sz w:val="28"/>
          <w:szCs w:val="28"/>
          <w:rtl w:val="true"/>
          <w:lang w:bidi="ar-SA"/>
        </w:rPr>
        <w:t>ولا تحرم هذه في التاسعة، ولا يهدم استيفاء عدتها تحريمها في الثالثة، بلا خلاف</w:t>
      </w:r>
    </w:p>
    <w:p>
      <w:pPr>
        <w:pStyle w:val="BookText"/>
        <w:rPr/>
      </w:pPr>
      <w:r>
        <w:rPr>
          <w:rFonts w:ascii="Amiri" w:hAnsi="Amiri" w:eastAsia="Amiri" w:cs="Amiri"/>
          <w:color w:val="111111"/>
          <w:sz w:val="28"/>
          <w:sz w:val="28"/>
          <w:szCs w:val="28"/>
          <w:rtl w:val="true"/>
          <w:lang w:bidi="ar-SA"/>
        </w:rPr>
        <w:t>أجده في شئ من ذلك عندنا إلا في الأخير من ابن بكير والصدوق، فجعلا الخروج</w:t>
      </w:r>
    </w:p>
    <w:p>
      <w:pPr>
        <w:pStyle w:val="BookText"/>
        <w:rPr/>
      </w:pPr>
      <w:r>
        <w:rPr>
          <w:rFonts w:ascii="Amiri" w:hAnsi="Amiri" w:eastAsia="Amiri" w:cs="Amiri"/>
          <w:color w:val="111111"/>
          <w:sz w:val="28"/>
          <w:sz w:val="28"/>
          <w:szCs w:val="28"/>
          <w:rtl w:val="true"/>
          <w:lang w:bidi="ar-SA"/>
        </w:rPr>
        <w:t>من العدة هادما للطلاق، فله حينئذ نكاحها بعد الثلاث بلا محلل ولكن قد سبقهما</w:t>
      </w:r>
    </w:p>
    <w:p>
      <w:pPr>
        <w:pStyle w:val="BookText"/>
        <w:rPr/>
      </w:pPr>
      <w:r>
        <w:rPr>
          <w:rFonts w:ascii="Amiri" w:hAnsi="Amiri" w:eastAsia="Amiri" w:cs="Amiri"/>
          <w:color w:val="111111"/>
          <w:sz w:val="28"/>
          <w:sz w:val="28"/>
          <w:szCs w:val="28"/>
          <w:rtl w:val="true"/>
          <w:lang w:bidi="ar-SA"/>
        </w:rPr>
        <w:t>الاجماع ولحقهما، بل يمكن دعوى تواتر النصوص بالخصوص بخلافهما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 بحث</w:t>
      </w:r>
    </w:p>
    <w:p>
      <w:pPr>
        <w:pStyle w:val="BookText"/>
        <w:rPr/>
      </w:pPr>
      <w:r>
        <w:rPr>
          <w:rFonts w:ascii="Amiri" w:hAnsi="Amiri" w:eastAsia="Amiri" w:cs="Amiri"/>
          <w:color w:val="111111"/>
          <w:sz w:val="28"/>
          <w:sz w:val="28"/>
          <w:szCs w:val="28"/>
          <w:rtl w:val="true"/>
          <w:lang w:bidi="ar-SA"/>
        </w:rPr>
        <w:t xml:space="preserve">طويل جيد في هذا المسألة للطالب أن يراجع جواهر الكلام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كلام صاحب الجواهر أن الشيخ المفيد تابع أستاذه</w:t>
      </w:r>
    </w:p>
    <w:p>
      <w:pPr>
        <w:pStyle w:val="BookText"/>
        <w:rPr/>
      </w:pPr>
      <w:r>
        <w:rPr>
          <w:rFonts w:ascii="Amiri" w:hAnsi="Amiri" w:eastAsia="Amiri" w:cs="Amiri"/>
          <w:color w:val="111111"/>
          <w:sz w:val="28"/>
          <w:sz w:val="28"/>
          <w:szCs w:val="28"/>
          <w:rtl w:val="true"/>
          <w:lang w:bidi="ar-SA"/>
        </w:rPr>
        <w:t>الصدوق في هذا الفتوى والحمد لله على كل حال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سيدنا الشيخ الجليل المفيد، أطال الله بقاءه وكبت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المؤمن على المؤمن فرض يلزم العمل به، أو مندوب يشرع للإنسان تركه، وهل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من إخوانه، أم ليس هو واجبا عليه، بل مندوب إليه؟ أفتنا موفقا للصواب إن شاء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المؤمن فرض على المؤمن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زكاة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دفع زكاة ماله ووجد أخا يحتاج إليه في معونته، فواجب عليه صلته بما تيسر وأن يتجدد قدر ما يجب عليه من ذلك تجدد قدر الزكاة المفروضة في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محمد بن النعمان</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سيدنا الشيخ الجليل المفيد، أطال الله بقاءه وكبت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استمتع بامرأة على ظاهر الستر ثم بان 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ينكحها مدة معلومة وإنما رافقها على الاجتماع في المدة في أي وقت شاء، فهل له أن يستوفي أو يفارقها؟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أن يستوفي مدة النكاح، ولا يكون الاستمتاع في ظاهر الستر مانعا من النكاح، وموجبا لتحريم المرأة عليه لي </w:t>
      </w:r>
      <w:r>
        <w:rPr>
          <w:rStyle w:val="FootnoteAnchor"/>
          <w:rtl w:val="true"/>
        </w:rPr>
        <w:footnoteReference w:id="17"/>
      </w:r>
      <w:r>
        <w:rPr>
          <w:rFonts w:ascii="Amiri" w:hAnsi="Amiri" w:eastAsia="Amiri" w:cs="Amiri"/>
          <w:color w:val="111111"/>
          <w:sz w:val="28"/>
          <w:sz w:val="28"/>
          <w:szCs w:val="28"/>
          <w:rtl w:val="true"/>
          <w:lang w:bidi="ar-SA"/>
        </w:rPr>
        <w:t>وكتب محمد بن محمد بن النعمان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كبت الله العدو أهانه وأذله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للفيومي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منشورات دار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النسخة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والأصح ما أثبتناه لأن السؤال يكون عنه في اعتقاد هذا الرجل وأنه هل هو بذلك غدا خارجا من الإيمان أم لا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قلعته من موضعه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المقنعة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ونشر مؤسسة النشر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المنقولة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والأصوب ما أثبتناه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المقنعة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وجوابه ليس بمفهوم جدا ولا يوجد في النسخة إلا كلمات منها إليك</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كتبنا معنى اللبن الفحل من رواية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لبن الفحل من كتاب النكاح</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المقنعة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قال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المقنعة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ومستند الشيعة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المقنعة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ومستند الشيعة ص</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يفت بهذه الفتوى الشيخ المفيد ولا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بالمقنعة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image" Target="media/image2.jpeg"/><Relationship Id="rId26" Type="http://schemas.openxmlformats.org/officeDocument/2006/relationships/image" Target="media/image2.jpeg"/><Relationship Id="rId27" Type="http://schemas.openxmlformats.org/officeDocument/2006/relationships/footer" Target="footer16.xml"/><Relationship Id="rId28" Type="http://schemas.openxmlformats.org/officeDocument/2006/relationships/footnotes" Target="footnotes.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Pages>
  <Words>2198</Words>
  <Characters>9208</Characters>
  <CharactersWithSpaces>11292</CharactersWithSpaces>
  <Paragraphs>146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2026-08-25T19:49:14Z</dcterms:created>
  <dc:creator>ghaemiyeh.com</dc:creator>
  <dc:description/>
  <dc:language>en-US</dc:language>
  <cp:lastModifiedBy/>
  <dcterms:modified xsi:type="dcterms:W3CDTF">2026-08-25T23:19:19Z</dcterms:modified>
  <cp:revision>1</cp:revision>
  <dc:subject/>
  <dc:title>المسائل الطوسیه</dc:title>
</cp:coreProperties>
</file>

<file path=docProps/custom.xml><?xml version="1.0" encoding="utf-8"?>
<Properties xmlns="http://schemas.openxmlformats.org/officeDocument/2006/custom-properties" xmlns:vt="http://schemas.openxmlformats.org/officeDocument/2006/docPropsVTypes"/>
</file>