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عرض الأعمال على الأل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96069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096071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096073_1280447820">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6096075_1280447820">
            <w:r>
              <w:rPr>
                <w:webHidden/>
                <w:rStyle w:val="IndexLink"/>
                <w:rtl w:val="true"/>
              </w:rPr>
              <w:t>حول البحث</w:t>
            </w:r>
            <w:r>
              <w:rPr>
                <w:rStyle w:val="IndexLink"/>
                <w:rtl w:val="true"/>
              </w:rPr>
              <w:tab/>
            </w:r>
            <w:r>
              <w:rPr>
                <w:rStyle w:val="IndexLink"/>
              </w:rPr>
              <w:t>11</w:t>
            </w:r>
          </w:hyperlink>
        </w:p>
        <w:p>
          <w:pPr>
            <w:pStyle w:val="Contents2"/>
            <w:tabs>
              <w:tab w:val="clear" w:pos="8743"/>
              <w:tab w:val="right" w:pos="9026" w:leader="dot"/>
            </w:tabs>
            <w:rPr/>
          </w:pPr>
          <w:hyperlink w:anchor="__RefHeading___Toc16096077_1280447820">
            <w:r>
              <w:rPr>
                <w:webHidden/>
                <w:rStyle w:val="IndexLink"/>
                <w:rtl w:val="true"/>
              </w:rPr>
              <w:t>النقطة الأولى</w:t>
            </w:r>
            <w:r>
              <w:rPr>
                <w:rStyle w:val="IndexLink"/>
                <w:rtl w:val="true"/>
              </w:rPr>
              <w:t xml:space="preserve">: </w:t>
            </w:r>
            <w:r>
              <w:rPr>
                <w:rStyle w:val="IndexLink"/>
                <w:rtl w:val="true"/>
              </w:rPr>
              <w:t>في سبب النزول</w:t>
            </w:r>
            <w:r>
              <w:rPr>
                <w:rStyle w:val="IndexLink"/>
                <w:rtl w:val="true"/>
              </w:rPr>
              <w:t>:</w:t>
            </w:r>
            <w:r>
              <w:rPr>
                <w:rStyle w:val="IndexLink"/>
                <w:rtl w:val="true"/>
              </w:rPr>
              <w:t>فلقد ورد في سبب نزول هذه الآية المباركة هذه الرواية</w:t>
            </w:r>
            <w:r>
              <w:rPr>
                <w:rStyle w:val="IndexLink"/>
                <w:rtl w:val="true"/>
              </w:rPr>
              <w:t>:</w:t>
              <w:tab/>
            </w:r>
            <w:r>
              <w:rPr>
                <w:rStyle w:val="IndexLink"/>
              </w:rPr>
              <w:t>14</w:t>
            </w:r>
          </w:hyperlink>
        </w:p>
        <w:p>
          <w:pPr>
            <w:pStyle w:val="Contents2"/>
            <w:tabs>
              <w:tab w:val="clear" w:pos="8743"/>
              <w:tab w:val="right" w:pos="9026" w:leader="dot"/>
            </w:tabs>
            <w:rPr/>
          </w:pPr>
          <w:hyperlink w:anchor="__RefHeading___Toc16096079_1280447820">
            <w:r>
              <w:rPr>
                <w:webHidden/>
                <w:rStyle w:val="IndexLink"/>
                <w:rtl w:val="true"/>
              </w:rPr>
              <w:t>النقطة الثانية</w:t>
            </w:r>
            <w:r>
              <w:rPr>
                <w:rStyle w:val="IndexLink"/>
                <w:rtl w:val="true"/>
              </w:rPr>
              <w:t xml:space="preserve">: </w:t>
            </w:r>
            <w:r>
              <w:rPr>
                <w:rStyle w:val="IndexLink"/>
                <w:rtl w:val="true"/>
              </w:rPr>
              <w:t>في معنى الرؤية هنا</w:t>
            </w:r>
            <w:r>
              <w:rPr>
                <w:rStyle w:val="IndexLink"/>
                <w:rtl w:val="true"/>
              </w:rPr>
              <w:t>:</w:t>
              <w:tab/>
            </w:r>
            <w:r>
              <w:rPr>
                <w:rStyle w:val="IndexLink"/>
              </w:rPr>
              <w:t>16</w:t>
            </w:r>
          </w:hyperlink>
        </w:p>
        <w:p>
          <w:pPr>
            <w:pStyle w:val="Contents3"/>
            <w:tabs>
              <w:tab w:val="clear" w:pos="8459"/>
              <w:tab w:val="right" w:pos="9026" w:leader="dot"/>
            </w:tabs>
            <w:rPr/>
          </w:pPr>
          <w:hyperlink w:anchor="__RefHeading___Toc16096081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6096083_1280447820">
            <w:r>
              <w:rPr>
                <w:webHidden/>
                <w:rStyle w:val="IndexLink"/>
                <w:rtl w:val="true"/>
              </w:rPr>
              <w:t>الرؤية النبوية</w:t>
            </w:r>
            <w:r>
              <w:rPr>
                <w:rStyle w:val="IndexLink"/>
                <w:rtl w:val="true"/>
              </w:rPr>
              <w:t>:</w:t>
              <w:tab/>
            </w:r>
            <w:r>
              <w:rPr>
                <w:rStyle w:val="IndexLink"/>
              </w:rPr>
              <w:t>18</w:t>
            </w:r>
          </w:hyperlink>
        </w:p>
        <w:p>
          <w:pPr>
            <w:pStyle w:val="Contents4"/>
            <w:tabs>
              <w:tab w:val="clear" w:pos="8176"/>
              <w:tab w:val="right" w:pos="9026" w:leader="dot"/>
            </w:tabs>
            <w:rPr/>
          </w:pPr>
          <w:hyperlink w:anchor="__RefHeading___Toc16096085_12804478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6096087_1280447820">
            <w:r>
              <w:rPr>
                <w:webHidden/>
                <w:rStyle w:val="IndexLink"/>
                <w:rtl w:val="true"/>
              </w:rPr>
              <w:t>الصنف الأوّل</w:t>
            </w:r>
            <w:r>
              <w:rPr>
                <w:rStyle w:val="IndexLink"/>
                <w:rtl w:val="true"/>
              </w:rPr>
              <w:t>:</w:t>
            </w:r>
            <w:r>
              <w:rPr>
                <w:rStyle w:val="IndexLink"/>
                <w:rtl w:val="true"/>
              </w:rPr>
              <w:t>أنّه صلی الله علیه و آله يرى في منامه كما يرى في يقظته</w:t>
            </w:r>
            <w:r>
              <w:rPr>
                <w:rStyle w:val="IndexLink"/>
                <w:rtl w:val="true"/>
              </w:rPr>
              <w:t>:</w:t>
              <w:tab/>
            </w:r>
            <w:r>
              <w:rPr>
                <w:rStyle w:val="IndexLink"/>
              </w:rPr>
              <w:t>18</w:t>
            </w:r>
          </w:hyperlink>
        </w:p>
        <w:p>
          <w:pPr>
            <w:pStyle w:val="Contents4"/>
            <w:tabs>
              <w:tab w:val="clear" w:pos="8176"/>
              <w:tab w:val="right" w:pos="9026" w:leader="dot"/>
            </w:tabs>
            <w:rPr/>
          </w:pPr>
          <w:hyperlink w:anchor="__RefHeading___Toc16096089_1280447820">
            <w:r>
              <w:rPr>
                <w:webHidden/>
                <w:rStyle w:val="IndexLink"/>
                <w:rtl w:val="true"/>
              </w:rPr>
              <w:t>سند الأحاديث</w:t>
            </w:r>
            <w:r>
              <w:rPr>
                <w:rStyle w:val="IndexLink"/>
                <w:rtl w:val="true"/>
              </w:rPr>
              <w:t>:</w:t>
              <w:tab/>
            </w:r>
            <w:r>
              <w:rPr>
                <w:rStyle w:val="IndexLink"/>
              </w:rPr>
              <w:t>20</w:t>
            </w:r>
          </w:hyperlink>
        </w:p>
        <w:p>
          <w:pPr>
            <w:pStyle w:val="Contents4"/>
            <w:tabs>
              <w:tab w:val="clear" w:pos="8176"/>
              <w:tab w:val="right" w:pos="9026" w:leader="dot"/>
            </w:tabs>
            <w:rPr/>
          </w:pPr>
          <w:hyperlink w:anchor="__RefHeading___Toc16096091_1280447820">
            <w:r>
              <w:rPr>
                <w:webHidden/>
                <w:rStyle w:val="IndexLink"/>
                <w:rtl w:val="true"/>
              </w:rPr>
              <w:t>دلالة الأحاديث</w:t>
            </w:r>
            <w:r>
              <w:rPr>
                <w:rStyle w:val="IndexLink"/>
                <w:rtl w:val="true"/>
              </w:rPr>
              <w:t>:</w:t>
              <w:tab/>
            </w:r>
            <w:r>
              <w:rPr>
                <w:rStyle w:val="IndexLink"/>
              </w:rPr>
              <w:t>20</w:t>
            </w:r>
          </w:hyperlink>
        </w:p>
        <w:p>
          <w:pPr>
            <w:pStyle w:val="Contents4"/>
            <w:tabs>
              <w:tab w:val="clear" w:pos="8176"/>
              <w:tab w:val="right" w:pos="9026" w:leader="dot"/>
            </w:tabs>
            <w:rPr/>
          </w:pPr>
          <w:hyperlink w:anchor="__RefHeading___Toc16096093_1280447820">
            <w:r>
              <w:rPr>
                <w:webHidden/>
                <w:rStyle w:val="IndexLink"/>
                <w:rtl w:val="true"/>
              </w:rPr>
              <w:t xml:space="preserve">عدم ناقضيّة النوم للوضوء في حقّهم علیهم السلام </w:t>
            </w:r>
            <w:r>
              <w:rPr>
                <w:rStyle w:val="IndexLink"/>
                <w:rtl w:val="true"/>
              </w:rPr>
              <w:t>:</w:t>
              <w:tab/>
            </w:r>
            <w:r>
              <w:rPr>
                <w:rStyle w:val="IndexLink"/>
              </w:rPr>
              <w:t>22</w:t>
            </w:r>
          </w:hyperlink>
        </w:p>
        <w:p>
          <w:pPr>
            <w:pStyle w:val="Contents4"/>
            <w:tabs>
              <w:tab w:val="clear" w:pos="8176"/>
              <w:tab w:val="right" w:pos="9026" w:leader="dot"/>
            </w:tabs>
            <w:rPr/>
          </w:pPr>
          <w:hyperlink w:anchor="__RefHeading___Toc16096095_1280447820">
            <w:r>
              <w:rPr>
                <w:webHidden/>
                <w:rStyle w:val="IndexLink"/>
                <w:rtl w:val="true"/>
              </w:rPr>
              <w:t>النوم الناقض للوضوء</w:t>
            </w:r>
            <w:r>
              <w:rPr>
                <w:rStyle w:val="IndexLink"/>
                <w:rtl w:val="true"/>
              </w:rPr>
              <w:t>:</w:t>
              <w:tab/>
            </w:r>
            <w:r>
              <w:rPr>
                <w:rStyle w:val="IndexLink"/>
              </w:rPr>
              <w:t>22</w:t>
            </w:r>
          </w:hyperlink>
        </w:p>
        <w:p>
          <w:pPr>
            <w:pStyle w:val="Contents4"/>
            <w:tabs>
              <w:tab w:val="clear" w:pos="8176"/>
              <w:tab w:val="right" w:pos="9026" w:leader="dot"/>
            </w:tabs>
            <w:rPr/>
          </w:pPr>
          <w:hyperlink w:anchor="__RefHeading___Toc16096097_1280447820">
            <w:r>
              <w:rPr>
                <w:webHidden/>
                <w:rStyle w:val="IndexLink"/>
              </w:rPr>
              <w:t>1</w:t>
            </w:r>
            <w:r>
              <w:rPr>
                <w:rStyle w:val="IndexLink"/>
                <w:rtl w:val="true"/>
              </w:rPr>
              <w:t xml:space="preserve">- </w:t>
            </w:r>
            <w:r>
              <w:rPr>
                <w:rStyle w:val="IndexLink"/>
                <w:rtl w:val="true"/>
              </w:rPr>
              <w:t>نوم الأُذُن والقلب</w:t>
            </w:r>
            <w:r>
              <w:rPr>
                <w:rStyle w:val="IndexLink"/>
                <w:rtl w:val="true"/>
              </w:rPr>
              <w:t>:</w:t>
              <w:tab/>
            </w:r>
            <w:r>
              <w:rPr>
                <w:rStyle w:val="IndexLink"/>
              </w:rPr>
              <w:t>22</w:t>
            </w:r>
          </w:hyperlink>
        </w:p>
        <w:p>
          <w:pPr>
            <w:pStyle w:val="Contents4"/>
            <w:tabs>
              <w:tab w:val="clear" w:pos="8176"/>
              <w:tab w:val="right" w:pos="9026" w:leader="dot"/>
            </w:tabs>
            <w:rPr/>
          </w:pPr>
          <w:hyperlink w:anchor="__RefHeading___Toc16096099_1280447820">
            <w:r>
              <w:rPr>
                <w:webHidden/>
                <w:rStyle w:val="IndexLink"/>
                <w:rtl w:val="true"/>
              </w:rPr>
              <w:t>ما أشكل على المخالفين</w:t>
            </w:r>
            <w:r>
              <w:rPr>
                <w:rStyle w:val="IndexLink"/>
                <w:rtl w:val="true"/>
              </w:rPr>
              <w:t>:</w:t>
              <w:tab/>
            </w:r>
            <w:r>
              <w:rPr>
                <w:rStyle w:val="IndexLink"/>
              </w:rPr>
              <w:t>26</w:t>
            </w:r>
          </w:hyperlink>
        </w:p>
        <w:p>
          <w:pPr>
            <w:pStyle w:val="Contents4"/>
            <w:tabs>
              <w:tab w:val="clear" w:pos="8176"/>
              <w:tab w:val="right" w:pos="9026" w:leader="dot"/>
            </w:tabs>
            <w:rPr/>
          </w:pPr>
          <w:hyperlink w:anchor="__RefHeading___Toc16096101_1280447820">
            <w:r>
              <w:rPr>
                <w:webHidden/>
                <w:rStyle w:val="IndexLink"/>
                <w:rtl w:val="true"/>
              </w:rPr>
              <w:t>رواية المخالفين</w:t>
            </w:r>
            <w:r>
              <w:rPr>
                <w:rStyle w:val="IndexLink"/>
                <w:rtl w:val="true"/>
              </w:rPr>
              <w:t>:</w:t>
              <w:tab/>
            </w:r>
            <w:r>
              <w:rPr>
                <w:rStyle w:val="IndexLink"/>
              </w:rPr>
              <w:t>28</w:t>
            </w:r>
          </w:hyperlink>
        </w:p>
        <w:p>
          <w:pPr>
            <w:pStyle w:val="Contents4"/>
            <w:tabs>
              <w:tab w:val="clear" w:pos="8176"/>
              <w:tab w:val="right" w:pos="9026" w:leader="dot"/>
            </w:tabs>
            <w:rPr/>
          </w:pPr>
          <w:hyperlink w:anchor="__RefHeading___Toc16096103_1280447820">
            <w:r>
              <w:rPr>
                <w:webHidden/>
                <w:rStyle w:val="IndexLink"/>
                <w:rtl w:val="true"/>
              </w:rPr>
              <w:t>الصنف الثاني</w:t>
            </w:r>
            <w:r>
              <w:rPr>
                <w:rStyle w:val="IndexLink"/>
                <w:rtl w:val="true"/>
              </w:rPr>
              <w:t xml:space="preserve">: </w:t>
            </w:r>
            <w:r>
              <w:rPr>
                <w:rStyle w:val="IndexLink"/>
                <w:rtl w:val="true"/>
              </w:rPr>
              <w:t>أنّه صلی الله علیه و آله يرى من خلفه كما يرى من أمامه</w:t>
            </w:r>
            <w:r>
              <w:rPr>
                <w:rStyle w:val="IndexLink"/>
                <w:rtl w:val="true"/>
              </w:rPr>
              <w:t>:</w:t>
              <w:tab/>
            </w:r>
            <w:r>
              <w:rPr>
                <w:rStyle w:val="IndexLink"/>
              </w:rPr>
              <w:t>30</w:t>
            </w:r>
          </w:hyperlink>
        </w:p>
        <w:p>
          <w:pPr>
            <w:pStyle w:val="Contents4"/>
            <w:tabs>
              <w:tab w:val="clear" w:pos="8176"/>
              <w:tab w:val="right" w:pos="9026" w:leader="dot"/>
            </w:tabs>
            <w:rPr/>
          </w:pPr>
          <w:hyperlink w:anchor="__RefHeading___Toc16096105_1280447820">
            <w:r>
              <w:rPr>
                <w:webHidden/>
                <w:rStyle w:val="IndexLink"/>
                <w:rtl w:val="true"/>
              </w:rPr>
              <w:t>سند الأحاديث</w:t>
            </w:r>
            <w:r>
              <w:rPr>
                <w:rStyle w:val="IndexLink"/>
                <w:rtl w:val="true"/>
              </w:rPr>
              <w:t>:</w:t>
              <w:tab/>
            </w:r>
            <w:r>
              <w:rPr>
                <w:rStyle w:val="IndexLink"/>
              </w:rPr>
              <w:t>31</w:t>
            </w:r>
          </w:hyperlink>
        </w:p>
        <w:p>
          <w:pPr>
            <w:pStyle w:val="Contents4"/>
            <w:tabs>
              <w:tab w:val="clear" w:pos="8176"/>
              <w:tab w:val="right" w:pos="9026" w:leader="dot"/>
            </w:tabs>
            <w:rPr/>
          </w:pPr>
          <w:hyperlink w:anchor="__RefHeading___Toc16096107_1280447820">
            <w:r>
              <w:rPr>
                <w:webHidden/>
                <w:rStyle w:val="IndexLink"/>
                <w:rtl w:val="true"/>
              </w:rPr>
              <w:t>دلالة الأحاديث</w:t>
            </w:r>
            <w:r>
              <w:rPr>
                <w:rStyle w:val="IndexLink"/>
                <w:rtl w:val="true"/>
              </w:rPr>
              <w:t>:</w:t>
              <w:tab/>
            </w:r>
            <w:r>
              <w:rPr>
                <w:rStyle w:val="IndexLink"/>
              </w:rPr>
              <w:t>32</w:t>
            </w:r>
          </w:hyperlink>
        </w:p>
        <w:p>
          <w:pPr>
            <w:pStyle w:val="Contents4"/>
            <w:tabs>
              <w:tab w:val="clear" w:pos="8176"/>
              <w:tab w:val="right" w:pos="9026" w:leader="dot"/>
            </w:tabs>
            <w:rPr/>
          </w:pPr>
          <w:hyperlink w:anchor="__RefHeading___Toc16096109_1280447820">
            <w:r>
              <w:rPr>
                <w:webHidden/>
                <w:rStyle w:val="IndexLink"/>
                <w:rtl w:val="true"/>
              </w:rPr>
              <w:t>الصنف الثالث</w:t>
            </w:r>
            <w:r>
              <w:rPr>
                <w:rStyle w:val="IndexLink"/>
                <w:rtl w:val="true"/>
              </w:rPr>
              <w:t xml:space="preserve">: </w:t>
            </w:r>
            <w:r>
              <w:rPr>
                <w:rStyle w:val="IndexLink"/>
                <w:rtl w:val="true"/>
              </w:rPr>
              <w:t>ما دلّ على الأمرين السابقين</w:t>
            </w:r>
            <w:r>
              <w:rPr>
                <w:rStyle w:val="IndexLink"/>
                <w:rtl w:val="true"/>
              </w:rPr>
              <w:t>:</w:t>
              <w:tab/>
            </w:r>
            <w:r>
              <w:rPr>
                <w:rStyle w:val="IndexLink"/>
              </w:rPr>
              <w:t>34</w:t>
            </w:r>
          </w:hyperlink>
        </w:p>
        <w:p>
          <w:pPr>
            <w:pStyle w:val="Contents4"/>
            <w:tabs>
              <w:tab w:val="clear" w:pos="8176"/>
              <w:tab w:val="right" w:pos="9026" w:leader="dot"/>
            </w:tabs>
            <w:rPr/>
          </w:pPr>
          <w:hyperlink w:anchor="__RefHeading___Toc16096111_1280447820">
            <w:r>
              <w:rPr>
                <w:webHidden/>
                <w:rStyle w:val="IndexLink"/>
                <w:rtl w:val="true"/>
              </w:rPr>
              <w:t xml:space="preserve">جريان ذلك في حقّ الأئمة المعصومين علیهم السلام </w:t>
            </w:r>
            <w:r>
              <w:rPr>
                <w:rStyle w:val="IndexLink"/>
                <w:rtl w:val="true"/>
              </w:rPr>
              <w:t>:</w:t>
              <w:tab/>
            </w:r>
            <w:r>
              <w:rPr>
                <w:rStyle w:val="IndexLink"/>
              </w:rPr>
              <w:t>36</w:t>
            </w:r>
          </w:hyperlink>
        </w:p>
        <w:p>
          <w:pPr>
            <w:pStyle w:val="Contents3"/>
            <w:tabs>
              <w:tab w:val="clear" w:pos="8459"/>
              <w:tab w:val="right" w:pos="9026" w:leader="dot"/>
            </w:tabs>
            <w:rPr/>
          </w:pPr>
          <w:hyperlink w:anchor="__RefHeading___Toc16096113_1280447820">
            <w:r>
              <w:rPr>
                <w:webHidden/>
                <w:rStyle w:val="IndexLink"/>
                <w:rtl w:val="true"/>
              </w:rPr>
              <w:t>النقطة الثالثة</w:t>
            </w:r>
            <w:r>
              <w:rPr>
                <w:rStyle w:val="IndexLink"/>
                <w:rtl w:val="true"/>
              </w:rPr>
              <w:t xml:space="preserve">: </w:t>
            </w:r>
            <w:r>
              <w:rPr>
                <w:rStyle w:val="IndexLink"/>
                <w:rtl w:val="true"/>
              </w:rPr>
              <w:t>المراد بالمؤمنين هنا</w:t>
            </w:r>
            <w:r>
              <w:rPr>
                <w:rStyle w:val="IndexLink"/>
                <w:rtl w:val="true"/>
              </w:rPr>
              <w:t>:</w:t>
              <w:tab/>
            </w:r>
            <w:r>
              <w:rPr>
                <w:rStyle w:val="IndexLink"/>
              </w:rPr>
              <w:t>37</w:t>
            </w:r>
          </w:hyperlink>
        </w:p>
        <w:p>
          <w:pPr>
            <w:pStyle w:val="Contents3"/>
            <w:tabs>
              <w:tab w:val="clear" w:pos="8459"/>
              <w:tab w:val="right" w:pos="9026" w:leader="dot"/>
            </w:tabs>
            <w:rPr/>
          </w:pPr>
          <w:hyperlink w:anchor="__RefHeading___Toc16096115_1280447820">
            <w:r>
              <w:rPr>
                <w:webHidden/>
                <w:rStyle w:val="IndexLink"/>
                <w:rtl w:val="true"/>
              </w:rPr>
              <w:t>النقطة الرابعة</w:t>
            </w:r>
            <w:r>
              <w:rPr>
                <w:rStyle w:val="IndexLink"/>
                <w:rtl w:val="true"/>
              </w:rPr>
              <w:t xml:space="preserve">: </w:t>
            </w:r>
            <w:r>
              <w:rPr>
                <w:rStyle w:val="IndexLink"/>
                <w:rtl w:val="true"/>
              </w:rPr>
              <w:t>دلالة الفاء</w:t>
            </w:r>
            <w:r>
              <w:rPr>
                <w:rStyle w:val="IndexLink"/>
                <w:rtl w:val="true"/>
              </w:rPr>
              <w:t>:</w:t>
              <w:tab/>
            </w:r>
            <w:r>
              <w:rPr>
                <w:rStyle w:val="IndexLink"/>
              </w:rPr>
              <w:t>39</w:t>
            </w:r>
          </w:hyperlink>
        </w:p>
        <w:p>
          <w:pPr>
            <w:pStyle w:val="Contents3"/>
            <w:tabs>
              <w:tab w:val="clear" w:pos="8459"/>
              <w:tab w:val="right" w:pos="9026" w:leader="dot"/>
            </w:tabs>
            <w:rPr/>
          </w:pPr>
          <w:hyperlink w:anchor="__RefHeading___Toc16096117_1280447820">
            <w:r>
              <w:rPr>
                <w:webHidden/>
                <w:rStyle w:val="IndexLink"/>
                <w:rtl w:val="true"/>
              </w:rPr>
              <w:t>النقطة الخامسة</w:t>
            </w:r>
            <w:r>
              <w:rPr>
                <w:rStyle w:val="IndexLink"/>
                <w:rtl w:val="true"/>
              </w:rPr>
              <w:t xml:space="preserve">: </w:t>
            </w:r>
            <w:r>
              <w:rPr>
                <w:rStyle w:val="IndexLink"/>
                <w:rtl w:val="true"/>
              </w:rPr>
              <w:t>دلالة السين</w:t>
            </w:r>
            <w:r>
              <w:rPr>
                <w:rStyle w:val="IndexLink"/>
                <w:rtl w:val="true"/>
              </w:rPr>
              <w:t>:</w:t>
              <w:tab/>
            </w:r>
            <w:r>
              <w:rPr>
                <w:rStyle w:val="IndexLink"/>
              </w:rPr>
              <w:t>41</w:t>
            </w:r>
          </w:hyperlink>
        </w:p>
        <w:p>
          <w:pPr>
            <w:pStyle w:val="Contents3"/>
            <w:tabs>
              <w:tab w:val="clear" w:pos="8459"/>
              <w:tab w:val="right" w:pos="9026" w:leader="dot"/>
            </w:tabs>
            <w:rPr/>
          </w:pPr>
          <w:hyperlink w:anchor="__RefHeading___Toc16096119_1280447820">
            <w:r>
              <w:rPr>
                <w:webHidden/>
                <w:rStyle w:val="IndexLink"/>
                <w:rtl w:val="true"/>
              </w:rPr>
              <w:t>النقطة السادسة</w:t>
            </w:r>
            <w:r>
              <w:rPr>
                <w:rStyle w:val="IndexLink"/>
                <w:rtl w:val="true"/>
              </w:rPr>
              <w:t xml:space="preserve">: </w:t>
            </w:r>
            <w:r>
              <w:rPr>
                <w:rStyle w:val="IndexLink"/>
                <w:rtl w:val="true"/>
              </w:rPr>
              <w:t>دلالة العطف بالواو</w:t>
            </w:r>
            <w:r>
              <w:rPr>
                <w:rStyle w:val="IndexLink"/>
                <w:rtl w:val="true"/>
              </w:rPr>
              <w:t>:</w:t>
              <w:tab/>
            </w:r>
            <w:r>
              <w:rPr>
                <w:rStyle w:val="IndexLink"/>
              </w:rPr>
              <w:t>43</w:t>
            </w:r>
          </w:hyperlink>
        </w:p>
        <w:p>
          <w:pPr>
            <w:pStyle w:val="Contents3"/>
            <w:tabs>
              <w:tab w:val="clear" w:pos="8459"/>
              <w:tab w:val="right" w:pos="9026" w:leader="dot"/>
            </w:tabs>
            <w:rPr/>
          </w:pPr>
          <w:hyperlink w:anchor="__RefHeading___Toc16096121_1280447820">
            <w:r>
              <w:rPr>
                <w:webHidden/>
                <w:rStyle w:val="IndexLink"/>
                <w:rtl w:val="true"/>
              </w:rPr>
              <w:t>النقطة السابعة</w:t>
            </w:r>
            <w:r>
              <w:rPr>
                <w:rStyle w:val="IndexLink"/>
                <w:rtl w:val="true"/>
              </w:rPr>
              <w:t xml:space="preserve">: </w:t>
            </w:r>
            <w:r>
              <w:rPr>
                <w:rStyle w:val="IndexLink"/>
                <w:rtl w:val="true"/>
              </w:rPr>
              <w:t>عموم العمل والعامل</w:t>
            </w:r>
            <w:r>
              <w:rPr>
                <w:rStyle w:val="IndexLink"/>
                <w:rtl w:val="true"/>
              </w:rPr>
              <w:t>:</w:t>
              <w:tab/>
            </w:r>
            <w:r>
              <w:rPr>
                <w:rStyle w:val="IndexLink"/>
              </w:rPr>
              <w:t>45</w:t>
            </w:r>
          </w:hyperlink>
        </w:p>
        <w:p>
          <w:pPr>
            <w:pStyle w:val="Contents3"/>
            <w:tabs>
              <w:tab w:val="clear" w:pos="8459"/>
              <w:tab w:val="right" w:pos="9026" w:leader="dot"/>
            </w:tabs>
            <w:rPr/>
          </w:pPr>
          <w:hyperlink w:anchor="__RefHeading___Toc16096123_1280447820">
            <w:r>
              <w:rPr>
                <w:webHidden/>
                <w:rStyle w:val="IndexLink"/>
                <w:rtl w:val="true"/>
              </w:rPr>
              <w:t>النقطة الثامنة</w:t>
            </w:r>
            <w:r>
              <w:rPr>
                <w:rStyle w:val="IndexLink"/>
                <w:rtl w:val="true"/>
              </w:rPr>
              <w:t xml:space="preserve">: </w:t>
            </w:r>
            <w:r>
              <w:rPr>
                <w:rStyle w:val="IndexLink"/>
                <w:rtl w:val="true"/>
              </w:rPr>
              <w:t>وقت عرض الأعمال</w:t>
            </w:r>
            <w:r>
              <w:rPr>
                <w:rStyle w:val="IndexLink"/>
                <w:rtl w:val="true"/>
              </w:rPr>
              <w:t>:</w:t>
              <w:tab/>
            </w:r>
            <w:r>
              <w:rPr>
                <w:rStyle w:val="IndexLink"/>
              </w:rPr>
              <w:t>47</w:t>
            </w:r>
          </w:hyperlink>
        </w:p>
        <w:p>
          <w:pPr>
            <w:pStyle w:val="Contents4"/>
            <w:tabs>
              <w:tab w:val="clear" w:pos="8176"/>
              <w:tab w:val="right" w:pos="9026" w:leader="dot"/>
            </w:tabs>
            <w:rPr/>
          </w:pPr>
          <w:hyperlink w:anchor="__RefHeading___Toc16096125_128044782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6096127_1280447820">
            <w:r>
              <w:rPr>
                <w:webHidden/>
                <w:rStyle w:val="IndexLink"/>
                <w:rtl w:val="true"/>
              </w:rPr>
              <w:t>أوّلاً</w:t>
            </w:r>
            <w:r>
              <w:rPr>
                <w:rStyle w:val="IndexLink"/>
                <w:rtl w:val="true"/>
              </w:rPr>
              <w:t>:</w:t>
            </w:r>
            <w:r>
              <w:rPr>
                <w:rStyle w:val="IndexLink"/>
                <w:rtl w:val="true"/>
              </w:rPr>
              <w:t>عرض الأعمال كلّ يوم</w:t>
            </w:r>
            <w:r>
              <w:rPr>
                <w:rStyle w:val="IndexLink"/>
                <w:rtl w:val="true"/>
              </w:rPr>
              <w:t>:</w:t>
              <w:tab/>
            </w:r>
            <w:r>
              <w:rPr>
                <w:rStyle w:val="IndexLink"/>
              </w:rPr>
              <w:t>47</w:t>
            </w:r>
          </w:hyperlink>
        </w:p>
        <w:p>
          <w:pPr>
            <w:pStyle w:val="Contents4"/>
            <w:tabs>
              <w:tab w:val="clear" w:pos="8176"/>
              <w:tab w:val="right" w:pos="9026" w:leader="dot"/>
            </w:tabs>
            <w:rPr/>
          </w:pPr>
          <w:hyperlink w:anchor="__RefHeading___Toc16096129_1280447820">
            <w:r>
              <w:rPr>
                <w:webHidden/>
                <w:rStyle w:val="IndexLink"/>
                <w:rtl w:val="true"/>
              </w:rPr>
              <w:t>ثانياً</w:t>
            </w:r>
            <w:r>
              <w:rPr>
                <w:rStyle w:val="IndexLink"/>
                <w:rtl w:val="true"/>
              </w:rPr>
              <w:t xml:space="preserve">: </w:t>
            </w:r>
            <w:r>
              <w:rPr>
                <w:rStyle w:val="IndexLink"/>
                <w:rtl w:val="true"/>
              </w:rPr>
              <w:t>يومي الاثنين والخميس</w:t>
            </w:r>
            <w:r>
              <w:rPr>
                <w:rStyle w:val="IndexLink"/>
                <w:rtl w:val="true"/>
              </w:rPr>
              <w:t>:</w:t>
              <w:tab/>
            </w:r>
            <w:r>
              <w:rPr>
                <w:rStyle w:val="IndexLink"/>
              </w:rPr>
              <w:t>50</w:t>
            </w:r>
          </w:hyperlink>
        </w:p>
        <w:p>
          <w:pPr>
            <w:pStyle w:val="Contents4"/>
            <w:tabs>
              <w:tab w:val="clear" w:pos="8176"/>
              <w:tab w:val="right" w:pos="9026" w:leader="dot"/>
            </w:tabs>
            <w:rPr/>
          </w:pPr>
          <w:hyperlink w:anchor="__RefHeading___Toc16096131_1280447820">
            <w:r>
              <w:rPr>
                <w:webHidden/>
                <w:rStyle w:val="IndexLink"/>
                <w:rtl w:val="true"/>
              </w:rPr>
              <w:t>ثالثا</w:t>
            </w:r>
            <w:r>
              <w:rPr>
                <w:rStyle w:val="IndexLink"/>
                <w:rtl w:val="true"/>
              </w:rPr>
              <w:t xml:space="preserve">: </w:t>
            </w:r>
            <w:r>
              <w:rPr>
                <w:rStyle w:val="IndexLink"/>
                <w:rtl w:val="true"/>
              </w:rPr>
              <w:t>بعد الوضع في القبر</w:t>
            </w:r>
            <w:r>
              <w:rPr>
                <w:rStyle w:val="IndexLink"/>
                <w:rtl w:val="true"/>
              </w:rPr>
              <w:t>:</w:t>
              <w:tab/>
            </w:r>
            <w:r>
              <w:rPr>
                <w:rStyle w:val="IndexLink"/>
              </w:rPr>
              <w:t>52</w:t>
            </w:r>
          </w:hyperlink>
        </w:p>
        <w:p>
          <w:pPr>
            <w:pStyle w:val="Contents4"/>
            <w:tabs>
              <w:tab w:val="clear" w:pos="8176"/>
              <w:tab w:val="right" w:pos="9026" w:leader="dot"/>
            </w:tabs>
            <w:rPr/>
          </w:pPr>
          <w:hyperlink w:anchor="__RefHeading___Toc16096133_1280447820">
            <w:r>
              <w:rPr>
                <w:webHidden/>
                <w:rStyle w:val="IndexLink"/>
                <w:rtl w:val="true"/>
              </w:rPr>
              <w:t>رابعاً</w:t>
            </w:r>
            <w:r>
              <w:rPr>
                <w:rStyle w:val="IndexLink"/>
                <w:rtl w:val="true"/>
              </w:rPr>
              <w:t xml:space="preserve">: </w:t>
            </w:r>
            <w:r>
              <w:rPr>
                <w:rStyle w:val="IndexLink"/>
                <w:rtl w:val="true"/>
              </w:rPr>
              <w:t>في يوم القيامة</w:t>
            </w:r>
            <w:r>
              <w:rPr>
                <w:rStyle w:val="IndexLink"/>
                <w:rtl w:val="true"/>
              </w:rPr>
              <w:t>:</w:t>
              <w:tab/>
            </w:r>
            <w:r>
              <w:rPr>
                <w:rStyle w:val="IndexLink"/>
              </w:rPr>
              <w:t>53</w:t>
            </w:r>
          </w:hyperlink>
        </w:p>
        <w:p>
          <w:pPr>
            <w:pStyle w:val="Contents4"/>
            <w:tabs>
              <w:tab w:val="clear" w:pos="8176"/>
              <w:tab w:val="right" w:pos="9026" w:leader="dot"/>
            </w:tabs>
            <w:rPr/>
          </w:pPr>
          <w:hyperlink w:anchor="__RefHeading___Toc16096135_1280447820">
            <w:r>
              <w:rPr>
                <w:webHidden/>
                <w:rStyle w:val="IndexLink"/>
                <w:rtl w:val="true"/>
              </w:rPr>
              <w:t>العرض من أجل الحساب</w:t>
            </w:r>
            <w:r>
              <w:rPr>
                <w:rStyle w:val="IndexLink"/>
                <w:rtl w:val="true"/>
              </w:rPr>
              <w:t>:</w:t>
              <w:tab/>
            </w:r>
            <w:r>
              <w:rPr>
                <w:rStyle w:val="IndexLink"/>
              </w:rPr>
              <w:t>54</w:t>
            </w:r>
          </w:hyperlink>
        </w:p>
        <w:p>
          <w:pPr>
            <w:pStyle w:val="Contents4"/>
            <w:tabs>
              <w:tab w:val="clear" w:pos="8176"/>
              <w:tab w:val="right" w:pos="9026" w:leader="dot"/>
            </w:tabs>
            <w:rPr/>
          </w:pPr>
          <w:hyperlink w:anchor="__RefHeading___Toc16096137_1280447820">
            <w:r>
              <w:rPr>
                <w:webHidden/>
                <w:rStyle w:val="IndexLink"/>
                <w:rtl w:val="true"/>
              </w:rPr>
              <w:t>شُبهةٌ وردُّها</w:t>
            </w:r>
            <w:r>
              <w:rPr>
                <w:rStyle w:val="IndexLink"/>
                <w:rtl w:val="true"/>
              </w:rPr>
              <w:t>:</w:t>
              <w:tab/>
            </w:r>
            <w:r>
              <w:rPr>
                <w:rStyle w:val="IndexLink"/>
              </w:rPr>
              <w:t>56</w:t>
            </w:r>
          </w:hyperlink>
        </w:p>
        <w:p>
          <w:pPr>
            <w:pStyle w:val="Contents3"/>
            <w:tabs>
              <w:tab w:val="clear" w:pos="8459"/>
              <w:tab w:val="right" w:pos="9026" w:leader="dot"/>
            </w:tabs>
            <w:rPr/>
          </w:pPr>
          <w:hyperlink w:anchor="__RefHeading___Toc16096139_1280447820">
            <w:r>
              <w:rPr>
                <w:webHidden/>
                <w:rStyle w:val="IndexLink"/>
                <w:rtl w:val="true"/>
              </w:rPr>
              <w:t>الجمع بين الروايات</w:t>
            </w:r>
            <w:r>
              <w:rPr>
                <w:rStyle w:val="IndexLink"/>
                <w:rtl w:val="true"/>
              </w:rPr>
              <w:t>:</w:t>
              <w:tab/>
            </w:r>
            <w:r>
              <w:rPr>
                <w:rStyle w:val="IndexLink"/>
              </w:rPr>
              <w:t>61</w:t>
            </w:r>
          </w:hyperlink>
        </w:p>
        <w:p>
          <w:pPr>
            <w:pStyle w:val="Contents2"/>
            <w:tabs>
              <w:tab w:val="clear" w:pos="8743"/>
              <w:tab w:val="right" w:pos="9026" w:leader="dot"/>
            </w:tabs>
            <w:rPr/>
          </w:pPr>
          <w:hyperlink w:anchor="__RefHeading___Toc16096141_1280447820">
            <w:r>
              <w:rPr>
                <w:webHidden/>
                <w:rStyle w:val="IndexLink"/>
                <w:rtl w:val="true"/>
              </w:rPr>
              <w:t>خاتمة</w:t>
            </w:r>
            <w:r>
              <w:rPr>
                <w:rStyle w:val="IndexLink"/>
                <w:rtl w:val="true"/>
              </w:rPr>
              <w:tab/>
            </w:r>
            <w:r>
              <w:rPr>
                <w:rStyle w:val="IndexLink"/>
              </w:rPr>
              <w:t>63</w:t>
            </w:r>
          </w:hyperlink>
        </w:p>
        <w:p>
          <w:pPr>
            <w:pStyle w:val="Contents3"/>
            <w:tabs>
              <w:tab w:val="clear" w:pos="8459"/>
              <w:tab w:val="right" w:pos="9026" w:leader="dot"/>
            </w:tabs>
            <w:rPr/>
          </w:pPr>
          <w:hyperlink w:anchor="__RefHeading___Toc16096143_128044782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6096145_1280447820">
            <w:r>
              <w:rPr>
                <w:webHidden/>
                <w:rStyle w:val="IndexLink"/>
                <w:rtl w:val="true"/>
              </w:rPr>
              <w:t>المحتویات</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59_180016"/>
      <w:bookmarkStart w:id="1" w:name="pg19159_180016"/>
      <w:bookmarkEnd w:id="1"/>
    </w:p>
    <w:p>
      <w:pPr>
        <w:pStyle w:val="Heading2"/>
        <w:numPr>
          <w:ilvl w:val="1"/>
          <w:numId w:val="1"/>
        </w:numPr>
        <w:rPr/>
      </w:pPr>
      <w:bookmarkStart w:id="2" w:name="pg19159_180016"/>
      <w:bookmarkStart w:id="3" w:name="__RefHeading___Toc16096069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عرض الأعمال على الأل</w:t>
      </w:r>
    </w:p>
    <w:p>
      <w:pPr>
        <w:pStyle w:val="BookText"/>
        <w:rPr/>
      </w:pPr>
      <w:r>
        <w:rPr>
          <w:rFonts w:ascii="Amiri" w:hAnsi="Amiri" w:eastAsia="Amiri" w:cs="Amiri"/>
          <w:color w:val="111111"/>
          <w:sz w:val="28"/>
          <w:sz w:val="28"/>
          <w:szCs w:val="28"/>
          <w:rtl w:val="true"/>
          <w:lang w:bidi="ar-SA"/>
        </w:rPr>
        <w:t>الشيخ على عيسى الزواد</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96071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إِيَّاكَ نَعْبُدُ وَإِيَّاكَ نَسْتَعِينُ</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اسْتَغْفِرُوا رَبَّكُمْ ثُمَّ تُوبُوا إِلَيْهِ يُمَتِّعْكُمْ مَتَاعًا حَسَنًا إِلَى أَجَلٍ مُسَمًّى وَيُؤْتِ كُلَّ ذِي فَضْلٍ فَضْلَهُ وَإِنْ تَوَلَّوْا فَإِنِّي أَخَافُ عَلَيْكُمْ عَذَابَ يَوْمٍ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 w:name="pg19159_180022"/>
    </w:p>
    <w:p>
      <w:pPr>
        <w:pStyle w:val="Heading2"/>
        <w:numPr>
          <w:ilvl w:val="1"/>
          <w:numId w:val="1"/>
        </w:numPr>
        <w:rPr/>
      </w:pPr>
      <w:bookmarkStart w:id="8" w:name="__RefHeading___Toc16096073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 xml:space="preserve">الحمد لله الذي أنزل على عبده كتاباً أحكمت آياته ثم فصلت من لدن حكيم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 نزله روح القدس من ربك بالحق ليثبت الذين آمنوا وهدى وبشرى للمسلمين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وأفضل صلوات الله وأكمل تسليماته على سيِّد رسله الذي أرسله بالهدى ودين الحق ليظهره على الدين كله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آله المصطفين الأخيار، الأئمة الأبرار، أولئك هم الصدِّيقون والشهداء على الخلق أجمعين، وحجج الله على </w:t>
      </w:r>
    </w:p>
    <w:p>
      <w:pPr>
        <w:pStyle w:val="BookText"/>
        <w:rPr/>
      </w:pP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واللعنة الدائمة على أعدائهم، الذين اشتروا الضلالة بالهدى فما ربحت تجارتهم وما كانوا مهتدين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مسألة عرض الأعمال على الآل علیهم السلام قد لا تكون من الأمور المُسلَّم بها عند البعض، وقد يُسلِّم بها بعض آخر ولكن يراها محدودة بأعمال خاصّة، وليست شاملة لكلِّ فعل تفعله الخلائق، ومن هنا أحببت أن أُساهم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الرسالة المختصرة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تحصيل اليقين لإخواني المؤمنين، من أجل النجاة في يوم الدين، يوم لا ينفع مال ولا بنون، إلاّ من أتى الله تعالى بقلب سليم، والقلب السليم هو المعتقد بالعقائد الحقّة، ومنها الاعتقاد في أئمة الهدى وسفن النجاة بأنّهم عالمون عارفون بأفعال العباد، كما تُعرض عليهم علیهم السلام تلك الأفعال، فجعلنا البحث يدور حول الآية المباركة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اقتضى البحث أن نتطرّق إلى أنّ حساب الخلائق على سيدنا ونبينا محمد وآله صلوات الله وسلامه عليه وعليهم أجمعين، وهو أمر تسالمت عليه الطائفة، وتواترت فيه أحاديث أهل العصمة علیهم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مجهودي، قصدتُ به وجه خالقي وربِّي، وأسأله تعالى أن ينفعني به برعايته وعنايته، كما أسأله تعالى أن ينفع به إخواني المؤمنين 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الذين آمنوا، يخرجهم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علي عيسى الزواد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0" w:name="pg19159_180027"/>
    </w:p>
    <w:p>
      <w:pPr>
        <w:pStyle w:val="Heading2"/>
        <w:numPr>
          <w:ilvl w:val="1"/>
          <w:numId w:val="1"/>
        </w:numPr>
        <w:rPr/>
      </w:pPr>
      <w:bookmarkStart w:id="11" w:name="__RefHeading___Toc16096075_1280447820"/>
      <w:bookmarkStart w:id="12" w:name="_Toc4"/>
      <w:bookmarkEnd w:id="10"/>
      <w:bookmarkEnd w:id="11"/>
      <w:r>
        <w:rPr>
          <w:rtl w:val="true"/>
        </w:rPr>
        <w:t>حول البحث</w:t>
      </w:r>
      <w:bookmarkEnd w:id="12"/>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عن هذه الآية المباركة في نقاط 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الرؤية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بالمؤمنين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الفاء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السين هنا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العطف بالواو هنا</w:t>
      </w:r>
      <w:r>
        <w:rPr>
          <w:rFonts w:eastAsia="Amiri" w:cs="Amiri" w:ascii="Amiri" w:hAnsi="Amiri"/>
          <w:color w:val="111111"/>
          <w:sz w:val="28"/>
          <w:szCs w:val="28"/>
          <w:rtl w:val="true"/>
          <w:lang w:bidi="ar-SA"/>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العمل والعامل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عرض الأعمال</w:t>
      </w:r>
      <w:r>
        <w:rPr>
          <w:rFonts w:eastAsia="Amiri" w:cs="Amiri" w:ascii="Amiri" w:hAnsi="Amiri"/>
          <w:color w:val="111111"/>
          <w:sz w:val="28"/>
          <w:szCs w:val="28"/>
          <w:rtl w:val="true"/>
          <w:lang w:bidi="ar-SA"/>
        </w:rPr>
        <w:t xml:space="preserve">. </w:t>
      </w:r>
      <w:bookmarkStart w:id="13" w:name="pg19159_180032"/>
    </w:p>
    <w:p>
      <w:pPr>
        <w:pStyle w:val="Heading2"/>
        <w:numPr>
          <w:ilvl w:val="1"/>
          <w:numId w:val="1"/>
        </w:numPr>
        <w:rPr/>
      </w:pPr>
      <w:bookmarkStart w:id="14" w:name="__RefHeading___Toc16096077_1280447820"/>
      <w:bookmarkStart w:id="15" w:name="_Toc5"/>
      <w:bookmarkEnd w:id="13"/>
      <w:bookmarkEnd w:id="14"/>
      <w:r>
        <w:rPr>
          <w:rtl w:val="true"/>
        </w:rPr>
        <w:t>النقطة الأولى</w:t>
      </w:r>
      <w:r>
        <w:rPr>
          <w:rtl w:val="true"/>
        </w:rPr>
        <w:t xml:space="preserve">: </w:t>
      </w:r>
      <w:r>
        <w:rPr>
          <w:rtl w:val="true"/>
        </w:rPr>
        <w:t>في سبب النزول</w:t>
      </w:r>
      <w:r>
        <w:rPr>
          <w:rtl w:val="true"/>
        </w:rPr>
        <w:t>:</w:t>
      </w:r>
      <w:r>
        <w:rPr>
          <w:rtl w:val="true"/>
        </w:rPr>
        <w:t>فلقد ورد في سبب نزول هذه الآية المباركة هذه الرواية</w:t>
      </w:r>
      <w:r>
        <w:rPr>
          <w:rtl w:val="true"/>
        </w:rPr>
        <w:t>:</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طاووس الحسني في سعد السعود</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سعيد الخدري أن عمار بن ياسر قال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أنّك عمّرت فينا عمر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حياتي خير لكم، ووفاتي ليس بشر لكم، أمّا في حياتي فتُحْدثون واستغفر الله لكم، وأمّا بعد وفاتي فاتقوا الله وأحسنوا الصلاة عليّ وعلى أهل بيتي، وأنكم تعرضون عليّ بأسمائكم وأسماء آبائكم وأنسابكم وقبائلكم، فإن يكن خيراً حمدت الله وإن يكن سوى ذلك استغفرت الله لكم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المنافقون والشكاك والذين في قلبهم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الأعمال تعرض عليه بعد وفاته بأسماء الرجال وأسماء آبائهم وأنسابهم إلى قبائلهم، إن هذا لهو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المؤمنون؟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وخاصّة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وَسَتُرَدُّونَ إِلَى عَالِمِ الْغَيْبِ وَالشَّهَادَةِ فَيُنَبِّئُكُمْ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طاعة ومعصية</w:t>
      </w:r>
      <w:r>
        <w:rPr>
          <w:rFonts w:eastAsia="Amiri" w:cs="Amiri" w:ascii="Amiri" w:hAnsi="Amiri"/>
          <w:color w:val="111111"/>
          <w:sz w:val="28"/>
          <w:szCs w:val="28"/>
          <w:rtl w:val="true"/>
          <w:lang w:bidi="ar-SA"/>
        </w:rPr>
        <w:t xml:space="preserve">). </w:t>
      </w:r>
      <w:bookmarkStart w:id="16" w:name="pg19159_180035"/>
    </w:p>
    <w:p>
      <w:pPr>
        <w:pStyle w:val="Heading2"/>
        <w:numPr>
          <w:ilvl w:val="1"/>
          <w:numId w:val="1"/>
        </w:numPr>
        <w:rPr/>
      </w:pPr>
      <w:bookmarkStart w:id="17" w:name="__RefHeading___Toc16096079_1280447820"/>
      <w:bookmarkStart w:id="18" w:name="_Toc6"/>
      <w:bookmarkEnd w:id="16"/>
      <w:bookmarkEnd w:id="17"/>
      <w:r>
        <w:rPr>
          <w:rtl w:val="true"/>
        </w:rPr>
        <w:t>النقطة الثانية</w:t>
      </w:r>
      <w:r>
        <w:rPr>
          <w:rtl w:val="true"/>
        </w:rPr>
        <w:t xml:space="preserve">: </w:t>
      </w:r>
      <w:r>
        <w:rPr>
          <w:rtl w:val="true"/>
        </w:rPr>
        <w:t>في معنى الرؤية هنا</w:t>
      </w:r>
      <w:r>
        <w:rPr>
          <w:rtl w:val="true"/>
        </w:rPr>
        <w:t>:</w:t>
      </w:r>
      <w:bookmarkEnd w:id="18"/>
    </w:p>
    <w:p>
      <w:pPr>
        <w:pStyle w:val="Heading3"/>
        <w:numPr>
          <w:ilvl w:val="2"/>
          <w:numId w:val="1"/>
        </w:numPr>
        <w:rPr/>
      </w:pPr>
      <w:bookmarkStart w:id="19" w:name="__RefHeading___Toc16096081_1280447820"/>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الرؤية إمّا بصرية أو قلبية، والرؤية البصرية محال على الله تعالى عن ذلك علواً كبيراً، لأنّ الذي يُبصر بواسطة العين فهو مُحتاج إلى عينه كي يُبصر بها، والإحتياج صفة نقص لأنّها من صفات الممكن لا من صفات الواجب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تكون رؤية قلبية؛ بمعنى العلم، لا أن يكون النظر بواسطة القلب وإلاّ عاد المحذور السابق في الرؤية البصريّة،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رأيتالله أكبر كلّ شيء؛ أي علمت بأن الله أكبر من كل شيء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الرؤية القلبية لا تتوقف على بصر، ومن هنا نقول أنّ معرفة أهل البيت وعلمهم بأعمال العباد لا يتوقف على البصر، </w:t>
      </w:r>
    </w:p>
    <w:p>
      <w:pPr>
        <w:pStyle w:val="BookText"/>
        <w:rPr/>
      </w:pPr>
      <w:r>
        <w:rPr>
          <w:rFonts w:ascii="IRNazanin" w:hAnsi="IRNazanin" w:eastAsia="IRNazanin"/>
          <w:color w:val="111111"/>
          <w:sz w:val="28"/>
          <w:sz w:val="28"/>
          <w:szCs w:val="28"/>
          <w:rtl w:val="true"/>
          <w:lang w:bidi="fa-IR"/>
        </w:rPr>
        <w:t>لأنّ الرؤية قد ذُكرت في الآية مرّة واحدة، وأسندت إلى الله تعالى وكما قلنا أنّها بمعنى العلم، فكذلك تكون بمعنى العلم في حقّ أهل البيت علیهم السلام وإلاّ للزم أن يكون لفظ واحد أطلق وأريد منه معنيان باستعمال واحد وهذا مما لا يرتضيه مشهور الأصوليين، فالإستعمال الواحد يقتضي معنى واحداً فارداً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يصحّ أن ندّعي بأنّ الرؤية هنا لها معنى مجازي شامل للرؤيتين القلبية والبصريّة، لأنّ المجاز بحاجة إلى قرينة وهي مفقودة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أنّه لا تصحّ الرؤية البصريّة هنا في حقِّهم علیهم السلام أيضاً، لأن رؤية أعمال الخلائق جميعاً بالبصر يأباه عالم البصر المحدود بشرائط التي منها أن لا تجتمع أكثر من صورة مرتسمة في العين في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ولذلك ورد عن النبي  صلی الله علیه و آله  أنّه كان يرى من خلفه كما يرى من أمامه ويرى في منامه كما يرى في حال يقظته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كانت رؤيته  صلی الله علیه و آله  بواسطة العين لما شاهد من الخلف ولما رأى في حال إغماض العين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وصل البحث إلى رؤية النبي  صلی الله علیه و آله  فلا بأس بتسليط شيء من الضوء على تلك الرؤية النبوية فأقول</w:t>
      </w:r>
      <w:r>
        <w:rPr>
          <w:rFonts w:eastAsia="IRNazanin" w:cs="IRNazanin"/>
          <w:color w:val="111111"/>
          <w:sz w:val="28"/>
          <w:szCs w:val="28"/>
          <w:rtl w:val="true"/>
          <w:lang w:bidi="fa-IR"/>
        </w:rPr>
        <w:t xml:space="preserve">: </w:t>
      </w:r>
      <w:bookmarkStart w:id="21" w:name="pg19159_180038"/>
    </w:p>
    <w:p>
      <w:pPr>
        <w:pStyle w:val="Heading3"/>
        <w:numPr>
          <w:ilvl w:val="2"/>
          <w:numId w:val="1"/>
        </w:numPr>
        <w:rPr/>
      </w:pPr>
      <w:bookmarkStart w:id="22" w:name="__RefHeading___Toc16096083_1280447820"/>
      <w:bookmarkStart w:id="23" w:name="_Toc8"/>
      <w:bookmarkEnd w:id="21"/>
      <w:bookmarkEnd w:id="22"/>
      <w:r>
        <w:rPr>
          <w:rtl w:val="true"/>
        </w:rPr>
        <w:t>الرؤية النبوية</w:t>
      </w:r>
      <w:r>
        <w:rPr>
          <w:rtl w:val="true"/>
        </w:rPr>
        <w:t>:</w:t>
      </w:r>
      <w:bookmarkEnd w:id="23"/>
    </w:p>
    <w:p>
      <w:pPr>
        <w:pStyle w:val="Heading4"/>
        <w:numPr>
          <w:ilvl w:val="3"/>
          <w:numId w:val="1"/>
        </w:numPr>
        <w:rPr/>
      </w:pPr>
      <w:bookmarkStart w:id="24" w:name="__RefHeading___Toc16096085_1280447820"/>
      <w:bookmarkStart w:id="25" w:name="_Toc9"/>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الروايات الشريفة في هذا الباب على أصناف</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6096087_1280447820"/>
      <w:bookmarkStart w:id="27" w:name="_Toc10"/>
      <w:bookmarkEnd w:id="26"/>
      <w:r>
        <w:rPr>
          <w:rtl w:val="true"/>
        </w:rPr>
        <w:t>الصنف الأوّل</w:t>
      </w:r>
      <w:r>
        <w:rPr>
          <w:rtl w:val="true"/>
        </w:rPr>
        <w:t>:</w:t>
      </w:r>
      <w:r>
        <w:rPr>
          <w:rtl w:val="true"/>
        </w:rPr>
        <w:t>أنّه  صلی الله علیه و آله  يرى في منامه كما يرى في يقظته</w:t>
      </w:r>
      <w:r>
        <w:rPr>
          <w:rtl w:val="true"/>
        </w:rPr>
        <w:t>:</w:t>
      </w:r>
      <w:bookmarkEnd w:id="27"/>
    </w:p>
    <w:p>
      <w:pPr>
        <w:pStyle w:val="BookText"/>
        <w:rPr/>
      </w:pPr>
      <w:r>
        <w:rPr>
          <w:rFonts w:ascii="IRNazanin" w:hAnsi="IRNazanin" w:eastAsia="IRNazanin"/>
          <w:color w:val="111111"/>
          <w:sz w:val="28"/>
          <w:sz w:val="28"/>
          <w:szCs w:val="28"/>
          <w:rtl w:val="true"/>
          <w:lang w:bidi="fa-IR"/>
        </w:rPr>
        <w:t>دلّت جملة من الروايات على أنّ النبي  صلی الله علیه و آله  تنام عينه ولا ينام قلبه، كما دلّ بعض الروايات على أنّه  صلی الله علیه و آله  يعلم بأعمال العباد في حال نومه كمايعلم بها في حال يقظته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هذا مما انفردت به الإماميّة، بل صحاح المخالفين ذكرتها وشيدتها ولم يُناقش في صدورها عن نبي الرحمة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كما قلنا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في الكافي للشيخ الكليني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بن أسباط عنهم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وعظ الله عزّ وجل به عيسى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تنام عيناه ولا ينام قلبه، له الشفاعة</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في بصائر الدرجات</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أبو ذر رسول الله  صلی الله علیه و آله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في حائط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يطلبه فدخل إلى الحائط والنبي  صلی الله علیه و آله  نائم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فأخذ عسيباً يابساً وكسره ليستبرئ</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النبي  صلی الله علیه و آله  عينه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أتخدعني عن نفسي يا أبا ذر؟ أما علمت أني أراكم في منامي كما أراكم في يقظتي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ما في بصائر الدرجات</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أبو ذر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في حائط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في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نائما فأعظمه أن ينبهه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أن يستبرئ نومه  صلی الله علیه و آله </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 رسول الله  صلی الله علیه و آله  فرفع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أتخدعني؟ أما علمت أني أرى أعمالكم في منامي كما أراكم في يقظتي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عيني تنام وقلبي لا ينام</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الخرائج مرسلاً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أتخدعني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منه أنّ ما فعله أبو ذر في صورته يُشبه المخادع، بمعنى أنّ أبا ذر لكونه يعلم بأنّ النبي صلی الله علیه و آله  يرى في منامه كما يرى في يقظته فكان فعله مع علمه يُشبه المكر والحيلة، فإنّ الماكر مع علمه بالشيء يتظاهر بعدم </w:t>
      </w:r>
      <w:bookmarkStart w:id="28" w:name="pg19159_180042"/>
    </w:p>
    <w:p>
      <w:pPr>
        <w:pStyle w:val="BookText"/>
        <w:rPr/>
      </w:pPr>
      <w:bookmarkEnd w:id="28"/>
      <w:r>
        <w:rPr>
          <w:rFonts w:ascii="Amiri" w:hAnsi="Amiri" w:eastAsia="Amiri" w:cs="Amiri"/>
          <w:color w:val="111111"/>
          <w:sz w:val="28"/>
          <w:sz w:val="28"/>
          <w:szCs w:val="28"/>
          <w:rtl w:val="true"/>
          <w:lang w:bidi="ar-SA"/>
        </w:rPr>
        <w:t>العلم، وفيه من التوبيخ ما لا يخفى، ولعلّ الذي أذهل أبا ذر أمر عظيم أغفله عمّا كان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المعنى؛ أتتخذ تلك الوسيلة والحيلة لإيقاظي وإعلامي بوجودك وأنت تعلم أنني أرى في منامي كما أرى في يقظتي؟، فيكون الخداع هنا بمعنى اتخاذ الوسيلة للوصول إلى الغرض</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6096089_1280447820"/>
      <w:bookmarkStart w:id="30" w:name="_Toc11"/>
      <w:bookmarkEnd w:id="29"/>
      <w:r>
        <w:rPr>
          <w:rtl w:val="true"/>
        </w:rPr>
        <w:t>سند الأحاديث</w:t>
      </w:r>
      <w:r>
        <w:rPr>
          <w:rtl w:val="true"/>
        </w:rPr>
        <w:t>:</w:t>
      </w:r>
      <w:bookmarkEnd w:id="30"/>
    </w:p>
    <w:p>
      <w:pPr>
        <w:pStyle w:val="BookText"/>
        <w:rPr/>
      </w:pPr>
      <w:r>
        <w:rPr>
          <w:rFonts w:ascii="Amiri" w:hAnsi="Amiri" w:eastAsia="Amiri" w:cs="Amiri"/>
          <w:color w:val="111111"/>
          <w:sz w:val="28"/>
          <w:sz w:val="28"/>
          <w:szCs w:val="28"/>
          <w:rtl w:val="true"/>
          <w:lang w:bidi="ar-SA"/>
        </w:rPr>
        <w:t>الأحاديث الواردة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تنام عينه ولا ينام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قارب هذا اللفظ كثيرة من طرقنا كما أشرنا إلى ذلك ونشير إليه أيضاً في ما يأتي، ورواها الجمهور في روايات متعددة حتّى في بخاريهم، فتسالموا عليها، فلم تكن مورداً للشكّ حتّى عندهم، فلا مجال للبحث في سندها</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6096091_1280447820"/>
      <w:bookmarkStart w:id="32" w:name="_Toc12"/>
      <w:bookmarkEnd w:id="31"/>
      <w:r>
        <w:rPr>
          <w:rtl w:val="true"/>
        </w:rPr>
        <w:t>دلالة الأحاديث</w:t>
      </w:r>
      <w:r>
        <w:rPr>
          <w:rtl w:val="true"/>
        </w:rPr>
        <w:t>:</w:t>
      </w:r>
      <w:bookmarkEnd w:id="32"/>
    </w:p>
    <w:p>
      <w:pPr>
        <w:pStyle w:val="BookText"/>
        <w:rPr/>
      </w:pPr>
      <w:r>
        <w:rPr>
          <w:rFonts w:ascii="IRNazanin" w:hAnsi="IRNazanin" w:eastAsia="IRNazanin"/>
          <w:color w:val="111111"/>
          <w:sz w:val="28"/>
          <w:sz w:val="28"/>
          <w:szCs w:val="28"/>
          <w:rtl w:val="true"/>
          <w:lang w:bidi="fa-IR"/>
        </w:rPr>
        <w:t>دلّت الأحاديث على أنّ النبي  صلی الله علیه و آله  يرى ويسمع في منامه كما يرى ويسمع في يقظته، ويترتب على ذلك أنّ النوم ليس ناقضاً للوضوء في حقّه  صلی الله علیه و آله ، والذي يؤيّد دعوانا بهذا المقدار من الفهم من الروايات أمور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رواية أبي ذر </w:t>
      </w:r>
      <w:r>
        <w:rPr>
          <w:rFonts w:eastAsia="IRNazanin" w:cs="IRNazanin"/>
          <w:color w:val="111111"/>
          <w:sz w:val="28"/>
          <w:szCs w:val="28"/>
          <w:rtl w:val="true"/>
          <w:lang w:bidi="fa-IR"/>
        </w:rPr>
        <w:t>&amp; (</w:t>
      </w:r>
      <w:r>
        <w:rPr>
          <w:rFonts w:ascii="IRNazanin" w:hAnsi="IRNazanin" w:eastAsia="IRNazanin"/>
          <w:color w:val="111111"/>
          <w:sz w:val="28"/>
          <w:sz w:val="28"/>
          <w:szCs w:val="28"/>
          <w:rtl w:val="true"/>
          <w:lang w:bidi="fa-IR"/>
        </w:rPr>
        <w:t>إنِّي أرى أعمالكم في منامي، كما أراكم في يقظتي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ذلك في الرواية نفسها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عيني تنام وقلبي لا ينام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يدلّ على المعنى الذي ذكرناه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إعتراف حتى المخالف بذلك ففي فيض القدير شرح الجامع الصغير للمناوي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تنام أعيننا ولا تنام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دائمة اليقظة لا يعتريها غفلة ولا يتطرق إليها شائبة نوم لمنعه من إشراق الأنوار الإلهية الموجبةلفيض المطالب السنية عليها ولذا كانت رؤياهم وحياً ولم تنتقض طهارتهم بالنوم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المخالفون من قول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لتنم عينك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وليعقل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ولتسمع أذنك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فنامت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وعقل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أذني</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هذه الأخبار التصريح بأنّه  صلی الله علیه و آله  يسمع ويرى حال نومه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كلِّ حال فالروايات واضحة الدلالة ومبيِّنة لمقام من مقامات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المولي محمد صالح المازندراني في شرح أصول 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391</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بنوم العين بطلان إدراكها المسمى بالإبصار وبعدم نوم القلب عدم بطلان إدراكه لأن قلبه محل للإلهامات الإلهية والأسرار الربانية وحافظ لما في عالم الإمكان ومتصرف في العالم العلوي والسفلي فلا يجوز أن يستغرق عليه النوم ويبطله عن </w:t>
      </w:r>
      <w:bookmarkStart w:id="33" w:name="pg19159_180045"/>
    </w:p>
    <w:p>
      <w:pPr>
        <w:pStyle w:val="BookText"/>
        <w:rPr/>
      </w:pPr>
      <w:bookmarkEnd w:id="33"/>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p>
    <w:p>
      <w:pPr>
        <w:pStyle w:val="Heading4"/>
        <w:numPr>
          <w:ilvl w:val="3"/>
          <w:numId w:val="1"/>
        </w:numPr>
        <w:rPr/>
      </w:pPr>
      <w:bookmarkStart w:id="34" w:name="__RefHeading___Toc16096093_1280447820"/>
      <w:bookmarkStart w:id="35" w:name="_Toc13"/>
      <w:bookmarkEnd w:id="34"/>
      <w:r>
        <w:rPr>
          <w:rtl w:val="true"/>
        </w:rPr>
        <w:t xml:space="preserve">عدم ناقضيّة النوم للوضوء في حقّهم علیهم السلام </w:t>
      </w:r>
      <w:r>
        <w:rPr>
          <w:rtl w:val="true"/>
        </w:rPr>
        <w:t>:</w:t>
      </w:r>
      <w:bookmarkEnd w:id="35"/>
    </w:p>
    <w:p>
      <w:pPr>
        <w:pStyle w:val="BookText"/>
        <w:rPr/>
      </w:pPr>
      <w:r>
        <w:rPr>
          <w:rFonts w:ascii="IRNazanin" w:hAnsi="IRNazanin" w:eastAsia="IRNazanin"/>
          <w:color w:val="111111"/>
          <w:sz w:val="28"/>
          <w:sz w:val="28"/>
          <w:szCs w:val="28"/>
          <w:rtl w:val="true"/>
          <w:lang w:bidi="fa-IR"/>
        </w:rPr>
        <w:t xml:space="preserve">إنّ مَنْ راجع أحاديث أهل البيت علیهم السلام يعلم أنّه ليس كلّ ما سُمِّي عرفاً نوماً يكون ناقضاً للوضوء، فإنّ الروايات الشريفة قد ذكرت للنوم الناقض حُدوداً، وتلك الحدود والقيود لا تنطبق على نوم المعصومين علیهم السلام </w:t>
      </w:r>
      <w:r>
        <w:rPr>
          <w:rFonts w:eastAsia="IRNazanin" w:cs="IRNazanin"/>
          <w:color w:val="111111"/>
          <w:sz w:val="28"/>
          <w:szCs w:val="28"/>
          <w:rtl w:val="true"/>
          <w:lang w:bidi="fa-IR"/>
        </w:rPr>
        <w:t>.</w:t>
      </w:r>
    </w:p>
    <w:p>
      <w:pPr>
        <w:pStyle w:val="Heading4"/>
        <w:numPr>
          <w:ilvl w:val="3"/>
          <w:numId w:val="1"/>
        </w:numPr>
        <w:rPr/>
      </w:pPr>
      <w:bookmarkStart w:id="36" w:name="__RefHeading___Toc16096095_1280447820"/>
      <w:bookmarkStart w:id="37" w:name="_Toc14"/>
      <w:bookmarkEnd w:id="36"/>
      <w:r>
        <w:rPr>
          <w:rtl w:val="true"/>
        </w:rPr>
        <w:t>النوم الناقض للوضوء</w:t>
      </w:r>
      <w:r>
        <w:rPr>
          <w:rtl w:val="true"/>
        </w:rPr>
        <w:t>:</w:t>
      </w:r>
      <w:bookmarkEnd w:id="37"/>
    </w:p>
    <w:p>
      <w:pPr>
        <w:pStyle w:val="Heading4"/>
        <w:numPr>
          <w:ilvl w:val="3"/>
          <w:numId w:val="1"/>
        </w:numPr>
        <w:rPr/>
      </w:pPr>
      <w:bookmarkStart w:id="38" w:name="__RefHeading___Toc16096097_1280447820"/>
      <w:bookmarkStart w:id="39" w:name="_Toc15"/>
      <w:bookmarkEnd w:id="38"/>
      <w:r>
        <w:rPr/>
        <w:t>1</w:t>
      </w:r>
      <w:r>
        <w:rPr>
          <w:rtl w:val="true"/>
        </w:rPr>
        <w:t xml:space="preserve">- </w:t>
      </w:r>
      <w:r>
        <w:rPr>
          <w:rtl w:val="true"/>
        </w:rPr>
        <w:t>نوم الأُذُن والقلب</w:t>
      </w:r>
      <w:r>
        <w:rPr>
          <w:rtl w:val="true"/>
        </w:rPr>
        <w:t>:</w:t>
      </w:r>
      <w:bookmarkEnd w:id="39"/>
    </w:p>
    <w:p>
      <w:pPr>
        <w:pStyle w:val="BookText"/>
        <w:rPr/>
      </w:pPr>
      <w:r>
        <w:rPr>
          <w:rFonts w:ascii="Amiri" w:hAnsi="Amiri" w:eastAsia="Amiri" w:cs="Amiri"/>
          <w:color w:val="111111"/>
          <w:sz w:val="28"/>
          <w:sz w:val="28"/>
          <w:szCs w:val="28"/>
          <w:rtl w:val="true"/>
          <w:lang w:bidi="ar-SA"/>
        </w:rPr>
        <w:t>دلّ عليه الخبر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وهو على وضوء أتوجب الخفقة والخفقتان عليه الوضوء؟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قد تنام العين ولا ينام القلب والأُذُن، فإذا نامت العين والأُذُن والقلب وجب الوضوء</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الحديث الشريف نصّ على عدم كفاية نوم العين، بل لا بُدّ مع نومها من نوم الأُذُن والقلب، بمعنى أنّه لا يسمع ولا يعي، فيُذهِب النوم بسمعه وعقله، فإنّ القلب قد يُطلق ويُراد منه </w:t>
      </w:r>
    </w:p>
    <w:p>
      <w:pPr>
        <w:pStyle w:val="BookText"/>
        <w:rPr/>
      </w:pPr>
      <w:r>
        <w:rPr>
          <w:rFonts w:ascii="Amiri" w:hAnsi="Amiri" w:eastAsia="Amiri" w:cs="Amiri"/>
          <w:color w:val="111111"/>
          <w:sz w:val="28"/>
          <w:sz w:val="28"/>
          <w:szCs w:val="28"/>
          <w:rtl w:val="true"/>
          <w:lang w:bidi="ar-SA"/>
        </w:rPr>
        <w:t>القوّة العاقلة المُدركة،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وَالْأِنْسِ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بنوم القلب؛ أن يكون النوم مستولياً على القلب، الموجِب لتعطيل الحواس عن الإحساس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للعقل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عليه الخبر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وأبي عبد الله ’ ما ينقض الوضوء؟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يخرج من طرفيك الأسفلين، من الذكر والدبر، من الغائط والبول، أو مني، أو ريح، والنوم حتى يذهب العقل، وكلّ النوم يكره إلا أن تكون تسمع الصوت</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الخبر قد حدّد النوم بما يُذهب العقل، وهو نفس المعنى في الرواية السابقة التي عبّرت عنه بنوم القلب، كما تقدّم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تعقيب ذلك بقوله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وكلّ النوم يكره إلا أن تكون تسمع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إشكال بأنّ المراد من الكراهة هنا ليس الكراهة التي هي أحد الأحكام الخمسة فتكون مخالفته مخالفة للتكليف الإلهي بالكراهة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نفينا أن يكون المراد من الكراهة هنا هو التكليف بحكم الكراهة، لأنّ التكاليف شرطها العقلي هو القدرة عليها، والبشر العادي إذا تحقق نومه لا بُدّ أن يفقد عنده السمع، فليس بمقدوره أن لا يفقد سمعه، وإنّما تحمل الكراهة هنا على الإرشاد إلى أنّ نوم الأولياء لا يصرفهم نومهم عن التعلُّق بالله تعالى ونوم غيرهم فيه الانقطاع عن الذكر والتعلّق بالله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الحديث الشرف؛ إنّ كلّ نوم يُفسد الوضوء إلاّ أن لا يغلب على حاسّة السمع فيسمع، فعبّر علیه السلام عن الفساد بالكراهة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الخافي للصوت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عليه صحيحة معمر بن خلاد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 عن رجل به علة لا يقدر على الاضطجاع والوضوء يشتد عليه وهو قاعد مستند بالوسائد، فربما أغفى وهو قاعد على تلك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يشتد عليه لحال علته؟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خفي عليه الصوت فقد وجب الوضوء عليه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الرواية الشريفة قد حددت النوم الناقض للوضوء بكونه </w:t>
      </w:r>
    </w:p>
    <w:p>
      <w:pPr>
        <w:pStyle w:val="BookText"/>
        <w:rPr/>
      </w:pPr>
      <w:r>
        <w:rPr>
          <w:rFonts w:ascii="Amiri" w:hAnsi="Amiri" w:eastAsia="Amiri" w:cs="Amiri"/>
          <w:color w:val="111111"/>
          <w:sz w:val="28"/>
          <w:sz w:val="28"/>
          <w:szCs w:val="28"/>
          <w:rtl w:val="true"/>
          <w:lang w:bidi="ar-SA"/>
        </w:rPr>
        <w:t>الموجب لخفاء الصوت، أي النوم الغالب على حاسّة السمع، وهذاما يتوافق مع الرواية الأولى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روايات متعددة في تحديد النوم المنقض للوضوء، واكتفينا بذلك القدر لحصول الغرض من ذلك المقدار، ويُمكننا الجمع بين الروايات؛ بأنّ الغلبة على حاسّة السمع مُلازِمة وجوداً للنوم المنقض للوضوء، وأيضاً ذهاب العقل ملازم وجوداً للنوم المنقض للوضوء، ومن هنا يكفي وجود أحد اللازمين في وجود الملزوم، وإذا وجد الملزوم وجد وثبت اللازم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قبيل ما يُسمّى في علم النطق بالقسم الثاني من البرهان الإنِّي، إذ يتمّ الانتقال فيه من أحد المعلولين إلى المعلول الآخر بتوسط العلة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والنتيجة التي توصلنا إليها؛ أنّ النوم الناقض للوضوء هو الذي يوجب نوم القلب، ومن ثَمّ يغيب الإحساس، ومن ذلك غياب حاسّة السمع، وهذا النوم لا يكون في حق أهل البيت علیهم السلام ، لأنّهم تنام أعينهم ولا تنام قلوبهم وهم يسمعون حتّى في حال نومهم، كما نصّت عليه الأحاديث السابقة</w:t>
      </w:r>
      <w:r>
        <w:rPr>
          <w:rFonts w:eastAsia="IRNazanin" w:cs="IRNazanin"/>
          <w:color w:val="111111"/>
          <w:sz w:val="28"/>
          <w:szCs w:val="28"/>
          <w:rtl w:val="true"/>
          <w:lang w:bidi="fa-IR"/>
        </w:rPr>
        <w:t xml:space="preserve">. </w:t>
      </w:r>
      <w:bookmarkStart w:id="40" w:name="pg19159_180052"/>
    </w:p>
    <w:p>
      <w:pPr>
        <w:pStyle w:val="Heading4"/>
        <w:numPr>
          <w:ilvl w:val="3"/>
          <w:numId w:val="1"/>
        </w:numPr>
        <w:rPr/>
      </w:pPr>
      <w:bookmarkStart w:id="41" w:name="__RefHeading___Toc16096099_1280447820"/>
      <w:bookmarkStart w:id="42" w:name="_Toc16"/>
      <w:bookmarkEnd w:id="40"/>
      <w:bookmarkEnd w:id="41"/>
      <w:r>
        <w:rPr>
          <w:rtl w:val="true"/>
        </w:rPr>
        <w:t>ما أشكل على المخالفين</w:t>
      </w:r>
      <w:r>
        <w:rPr>
          <w:rtl w:val="true"/>
        </w:rPr>
        <w:t>:</w:t>
      </w:r>
      <w:bookmarkEnd w:id="42"/>
    </w:p>
    <w:p>
      <w:pPr>
        <w:pStyle w:val="BookText"/>
        <w:rPr/>
      </w:pPr>
      <w:r>
        <w:rPr>
          <w:rFonts w:ascii="IRNazanin" w:hAnsi="IRNazanin" w:eastAsia="IRNazanin"/>
          <w:color w:val="111111"/>
          <w:sz w:val="28"/>
          <w:sz w:val="28"/>
          <w:szCs w:val="28"/>
          <w:rtl w:val="true"/>
          <w:lang w:bidi="fa-IR"/>
        </w:rPr>
        <w:t>لكون الروايات دالّة على ما ذكرناه من أنّه  صلی الله علیه و آله  يرى ويسمع في منامه كما هو في يقظته، أشكل على المخالفين ما رووه من أنّ النبي  صلی الله علیه و آله  نام عن صلاة الصبح حتى ارتفعت الشمس، حتى قام عمر بإيقاظه، فأرادوا أن يوفِّقوا بين هذا الحديث الصحيح المسلّم به وبين هذه الحادثة المدّعاة على رسول الله  صلی الله علیه و آله ، فذكروا وجوهاً زادتهم انحرافاً عن الحق والحقيقة فمنها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للنبي  صلی الله علیه و آله  نومان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ينام قلبه وعينه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عينه دون قلبه، فكان نوم الوادي من النوع الأول</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رجماً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دليل حتّى يُناقش، وعموم الأدلّة هنا ينفيه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إدراك دخول الوقت من وظائف العين والأعين كانت نائمة وهذا لا ينافي استيقاظ القلوب</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مع كونه رجماً بالغيب لا دليل عليه، بل عموم الأدلّة هنا تنفيه، ثُمّ كيف يكون إدراك دخول الوقت من وظائف </w:t>
      </w:r>
    </w:p>
    <w:p>
      <w:pPr>
        <w:pStyle w:val="BookText"/>
        <w:rPr/>
      </w:pPr>
      <w:r>
        <w:rPr>
          <w:rFonts w:ascii="IRNazanin" w:hAnsi="IRNazanin" w:eastAsia="IRNazanin"/>
          <w:color w:val="111111"/>
          <w:sz w:val="28"/>
          <w:sz w:val="28"/>
          <w:szCs w:val="28"/>
          <w:rtl w:val="true"/>
          <w:lang w:bidi="fa-IR"/>
        </w:rPr>
        <w:t>العين في حين أنّ مَن اعتاد على الاستيقاظ عند الوقت يحُسّ بدخوله وإن كان نائماً، بل مَن نفذت بصيرته علم بدخول الوقت وإن لم ينظر إلى الشمس، كما يحدث هذا لبعض الصالحين من أمّة محمد  صلی الله علیه و آله  فكيف هو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نقل هذا القول لم يرتضه حتّى قال بعد ذكره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يُتوقّف في هذا؛ بأنّ يقظة القلب يُدرَك بها الشمس، كما يقع ذلك لبعض أمته فكيف هو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فعل ذلك للتشريع؛ لأنّ من نامت عيناه لا يخاطب بأداء الصلاة حال نومه وهو  صلی الله علیه و آله  مشارك لأمته إلاّ في ما اختص به ولم يرد اختصاصه  صلی الله علیه و آله  بالخطاب حال نوم عينيه دون قلبه</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على هذا القول أنّه لا يتوقّف بيان التشريع على ترك فريضة هي عمود الدين، فيُمكن بيان التشريع بالقول دون الفعل، ولو جعلنا هذا مسوِّغاً لساغ ارتكاب المحرّمات في مقام بيان التشريع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نام في تلك المرة قلبه الشريف أيضاً على خلاف العادة للتشريع</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43" w:name="pg19159_180055"/>
    </w:p>
    <w:p>
      <w:pPr>
        <w:pStyle w:val="BookText"/>
        <w:rPr/>
      </w:pPr>
      <w:bookmarkEnd w:id="43"/>
      <w:r>
        <w:rPr>
          <w:rFonts w:ascii="Amiri" w:hAnsi="Amiri" w:eastAsia="Amiri" w:cs="Amiri"/>
          <w:color w:val="111111"/>
          <w:sz w:val="28"/>
          <w:sz w:val="28"/>
          <w:szCs w:val="28"/>
          <w:rtl w:val="true"/>
          <w:lang w:bidi="ar-SA"/>
        </w:rPr>
        <w:t>وهو قول كسابقيه ليس له دليل، وينفيه عموم الأدلّة هنا، والتشريع لا يُسوّغ هذا الفعل</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6096101_1280447820"/>
      <w:bookmarkStart w:id="45" w:name="_Toc17"/>
      <w:bookmarkEnd w:id="44"/>
      <w:r>
        <w:rPr>
          <w:rtl w:val="true"/>
        </w:rPr>
        <w:t>رواية المخالفين</w:t>
      </w:r>
      <w:r>
        <w:rPr>
          <w:rtl w:val="true"/>
        </w:rPr>
        <w:t>:</w:t>
      </w:r>
      <w:bookmarkEnd w:id="45"/>
    </w:p>
    <w:p>
      <w:pPr>
        <w:pStyle w:val="BookText"/>
        <w:rPr/>
      </w:pPr>
      <w:r>
        <w:rPr>
          <w:rFonts w:ascii="IRNazanin" w:hAnsi="IRNazanin" w:eastAsia="IRNazanin"/>
          <w:color w:val="111111"/>
          <w:sz w:val="28"/>
          <w:sz w:val="28"/>
          <w:szCs w:val="28"/>
          <w:rtl w:val="true"/>
          <w:lang w:bidi="fa-IR"/>
        </w:rPr>
        <w:t>الرواية التي نسبوها إلى النبي  صلی الله علیه و آله  لا يُمكن قبولها وهي مُناقضة لما عندهم من أحاديث، فيُمكن أن نُواجههم بإشكالات متعددة حول الحديث المُدّعى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يروون</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لم يستيقظ للصلاة فقد بال الشيطان في أذنه، فكيف يقبلون على النبيِّ  صلی الله علیه و آله  أن يبول الشيطان في أذنه؟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 بأنّ الله تعالى ينزل إلى سماء الدنيا في كلّ ليلة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سائل فأعطيه، هل من مستغفر فأغفر له، هل من تائب فأتوب عليه، هل من داعٍ فأجيبه</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النبي  صلی الله علیه و آله  الذي لا ينام قلبه لا يسمع هذا النداء من الله تعالى فما فائدة هذا الفعل منه تعالى ربُّنا عن ذلك علوّا كبيرا، أم أنّ الله تعالى تخلّف تلك الليلة لعارضٍ فلم 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خلاف ما رووه من أنّه ينزل كلّ ليلة، تعالى الله ربنا عن ذلك علواً كبيرا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الذي لا ينام قلبه كيف يَقوم على إيقاظه عمر</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تعالى يتركه وجبريل أخوه لا يُوقظه من نومه، فهل كان عمر أكثر شفقة على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حرّ الشمس</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يُوقظ مَن قلبه نائم، ولا يُوقظ النبي  صلی الله علیه و آله  الذي لا ينام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النوم العميق الذي جعل عمر يستمر في التكبير</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استيقظ رسول الله  صلی الله علیه و آله ، مَنْ هذا ديدنه لا يمكن أن يكون ممن لا ينام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واضطراب الرواية عندهم في أوّل من استيقظ، فروي أنّ أوّل من استيقظ عمر، وفي أخرى أبو بكر وفي ثالثة</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مروياتهم</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الحادثة جعل بعض الصحابة يهمس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كفارة ما صنعنا بتفريطنا في صلاتنا؟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قال لهم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لكم فيّ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تفريط النبي  صلی الله علیه و آله  في صلاته أمراً مفروغاً عنه، وأخذوا يتساءلون </w:t>
      </w:r>
      <w:bookmarkStart w:id="46" w:name="pg19159_180059"/>
    </w:p>
    <w:p>
      <w:pPr>
        <w:pStyle w:val="BookText"/>
        <w:rPr/>
      </w:pPr>
      <w:bookmarkEnd w:id="46"/>
      <w:r>
        <w:rPr>
          <w:rFonts w:ascii="Amiri" w:hAnsi="Amiri" w:eastAsia="Amiri" w:cs="Amiri"/>
          <w:color w:val="111111"/>
          <w:sz w:val="28"/>
          <w:sz w:val="28"/>
          <w:szCs w:val="28"/>
          <w:rtl w:val="true"/>
          <w:lang w:bidi="ar-SA"/>
        </w:rPr>
        <w:t>عن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ورحم الله السيد ابن طاووس الحسني فإنّه قال في الطرائف ص</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نظرت أيها العاقل في وصفهم لعناية الله بنبيهم، وأنّه سبحانه جل وعلا لا يصح أن ينام وإن جبرئيل ما كان شفقته على نبيهم دون عناية عمر حتى كان يوقظه دون الله أو جبرئيل، وإذا نظرت إلى رواياتهم عن نبيهم محمد  صلی الله علیه و آله  أنه تنام عيناه ولا ينام قلبه وتفسيرهم ذلكبان نومه لا يمنعه من معرفة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ونظرت في رواياتهم بوجوب قضاء ما فات من الصلاة عقيب ذكره، ثم يذكرون عنه في هذه الرواية أنه أخّر القضاء إلى بعد الارتحال وأنه قد نام قلبه حتى لم يحس بخروج الوقت، وكلّ ذلك يشهد عليهم بالمناقضة في رواياتهم وسوء مقالاتهم وتكذيب أنفسهم</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6096103_1280447820"/>
      <w:bookmarkStart w:id="48" w:name="_Toc18"/>
      <w:bookmarkEnd w:id="47"/>
      <w:r>
        <w:rPr>
          <w:rtl w:val="true"/>
        </w:rPr>
        <w:t>الصنف الثاني</w:t>
      </w:r>
      <w:r>
        <w:rPr>
          <w:rtl w:val="true"/>
        </w:rPr>
        <w:t xml:space="preserve">: </w:t>
      </w:r>
      <w:r>
        <w:rPr>
          <w:rtl w:val="true"/>
        </w:rPr>
        <w:t>أنّه  صلی الله علیه و آله  يرى من خلفه كما يرى من أمامه</w:t>
      </w:r>
      <w:r>
        <w:rPr>
          <w:rtl w:val="true"/>
        </w:rPr>
        <w:t>:</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الروايات أن النبي  صلی الله علیه و آله  يرى من خلفه كما يرى من أمامه، وروايات المخالفين كثيرة في ذلك وكذلك الروايات من طرقنا</w:t>
      </w:r>
      <w:r>
        <w:rPr>
          <w:rFonts w:eastAsia="IRNazanin" w:cs="IRNazanin"/>
          <w:color w:val="111111"/>
          <w:sz w:val="28"/>
          <w:szCs w:val="28"/>
          <w:rtl w:val="true"/>
          <w:lang w:bidi="fa-IR"/>
        </w:rPr>
        <w:t xml:space="preserve">: </w:t>
      </w:r>
      <w:bookmarkStart w:id="49" w:name="pg19159_180060"/>
    </w:p>
    <w:p>
      <w:pPr>
        <w:pStyle w:val="BookText"/>
        <w:rPr/>
      </w:pPr>
      <w:bookmarkEnd w:id="49"/>
      <w:r>
        <w:rPr>
          <w:rFonts w:ascii="Amiri" w:hAnsi="Amiri" w:eastAsia="Amiri" w:cs="Amiri"/>
          <w:color w:val="111111"/>
          <w:sz w:val="28"/>
          <w:sz w:val="28"/>
          <w:szCs w:val="28"/>
          <w:rtl w:val="true"/>
          <w:lang w:bidi="ar-SA"/>
        </w:rPr>
        <w:t>فمنها ما في بصائر الدرجات</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نصلي في مسجد لنا فربما كان الصف أمام وفيه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فأمشي إليه بجانبي حتى أقيمه؟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أراكم من خلفي كما أراكم بين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لتقيمن صفوفكم أو ليخالفن الله بين قلوبكم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الخرائج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النبي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 الركوع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إني لأراكم من بعد ظهري إذا ركعتم وسجدتم</w:t>
      </w:r>
      <w:r>
        <w:rPr>
          <w:rFonts w:eastAsia="IRNazanin" w:cs="IRNazanin"/>
          <w:color w:val="111111"/>
          <w:sz w:val="28"/>
          <w:szCs w:val="28"/>
          <w:rtl w:val="true"/>
          <w:lang w:bidi="fa-IR"/>
        </w:rPr>
        <w:t>).</w:t>
      </w:r>
    </w:p>
    <w:p>
      <w:pPr>
        <w:pStyle w:val="Heading4"/>
        <w:numPr>
          <w:ilvl w:val="3"/>
          <w:numId w:val="1"/>
        </w:numPr>
        <w:rPr/>
      </w:pPr>
      <w:bookmarkStart w:id="50" w:name="__RefHeading___Toc16096105_1280447820"/>
      <w:bookmarkStart w:id="51" w:name="_Toc19"/>
      <w:bookmarkEnd w:id="50"/>
      <w:r>
        <w:rPr>
          <w:rtl w:val="true"/>
        </w:rPr>
        <w:t>سند الأحاديث</w:t>
      </w:r>
      <w:r>
        <w:rPr>
          <w:rtl w:val="true"/>
        </w:rPr>
        <w:t>:</w:t>
      </w:r>
      <w:bookmarkEnd w:id="51"/>
    </w:p>
    <w:p>
      <w:pPr>
        <w:pStyle w:val="BookText"/>
        <w:rPr/>
      </w:pPr>
      <w:r>
        <w:rPr>
          <w:rFonts w:ascii="IRNazanin" w:hAnsi="IRNazanin" w:eastAsia="IRNazanin"/>
          <w:color w:val="111111"/>
          <w:sz w:val="28"/>
          <w:sz w:val="28"/>
          <w:szCs w:val="28"/>
          <w:rtl w:val="true"/>
          <w:lang w:bidi="fa-IR"/>
        </w:rPr>
        <w:t>لقد اعترف القاصي والداني بصحّة أسانيد الأحاديث التي دلّت على أنّ النبي  صلی الله علیه و آله  يرى من خلفه كما يرى من أمامه، فهذا القرطبي في تفسيره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الماوردي والثعلبي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علیه السلام يرى من خلفه كما يرى من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ثابت في الصحيح</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ابن كثير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w:t>
      </w:r>
      <w:bookmarkStart w:id="52" w:name="pg19159_180062"/>
    </w:p>
    <w:p>
      <w:pPr>
        <w:pStyle w:val="BookText"/>
        <w:rPr/>
      </w:pPr>
      <w:bookmarkEnd w:id="52"/>
      <w:r>
        <w:rPr>
          <w:rFonts w:ascii="Amiri" w:hAnsi="Amiri" w:eastAsia="Amiri" w:cs="Amiri"/>
          <w:color w:val="111111"/>
          <w:sz w:val="28"/>
          <w:sz w:val="28"/>
          <w:szCs w:val="28"/>
          <w:rtl w:val="true"/>
          <w:lang w:bidi="ar-SA"/>
        </w:rPr>
        <w:t>الله صلى الله عليه وسلم يرى من خلفه كما يرى من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لهذا ما صح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 صفوفكم فإني أراكم من وراء ظهري</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6096107_1280447820"/>
      <w:bookmarkStart w:id="54" w:name="_Toc20"/>
      <w:bookmarkEnd w:id="53"/>
      <w:r>
        <w:rPr>
          <w:rtl w:val="true"/>
        </w:rPr>
        <w:t>دلالة الأحاديث</w:t>
      </w:r>
      <w:r>
        <w:rPr>
          <w:rtl w:val="true"/>
        </w:rPr>
        <w:t>:</w:t>
      </w:r>
      <w:bookmarkEnd w:id="54"/>
    </w:p>
    <w:p>
      <w:pPr>
        <w:pStyle w:val="BookText"/>
        <w:rPr/>
      </w:pPr>
      <w:r>
        <w:rPr>
          <w:rFonts w:ascii="IRNazanin" w:hAnsi="IRNazanin" w:eastAsia="IRNazanin"/>
          <w:color w:val="111111"/>
          <w:sz w:val="28"/>
          <w:sz w:val="28"/>
          <w:szCs w:val="28"/>
          <w:rtl w:val="true"/>
          <w:lang w:bidi="fa-IR"/>
        </w:rPr>
        <w:t>دلّت الأحاديث على أنّ النبي  صلی الله علیه و آله  يرى من خلفه كما يرى من أمامه، ولم تُحدد الروايات كيفيّة الرؤية، كما لم تُقيَّد الروايات بأنّ الرؤية في حال دون حال، ولكن بعض المخالفين لم تقبل نفوسهم المريضة ذلك فادّعوا أموراً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مختص بحال الصلاة دون غيرها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منافٍ لما دلّ على العموم وليس مختصّا بحال الصلاة دون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مسلم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والله لأبصر من ورائي كما أبصر من بين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واضح الدلالة على مطلق الأحوال لا خصوص حال دون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ينظر من طرف عينه ولذا يرى من خلفه من المأمومين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مخالف لما هو عندهم في الصحيحين وغيرهما من قول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يخفى علي خشوعكم ولا ركوعكم وإني لأراكم من وراء ظهري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تقدّم من رواية مسلم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علم النبي  صلی الله علیه و آله  بفعلهم وخشوعهم القلبي لا يعتمد على النظر من طرف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ذلك منافٍ لخشوع وخضوع رسول الله  صلی الله علیه و آله  في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للنبي عينين في خلفه ولا تحجبهما الثياب</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دعوى ورجم بالغيب بلا دليل قائم على إثباتها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وينفيها رؤيته  صلی الله علیه و آله  في حال نومه فإنّه يرى ولو كان مغمض العين ومستلقياً على قفاه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تنام عينه عن الدنيا، ولا ينام قلبه عن الملكوت الأعلى</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دعوى بلا دليل، وينفيه العموم الوارد في الروايات هنا، وأجاب عنه مَن نقله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بعيد من السوق كما لا يخفى على أهل الذوق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الملا هادي السبزواري في شرح الأسماء الحسنى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نبينا  صلی الله علیه و آله  حيث كان يرى من خلفه فكان هو  صلی الله علیه و آله </w:t>
      </w:r>
      <w:bookmarkStart w:id="55" w:name="pg19159_180065"/>
    </w:p>
    <w:p>
      <w:pPr>
        <w:pStyle w:val="BookText"/>
        <w:rPr/>
      </w:pPr>
      <w:bookmarkEnd w:id="55"/>
      <w:r>
        <w:rPr>
          <w:rFonts w:ascii="Amiri" w:hAnsi="Amiri" w:eastAsia="Amiri" w:cs="Amiri"/>
          <w:color w:val="111111"/>
          <w:sz w:val="28"/>
          <w:sz w:val="28"/>
          <w:szCs w:val="28"/>
          <w:rtl w:val="true"/>
          <w:lang w:bidi="ar-SA"/>
        </w:rPr>
        <w:t>بحسب وجوده الجسماني البشري بصراً كله</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6096109_1280447820"/>
      <w:bookmarkStart w:id="57" w:name="_Toc21"/>
      <w:bookmarkEnd w:id="56"/>
      <w:r>
        <w:rPr>
          <w:rtl w:val="true"/>
        </w:rPr>
        <w:t>الصنف الثالث</w:t>
      </w:r>
      <w:r>
        <w:rPr>
          <w:rtl w:val="true"/>
        </w:rPr>
        <w:t xml:space="preserve">: </w:t>
      </w:r>
      <w:r>
        <w:rPr>
          <w:rtl w:val="true"/>
        </w:rPr>
        <w:t>ما دلّ على الأمرين السابقين</w:t>
      </w:r>
      <w:r>
        <w:rPr>
          <w:rtl w:val="true"/>
        </w:rPr>
        <w:t>:</w:t>
      </w:r>
      <w:bookmarkEnd w:id="57"/>
    </w:p>
    <w:p>
      <w:pPr>
        <w:pStyle w:val="BookText"/>
        <w:rPr/>
      </w:pPr>
      <w:r>
        <w:rPr>
          <w:rFonts w:ascii="IRNazanin" w:hAnsi="IRNazanin" w:eastAsia="IRNazanin"/>
          <w:color w:val="111111"/>
          <w:sz w:val="28"/>
          <w:sz w:val="28"/>
          <w:szCs w:val="28"/>
          <w:rtl w:val="true"/>
          <w:lang w:bidi="fa-IR"/>
        </w:rPr>
        <w:t>كل الروايات الواردة هنا تشمل ما سبق من كون النبي  صلی الله علیه و آله  يرى فيمنامه كما يرى في يقظته، ويرى من خلفه كما يرى من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والروايات الآتية وإن كان بعضها في بيان صفات الإمام علیه السلام إلاّ أنّها شاملة للنبي محمد  صلی الله علیه و آله  قطعاً، للعلم بعدم امتياز أهل بيته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كثيرة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في بصائر الدرجات</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تنام عيوننا ولا تنام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ونرى من خلفنا كما نرى بين أيدينا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 للشيخ الكليني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للإمام عشر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مطهراً، مختوناً، وإذا وقع على الأرض وقع على راحته رافعاً صوته بالشهادتين، ولا يجنب، وتنام عينه ولا ينام قلبه، ولا يتثاءب ولا يتمطى، ويرى من خلفه كما يرى من أمامه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من لا يحضره الفقيه للشيخ الصدوق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الحسن على بن موسى الرضا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للإمام علامات؛ </w:t>
      </w:r>
    </w:p>
    <w:p>
      <w:pPr>
        <w:pStyle w:val="BookText"/>
        <w:rPr/>
      </w:pPr>
      <w:r>
        <w:rPr>
          <w:rFonts w:ascii="Amiri" w:hAnsi="Amiri" w:eastAsia="Amiri" w:cs="Amiri"/>
          <w:color w:val="111111"/>
          <w:sz w:val="28"/>
          <w:sz w:val="28"/>
          <w:szCs w:val="28"/>
          <w:rtl w:val="true"/>
          <w:lang w:bidi="ar-SA"/>
        </w:rPr>
        <w:t>يكون أعلم الناس، وأحكم الناس، وأتقى الناس، وأحلم الناس، وأشجع الناس، وأسخى الناس، وأعبد الناس، ويولد مختوناً، ويكون مطهراً، ويرى من خلفه كما يرى من بين يديه، ولا يكون له ظل، وإذا وقع على الأرض من بطن أمه وقع على راحتيه رافعاً صوته بالشهادتين، ولا يحتلم، وتنام عينه ولا ينام قلبه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الخصال للشيخ الصدوق ص</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جعفر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خصال من صفات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والنصوص، وأن يكون أعلم الناس وأتقاهم لله وأعلمهم بكتاب الله، وأن يكون صاحب الوصية الظاهرة، و يكون له المعجز والدليل، وتنام عينه ولا ينام قلبه، ولا يكون له فيء، ويرى من خلفه كما يرى من بين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والروايات بأصنافها الثلاثة كثيرة، وأكثر مَن تطرّق إلى خصائص النبي  صلی الله علیه و آله  ذكر هاتين الخصلتين، وأرسلوها إرسال المسلّمات</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58" w:name="pg19159_180069"/>
    </w:p>
    <w:p>
      <w:pPr>
        <w:pStyle w:val="Heading4"/>
        <w:numPr>
          <w:ilvl w:val="3"/>
          <w:numId w:val="1"/>
        </w:numPr>
        <w:rPr/>
      </w:pPr>
      <w:bookmarkStart w:id="59" w:name="__RefHeading___Toc16096111_1280447820"/>
      <w:bookmarkStart w:id="60" w:name="_Toc22"/>
      <w:bookmarkEnd w:id="58"/>
      <w:bookmarkEnd w:id="59"/>
      <w:r>
        <w:rPr>
          <w:rtl w:val="true"/>
        </w:rPr>
        <w:t xml:space="preserve">جريان ذلك في حقّ الأئمة المعصومين علیهم السلام </w:t>
      </w:r>
      <w:r>
        <w:rPr>
          <w:rtl w:val="true"/>
        </w:rPr>
        <w:t>:</w:t>
      </w:r>
      <w:bookmarkEnd w:id="60"/>
    </w:p>
    <w:p>
      <w:pPr>
        <w:pStyle w:val="BookText"/>
        <w:rPr/>
      </w:pPr>
      <w:r>
        <w:rPr>
          <w:rFonts w:ascii="IRNazanin" w:hAnsi="IRNazanin" w:eastAsia="IRNazanin"/>
          <w:color w:val="111111"/>
          <w:sz w:val="28"/>
          <w:sz w:val="28"/>
          <w:szCs w:val="28"/>
          <w:rtl w:val="true"/>
          <w:lang w:bidi="fa-IR"/>
        </w:rPr>
        <w:t xml:space="preserve">أثبتت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في خصائص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علیهم السلام تنام أعينهم ولا تنام قلوبهم، وأنّهم يرون في المنام كما يرون في اليقظة، فيشاركون النبي  صلی الله علیه و آله  في هذه الفضائل والمناقب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المحتضر للحسن بن سليمان الحلي 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ولهذا اتصفت أبدانهم الشريفة بما لم تتصف به أبدان سائر الخلق كما روى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يرى من خلفه كما يرى من بين يديه</w:t>
      </w:r>
      <w:r>
        <w:rPr>
          <w:rFonts w:eastAsia="IRNazanin" w:cs="IRNazanin"/>
          <w:color w:val="111111"/>
          <w:sz w:val="28"/>
          <w:szCs w:val="28"/>
          <w:rtl w:val="true"/>
          <w:lang w:bidi="fa-IR"/>
        </w:rPr>
        <w:t xml:space="preserve">). </w:t>
      </w:r>
      <w:bookmarkStart w:id="61" w:name="pg19159_180070"/>
    </w:p>
    <w:p>
      <w:pPr>
        <w:pStyle w:val="Heading3"/>
        <w:numPr>
          <w:ilvl w:val="2"/>
          <w:numId w:val="1"/>
        </w:numPr>
        <w:rPr/>
      </w:pPr>
      <w:bookmarkStart w:id="62" w:name="__RefHeading___Toc16096113_1280447820"/>
      <w:bookmarkStart w:id="63" w:name="_Toc23"/>
      <w:bookmarkEnd w:id="61"/>
      <w:bookmarkEnd w:id="62"/>
      <w:r>
        <w:rPr>
          <w:rtl w:val="true"/>
        </w:rPr>
        <w:t>النقطة الثالثة</w:t>
      </w:r>
      <w:r>
        <w:rPr>
          <w:rtl w:val="true"/>
        </w:rPr>
        <w:t xml:space="preserve">: </w:t>
      </w:r>
      <w:r>
        <w:rPr>
          <w:rtl w:val="true"/>
        </w:rPr>
        <w:t>المراد بالمؤمنين هنا</w:t>
      </w:r>
      <w:r>
        <w:rPr>
          <w:rtl w:val="true"/>
        </w:rPr>
        <w:t>:</w:t>
      </w:r>
      <w:bookmarkEnd w:id="63"/>
    </w:p>
    <w:p>
      <w:pPr>
        <w:pStyle w:val="BookText"/>
        <w:rPr/>
      </w:pPr>
      <w:r>
        <w:rPr>
          <w:rFonts w:ascii="Amiri" w:hAnsi="Amiri" w:eastAsia="Amiri" w:cs="Amiri"/>
          <w:color w:val="111111"/>
          <w:sz w:val="28"/>
          <w:sz w:val="28"/>
          <w:szCs w:val="28"/>
          <w:rtl w:val="true"/>
          <w:lang w:bidi="ar-SA"/>
        </w:rPr>
        <w:t>مما لا إشكال فيه ولا شبهة تعتريه أنه ليس المراد جميع المؤمنين لأن جميع المؤمنين لا يعلمون بأفعال العباد، فمثلا أنا وأنت لا نعلم بجميع العباد فضلا عن العلم بجميع أفعالهم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فيراد من الآية المباركة بعض المؤمنين، والبعض المراد هم مَن بيّنتهم أحاديث أهل البيت علیهم السلام وهم الأئمة من آل البيت النبوي وورد ذلك في عدة روايات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في الكافي للشيخ الكليني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اعْمَلُوافَسَيَرَى اللهُ عَمَلَكُمْ وَرَسُولُهُ والمُؤْمِنُونَ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تفسير علي بن إبراهيم القمي</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عبد الله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ههنا الأئمة الطاهرون صلوات الله عليهم </w:t>
      </w:r>
      <w:r>
        <w:rPr>
          <w:rFonts w:eastAsia="Amiri" w:cs="Amiri" w:ascii="Amiri" w:hAnsi="Amiri"/>
          <w:color w:val="111111"/>
          <w:sz w:val="28"/>
          <w:szCs w:val="28"/>
          <w:rtl w:val="true"/>
          <w:lang w:bidi="ar-SA"/>
        </w:rPr>
        <w:t xml:space="preserve">). </w:t>
      </w:r>
      <w:bookmarkStart w:id="64" w:name="pg19159_180073"/>
    </w:p>
    <w:p>
      <w:pPr>
        <w:pStyle w:val="Heading3"/>
        <w:numPr>
          <w:ilvl w:val="2"/>
          <w:numId w:val="1"/>
        </w:numPr>
        <w:rPr/>
      </w:pPr>
      <w:bookmarkStart w:id="65" w:name="__RefHeading___Toc16096115_1280447820"/>
      <w:bookmarkStart w:id="66" w:name="_Toc24"/>
      <w:bookmarkEnd w:id="64"/>
      <w:bookmarkEnd w:id="65"/>
      <w:r>
        <w:rPr>
          <w:rtl w:val="true"/>
        </w:rPr>
        <w:t>النقطة الرابعة</w:t>
      </w:r>
      <w:r>
        <w:rPr>
          <w:rtl w:val="true"/>
        </w:rPr>
        <w:t xml:space="preserve">: </w:t>
      </w:r>
      <w:r>
        <w:rPr>
          <w:rtl w:val="true"/>
        </w:rPr>
        <w:t>دلالة الفاء</w:t>
      </w:r>
      <w:r>
        <w:rPr>
          <w:rtl w:val="true"/>
        </w:rPr>
        <w:t>:</w:t>
      </w:r>
      <w:bookmarkEnd w:id="66"/>
    </w:p>
    <w:p>
      <w:pPr>
        <w:pStyle w:val="BookText"/>
        <w:rPr/>
      </w:pPr>
      <w:r>
        <w:rPr>
          <w:rFonts w:ascii="Amiri" w:hAnsi="Amiri" w:eastAsia="Amiri" w:cs="Amiri"/>
          <w:color w:val="111111"/>
          <w:sz w:val="28"/>
          <w:sz w:val="28"/>
          <w:szCs w:val="28"/>
          <w:rtl w:val="true"/>
          <w:lang w:bidi="ar-SA"/>
        </w:rPr>
        <w:t>التقدم على أقسام، ومنها التقدم الزماني، وليس كلّما تقدّم شيء على شيء كان سابقاً عليه زماناً، فإنّ العلّة متقدمة على المعلول والسبب متقدم على المسبب، ولكن ليس تقدماً زمانيّاً، ولو كان تقدّم العلة على المعلول تقدماً زمانيّاً للزم أن توجد العلّة التامّة من دون المعلول، فيتخلّف وجود المعلول عن وجود العلّة وهو محال، كما قرر في محلّه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الفاء للترتيب مع الاتصال أي بدون فصل وبما أن بين العلم وبين المعلوم ترتب غير زماني فلذا ناسب المجيء بالفاء فمعنى ذلك أن الله يعلم بأفعالكم حين وقوعها وان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سابقة على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مما يحتاج لبيان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علمه أزلي قديم لأنّه من صفات الذات، وصفات ذاته المقدسة عين ذاته، وليس هناك إثنينيّة وتعدد بين الذات المقدسة وعلمها، بل علمه عين ذاته وذاته علمه، فلا يمكن أن يحدث علمه بالأفعال عقيب الأفعال وبعد وقوعها، وإلا لزمحدوث علمه تعالى فتكون ذاته حادثة أيضاً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تعالى عالم بالأفعال قبل وحين وبعد وقوعها، من دون حدوث في علمه، وإنّما الذي يتغيّر ويتبدّل ويحدث هو متعلّق العلم، لا نفس العلم، ألا تجد أنّ العلم بأن شخصاً يولد في زمان معيّن، لا يتغيّر هذا العلم بالنسبة إلى ما قبل وقوعه وما بعده، وإنّما الذي حدث هو المعلوم لا العلم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الله تعالى سابق على الأفعال، وإن كان العلم يُعَدّ متأخراً رتبة على المعلوم لا أنّه متأخر زماناً</w:t>
      </w:r>
      <w:r>
        <w:rPr>
          <w:rFonts w:eastAsia="Amiri" w:cs="Amiri" w:ascii="Amiri" w:hAnsi="Amiri"/>
          <w:color w:val="111111"/>
          <w:sz w:val="28"/>
          <w:szCs w:val="28"/>
          <w:rtl w:val="true"/>
          <w:lang w:bidi="ar-SA"/>
        </w:rPr>
        <w:t xml:space="preserve">. </w:t>
      </w:r>
      <w:bookmarkStart w:id="67" w:name="pg19159_180077"/>
    </w:p>
    <w:p>
      <w:pPr>
        <w:pStyle w:val="Heading3"/>
        <w:numPr>
          <w:ilvl w:val="2"/>
          <w:numId w:val="1"/>
        </w:numPr>
        <w:rPr/>
      </w:pPr>
      <w:bookmarkStart w:id="68" w:name="__RefHeading___Toc16096117_1280447820"/>
      <w:bookmarkStart w:id="69" w:name="_Toc25"/>
      <w:bookmarkEnd w:id="67"/>
      <w:bookmarkEnd w:id="68"/>
      <w:r>
        <w:rPr>
          <w:rtl w:val="true"/>
        </w:rPr>
        <w:t>النقطة الخامسة</w:t>
      </w:r>
      <w:r>
        <w:rPr>
          <w:rtl w:val="true"/>
        </w:rPr>
        <w:t xml:space="preserve">: </w:t>
      </w:r>
      <w:r>
        <w:rPr>
          <w:rtl w:val="true"/>
        </w:rPr>
        <w:t>دلالة السين</w:t>
      </w:r>
      <w:r>
        <w:rPr>
          <w:rtl w:val="true"/>
        </w:rPr>
        <w:t>:</w:t>
      </w:r>
      <w:bookmarkEnd w:id="69"/>
    </w:p>
    <w:p>
      <w:pPr>
        <w:pStyle w:val="BookText"/>
        <w:rPr/>
      </w:pPr>
      <w:r>
        <w:rPr>
          <w:rFonts w:ascii="Amiri" w:hAnsi="Amiri" w:eastAsia="Amiri" w:cs="Amiri"/>
          <w:color w:val="111111"/>
          <w:sz w:val="28"/>
          <w:sz w:val="28"/>
          <w:szCs w:val="28"/>
          <w:rtl w:val="true"/>
          <w:lang w:bidi="ar-SA"/>
        </w:rPr>
        <w:t>أفعال العباد وحركاتها من الوجودات المنصرمة التدريجيّة غير القارّة، فالفعل لا استقرار له بل يقوم الواحد منّا بالفعل فينتهي، بخلاف وجود الأشياء كالمصنوعات فإنّها قارّة، وأيضاً الأفعال لا توجد دفعة وإنّما توجد بالتدريج، فتأتي الحركة الثانية بعد ذهاب الحركة الأولى، فعندما تتوضأ تغسل وجهك، وبعد الانتهاء من غسل الوجه ينتهي ذلك الفعل ولا يبقى وتبدأ في إيجاد حركات غسل اليدين، وهكذا كلّما انتهيت من حركة شرعت في الأخرى من دون أن يكون هناك قرار للحركات ولا توجد دفعة واحدة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الأعمال ليست حاصلة بالفعل بل إنّها تحصل </w:t>
      </w:r>
    </w:p>
    <w:p>
      <w:pPr>
        <w:pStyle w:val="BookText"/>
        <w:rPr/>
      </w:pPr>
      <w:r>
        <w:rPr>
          <w:rFonts w:ascii="Amiri" w:hAnsi="Amiri" w:eastAsia="Amiri" w:cs="Amiri"/>
          <w:color w:val="111111"/>
          <w:sz w:val="28"/>
          <w:sz w:val="28"/>
          <w:szCs w:val="28"/>
          <w:rtl w:val="true"/>
          <w:lang w:bidi="ar-SA"/>
        </w:rPr>
        <w:t>بالتدريج في المستقبل ناسب الإتيان بالسين التي تفيد الاستقبال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عندما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فتعني أنّك تريد الكتابة في المستقبل البعيد، أمّا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تريد الكتابة في المستقبل القريب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في الآية المباركة وردت السين لكي نعرف بأنّ المراد من الأعمال هو كلّ الأعمال الصادرة من العباد التي توجد في المستقبلالقريب، وإنّما أصبحت استقبالاً فباعتبار أنّ أفعال العباد المخاطبين بالآية المباركة مستقبلة بالنسبة إلى نفس الآية الشريفة، وأنّ هذا جارٍ في كلّ الأعمال المستقبليّة قريبة أو بعيدة</w:t>
      </w:r>
      <w:r>
        <w:rPr>
          <w:rFonts w:eastAsia="Amiri" w:cs="Amiri" w:ascii="Amiri" w:hAnsi="Amiri"/>
          <w:color w:val="111111"/>
          <w:sz w:val="28"/>
          <w:szCs w:val="28"/>
          <w:rtl w:val="true"/>
          <w:lang w:bidi="ar-SA"/>
        </w:rPr>
        <w:t xml:space="preserve">. </w:t>
      </w:r>
      <w:bookmarkStart w:id="70" w:name="pg19159_180080"/>
    </w:p>
    <w:p>
      <w:pPr>
        <w:pStyle w:val="Heading3"/>
        <w:numPr>
          <w:ilvl w:val="2"/>
          <w:numId w:val="1"/>
        </w:numPr>
        <w:rPr/>
      </w:pPr>
      <w:bookmarkStart w:id="71" w:name="__RefHeading___Toc16096119_1280447820"/>
      <w:bookmarkStart w:id="72" w:name="_Toc26"/>
      <w:bookmarkEnd w:id="70"/>
      <w:bookmarkEnd w:id="71"/>
      <w:r>
        <w:rPr>
          <w:rtl w:val="true"/>
        </w:rPr>
        <w:t>النقطة السادسة</w:t>
      </w:r>
      <w:r>
        <w:rPr>
          <w:rtl w:val="true"/>
        </w:rPr>
        <w:t xml:space="preserve">: </w:t>
      </w:r>
      <w:r>
        <w:rPr>
          <w:rtl w:val="true"/>
        </w:rPr>
        <w:t>دلالة العطف بالواو</w:t>
      </w:r>
      <w:r>
        <w:rPr>
          <w:rtl w:val="true"/>
        </w:rPr>
        <w:t>:</w:t>
      </w:r>
      <w:bookmarkEnd w:id="72"/>
    </w:p>
    <w:p>
      <w:pPr>
        <w:pStyle w:val="BookText"/>
        <w:rPr/>
      </w:pPr>
      <w:r>
        <w:rPr>
          <w:rFonts w:ascii="IRNazanin" w:hAnsi="IRNazanin" w:eastAsia="IRNazanin"/>
          <w:color w:val="111111"/>
          <w:sz w:val="28"/>
          <w:sz w:val="28"/>
          <w:szCs w:val="28"/>
          <w:rtl w:val="true"/>
          <w:lang w:bidi="fa-IR"/>
        </w:rPr>
        <w:t>الواو تفيد المشاركة في الحكم من دون ترتب فاقتضت الآية المباركة أنه كما يعلم الله تعالى بأفعال العباد كذلك يعلم النبي وآله  صلی الله علیه و آله ، وبما أن علم الله تعالى بالعمل لا يتأخر عنه فكذلك علم النبي والأئمة لا يتأخر عن العمل، كما ورد عنهم علیهم السلام ما يؤيِّد ذلك فقد ورد في بعض الروايات أنّ الجدران لا تحجبهم عن الرؤية للأعمال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الخرائج والجرائح لقطب الدين الراوندي</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روي 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يوما إلى باب أبي جعفر علیه السلام فقرعت الباب، فخرجت إليّ وصيفة ناهد، فضربت بيدي على رأس ثديها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 لمولاك إنِّي بالباب، فصاح من آخر الدار أدخل لا أمّ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أردت ريبة، ولا قصدت إلاّ زيادة في يقيني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لئن ظننتم أنّ هذه الجدران تحجب أبصارنا كما تحجب أبصاركم إذاً لا فرق بيننا وبينكم، فإيّاك أن تعاود لمثلها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المناقب لابن شهراشوب</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ميسر بياعالزطي</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على باب أبي جعفر علیه السلام فطرقته، فخرجت إليّ جارية خماسية، فوضعت يدي على يدها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 لمولاك هذا ميسر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فناداني من أقصى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لا أبا لك،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 ميسر، لو كانت هذه الجدر تحجب أبصارنا كما تحجب عنكم أبصاركم، لكنّا وأنتم سواء</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ما أردت إلاّ لأزداد بذلك إيمانا</w:t>
      </w:r>
      <w:r>
        <w:rPr>
          <w:rFonts w:eastAsia="Amiri" w:cs="Amiri" w:ascii="Amiri" w:hAnsi="Amiri"/>
          <w:color w:val="111111"/>
          <w:sz w:val="28"/>
          <w:szCs w:val="28"/>
          <w:rtl w:val="true"/>
          <w:lang w:bidi="ar-SA"/>
        </w:rPr>
        <w:t xml:space="preserve">. </w:t>
      </w:r>
      <w:bookmarkStart w:id="73" w:name="pg19159_180083"/>
    </w:p>
    <w:p>
      <w:pPr>
        <w:pStyle w:val="Heading3"/>
        <w:numPr>
          <w:ilvl w:val="2"/>
          <w:numId w:val="1"/>
        </w:numPr>
        <w:rPr/>
      </w:pPr>
      <w:bookmarkStart w:id="74" w:name="__RefHeading___Toc16096121_1280447820"/>
      <w:bookmarkStart w:id="75" w:name="_Toc27"/>
      <w:bookmarkEnd w:id="73"/>
      <w:bookmarkEnd w:id="74"/>
      <w:r>
        <w:rPr>
          <w:rtl w:val="true"/>
        </w:rPr>
        <w:t>النقطة السابعة</w:t>
      </w:r>
      <w:r>
        <w:rPr>
          <w:rtl w:val="true"/>
        </w:rPr>
        <w:t xml:space="preserve">: </w:t>
      </w:r>
      <w:r>
        <w:rPr>
          <w:rtl w:val="true"/>
        </w:rPr>
        <w:t>عموم العمل والعامل</w:t>
      </w:r>
      <w:r>
        <w:rPr>
          <w:rtl w:val="true"/>
        </w:rPr>
        <w:t>:</w:t>
      </w:r>
      <w:bookmarkEnd w:id="75"/>
    </w:p>
    <w:p>
      <w:pPr>
        <w:pStyle w:val="BookText"/>
        <w:rPr/>
      </w:pPr>
      <w:r>
        <w:rPr>
          <w:rFonts w:ascii="Amiri" w:hAnsi="Amiri" w:eastAsia="Amiri" w:cs="Amiri"/>
          <w:color w:val="111111"/>
          <w:sz w:val="28"/>
          <w:sz w:val="28"/>
          <w:szCs w:val="28"/>
          <w:rtl w:val="true"/>
          <w:lang w:bidi="ar-SA"/>
        </w:rPr>
        <w:t>إنّ إطلاق العمل في الآية المباركة يقتضي هنا العموم، سواء كان العمل صالحاً أم طالحاً، عمل خير أم عمل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المخاطب بالآية الشريفة عامّ، سواء كان العامل صالحاً أم طالحاً، مؤمناً أم كافراً، ومن هنا ورد في بعض الروايات بيان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في سبب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وخاصّة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وَسَتُرَدُّونَ إِلَى عَالِمِ الْغَيْبِ وَالشَّهَادَةِ فَيُنَبِّئُكُمْ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طاعة ومعصية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للشيخ الكليني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سماعة، </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مالكم تسوؤن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نسوؤه؟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تعلمون أن أعمالكم تعرض عليه، فإذا رأى فيها معصية ساءه ذلك، فلا تسوؤا رسول الله، وسُرّوه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 للشيخ الكليني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الأعمال تعرض على رسول الله  صلی الله علیه و آله  أبرارها وفجارها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تفسير علي بن إبراهيم القمي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أعمال العباد تعرض على رسول الله  صلی الله علیه و آله  كل صباح أبرارها وفجارها، فاحذروا فليستحيي أحدكم أن يعرض على نبيه العمل القبيح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تفسير العياشي لمحمد بن مسعود العياشي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الفضيل عن أبى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تبارك وتعالى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فَسَيَرَى اللهُ عَمَلَكُمْ وَرَسُولُهُ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 على رسول الله عليه وآله السلام أعمال أمته كل صباح أبرارها وفجارها فاحذروا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وسيأتي في أثناء البحث المزيد من الروايات الدالّة على عموم علمهم علیهم السلام بأفعال العباد، الأبرار منهم والفجّار، فلاحظ</w:t>
      </w:r>
      <w:r>
        <w:rPr>
          <w:rFonts w:eastAsia="IRNazanin" w:cs="IRNazanin"/>
          <w:color w:val="111111"/>
          <w:sz w:val="28"/>
          <w:szCs w:val="28"/>
          <w:rtl w:val="true"/>
          <w:lang w:bidi="fa-IR"/>
        </w:rPr>
        <w:t xml:space="preserve">. </w:t>
      </w:r>
      <w:bookmarkStart w:id="76" w:name="pg19159_180086"/>
    </w:p>
    <w:p>
      <w:pPr>
        <w:pStyle w:val="Heading3"/>
        <w:numPr>
          <w:ilvl w:val="2"/>
          <w:numId w:val="1"/>
        </w:numPr>
        <w:rPr/>
      </w:pPr>
      <w:bookmarkStart w:id="77" w:name="__RefHeading___Toc16096123_1280447820"/>
      <w:bookmarkStart w:id="78" w:name="_Toc28"/>
      <w:bookmarkEnd w:id="76"/>
      <w:bookmarkEnd w:id="77"/>
      <w:r>
        <w:rPr>
          <w:rtl w:val="true"/>
        </w:rPr>
        <w:t>النقطة الثامنة</w:t>
      </w:r>
      <w:r>
        <w:rPr>
          <w:rtl w:val="true"/>
        </w:rPr>
        <w:t xml:space="preserve">: </w:t>
      </w:r>
      <w:r>
        <w:rPr>
          <w:rtl w:val="true"/>
        </w:rPr>
        <w:t>وقت عرض الأعمال</w:t>
      </w:r>
      <w:r>
        <w:rPr>
          <w:rtl w:val="true"/>
        </w:rPr>
        <w:t>:</w:t>
      </w:r>
      <w:bookmarkEnd w:id="78"/>
    </w:p>
    <w:p>
      <w:pPr>
        <w:pStyle w:val="Heading4"/>
        <w:numPr>
          <w:ilvl w:val="3"/>
          <w:numId w:val="1"/>
        </w:numPr>
        <w:rPr/>
      </w:pPr>
      <w:bookmarkStart w:id="79" w:name="__RefHeading___Toc16096125_1280447820"/>
      <w:bookmarkStart w:id="80" w:name="_Toc29"/>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لقد دلّت الروايات على أنّ عرض الأعمال يتعدد فالذي ذكر في الروايات عدّة موارد</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6096127_1280447820"/>
      <w:bookmarkStart w:id="82" w:name="_Toc30"/>
      <w:bookmarkEnd w:id="81"/>
      <w:r>
        <w:rPr>
          <w:rtl w:val="true"/>
        </w:rPr>
        <w:t>أوّلاً</w:t>
      </w:r>
      <w:r>
        <w:rPr>
          <w:rtl w:val="true"/>
        </w:rPr>
        <w:t>:</w:t>
      </w:r>
      <w:r>
        <w:rPr>
          <w:rtl w:val="true"/>
        </w:rPr>
        <w:t>عرض الأعمال كلّ يوم</w:t>
      </w:r>
      <w:r>
        <w:rPr>
          <w:rtl w:val="true"/>
        </w:rPr>
        <w:t>:</w:t>
      </w:r>
      <w:bookmarkEnd w:id="82"/>
    </w:p>
    <w:p>
      <w:pPr>
        <w:pStyle w:val="BookText"/>
        <w:rPr/>
      </w:pPr>
      <w:r>
        <w:rPr>
          <w:rFonts w:ascii="Amiri" w:hAnsi="Amiri" w:eastAsia="Amiri" w:cs="Amiri"/>
          <w:color w:val="111111"/>
          <w:sz w:val="28"/>
          <w:sz w:val="28"/>
          <w:szCs w:val="28"/>
          <w:rtl w:val="true"/>
          <w:lang w:bidi="ar-SA"/>
        </w:rPr>
        <w:t>ودل على ذلك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في الكافي</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الكليني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أبان الزيات وكان مكيناً عند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لي ولأهل بيتي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أَوَلستُ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أعمالكم لتعرض علي في كل يوم وليلة،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واللهعلي بن أبي 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والرواية في آخرها وإن ذكرت أمير المؤمنين علیه السلام فقط إلاّ أنّ الإمام الرضا علیه السلام قد ذكر عرض الأعمال عليه أيضاً، فأراد الإمام الرضا علیه السلام من ذكر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الآية نزلت في حقِّ أمير المؤمنين علیه السلام وهم مشاركون له في عرض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ما في تفسير علي بن إبراهيم القمي</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أعمال العباد تعرض على رسول الله  صلی الله علیه و آله  كل صباح أبرارها وفجارها، فاحذروا فليستحيي أحدكم أن يعرض على نبيه العمل القبيح</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في تفسير العياشي لمحمد بن مسعود العياشي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الفضيل عن أبى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تبارك وتعالى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فَسَيَرَى اللهُ عَمَلَكُمْ وَرَسُولُهُ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 على رسول الله عليه وآله السلام أعمال أمته كل صباح أبرارها وفجارها فاحذروا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 ما في معاني الأخبار</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الخطاب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تعرض عليه أعمال أمته كل 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هكذا، ولكن رسول الله  صلی الله علیه و آله  يعرض عليه أعمال أمته كل صباح أبرارها وفجارها، فاحذروا، وهو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فَسَيَرَى اللهُ عَمَلَكُمْ وَرَسُولُهُ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عنى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من الرواية الشريفة أنّ المنفي من كلام أبي الخطاب إنّما هو اختصاص العرض على رسول الله  صلی الله علیه و آله  بيوم الخميس، فأراد الإمام علیه السلامأن يُبيَّن أن الأعمال لا تعرض عليه  صلی الله علیه و آله  فقط في يوم الخميس بل تعرض عليه كلّ يوم، وهذا لا يتنافى مع العرض عليه  صلی الله علیه و آله  في يومي الاثنين والخميس</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في الكافي للشيخ الكليني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 الأعمال على رسول الله  صلی الله علیه و آله  أعمال العباد كل صباح أبرارها وفجارها فاحذروها، وهو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فَسَيَرَى اللهُ عَمَلَكُمْ وَرَسُولُهُ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وسكت</w:t>
      </w:r>
      <w:r>
        <w:rPr>
          <w:rFonts w:eastAsia="IRNazanin" w:cs="IRNazanin"/>
          <w:color w:val="111111"/>
          <w:sz w:val="28"/>
          <w:szCs w:val="28"/>
          <w:rtl w:val="true"/>
          <w:lang w:bidi="fa-IR"/>
        </w:rPr>
        <w:t xml:space="preserve">). </w:t>
      </w:r>
      <w:bookmarkStart w:id="83" w:name="pg19159_180092"/>
    </w:p>
    <w:p>
      <w:pPr>
        <w:pStyle w:val="Heading4"/>
        <w:numPr>
          <w:ilvl w:val="3"/>
          <w:numId w:val="1"/>
        </w:numPr>
        <w:rPr/>
      </w:pPr>
      <w:bookmarkStart w:id="84" w:name="__RefHeading___Toc16096129_1280447820"/>
      <w:bookmarkStart w:id="85" w:name="_Toc31"/>
      <w:bookmarkEnd w:id="83"/>
      <w:bookmarkEnd w:id="84"/>
      <w:r>
        <w:rPr>
          <w:rtl w:val="true"/>
        </w:rPr>
        <w:t>ثانياً</w:t>
      </w:r>
      <w:r>
        <w:rPr>
          <w:rtl w:val="true"/>
        </w:rPr>
        <w:t xml:space="preserve">: </w:t>
      </w:r>
      <w:r>
        <w:rPr>
          <w:rtl w:val="true"/>
        </w:rPr>
        <w:t>يومي الاثنين والخميس</w:t>
      </w:r>
      <w:r>
        <w:rPr>
          <w:rtl w:val="true"/>
        </w:rPr>
        <w:t>:</w:t>
      </w:r>
      <w:bookmarkEnd w:id="85"/>
    </w:p>
    <w:p>
      <w:pPr>
        <w:pStyle w:val="BookText"/>
        <w:rPr/>
      </w:pPr>
      <w:r>
        <w:rPr>
          <w:rFonts w:ascii="Amiri" w:hAnsi="Amiri" w:eastAsia="Amiri" w:cs="Amiri"/>
          <w:color w:val="111111"/>
          <w:sz w:val="28"/>
          <w:sz w:val="28"/>
          <w:szCs w:val="28"/>
          <w:rtl w:val="true"/>
          <w:lang w:bidi="ar-SA"/>
        </w:rPr>
        <w:t>تعرض الأعمال يومي الاثنين والخميس ودل على هذا بعض الروايات</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في مجمع البيان</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أن أعمال الأمة تعرض على النبي  صلی الله علیه و آله  في كل يوم اثنين وخميس فيعرفها، وكذلك تعرض على الأئمة القائمين مقامه وهم المعنيون بقوله والمؤمنون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تبيان</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الطائفة في تفسير الآية الشريفة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الخبر أن الأعمال تعرض على النبي  صلی الله علیه و آله  في كل اثنين وخميس فيعلمها وكذلك تعرض على الأئمة علیه السلام فيعرفونها وهم المعنيون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المناسب هنا أن نُشير إلى أنّ ما ورد في نقل العلمين شيخ الطائفة الطوسي وشيخ المفسِّرين الطبرسي من التعبير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فيعرفونها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يوجب ذلك تساؤلاًًً، وهو أنّ أهل </w:t>
      </w:r>
    </w:p>
    <w:p>
      <w:pPr>
        <w:pStyle w:val="BookText"/>
        <w:rPr/>
      </w:pPr>
      <w:r>
        <w:rPr>
          <w:rFonts w:ascii="IRNazanin" w:hAnsi="IRNazanin" w:eastAsia="IRNazanin"/>
          <w:color w:val="111111"/>
          <w:sz w:val="28"/>
          <w:sz w:val="28"/>
          <w:szCs w:val="28"/>
          <w:rtl w:val="true"/>
          <w:lang w:bidi="fa-IR"/>
        </w:rPr>
        <w:t>البيت علیهم السلام هل يعلمون بالأفعال حين عرضها عليهم يومي الإثنين والخميس، أم أنّهم عالمون بها قبل حدوثها ومنكشف لهم واقعها حين وجودها؟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ليس المراد بأنّ علمهم بالأفعال في يومي الإثنين والخميس، لأنّه على الأقل قد عُرضت عليهم الأفعال في كلّ يوم، فلو كان العرض موجباً للعلم، لحصل العلم في كلّ يوم، ولا معنى لحصوله أيضاً في يومي الاثنين والخميس، فإنّه يكون من تحصيل الحاصل المرفوض عند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بُدّ من حمل تلك المفردات على معنى لا يتنافى مع العرض في كلّ يوم، ولا يتنافى مع انكشاف الأفعال لديهم، ويمكن أن يكون المراد من ذلك؛ أنّهم بمجرّد العرض عليهم يتعرّفون عليها لمطابقتها لما هو معلوم لديهم علیهم السلام ، ولتوضيح الفكرة أكثر نأخذ مثالاً عُرفيّاً، فمثلاً إذا عُرض عليك ابنك فإنّك تتعرّف عليه وتعرفه، لا أنّك جاهل به وعندما عُرض عليك علمت به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الأمالي</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الطوسي ص</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النبي  صلی الله علیه و آله  – 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تعرض أعمال أهل الدنيا على الله من الجمعة إلى الجمعة في يوم الاثنين والخميس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لكل عبد </w:t>
      </w:r>
      <w:bookmarkStart w:id="86" w:name="pg19159_180095"/>
    </w:p>
    <w:p>
      <w:pPr>
        <w:pStyle w:val="BookText"/>
        <w:rPr/>
      </w:pPr>
      <w:bookmarkEnd w:id="86"/>
      <w:r>
        <w:rPr>
          <w:rFonts w:ascii="Amiri" w:hAnsi="Amiri" w:eastAsia="Amiri" w:cs="Amiri"/>
          <w:color w:val="111111"/>
          <w:sz w:val="28"/>
          <w:sz w:val="28"/>
          <w:szCs w:val="28"/>
          <w:rtl w:val="true"/>
          <w:lang w:bidi="ar-SA"/>
        </w:rPr>
        <w:t>مؤمن إلاّ عبداً كان بينه وبين أخيه شحناء،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عمل هذين حتى يصطلحا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صحيفة الرضا</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علیه و آله  يسافر يوم الاثنين والخميس ويقول فيهما ترفع الأعمال إلى الله عزّ وجلوتعقد فيهما الألوية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معاني الأخبار</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الصدوق ص</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حياتي خير لكم، ومماتي خير لكم، أمّا حياتي فتحدثوني وأحدثكم، وأما موتي فتعرض علي أعمالكم عشية الاثنين والخميس، فما كان من عمل صالح حمدت الله عليه وما كان من عمل سيئ استغفرت الله لكم</w:t>
      </w:r>
      <w:r>
        <w:rPr>
          <w:rFonts w:eastAsia="IRNazanin" w:cs="IRNazanin"/>
          <w:color w:val="111111"/>
          <w:sz w:val="28"/>
          <w:szCs w:val="28"/>
          <w:rtl w:val="true"/>
          <w:lang w:bidi="fa-IR"/>
        </w:rPr>
        <w:t>).</w:t>
      </w:r>
    </w:p>
    <w:p>
      <w:pPr>
        <w:pStyle w:val="Heading4"/>
        <w:numPr>
          <w:ilvl w:val="3"/>
          <w:numId w:val="1"/>
        </w:numPr>
        <w:rPr/>
      </w:pPr>
      <w:bookmarkStart w:id="87" w:name="__RefHeading___Toc16096131_1280447820"/>
      <w:bookmarkStart w:id="88" w:name="_Toc32"/>
      <w:bookmarkEnd w:id="87"/>
      <w:r>
        <w:rPr>
          <w:rtl w:val="true"/>
        </w:rPr>
        <w:t>ثالثا</w:t>
      </w:r>
      <w:r>
        <w:rPr>
          <w:rtl w:val="true"/>
        </w:rPr>
        <w:t xml:space="preserve">: </w:t>
      </w:r>
      <w:r>
        <w:rPr>
          <w:rtl w:val="true"/>
        </w:rPr>
        <w:t>بعد الوضع في القبر</w:t>
      </w:r>
      <w:r>
        <w:rPr>
          <w:rtl w:val="true"/>
        </w:rPr>
        <w:t>:</w:t>
      </w:r>
      <w:bookmarkEnd w:id="88"/>
    </w:p>
    <w:p>
      <w:pPr>
        <w:pStyle w:val="BookText"/>
        <w:rPr/>
      </w:pPr>
      <w:r>
        <w:rPr>
          <w:rFonts w:ascii="Amiri" w:hAnsi="Amiri" w:eastAsia="Amiri" w:cs="Amiri"/>
          <w:color w:val="111111"/>
          <w:sz w:val="28"/>
          <w:sz w:val="28"/>
          <w:szCs w:val="28"/>
          <w:rtl w:val="true"/>
          <w:lang w:bidi="ar-SA"/>
        </w:rPr>
        <w:t>ودلت على ذلك بعض الروايات منها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تفسير علي بن إبراهيم القمي</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يموت أو كافر يوضع في قبره حتى يعرض عمله على رسول الله  صلی الله علیه و آله  وعلى أمير المؤمنين علیه السلام وهلم جرا إلى آخر من فرض الله طاعته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 اعْمَلُوا </w:t>
      </w:r>
      <w:bookmarkStart w:id="89" w:name="pg19159_180097"/>
    </w:p>
    <w:p>
      <w:pPr>
        <w:pStyle w:val="BookText"/>
        <w:rPr/>
      </w:pPr>
      <w:bookmarkEnd w:id="89"/>
      <w:r>
        <w:rPr>
          <w:rFonts w:ascii="Amiri" w:hAnsi="Amiri" w:eastAsia="Amiri" w:cs="Amiri"/>
          <w:color w:val="111111"/>
          <w:sz w:val="28"/>
          <w:sz w:val="28"/>
          <w:szCs w:val="28"/>
          <w:rtl w:val="true"/>
          <w:lang w:bidi="ar-SA"/>
        </w:rPr>
        <w:t>فَسَيَرَى اللهُ عَمَلَكُمْ وَرَسُولُهُ والمُؤْمِنُونَ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في تفسير العياشي لمحمد بن مسعود العياشي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فَسَيَرَى اللهُ عَمَلَكُمْ وَرَسُولُهُ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يموت ولا كافر يوضع في قبره حتى يعرض عمله على رسول الله صلى الله عليه وآله وعلي علیه السلام، فهلم إلى آخر من فرض الله طاعته على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في بصائر الدرجات ص</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فَسَيَرَى اللهُ عَمَلَكُمْ وَرَسُولُهُ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يموت ولا كافر، فيوضع في قبره حتى يعرض عمله على رسول الله صلى الله عليه وآله وسلم وعلىعلي وهلم جرا إلى آخر من فرض الله طاعته على العباد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16096133_1280447820"/>
      <w:bookmarkStart w:id="91" w:name="_Toc33"/>
      <w:bookmarkEnd w:id="90"/>
      <w:r>
        <w:rPr>
          <w:rtl w:val="true"/>
        </w:rPr>
        <w:t>رابعاً</w:t>
      </w:r>
      <w:r>
        <w:rPr>
          <w:rtl w:val="true"/>
        </w:rPr>
        <w:t xml:space="preserve">: </w:t>
      </w:r>
      <w:r>
        <w:rPr>
          <w:rtl w:val="true"/>
        </w:rPr>
        <w:t>في يوم القيامة</w:t>
      </w:r>
      <w:r>
        <w:rPr>
          <w:rtl w:val="true"/>
        </w:rPr>
        <w:t>:</w:t>
      </w:r>
      <w:bookmarkEnd w:id="91"/>
    </w:p>
    <w:p>
      <w:pPr>
        <w:pStyle w:val="BookText"/>
        <w:rPr/>
      </w:pPr>
      <w:r>
        <w:rPr>
          <w:rFonts w:ascii="Amiri" w:hAnsi="Amiri" w:eastAsia="Amiri" w:cs="Amiri"/>
          <w:color w:val="111111"/>
          <w:sz w:val="28"/>
          <w:sz w:val="28"/>
          <w:szCs w:val="28"/>
          <w:rtl w:val="true"/>
          <w:lang w:bidi="ar-SA"/>
        </w:rPr>
        <w:t>ودل على ذلك كثير من الروايات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في تفسير العيّاشي</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حسان الكوفي </w:t>
      </w:r>
      <w:bookmarkStart w:id="92" w:name="pg19159_180099"/>
    </w:p>
    <w:p>
      <w:pPr>
        <w:pStyle w:val="BookText"/>
        <w:rPr/>
      </w:pPr>
      <w:bookmarkEnd w:id="92"/>
      <w:r>
        <w:rPr>
          <w:rFonts w:ascii="IRNazanin" w:hAnsi="IRNazanin" w:eastAsia="IRNazanin"/>
          <w:color w:val="111111"/>
          <w:sz w:val="28"/>
          <w:sz w:val="28"/>
          <w:szCs w:val="28"/>
          <w:rtl w:val="true"/>
          <w:lang w:bidi="fa-IR"/>
        </w:rPr>
        <w:t>عن محمد بن جعفر عن أبيه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نصب منبر عن يمين العرش له أربع وعشرون مرقاة ويجيء علي بن أبي طالب علیه السلام وبيده لواء الحمد فيرتقيه ويعلوه ويعرض الخلائق عليه، فمن عرفه دخل الجنة، ومن أنكره دخل النار، وتفسير ذلك في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فَسَيَرَى اللهُ عَمَلَكُمْ وَرَسُولُهُ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أمير المؤمنين علي بن أبي طالب علیه السلام</w:t>
      </w:r>
      <w:r>
        <w:rPr>
          <w:rFonts w:eastAsia="IRNazanin" w:cs="IRNazanin"/>
          <w:color w:val="111111"/>
          <w:sz w:val="28"/>
          <w:szCs w:val="28"/>
          <w:rtl w:val="true"/>
          <w:lang w:bidi="fa-IR"/>
        </w:rPr>
        <w:t>).</w:t>
      </w:r>
    </w:p>
    <w:p>
      <w:pPr>
        <w:pStyle w:val="Heading4"/>
        <w:numPr>
          <w:ilvl w:val="3"/>
          <w:numId w:val="1"/>
        </w:numPr>
        <w:rPr/>
      </w:pPr>
      <w:bookmarkStart w:id="93" w:name="__RefHeading___Toc16096135_1280447820"/>
      <w:bookmarkStart w:id="94" w:name="_Toc34"/>
      <w:bookmarkEnd w:id="93"/>
      <w:r>
        <w:rPr>
          <w:rtl w:val="true"/>
        </w:rPr>
        <w:t>العرض من أجل الحساب</w:t>
      </w:r>
      <w:r>
        <w:rPr>
          <w:rtl w:val="true"/>
        </w:rPr>
        <w:t>:</w:t>
      </w:r>
      <w:bookmarkEnd w:id="94"/>
    </w:p>
    <w:p>
      <w:pPr>
        <w:pStyle w:val="BookText"/>
        <w:rPr/>
      </w:pPr>
      <w:r>
        <w:rPr>
          <w:rFonts w:ascii="IRNazanin" w:hAnsi="IRNazanin" w:eastAsia="IRNazanin"/>
          <w:color w:val="111111"/>
          <w:sz w:val="28"/>
          <w:sz w:val="28"/>
          <w:szCs w:val="28"/>
          <w:rtl w:val="true"/>
          <w:lang w:bidi="fa-IR"/>
        </w:rPr>
        <w:t xml:space="preserve">عرض الأعمال في يوم القيامة إنّما هو لحساب الخلائق، فإنّ حساب الخلائق يترافق مع عرض الأعمال، فلقد روي متواتراً عن المعصومين علیهم السلام أنّهم يُحاسبون الخلائق يوم القيامة، والشيخ الحر العاملي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في أصول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باباً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حساب جميع الخلق يوم القيامة إلى الأئمة علیهم السلام ، وبعد إيراد بعض الأحاديث الدالّة على أنّ حساب جميع الخلائق على الأئمة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والأحاديث في ذلك كثيرة متواترة وإذا ضم إليها النص والإعجاز تمّ الدليل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تلك الأحاديث ما ورد في الزيارة الجامعة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فالراغب عنكم مارق، واللازم لكم لاحق، والمقصر في حقكم زاهق، والحق معكم وفيكم ومنكم وإليكم وأنتم أهله </w:t>
      </w:r>
    </w:p>
    <w:p>
      <w:pPr>
        <w:pStyle w:val="BookText"/>
        <w:rPr/>
      </w:pPr>
      <w:r>
        <w:rPr>
          <w:rFonts w:ascii="Amiri" w:hAnsi="Amiri" w:eastAsia="Amiri" w:cs="Amiri"/>
          <w:color w:val="111111"/>
          <w:sz w:val="28"/>
          <w:sz w:val="28"/>
          <w:szCs w:val="28"/>
          <w:rtl w:val="true"/>
          <w:lang w:bidi="ar-SA"/>
        </w:rPr>
        <w:t>ومعدنه، وميراث النبوة عندكم، وإياب الخلق إليكم، وحسابهمعليكم، وفصل الخطاب عندكم، وآيات الله لديكم، وعزائمه فيكم ونوره وبرهانه عندكم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ما ورد في زيارة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وميراث النبوة عندكم، وإياب الخلق إليكم، وحسابهم عليكم، وفصل الخطاب عندكم، وبرهانه معكم، ونوره منكم، وأمره إليكم، من والاكم يا ساداتي فقد والى الله، و من عاداكم فقد عادى الله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مستدرك سفينة البحار للشيخ علي النمازي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خطبة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إياب الخلق جميعاً، وإليّ حساب الخلق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عن أبي جعفر علیه السلام 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إذا كان يوم القيامة جمع الله الأولين والآخرين لفصل الخطاب، ودعي رسول الله  صلی الله علیه و آله  ودعي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w:t>
      </w:r>
      <w:bookmarkStart w:id="95" w:name="pg19159_180103"/>
    </w:p>
    <w:p>
      <w:pPr>
        <w:pStyle w:val="BookText"/>
        <w:rPr/>
      </w:pPr>
      <w:bookmarkEnd w:id="9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يصعدان، ثم يدعى بنا فيدفع إلينا حساب الناس، فنحن والله ندخل أهل الجنة الجنة، وأهل النار النار، ثم يدعى بالنبيين فيُقامون صفين عند عرش الله عزّ وجل حتى نفرغ من حساب الناس، فإذا أدخل أهلالجنة الجنة، وأهل النار النار، بعث رب العزة علياً علیه السلام فأنزلهم منازلهم من الجنة وزوجهم، فعلي والله الذي يزوِّج أهل الجنة في الجنة وما ذاك إلى أحد غيره، كرامة من الله عزّ ذكره وفضلاً فضله الله به ومَنّ به عليه، وهو والله يدخل أهل النار النار، وهو الذي يغلق على أهل الجنة إذا دخلوا أبوابها؛ لأنّ أبواب الجنة إليه وأبواب النار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بسنده عن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قاعداً مع أبي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في الطواف في جوف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سماعة إلينا إياب هذا الخلق وعلينا حسابهم، فما كان لهم من ذنب في ما بينهم وبين الله، حتمنا على الله في تركه فأجابنا إلى ذلك، وما كان بينهم وبين الناس استوهبناه منهم فأجابونا إلى ذلك وعوضهم الله عزّ وجل</w:t>
      </w:r>
      <w:r>
        <w:rPr>
          <w:rFonts w:eastAsia="IRNazanin" w:cs="IRNazanin"/>
          <w:color w:val="111111"/>
          <w:sz w:val="28"/>
          <w:szCs w:val="28"/>
          <w:rtl w:val="true"/>
          <w:lang w:bidi="fa-IR"/>
        </w:rPr>
        <w:t>).</w:t>
      </w:r>
    </w:p>
    <w:p>
      <w:pPr>
        <w:pStyle w:val="Heading4"/>
        <w:numPr>
          <w:ilvl w:val="3"/>
          <w:numId w:val="1"/>
        </w:numPr>
        <w:rPr/>
      </w:pPr>
      <w:bookmarkStart w:id="96" w:name="__RefHeading___Toc16096137_1280447820"/>
      <w:bookmarkStart w:id="97" w:name="_Toc35"/>
      <w:bookmarkEnd w:id="96"/>
      <w:r>
        <w:rPr>
          <w:rtl w:val="true"/>
        </w:rPr>
        <w:t>شُبهةٌ وردُّها</w:t>
      </w:r>
      <w:r>
        <w:rPr>
          <w:rtl w:val="true"/>
        </w:rPr>
        <w:t>:</w:t>
      </w:r>
      <w:bookmarkEnd w:id="9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 الخلق على الله تعالى وليس على أحد من </w:t>
      </w:r>
    </w:p>
    <w:p>
      <w:pPr>
        <w:pStyle w:val="BookText"/>
        <w:rPr/>
      </w:pPr>
      <w:r>
        <w:rPr>
          <w:rFonts w:ascii="Amiri" w:hAnsi="Amiri" w:eastAsia="Amiri" w:cs="Amiri"/>
          <w:color w:val="111111"/>
          <w:sz w:val="28"/>
          <w:sz w:val="28"/>
          <w:szCs w:val="28"/>
          <w:rtl w:val="true"/>
          <w:lang w:bidi="ar-SA"/>
        </w:rPr>
        <w:t>الخلق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الله تعالى في الآية المباركة حساب الخلق على الله تعالى لا على غيره من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 في ردّ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قد نسب إلى ذاته المقدسة أفعالاً ولم يُنافي ذلك قيام الملائكة علیهم السلام بتلك الأفعال، فكتابة أفعال العباد قد نسبها تعالى إلى نفسه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 الْمَوْتَى وَنَكْتُبُ مَا قَدَّمُوا وَآثَارَهُمْ وَكُلَّ شَيْءٍ أَحْصَيْنَاهُ فِي إِمَامٍ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 اللهُ قَوْلَ الَّذِينَ قَالُوا إِنَّ اللهَ فَقِيرٌ وَنَحْنُ أَغْنِيَاءُ سَنَكْتُبُ مَا قَالُوا وَقَتْلَهُمُ الْأَنْبِيَاءَ بِغَيْرِ حَقٍّ وَنَقُولُ ذُوقُوا عَذَابَ الْحَرِيقِ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سَنَكْتُبُ مَا يَقُولُ وَنَمُدُّ لَهُ مِنَ الْعَذَابِ 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تلك الآيات الشريفة قد نسب الله تعالى كتابة أفعال الخلق إلى نفسه، ولم يُناف ذلك نسبتها إلى الملائكة الكرام علیهم السلام ، فقال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أَذَقْنَا النَّاسَ رَحْمَةً مِنْ بَعْدِ ضَرَّاءَ مَسَّتْهُمْ إِذَا لَهُمْ مَكْرٌ فِي آيَاتِنَا قُلِ اللهُ أَسْرَعُ مَكْراً إِنَّ رُسُلَنَا يَكْتُبُونَ مَا تَمْكُرُونَ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تعذيب العاصين نسبه الله تعالى أيضاً إلى نفسه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يَتَوَلَّوْا يُعَذِّبْهُمُ اللهُ عَذَاباً أَلِيماً فِي الدُّنْيَا وَالْآخِرَةِ وَمَا لَهُمْ فِي الْأَرْضِ مِنْ وَلِيٍّ وَلا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 الله تعالى قد أوكل بالعذاب ملائكة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أَصْحَابَ النَّارِ إِلَّا مَلائِكَةً وَمَا جَعَلْنَا عِدَّتَهُمْ إِلَّا فِتْنَةً لِلَّذِينَ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يصحُّ أن يُعذِّب الله تعالى الكافرين بأيدي المؤمنين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يُعَذِّبْهُمُ اللهُ بِأَيْدِيكُمْ وَيُخْزِهِمْ وَيَنْصُرْكُمْ عَلَيْهِمْ وَيَشْفِ صُدُورَ قَوْمٍ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بالنسبة لحساب الخلق، فإنّ الله تعالى وإن نسبه إلى نفسه إلاّ أنّ ذلك لا يتنافى مع ما ثبت بالتواتر من أنّ حساب الخلق عيهم علیهم السلام ، وفي الآية الكريمة السابقة إشارة إلى ذلك إذ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فالتعبير بالجمع يُشعر بذلك، فيكون تفسير الآية؛ ثُمّ عليّ وعلى أوليائي 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لماذا نقبل أن يكون حساب الناس على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فالمسلمون جميعاً متفقون على حساب منكر ونكير ’ بل وجريان العذاب والنعيم على 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نقبل </w:t>
      </w:r>
    </w:p>
    <w:p>
      <w:pPr>
        <w:pStyle w:val="BookText"/>
        <w:rPr/>
      </w:pPr>
      <w:r>
        <w:rPr>
          <w:rFonts w:ascii="IRNazanin" w:hAnsi="IRNazanin" w:eastAsia="IRNazanin"/>
          <w:color w:val="111111"/>
          <w:sz w:val="28"/>
          <w:sz w:val="28"/>
          <w:szCs w:val="28"/>
          <w:rtl w:val="true"/>
          <w:lang w:bidi="fa-IR"/>
        </w:rPr>
        <w:t>أن يكون الحساب على مَن هم أفضل من الملائكة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ولماذا يكون الاعتقاد بمحاسبة الملائكة للناس إيماناً، والإعتقاد بمحاسبة مَنْ هم أفضل من الملائكة يكون كفراً وغلواً؟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إرادتهم علیهم السلام من الآية المباركة ما في تفسير فرات الكوفي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قبيصة، عن أبي عبد الله علیه السلام في 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أسألك عن التفسير،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قبيصة، إذا كان يوم القيامة جعل الله حساب شيعتنا إلينا، فما كان بينهم وبين الله استوهبه محمد  صلی الله علیه و آله  من الله، وما كان في ما بينهم وبين الناس من المظالم أداه محمد  صلی الله علیه و آله  عنهم وما كان في ما بيننا وبينهم وهبناه لهم، حتى يدخلوا الجنة بغير حساب</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أمالي شيخ الطائفة الطوسي قدس سره بإسناده إلى عبد الله بن سنان عن أبى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وكلنا الله بحساب شيعتنا، فما كان لله سألنا الله أن يهبه فهو لهم، وما كان لنا فهو لهم، ثم قرء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بصائر الدرجات بسنده عن أبى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إلينا الصراط والميزان وحساب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طويل أخذنا منه </w:t>
      </w:r>
    </w:p>
    <w:p>
      <w:pPr>
        <w:pStyle w:val="BookText"/>
        <w:rPr/>
      </w:pPr>
      <w:r>
        <w:rPr>
          <w:rFonts w:ascii="Amiri" w:hAnsi="Amiri" w:eastAsia="Amiri" w:cs="Amiri"/>
          <w:color w:val="111111"/>
          <w:sz w:val="28"/>
          <w:sz w:val="28"/>
          <w:szCs w:val="28"/>
          <w:rtl w:val="true"/>
          <w:lang w:bidi="ar-SA"/>
        </w:rPr>
        <w:t>موضع الحاجة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الروايات الكثيرة التي لا تخفى على المتتبع لأحاديث أهل العصمة والطهارة</w:t>
      </w:r>
      <w:r>
        <w:rPr>
          <w:rFonts w:eastAsia="Amiri" w:cs="Amiri" w:ascii="Amiri" w:hAnsi="Amiri"/>
          <w:color w:val="111111"/>
          <w:sz w:val="28"/>
          <w:szCs w:val="28"/>
          <w:rtl w:val="true"/>
          <w:lang w:bidi="ar-SA"/>
        </w:rPr>
        <w:t xml:space="preserve">. </w:t>
      </w:r>
      <w:bookmarkStart w:id="98" w:name="pg19159_180112"/>
    </w:p>
    <w:p>
      <w:pPr>
        <w:pStyle w:val="Heading3"/>
        <w:numPr>
          <w:ilvl w:val="2"/>
          <w:numId w:val="1"/>
        </w:numPr>
        <w:rPr/>
      </w:pPr>
      <w:bookmarkStart w:id="99" w:name="__RefHeading___Toc16096139_1280447820"/>
      <w:bookmarkStart w:id="100" w:name="_Toc36"/>
      <w:bookmarkEnd w:id="98"/>
      <w:bookmarkEnd w:id="99"/>
      <w:r>
        <w:rPr>
          <w:rtl w:val="true"/>
        </w:rPr>
        <w:t>الجمع بين الروايات</w:t>
      </w:r>
      <w:r>
        <w:rPr>
          <w:rtl w:val="true"/>
        </w:rPr>
        <w:t>:</w:t>
      </w:r>
      <w:bookmarkEnd w:id="100"/>
    </w:p>
    <w:p>
      <w:pPr>
        <w:pStyle w:val="BookText"/>
        <w:rPr/>
      </w:pPr>
      <w:r>
        <w:rPr>
          <w:rFonts w:ascii="IRNazanin" w:hAnsi="IRNazanin" w:eastAsia="IRNazanin"/>
          <w:color w:val="111111"/>
          <w:sz w:val="28"/>
          <w:sz w:val="28"/>
          <w:szCs w:val="28"/>
          <w:rtl w:val="true"/>
          <w:lang w:bidi="fa-IR"/>
        </w:rPr>
        <w:t>إنّ عرض الأعمال إنّما هو من أجل الرحمة بالعباد كما يستفاد ذلك من الروايات التي ذكرنا بعضها هنا، والتي منها ما ذكرناه في سبب نزول الآية المباركة، فقد ذكرت الرواية استغفار النبي  صلی الله علیه و آله  للعباد عند عرض الأعمال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عرض الأعمال من أجل أن يعلم الله سبحانه وتعالى بأعمال العباد، أو يعلم النبي محمد وآله  صلی الله علیه و آله  بأفعال الناس، فإنّ علمهم علیهم السلام بأعمال العباد كعلمه تعالى بأفعالهم إنّما يكون سابقاً على الأعمال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هذه الروايات غير متعارضة؛ فإنّ عرض الأعمال يتكرر في مقام تعريض المؤمن للرحمة، فتعرض </w:t>
      </w:r>
    </w:p>
    <w:p>
      <w:pPr>
        <w:pStyle w:val="BookText"/>
        <w:rPr/>
      </w:pPr>
      <w:r>
        <w:rPr>
          <w:rFonts w:ascii="Amiri" w:hAnsi="Amiri" w:eastAsia="Amiri" w:cs="Amiri"/>
          <w:color w:val="111111"/>
          <w:sz w:val="28"/>
          <w:sz w:val="28"/>
          <w:szCs w:val="28"/>
          <w:rtl w:val="true"/>
          <w:lang w:bidi="ar-SA"/>
        </w:rPr>
        <w:t>الأعمال في كلّ يوم من أجل ما إذا فعل العبد في بادئ يومه بعض المحرّمات وتاب عنها وعمل الحسنات فتغفر له، وعرض الأعمال في كلّ أسبوع مرتين فيما لو كانت بعض صحفه في بداية الأسبوع سيئة واستغفر وتاب وعمل صالحاً فإنّه يغفر له، وعند الوضع في قبره لاحتياجه إلى الرحمة، وفي يوم القيامة لاحتياجه إلى الشفاعة والمغفرة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رزقنا الله تعالى شفاعة ورحمة ورأفة نبينا وسيدنا محمد وآله الطيبين الطاهرين المعصومين، في الدنيا والآخرة</w:t>
      </w:r>
      <w:r>
        <w:rPr>
          <w:rFonts w:eastAsia="Amiri" w:cs="Amiri" w:ascii="Amiri" w:hAnsi="Amiri"/>
          <w:color w:val="111111"/>
          <w:sz w:val="28"/>
          <w:szCs w:val="28"/>
          <w:rtl w:val="true"/>
          <w:lang w:bidi="ar-SA"/>
        </w:rPr>
        <w:t xml:space="preserve">. </w:t>
      </w:r>
      <w:bookmarkStart w:id="101" w:name="pg19159_180115"/>
    </w:p>
    <w:p>
      <w:pPr>
        <w:pStyle w:val="Heading2"/>
        <w:numPr>
          <w:ilvl w:val="1"/>
          <w:numId w:val="1"/>
        </w:numPr>
        <w:rPr/>
      </w:pPr>
      <w:bookmarkStart w:id="102" w:name="__RefHeading___Toc16096141_1280447820"/>
      <w:bookmarkStart w:id="103" w:name="_Toc37"/>
      <w:bookmarkEnd w:id="101"/>
      <w:bookmarkEnd w:id="102"/>
      <w:r>
        <w:rPr>
          <w:rtl w:val="true"/>
        </w:rPr>
        <w:t>خاتمة</w:t>
      </w:r>
      <w:bookmarkEnd w:id="103"/>
    </w:p>
    <w:p>
      <w:pPr>
        <w:pStyle w:val="Heading3"/>
        <w:numPr>
          <w:ilvl w:val="2"/>
          <w:numId w:val="1"/>
        </w:numPr>
        <w:rPr/>
      </w:pPr>
      <w:bookmarkStart w:id="104" w:name="__RefHeading___Toc16096143_1280447820"/>
      <w:bookmarkStart w:id="105" w:name="_Toc38"/>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إنّ الآية المباركة لها الدلالة التامّة على العلم بالعمل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ذلك – ولذا يكون عنوان عرض الأعمال ليس مشمولاً للآية المباركة، لخروجه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في بعض الروايات تطبيق الآية على العرض، لأنّ من وقع منه العلم بالعمل في حينه فإمكانيّة العرض عليه من باب أولى هذا من ناحية، ومن ناحية أخرى إنّ الناس تتفاوت في استعداداتها وتقبلها للحق، ولذا كانت مسألة عرض الأعمال – مع وجود المصلحة فيها – أقرب إلى قبول الناس</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الآية المباركة دالّة على عموم علم الأئمة علیهم السلام بكلِّ أفعال العباد الصالح والطالح، الشريف والوضيع، العظيم </w:t>
      </w:r>
    </w:p>
    <w:p>
      <w:pPr>
        <w:pStyle w:val="BookText"/>
        <w:rPr/>
      </w:pPr>
      <w:r>
        <w:rPr>
          <w:rFonts w:ascii="Amiri" w:hAnsi="Amiri" w:eastAsia="Amiri" w:cs="Amiri"/>
          <w:color w:val="111111"/>
          <w:sz w:val="28"/>
          <w:sz w:val="28"/>
          <w:szCs w:val="28"/>
          <w:rtl w:val="true"/>
          <w:lang w:bidi="ar-SA"/>
        </w:rPr>
        <w:t>والحقير، الخفي والظاهر، السرّ والعلن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تراءى لبعض الناس أنّهم لا يعلمون بأفعالنا الخاصّة لقبح الإطّلاع على العورات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غير النظر، بل لا يقبح حتّى النظر، بعد أن قامت الأدلّة على ذلك، ومن تلك الأدلّة هذه الآية المباركة وإن تأدّبوا علیهم السلام بأدب عدم النظر إلى العورات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خير المرسلين، محمد وآله الطاهرين، ونسأله تعالى أن يجعلنا من المنتظرين لسيدنا ومولانا إمام الخلق أجمعين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العالمين</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9159_180120"/>
      <w:bookmarkStart w:id="107" w:name="pg19159_180120"/>
      <w:bookmarkEnd w:id="107"/>
    </w:p>
    <w:p>
      <w:pPr>
        <w:pStyle w:val="Heading3"/>
        <w:numPr>
          <w:ilvl w:val="2"/>
          <w:numId w:val="1"/>
        </w:numPr>
        <w:rPr/>
      </w:pPr>
      <w:bookmarkStart w:id="108" w:name="pg19159_180120"/>
      <w:bookmarkStart w:id="109" w:name="__RefHeading___Toc16096145_1280447820"/>
      <w:bookmarkStart w:id="110" w:name="_Toc39"/>
      <w:bookmarkEnd w:id="108"/>
      <w:bookmarkEnd w:id="109"/>
      <w:r>
        <w:rPr>
          <w:rtl w:val="true"/>
        </w:rPr>
        <w:t>المحتویات</w:t>
      </w:r>
      <w:bookmarkEnd w:id="110"/>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النزول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الرؤية 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الرؤية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يرى في منامه كما يرى في يقظته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سند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دلالة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عدم ناقضيّة النوم للوضوء في حقّهم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النوم الناقض للوضوء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الأُذُن والقلب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للعقل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الخافي للصوت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أشكل على المخالفين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رواية المخالفين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الصنف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يرى من خلفه كما يرى من أمامه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سند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دلالة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الأمرين السابقين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جريان ذلك في حقّ الأئمة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بالمؤمنين 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العطف بالواو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العمل والعامل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النقطة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عرض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الأعمال كلّ 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الاثنين والخميس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الوضع في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العرض من أجل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شُبهةٌ وردُّها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الجمع بين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الأمالي للشيخ الصدوق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الجريدة 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منه الإستعلام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هنا حذفاً يُعلم من الحديث السابق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المضمون وردت روايات المخالفين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كان النبي  صلی الله علیه و آله  تنام عينه ولا ينام قلبه،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لمحمد 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الدارمي لعبد الله بن بهرام الدارمي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ومجمع الزوائد للهيثمي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والمعجم الكبير للطبراني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وكنز العمال للمتقي الهندي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كثير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الكليني في 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حماد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في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زرارة، مثله،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يذهب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 جميعاً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محيى الدين النووي في المجموع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أبي حامد عن بعض أصحابهم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أيضاً الشرواني في حواشيه على تحفة المحتاج بشرح المنهاج تأليف ابن حجر الهيثمي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السبكي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الشرواني في حواشيه على تحفة المحتاج بشرح المنهاج تأليف ابن حجر الهيثمي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شخص لم يذكره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الشرواني على تحفة المحتاج بشرح المنهاج لابن حجر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مسند أحمد 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 النيسابوري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النيسابوري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النيسابوري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نفس المصدر بأسانيد مختلفة وبألفاظ متقاربة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السرائر بسنده عن أبي عبد الله علیه السلام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المخالفين الأخبار كثيرة فراجع الدر المنثور للسيوطي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استظهره ابن حجر في فتح الباري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ونقله القاضي عياض في الشفا بتعريف حقوق المصطفى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صحيح ابن خزيمة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الشفا بتعريف حقوق المصطفى للقاضي عياض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مختار بن محمود الحنفي شارح القدوري ومصنف القبية في رسالته الناصرية أنه  صلی الله علیه و آله  كان بين كتفيه عينان مثل سم الخياط يبصر منهما ولا تحجبهما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النووي شرح مسلم في قوله  صلی الله علیه و آله  إني والله لأبصر من ورائي كما أبصر من بين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 له صلى الله عليه وسلم إدراكا في قفاه يبصر به من ورائه وقد انخرقت العادة له صلى الله عليه وسلم بأكثر من هذا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فيض القدير شرح الجامع الصغير للمناوي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عيون أخبار الرضا علیه السلام 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للشيخ الصدوق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للشيخ الصدوق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والجرايح لسعد بن هبة الله بن الحسن الراوندي، والمبسوط للشيخ الطوسي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وقصص الأنبياء للراوندي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والمجموع لمحيى الدين النووي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وصحيح ابن حبان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ومسند الحميدي لعبد الله بن الزبير الحميدي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بحار الأنوار للعلامة المجلسي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لابن أبي الفتح الإربلي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مثله الصفار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إبراهيم بن هاشم ، عن علي بن معبد يرفعه ، عنه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الخصيبي في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الثمالي ، عن أبي جعفر علیه السلام عنه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مدينة المعاجز للسيد هاشم البحراني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وعنه البحار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وأخرجه في إثبات الهداة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مشارق أنوار اليقين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مدينة المعاجز للسيد هاشم البحراني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الهداية الكبرى للخصيبي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إثبات الهداة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من الناس، كالرومي والحبشي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في بصائر الدرجات، وعنه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العياشي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والمؤمنون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لرواية المخالفين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عبد الله بن بهرام الدارمي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مكارم الأخلاق للشيخ الطبرسي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للعلامة المجلسي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السفر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بحار الأنوار للعلامة المجلسي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وعيون أخبار الرضا علیه السلام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للشيخ الطوسي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البلد الأمين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والمزار لمحمد بن المشهدي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والمحتضر للحسن بن سليمان الحلي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للعلامة المجلسي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حديث الناس يوم القيامة، الحديث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عنه،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الوسيلة،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الحجرية،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أبواب ما بعد الموت، الباب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البعث والحساب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المحتضر للحسن بن سليمان الحلي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كتاب العدل والمعاد،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الشفاعة، الحديث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8635</Words>
  <Characters>37764</Characters>
  <CharactersWithSpaces>46244</CharactersWithSpaces>
  <Paragraphs>485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2026-08-25T19:40:30Z</dcterms:created>
  <dc:creator>ghaemiyeh.com</dc:creator>
  <dc:description/>
  <dc:language>en-US</dc:language>
  <cp:lastModifiedBy/>
  <dcterms:modified xsi:type="dcterms:W3CDTF">2026-08-25T23:10:33Z</dcterms:modified>
  <cp:revision>1</cp:revision>
  <dc:subject/>
  <dc:title>عرض الأعمال على الأل</dc:title>
</cp:coreProperties>
</file>

<file path=docProps/custom.xml><?xml version="1.0" encoding="utf-8"?>
<Properties xmlns="http://schemas.openxmlformats.org/officeDocument/2006/custom-properties" xmlns:vt="http://schemas.openxmlformats.org/officeDocument/2006/docPropsVTypes"/>
</file>