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20.xml" ContentType="application/vnd.openxmlformats-officedocument.wordprocessingml.footer+xml"/>
  <Override PartName="/word/footer30.xml" ContentType="application/vnd.openxmlformats-officedocument.wordprocessingml.footer+xml"/>
  <Override PartName="/word/footer125.xml" ContentType="application/vnd.openxmlformats-officedocument.wordprocessingml.footer+xml"/>
  <Override PartName="/word/media/image1.png" ContentType="image/png"/>
  <Override PartName="/word/media/image2.jpeg" ContentType="image/jpeg"/>
  <Override PartName="/word/footer31.xml" ContentType="application/vnd.openxmlformats-officedocument.wordprocessingml.footer+xml"/>
  <Override PartName="/word/footer32.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52.xml" ContentType="application/vnd.openxmlformats-officedocument.wordprocessingml.footer+xml"/>
  <Override PartName="/word/footer136.xml" ContentType="application/vnd.openxmlformats-officedocument.wordprocessingml.footer+xml"/>
  <Override PartName="/word/footer50.xml" ContentType="application/vnd.openxmlformats-officedocument.wordprocessingml.footer+xml"/>
  <Override PartName="/word/footer138.xml" ContentType="application/vnd.openxmlformats-officedocument.wordprocessingml.footer+xml"/>
  <Override PartName="/word/footer51.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3.xml" ContentType="application/vnd.openxmlformats-officedocument.wordprocessingml.footer+xml"/>
  <Override PartName="/word/fontTable.xml" ContentType="application/vnd.openxmlformats-officedocument.wordprocessingml.fontTable+xml"/>
  <Override PartName="/word/footer144.xml" ContentType="application/vnd.openxmlformats-officedocument.wordprocessingml.footer+xml"/>
  <Override PartName="/word/footer145.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143.xml" ContentType="application/vnd.openxmlformats-officedocument.wordprocessingml.footer+xml"/>
  <Override PartName="/word/footer76.xml" ContentType="application/vnd.openxmlformats-officedocument.wordprocessingml.footer+xml"/>
  <Override PartName="/word/settings.xml" ContentType="application/vnd.openxmlformats-officedocument.wordprocessingml.settings+xml"/>
  <Override PartName="/word/footer16.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135.xml" ContentType="application/vnd.openxmlformats-officedocument.wordprocessingml.footer+xml"/>
  <Override PartName="/word/footer137.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133.xml" ContentType="application/vnd.openxmlformats-officedocument.wordprocessingml.footer+xml"/>
  <Override PartName="/word/footer66.xml" ContentType="application/vnd.openxmlformats-officedocument.wordprocessingml.footer+xml"/>
  <Override PartName="/word/footer39.xml" ContentType="application/vnd.openxmlformats-officedocument.wordprocessingml.footer+xml"/>
  <Override PartName="/word/footer13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38.xml" ContentType="application/vnd.openxmlformats-officedocument.wordprocessingml.footer+xml"/>
  <Override PartName="/word/footer131.xml" ContentType="application/vnd.openxmlformats-officedocument.wordprocessingml.footer+xml"/>
  <Override PartName="/word/footer108.xml" ContentType="application/vnd.openxmlformats-officedocument.wordprocessingml.footer+xml"/>
  <Override PartName="/word/footer37.xml" ContentType="application/vnd.openxmlformats-officedocument.wordprocessingml.footer+xml"/>
  <Override PartName="/word/footer13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1.xml" ContentType="application/vnd.openxmlformats-officedocument.wordprocessingml.footer+xml"/>
  <Override PartName="/word/footer1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14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129.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140.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27.xml" ContentType="application/vnd.openxmlformats-officedocument.wordprocessingml.footer+xml"/>
  <Override PartName="/word/footer55.xml" ContentType="application/vnd.openxmlformats-officedocument.wordprocessingml.footer+xml"/>
  <Override PartName="/word/numbering.xml" ContentType="application/vnd.openxmlformats-officedocument.wordprocessingml.numbering+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53.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امامت در آینه نبوت بررسی تطبیقی سیره حکومت علی علیه السلام با پیامبر اکرم صلی الله علیه وآله</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4292324_1280447820">
            <w:r>
              <w:rPr>
                <w:webHidden/>
                <w:rStyle w:val="IndexLink"/>
                <w:rtl w:val="true"/>
              </w:rPr>
              <w:t>مشخصات کتاب</w:t>
            </w:r>
            <w:r>
              <w:rPr>
                <w:rStyle w:val="IndexLink"/>
                <w:rtl w:val="true"/>
              </w:rPr>
              <w:tab/>
            </w:r>
            <w:r>
              <w:rPr>
                <w:rStyle w:val="IndexLink"/>
              </w:rPr>
              <w:t>7</w:t>
            </w:r>
          </w:hyperlink>
        </w:p>
        <w:p>
          <w:pPr>
            <w:pStyle w:val="Contents2"/>
            <w:tabs>
              <w:tab w:val="clear" w:pos="8743"/>
              <w:tab w:val="right" w:pos="9026" w:leader="dot"/>
            </w:tabs>
            <w:rPr/>
          </w:pPr>
          <w:hyperlink w:anchor="__RefHeading___Toc14292326_1280447820">
            <w:r>
              <w:rPr>
                <w:webHidden/>
                <w:rStyle w:val="IndexLink"/>
                <w:rtl w:val="true"/>
              </w:rPr>
              <w:t>اشاره</w:t>
            </w:r>
            <w:r>
              <w:rPr>
                <w:rStyle w:val="IndexLink"/>
                <w:rtl w:val="true"/>
              </w:rPr>
              <w:tab/>
            </w:r>
            <w:r>
              <w:rPr>
                <w:rStyle w:val="IndexLink"/>
              </w:rPr>
              <w:t>7</w:t>
            </w:r>
          </w:hyperlink>
        </w:p>
        <w:p>
          <w:pPr>
            <w:pStyle w:val="Contents2"/>
            <w:tabs>
              <w:tab w:val="clear" w:pos="8743"/>
              <w:tab w:val="right" w:pos="9026" w:leader="dot"/>
            </w:tabs>
            <w:rPr/>
          </w:pPr>
          <w:hyperlink w:anchor="__RefHeading___Toc14292328_1280447820">
            <w:r>
              <w:rPr>
                <w:webHidden/>
                <w:rStyle w:val="IndexLink"/>
                <w:rtl w:val="true"/>
              </w:rPr>
              <w:t>قدر دانی</w:t>
            </w:r>
            <w:r>
              <w:rPr>
                <w:rStyle w:val="IndexLink"/>
                <w:rtl w:val="true"/>
              </w:rPr>
              <w:t>:</w:t>
              <w:tab/>
            </w:r>
            <w:r>
              <w:rPr>
                <w:rStyle w:val="IndexLink"/>
              </w:rPr>
              <w:t>11</w:t>
            </w:r>
          </w:hyperlink>
        </w:p>
        <w:p>
          <w:pPr>
            <w:pStyle w:val="Contents2"/>
            <w:tabs>
              <w:tab w:val="clear" w:pos="8743"/>
              <w:tab w:val="right" w:pos="9026" w:leader="dot"/>
            </w:tabs>
            <w:rPr/>
          </w:pPr>
          <w:hyperlink w:anchor="__RefHeading___Toc14292330_1280447820">
            <w:r>
              <w:rPr>
                <w:webHidden/>
                <w:rStyle w:val="IndexLink"/>
                <w:rtl w:val="true"/>
              </w:rPr>
              <w:t>تقدیم</w:t>
            </w:r>
            <w:r>
              <w:rPr>
                <w:rStyle w:val="IndexLink"/>
                <w:rtl w:val="true"/>
              </w:rPr>
              <w:tab/>
            </w:r>
            <w:r>
              <w:rPr>
                <w:rStyle w:val="IndexLink"/>
              </w:rPr>
              <w:t>12</w:t>
            </w:r>
          </w:hyperlink>
        </w:p>
        <w:p>
          <w:pPr>
            <w:pStyle w:val="Contents2"/>
            <w:tabs>
              <w:tab w:val="clear" w:pos="8743"/>
              <w:tab w:val="right" w:pos="9026" w:leader="dot"/>
            </w:tabs>
            <w:rPr/>
          </w:pPr>
          <w:hyperlink w:anchor="__RefHeading___Toc14292332_1280447820">
            <w:r>
              <w:rPr>
                <w:webHidden/>
                <w:rStyle w:val="IndexLink"/>
                <w:rtl w:val="true"/>
              </w:rPr>
              <w:t>فهرست مطالب</w:t>
            </w:r>
            <w:r>
              <w:rPr>
                <w:rStyle w:val="IndexLink"/>
                <w:rtl w:val="true"/>
              </w:rPr>
              <w:tab/>
            </w:r>
            <w:r>
              <w:rPr>
                <w:rStyle w:val="IndexLink"/>
              </w:rPr>
              <w:t>13</w:t>
            </w:r>
          </w:hyperlink>
        </w:p>
        <w:p>
          <w:pPr>
            <w:pStyle w:val="Contents2"/>
            <w:tabs>
              <w:tab w:val="clear" w:pos="8743"/>
              <w:tab w:val="right" w:pos="9026" w:leader="dot"/>
            </w:tabs>
            <w:rPr/>
          </w:pPr>
          <w:hyperlink w:anchor="__RefHeading___Toc14292334_1280447820">
            <w:r>
              <w:rPr>
                <w:webHidden/>
                <w:rStyle w:val="IndexLink"/>
                <w:rtl w:val="true"/>
              </w:rPr>
              <w:t>چکیده</w:t>
            </w:r>
            <w:r>
              <w:rPr>
                <w:rStyle w:val="IndexLink"/>
                <w:rtl w:val="true"/>
              </w:rPr>
              <w:tab/>
            </w:r>
            <w:r>
              <w:rPr>
                <w:rStyle w:val="IndexLink"/>
              </w:rPr>
              <w:t>16</w:t>
            </w:r>
          </w:hyperlink>
        </w:p>
        <w:p>
          <w:pPr>
            <w:pStyle w:val="Contents2"/>
            <w:tabs>
              <w:tab w:val="clear" w:pos="8743"/>
              <w:tab w:val="right" w:pos="9026" w:leader="dot"/>
            </w:tabs>
            <w:rPr/>
          </w:pPr>
          <w:hyperlink w:anchor="__RefHeading___Toc14292336_1280447820">
            <w:r>
              <w:rPr>
                <w:webHidden/>
                <w:rStyle w:val="IndexLink"/>
                <w:rtl w:val="true"/>
              </w:rPr>
              <w:t>فصل اول</w:t>
            </w:r>
            <w:r>
              <w:rPr>
                <w:rStyle w:val="IndexLink"/>
                <w:rtl w:val="true"/>
              </w:rPr>
              <w:t xml:space="preserve">: </w:t>
            </w:r>
            <w:r>
              <w:rPr>
                <w:rStyle w:val="IndexLink"/>
                <w:rtl w:val="true"/>
              </w:rPr>
              <w:t>مفاهیم و کلیات</w:t>
            </w:r>
            <w:r>
              <w:rPr>
                <w:rStyle w:val="IndexLink"/>
                <w:rtl w:val="true"/>
              </w:rPr>
              <w:tab/>
            </w:r>
            <w:r>
              <w:rPr>
                <w:rStyle w:val="IndexLink"/>
              </w:rPr>
              <w:t>18</w:t>
            </w:r>
          </w:hyperlink>
        </w:p>
        <w:p>
          <w:pPr>
            <w:pStyle w:val="Contents3"/>
            <w:tabs>
              <w:tab w:val="clear" w:pos="8459"/>
              <w:tab w:val="right" w:pos="9026" w:leader="dot"/>
            </w:tabs>
            <w:rPr/>
          </w:pPr>
          <w:hyperlink w:anchor="__RefHeading___Toc14292338_1280447820">
            <w:r>
              <w:rPr>
                <w:webHidden/>
                <w:rStyle w:val="IndexLink"/>
                <w:rtl w:val="true"/>
              </w:rPr>
              <w:t>اشاره</w:t>
            </w:r>
            <w:r>
              <w:rPr>
                <w:rStyle w:val="IndexLink"/>
                <w:rtl w:val="true"/>
              </w:rPr>
              <w:tab/>
            </w:r>
            <w:r>
              <w:rPr>
                <w:rStyle w:val="IndexLink"/>
              </w:rPr>
              <w:t>18</w:t>
            </w:r>
          </w:hyperlink>
        </w:p>
        <w:p>
          <w:pPr>
            <w:pStyle w:val="Contents3"/>
            <w:tabs>
              <w:tab w:val="clear" w:pos="8459"/>
              <w:tab w:val="right" w:pos="9026" w:leader="dot"/>
            </w:tabs>
            <w:rPr/>
          </w:pPr>
          <w:hyperlink w:anchor="__RefHeading___Toc14292340_1280447820">
            <w:r>
              <w:rPr>
                <w:webHidden/>
                <w:rStyle w:val="IndexLink"/>
              </w:rPr>
              <w:t>1.1</w:t>
            </w:r>
            <w:r>
              <w:rPr>
                <w:rStyle w:val="IndexLink"/>
                <w:rtl w:val="true"/>
              </w:rPr>
              <w:t>.</w:t>
            </w:r>
            <w:r>
              <w:rPr>
                <w:rStyle w:val="IndexLink"/>
                <w:rtl w:val="true"/>
              </w:rPr>
              <w:t>بیان مسأله و تعیین قلمرو آن</w:t>
            </w:r>
            <w:r>
              <w:rPr>
                <w:rStyle w:val="IndexLink"/>
                <w:rtl w:val="true"/>
              </w:rPr>
              <w:t>:</w:t>
              <w:tab/>
            </w:r>
            <w:r>
              <w:rPr>
                <w:rStyle w:val="IndexLink"/>
              </w:rPr>
              <w:t>19</w:t>
            </w:r>
          </w:hyperlink>
        </w:p>
        <w:p>
          <w:pPr>
            <w:pStyle w:val="Contents3"/>
            <w:tabs>
              <w:tab w:val="clear" w:pos="8459"/>
              <w:tab w:val="right" w:pos="9026" w:leader="dot"/>
            </w:tabs>
            <w:rPr/>
          </w:pPr>
          <w:hyperlink w:anchor="__RefHeading___Toc14292342_1280447820">
            <w:r>
              <w:rPr>
                <w:webHidden/>
                <w:rStyle w:val="IndexLink"/>
              </w:rPr>
              <w:t>1.2</w:t>
            </w:r>
            <w:r>
              <w:rPr>
                <w:rStyle w:val="IndexLink"/>
                <w:rtl w:val="true"/>
              </w:rPr>
              <w:t>.</w:t>
            </w:r>
            <w:r>
              <w:rPr>
                <w:rStyle w:val="IndexLink"/>
                <w:rtl w:val="true"/>
              </w:rPr>
              <w:t>فرضیه</w:t>
            </w:r>
            <w:r>
              <w:rPr>
                <w:rStyle w:val="IndexLink"/>
                <w:rtl w:val="true"/>
              </w:rPr>
              <w:tab/>
            </w:r>
            <w:r>
              <w:rPr>
                <w:rStyle w:val="IndexLink"/>
              </w:rPr>
              <w:t>19</w:t>
            </w:r>
          </w:hyperlink>
        </w:p>
        <w:p>
          <w:pPr>
            <w:pStyle w:val="Contents3"/>
            <w:tabs>
              <w:tab w:val="clear" w:pos="8459"/>
              <w:tab w:val="right" w:pos="9026" w:leader="dot"/>
            </w:tabs>
            <w:rPr/>
          </w:pPr>
          <w:hyperlink w:anchor="__RefHeading___Toc14292344_1280447820">
            <w:r>
              <w:rPr>
                <w:webHidden/>
                <w:rStyle w:val="IndexLink"/>
              </w:rPr>
              <w:t>1.3</w:t>
            </w:r>
            <w:r>
              <w:rPr>
                <w:rStyle w:val="IndexLink"/>
                <w:rtl w:val="true"/>
              </w:rPr>
              <w:t>.</w:t>
            </w:r>
            <w:r>
              <w:rPr>
                <w:rStyle w:val="IndexLink"/>
                <w:rtl w:val="true"/>
              </w:rPr>
              <w:t>پیشینه تحقیق و امتیاز این پژوهش</w:t>
            </w:r>
            <w:r>
              <w:rPr>
                <w:rStyle w:val="IndexLink"/>
                <w:rtl w:val="true"/>
              </w:rPr>
              <w:t>:</w:t>
              <w:tab/>
            </w:r>
            <w:r>
              <w:rPr>
                <w:rStyle w:val="IndexLink"/>
              </w:rPr>
              <w:t>20</w:t>
            </w:r>
          </w:hyperlink>
        </w:p>
        <w:p>
          <w:pPr>
            <w:pStyle w:val="Contents3"/>
            <w:tabs>
              <w:tab w:val="clear" w:pos="8459"/>
              <w:tab w:val="right" w:pos="9026" w:leader="dot"/>
            </w:tabs>
            <w:rPr/>
          </w:pPr>
          <w:hyperlink w:anchor="__RefHeading___Toc14292346_1280447820">
            <w:r>
              <w:rPr>
                <w:webHidden/>
                <w:rStyle w:val="IndexLink"/>
              </w:rPr>
              <w:t>1.3</w:t>
            </w:r>
            <w:r>
              <w:rPr>
                <w:rStyle w:val="IndexLink"/>
                <w:rtl w:val="true"/>
              </w:rPr>
              <w:t>.</w:t>
            </w:r>
            <w:r>
              <w:rPr>
                <w:rStyle w:val="IndexLink"/>
                <w:rtl w:val="true"/>
              </w:rPr>
              <w:t>ضرورت تحقیق</w:t>
            </w:r>
            <w:r>
              <w:rPr>
                <w:rStyle w:val="IndexLink"/>
                <w:rtl w:val="true"/>
              </w:rPr>
              <w:t>:</w:t>
              <w:tab/>
            </w:r>
            <w:r>
              <w:rPr>
                <w:rStyle w:val="IndexLink"/>
              </w:rPr>
              <w:t>20</w:t>
            </w:r>
          </w:hyperlink>
        </w:p>
        <w:p>
          <w:pPr>
            <w:pStyle w:val="Contents3"/>
            <w:tabs>
              <w:tab w:val="clear" w:pos="8459"/>
              <w:tab w:val="right" w:pos="9026" w:leader="dot"/>
            </w:tabs>
            <w:rPr/>
          </w:pPr>
          <w:hyperlink w:anchor="__RefHeading___Toc14292348_1280447820">
            <w:r>
              <w:rPr>
                <w:webHidden/>
                <w:rStyle w:val="IndexLink"/>
              </w:rPr>
              <w:t>1.4</w:t>
            </w:r>
            <w:r>
              <w:rPr>
                <w:rStyle w:val="IndexLink"/>
                <w:rtl w:val="true"/>
              </w:rPr>
              <w:t>.</w:t>
            </w:r>
            <w:r>
              <w:rPr>
                <w:rStyle w:val="IndexLink"/>
                <w:rtl w:val="true"/>
              </w:rPr>
              <w:t>مفاهیم</w:t>
            </w:r>
            <w:r>
              <w:rPr>
                <w:rStyle w:val="IndexLink"/>
                <w:rtl w:val="true"/>
              </w:rPr>
              <w:t>:</w:t>
              <w:tab/>
            </w:r>
            <w:r>
              <w:rPr>
                <w:rStyle w:val="IndexLink"/>
              </w:rPr>
              <w:t>21</w:t>
            </w:r>
          </w:hyperlink>
        </w:p>
        <w:p>
          <w:pPr>
            <w:pStyle w:val="Contents4"/>
            <w:tabs>
              <w:tab w:val="clear" w:pos="8176"/>
              <w:tab w:val="right" w:pos="9026" w:leader="dot"/>
            </w:tabs>
            <w:rPr/>
          </w:pPr>
          <w:hyperlink w:anchor="__RefHeading___Toc14292350_1280447820">
            <w:r>
              <w:rPr>
                <w:webHidden/>
                <w:rStyle w:val="IndexLink"/>
              </w:rPr>
              <w:t>1.4.1</w:t>
            </w:r>
            <w:r>
              <w:rPr>
                <w:rStyle w:val="IndexLink"/>
                <w:rtl w:val="true"/>
              </w:rPr>
              <w:t>.</w:t>
            </w:r>
            <w:r>
              <w:rPr>
                <w:rStyle w:val="IndexLink"/>
                <w:rtl w:val="true"/>
              </w:rPr>
              <w:t xml:space="preserve">حكومت </w:t>
            </w:r>
            <w:r>
              <w:rPr>
                <w:rStyle w:val="IndexLink"/>
                <w:rtl w:val="true"/>
              </w:rPr>
              <w:t>:</w:t>
              <w:tab/>
            </w:r>
            <w:r>
              <w:rPr>
                <w:rStyle w:val="IndexLink"/>
              </w:rPr>
              <w:t>21</w:t>
            </w:r>
          </w:hyperlink>
        </w:p>
        <w:p>
          <w:pPr>
            <w:pStyle w:val="Contents4"/>
            <w:tabs>
              <w:tab w:val="clear" w:pos="8176"/>
              <w:tab w:val="right" w:pos="9026" w:leader="dot"/>
            </w:tabs>
            <w:rPr/>
          </w:pPr>
          <w:hyperlink w:anchor="__RefHeading___Toc14292352_1280447820">
            <w:r>
              <w:rPr>
                <w:webHidden/>
                <w:rStyle w:val="IndexLink"/>
              </w:rPr>
              <w:t>1.4.2</w:t>
            </w:r>
            <w:r>
              <w:rPr>
                <w:rStyle w:val="IndexLink"/>
                <w:rtl w:val="true"/>
              </w:rPr>
              <w:t>.</w:t>
            </w:r>
            <w:r>
              <w:rPr>
                <w:rStyle w:val="IndexLink"/>
                <w:rtl w:val="true"/>
              </w:rPr>
              <w:t xml:space="preserve">تعریف سیره </w:t>
            </w:r>
            <w:r>
              <w:rPr>
                <w:rStyle w:val="IndexLink"/>
                <w:rtl w:val="true"/>
              </w:rPr>
              <w:t>:</w:t>
              <w:tab/>
            </w:r>
            <w:r>
              <w:rPr>
                <w:rStyle w:val="IndexLink"/>
              </w:rPr>
              <w:t>22</w:t>
            </w:r>
          </w:hyperlink>
        </w:p>
        <w:p>
          <w:pPr>
            <w:pStyle w:val="Contents2"/>
            <w:tabs>
              <w:tab w:val="clear" w:pos="8743"/>
              <w:tab w:val="right" w:pos="9026" w:leader="dot"/>
            </w:tabs>
            <w:rPr/>
          </w:pPr>
          <w:hyperlink w:anchor="__RefHeading___Toc14292354_1280447820">
            <w:r>
              <w:rPr>
                <w:webHidden/>
                <w:rStyle w:val="IndexLink"/>
                <w:rtl w:val="true"/>
              </w:rPr>
              <w:t>فصل دوم</w:t>
            </w:r>
            <w:r>
              <w:rPr>
                <w:rStyle w:val="IndexLink"/>
                <w:rtl w:val="true"/>
              </w:rPr>
              <w:t xml:space="preserve">: </w:t>
            </w:r>
            <w:r>
              <w:rPr>
                <w:rStyle w:val="IndexLink"/>
                <w:rtl w:val="true"/>
              </w:rPr>
              <w:t>تطبیق سیرۀ حکومتی نبوی و علوی</w:t>
            </w:r>
            <w:r>
              <w:rPr>
                <w:rStyle w:val="IndexLink"/>
                <w:rtl w:val="true"/>
              </w:rPr>
              <w:tab/>
            </w:r>
            <w:r>
              <w:rPr>
                <w:rStyle w:val="IndexLink"/>
              </w:rPr>
              <w:t>24</w:t>
            </w:r>
          </w:hyperlink>
        </w:p>
        <w:p>
          <w:pPr>
            <w:pStyle w:val="Contents3"/>
            <w:tabs>
              <w:tab w:val="clear" w:pos="8459"/>
              <w:tab w:val="right" w:pos="9026" w:leader="dot"/>
            </w:tabs>
            <w:rPr/>
          </w:pPr>
          <w:hyperlink w:anchor="__RefHeading___Toc14292356_1280447820">
            <w:r>
              <w:rPr>
                <w:webHidden/>
                <w:rStyle w:val="IndexLink"/>
                <w:rtl w:val="true"/>
              </w:rPr>
              <w:t>اشاره</w:t>
            </w:r>
            <w:r>
              <w:rPr>
                <w:rStyle w:val="IndexLink"/>
                <w:rtl w:val="true"/>
              </w:rPr>
              <w:tab/>
            </w:r>
            <w:r>
              <w:rPr>
                <w:rStyle w:val="IndexLink"/>
              </w:rPr>
              <w:t>24</w:t>
            </w:r>
          </w:hyperlink>
        </w:p>
        <w:p>
          <w:pPr>
            <w:pStyle w:val="Contents3"/>
            <w:tabs>
              <w:tab w:val="clear" w:pos="8459"/>
              <w:tab w:val="right" w:pos="9026" w:leader="dot"/>
            </w:tabs>
            <w:rPr/>
          </w:pPr>
          <w:hyperlink w:anchor="__RefHeading___Toc14292358_1280447820">
            <w:r>
              <w:rPr>
                <w:webHidden/>
                <w:rStyle w:val="IndexLink"/>
                <w:rtl w:val="true"/>
              </w:rPr>
              <w:t>تطبیق سیرۀ حکومتی نبوی و علوی</w:t>
            </w:r>
            <w:r>
              <w:rPr>
                <w:rStyle w:val="IndexLink"/>
                <w:rtl w:val="true"/>
              </w:rPr>
              <w:tab/>
            </w:r>
            <w:r>
              <w:rPr>
                <w:rStyle w:val="IndexLink"/>
              </w:rPr>
              <w:t>25</w:t>
            </w:r>
          </w:hyperlink>
        </w:p>
        <w:p>
          <w:pPr>
            <w:pStyle w:val="Contents4"/>
            <w:tabs>
              <w:tab w:val="clear" w:pos="8176"/>
              <w:tab w:val="right" w:pos="9026" w:leader="dot"/>
            </w:tabs>
            <w:rPr/>
          </w:pPr>
          <w:hyperlink w:anchor="__RefHeading___Toc14292360_1280447820">
            <w:r>
              <w:rPr>
                <w:webHidden/>
                <w:rStyle w:val="IndexLink"/>
                <w:rtl w:val="true"/>
              </w:rPr>
              <w:t>اشاره</w:t>
            </w:r>
            <w:r>
              <w:rPr>
                <w:rStyle w:val="IndexLink"/>
                <w:rtl w:val="true"/>
              </w:rPr>
              <w:tab/>
            </w:r>
            <w:r>
              <w:rPr>
                <w:rStyle w:val="IndexLink"/>
              </w:rPr>
              <w:t>25</w:t>
            </w:r>
          </w:hyperlink>
        </w:p>
        <w:p>
          <w:pPr>
            <w:pStyle w:val="Contents4"/>
            <w:tabs>
              <w:tab w:val="clear" w:pos="8176"/>
              <w:tab w:val="right" w:pos="9026" w:leader="dot"/>
            </w:tabs>
            <w:rPr/>
          </w:pPr>
          <w:hyperlink w:anchor="__RefHeading___Toc14292362_1280447820">
            <w:r>
              <w:rPr>
                <w:webHidden/>
                <w:rStyle w:val="IndexLink"/>
              </w:rPr>
              <w:t>2.1</w:t>
            </w:r>
            <w:r>
              <w:rPr>
                <w:rStyle w:val="IndexLink"/>
                <w:rtl w:val="true"/>
              </w:rPr>
              <w:t xml:space="preserve">. </w:t>
            </w:r>
            <w:r>
              <w:rPr>
                <w:rStyle w:val="IndexLink"/>
                <w:rtl w:val="true"/>
              </w:rPr>
              <w:t>پیامبر و ضرورت حکومت</w:t>
            </w:r>
            <w:r>
              <w:rPr>
                <w:rStyle w:val="IndexLink"/>
                <w:rtl w:val="true"/>
              </w:rPr>
              <w:tab/>
            </w:r>
            <w:r>
              <w:rPr>
                <w:rStyle w:val="IndexLink"/>
              </w:rPr>
              <w:t>26</w:t>
            </w:r>
          </w:hyperlink>
        </w:p>
        <w:p>
          <w:pPr>
            <w:pStyle w:val="Contents4"/>
            <w:tabs>
              <w:tab w:val="clear" w:pos="8176"/>
              <w:tab w:val="right" w:pos="9026" w:leader="dot"/>
            </w:tabs>
            <w:rPr/>
          </w:pPr>
          <w:hyperlink w:anchor="__RefHeading___Toc14292364_1280447820">
            <w:r>
              <w:rPr>
                <w:webHidden/>
                <w:rStyle w:val="IndexLink"/>
              </w:rPr>
              <w:t>2.2</w:t>
            </w:r>
            <w:r>
              <w:rPr>
                <w:rStyle w:val="IndexLink"/>
                <w:rtl w:val="true"/>
              </w:rPr>
              <w:t>.</w:t>
            </w:r>
            <w:r>
              <w:rPr>
                <w:rStyle w:val="IndexLink"/>
                <w:rtl w:val="true"/>
              </w:rPr>
              <w:t>ساختار حکومت نبوی</w:t>
            </w:r>
            <w:r>
              <w:rPr>
                <w:rStyle w:val="IndexLink"/>
                <w:rtl w:val="true"/>
              </w:rPr>
              <w:tab/>
            </w:r>
            <w:r>
              <w:rPr>
                <w:rStyle w:val="IndexLink"/>
              </w:rPr>
              <w:t>27</w:t>
            </w:r>
          </w:hyperlink>
        </w:p>
        <w:p>
          <w:pPr>
            <w:pStyle w:val="Contents5"/>
            <w:tabs>
              <w:tab w:val="clear" w:pos="7892"/>
              <w:tab w:val="right" w:pos="9026" w:leader="dot"/>
            </w:tabs>
            <w:rPr/>
          </w:pPr>
          <w:hyperlink w:anchor="__RefHeading___Toc14292366_1280447820">
            <w:r>
              <w:rPr>
                <w:webHidden/>
                <w:rStyle w:val="IndexLink"/>
                <w:rtl w:val="true"/>
              </w:rPr>
              <w:t>اشاره</w:t>
            </w:r>
            <w:r>
              <w:rPr>
                <w:rStyle w:val="IndexLink"/>
                <w:rtl w:val="true"/>
              </w:rPr>
              <w:tab/>
            </w:r>
            <w:r>
              <w:rPr>
                <w:rStyle w:val="IndexLink"/>
              </w:rPr>
              <w:t>27</w:t>
            </w:r>
          </w:hyperlink>
        </w:p>
        <w:p>
          <w:pPr>
            <w:pStyle w:val="Contents5"/>
            <w:tabs>
              <w:tab w:val="clear" w:pos="7892"/>
              <w:tab w:val="right" w:pos="9026" w:leader="dot"/>
            </w:tabs>
            <w:rPr/>
          </w:pPr>
          <w:hyperlink w:anchor="__RefHeading___Toc14292368_1280447820">
            <w:r>
              <w:rPr>
                <w:webHidden/>
                <w:rStyle w:val="IndexLink"/>
              </w:rPr>
              <w:t>2.2.1</w:t>
            </w:r>
            <w:r>
              <w:rPr>
                <w:rStyle w:val="IndexLink"/>
                <w:rtl w:val="true"/>
              </w:rPr>
              <w:t xml:space="preserve">. </w:t>
            </w:r>
            <w:r>
              <w:rPr>
                <w:rStyle w:val="IndexLink"/>
                <w:rtl w:val="true"/>
              </w:rPr>
              <w:t>وزارت</w:t>
            </w:r>
            <w:r>
              <w:rPr>
                <w:rStyle w:val="IndexLink"/>
                <w:rtl w:val="true"/>
              </w:rPr>
              <w:tab/>
            </w:r>
            <w:r>
              <w:rPr>
                <w:rStyle w:val="IndexLink"/>
              </w:rPr>
              <w:t>28</w:t>
            </w:r>
          </w:hyperlink>
        </w:p>
        <w:p>
          <w:pPr>
            <w:pStyle w:val="Contents5"/>
            <w:tabs>
              <w:tab w:val="clear" w:pos="7892"/>
              <w:tab w:val="right" w:pos="9026" w:leader="dot"/>
            </w:tabs>
            <w:rPr/>
          </w:pPr>
          <w:hyperlink w:anchor="__RefHeading___Toc14292370_1280447820">
            <w:r>
              <w:rPr>
                <w:webHidden/>
                <w:rStyle w:val="IndexLink"/>
              </w:rPr>
              <w:t>2.2.2</w:t>
            </w:r>
            <w:r>
              <w:rPr>
                <w:rStyle w:val="IndexLink"/>
                <w:rtl w:val="true"/>
              </w:rPr>
              <w:t xml:space="preserve">. </w:t>
            </w:r>
            <w:r>
              <w:rPr>
                <w:rStyle w:val="IndexLink"/>
                <w:rtl w:val="true"/>
              </w:rPr>
              <w:t xml:space="preserve">جهاز اداری </w:t>
            </w:r>
            <w:r>
              <w:rPr>
                <w:rStyle w:val="IndexLink"/>
                <w:rtl w:val="true"/>
              </w:rPr>
              <w:t>(</w:t>
            </w:r>
            <w:r>
              <w:rPr>
                <w:rStyle w:val="IndexLink"/>
                <w:rtl w:val="true"/>
              </w:rPr>
              <w:t>وزارت كشور</w:t>
            </w:r>
            <w:r>
              <w:rPr>
                <w:rStyle w:val="IndexLink"/>
                <w:rtl w:val="true"/>
              </w:rPr>
              <w:t>)</w:t>
              <w:tab/>
            </w:r>
            <w:r>
              <w:rPr>
                <w:rStyle w:val="IndexLink"/>
              </w:rPr>
              <w:t>32</w:t>
            </w:r>
          </w:hyperlink>
        </w:p>
        <w:p>
          <w:pPr>
            <w:pStyle w:val="Contents5"/>
            <w:tabs>
              <w:tab w:val="clear" w:pos="7892"/>
              <w:tab w:val="right" w:pos="9026" w:leader="dot"/>
            </w:tabs>
            <w:rPr/>
          </w:pPr>
          <w:hyperlink w:anchor="__RefHeading___Toc14292372_1280447820">
            <w:r>
              <w:rPr>
                <w:webHidden/>
                <w:rStyle w:val="IndexLink"/>
              </w:rPr>
              <w:t>2.2.3</w:t>
            </w:r>
            <w:r>
              <w:rPr>
                <w:rStyle w:val="IndexLink"/>
                <w:rtl w:val="true"/>
              </w:rPr>
              <w:t xml:space="preserve">. </w:t>
            </w:r>
            <w:r>
              <w:rPr>
                <w:rStyle w:val="IndexLink"/>
                <w:rtl w:val="true"/>
              </w:rPr>
              <w:t xml:space="preserve">جهاز فنی </w:t>
            </w:r>
            <w:r>
              <w:rPr>
                <w:rStyle w:val="IndexLink"/>
                <w:rtl w:val="true"/>
              </w:rPr>
              <w:t>(</w:t>
            </w:r>
            <w:r>
              <w:rPr>
                <w:rStyle w:val="IndexLink"/>
                <w:rtl w:val="true"/>
              </w:rPr>
              <w:t>دبیر خانه</w:t>
            </w:r>
            <w:r>
              <w:rPr>
                <w:rStyle w:val="IndexLink"/>
                <w:rtl w:val="true"/>
              </w:rPr>
              <w:t>)</w:t>
              <w:tab/>
            </w:r>
            <w:r>
              <w:rPr>
                <w:rStyle w:val="IndexLink"/>
              </w:rPr>
              <w:t>33</w:t>
            </w:r>
          </w:hyperlink>
        </w:p>
        <w:p>
          <w:pPr>
            <w:pStyle w:val="Contents5"/>
            <w:tabs>
              <w:tab w:val="clear" w:pos="7892"/>
              <w:tab w:val="right" w:pos="9026" w:leader="dot"/>
            </w:tabs>
            <w:rPr/>
          </w:pPr>
          <w:hyperlink w:anchor="__RefHeading___Toc14292374_1280447820">
            <w:r>
              <w:rPr>
                <w:webHidden/>
                <w:rStyle w:val="IndexLink"/>
              </w:rPr>
              <w:t>2.2.4</w:t>
            </w:r>
            <w:r>
              <w:rPr>
                <w:rStyle w:val="IndexLink"/>
                <w:rtl w:val="true"/>
              </w:rPr>
              <w:t xml:space="preserve">. </w:t>
            </w:r>
            <w:r>
              <w:rPr>
                <w:rStyle w:val="IndexLink"/>
                <w:rtl w:val="true"/>
              </w:rPr>
              <w:t xml:space="preserve">جهاز قضائی </w:t>
            </w:r>
            <w:r>
              <w:rPr>
                <w:rStyle w:val="IndexLink"/>
                <w:rtl w:val="true"/>
              </w:rPr>
              <w:t>(</w:t>
            </w:r>
            <w:r>
              <w:rPr>
                <w:rStyle w:val="IndexLink"/>
                <w:rtl w:val="true"/>
              </w:rPr>
              <w:t>قوه قضائیه</w:t>
            </w:r>
            <w:r>
              <w:rPr>
                <w:rStyle w:val="IndexLink"/>
                <w:rtl w:val="true"/>
              </w:rPr>
              <w:t>)</w:t>
              <w:tab/>
            </w:r>
            <w:r>
              <w:rPr>
                <w:rStyle w:val="IndexLink"/>
              </w:rPr>
              <w:t>35</w:t>
            </w:r>
          </w:hyperlink>
        </w:p>
        <w:p>
          <w:pPr>
            <w:pStyle w:val="Contents6"/>
            <w:tabs>
              <w:tab w:val="clear" w:pos="7609"/>
              <w:tab w:val="right" w:pos="9026" w:leader="dot"/>
            </w:tabs>
            <w:rPr/>
          </w:pPr>
          <w:hyperlink w:anchor="__RefHeading___Toc14292376_1280447820">
            <w:r>
              <w:rPr>
                <w:webHidden/>
                <w:rStyle w:val="IndexLink"/>
                <w:rtl w:val="true"/>
              </w:rPr>
              <w:t>اشاره</w:t>
            </w:r>
            <w:r>
              <w:rPr>
                <w:rStyle w:val="IndexLink"/>
                <w:rtl w:val="true"/>
              </w:rPr>
              <w:tab/>
            </w:r>
            <w:r>
              <w:rPr>
                <w:rStyle w:val="IndexLink"/>
              </w:rPr>
              <w:t>35</w:t>
            </w:r>
          </w:hyperlink>
        </w:p>
        <w:p>
          <w:pPr>
            <w:pStyle w:val="Contents6"/>
            <w:tabs>
              <w:tab w:val="clear" w:pos="7609"/>
              <w:tab w:val="right" w:pos="9026" w:leader="dot"/>
            </w:tabs>
            <w:rPr/>
          </w:pPr>
          <w:hyperlink w:anchor="__RefHeading___Toc14292378_1280447820">
            <w:r>
              <w:rPr>
                <w:webHidden/>
                <w:rStyle w:val="IndexLink"/>
                <w:rtl w:val="true"/>
              </w:rPr>
              <w:t>الف</w:t>
            </w:r>
            <w:r>
              <w:rPr>
                <w:rStyle w:val="IndexLink"/>
                <w:rtl w:val="true"/>
              </w:rPr>
              <w:t xml:space="preserve">. </w:t>
            </w:r>
            <w:r>
              <w:rPr>
                <w:rStyle w:val="IndexLink"/>
                <w:rtl w:val="true"/>
              </w:rPr>
              <w:t xml:space="preserve">قضاوت شخص نبی اكرم </w:t>
            </w:r>
            <w:r>
              <w:rPr>
                <w:rStyle w:val="IndexLink"/>
                <w:rtl w:val="true"/>
              </w:rPr>
              <w:t>(</w:t>
            </w:r>
            <w:r>
              <w:rPr>
                <w:rStyle w:val="IndexLink"/>
                <w:rtl w:val="true"/>
              </w:rPr>
              <w:t>صلی الله علیه وآله</w:t>
            </w:r>
            <w:r>
              <w:rPr>
                <w:rStyle w:val="IndexLink"/>
                <w:rtl w:val="true"/>
              </w:rPr>
              <w:t>)</w:t>
              <w:tab/>
            </w:r>
            <w:r>
              <w:rPr>
                <w:rStyle w:val="IndexLink"/>
              </w:rPr>
              <w:t>35</w:t>
            </w:r>
          </w:hyperlink>
        </w:p>
        <w:p>
          <w:pPr>
            <w:pStyle w:val="Contents6"/>
            <w:tabs>
              <w:tab w:val="clear" w:pos="7609"/>
              <w:tab w:val="right" w:pos="9026" w:leader="dot"/>
            </w:tabs>
            <w:rPr/>
          </w:pPr>
          <w:hyperlink w:anchor="__RefHeading___Toc14292380_1280447820">
            <w:r>
              <w:rPr>
                <w:webHidden/>
                <w:rStyle w:val="IndexLink"/>
                <w:rtl w:val="true"/>
              </w:rPr>
              <w:t>ب</w:t>
            </w:r>
            <w:r>
              <w:rPr>
                <w:rStyle w:val="IndexLink"/>
                <w:rtl w:val="true"/>
              </w:rPr>
              <w:t xml:space="preserve">. </w:t>
            </w:r>
            <w:r>
              <w:rPr>
                <w:rStyle w:val="IndexLink"/>
                <w:rtl w:val="true"/>
              </w:rPr>
              <w:t>نصب قاضی</w:t>
            </w:r>
            <w:r>
              <w:rPr>
                <w:rStyle w:val="IndexLink"/>
                <w:rtl w:val="true"/>
              </w:rPr>
              <w:tab/>
            </w:r>
            <w:r>
              <w:rPr>
                <w:rStyle w:val="IndexLink"/>
              </w:rPr>
              <w:t>36</w:t>
            </w:r>
          </w:hyperlink>
        </w:p>
        <w:p>
          <w:pPr>
            <w:pStyle w:val="Contents5"/>
            <w:tabs>
              <w:tab w:val="clear" w:pos="7892"/>
              <w:tab w:val="right" w:pos="9026" w:leader="dot"/>
            </w:tabs>
            <w:rPr/>
          </w:pPr>
          <w:hyperlink w:anchor="__RefHeading___Toc14292382_1280447820">
            <w:r>
              <w:rPr>
                <w:webHidden/>
                <w:rStyle w:val="IndexLink"/>
              </w:rPr>
              <w:t>2.2.5</w:t>
            </w:r>
            <w:r>
              <w:rPr>
                <w:rStyle w:val="IndexLink"/>
                <w:rtl w:val="true"/>
              </w:rPr>
              <w:t xml:space="preserve"> </w:t>
            </w:r>
            <w:r>
              <w:rPr>
                <w:rStyle w:val="IndexLink"/>
                <w:rtl w:val="true"/>
              </w:rPr>
              <w:t xml:space="preserve">جهاز عسگری </w:t>
            </w:r>
            <w:r>
              <w:rPr>
                <w:rStyle w:val="IndexLink"/>
                <w:rtl w:val="true"/>
              </w:rPr>
              <w:t>(</w:t>
            </w:r>
            <w:r>
              <w:rPr>
                <w:rStyle w:val="IndexLink"/>
                <w:rtl w:val="true"/>
              </w:rPr>
              <w:t>وزارت دفاع</w:t>
            </w:r>
            <w:r>
              <w:rPr>
                <w:rStyle w:val="IndexLink"/>
                <w:rtl w:val="true"/>
              </w:rPr>
              <w:t>)</w:t>
              <w:tab/>
            </w:r>
            <w:r>
              <w:rPr>
                <w:rStyle w:val="IndexLink"/>
              </w:rPr>
              <w:t>37</w:t>
            </w:r>
          </w:hyperlink>
        </w:p>
        <w:p>
          <w:pPr>
            <w:pStyle w:val="Contents6"/>
            <w:tabs>
              <w:tab w:val="clear" w:pos="7609"/>
              <w:tab w:val="right" w:pos="9026" w:leader="dot"/>
            </w:tabs>
            <w:rPr/>
          </w:pPr>
          <w:hyperlink w:anchor="__RefHeading___Toc14292384_1280447820">
            <w:r>
              <w:rPr>
                <w:webHidden/>
                <w:rStyle w:val="IndexLink"/>
                <w:rtl w:val="true"/>
              </w:rPr>
              <w:t>اشاره</w:t>
            </w:r>
            <w:r>
              <w:rPr>
                <w:rStyle w:val="IndexLink"/>
                <w:rtl w:val="true"/>
              </w:rPr>
              <w:tab/>
            </w:r>
            <w:r>
              <w:rPr>
                <w:rStyle w:val="IndexLink"/>
              </w:rPr>
              <w:t>37</w:t>
            </w:r>
          </w:hyperlink>
        </w:p>
        <w:p>
          <w:pPr>
            <w:pStyle w:val="Contents6"/>
            <w:tabs>
              <w:tab w:val="clear" w:pos="7609"/>
              <w:tab w:val="right" w:pos="9026" w:leader="dot"/>
            </w:tabs>
            <w:rPr/>
          </w:pPr>
          <w:hyperlink w:anchor="__RefHeading___Toc14292386_1280447820">
            <w:r>
              <w:rPr>
                <w:webHidden/>
                <w:rStyle w:val="IndexLink"/>
                <w:rtl w:val="true"/>
              </w:rPr>
              <w:t>ب</w:t>
            </w:r>
            <w:r>
              <w:rPr>
                <w:rStyle w:val="IndexLink"/>
                <w:rtl w:val="true"/>
              </w:rPr>
              <w:t xml:space="preserve">. </w:t>
            </w:r>
            <w:r>
              <w:rPr>
                <w:rStyle w:val="IndexLink"/>
                <w:rtl w:val="true"/>
              </w:rPr>
              <w:t xml:space="preserve">مستنفر </w:t>
            </w:r>
            <w:r>
              <w:rPr>
                <w:rStyle w:val="IndexLink"/>
                <w:rtl w:val="true"/>
              </w:rPr>
              <w:t>:</w:t>
              <w:tab/>
            </w:r>
            <w:r>
              <w:rPr>
                <w:rStyle w:val="IndexLink"/>
              </w:rPr>
              <w:t>38</w:t>
            </w:r>
          </w:hyperlink>
        </w:p>
        <w:p>
          <w:pPr>
            <w:pStyle w:val="Contents6"/>
            <w:tabs>
              <w:tab w:val="clear" w:pos="7609"/>
              <w:tab w:val="right" w:pos="9026" w:leader="dot"/>
            </w:tabs>
            <w:rPr/>
          </w:pPr>
          <w:hyperlink w:anchor="__RefHeading___Toc14292388_1280447820">
            <w:r>
              <w:rPr>
                <w:webHidden/>
                <w:rStyle w:val="IndexLink"/>
                <w:rtl w:val="true"/>
              </w:rPr>
              <w:t>ج</w:t>
            </w:r>
            <w:r>
              <w:rPr>
                <w:rStyle w:val="IndexLink"/>
                <w:rtl w:val="true"/>
              </w:rPr>
              <w:t xml:space="preserve">. </w:t>
            </w:r>
            <w:r>
              <w:rPr>
                <w:rStyle w:val="IndexLink"/>
                <w:rtl w:val="true"/>
              </w:rPr>
              <w:t xml:space="preserve">صاحب لواء </w:t>
            </w:r>
            <w:r>
              <w:rPr>
                <w:rStyle w:val="IndexLink"/>
                <w:rtl w:val="true"/>
              </w:rPr>
              <w:t>(</w:t>
            </w:r>
            <w:r>
              <w:rPr>
                <w:rStyle w:val="IndexLink"/>
                <w:rtl w:val="true"/>
              </w:rPr>
              <w:t>علمدار و پرچمدار</w:t>
            </w:r>
            <w:r>
              <w:rPr>
                <w:rStyle w:val="IndexLink"/>
                <w:rtl w:val="true"/>
              </w:rPr>
              <w:t>)</w:t>
              <w:tab/>
            </w:r>
            <w:r>
              <w:rPr>
                <w:rStyle w:val="IndexLink"/>
              </w:rPr>
              <w:t>38</w:t>
            </w:r>
          </w:hyperlink>
        </w:p>
        <w:p>
          <w:pPr>
            <w:pStyle w:val="Contents6"/>
            <w:tabs>
              <w:tab w:val="clear" w:pos="7609"/>
              <w:tab w:val="right" w:pos="9026" w:leader="dot"/>
            </w:tabs>
            <w:rPr/>
          </w:pPr>
          <w:hyperlink w:anchor="__RefHeading___Toc14292390_1280447820">
            <w:r>
              <w:rPr>
                <w:webHidden/>
                <w:rStyle w:val="IndexLink"/>
                <w:rtl w:val="true"/>
              </w:rPr>
              <w:t>د</w:t>
            </w:r>
            <w:r>
              <w:rPr>
                <w:rStyle w:val="IndexLink"/>
                <w:rtl w:val="true"/>
              </w:rPr>
              <w:t xml:space="preserve">. </w:t>
            </w:r>
            <w:r>
              <w:rPr>
                <w:rStyle w:val="IndexLink"/>
                <w:rtl w:val="true"/>
              </w:rPr>
              <w:t>سازماندهی نیروهای نظامی</w:t>
            </w:r>
            <w:r>
              <w:rPr>
                <w:rStyle w:val="IndexLink"/>
                <w:rtl w:val="true"/>
              </w:rPr>
              <w:tab/>
            </w:r>
            <w:r>
              <w:rPr>
                <w:rStyle w:val="IndexLink"/>
              </w:rPr>
              <w:t>39</w:t>
            </w:r>
          </w:hyperlink>
        </w:p>
        <w:p>
          <w:pPr>
            <w:pStyle w:val="Contents6"/>
            <w:tabs>
              <w:tab w:val="clear" w:pos="7609"/>
              <w:tab w:val="right" w:pos="9026" w:leader="dot"/>
            </w:tabs>
            <w:rPr/>
          </w:pPr>
          <w:hyperlink w:anchor="__RefHeading___Toc14292392_1280447820">
            <w:r>
              <w:rPr>
                <w:webHidden/>
                <w:rStyle w:val="IndexLink"/>
                <w:rtl w:val="true"/>
              </w:rPr>
              <w:t>ه</w:t>
            </w:r>
            <w:r>
              <w:rPr>
                <w:rStyle w:val="IndexLink"/>
                <w:rtl w:val="true"/>
              </w:rPr>
              <w:t xml:space="preserve">. </w:t>
            </w:r>
            <w:r>
              <w:rPr>
                <w:rStyle w:val="IndexLink"/>
                <w:rtl w:val="true"/>
              </w:rPr>
              <w:t xml:space="preserve">امیر الرماة </w:t>
            </w:r>
            <w:r>
              <w:rPr>
                <w:rStyle w:val="IndexLink"/>
                <w:rtl w:val="true"/>
              </w:rPr>
              <w:t>(</w:t>
            </w:r>
            <w:r>
              <w:rPr>
                <w:rStyle w:val="IndexLink"/>
                <w:rtl w:val="true"/>
              </w:rPr>
              <w:t>فرمانده تیراندازان</w:t>
            </w:r>
            <w:r>
              <w:rPr>
                <w:rStyle w:val="IndexLink"/>
                <w:rtl w:val="true"/>
              </w:rPr>
              <w:t>)</w:t>
              <w:tab/>
            </w:r>
            <w:r>
              <w:rPr>
                <w:rStyle w:val="IndexLink"/>
              </w:rPr>
              <w:t>40</w:t>
            </w:r>
          </w:hyperlink>
        </w:p>
        <w:p>
          <w:pPr>
            <w:pStyle w:val="Contents6"/>
            <w:tabs>
              <w:tab w:val="clear" w:pos="7609"/>
              <w:tab w:val="right" w:pos="9026" w:leader="dot"/>
            </w:tabs>
            <w:rPr/>
          </w:pPr>
          <w:hyperlink w:anchor="__RefHeading___Toc14292394_1280447820">
            <w:r>
              <w:rPr>
                <w:webHidden/>
                <w:rStyle w:val="IndexLink"/>
                <w:rtl w:val="true"/>
              </w:rPr>
              <w:t>و</w:t>
            </w:r>
            <w:r>
              <w:rPr>
                <w:rStyle w:val="IndexLink"/>
                <w:rtl w:val="true"/>
              </w:rPr>
              <w:t xml:space="preserve">. </w:t>
            </w:r>
            <w:r>
              <w:rPr>
                <w:rStyle w:val="IndexLink"/>
                <w:rtl w:val="true"/>
              </w:rPr>
              <w:t>بدل</w:t>
            </w:r>
            <w:r>
              <w:rPr>
                <w:rStyle w:val="IndexLink"/>
                <w:rtl w:val="true"/>
              </w:rPr>
              <w:tab/>
            </w:r>
            <w:r>
              <w:rPr>
                <w:rStyle w:val="IndexLink"/>
              </w:rPr>
              <w:t>40</w:t>
            </w:r>
          </w:hyperlink>
        </w:p>
        <w:p>
          <w:pPr>
            <w:pStyle w:val="Contents6"/>
            <w:tabs>
              <w:tab w:val="clear" w:pos="7609"/>
              <w:tab w:val="right" w:pos="9026" w:leader="dot"/>
            </w:tabs>
            <w:rPr/>
          </w:pPr>
          <w:hyperlink w:anchor="__RefHeading___Toc14292396_1280447820">
            <w:r>
              <w:rPr>
                <w:webHidden/>
                <w:rStyle w:val="IndexLink"/>
                <w:rtl w:val="true"/>
              </w:rPr>
              <w:t>ز</w:t>
            </w:r>
            <w:r>
              <w:rPr>
                <w:rStyle w:val="IndexLink"/>
                <w:rtl w:val="true"/>
              </w:rPr>
              <w:t xml:space="preserve">. </w:t>
            </w:r>
            <w:r>
              <w:rPr>
                <w:rStyle w:val="IndexLink"/>
                <w:rtl w:val="true"/>
              </w:rPr>
              <w:t>وازع</w:t>
            </w:r>
            <w:r>
              <w:rPr>
                <w:rStyle w:val="IndexLink"/>
                <w:rtl w:val="true"/>
              </w:rPr>
              <w:t>:</w:t>
              <w:tab/>
            </w:r>
            <w:r>
              <w:rPr>
                <w:rStyle w:val="IndexLink"/>
              </w:rPr>
              <w:t>41</w:t>
            </w:r>
          </w:hyperlink>
        </w:p>
        <w:p>
          <w:pPr>
            <w:pStyle w:val="Contents6"/>
            <w:tabs>
              <w:tab w:val="clear" w:pos="7609"/>
              <w:tab w:val="right" w:pos="9026" w:leader="dot"/>
            </w:tabs>
            <w:rPr/>
          </w:pPr>
          <w:hyperlink w:anchor="__RefHeading___Toc14292398_1280447820">
            <w:r>
              <w:rPr>
                <w:webHidden/>
                <w:rStyle w:val="IndexLink"/>
                <w:rtl w:val="true"/>
              </w:rPr>
              <w:t>ح</w:t>
            </w:r>
            <w:r>
              <w:rPr>
                <w:rStyle w:val="IndexLink"/>
                <w:rtl w:val="true"/>
              </w:rPr>
              <w:t xml:space="preserve">. </w:t>
            </w:r>
            <w:r>
              <w:rPr>
                <w:rStyle w:val="IndexLink"/>
                <w:rtl w:val="true"/>
              </w:rPr>
              <w:t xml:space="preserve">خریدار اسب و سلاح </w:t>
            </w:r>
            <w:r>
              <w:rPr>
                <w:rStyle w:val="IndexLink"/>
                <w:rtl w:val="true"/>
              </w:rPr>
              <w:t>:</w:t>
              <w:tab/>
            </w:r>
            <w:r>
              <w:rPr>
                <w:rStyle w:val="IndexLink"/>
              </w:rPr>
              <w:t>41</w:t>
            </w:r>
          </w:hyperlink>
        </w:p>
        <w:p>
          <w:pPr>
            <w:pStyle w:val="Contents6"/>
            <w:tabs>
              <w:tab w:val="clear" w:pos="7609"/>
              <w:tab w:val="right" w:pos="9026" w:leader="dot"/>
            </w:tabs>
            <w:rPr/>
          </w:pPr>
          <w:hyperlink w:anchor="__RefHeading___Toc14292400_1280447820">
            <w:r>
              <w:rPr>
                <w:webHidden/>
                <w:rStyle w:val="IndexLink"/>
                <w:rtl w:val="true"/>
              </w:rPr>
              <w:t>ط</w:t>
            </w:r>
            <w:r>
              <w:rPr>
                <w:rStyle w:val="IndexLink"/>
                <w:rtl w:val="true"/>
              </w:rPr>
              <w:t xml:space="preserve">. </w:t>
            </w:r>
            <w:r>
              <w:rPr>
                <w:rStyle w:val="IndexLink"/>
                <w:rtl w:val="true"/>
              </w:rPr>
              <w:t xml:space="preserve">مسرج </w:t>
            </w:r>
            <w:r>
              <w:rPr>
                <w:rStyle w:val="IndexLink"/>
                <w:rtl w:val="true"/>
              </w:rPr>
              <w:t>(</w:t>
            </w:r>
            <w:r>
              <w:rPr>
                <w:rStyle w:val="IndexLink"/>
                <w:rtl w:val="true"/>
              </w:rPr>
              <w:t>مركب دار</w:t>
            </w:r>
            <w:r>
              <w:rPr>
                <w:rStyle w:val="IndexLink"/>
                <w:rtl w:val="true"/>
              </w:rPr>
              <w:t>) :</w:t>
              <w:tab/>
            </w:r>
            <w:r>
              <w:rPr>
                <w:rStyle w:val="IndexLink"/>
              </w:rPr>
              <w:t>42</w:t>
            </w:r>
          </w:hyperlink>
        </w:p>
        <w:p>
          <w:pPr>
            <w:pStyle w:val="Contents6"/>
            <w:tabs>
              <w:tab w:val="clear" w:pos="7609"/>
              <w:tab w:val="right" w:pos="9026" w:leader="dot"/>
            </w:tabs>
            <w:rPr/>
          </w:pPr>
          <w:hyperlink w:anchor="__RefHeading___Toc14292402_1280447820">
            <w:r>
              <w:rPr>
                <w:webHidden/>
                <w:rStyle w:val="IndexLink"/>
                <w:rtl w:val="true"/>
              </w:rPr>
              <w:t>ی</w:t>
            </w:r>
            <w:r>
              <w:rPr>
                <w:rStyle w:val="IndexLink"/>
                <w:rtl w:val="true"/>
              </w:rPr>
              <w:t xml:space="preserve">. </w:t>
            </w:r>
            <w:r>
              <w:rPr>
                <w:rStyle w:val="IndexLink"/>
                <w:rtl w:val="true"/>
              </w:rPr>
              <w:t xml:space="preserve">صاحب السلاح </w:t>
            </w:r>
            <w:r>
              <w:rPr>
                <w:rStyle w:val="IndexLink"/>
                <w:rtl w:val="true"/>
              </w:rPr>
              <w:t>:</w:t>
              <w:tab/>
            </w:r>
            <w:r>
              <w:rPr>
                <w:rStyle w:val="IndexLink"/>
              </w:rPr>
              <w:t>42</w:t>
            </w:r>
          </w:hyperlink>
        </w:p>
        <w:p>
          <w:pPr>
            <w:pStyle w:val="Contents6"/>
            <w:tabs>
              <w:tab w:val="clear" w:pos="7609"/>
              <w:tab w:val="right" w:pos="9026" w:leader="dot"/>
            </w:tabs>
            <w:rPr/>
          </w:pPr>
          <w:hyperlink w:anchor="__RefHeading___Toc14292404_1280447820">
            <w:r>
              <w:rPr>
                <w:webHidden/>
                <w:rStyle w:val="IndexLink"/>
                <w:rtl w:val="true"/>
              </w:rPr>
              <w:t>ك</w:t>
            </w:r>
            <w:r>
              <w:rPr>
                <w:rStyle w:val="IndexLink"/>
                <w:rtl w:val="true"/>
              </w:rPr>
              <w:t xml:space="preserve">. </w:t>
            </w:r>
            <w:r>
              <w:rPr>
                <w:rStyle w:val="IndexLink"/>
                <w:rtl w:val="true"/>
              </w:rPr>
              <w:t xml:space="preserve">راهنمای جنگ </w:t>
            </w:r>
            <w:r>
              <w:rPr>
                <w:rStyle w:val="IndexLink"/>
                <w:rtl w:val="true"/>
              </w:rPr>
              <w:t>:</w:t>
              <w:tab/>
            </w:r>
            <w:r>
              <w:rPr>
                <w:rStyle w:val="IndexLink"/>
              </w:rPr>
              <w:t>43</w:t>
            </w:r>
          </w:hyperlink>
        </w:p>
        <w:p>
          <w:pPr>
            <w:pStyle w:val="Contents6"/>
            <w:tabs>
              <w:tab w:val="clear" w:pos="7609"/>
              <w:tab w:val="right" w:pos="9026" w:leader="dot"/>
            </w:tabs>
            <w:rPr/>
          </w:pPr>
          <w:hyperlink w:anchor="__RefHeading___Toc14292406_1280447820">
            <w:r>
              <w:rPr>
                <w:webHidden/>
                <w:rStyle w:val="IndexLink"/>
                <w:rtl w:val="true"/>
              </w:rPr>
              <w:t>ل</w:t>
            </w:r>
            <w:r>
              <w:rPr>
                <w:rStyle w:val="IndexLink"/>
                <w:rtl w:val="true"/>
              </w:rPr>
              <w:t xml:space="preserve">. </w:t>
            </w:r>
            <w:r>
              <w:rPr>
                <w:rStyle w:val="IndexLink"/>
                <w:rtl w:val="true"/>
              </w:rPr>
              <w:t xml:space="preserve">حارس و محافظ </w:t>
            </w:r>
            <w:r>
              <w:rPr>
                <w:rStyle w:val="IndexLink"/>
                <w:rtl w:val="true"/>
              </w:rPr>
              <w:t>:</w:t>
              <w:tab/>
            </w:r>
            <w:r>
              <w:rPr>
                <w:rStyle w:val="IndexLink"/>
              </w:rPr>
              <w:t>43</w:t>
            </w:r>
          </w:hyperlink>
        </w:p>
        <w:p>
          <w:pPr>
            <w:pStyle w:val="Contents6"/>
            <w:tabs>
              <w:tab w:val="clear" w:pos="7609"/>
              <w:tab w:val="right" w:pos="9026" w:leader="dot"/>
            </w:tabs>
            <w:rPr/>
          </w:pPr>
          <w:hyperlink w:anchor="__RefHeading___Toc14292408_1280447820">
            <w:r>
              <w:rPr>
                <w:webHidden/>
                <w:rStyle w:val="IndexLink"/>
                <w:rtl w:val="true"/>
              </w:rPr>
              <w:t>م</w:t>
            </w:r>
            <w:r>
              <w:rPr>
                <w:rStyle w:val="IndexLink"/>
                <w:rtl w:val="true"/>
              </w:rPr>
              <w:t xml:space="preserve">. </w:t>
            </w:r>
            <w:r>
              <w:rPr>
                <w:rStyle w:val="IndexLink"/>
                <w:rtl w:val="true"/>
              </w:rPr>
              <w:t xml:space="preserve">جاسوس جنگی </w:t>
            </w:r>
            <w:r>
              <w:rPr>
                <w:rStyle w:val="IndexLink"/>
                <w:rtl w:val="true"/>
              </w:rPr>
              <w:t>:</w:t>
              <w:tab/>
            </w:r>
            <w:r>
              <w:rPr>
                <w:rStyle w:val="IndexLink"/>
              </w:rPr>
              <w:t>44</w:t>
            </w:r>
          </w:hyperlink>
        </w:p>
        <w:p>
          <w:pPr>
            <w:pStyle w:val="Contents6"/>
            <w:tabs>
              <w:tab w:val="clear" w:pos="7609"/>
              <w:tab w:val="right" w:pos="9026" w:leader="dot"/>
            </w:tabs>
            <w:rPr/>
          </w:pPr>
          <w:hyperlink w:anchor="__RefHeading___Toc14292410_1280447820">
            <w:r>
              <w:rPr>
                <w:webHidden/>
                <w:rStyle w:val="IndexLink"/>
                <w:rtl w:val="true"/>
              </w:rPr>
              <w:t>ص</w:t>
            </w:r>
            <w:r>
              <w:rPr>
                <w:rStyle w:val="IndexLink"/>
                <w:rtl w:val="true"/>
              </w:rPr>
              <w:t xml:space="preserve">. </w:t>
            </w:r>
            <w:r>
              <w:rPr>
                <w:rStyle w:val="IndexLink"/>
                <w:rtl w:val="true"/>
              </w:rPr>
              <w:t xml:space="preserve">تبلیغات جنگ </w:t>
            </w:r>
            <w:r>
              <w:rPr>
                <w:rStyle w:val="IndexLink"/>
                <w:rtl w:val="true"/>
              </w:rPr>
              <w:t>:</w:t>
              <w:tab/>
            </w:r>
            <w:r>
              <w:rPr>
                <w:rStyle w:val="IndexLink"/>
              </w:rPr>
              <w:t>44</w:t>
            </w:r>
          </w:hyperlink>
        </w:p>
        <w:p>
          <w:pPr>
            <w:pStyle w:val="Contents6"/>
            <w:tabs>
              <w:tab w:val="clear" w:pos="7609"/>
              <w:tab w:val="right" w:pos="9026" w:leader="dot"/>
            </w:tabs>
            <w:rPr/>
          </w:pPr>
          <w:hyperlink w:anchor="__RefHeading___Toc14292412_1280447820">
            <w:r>
              <w:rPr>
                <w:webHidden/>
                <w:rStyle w:val="IndexLink"/>
                <w:rtl w:val="true"/>
              </w:rPr>
              <w:t>ف</w:t>
            </w:r>
            <w:r>
              <w:rPr>
                <w:rStyle w:val="IndexLink"/>
                <w:rtl w:val="true"/>
              </w:rPr>
              <w:t xml:space="preserve">. </w:t>
            </w:r>
            <w:r>
              <w:rPr>
                <w:rStyle w:val="IndexLink"/>
                <w:rtl w:val="true"/>
              </w:rPr>
              <w:t>ماموریتهای ویژه</w:t>
            </w:r>
            <w:r>
              <w:rPr>
                <w:rStyle w:val="IndexLink"/>
                <w:rtl w:val="true"/>
              </w:rPr>
              <w:tab/>
            </w:r>
            <w:r>
              <w:rPr>
                <w:rStyle w:val="IndexLink"/>
              </w:rPr>
              <w:t>45</w:t>
            </w:r>
          </w:hyperlink>
        </w:p>
        <w:p>
          <w:pPr>
            <w:pStyle w:val="Contents6"/>
            <w:tabs>
              <w:tab w:val="clear" w:pos="7609"/>
              <w:tab w:val="right" w:pos="9026" w:leader="dot"/>
            </w:tabs>
            <w:rPr/>
          </w:pPr>
          <w:hyperlink w:anchor="__RefHeading___Toc14292414_1280447820">
            <w:r>
              <w:rPr>
                <w:webHidden/>
                <w:rStyle w:val="IndexLink"/>
                <w:rtl w:val="true"/>
              </w:rPr>
              <w:t>خ</w:t>
            </w:r>
            <w:r>
              <w:rPr>
                <w:rStyle w:val="IndexLink"/>
                <w:rtl w:val="true"/>
              </w:rPr>
              <w:t xml:space="preserve">. </w:t>
            </w:r>
            <w:r>
              <w:rPr>
                <w:rStyle w:val="IndexLink"/>
                <w:rtl w:val="true"/>
              </w:rPr>
              <w:t>حضور زنان در امور نظامی بی‌تردید،</w:t>
            </w:r>
            <w:r>
              <w:rPr>
                <w:rStyle w:val="IndexLink"/>
                <w:rtl w:val="true"/>
              </w:rPr>
              <w:tab/>
            </w:r>
            <w:r>
              <w:rPr>
                <w:rStyle w:val="IndexLink"/>
              </w:rPr>
              <w:t>46</w:t>
            </w:r>
          </w:hyperlink>
        </w:p>
        <w:p>
          <w:pPr>
            <w:pStyle w:val="Contents6"/>
            <w:tabs>
              <w:tab w:val="clear" w:pos="7609"/>
              <w:tab w:val="right" w:pos="9026" w:leader="dot"/>
            </w:tabs>
            <w:rPr/>
          </w:pPr>
          <w:hyperlink w:anchor="__RefHeading___Toc14292416_1280447820">
            <w:r>
              <w:rPr>
                <w:webHidden/>
                <w:rStyle w:val="IndexLink"/>
                <w:rtl w:val="true"/>
              </w:rPr>
              <w:t>گ</w:t>
            </w:r>
            <w:r>
              <w:rPr>
                <w:rStyle w:val="IndexLink"/>
                <w:rtl w:val="true"/>
              </w:rPr>
              <w:t xml:space="preserve">. </w:t>
            </w:r>
            <w:r>
              <w:rPr>
                <w:rStyle w:val="IndexLink"/>
                <w:rtl w:val="true"/>
              </w:rPr>
              <w:t>آموزش نظامی از كفار</w:t>
            </w:r>
            <w:r>
              <w:rPr>
                <w:rStyle w:val="IndexLink"/>
                <w:rtl w:val="true"/>
              </w:rPr>
              <w:tab/>
            </w:r>
            <w:r>
              <w:rPr>
                <w:rStyle w:val="IndexLink"/>
              </w:rPr>
              <w:t>47</w:t>
            </w:r>
          </w:hyperlink>
        </w:p>
        <w:p>
          <w:pPr>
            <w:pStyle w:val="Contents5"/>
            <w:tabs>
              <w:tab w:val="clear" w:pos="7892"/>
              <w:tab w:val="right" w:pos="9026" w:leader="dot"/>
            </w:tabs>
            <w:rPr/>
          </w:pPr>
          <w:hyperlink w:anchor="__RefHeading___Toc14292418_1280447820">
            <w:r>
              <w:rPr>
                <w:webHidden/>
                <w:rStyle w:val="IndexLink"/>
              </w:rPr>
              <w:t>2.2.6</w:t>
            </w:r>
            <w:r>
              <w:rPr>
                <w:rStyle w:val="IndexLink"/>
                <w:rtl w:val="true"/>
              </w:rPr>
              <w:t xml:space="preserve">. </w:t>
            </w:r>
            <w:r>
              <w:rPr>
                <w:rStyle w:val="IndexLink"/>
                <w:rtl w:val="true"/>
              </w:rPr>
              <w:t xml:space="preserve">دستگاه تبلیغاتی پیامبر اكرم </w:t>
            </w:r>
            <w:r>
              <w:rPr>
                <w:rStyle w:val="IndexLink"/>
                <w:rtl w:val="true"/>
              </w:rPr>
              <w:t>(</w:t>
            </w:r>
            <w:r>
              <w:rPr>
                <w:rStyle w:val="IndexLink"/>
                <w:rtl w:val="true"/>
              </w:rPr>
              <w:t>صلی الله علیه وآله</w:t>
            </w:r>
            <w:r>
              <w:rPr>
                <w:rStyle w:val="IndexLink"/>
                <w:rtl w:val="true"/>
              </w:rPr>
              <w:t>)</w:t>
              <w:tab/>
            </w:r>
            <w:r>
              <w:rPr>
                <w:rStyle w:val="IndexLink"/>
              </w:rPr>
              <w:t>48</w:t>
            </w:r>
          </w:hyperlink>
        </w:p>
        <w:p>
          <w:pPr>
            <w:pStyle w:val="Contents5"/>
            <w:tabs>
              <w:tab w:val="clear" w:pos="7892"/>
              <w:tab w:val="right" w:pos="9026" w:leader="dot"/>
            </w:tabs>
            <w:rPr/>
          </w:pPr>
          <w:hyperlink w:anchor="__RefHeading___Toc14292420_1280447820">
            <w:r>
              <w:rPr>
                <w:webHidden/>
                <w:rStyle w:val="IndexLink"/>
              </w:rPr>
              <w:t>2.2.7</w:t>
            </w:r>
            <w:r>
              <w:rPr>
                <w:rStyle w:val="IndexLink"/>
                <w:rtl w:val="true"/>
              </w:rPr>
              <w:t xml:space="preserve">. </w:t>
            </w:r>
            <w:r>
              <w:rPr>
                <w:rStyle w:val="IndexLink"/>
                <w:rtl w:val="true"/>
              </w:rPr>
              <w:t>دستگاه</w:t>
            </w:r>
            <w:r>
              <w:rPr>
                <w:rStyle w:val="IndexLink"/>
                <w:rtl w:val="true"/>
              </w:rPr>
              <w:tab/>
            </w:r>
            <w:r>
              <w:rPr>
                <w:rStyle w:val="IndexLink"/>
              </w:rPr>
              <w:t>49</w:t>
            </w:r>
          </w:hyperlink>
        </w:p>
        <w:p>
          <w:pPr>
            <w:pStyle w:val="Contents5"/>
            <w:tabs>
              <w:tab w:val="clear" w:pos="7892"/>
              <w:tab w:val="right" w:pos="9026" w:leader="dot"/>
            </w:tabs>
            <w:rPr/>
          </w:pPr>
          <w:hyperlink w:anchor="__RefHeading___Toc14292422_1280447820">
            <w:r>
              <w:rPr>
                <w:webHidden/>
                <w:rStyle w:val="IndexLink"/>
              </w:rPr>
              <w:t>2.2.5</w:t>
            </w:r>
            <w:r>
              <w:rPr>
                <w:rStyle w:val="IndexLink"/>
                <w:rtl w:val="true"/>
              </w:rPr>
              <w:t xml:space="preserve">. </w:t>
            </w:r>
            <w:r>
              <w:rPr>
                <w:rStyle w:val="IndexLink"/>
                <w:rtl w:val="true"/>
              </w:rPr>
              <w:t xml:space="preserve">امور مالی پیامبر </w:t>
            </w:r>
            <w:r>
              <w:rPr>
                <w:rStyle w:val="IndexLink"/>
                <w:rtl w:val="true"/>
              </w:rPr>
              <w:t>(</w:t>
            </w:r>
            <w:r>
              <w:rPr>
                <w:rStyle w:val="IndexLink"/>
                <w:rtl w:val="true"/>
              </w:rPr>
              <w:t>صلی الله علیه وآله</w:t>
            </w:r>
            <w:r>
              <w:rPr>
                <w:rStyle w:val="IndexLink"/>
                <w:rtl w:val="true"/>
              </w:rPr>
              <w:t>)</w:t>
              <w:tab/>
            </w:r>
            <w:r>
              <w:rPr>
                <w:rStyle w:val="IndexLink"/>
              </w:rPr>
              <w:t>51</w:t>
            </w:r>
          </w:hyperlink>
        </w:p>
        <w:p>
          <w:pPr>
            <w:pStyle w:val="Contents6"/>
            <w:tabs>
              <w:tab w:val="clear" w:pos="7609"/>
              <w:tab w:val="right" w:pos="9026" w:leader="dot"/>
            </w:tabs>
            <w:rPr/>
          </w:pPr>
          <w:hyperlink w:anchor="__RefHeading___Toc14292424_1280447820">
            <w:r>
              <w:rPr>
                <w:webHidden/>
                <w:rStyle w:val="IndexLink"/>
                <w:rtl w:val="true"/>
              </w:rPr>
              <w:t>اشاره</w:t>
            </w:r>
            <w:r>
              <w:rPr>
                <w:rStyle w:val="IndexLink"/>
                <w:rtl w:val="true"/>
              </w:rPr>
              <w:tab/>
            </w:r>
            <w:r>
              <w:rPr>
                <w:rStyle w:val="IndexLink"/>
              </w:rPr>
              <w:t>51</w:t>
            </w:r>
          </w:hyperlink>
        </w:p>
        <w:p>
          <w:pPr>
            <w:pStyle w:val="Contents6"/>
            <w:tabs>
              <w:tab w:val="clear" w:pos="7609"/>
              <w:tab w:val="right" w:pos="9026" w:leader="dot"/>
            </w:tabs>
            <w:rPr/>
          </w:pPr>
          <w:hyperlink w:anchor="__RefHeading___Toc14292426_1280447820">
            <w:r>
              <w:rPr>
                <w:webHidden/>
                <w:rStyle w:val="IndexLink"/>
              </w:rPr>
              <w:t>1</w:t>
            </w:r>
            <w:r>
              <w:rPr>
                <w:rStyle w:val="IndexLink"/>
                <w:rtl w:val="true"/>
              </w:rPr>
              <w:t xml:space="preserve">. </w:t>
            </w:r>
            <w:r>
              <w:rPr>
                <w:rStyle w:val="IndexLink"/>
                <w:rtl w:val="true"/>
              </w:rPr>
              <w:t>مصدق</w:t>
            </w:r>
            <w:r>
              <w:rPr>
                <w:rStyle w:val="IndexLink"/>
                <w:rtl w:val="true"/>
              </w:rPr>
              <w:tab/>
            </w:r>
            <w:r>
              <w:rPr>
                <w:rStyle w:val="IndexLink"/>
              </w:rPr>
              <w:t>52</w:t>
            </w:r>
          </w:hyperlink>
        </w:p>
        <w:p>
          <w:pPr>
            <w:pStyle w:val="Contents6"/>
            <w:tabs>
              <w:tab w:val="clear" w:pos="7609"/>
              <w:tab w:val="right" w:pos="9026" w:leader="dot"/>
            </w:tabs>
            <w:rPr/>
          </w:pPr>
          <w:hyperlink w:anchor="__RefHeading___Toc14292428_1280447820">
            <w:r>
              <w:rPr>
                <w:webHidden/>
                <w:rStyle w:val="IndexLink"/>
              </w:rPr>
              <w:t>2</w:t>
            </w:r>
            <w:r>
              <w:rPr>
                <w:rStyle w:val="IndexLink"/>
                <w:rtl w:val="true"/>
              </w:rPr>
              <w:t xml:space="preserve">. </w:t>
            </w:r>
            <w:r>
              <w:rPr>
                <w:rStyle w:val="IndexLink"/>
                <w:rtl w:val="true"/>
              </w:rPr>
              <w:t>مستوفی</w:t>
            </w:r>
            <w:r>
              <w:rPr>
                <w:rStyle w:val="IndexLink"/>
                <w:rtl w:val="true"/>
              </w:rPr>
              <w:tab/>
            </w:r>
            <w:r>
              <w:rPr>
                <w:rStyle w:val="IndexLink"/>
              </w:rPr>
              <w:t>52</w:t>
            </w:r>
          </w:hyperlink>
        </w:p>
        <w:p>
          <w:pPr>
            <w:pStyle w:val="Contents6"/>
            <w:tabs>
              <w:tab w:val="clear" w:pos="7609"/>
              <w:tab w:val="right" w:pos="9026" w:leader="dot"/>
            </w:tabs>
            <w:rPr/>
          </w:pPr>
          <w:hyperlink w:anchor="__RefHeading___Toc14292430_1280447820">
            <w:r>
              <w:rPr>
                <w:webHidden/>
                <w:rStyle w:val="IndexLink"/>
              </w:rPr>
              <w:t>3</w:t>
            </w:r>
            <w:r>
              <w:rPr>
                <w:rStyle w:val="IndexLink"/>
                <w:rtl w:val="true"/>
              </w:rPr>
              <w:t xml:space="preserve">. </w:t>
            </w:r>
            <w:r>
              <w:rPr>
                <w:rStyle w:val="IndexLink"/>
                <w:rtl w:val="true"/>
              </w:rPr>
              <w:t>موزع</w:t>
            </w:r>
            <w:r>
              <w:rPr>
                <w:rStyle w:val="IndexLink"/>
                <w:rtl w:val="true"/>
              </w:rPr>
              <w:tab/>
            </w:r>
            <w:r>
              <w:rPr>
                <w:rStyle w:val="IndexLink"/>
              </w:rPr>
              <w:t>53</w:t>
            </w:r>
          </w:hyperlink>
        </w:p>
        <w:p>
          <w:pPr>
            <w:pStyle w:val="Contents6"/>
            <w:tabs>
              <w:tab w:val="clear" w:pos="7609"/>
              <w:tab w:val="right" w:pos="9026" w:leader="dot"/>
            </w:tabs>
            <w:rPr/>
          </w:pPr>
          <w:hyperlink w:anchor="__RefHeading___Toc14292432_1280447820">
            <w:r>
              <w:rPr>
                <w:webHidden/>
                <w:rStyle w:val="IndexLink"/>
              </w:rPr>
              <w:t>4</w:t>
            </w:r>
            <w:r>
              <w:rPr>
                <w:rStyle w:val="IndexLink"/>
                <w:rtl w:val="true"/>
              </w:rPr>
              <w:t xml:space="preserve">. </w:t>
            </w:r>
            <w:r>
              <w:rPr>
                <w:rStyle w:val="IndexLink"/>
                <w:rtl w:val="true"/>
              </w:rPr>
              <w:t>خارص</w:t>
            </w:r>
            <w:r>
              <w:rPr>
                <w:rStyle w:val="IndexLink"/>
                <w:rtl w:val="true"/>
              </w:rPr>
              <w:tab/>
            </w:r>
            <w:r>
              <w:rPr>
                <w:rStyle w:val="IndexLink"/>
              </w:rPr>
              <w:t>53</w:t>
            </w:r>
          </w:hyperlink>
        </w:p>
        <w:p>
          <w:pPr>
            <w:pStyle w:val="Contents6"/>
            <w:tabs>
              <w:tab w:val="clear" w:pos="7609"/>
              <w:tab w:val="right" w:pos="9026" w:leader="dot"/>
            </w:tabs>
            <w:rPr/>
          </w:pPr>
          <w:hyperlink w:anchor="__RefHeading___Toc14292434_1280447820">
            <w:r>
              <w:rPr>
                <w:webHidden/>
                <w:rStyle w:val="IndexLink"/>
              </w:rPr>
              <w:t>5</w:t>
            </w:r>
            <w:r>
              <w:rPr>
                <w:rStyle w:val="IndexLink"/>
                <w:rtl w:val="true"/>
              </w:rPr>
              <w:t xml:space="preserve">. </w:t>
            </w:r>
            <w:r>
              <w:rPr>
                <w:rStyle w:val="IndexLink"/>
                <w:rtl w:val="true"/>
              </w:rPr>
              <w:t>كاتب صدقات</w:t>
            </w:r>
            <w:r>
              <w:rPr>
                <w:rStyle w:val="IndexLink"/>
                <w:rtl w:val="true"/>
              </w:rPr>
              <w:tab/>
            </w:r>
            <w:r>
              <w:rPr>
                <w:rStyle w:val="IndexLink"/>
              </w:rPr>
              <w:t>54</w:t>
            </w:r>
          </w:hyperlink>
        </w:p>
        <w:p>
          <w:pPr>
            <w:pStyle w:val="Contents5"/>
            <w:tabs>
              <w:tab w:val="clear" w:pos="7892"/>
              <w:tab w:val="right" w:pos="9026" w:leader="dot"/>
            </w:tabs>
            <w:rPr/>
          </w:pPr>
          <w:hyperlink w:anchor="__RefHeading___Toc14292436_1280447820">
            <w:r>
              <w:rPr>
                <w:webHidden/>
                <w:rStyle w:val="IndexLink"/>
              </w:rPr>
              <w:t>2.2.6</w:t>
            </w:r>
            <w:r>
              <w:rPr>
                <w:rStyle w:val="IndexLink"/>
                <w:rtl w:val="true"/>
              </w:rPr>
              <w:t xml:space="preserve">. </w:t>
            </w:r>
            <w:r>
              <w:rPr>
                <w:rStyle w:val="IndexLink"/>
                <w:rtl w:val="true"/>
              </w:rPr>
              <w:t xml:space="preserve">سیاست خارجه حكومت اسلامی پیامبر </w:t>
            </w:r>
            <w:r>
              <w:rPr>
                <w:rStyle w:val="IndexLink"/>
                <w:rtl w:val="true"/>
              </w:rPr>
              <w:t>(</w:t>
            </w:r>
            <w:r>
              <w:rPr>
                <w:rStyle w:val="IndexLink"/>
                <w:rtl w:val="true"/>
              </w:rPr>
              <w:t>صلی الله علیه وآله</w:t>
            </w:r>
            <w:r>
              <w:rPr>
                <w:rStyle w:val="IndexLink"/>
                <w:rtl w:val="true"/>
              </w:rPr>
              <w:t>)</w:t>
              <w:tab/>
            </w:r>
            <w:r>
              <w:rPr>
                <w:rStyle w:val="IndexLink"/>
              </w:rPr>
              <w:t>54</w:t>
            </w:r>
          </w:hyperlink>
        </w:p>
        <w:p>
          <w:pPr>
            <w:pStyle w:val="Contents4"/>
            <w:tabs>
              <w:tab w:val="clear" w:pos="8176"/>
              <w:tab w:val="right" w:pos="9026" w:leader="dot"/>
            </w:tabs>
            <w:rPr/>
          </w:pPr>
          <w:hyperlink w:anchor="__RefHeading___Toc14292438_1280447820">
            <w:r>
              <w:rPr>
                <w:webHidden/>
                <w:rStyle w:val="IndexLink"/>
              </w:rPr>
              <w:t>2.3</w:t>
            </w:r>
            <w:r>
              <w:rPr>
                <w:rStyle w:val="IndexLink"/>
                <w:rtl w:val="true"/>
              </w:rPr>
              <w:t>.</w:t>
            </w:r>
            <w:r>
              <w:rPr>
                <w:rStyle w:val="IndexLink"/>
                <w:rtl w:val="true"/>
              </w:rPr>
              <w:t xml:space="preserve">كارگزاران امیرالمؤمنین </w:t>
            </w:r>
            <w:r>
              <w:rPr>
                <w:rStyle w:val="IndexLink"/>
                <w:rtl w:val="true"/>
              </w:rPr>
              <w:t>(</w:t>
            </w:r>
            <w:r>
              <w:rPr>
                <w:rStyle w:val="IndexLink"/>
                <w:rtl w:val="true"/>
              </w:rPr>
              <w:t>علیه السلام</w:t>
            </w:r>
            <w:r>
              <w:rPr>
                <w:rStyle w:val="IndexLink"/>
                <w:rtl w:val="true"/>
              </w:rPr>
              <w:t>)</w:t>
              <w:tab/>
            </w:r>
            <w:r>
              <w:rPr>
                <w:rStyle w:val="IndexLink"/>
              </w:rPr>
              <w:t>55</w:t>
            </w:r>
          </w:hyperlink>
        </w:p>
        <w:p>
          <w:pPr>
            <w:pStyle w:val="Contents5"/>
            <w:tabs>
              <w:tab w:val="clear" w:pos="7892"/>
              <w:tab w:val="right" w:pos="9026" w:leader="dot"/>
            </w:tabs>
            <w:rPr/>
          </w:pPr>
          <w:hyperlink w:anchor="__RefHeading___Toc14292440_1280447820">
            <w:r>
              <w:rPr>
                <w:webHidden/>
                <w:rStyle w:val="IndexLink"/>
                <w:rtl w:val="true"/>
              </w:rPr>
              <w:t>اشاره</w:t>
            </w:r>
            <w:r>
              <w:rPr>
                <w:rStyle w:val="IndexLink"/>
                <w:rtl w:val="true"/>
              </w:rPr>
              <w:tab/>
            </w:r>
            <w:r>
              <w:rPr>
                <w:rStyle w:val="IndexLink"/>
              </w:rPr>
              <w:t>55</w:t>
            </w:r>
          </w:hyperlink>
        </w:p>
        <w:p>
          <w:pPr>
            <w:pStyle w:val="Contents5"/>
            <w:tabs>
              <w:tab w:val="clear" w:pos="7892"/>
              <w:tab w:val="right" w:pos="9026" w:leader="dot"/>
            </w:tabs>
            <w:rPr/>
          </w:pPr>
          <w:hyperlink w:anchor="__RefHeading___Toc14292442_1280447820">
            <w:r>
              <w:rPr>
                <w:webHidden/>
                <w:rStyle w:val="IndexLink"/>
              </w:rPr>
              <w:t>2.3.1</w:t>
            </w:r>
            <w:r>
              <w:rPr>
                <w:rStyle w:val="IndexLink"/>
                <w:rtl w:val="true"/>
              </w:rPr>
              <w:t xml:space="preserve">. </w:t>
            </w:r>
            <w:r>
              <w:rPr>
                <w:rStyle w:val="IndexLink"/>
                <w:rtl w:val="true"/>
              </w:rPr>
              <w:t xml:space="preserve">جهاز اداری </w:t>
            </w:r>
            <w:r>
              <w:rPr>
                <w:rStyle w:val="IndexLink"/>
                <w:rtl w:val="true"/>
              </w:rPr>
              <w:t>(</w:t>
            </w:r>
            <w:r>
              <w:rPr>
                <w:rStyle w:val="IndexLink"/>
                <w:rtl w:val="true"/>
              </w:rPr>
              <w:t>وزارت كشور</w:t>
            </w:r>
            <w:r>
              <w:rPr>
                <w:rStyle w:val="IndexLink"/>
                <w:rtl w:val="true"/>
              </w:rPr>
              <w:t>)</w:t>
              <w:tab/>
            </w:r>
            <w:r>
              <w:rPr>
                <w:rStyle w:val="IndexLink"/>
              </w:rPr>
              <w:t>56</w:t>
            </w:r>
          </w:hyperlink>
        </w:p>
        <w:p>
          <w:pPr>
            <w:pStyle w:val="Contents5"/>
            <w:tabs>
              <w:tab w:val="clear" w:pos="7892"/>
              <w:tab w:val="right" w:pos="9026" w:leader="dot"/>
            </w:tabs>
            <w:rPr/>
          </w:pPr>
          <w:hyperlink w:anchor="__RefHeading___Toc14292444_1280447820">
            <w:r>
              <w:rPr>
                <w:webHidden/>
                <w:rStyle w:val="IndexLink"/>
              </w:rPr>
              <w:t>2.3.2</w:t>
            </w:r>
            <w:r>
              <w:rPr>
                <w:rStyle w:val="IndexLink"/>
                <w:rtl w:val="true"/>
              </w:rPr>
              <w:t xml:space="preserve">. </w:t>
            </w:r>
            <w:r>
              <w:rPr>
                <w:rStyle w:val="IndexLink"/>
                <w:rtl w:val="true"/>
              </w:rPr>
              <w:t xml:space="preserve">جهاز قضائی </w:t>
            </w:r>
            <w:r>
              <w:rPr>
                <w:rStyle w:val="IndexLink"/>
                <w:rtl w:val="true"/>
              </w:rPr>
              <w:t>(</w:t>
            </w:r>
            <w:r>
              <w:rPr>
                <w:rStyle w:val="IndexLink"/>
                <w:rtl w:val="true"/>
              </w:rPr>
              <w:t>قوه قضائیه</w:t>
            </w:r>
            <w:r>
              <w:rPr>
                <w:rStyle w:val="IndexLink"/>
                <w:rtl w:val="true"/>
              </w:rPr>
              <w:t>)</w:t>
              <w:tab/>
            </w:r>
            <w:r>
              <w:rPr>
                <w:rStyle w:val="IndexLink"/>
              </w:rPr>
              <w:t>56</w:t>
            </w:r>
          </w:hyperlink>
        </w:p>
        <w:p>
          <w:pPr>
            <w:pStyle w:val="Contents5"/>
            <w:tabs>
              <w:tab w:val="clear" w:pos="7892"/>
              <w:tab w:val="right" w:pos="9026" w:leader="dot"/>
            </w:tabs>
            <w:rPr/>
          </w:pPr>
          <w:hyperlink w:anchor="__RefHeading___Toc14292446_1280447820">
            <w:r>
              <w:rPr>
                <w:webHidden/>
                <w:rStyle w:val="IndexLink"/>
              </w:rPr>
              <w:t>2.3.3</w:t>
            </w:r>
            <w:r>
              <w:rPr>
                <w:rStyle w:val="IndexLink"/>
                <w:rtl w:val="true"/>
              </w:rPr>
              <w:t xml:space="preserve">. </w:t>
            </w:r>
            <w:r>
              <w:rPr>
                <w:rStyle w:val="IndexLink"/>
                <w:rtl w:val="true"/>
              </w:rPr>
              <w:t>كارگزاران بیت المال؛</w:t>
            </w:r>
            <w:r>
              <w:rPr>
                <w:rStyle w:val="IndexLink"/>
                <w:rtl w:val="true"/>
              </w:rPr>
              <w:tab/>
            </w:r>
            <w:r>
              <w:rPr>
                <w:rStyle w:val="IndexLink"/>
              </w:rPr>
              <w:t>57</w:t>
            </w:r>
          </w:hyperlink>
        </w:p>
        <w:p>
          <w:pPr>
            <w:pStyle w:val="Contents5"/>
            <w:tabs>
              <w:tab w:val="clear" w:pos="7892"/>
              <w:tab w:val="right" w:pos="9026" w:leader="dot"/>
            </w:tabs>
            <w:rPr/>
          </w:pPr>
          <w:hyperlink w:anchor="__RefHeading___Toc14292448_1280447820">
            <w:r>
              <w:rPr>
                <w:webHidden/>
                <w:rStyle w:val="IndexLink"/>
              </w:rPr>
              <w:t>2.3.4</w:t>
            </w:r>
            <w:r>
              <w:rPr>
                <w:rStyle w:val="IndexLink"/>
                <w:rtl w:val="true"/>
              </w:rPr>
              <w:t>.</w:t>
            </w:r>
            <w:r>
              <w:rPr>
                <w:rStyle w:val="IndexLink"/>
                <w:rtl w:val="true"/>
              </w:rPr>
              <w:t>گردآوران صدقات و مالیات؛</w:t>
            </w:r>
            <w:r>
              <w:rPr>
                <w:rStyle w:val="IndexLink"/>
                <w:rtl w:val="true"/>
              </w:rPr>
              <w:tab/>
            </w:r>
            <w:r>
              <w:rPr>
                <w:rStyle w:val="IndexLink"/>
              </w:rPr>
              <w:t>58</w:t>
            </w:r>
          </w:hyperlink>
        </w:p>
        <w:p>
          <w:pPr>
            <w:pStyle w:val="Contents5"/>
            <w:tabs>
              <w:tab w:val="clear" w:pos="7892"/>
              <w:tab w:val="right" w:pos="9026" w:leader="dot"/>
            </w:tabs>
            <w:rPr/>
          </w:pPr>
          <w:hyperlink w:anchor="__RefHeading___Toc14292450_1280447820">
            <w:r>
              <w:rPr>
                <w:webHidden/>
                <w:rStyle w:val="IndexLink"/>
              </w:rPr>
              <w:t>2.3.5</w:t>
            </w:r>
            <w:r>
              <w:rPr>
                <w:rStyle w:val="IndexLink"/>
                <w:rtl w:val="true"/>
              </w:rPr>
              <w:t xml:space="preserve">. </w:t>
            </w:r>
            <w:r>
              <w:rPr>
                <w:rStyle w:val="IndexLink"/>
                <w:rtl w:val="true"/>
              </w:rPr>
              <w:t>حاجبان و دربانان؛</w:t>
            </w:r>
            <w:r>
              <w:rPr>
                <w:rStyle w:val="IndexLink"/>
                <w:rtl w:val="true"/>
              </w:rPr>
              <w:tab/>
            </w:r>
            <w:r>
              <w:rPr>
                <w:rStyle w:val="IndexLink"/>
              </w:rPr>
              <w:t>59</w:t>
            </w:r>
          </w:hyperlink>
        </w:p>
        <w:p>
          <w:pPr>
            <w:pStyle w:val="Contents2"/>
            <w:tabs>
              <w:tab w:val="clear" w:pos="8743"/>
              <w:tab w:val="right" w:pos="9026" w:leader="dot"/>
            </w:tabs>
            <w:rPr/>
          </w:pPr>
          <w:hyperlink w:anchor="__RefHeading___Toc14292452_1280447820">
            <w:r>
              <w:rPr>
                <w:webHidden/>
                <w:rStyle w:val="IndexLink"/>
                <w:rtl w:val="true"/>
              </w:rPr>
              <w:t>فصل سوم</w:t>
            </w:r>
            <w:r>
              <w:rPr>
                <w:rStyle w:val="IndexLink"/>
                <w:rtl w:val="true"/>
              </w:rPr>
              <w:t xml:space="preserve">: </w:t>
            </w:r>
            <w:r>
              <w:rPr>
                <w:rStyle w:val="IndexLink"/>
                <w:rtl w:val="true"/>
              </w:rPr>
              <w:t>تطبیق سیره علوی بر سیره نبوی در امور نظامی</w:t>
            </w:r>
            <w:r>
              <w:rPr>
                <w:rStyle w:val="IndexLink"/>
                <w:rtl w:val="true"/>
              </w:rPr>
              <w:tab/>
            </w:r>
            <w:r>
              <w:rPr>
                <w:rStyle w:val="IndexLink"/>
              </w:rPr>
              <w:t>62</w:t>
            </w:r>
          </w:hyperlink>
        </w:p>
        <w:p>
          <w:pPr>
            <w:pStyle w:val="Contents3"/>
            <w:tabs>
              <w:tab w:val="clear" w:pos="8459"/>
              <w:tab w:val="right" w:pos="9026" w:leader="dot"/>
            </w:tabs>
            <w:rPr/>
          </w:pPr>
          <w:hyperlink w:anchor="__RefHeading___Toc14292454_1280447820">
            <w:r>
              <w:rPr>
                <w:webHidden/>
                <w:rStyle w:val="IndexLink"/>
                <w:rtl w:val="true"/>
              </w:rPr>
              <w:t>اشاره</w:t>
            </w:r>
            <w:r>
              <w:rPr>
                <w:rStyle w:val="IndexLink"/>
                <w:rtl w:val="true"/>
              </w:rPr>
              <w:tab/>
            </w:r>
            <w:r>
              <w:rPr>
                <w:rStyle w:val="IndexLink"/>
              </w:rPr>
              <w:t>62</w:t>
            </w:r>
          </w:hyperlink>
        </w:p>
        <w:p>
          <w:pPr>
            <w:pStyle w:val="Contents3"/>
            <w:tabs>
              <w:tab w:val="clear" w:pos="8459"/>
              <w:tab w:val="right" w:pos="9026" w:leader="dot"/>
            </w:tabs>
            <w:rPr/>
          </w:pPr>
          <w:hyperlink w:anchor="__RefHeading___Toc14292456_1280447820">
            <w:r>
              <w:rPr>
                <w:webHidden/>
                <w:rStyle w:val="IndexLink"/>
              </w:rPr>
              <w:t>3.1</w:t>
            </w:r>
            <w:r>
              <w:rPr>
                <w:rStyle w:val="IndexLink"/>
                <w:rtl w:val="true"/>
              </w:rPr>
              <w:t xml:space="preserve">. </w:t>
            </w:r>
            <w:r>
              <w:rPr>
                <w:rStyle w:val="IndexLink"/>
                <w:rtl w:val="true"/>
              </w:rPr>
              <w:t>آداب فتوحات</w:t>
            </w:r>
            <w:r>
              <w:rPr>
                <w:rStyle w:val="IndexLink"/>
                <w:rtl w:val="true"/>
              </w:rPr>
              <w:tab/>
            </w:r>
            <w:r>
              <w:rPr>
                <w:rStyle w:val="IndexLink"/>
              </w:rPr>
              <w:t>63</w:t>
            </w:r>
          </w:hyperlink>
        </w:p>
        <w:p>
          <w:pPr>
            <w:pStyle w:val="Contents4"/>
            <w:tabs>
              <w:tab w:val="clear" w:pos="8176"/>
              <w:tab w:val="right" w:pos="9026" w:leader="dot"/>
            </w:tabs>
            <w:rPr/>
          </w:pPr>
          <w:hyperlink w:anchor="__RefHeading___Toc14292458_1280447820">
            <w:r>
              <w:rPr>
                <w:webHidden/>
                <w:rStyle w:val="IndexLink"/>
                <w:rtl w:val="true"/>
              </w:rPr>
              <w:t>اشاره</w:t>
            </w:r>
            <w:r>
              <w:rPr>
                <w:rStyle w:val="IndexLink"/>
                <w:rtl w:val="true"/>
              </w:rPr>
              <w:tab/>
            </w:r>
            <w:r>
              <w:rPr>
                <w:rStyle w:val="IndexLink"/>
              </w:rPr>
              <w:t>63</w:t>
            </w:r>
          </w:hyperlink>
        </w:p>
        <w:p>
          <w:pPr>
            <w:pStyle w:val="Contents4"/>
            <w:tabs>
              <w:tab w:val="clear" w:pos="8176"/>
              <w:tab w:val="right" w:pos="9026" w:leader="dot"/>
            </w:tabs>
            <w:rPr/>
          </w:pPr>
          <w:hyperlink w:anchor="__RefHeading___Toc14292460_1280447820">
            <w:r>
              <w:rPr>
                <w:webHidden/>
                <w:rStyle w:val="IndexLink"/>
              </w:rPr>
              <w:t>3.1.1</w:t>
            </w:r>
            <w:r>
              <w:rPr>
                <w:rStyle w:val="IndexLink"/>
                <w:rtl w:val="true"/>
              </w:rPr>
              <w:t xml:space="preserve">. </w:t>
            </w:r>
            <w:r>
              <w:rPr>
                <w:rStyle w:val="IndexLink"/>
                <w:rtl w:val="true"/>
              </w:rPr>
              <w:t>اتمام</w:t>
            </w:r>
            <w:r>
              <w:rPr>
                <w:rStyle w:val="IndexLink"/>
                <w:rtl w:val="true"/>
              </w:rPr>
              <w:tab/>
            </w:r>
            <w:r>
              <w:rPr>
                <w:rStyle w:val="IndexLink"/>
              </w:rPr>
              <w:t>63</w:t>
            </w:r>
          </w:hyperlink>
        </w:p>
        <w:p>
          <w:pPr>
            <w:pStyle w:val="Contents5"/>
            <w:tabs>
              <w:tab w:val="clear" w:pos="7892"/>
              <w:tab w:val="right" w:pos="9026" w:leader="dot"/>
            </w:tabs>
            <w:rPr/>
          </w:pPr>
          <w:hyperlink w:anchor="__RefHeading___Toc14292462_1280447820">
            <w:r>
              <w:rPr>
                <w:webHidden/>
                <w:rStyle w:val="IndexLink"/>
                <w:rtl w:val="true"/>
              </w:rPr>
              <w:t>اشاره</w:t>
            </w:r>
            <w:r>
              <w:rPr>
                <w:rStyle w:val="IndexLink"/>
                <w:rtl w:val="true"/>
              </w:rPr>
              <w:tab/>
            </w:r>
            <w:r>
              <w:rPr>
                <w:rStyle w:val="IndexLink"/>
              </w:rPr>
              <w:t>63</w:t>
            </w:r>
          </w:hyperlink>
        </w:p>
        <w:p>
          <w:pPr>
            <w:pStyle w:val="Contents5"/>
            <w:tabs>
              <w:tab w:val="clear" w:pos="7892"/>
              <w:tab w:val="right" w:pos="9026" w:leader="dot"/>
            </w:tabs>
            <w:rPr/>
          </w:pPr>
          <w:hyperlink w:anchor="__RefHeading___Toc14292464_1280447820">
            <w:r>
              <w:rPr>
                <w:webHidden/>
                <w:rStyle w:val="IndexLink"/>
                <w:rtl w:val="true"/>
              </w:rPr>
              <w:t xml:space="preserve">اتمام حجت در سیرۀ امیرالمؤمنین علی </w:t>
            </w:r>
            <w:r>
              <w:rPr>
                <w:rStyle w:val="IndexLink"/>
                <w:rtl w:val="true"/>
              </w:rPr>
              <w:t>(</w:t>
            </w:r>
            <w:r>
              <w:rPr>
                <w:rStyle w:val="IndexLink"/>
                <w:rtl w:val="true"/>
              </w:rPr>
              <w:t>علیه السلام</w:t>
            </w:r>
            <w:r>
              <w:rPr>
                <w:rStyle w:val="IndexLink"/>
                <w:rtl w:val="true"/>
              </w:rPr>
              <w:t>)</w:t>
              <w:tab/>
            </w:r>
            <w:r>
              <w:rPr>
                <w:rStyle w:val="IndexLink"/>
              </w:rPr>
              <w:t>65</w:t>
            </w:r>
          </w:hyperlink>
        </w:p>
        <w:p>
          <w:pPr>
            <w:pStyle w:val="Contents6"/>
            <w:tabs>
              <w:tab w:val="clear" w:pos="7609"/>
              <w:tab w:val="right" w:pos="9026" w:leader="dot"/>
            </w:tabs>
            <w:rPr/>
          </w:pPr>
          <w:hyperlink w:anchor="__RefHeading___Toc14292466_1280447820">
            <w:r>
              <w:rPr>
                <w:webHidden/>
                <w:rStyle w:val="IndexLink"/>
                <w:rtl w:val="true"/>
              </w:rPr>
              <w:t>الف</w:t>
            </w:r>
            <w:r>
              <w:rPr>
                <w:rStyle w:val="IndexLink"/>
                <w:rtl w:val="true"/>
              </w:rPr>
              <w:t xml:space="preserve">) </w:t>
            </w:r>
            <w:r>
              <w:rPr>
                <w:rStyle w:val="IndexLink"/>
                <w:rtl w:val="true"/>
              </w:rPr>
              <w:t>جنگ جمل</w:t>
            </w:r>
            <w:r>
              <w:rPr>
                <w:rStyle w:val="IndexLink"/>
                <w:rtl w:val="true"/>
              </w:rPr>
              <w:t>:</w:t>
              <w:tab/>
            </w:r>
            <w:r>
              <w:rPr>
                <w:rStyle w:val="IndexLink"/>
              </w:rPr>
              <w:t>65</w:t>
            </w:r>
          </w:hyperlink>
        </w:p>
        <w:p>
          <w:pPr>
            <w:pStyle w:val="Contents6"/>
            <w:tabs>
              <w:tab w:val="clear" w:pos="7609"/>
              <w:tab w:val="right" w:pos="9026" w:leader="dot"/>
            </w:tabs>
            <w:rPr/>
          </w:pPr>
          <w:hyperlink w:anchor="__RefHeading___Toc14292468_1280447820">
            <w:r>
              <w:rPr>
                <w:webHidden/>
                <w:rStyle w:val="IndexLink"/>
                <w:rtl w:val="true"/>
              </w:rPr>
              <w:t>ب</w:t>
            </w:r>
            <w:r>
              <w:rPr>
                <w:rStyle w:val="IndexLink"/>
                <w:rtl w:val="true"/>
              </w:rPr>
              <w:t xml:space="preserve">) </w:t>
            </w:r>
            <w:r>
              <w:rPr>
                <w:rStyle w:val="IndexLink"/>
                <w:rtl w:val="true"/>
              </w:rPr>
              <w:t>جنگ نهروان</w:t>
            </w:r>
            <w:r>
              <w:rPr>
                <w:rStyle w:val="IndexLink"/>
                <w:rtl w:val="true"/>
              </w:rPr>
              <w:t>.</w:t>
              <w:tab/>
            </w:r>
            <w:r>
              <w:rPr>
                <w:rStyle w:val="IndexLink"/>
              </w:rPr>
              <w:t>68</w:t>
            </w:r>
          </w:hyperlink>
        </w:p>
        <w:p>
          <w:pPr>
            <w:pStyle w:val="Contents4"/>
            <w:tabs>
              <w:tab w:val="clear" w:pos="8176"/>
              <w:tab w:val="right" w:pos="9026" w:leader="dot"/>
            </w:tabs>
            <w:rPr/>
          </w:pPr>
          <w:hyperlink w:anchor="__RefHeading___Toc14292470_1280447820">
            <w:r>
              <w:rPr>
                <w:webHidden/>
                <w:rStyle w:val="IndexLink"/>
              </w:rPr>
              <w:t>3.1.2</w:t>
            </w:r>
            <w:r>
              <w:rPr>
                <w:rStyle w:val="IndexLink"/>
                <w:rtl w:val="true"/>
              </w:rPr>
              <w:t>.</w:t>
            </w:r>
            <w:r>
              <w:rPr>
                <w:rStyle w:val="IndexLink"/>
                <w:rtl w:val="true"/>
              </w:rPr>
              <w:t xml:space="preserve">اصول حاکم بر امور نظامی پیامبر </w:t>
            </w:r>
            <w:r>
              <w:rPr>
                <w:rStyle w:val="IndexLink"/>
                <w:rtl w:val="true"/>
              </w:rPr>
              <w:t>(</w:t>
            </w:r>
            <w:r>
              <w:rPr>
                <w:rStyle w:val="IndexLink"/>
                <w:rtl w:val="true"/>
              </w:rPr>
              <w:t>صلی الله علیه وآله</w:t>
            </w:r>
            <w:r>
              <w:rPr>
                <w:rStyle w:val="IndexLink"/>
                <w:rtl w:val="true"/>
              </w:rPr>
              <w:t xml:space="preserve">) </w:t>
            </w:r>
            <w:r>
              <w:rPr>
                <w:rStyle w:val="IndexLink"/>
                <w:rtl w:val="true"/>
              </w:rPr>
              <w:t xml:space="preserve">و امام علی </w:t>
            </w:r>
            <w:r>
              <w:rPr>
                <w:rStyle w:val="IndexLink"/>
                <w:rtl w:val="true"/>
              </w:rPr>
              <w:t>(</w:t>
            </w:r>
            <w:r>
              <w:rPr>
                <w:rStyle w:val="IndexLink"/>
                <w:rtl w:val="true"/>
              </w:rPr>
              <w:t>علیه السلام</w:t>
            </w:r>
            <w:r>
              <w:rPr>
                <w:rStyle w:val="IndexLink"/>
                <w:rtl w:val="true"/>
              </w:rPr>
              <w:t>)</w:t>
              <w:tab/>
            </w:r>
            <w:r>
              <w:rPr>
                <w:rStyle w:val="IndexLink"/>
              </w:rPr>
              <w:t>71</w:t>
            </w:r>
          </w:hyperlink>
        </w:p>
        <w:p>
          <w:pPr>
            <w:pStyle w:val="Contents5"/>
            <w:tabs>
              <w:tab w:val="clear" w:pos="7892"/>
              <w:tab w:val="right" w:pos="9026" w:leader="dot"/>
            </w:tabs>
            <w:rPr/>
          </w:pPr>
          <w:hyperlink w:anchor="__RefHeading___Toc14292472_1280447820">
            <w:r>
              <w:rPr>
                <w:webHidden/>
                <w:rStyle w:val="IndexLink"/>
                <w:rtl w:val="true"/>
              </w:rPr>
              <w:t>اشاره</w:t>
            </w:r>
            <w:r>
              <w:rPr>
                <w:rStyle w:val="IndexLink"/>
                <w:rtl w:val="true"/>
              </w:rPr>
              <w:tab/>
            </w:r>
            <w:r>
              <w:rPr>
                <w:rStyle w:val="IndexLink"/>
              </w:rPr>
              <w:t>71</w:t>
            </w:r>
          </w:hyperlink>
        </w:p>
        <w:p>
          <w:pPr>
            <w:pStyle w:val="Contents5"/>
            <w:tabs>
              <w:tab w:val="clear" w:pos="7892"/>
              <w:tab w:val="right" w:pos="9026" w:leader="dot"/>
            </w:tabs>
            <w:rPr/>
          </w:pPr>
          <w:hyperlink w:anchor="__RefHeading___Toc14292474_1280447820">
            <w:r>
              <w:rPr>
                <w:webHidden/>
                <w:rStyle w:val="IndexLink"/>
                <w:rtl w:val="true"/>
              </w:rPr>
              <w:t>الف</w:t>
            </w:r>
            <w:r>
              <w:rPr>
                <w:rStyle w:val="IndexLink"/>
                <w:rtl w:val="true"/>
              </w:rPr>
              <w:t>)</w:t>
            </w:r>
            <w:r>
              <w:rPr>
                <w:rStyle w:val="IndexLink"/>
                <w:rtl w:val="true"/>
              </w:rPr>
              <w:t>رعایت اصول انسانی در جنگ</w:t>
            </w:r>
            <w:r>
              <w:rPr>
                <w:rStyle w:val="IndexLink"/>
                <w:rtl w:val="true"/>
              </w:rPr>
              <w:tab/>
            </w:r>
            <w:r>
              <w:rPr>
                <w:rStyle w:val="IndexLink"/>
              </w:rPr>
              <w:t>71</w:t>
            </w:r>
          </w:hyperlink>
        </w:p>
        <w:p>
          <w:pPr>
            <w:pStyle w:val="Contents5"/>
            <w:tabs>
              <w:tab w:val="clear" w:pos="7892"/>
              <w:tab w:val="right" w:pos="9026" w:leader="dot"/>
            </w:tabs>
            <w:rPr/>
          </w:pPr>
          <w:hyperlink w:anchor="__RefHeading___Toc14292476_1280447820">
            <w:r>
              <w:rPr>
                <w:webHidden/>
                <w:rStyle w:val="IndexLink"/>
                <w:rtl w:val="true"/>
              </w:rPr>
              <w:t>ب</w:t>
            </w:r>
            <w:r>
              <w:rPr>
                <w:rStyle w:val="IndexLink"/>
                <w:rtl w:val="true"/>
              </w:rPr>
              <w:t xml:space="preserve">) </w:t>
            </w:r>
            <w:r>
              <w:rPr>
                <w:rStyle w:val="IndexLink"/>
                <w:rtl w:val="true"/>
              </w:rPr>
              <w:t xml:space="preserve">مدارای پیامبر </w:t>
            </w:r>
            <w:r>
              <w:rPr>
                <w:rStyle w:val="IndexLink"/>
                <w:rtl w:val="true"/>
              </w:rPr>
              <w:t>(</w:t>
            </w:r>
            <w:r>
              <w:rPr>
                <w:rStyle w:val="IndexLink"/>
                <w:rtl w:val="true"/>
              </w:rPr>
              <w:t>صلی الله علیه وآله</w:t>
            </w:r>
            <w:r>
              <w:rPr>
                <w:rStyle w:val="IndexLink"/>
                <w:rtl w:val="true"/>
              </w:rPr>
              <w:t xml:space="preserve">) </w:t>
            </w:r>
            <w:r>
              <w:rPr>
                <w:rStyle w:val="IndexLink"/>
                <w:rtl w:val="true"/>
              </w:rPr>
              <w:t>پس از فتح مکه</w:t>
            </w:r>
            <w:r>
              <w:rPr>
                <w:rStyle w:val="IndexLink"/>
                <w:rtl w:val="true"/>
              </w:rPr>
              <w:tab/>
            </w:r>
            <w:r>
              <w:rPr>
                <w:rStyle w:val="IndexLink"/>
              </w:rPr>
              <w:t>71</w:t>
            </w:r>
          </w:hyperlink>
        </w:p>
        <w:p>
          <w:pPr>
            <w:pStyle w:val="Contents5"/>
            <w:tabs>
              <w:tab w:val="clear" w:pos="7892"/>
              <w:tab w:val="right" w:pos="9026" w:leader="dot"/>
            </w:tabs>
            <w:rPr/>
          </w:pPr>
          <w:hyperlink w:anchor="__RefHeading___Toc14292478_1280447820">
            <w:r>
              <w:rPr>
                <w:webHidden/>
                <w:rStyle w:val="IndexLink"/>
                <w:rtl w:val="true"/>
              </w:rPr>
              <w:t>ج</w:t>
            </w:r>
            <w:r>
              <w:rPr>
                <w:rStyle w:val="IndexLink"/>
                <w:rtl w:val="true"/>
              </w:rPr>
              <w:t>)</w:t>
            </w:r>
            <w:r>
              <w:rPr>
                <w:rStyle w:val="IndexLink"/>
                <w:rtl w:val="true"/>
              </w:rPr>
              <w:t>تأکید بر اخلاق در نبرد</w:t>
            </w:r>
            <w:r>
              <w:rPr>
                <w:rStyle w:val="IndexLink"/>
                <w:rtl w:val="true"/>
              </w:rPr>
              <w:tab/>
            </w:r>
            <w:r>
              <w:rPr>
                <w:rStyle w:val="IndexLink"/>
              </w:rPr>
              <w:t>71</w:t>
            </w:r>
          </w:hyperlink>
        </w:p>
        <w:p>
          <w:pPr>
            <w:pStyle w:val="Contents5"/>
            <w:tabs>
              <w:tab w:val="clear" w:pos="7892"/>
              <w:tab w:val="right" w:pos="9026" w:leader="dot"/>
            </w:tabs>
            <w:rPr/>
          </w:pPr>
          <w:hyperlink w:anchor="__RefHeading___Toc14292480_1280447820">
            <w:r>
              <w:rPr>
                <w:webHidden/>
                <w:rStyle w:val="IndexLink"/>
                <w:rtl w:val="true"/>
              </w:rPr>
              <w:t>د</w:t>
            </w:r>
            <w:r>
              <w:rPr>
                <w:rStyle w:val="IndexLink"/>
                <w:rtl w:val="true"/>
              </w:rPr>
              <w:t>)</w:t>
            </w:r>
            <w:r>
              <w:rPr>
                <w:rStyle w:val="IndexLink"/>
                <w:rtl w:val="true"/>
              </w:rPr>
              <w:t>ممنوعیت کشتن کودکان</w:t>
            </w:r>
            <w:r>
              <w:rPr>
                <w:rStyle w:val="IndexLink"/>
                <w:rtl w:val="true"/>
              </w:rPr>
              <w:tab/>
            </w:r>
            <w:r>
              <w:rPr>
                <w:rStyle w:val="IndexLink"/>
              </w:rPr>
              <w:t>72</w:t>
            </w:r>
          </w:hyperlink>
        </w:p>
        <w:p>
          <w:pPr>
            <w:pStyle w:val="Contents5"/>
            <w:tabs>
              <w:tab w:val="clear" w:pos="7892"/>
              <w:tab w:val="right" w:pos="9026" w:leader="dot"/>
            </w:tabs>
            <w:rPr/>
          </w:pPr>
          <w:hyperlink w:anchor="__RefHeading___Toc14292482_1280447820">
            <w:r>
              <w:rPr>
                <w:webHidden/>
                <w:rStyle w:val="IndexLink"/>
                <w:rtl w:val="true"/>
              </w:rPr>
              <w:t>ه</w:t>
            </w:r>
            <w:r>
              <w:rPr>
                <w:rStyle w:val="IndexLink"/>
                <w:rtl w:val="true"/>
              </w:rPr>
              <w:t xml:space="preserve">) </w:t>
            </w:r>
            <w:r>
              <w:rPr>
                <w:rStyle w:val="IndexLink"/>
                <w:rtl w:val="true"/>
              </w:rPr>
              <w:t>ممنوعیت جنگ شیمیایی</w:t>
            </w:r>
            <w:r>
              <w:rPr>
                <w:rStyle w:val="IndexLink"/>
                <w:rtl w:val="true"/>
              </w:rPr>
              <w:tab/>
            </w:r>
            <w:r>
              <w:rPr>
                <w:rStyle w:val="IndexLink"/>
              </w:rPr>
              <w:t>72</w:t>
            </w:r>
          </w:hyperlink>
        </w:p>
        <w:p>
          <w:pPr>
            <w:pStyle w:val="Contents5"/>
            <w:tabs>
              <w:tab w:val="clear" w:pos="7892"/>
              <w:tab w:val="right" w:pos="9026" w:leader="dot"/>
            </w:tabs>
            <w:rPr/>
          </w:pPr>
          <w:hyperlink w:anchor="__RefHeading___Toc14292484_1280447820">
            <w:r>
              <w:rPr>
                <w:webHidden/>
                <w:rStyle w:val="IndexLink"/>
                <w:rtl w:val="true"/>
              </w:rPr>
              <w:t>و</w:t>
            </w:r>
            <w:r>
              <w:rPr>
                <w:rStyle w:val="IndexLink"/>
                <w:rtl w:val="true"/>
              </w:rPr>
              <w:t xml:space="preserve">) </w:t>
            </w:r>
            <w:r>
              <w:rPr>
                <w:rStyle w:val="IndexLink"/>
                <w:rtl w:val="true"/>
              </w:rPr>
              <w:t>ممنوعیت قطع درختان</w:t>
            </w:r>
            <w:r>
              <w:rPr>
                <w:rStyle w:val="IndexLink"/>
                <w:rtl w:val="true"/>
              </w:rPr>
              <w:tab/>
            </w:r>
            <w:r>
              <w:rPr>
                <w:rStyle w:val="IndexLink"/>
              </w:rPr>
              <w:t>72</w:t>
            </w:r>
          </w:hyperlink>
        </w:p>
        <w:p>
          <w:pPr>
            <w:pStyle w:val="Contents6"/>
            <w:tabs>
              <w:tab w:val="clear" w:pos="7609"/>
              <w:tab w:val="right" w:pos="9026" w:leader="dot"/>
            </w:tabs>
            <w:rPr/>
          </w:pPr>
          <w:hyperlink w:anchor="__RefHeading___Toc14292486_1280447820">
            <w:r>
              <w:rPr>
                <w:webHidden/>
                <w:rStyle w:val="IndexLink"/>
                <w:rtl w:val="true"/>
              </w:rPr>
              <w:t>اشاره</w:t>
            </w:r>
            <w:r>
              <w:rPr>
                <w:rStyle w:val="IndexLink"/>
                <w:rtl w:val="true"/>
              </w:rPr>
              <w:tab/>
            </w:r>
            <w:r>
              <w:rPr>
                <w:rStyle w:val="IndexLink"/>
              </w:rPr>
              <w:t>72</w:t>
            </w:r>
          </w:hyperlink>
        </w:p>
        <w:p>
          <w:pPr>
            <w:pStyle w:val="Contents6"/>
            <w:tabs>
              <w:tab w:val="clear" w:pos="7609"/>
              <w:tab w:val="right" w:pos="9026" w:leader="dot"/>
            </w:tabs>
            <w:rPr/>
          </w:pPr>
          <w:hyperlink w:anchor="__RefHeading___Toc14292488_1280447820">
            <w:r>
              <w:rPr>
                <w:webHidden/>
                <w:rStyle w:val="IndexLink"/>
                <w:rtl w:val="true"/>
              </w:rPr>
              <w:t>الف</w:t>
            </w:r>
            <w:r>
              <w:rPr>
                <w:rStyle w:val="IndexLink"/>
                <w:rtl w:val="true"/>
              </w:rPr>
              <w:t xml:space="preserve">) </w:t>
            </w:r>
            <w:r>
              <w:rPr>
                <w:rStyle w:val="IndexLink"/>
                <w:rtl w:val="true"/>
              </w:rPr>
              <w:t>علل و زمینه‌های تصمیم</w:t>
            </w:r>
            <w:r>
              <w:rPr>
                <w:rStyle w:val="IndexLink"/>
                <w:rtl w:val="true"/>
              </w:rPr>
              <w:t>:</w:t>
              <w:tab/>
            </w:r>
            <w:r>
              <w:rPr>
                <w:rStyle w:val="IndexLink"/>
              </w:rPr>
              <w:t>73</w:t>
            </w:r>
          </w:hyperlink>
        </w:p>
        <w:p>
          <w:pPr>
            <w:pStyle w:val="Contents6"/>
            <w:tabs>
              <w:tab w:val="clear" w:pos="7609"/>
              <w:tab w:val="right" w:pos="9026" w:leader="dot"/>
            </w:tabs>
            <w:rPr/>
          </w:pPr>
          <w:hyperlink w:anchor="__RefHeading___Toc14292490_1280447820">
            <w:r>
              <w:rPr>
                <w:webHidden/>
                <w:rStyle w:val="IndexLink"/>
                <w:rtl w:val="true"/>
              </w:rPr>
              <w:t>ب</w:t>
            </w:r>
            <w:r>
              <w:rPr>
                <w:rStyle w:val="IndexLink"/>
                <w:rtl w:val="true"/>
              </w:rPr>
              <w:t xml:space="preserve">) </w:t>
            </w:r>
            <w:r>
              <w:rPr>
                <w:rStyle w:val="IndexLink"/>
                <w:rtl w:val="true"/>
              </w:rPr>
              <w:t>توجیه فقهی و اخلاقی</w:t>
            </w:r>
            <w:r>
              <w:rPr>
                <w:rStyle w:val="IndexLink"/>
                <w:rtl w:val="true"/>
              </w:rPr>
              <w:t>:</w:t>
              <w:tab/>
            </w:r>
            <w:r>
              <w:rPr>
                <w:rStyle w:val="IndexLink"/>
              </w:rPr>
              <w:t>74</w:t>
            </w:r>
          </w:hyperlink>
        </w:p>
        <w:p>
          <w:pPr>
            <w:pStyle w:val="Contents6"/>
            <w:tabs>
              <w:tab w:val="clear" w:pos="7609"/>
              <w:tab w:val="right" w:pos="9026" w:leader="dot"/>
            </w:tabs>
            <w:rPr/>
          </w:pPr>
          <w:hyperlink w:anchor="__RefHeading___Toc14292492_1280447820">
            <w:r>
              <w:rPr>
                <w:webHidden/>
                <w:rStyle w:val="IndexLink"/>
                <w:rtl w:val="true"/>
              </w:rPr>
              <w:t>ز</w:t>
            </w:r>
            <w:r>
              <w:rPr>
                <w:rStyle w:val="IndexLink"/>
                <w:rtl w:val="true"/>
              </w:rPr>
              <w:t>)</w:t>
            </w:r>
            <w:r>
              <w:rPr>
                <w:rStyle w:val="IndexLink"/>
                <w:rtl w:val="true"/>
              </w:rPr>
              <w:t>مصونیت صومعه‌نشینان و بازرگانان</w:t>
            </w:r>
            <w:r>
              <w:rPr>
                <w:rStyle w:val="IndexLink"/>
                <w:rtl w:val="true"/>
              </w:rPr>
              <w:tab/>
            </w:r>
            <w:r>
              <w:rPr>
                <w:rStyle w:val="IndexLink"/>
              </w:rPr>
              <w:t>75</w:t>
            </w:r>
          </w:hyperlink>
        </w:p>
        <w:p>
          <w:pPr>
            <w:pStyle w:val="Contents6"/>
            <w:tabs>
              <w:tab w:val="clear" w:pos="7609"/>
              <w:tab w:val="right" w:pos="9026" w:leader="dot"/>
            </w:tabs>
            <w:rPr/>
          </w:pPr>
          <w:hyperlink w:anchor="__RefHeading___Toc14292494_1280447820">
            <w:r>
              <w:rPr>
                <w:webHidden/>
                <w:rStyle w:val="IndexLink"/>
                <w:rtl w:val="true"/>
              </w:rPr>
              <w:t>ح</w:t>
            </w:r>
            <w:r>
              <w:rPr>
                <w:rStyle w:val="IndexLink"/>
                <w:rtl w:val="true"/>
              </w:rPr>
              <w:t>)</w:t>
            </w:r>
            <w:r>
              <w:rPr>
                <w:rStyle w:val="IndexLink"/>
                <w:rtl w:val="true"/>
              </w:rPr>
              <w:t>مصونیت پیک و گروگان و زنان</w:t>
            </w:r>
            <w:r>
              <w:rPr>
                <w:rStyle w:val="IndexLink"/>
                <w:rtl w:val="true"/>
              </w:rPr>
              <w:tab/>
            </w:r>
            <w:r>
              <w:rPr>
                <w:rStyle w:val="IndexLink"/>
              </w:rPr>
              <w:t>75</w:t>
            </w:r>
          </w:hyperlink>
        </w:p>
        <w:p>
          <w:pPr>
            <w:pStyle w:val="Contents6"/>
            <w:tabs>
              <w:tab w:val="clear" w:pos="7609"/>
              <w:tab w:val="right" w:pos="9026" w:leader="dot"/>
            </w:tabs>
            <w:rPr/>
          </w:pPr>
          <w:hyperlink w:anchor="__RefHeading___Toc14292496_1280447820">
            <w:r>
              <w:rPr>
                <w:webHidden/>
                <w:rStyle w:val="IndexLink"/>
                <w:rtl w:val="true"/>
              </w:rPr>
              <w:t>ت</w:t>
            </w:r>
            <w:r>
              <w:rPr>
                <w:rStyle w:val="IndexLink"/>
                <w:rtl w:val="true"/>
              </w:rPr>
              <w:t xml:space="preserve">) </w:t>
            </w:r>
            <w:r>
              <w:rPr>
                <w:rStyle w:val="IndexLink"/>
                <w:rtl w:val="true"/>
              </w:rPr>
              <w:t>حرمت بستن آب بر دشمن</w:t>
            </w:r>
            <w:r>
              <w:rPr>
                <w:rStyle w:val="IndexLink"/>
                <w:rtl w:val="true"/>
              </w:rPr>
              <w:tab/>
            </w:r>
            <w:r>
              <w:rPr>
                <w:rStyle w:val="IndexLink"/>
              </w:rPr>
              <w:t>76</w:t>
            </w:r>
          </w:hyperlink>
        </w:p>
        <w:p>
          <w:pPr>
            <w:pStyle w:val="Contents6"/>
            <w:tabs>
              <w:tab w:val="clear" w:pos="7609"/>
              <w:tab w:val="right" w:pos="9026" w:leader="dot"/>
            </w:tabs>
            <w:rPr/>
          </w:pPr>
          <w:hyperlink w:anchor="__RefHeading___Toc14292498_1280447820">
            <w:r>
              <w:rPr>
                <w:webHidden/>
                <w:rStyle w:val="IndexLink"/>
                <w:rtl w:val="true"/>
              </w:rPr>
              <w:t>بررسی گزارش‌های تاریخی</w:t>
            </w:r>
            <w:r>
              <w:rPr>
                <w:rStyle w:val="IndexLink"/>
                <w:rtl w:val="true"/>
              </w:rPr>
              <w:tab/>
            </w:r>
            <w:r>
              <w:rPr>
                <w:rStyle w:val="IndexLink"/>
              </w:rPr>
              <w:t>77</w:t>
            </w:r>
          </w:hyperlink>
        </w:p>
        <w:p>
          <w:pPr>
            <w:pStyle w:val="Contents6"/>
            <w:tabs>
              <w:tab w:val="clear" w:pos="7609"/>
              <w:tab w:val="right" w:pos="9026" w:leader="dot"/>
            </w:tabs>
            <w:rPr/>
          </w:pPr>
          <w:hyperlink w:anchor="__RefHeading___Toc14292500_1280447820">
            <w:r>
              <w:rPr>
                <w:webHidden/>
                <w:rStyle w:val="IndexLink"/>
                <w:rtl w:val="true"/>
              </w:rPr>
              <w:t>دیدگاه محققان و مفسران</w:t>
            </w:r>
            <w:r>
              <w:rPr>
                <w:rStyle w:val="IndexLink"/>
                <w:rtl w:val="true"/>
              </w:rPr>
              <w:tab/>
            </w:r>
            <w:r>
              <w:rPr>
                <w:rStyle w:val="IndexLink"/>
              </w:rPr>
              <w:t>77</w:t>
            </w:r>
          </w:hyperlink>
        </w:p>
        <w:p>
          <w:pPr>
            <w:pStyle w:val="Contents6"/>
            <w:tabs>
              <w:tab w:val="clear" w:pos="7609"/>
              <w:tab w:val="right" w:pos="9026" w:leader="dot"/>
            </w:tabs>
            <w:rPr/>
          </w:pPr>
          <w:hyperlink w:anchor="__RefHeading___Toc14292502_1280447820">
            <w:r>
              <w:rPr>
                <w:webHidden/>
                <w:rStyle w:val="IndexLink"/>
                <w:rtl w:val="true"/>
              </w:rPr>
              <w:t>ی</w:t>
            </w:r>
            <w:r>
              <w:rPr>
                <w:rStyle w:val="IndexLink"/>
                <w:rtl w:val="true"/>
              </w:rPr>
              <w:t xml:space="preserve">) </w:t>
            </w:r>
            <w:r>
              <w:rPr>
                <w:rStyle w:val="IndexLink"/>
                <w:rtl w:val="true"/>
              </w:rPr>
              <w:t>برخورد شایسته با اسیران</w:t>
            </w:r>
            <w:r>
              <w:rPr>
                <w:rStyle w:val="IndexLink"/>
                <w:rtl w:val="true"/>
              </w:rPr>
              <w:t>:</w:t>
              <w:tab/>
            </w:r>
            <w:r>
              <w:rPr>
                <w:rStyle w:val="IndexLink"/>
              </w:rPr>
              <w:t>81</w:t>
            </w:r>
          </w:hyperlink>
        </w:p>
        <w:p>
          <w:pPr>
            <w:pStyle w:val="Contents2"/>
            <w:tabs>
              <w:tab w:val="clear" w:pos="8743"/>
              <w:tab w:val="right" w:pos="9026" w:leader="dot"/>
            </w:tabs>
            <w:rPr/>
          </w:pPr>
          <w:hyperlink w:anchor="__RefHeading___Toc14292504_1280447820">
            <w:r>
              <w:rPr>
                <w:webHidden/>
                <w:rStyle w:val="IndexLink"/>
                <w:rtl w:val="true"/>
              </w:rPr>
              <w:t>فصل چهارم</w:t>
            </w:r>
            <w:r>
              <w:rPr>
                <w:rStyle w:val="IndexLink"/>
                <w:rtl w:val="true"/>
              </w:rPr>
              <w:t xml:space="preserve">: </w:t>
            </w:r>
            <w:r>
              <w:rPr>
                <w:rStyle w:val="IndexLink"/>
                <w:rtl w:val="true"/>
              </w:rPr>
              <w:t>تطبیق دو سیره در مواجهه با معارضان سیاسی</w:t>
            </w:r>
            <w:r>
              <w:rPr>
                <w:rStyle w:val="IndexLink"/>
                <w:rtl w:val="true"/>
              </w:rPr>
              <w:tab/>
            </w:r>
            <w:r>
              <w:rPr>
                <w:rStyle w:val="IndexLink"/>
              </w:rPr>
              <w:t>88</w:t>
            </w:r>
          </w:hyperlink>
        </w:p>
        <w:p>
          <w:pPr>
            <w:pStyle w:val="Contents3"/>
            <w:tabs>
              <w:tab w:val="clear" w:pos="8459"/>
              <w:tab w:val="right" w:pos="9026" w:leader="dot"/>
            </w:tabs>
            <w:rPr/>
          </w:pPr>
          <w:hyperlink w:anchor="__RefHeading___Toc14292506_1280447820">
            <w:r>
              <w:rPr>
                <w:webHidden/>
                <w:rStyle w:val="IndexLink"/>
                <w:rtl w:val="true"/>
              </w:rPr>
              <w:t>اشاره</w:t>
            </w:r>
            <w:r>
              <w:rPr>
                <w:rStyle w:val="IndexLink"/>
                <w:rtl w:val="true"/>
              </w:rPr>
              <w:tab/>
            </w:r>
            <w:r>
              <w:rPr>
                <w:rStyle w:val="IndexLink"/>
              </w:rPr>
              <w:t>88</w:t>
            </w:r>
          </w:hyperlink>
        </w:p>
        <w:p>
          <w:pPr>
            <w:pStyle w:val="Contents3"/>
            <w:tabs>
              <w:tab w:val="clear" w:pos="8459"/>
              <w:tab w:val="right" w:pos="9026" w:leader="dot"/>
            </w:tabs>
            <w:rPr/>
          </w:pPr>
          <w:hyperlink w:anchor="__RefHeading___Toc14292508_1280447820">
            <w:r>
              <w:rPr>
                <w:webHidden/>
                <w:rStyle w:val="IndexLink"/>
              </w:rPr>
              <w:t>4.1</w:t>
            </w:r>
            <w:r>
              <w:rPr>
                <w:rStyle w:val="IndexLink"/>
                <w:rtl w:val="true"/>
              </w:rPr>
              <w:t xml:space="preserve">. </w:t>
            </w:r>
            <w:r>
              <w:rPr>
                <w:rStyle w:val="IndexLink"/>
                <w:rtl w:val="true"/>
              </w:rPr>
              <w:t>برخورد با معارضان در سیره پیامبر</w:t>
            </w:r>
            <w:r>
              <w:rPr>
                <w:rStyle w:val="IndexLink"/>
                <w:rtl w:val="true"/>
              </w:rPr>
              <w:t>(</w:t>
            </w:r>
            <w:r>
              <w:rPr>
                <w:rStyle w:val="IndexLink"/>
                <w:rtl w:val="true"/>
              </w:rPr>
              <w:t>صلی الله علیه وآله</w:t>
            </w:r>
            <w:r>
              <w:rPr>
                <w:rStyle w:val="IndexLink"/>
                <w:rtl w:val="true"/>
              </w:rPr>
              <w:t>)</w:t>
              <w:tab/>
            </w:r>
            <w:r>
              <w:rPr>
                <w:rStyle w:val="IndexLink"/>
              </w:rPr>
              <w:t>91</w:t>
            </w:r>
          </w:hyperlink>
        </w:p>
        <w:p>
          <w:pPr>
            <w:pStyle w:val="Contents4"/>
            <w:tabs>
              <w:tab w:val="clear" w:pos="8176"/>
              <w:tab w:val="right" w:pos="9026" w:leader="dot"/>
            </w:tabs>
            <w:rPr/>
          </w:pPr>
          <w:hyperlink w:anchor="__RefHeading___Toc14292510_1280447820">
            <w:r>
              <w:rPr>
                <w:webHidden/>
                <w:rStyle w:val="IndexLink"/>
              </w:rPr>
              <w:t>4.1.1</w:t>
            </w:r>
            <w:r>
              <w:rPr>
                <w:rStyle w:val="IndexLink"/>
                <w:rtl w:val="true"/>
              </w:rPr>
              <w:t xml:space="preserve">. </w:t>
            </w:r>
            <w:r>
              <w:rPr>
                <w:rStyle w:val="IndexLink"/>
                <w:rtl w:val="true"/>
              </w:rPr>
              <w:t>مدارا</w:t>
            </w:r>
            <w:r>
              <w:rPr>
                <w:rStyle w:val="IndexLink"/>
                <w:rtl w:val="true"/>
              </w:rPr>
              <w:tab/>
            </w:r>
            <w:r>
              <w:rPr>
                <w:rStyle w:val="IndexLink"/>
              </w:rPr>
              <w:t>91</w:t>
            </w:r>
          </w:hyperlink>
        </w:p>
        <w:p>
          <w:pPr>
            <w:pStyle w:val="Contents4"/>
            <w:tabs>
              <w:tab w:val="clear" w:pos="8176"/>
              <w:tab w:val="right" w:pos="9026" w:leader="dot"/>
            </w:tabs>
            <w:rPr/>
          </w:pPr>
          <w:hyperlink w:anchor="__RefHeading___Toc14292512_1280447820">
            <w:r>
              <w:rPr>
                <w:webHidden/>
                <w:rStyle w:val="IndexLink"/>
              </w:rPr>
              <w:t>4.1.1</w:t>
            </w:r>
            <w:r>
              <w:rPr>
                <w:rStyle w:val="IndexLink"/>
                <w:rtl w:val="true"/>
              </w:rPr>
              <w:t>.</w:t>
            </w:r>
            <w:r>
              <w:rPr>
                <w:rStyle w:val="IndexLink"/>
                <w:rtl w:val="true"/>
              </w:rPr>
              <w:t>نادیده گرفتنِ آزار منافقان</w:t>
            </w:r>
            <w:r>
              <w:rPr>
                <w:rStyle w:val="IndexLink"/>
                <w:rtl w:val="true"/>
              </w:rPr>
              <w:tab/>
            </w:r>
            <w:r>
              <w:rPr>
                <w:rStyle w:val="IndexLink"/>
              </w:rPr>
              <w:t>92</w:t>
            </w:r>
          </w:hyperlink>
        </w:p>
        <w:p>
          <w:pPr>
            <w:pStyle w:val="Contents4"/>
            <w:tabs>
              <w:tab w:val="clear" w:pos="8176"/>
              <w:tab w:val="right" w:pos="9026" w:leader="dot"/>
            </w:tabs>
            <w:rPr/>
          </w:pPr>
          <w:hyperlink w:anchor="__RefHeading___Toc14292514_1280447820">
            <w:r>
              <w:rPr>
                <w:webHidden/>
                <w:rStyle w:val="IndexLink"/>
              </w:rPr>
              <w:t>4.1.2</w:t>
            </w:r>
            <w:r>
              <w:rPr>
                <w:rStyle w:val="IndexLink"/>
                <w:rtl w:val="true"/>
              </w:rPr>
              <w:t>.</w:t>
            </w:r>
            <w:r>
              <w:rPr>
                <w:rStyle w:val="IndexLink"/>
                <w:rtl w:val="true"/>
              </w:rPr>
              <w:t>پذیرش عذرخواهی منافقان</w:t>
            </w:r>
            <w:r>
              <w:rPr>
                <w:rStyle w:val="IndexLink"/>
                <w:rtl w:val="true"/>
              </w:rPr>
              <w:tab/>
            </w:r>
            <w:r>
              <w:rPr>
                <w:rStyle w:val="IndexLink"/>
              </w:rPr>
              <w:t>93</w:t>
            </w:r>
          </w:hyperlink>
        </w:p>
        <w:p>
          <w:pPr>
            <w:pStyle w:val="Contents4"/>
            <w:tabs>
              <w:tab w:val="clear" w:pos="8176"/>
              <w:tab w:val="right" w:pos="9026" w:leader="dot"/>
            </w:tabs>
            <w:rPr/>
          </w:pPr>
          <w:hyperlink w:anchor="__RefHeading___Toc14292516_1280447820">
            <w:r>
              <w:rPr>
                <w:webHidden/>
                <w:rStyle w:val="IndexLink"/>
              </w:rPr>
              <w:t>4.1.3</w:t>
            </w:r>
            <w:r>
              <w:rPr>
                <w:rStyle w:val="IndexLink"/>
                <w:rtl w:val="true"/>
              </w:rPr>
              <w:t>.</w:t>
            </w:r>
            <w:r>
              <w:rPr>
                <w:rStyle w:val="IndexLink"/>
                <w:rtl w:val="true"/>
              </w:rPr>
              <w:t>مدارای مدبّرانه در برابر تحریكات منافقان</w:t>
            </w:r>
            <w:r>
              <w:rPr>
                <w:rStyle w:val="IndexLink"/>
                <w:rtl w:val="true"/>
              </w:rPr>
              <w:tab/>
            </w:r>
            <w:r>
              <w:rPr>
                <w:rStyle w:val="IndexLink"/>
              </w:rPr>
              <w:t>94</w:t>
            </w:r>
          </w:hyperlink>
        </w:p>
        <w:p>
          <w:pPr>
            <w:pStyle w:val="Contents4"/>
            <w:tabs>
              <w:tab w:val="clear" w:pos="8176"/>
              <w:tab w:val="right" w:pos="9026" w:leader="dot"/>
            </w:tabs>
            <w:rPr/>
          </w:pPr>
          <w:hyperlink w:anchor="__RefHeading___Toc14292518_1280447820">
            <w:r>
              <w:rPr>
                <w:webHidden/>
                <w:rStyle w:val="IndexLink"/>
              </w:rPr>
              <w:t>4.1.2</w:t>
            </w:r>
            <w:r>
              <w:rPr>
                <w:rStyle w:val="IndexLink"/>
                <w:rtl w:val="true"/>
              </w:rPr>
              <w:t xml:space="preserve">. </w:t>
            </w:r>
            <w:r>
              <w:rPr>
                <w:rStyle w:val="IndexLink"/>
                <w:rtl w:val="true"/>
              </w:rPr>
              <w:t>روشنگری در برابر شایعه پراكنی</w:t>
            </w:r>
            <w:r>
              <w:rPr>
                <w:rStyle w:val="IndexLink"/>
                <w:rtl w:val="true"/>
              </w:rPr>
              <w:tab/>
            </w:r>
            <w:r>
              <w:rPr>
                <w:rStyle w:val="IndexLink"/>
              </w:rPr>
              <w:t>95</w:t>
            </w:r>
          </w:hyperlink>
        </w:p>
        <w:p>
          <w:pPr>
            <w:pStyle w:val="Contents4"/>
            <w:tabs>
              <w:tab w:val="clear" w:pos="8176"/>
              <w:tab w:val="right" w:pos="9026" w:leader="dot"/>
            </w:tabs>
            <w:rPr/>
          </w:pPr>
          <w:hyperlink w:anchor="__RefHeading___Toc14292520_1280447820">
            <w:r>
              <w:rPr>
                <w:webHidden/>
                <w:rStyle w:val="IndexLink"/>
              </w:rPr>
              <w:t>4.1.3</w:t>
            </w:r>
            <w:r>
              <w:rPr>
                <w:rStyle w:val="IndexLink"/>
                <w:rtl w:val="true"/>
              </w:rPr>
              <w:t xml:space="preserve">. </w:t>
            </w:r>
            <w:r>
              <w:rPr>
                <w:rStyle w:val="IndexLink"/>
                <w:rtl w:val="true"/>
              </w:rPr>
              <w:t>منزوی كردن منافقان</w:t>
            </w:r>
            <w:r>
              <w:rPr>
                <w:rStyle w:val="IndexLink"/>
                <w:rtl w:val="true"/>
              </w:rPr>
              <w:tab/>
            </w:r>
            <w:r>
              <w:rPr>
                <w:rStyle w:val="IndexLink"/>
              </w:rPr>
              <w:t>96</w:t>
            </w:r>
          </w:hyperlink>
        </w:p>
        <w:p>
          <w:pPr>
            <w:pStyle w:val="Contents5"/>
            <w:tabs>
              <w:tab w:val="clear" w:pos="7892"/>
              <w:tab w:val="right" w:pos="9026" w:leader="dot"/>
            </w:tabs>
            <w:rPr/>
          </w:pPr>
          <w:hyperlink w:anchor="__RefHeading___Toc14292522_1280447820">
            <w:r>
              <w:rPr>
                <w:webHidden/>
                <w:rStyle w:val="IndexLink"/>
                <w:rtl w:val="true"/>
              </w:rPr>
              <w:t>اشاره</w:t>
            </w:r>
            <w:r>
              <w:rPr>
                <w:rStyle w:val="IndexLink"/>
                <w:rtl w:val="true"/>
              </w:rPr>
              <w:tab/>
            </w:r>
            <w:r>
              <w:rPr>
                <w:rStyle w:val="IndexLink"/>
              </w:rPr>
              <w:t>96</w:t>
            </w:r>
          </w:hyperlink>
        </w:p>
        <w:p>
          <w:pPr>
            <w:pStyle w:val="Contents5"/>
            <w:tabs>
              <w:tab w:val="clear" w:pos="7892"/>
              <w:tab w:val="right" w:pos="9026" w:leader="dot"/>
            </w:tabs>
            <w:rPr/>
          </w:pPr>
          <w:hyperlink w:anchor="__RefHeading___Toc14292524_1280447820">
            <w:r>
              <w:rPr>
                <w:webHidden/>
                <w:rStyle w:val="IndexLink"/>
                <w:rtl w:val="true"/>
              </w:rPr>
              <w:t>الف</w:t>
            </w:r>
            <w:r>
              <w:rPr>
                <w:rStyle w:val="IndexLink"/>
                <w:rtl w:val="true"/>
              </w:rPr>
              <w:t xml:space="preserve">. </w:t>
            </w:r>
            <w:r>
              <w:rPr>
                <w:rStyle w:val="IndexLink"/>
                <w:rtl w:val="true"/>
              </w:rPr>
              <w:t>معرفی هویّت منافقان</w:t>
            </w:r>
            <w:r>
              <w:rPr>
                <w:rStyle w:val="IndexLink"/>
                <w:rtl w:val="true"/>
              </w:rPr>
              <w:tab/>
            </w:r>
            <w:r>
              <w:rPr>
                <w:rStyle w:val="IndexLink"/>
              </w:rPr>
              <w:t>96</w:t>
            </w:r>
          </w:hyperlink>
        </w:p>
        <w:p>
          <w:pPr>
            <w:pStyle w:val="Contents5"/>
            <w:tabs>
              <w:tab w:val="clear" w:pos="7892"/>
              <w:tab w:val="right" w:pos="9026" w:leader="dot"/>
            </w:tabs>
            <w:rPr/>
          </w:pPr>
          <w:hyperlink w:anchor="__RefHeading___Toc14292526_1280447820">
            <w:r>
              <w:rPr>
                <w:webHidden/>
                <w:rStyle w:val="IndexLink"/>
                <w:rtl w:val="true"/>
              </w:rPr>
              <w:t>ب</w:t>
            </w:r>
            <w:r>
              <w:rPr>
                <w:rStyle w:val="IndexLink"/>
                <w:rtl w:val="true"/>
              </w:rPr>
              <w:t xml:space="preserve">. </w:t>
            </w:r>
            <w:r>
              <w:rPr>
                <w:rStyle w:val="IndexLink"/>
                <w:rtl w:val="true"/>
              </w:rPr>
              <w:t>لعن و بی‌اعتبارسازی</w:t>
            </w:r>
            <w:r>
              <w:rPr>
                <w:rStyle w:val="IndexLink"/>
                <w:rtl w:val="true"/>
              </w:rPr>
              <w:tab/>
            </w:r>
            <w:r>
              <w:rPr>
                <w:rStyle w:val="IndexLink"/>
              </w:rPr>
              <w:t>97</w:t>
            </w:r>
          </w:hyperlink>
        </w:p>
        <w:p>
          <w:pPr>
            <w:pStyle w:val="Contents5"/>
            <w:tabs>
              <w:tab w:val="clear" w:pos="7892"/>
              <w:tab w:val="right" w:pos="9026" w:leader="dot"/>
            </w:tabs>
            <w:rPr/>
          </w:pPr>
          <w:hyperlink w:anchor="__RefHeading___Toc14292528_1280447820">
            <w:r>
              <w:rPr>
                <w:webHidden/>
                <w:rStyle w:val="IndexLink"/>
                <w:rtl w:val="true"/>
              </w:rPr>
              <w:t>ج</w:t>
            </w:r>
            <w:r>
              <w:rPr>
                <w:rStyle w:val="IndexLink"/>
                <w:rtl w:val="true"/>
              </w:rPr>
              <w:t xml:space="preserve">. </w:t>
            </w:r>
            <w:r>
              <w:rPr>
                <w:rStyle w:val="IndexLink"/>
                <w:rtl w:val="true"/>
              </w:rPr>
              <w:t>تحقیر و بی اعتنایی</w:t>
            </w:r>
            <w:r>
              <w:rPr>
                <w:rStyle w:val="IndexLink"/>
                <w:rtl w:val="true"/>
              </w:rPr>
              <w:tab/>
            </w:r>
            <w:r>
              <w:rPr>
                <w:rStyle w:val="IndexLink"/>
              </w:rPr>
              <w:t>97</w:t>
            </w:r>
          </w:hyperlink>
        </w:p>
        <w:p>
          <w:pPr>
            <w:pStyle w:val="Contents5"/>
            <w:tabs>
              <w:tab w:val="clear" w:pos="7892"/>
              <w:tab w:val="right" w:pos="9026" w:leader="dot"/>
            </w:tabs>
            <w:rPr/>
          </w:pPr>
          <w:hyperlink w:anchor="__RefHeading___Toc14292530_1280447820">
            <w:r>
              <w:rPr>
                <w:webHidden/>
                <w:rStyle w:val="IndexLink"/>
                <w:rtl w:val="true"/>
              </w:rPr>
              <w:t>د</w:t>
            </w:r>
            <w:r>
              <w:rPr>
                <w:rStyle w:val="IndexLink"/>
                <w:rtl w:val="true"/>
              </w:rPr>
              <w:t xml:space="preserve">. </w:t>
            </w:r>
            <w:r>
              <w:rPr>
                <w:rStyle w:val="IndexLink"/>
                <w:rtl w:val="true"/>
              </w:rPr>
              <w:t>محرومیت ازپستهای حسّاس</w:t>
            </w:r>
            <w:r>
              <w:rPr>
                <w:rStyle w:val="IndexLink"/>
                <w:rtl w:val="true"/>
              </w:rPr>
              <w:tab/>
            </w:r>
            <w:r>
              <w:rPr>
                <w:rStyle w:val="IndexLink"/>
              </w:rPr>
              <w:t>97</w:t>
            </w:r>
          </w:hyperlink>
        </w:p>
        <w:p>
          <w:pPr>
            <w:pStyle w:val="Contents4"/>
            <w:tabs>
              <w:tab w:val="clear" w:pos="8176"/>
              <w:tab w:val="right" w:pos="9026" w:leader="dot"/>
            </w:tabs>
            <w:rPr/>
          </w:pPr>
          <w:hyperlink w:anchor="__RefHeading___Toc14292532_1280447820">
            <w:r>
              <w:rPr>
                <w:webHidden/>
                <w:rStyle w:val="IndexLink"/>
              </w:rPr>
              <w:t>4.1.4</w:t>
            </w:r>
            <w:r>
              <w:rPr>
                <w:rStyle w:val="IndexLink"/>
                <w:rtl w:val="true"/>
              </w:rPr>
              <w:t xml:space="preserve">. </w:t>
            </w:r>
            <w:r>
              <w:rPr>
                <w:rStyle w:val="IndexLink"/>
                <w:rtl w:val="true"/>
              </w:rPr>
              <w:t>اعمال خشونت</w:t>
            </w:r>
            <w:r>
              <w:rPr>
                <w:rStyle w:val="IndexLink"/>
                <w:rtl w:val="true"/>
              </w:rPr>
              <w:tab/>
            </w:r>
            <w:r>
              <w:rPr>
                <w:rStyle w:val="IndexLink"/>
              </w:rPr>
              <w:t>98</w:t>
            </w:r>
          </w:hyperlink>
        </w:p>
        <w:p>
          <w:pPr>
            <w:pStyle w:val="Contents3"/>
            <w:tabs>
              <w:tab w:val="clear" w:pos="8459"/>
              <w:tab w:val="right" w:pos="9026" w:leader="dot"/>
            </w:tabs>
            <w:rPr/>
          </w:pPr>
          <w:hyperlink w:anchor="__RefHeading___Toc14292534_1280447820">
            <w:r>
              <w:rPr>
                <w:webHidden/>
                <w:rStyle w:val="IndexLink"/>
              </w:rPr>
              <w:t>4.2</w:t>
            </w:r>
            <w:r>
              <w:rPr>
                <w:rStyle w:val="IndexLink"/>
                <w:rtl w:val="true"/>
              </w:rPr>
              <w:t xml:space="preserve">. </w:t>
            </w:r>
            <w:r>
              <w:rPr>
                <w:rStyle w:val="IndexLink"/>
                <w:rtl w:val="true"/>
              </w:rPr>
              <w:t xml:space="preserve">برخورد با معارضان در سیره امیرالمومنین </w:t>
            </w:r>
            <w:r>
              <w:rPr>
                <w:rStyle w:val="IndexLink"/>
                <w:rtl w:val="true"/>
              </w:rPr>
              <w:t>(</w:t>
            </w:r>
            <w:r>
              <w:rPr>
                <w:rStyle w:val="IndexLink"/>
                <w:rtl w:val="true"/>
              </w:rPr>
              <w:t>علیه السلام</w:t>
            </w:r>
            <w:r>
              <w:rPr>
                <w:rStyle w:val="IndexLink"/>
                <w:rtl w:val="true"/>
              </w:rPr>
              <w:t>)</w:t>
              <w:tab/>
            </w:r>
            <w:r>
              <w:rPr>
                <w:rStyle w:val="IndexLink"/>
              </w:rPr>
              <w:t>99</w:t>
            </w:r>
          </w:hyperlink>
        </w:p>
        <w:p>
          <w:pPr>
            <w:pStyle w:val="Contents4"/>
            <w:tabs>
              <w:tab w:val="clear" w:pos="8176"/>
              <w:tab w:val="right" w:pos="9026" w:leader="dot"/>
            </w:tabs>
            <w:rPr/>
          </w:pPr>
          <w:hyperlink w:anchor="__RefHeading___Toc14292536_1280447820">
            <w:r>
              <w:rPr>
                <w:webHidden/>
                <w:rStyle w:val="IndexLink"/>
                <w:rtl w:val="true"/>
              </w:rPr>
              <w:t>اشاره</w:t>
            </w:r>
            <w:r>
              <w:rPr>
                <w:rStyle w:val="IndexLink"/>
                <w:rtl w:val="true"/>
              </w:rPr>
              <w:tab/>
            </w:r>
            <w:r>
              <w:rPr>
                <w:rStyle w:val="IndexLink"/>
              </w:rPr>
              <w:t>99</w:t>
            </w:r>
          </w:hyperlink>
        </w:p>
        <w:p>
          <w:pPr>
            <w:pStyle w:val="Contents4"/>
            <w:tabs>
              <w:tab w:val="clear" w:pos="8176"/>
              <w:tab w:val="right" w:pos="9026" w:leader="dot"/>
            </w:tabs>
            <w:rPr/>
          </w:pPr>
          <w:hyperlink w:anchor="__RefHeading___Toc14292538_1280447820">
            <w:r>
              <w:rPr>
                <w:webHidden/>
                <w:rStyle w:val="IndexLink"/>
                <w:rtl w:val="true"/>
              </w:rPr>
              <w:t>مقابله با معاندان برانداز</w:t>
            </w:r>
            <w:r>
              <w:rPr>
                <w:rStyle w:val="IndexLink"/>
                <w:rtl w:val="true"/>
              </w:rPr>
              <w:tab/>
            </w:r>
            <w:r>
              <w:rPr>
                <w:rStyle w:val="IndexLink"/>
              </w:rPr>
              <w:t>100</w:t>
            </w:r>
          </w:hyperlink>
        </w:p>
        <w:p>
          <w:pPr>
            <w:pStyle w:val="Contents4"/>
            <w:tabs>
              <w:tab w:val="clear" w:pos="8176"/>
              <w:tab w:val="right" w:pos="9026" w:leader="dot"/>
            </w:tabs>
            <w:rPr/>
          </w:pPr>
          <w:hyperlink w:anchor="__RefHeading___Toc14292540_1280447820">
            <w:r>
              <w:rPr>
                <w:webHidden/>
                <w:rStyle w:val="IndexLink"/>
                <w:rtl w:val="true"/>
              </w:rPr>
              <w:t>مواجه با جاهلان برانداز</w:t>
            </w:r>
            <w:r>
              <w:rPr>
                <w:rStyle w:val="IndexLink"/>
                <w:rtl w:val="true"/>
              </w:rPr>
              <w:tab/>
            </w:r>
            <w:r>
              <w:rPr>
                <w:rStyle w:val="IndexLink"/>
              </w:rPr>
              <w:t>102</w:t>
            </w:r>
          </w:hyperlink>
        </w:p>
        <w:p>
          <w:pPr>
            <w:pStyle w:val="Contents4"/>
            <w:tabs>
              <w:tab w:val="clear" w:pos="8176"/>
              <w:tab w:val="right" w:pos="9026" w:leader="dot"/>
            </w:tabs>
            <w:rPr/>
          </w:pPr>
          <w:hyperlink w:anchor="__RefHeading___Toc14292542_1280447820">
            <w:r>
              <w:rPr>
                <w:webHidden/>
                <w:rStyle w:val="IndexLink"/>
                <w:rtl w:val="true"/>
              </w:rPr>
              <w:t xml:space="preserve">سیره امام علی </w:t>
            </w:r>
            <w:r>
              <w:rPr>
                <w:rStyle w:val="IndexLink"/>
                <w:rtl w:val="true"/>
              </w:rPr>
              <w:t>(</w:t>
            </w:r>
            <w:r>
              <w:rPr>
                <w:rStyle w:val="IndexLink"/>
                <w:rtl w:val="true"/>
              </w:rPr>
              <w:t>علیه السلام</w:t>
            </w:r>
            <w:r>
              <w:rPr>
                <w:rStyle w:val="IndexLink"/>
                <w:rtl w:val="true"/>
              </w:rPr>
              <w:t xml:space="preserve">) </w:t>
            </w:r>
            <w:r>
              <w:rPr>
                <w:rStyle w:val="IndexLink"/>
                <w:rtl w:val="true"/>
              </w:rPr>
              <w:t>در مواجهه با خوارج</w:t>
            </w:r>
            <w:r>
              <w:rPr>
                <w:rStyle w:val="IndexLink"/>
                <w:rtl w:val="true"/>
              </w:rPr>
              <w:tab/>
            </w:r>
            <w:r>
              <w:rPr>
                <w:rStyle w:val="IndexLink"/>
              </w:rPr>
              <w:t>102</w:t>
            </w:r>
          </w:hyperlink>
        </w:p>
        <w:p>
          <w:pPr>
            <w:pStyle w:val="Contents4"/>
            <w:tabs>
              <w:tab w:val="clear" w:pos="8176"/>
              <w:tab w:val="right" w:pos="9026" w:leader="dot"/>
            </w:tabs>
            <w:rPr/>
          </w:pPr>
          <w:hyperlink w:anchor="__RefHeading___Toc14292544_1280447820">
            <w:r>
              <w:rPr>
                <w:webHidden/>
                <w:rStyle w:val="IndexLink"/>
                <w:rtl w:val="true"/>
              </w:rPr>
              <w:t>مواجه با منافقان ساکت</w:t>
            </w:r>
            <w:r>
              <w:rPr>
                <w:rStyle w:val="IndexLink"/>
                <w:rtl w:val="true"/>
              </w:rPr>
              <w:tab/>
            </w:r>
            <w:r>
              <w:rPr>
                <w:rStyle w:val="IndexLink"/>
              </w:rPr>
              <w:t>103</w:t>
            </w:r>
          </w:hyperlink>
        </w:p>
        <w:p>
          <w:pPr>
            <w:pStyle w:val="Contents4"/>
            <w:tabs>
              <w:tab w:val="clear" w:pos="8176"/>
              <w:tab w:val="right" w:pos="9026" w:leader="dot"/>
            </w:tabs>
            <w:rPr/>
          </w:pPr>
          <w:hyperlink w:anchor="__RefHeading___Toc14292546_1280447820">
            <w:r>
              <w:rPr>
                <w:webHidden/>
                <w:rStyle w:val="IndexLink"/>
                <w:rtl w:val="true"/>
              </w:rPr>
              <w:t>مصادیق برجسته منافقان ساکت</w:t>
            </w:r>
            <w:r>
              <w:rPr>
                <w:rStyle w:val="IndexLink"/>
                <w:rtl w:val="true"/>
              </w:rPr>
              <w:tab/>
            </w:r>
            <w:r>
              <w:rPr>
                <w:rStyle w:val="IndexLink"/>
              </w:rPr>
              <w:t>104</w:t>
            </w:r>
          </w:hyperlink>
        </w:p>
        <w:p>
          <w:pPr>
            <w:pStyle w:val="Contents2"/>
            <w:tabs>
              <w:tab w:val="clear" w:pos="8743"/>
              <w:tab w:val="right" w:pos="9026" w:leader="dot"/>
            </w:tabs>
            <w:rPr/>
          </w:pPr>
          <w:hyperlink w:anchor="__RefHeading___Toc14292548_1280447820">
            <w:r>
              <w:rPr>
                <w:webHidden/>
                <w:rStyle w:val="IndexLink"/>
                <w:rtl w:val="true"/>
              </w:rPr>
              <w:t>فصل پنجم</w:t>
            </w:r>
            <w:r>
              <w:rPr>
                <w:rStyle w:val="IndexLink"/>
                <w:rtl w:val="true"/>
              </w:rPr>
              <w:t xml:space="preserve">: </w:t>
            </w:r>
            <w:r>
              <w:rPr>
                <w:rStyle w:val="IndexLink"/>
                <w:rtl w:val="true"/>
              </w:rPr>
              <w:t xml:space="preserve">عدالت اقتصادی در سیره پیامبر </w:t>
            </w:r>
            <w:r>
              <w:rPr>
                <w:rStyle w:val="IndexLink"/>
                <w:rtl w:val="true"/>
              </w:rPr>
              <w:t>(</w:t>
            </w:r>
            <w:r>
              <w:rPr>
                <w:rStyle w:val="IndexLink"/>
                <w:rtl w:val="true"/>
              </w:rPr>
              <w:t>صلی الله علیه و آله</w:t>
            </w:r>
            <w:r>
              <w:rPr>
                <w:rStyle w:val="IndexLink"/>
                <w:rtl w:val="true"/>
              </w:rPr>
              <w:t xml:space="preserve">) </w:t>
            </w:r>
            <w:r>
              <w:rPr>
                <w:rStyle w:val="IndexLink"/>
                <w:rtl w:val="true"/>
              </w:rPr>
              <w:t xml:space="preserve">و امام علی </w:t>
            </w:r>
            <w:r>
              <w:rPr>
                <w:rStyle w:val="IndexLink"/>
                <w:rtl w:val="true"/>
              </w:rPr>
              <w:t>(</w:t>
            </w:r>
            <w:r>
              <w:rPr>
                <w:rStyle w:val="IndexLink"/>
                <w:rtl w:val="true"/>
              </w:rPr>
              <w:t>علیه السلام</w:t>
            </w:r>
            <w:r>
              <w:rPr>
                <w:rStyle w:val="IndexLink"/>
                <w:rtl w:val="true"/>
              </w:rPr>
              <w:t>)</w:t>
              <w:tab/>
            </w:r>
            <w:r>
              <w:rPr>
                <w:rStyle w:val="IndexLink"/>
              </w:rPr>
              <w:t>108</w:t>
            </w:r>
          </w:hyperlink>
        </w:p>
        <w:p>
          <w:pPr>
            <w:pStyle w:val="Contents3"/>
            <w:tabs>
              <w:tab w:val="clear" w:pos="8459"/>
              <w:tab w:val="right" w:pos="9026" w:leader="dot"/>
            </w:tabs>
            <w:rPr/>
          </w:pPr>
          <w:hyperlink w:anchor="__RefHeading___Toc14292550_1280447820">
            <w:r>
              <w:rPr>
                <w:webHidden/>
                <w:rStyle w:val="IndexLink"/>
                <w:rtl w:val="true"/>
              </w:rPr>
              <w:t>اشاره</w:t>
            </w:r>
            <w:r>
              <w:rPr>
                <w:rStyle w:val="IndexLink"/>
                <w:rtl w:val="true"/>
              </w:rPr>
              <w:tab/>
            </w:r>
            <w:r>
              <w:rPr>
                <w:rStyle w:val="IndexLink"/>
              </w:rPr>
              <w:t>108</w:t>
            </w:r>
          </w:hyperlink>
        </w:p>
        <w:p>
          <w:pPr>
            <w:pStyle w:val="Contents3"/>
            <w:tabs>
              <w:tab w:val="clear" w:pos="8459"/>
              <w:tab w:val="right" w:pos="9026" w:leader="dot"/>
            </w:tabs>
            <w:rPr/>
          </w:pPr>
          <w:hyperlink w:anchor="__RefHeading___Toc14292552_1280447820">
            <w:r>
              <w:rPr>
                <w:webHidden/>
                <w:rStyle w:val="IndexLink"/>
                <w:rtl w:val="true"/>
              </w:rPr>
              <w:t>مقدمه</w:t>
            </w:r>
            <w:r>
              <w:rPr>
                <w:rStyle w:val="IndexLink"/>
                <w:rtl w:val="true"/>
              </w:rPr>
              <w:t>:</w:t>
              <w:tab/>
            </w:r>
            <w:r>
              <w:rPr>
                <w:rStyle w:val="IndexLink"/>
              </w:rPr>
              <w:t>109</w:t>
            </w:r>
          </w:hyperlink>
        </w:p>
        <w:p>
          <w:pPr>
            <w:pStyle w:val="Contents3"/>
            <w:tabs>
              <w:tab w:val="clear" w:pos="8459"/>
              <w:tab w:val="right" w:pos="9026" w:leader="dot"/>
            </w:tabs>
            <w:rPr/>
          </w:pPr>
          <w:hyperlink w:anchor="__RefHeading___Toc14292554_1280447820">
            <w:r>
              <w:rPr>
                <w:webHidden/>
                <w:rStyle w:val="IndexLink"/>
              </w:rPr>
              <w:t>5.1</w:t>
            </w:r>
            <w:r>
              <w:rPr>
                <w:rStyle w:val="IndexLink"/>
                <w:rtl w:val="true"/>
              </w:rPr>
              <w:t>.</w:t>
            </w:r>
            <w:r>
              <w:rPr>
                <w:rStyle w:val="IndexLink"/>
                <w:rtl w:val="true"/>
              </w:rPr>
              <w:t xml:space="preserve">اقتصاد مقاومتی در سیره پیامبر </w:t>
            </w:r>
            <w:r>
              <w:rPr>
                <w:rStyle w:val="IndexLink"/>
                <w:rtl w:val="true"/>
              </w:rPr>
              <w:t>(</w:t>
            </w:r>
            <w:r>
              <w:rPr>
                <w:rStyle w:val="IndexLink"/>
                <w:rtl w:val="true"/>
              </w:rPr>
              <w:t>صلی الله علیه وآله</w:t>
            </w:r>
            <w:r>
              <w:rPr>
                <w:rStyle w:val="IndexLink"/>
                <w:rtl w:val="true"/>
              </w:rPr>
              <w:t>)</w:t>
              <w:tab/>
            </w:r>
            <w:r>
              <w:rPr>
                <w:rStyle w:val="IndexLink"/>
              </w:rPr>
              <w:t>110</w:t>
            </w:r>
          </w:hyperlink>
        </w:p>
        <w:p>
          <w:pPr>
            <w:pStyle w:val="Contents3"/>
            <w:tabs>
              <w:tab w:val="clear" w:pos="8459"/>
              <w:tab w:val="right" w:pos="9026" w:leader="dot"/>
            </w:tabs>
            <w:rPr/>
          </w:pPr>
          <w:hyperlink w:anchor="__RefHeading___Toc14292556_1280447820">
            <w:r>
              <w:rPr>
                <w:webHidden/>
                <w:rStyle w:val="IndexLink"/>
              </w:rPr>
              <w:t>5.2</w:t>
            </w:r>
            <w:r>
              <w:rPr>
                <w:rStyle w:val="IndexLink"/>
                <w:rtl w:val="true"/>
              </w:rPr>
              <w:t xml:space="preserve">. </w:t>
            </w:r>
            <w:r>
              <w:rPr>
                <w:rStyle w:val="IndexLink"/>
                <w:rtl w:val="true"/>
              </w:rPr>
              <w:t>منابع درآمد حکومت نبوی و علوی</w:t>
            </w:r>
            <w:r>
              <w:rPr>
                <w:rStyle w:val="IndexLink"/>
                <w:rtl w:val="true"/>
              </w:rPr>
              <w:tab/>
            </w:r>
            <w:r>
              <w:rPr>
                <w:rStyle w:val="IndexLink"/>
              </w:rPr>
              <w:t>111</w:t>
            </w:r>
          </w:hyperlink>
        </w:p>
        <w:p>
          <w:pPr>
            <w:pStyle w:val="Contents4"/>
            <w:tabs>
              <w:tab w:val="clear" w:pos="8176"/>
              <w:tab w:val="right" w:pos="9026" w:leader="dot"/>
            </w:tabs>
            <w:rPr/>
          </w:pPr>
          <w:hyperlink w:anchor="__RefHeading___Toc14292558_1280447820">
            <w:r>
              <w:rPr>
                <w:webHidden/>
                <w:rStyle w:val="IndexLink"/>
                <w:rtl w:val="true"/>
              </w:rPr>
              <w:t>اشاره</w:t>
            </w:r>
            <w:r>
              <w:rPr>
                <w:rStyle w:val="IndexLink"/>
                <w:rtl w:val="true"/>
              </w:rPr>
              <w:tab/>
            </w:r>
            <w:r>
              <w:rPr>
                <w:rStyle w:val="IndexLink"/>
              </w:rPr>
              <w:t>111</w:t>
            </w:r>
          </w:hyperlink>
        </w:p>
        <w:p>
          <w:pPr>
            <w:pStyle w:val="Contents4"/>
            <w:tabs>
              <w:tab w:val="clear" w:pos="8176"/>
              <w:tab w:val="right" w:pos="9026" w:leader="dot"/>
            </w:tabs>
            <w:rPr/>
          </w:pPr>
          <w:hyperlink w:anchor="__RefHeading___Toc14292560_1280447820">
            <w:r>
              <w:rPr>
                <w:webHidden/>
                <w:rStyle w:val="IndexLink"/>
              </w:rPr>
              <w:t>5.2.1</w:t>
            </w:r>
            <w:r>
              <w:rPr>
                <w:rStyle w:val="IndexLink"/>
                <w:rtl w:val="true"/>
              </w:rPr>
              <w:t xml:space="preserve">. </w:t>
            </w:r>
            <w:r>
              <w:rPr>
                <w:rStyle w:val="IndexLink"/>
                <w:rtl w:val="true"/>
              </w:rPr>
              <w:t>زکات</w:t>
            </w:r>
            <w:r>
              <w:rPr>
                <w:rStyle w:val="IndexLink"/>
                <w:rtl w:val="true"/>
              </w:rPr>
              <w:t>:</w:t>
              <w:tab/>
            </w:r>
            <w:r>
              <w:rPr>
                <w:rStyle w:val="IndexLink"/>
              </w:rPr>
              <w:t>111</w:t>
            </w:r>
          </w:hyperlink>
        </w:p>
        <w:p>
          <w:pPr>
            <w:pStyle w:val="Contents5"/>
            <w:tabs>
              <w:tab w:val="clear" w:pos="7892"/>
              <w:tab w:val="right" w:pos="9026" w:leader="dot"/>
            </w:tabs>
            <w:rPr/>
          </w:pPr>
          <w:hyperlink w:anchor="__RefHeading___Toc14292562_1280447820">
            <w:r>
              <w:rPr>
                <w:webHidden/>
                <w:rStyle w:val="IndexLink"/>
                <w:rtl w:val="true"/>
              </w:rPr>
              <w:t>اشاره</w:t>
            </w:r>
            <w:r>
              <w:rPr>
                <w:rStyle w:val="IndexLink"/>
                <w:rtl w:val="true"/>
              </w:rPr>
              <w:tab/>
            </w:r>
            <w:r>
              <w:rPr>
                <w:rStyle w:val="IndexLink"/>
              </w:rPr>
              <w:t>111</w:t>
            </w:r>
          </w:hyperlink>
        </w:p>
        <w:p>
          <w:pPr>
            <w:pStyle w:val="Contents5"/>
            <w:tabs>
              <w:tab w:val="clear" w:pos="7892"/>
              <w:tab w:val="right" w:pos="9026" w:leader="dot"/>
            </w:tabs>
            <w:rPr/>
          </w:pPr>
          <w:hyperlink w:anchor="__RefHeading___Toc14292564_1280447820">
            <w:r>
              <w:rPr>
                <w:webHidden/>
                <w:rStyle w:val="IndexLink"/>
                <w:rtl w:val="true"/>
              </w:rPr>
              <w:t>الف</w:t>
            </w:r>
            <w:r>
              <w:rPr>
                <w:rStyle w:val="IndexLink"/>
                <w:rtl w:val="true"/>
              </w:rPr>
              <w:t xml:space="preserve">. </w:t>
            </w:r>
            <w:r>
              <w:rPr>
                <w:rStyle w:val="IndexLink"/>
                <w:rtl w:val="true"/>
              </w:rPr>
              <w:t xml:space="preserve">زکات ابدان </w:t>
            </w:r>
            <w:r>
              <w:rPr>
                <w:rStyle w:val="IndexLink"/>
                <w:rtl w:val="true"/>
              </w:rPr>
              <w:t>(</w:t>
            </w:r>
            <w:r>
              <w:rPr>
                <w:rStyle w:val="IndexLink"/>
                <w:rtl w:val="true"/>
              </w:rPr>
              <w:t>فطره</w:t>
            </w:r>
            <w:r>
              <w:rPr>
                <w:rStyle w:val="IndexLink"/>
                <w:rtl w:val="true"/>
              </w:rPr>
              <w:t>)</w:t>
              <w:tab/>
            </w:r>
            <w:r>
              <w:rPr>
                <w:rStyle w:val="IndexLink"/>
              </w:rPr>
              <w:t>111</w:t>
            </w:r>
          </w:hyperlink>
        </w:p>
        <w:p>
          <w:pPr>
            <w:pStyle w:val="Contents5"/>
            <w:tabs>
              <w:tab w:val="clear" w:pos="7892"/>
              <w:tab w:val="right" w:pos="9026" w:leader="dot"/>
            </w:tabs>
            <w:rPr/>
          </w:pPr>
          <w:hyperlink w:anchor="__RefHeading___Toc14292566_1280447820">
            <w:r>
              <w:rPr>
                <w:webHidden/>
                <w:rStyle w:val="IndexLink"/>
                <w:rtl w:val="true"/>
              </w:rPr>
              <w:t>ب</w:t>
            </w:r>
            <w:r>
              <w:rPr>
                <w:rStyle w:val="IndexLink"/>
                <w:rtl w:val="true"/>
              </w:rPr>
              <w:t xml:space="preserve">. </w:t>
            </w:r>
            <w:r>
              <w:rPr>
                <w:rStyle w:val="IndexLink"/>
                <w:rtl w:val="true"/>
              </w:rPr>
              <w:t>زکات اموال</w:t>
            </w:r>
            <w:r>
              <w:rPr>
                <w:rStyle w:val="IndexLink"/>
                <w:rtl w:val="true"/>
              </w:rPr>
              <w:tab/>
            </w:r>
            <w:r>
              <w:rPr>
                <w:rStyle w:val="IndexLink"/>
              </w:rPr>
              <w:t>111</w:t>
            </w:r>
          </w:hyperlink>
        </w:p>
        <w:p>
          <w:pPr>
            <w:pStyle w:val="Contents4"/>
            <w:tabs>
              <w:tab w:val="clear" w:pos="8176"/>
              <w:tab w:val="right" w:pos="9026" w:leader="dot"/>
            </w:tabs>
            <w:rPr/>
          </w:pPr>
          <w:hyperlink w:anchor="__RefHeading___Toc14292568_1280447820">
            <w:r>
              <w:rPr>
                <w:webHidden/>
                <w:rStyle w:val="IndexLink"/>
              </w:rPr>
              <w:t>5.2.2</w:t>
            </w:r>
            <w:r>
              <w:rPr>
                <w:rStyle w:val="IndexLink"/>
                <w:rtl w:val="true"/>
              </w:rPr>
              <w:t xml:space="preserve"> </w:t>
            </w:r>
            <w:r>
              <w:rPr>
                <w:rStyle w:val="IndexLink"/>
                <w:rtl w:val="true"/>
              </w:rPr>
              <w:t>خمس</w:t>
            </w:r>
            <w:r>
              <w:rPr>
                <w:rStyle w:val="IndexLink"/>
                <w:rtl w:val="true"/>
              </w:rPr>
              <w:t>:</w:t>
              <w:tab/>
            </w:r>
            <w:r>
              <w:rPr>
                <w:rStyle w:val="IndexLink"/>
              </w:rPr>
              <w:t>113</w:t>
            </w:r>
          </w:hyperlink>
        </w:p>
        <w:p>
          <w:pPr>
            <w:pStyle w:val="Contents4"/>
            <w:tabs>
              <w:tab w:val="clear" w:pos="8176"/>
              <w:tab w:val="right" w:pos="9026" w:leader="dot"/>
            </w:tabs>
            <w:rPr/>
          </w:pPr>
          <w:hyperlink w:anchor="__RefHeading___Toc14292570_1280447820">
            <w:r>
              <w:rPr>
                <w:webHidden/>
                <w:rStyle w:val="IndexLink"/>
              </w:rPr>
              <w:t>5.2.3</w:t>
            </w:r>
            <w:r>
              <w:rPr>
                <w:rStyle w:val="IndexLink"/>
                <w:rtl w:val="true"/>
              </w:rPr>
              <w:t>.</w:t>
            </w:r>
            <w:r>
              <w:rPr>
                <w:rStyle w:val="IndexLink"/>
                <w:rtl w:val="true"/>
              </w:rPr>
              <w:t>خراج</w:t>
            </w:r>
            <w:r>
              <w:rPr>
                <w:rStyle w:val="IndexLink"/>
                <w:rtl w:val="true"/>
              </w:rPr>
              <w:t>:</w:t>
              <w:tab/>
            </w:r>
            <w:r>
              <w:rPr>
                <w:rStyle w:val="IndexLink"/>
              </w:rPr>
              <w:t>114</w:t>
            </w:r>
          </w:hyperlink>
        </w:p>
        <w:p>
          <w:pPr>
            <w:pStyle w:val="Contents4"/>
            <w:tabs>
              <w:tab w:val="clear" w:pos="8176"/>
              <w:tab w:val="right" w:pos="9026" w:leader="dot"/>
            </w:tabs>
            <w:rPr/>
          </w:pPr>
          <w:hyperlink w:anchor="__RefHeading___Toc14292572_1280447820">
            <w:r>
              <w:rPr>
                <w:webHidden/>
                <w:rStyle w:val="IndexLink"/>
              </w:rPr>
              <w:t>5.2.4</w:t>
            </w:r>
            <w:r>
              <w:rPr>
                <w:rStyle w:val="IndexLink"/>
                <w:rtl w:val="true"/>
              </w:rPr>
              <w:t xml:space="preserve">. </w:t>
            </w:r>
            <w:r>
              <w:rPr>
                <w:rStyle w:val="IndexLink"/>
                <w:rtl w:val="true"/>
              </w:rPr>
              <w:t>جزیه</w:t>
            </w:r>
            <w:r>
              <w:rPr>
                <w:rStyle w:val="IndexLink"/>
                <w:rtl w:val="true"/>
              </w:rPr>
              <w:t>:</w:t>
              <w:tab/>
            </w:r>
            <w:r>
              <w:rPr>
                <w:rStyle w:val="IndexLink"/>
              </w:rPr>
              <w:t>115</w:t>
            </w:r>
          </w:hyperlink>
        </w:p>
        <w:p>
          <w:pPr>
            <w:pStyle w:val="Contents4"/>
            <w:tabs>
              <w:tab w:val="clear" w:pos="8176"/>
              <w:tab w:val="right" w:pos="9026" w:leader="dot"/>
            </w:tabs>
            <w:rPr/>
          </w:pPr>
          <w:hyperlink w:anchor="__RefHeading___Toc14292574_1280447820">
            <w:r>
              <w:rPr>
                <w:webHidden/>
                <w:rStyle w:val="IndexLink"/>
              </w:rPr>
              <w:t>5.2.5</w:t>
            </w:r>
            <w:r>
              <w:rPr>
                <w:rStyle w:val="IndexLink"/>
                <w:rtl w:val="true"/>
              </w:rPr>
              <w:t>.</w:t>
            </w:r>
            <w:r>
              <w:rPr>
                <w:rStyle w:val="IndexLink"/>
                <w:rtl w:val="true"/>
              </w:rPr>
              <w:t>فئ</w:t>
            </w:r>
            <w:r>
              <w:rPr>
                <w:rStyle w:val="IndexLink"/>
                <w:rtl w:val="true"/>
              </w:rPr>
              <w:t>:</w:t>
              <w:tab/>
            </w:r>
            <w:r>
              <w:rPr>
                <w:rStyle w:val="IndexLink"/>
              </w:rPr>
              <w:t>116</w:t>
            </w:r>
          </w:hyperlink>
        </w:p>
        <w:p>
          <w:pPr>
            <w:pStyle w:val="Contents4"/>
            <w:tabs>
              <w:tab w:val="clear" w:pos="8176"/>
              <w:tab w:val="right" w:pos="9026" w:leader="dot"/>
            </w:tabs>
            <w:rPr/>
          </w:pPr>
          <w:hyperlink w:anchor="__RefHeading___Toc14292576_1280447820">
            <w:r>
              <w:rPr>
                <w:webHidden/>
                <w:rStyle w:val="IndexLink"/>
              </w:rPr>
              <w:t>5.2.6</w:t>
            </w:r>
            <w:r>
              <w:rPr>
                <w:rStyle w:val="IndexLink"/>
                <w:rtl w:val="true"/>
              </w:rPr>
              <w:t xml:space="preserve">. </w:t>
            </w:r>
            <w:r>
              <w:rPr>
                <w:rStyle w:val="IndexLink"/>
                <w:rtl w:val="true"/>
              </w:rPr>
              <w:t>انفال</w:t>
            </w:r>
            <w:r>
              <w:rPr>
                <w:rStyle w:val="IndexLink"/>
                <w:rtl w:val="true"/>
              </w:rPr>
              <w:t>:</w:t>
              <w:tab/>
            </w:r>
            <w:r>
              <w:rPr>
                <w:rStyle w:val="IndexLink"/>
              </w:rPr>
              <w:t>117</w:t>
            </w:r>
          </w:hyperlink>
        </w:p>
        <w:p>
          <w:pPr>
            <w:pStyle w:val="Contents3"/>
            <w:tabs>
              <w:tab w:val="clear" w:pos="8459"/>
              <w:tab w:val="right" w:pos="9026" w:leader="dot"/>
            </w:tabs>
            <w:rPr/>
          </w:pPr>
          <w:hyperlink w:anchor="__RefHeading___Toc14292578_1280447820">
            <w:r>
              <w:rPr>
                <w:webHidden/>
                <w:rStyle w:val="IndexLink"/>
              </w:rPr>
              <w:t>5.2</w:t>
            </w:r>
            <w:r>
              <w:rPr>
                <w:rStyle w:val="IndexLink"/>
                <w:rtl w:val="true"/>
              </w:rPr>
              <w:t xml:space="preserve">. </w:t>
            </w:r>
            <w:r>
              <w:rPr>
                <w:rStyle w:val="IndexLink"/>
                <w:rtl w:val="true"/>
              </w:rPr>
              <w:t xml:space="preserve">روش توزیع بیت‌المال در سیره پیامبر </w:t>
            </w:r>
            <w:r>
              <w:rPr>
                <w:rStyle w:val="IndexLink"/>
                <w:rtl w:val="true"/>
              </w:rPr>
              <w:t>(</w:t>
            </w:r>
            <w:r>
              <w:rPr>
                <w:rStyle w:val="IndexLink"/>
                <w:rtl w:val="true"/>
              </w:rPr>
              <w:t>صلی الله علیه وآله</w:t>
            </w:r>
            <w:r>
              <w:rPr>
                <w:rStyle w:val="IndexLink"/>
                <w:rtl w:val="true"/>
              </w:rPr>
              <w:t xml:space="preserve">) </w:t>
            </w:r>
            <w:r>
              <w:rPr>
                <w:rStyle w:val="IndexLink"/>
                <w:rtl w:val="true"/>
              </w:rPr>
              <w:t xml:space="preserve">و امام علی </w:t>
            </w:r>
            <w:r>
              <w:rPr>
                <w:rStyle w:val="IndexLink"/>
                <w:rtl w:val="true"/>
              </w:rPr>
              <w:t>(</w:t>
            </w:r>
            <w:r>
              <w:rPr>
                <w:rStyle w:val="IndexLink"/>
                <w:rtl w:val="true"/>
              </w:rPr>
              <w:t>علیه السلام</w:t>
            </w:r>
            <w:r>
              <w:rPr>
                <w:rStyle w:val="IndexLink"/>
                <w:rtl w:val="true"/>
              </w:rPr>
              <w:t>)</w:t>
              <w:tab/>
            </w:r>
            <w:r>
              <w:rPr>
                <w:rStyle w:val="IndexLink"/>
              </w:rPr>
              <w:t>118</w:t>
            </w:r>
          </w:hyperlink>
        </w:p>
        <w:p>
          <w:pPr>
            <w:pStyle w:val="Contents4"/>
            <w:tabs>
              <w:tab w:val="clear" w:pos="8176"/>
              <w:tab w:val="right" w:pos="9026" w:leader="dot"/>
            </w:tabs>
            <w:rPr/>
          </w:pPr>
          <w:hyperlink w:anchor="__RefHeading___Toc14292580_1280447820">
            <w:r>
              <w:rPr>
                <w:webHidden/>
                <w:rStyle w:val="IndexLink"/>
              </w:rPr>
              <w:t>5.2.1</w:t>
            </w:r>
            <w:r>
              <w:rPr>
                <w:rStyle w:val="IndexLink"/>
                <w:rtl w:val="true"/>
              </w:rPr>
              <w:t xml:space="preserve">. </w:t>
            </w:r>
            <w:r>
              <w:rPr>
                <w:rStyle w:val="IndexLink"/>
                <w:rtl w:val="true"/>
              </w:rPr>
              <w:t>توزیع به‌موقع و عادلانه</w:t>
            </w:r>
            <w:r>
              <w:rPr>
                <w:rStyle w:val="IndexLink"/>
                <w:rtl w:val="true"/>
              </w:rPr>
              <w:tab/>
            </w:r>
            <w:r>
              <w:rPr>
                <w:rStyle w:val="IndexLink"/>
              </w:rPr>
              <w:t>118</w:t>
            </w:r>
          </w:hyperlink>
        </w:p>
        <w:p>
          <w:pPr>
            <w:pStyle w:val="Contents4"/>
            <w:tabs>
              <w:tab w:val="clear" w:pos="8176"/>
              <w:tab w:val="right" w:pos="9026" w:leader="dot"/>
            </w:tabs>
            <w:rPr/>
          </w:pPr>
          <w:hyperlink w:anchor="__RefHeading___Toc14292582_1280447820">
            <w:r>
              <w:rPr>
                <w:webHidden/>
                <w:rStyle w:val="IndexLink"/>
              </w:rPr>
              <w:t>5.2.2</w:t>
            </w:r>
            <w:r>
              <w:rPr>
                <w:rStyle w:val="IndexLink"/>
                <w:rtl w:val="true"/>
              </w:rPr>
              <w:t xml:space="preserve">. </w:t>
            </w:r>
            <w:r>
              <w:rPr>
                <w:rStyle w:val="IndexLink"/>
                <w:rtl w:val="true"/>
              </w:rPr>
              <w:t>عطایای هدفمند</w:t>
            </w:r>
            <w:r>
              <w:rPr>
                <w:rStyle w:val="IndexLink"/>
                <w:rtl w:val="true"/>
              </w:rPr>
              <w:tab/>
            </w:r>
            <w:r>
              <w:rPr>
                <w:rStyle w:val="IndexLink"/>
              </w:rPr>
              <w:t>121</w:t>
            </w:r>
          </w:hyperlink>
        </w:p>
        <w:p>
          <w:pPr>
            <w:pStyle w:val="Contents5"/>
            <w:tabs>
              <w:tab w:val="clear" w:pos="7892"/>
              <w:tab w:val="right" w:pos="9026" w:leader="dot"/>
            </w:tabs>
            <w:rPr/>
          </w:pPr>
          <w:hyperlink w:anchor="__RefHeading___Toc14292584_1280447820">
            <w:r>
              <w:rPr>
                <w:webHidden/>
                <w:rStyle w:val="IndexLink"/>
                <w:rtl w:val="true"/>
              </w:rPr>
              <w:t>اشاره</w:t>
            </w:r>
            <w:r>
              <w:rPr>
                <w:rStyle w:val="IndexLink"/>
                <w:rtl w:val="true"/>
              </w:rPr>
              <w:tab/>
            </w:r>
            <w:r>
              <w:rPr>
                <w:rStyle w:val="IndexLink"/>
              </w:rPr>
              <w:t>121</w:t>
            </w:r>
          </w:hyperlink>
        </w:p>
        <w:p>
          <w:pPr>
            <w:pStyle w:val="Contents5"/>
            <w:tabs>
              <w:tab w:val="clear" w:pos="7892"/>
              <w:tab w:val="right" w:pos="9026" w:leader="dot"/>
            </w:tabs>
            <w:rPr/>
          </w:pPr>
          <w:hyperlink w:anchor="__RefHeading___Toc14292586_1280447820">
            <w:r>
              <w:rPr>
                <w:webHidden/>
                <w:rStyle w:val="IndexLink"/>
                <w:rtl w:val="true"/>
              </w:rPr>
              <w:t>الف</w:t>
            </w:r>
            <w:r>
              <w:rPr>
                <w:rStyle w:val="IndexLink"/>
                <w:rtl w:val="true"/>
              </w:rPr>
              <w:t xml:space="preserve">. </w:t>
            </w:r>
            <w:r>
              <w:rPr>
                <w:rStyle w:val="IndexLink"/>
                <w:rtl w:val="true"/>
              </w:rPr>
              <w:t>جذب رئیس قبیله هوازن</w:t>
            </w:r>
            <w:r>
              <w:rPr>
                <w:rStyle w:val="IndexLink"/>
                <w:rtl w:val="true"/>
              </w:rPr>
              <w:tab/>
            </w:r>
            <w:r>
              <w:rPr>
                <w:rStyle w:val="IndexLink"/>
              </w:rPr>
              <w:t>121</w:t>
            </w:r>
          </w:hyperlink>
        </w:p>
        <w:p>
          <w:pPr>
            <w:pStyle w:val="Contents5"/>
            <w:tabs>
              <w:tab w:val="clear" w:pos="7892"/>
              <w:tab w:val="right" w:pos="9026" w:leader="dot"/>
            </w:tabs>
            <w:rPr/>
          </w:pPr>
          <w:hyperlink w:anchor="__RefHeading___Toc14292588_1280447820">
            <w:r>
              <w:rPr>
                <w:webHidden/>
                <w:rStyle w:val="IndexLink"/>
                <w:rtl w:val="true"/>
              </w:rPr>
              <w:t>ب</w:t>
            </w:r>
            <w:r>
              <w:rPr>
                <w:rStyle w:val="IndexLink"/>
                <w:rtl w:val="true"/>
              </w:rPr>
              <w:t xml:space="preserve">. </w:t>
            </w:r>
            <w:r>
              <w:rPr>
                <w:rStyle w:val="IndexLink"/>
                <w:rtl w:val="true"/>
              </w:rPr>
              <w:t>توزیع اموال یمن و دلجویی از انصار</w:t>
            </w:r>
            <w:r>
              <w:rPr>
                <w:rStyle w:val="IndexLink"/>
                <w:rtl w:val="true"/>
              </w:rPr>
              <w:tab/>
            </w:r>
            <w:r>
              <w:rPr>
                <w:rStyle w:val="IndexLink"/>
              </w:rPr>
              <w:t>121</w:t>
            </w:r>
          </w:hyperlink>
        </w:p>
        <w:p>
          <w:pPr>
            <w:pStyle w:val="Contents5"/>
            <w:tabs>
              <w:tab w:val="clear" w:pos="7892"/>
              <w:tab w:val="right" w:pos="9026" w:leader="dot"/>
            </w:tabs>
            <w:rPr/>
          </w:pPr>
          <w:hyperlink w:anchor="__RefHeading___Toc14292590_1280447820">
            <w:r>
              <w:rPr>
                <w:webHidden/>
                <w:rStyle w:val="IndexLink"/>
                <w:rtl w:val="true"/>
              </w:rPr>
              <w:t>ج</w:t>
            </w:r>
            <w:r>
              <w:rPr>
                <w:rStyle w:val="IndexLink"/>
                <w:rtl w:val="true"/>
              </w:rPr>
              <w:t xml:space="preserve">. </w:t>
            </w:r>
            <w:r>
              <w:rPr>
                <w:rStyle w:val="IndexLink"/>
                <w:rtl w:val="true"/>
              </w:rPr>
              <w:t>ایثار انصار در ماجرای بنی نضیر</w:t>
            </w:r>
            <w:r>
              <w:rPr>
                <w:rStyle w:val="IndexLink"/>
                <w:rtl w:val="true"/>
              </w:rPr>
              <w:tab/>
            </w:r>
            <w:r>
              <w:rPr>
                <w:rStyle w:val="IndexLink"/>
              </w:rPr>
              <w:t>122</w:t>
            </w:r>
          </w:hyperlink>
        </w:p>
        <w:p>
          <w:pPr>
            <w:pStyle w:val="Contents2"/>
            <w:tabs>
              <w:tab w:val="clear" w:pos="8743"/>
              <w:tab w:val="right" w:pos="9026" w:leader="dot"/>
            </w:tabs>
            <w:rPr/>
          </w:pPr>
          <w:hyperlink w:anchor="__RefHeading___Toc14292592_1280447820">
            <w:r>
              <w:rPr>
                <w:webHidden/>
                <w:rStyle w:val="IndexLink"/>
                <w:rtl w:val="true"/>
              </w:rPr>
              <w:t>فصل ششم</w:t>
            </w:r>
            <w:r>
              <w:rPr>
                <w:rStyle w:val="IndexLink"/>
                <w:rtl w:val="true"/>
              </w:rPr>
              <w:t xml:space="preserve">: </w:t>
            </w:r>
            <w:r>
              <w:rPr>
                <w:rStyle w:val="IndexLink"/>
                <w:rtl w:val="true"/>
              </w:rPr>
              <w:t xml:space="preserve">سیره فرهنگی پیامبر اکرم </w:t>
            </w:r>
            <w:r>
              <w:rPr>
                <w:rStyle w:val="IndexLink"/>
                <w:rtl w:val="true"/>
              </w:rPr>
              <w:t>(</w:t>
            </w:r>
            <w:r>
              <w:rPr>
                <w:rStyle w:val="IndexLink"/>
                <w:rtl w:val="true"/>
              </w:rPr>
              <w:t>صلی الله علیه وآله</w:t>
            </w:r>
            <w:r>
              <w:rPr>
                <w:rStyle w:val="IndexLink"/>
                <w:rtl w:val="true"/>
              </w:rPr>
              <w:t xml:space="preserve">) </w:t>
            </w:r>
            <w:r>
              <w:rPr>
                <w:rStyle w:val="IndexLink"/>
                <w:rtl w:val="true"/>
              </w:rPr>
              <w:t xml:space="preserve">و امام علی </w:t>
            </w:r>
            <w:r>
              <w:rPr>
                <w:rStyle w:val="IndexLink"/>
                <w:rtl w:val="true"/>
              </w:rPr>
              <w:t>(</w:t>
            </w:r>
            <w:r>
              <w:rPr>
                <w:rStyle w:val="IndexLink"/>
                <w:rtl w:val="true"/>
              </w:rPr>
              <w:t>علیه السلام</w:t>
            </w:r>
            <w:r>
              <w:rPr>
                <w:rStyle w:val="IndexLink"/>
                <w:rtl w:val="true"/>
              </w:rPr>
              <w:t>)</w:t>
              <w:tab/>
            </w:r>
            <w:r>
              <w:rPr>
                <w:rStyle w:val="IndexLink"/>
              </w:rPr>
              <w:t>124</w:t>
            </w:r>
          </w:hyperlink>
        </w:p>
        <w:p>
          <w:pPr>
            <w:pStyle w:val="Contents3"/>
            <w:tabs>
              <w:tab w:val="clear" w:pos="8459"/>
              <w:tab w:val="right" w:pos="9026" w:leader="dot"/>
            </w:tabs>
            <w:rPr/>
          </w:pPr>
          <w:hyperlink w:anchor="__RefHeading___Toc14292594_1280447820">
            <w:r>
              <w:rPr>
                <w:webHidden/>
                <w:rStyle w:val="IndexLink"/>
                <w:rtl w:val="true"/>
              </w:rPr>
              <w:t>اشاره</w:t>
            </w:r>
            <w:r>
              <w:rPr>
                <w:rStyle w:val="IndexLink"/>
                <w:rtl w:val="true"/>
              </w:rPr>
              <w:tab/>
            </w:r>
            <w:r>
              <w:rPr>
                <w:rStyle w:val="IndexLink"/>
              </w:rPr>
              <w:t>124</w:t>
            </w:r>
          </w:hyperlink>
        </w:p>
        <w:p>
          <w:pPr>
            <w:pStyle w:val="Contents3"/>
            <w:tabs>
              <w:tab w:val="clear" w:pos="8459"/>
              <w:tab w:val="right" w:pos="9026" w:leader="dot"/>
            </w:tabs>
            <w:rPr/>
          </w:pPr>
          <w:hyperlink w:anchor="__RefHeading___Toc14292596_1280447820">
            <w:r>
              <w:rPr>
                <w:webHidden/>
                <w:rStyle w:val="IndexLink"/>
              </w:rPr>
              <w:t>6.1</w:t>
            </w:r>
            <w:r>
              <w:rPr>
                <w:rStyle w:val="IndexLink"/>
                <w:rtl w:val="true"/>
              </w:rPr>
              <w:t>.</w:t>
            </w:r>
            <w:r>
              <w:rPr>
                <w:rStyle w:val="IndexLink"/>
                <w:rtl w:val="true"/>
              </w:rPr>
              <w:t xml:space="preserve">سیره فرهنگی پیامبر اکرم </w:t>
            </w:r>
            <w:r>
              <w:rPr>
                <w:rStyle w:val="IndexLink"/>
                <w:rtl w:val="true"/>
              </w:rPr>
              <w:t>(</w:t>
            </w:r>
            <w:r>
              <w:rPr>
                <w:rStyle w:val="IndexLink"/>
                <w:rtl w:val="true"/>
              </w:rPr>
              <w:t>صلی الله علیه وآله</w:t>
            </w:r>
            <w:r>
              <w:rPr>
                <w:rStyle w:val="IndexLink"/>
                <w:rtl w:val="true"/>
              </w:rPr>
              <w:t xml:space="preserve">) </w:t>
            </w:r>
            <w:r>
              <w:rPr>
                <w:rStyle w:val="IndexLink"/>
                <w:rtl w:val="true"/>
              </w:rPr>
              <w:t>و امام علی</w:t>
            </w:r>
            <w:r>
              <w:rPr>
                <w:rStyle w:val="IndexLink"/>
                <w:rtl w:val="true"/>
              </w:rPr>
              <w:t>(</w:t>
            </w:r>
            <w:r>
              <w:rPr>
                <w:rStyle w:val="IndexLink"/>
                <w:rtl w:val="true"/>
              </w:rPr>
              <w:t>علیه السلام</w:t>
            </w:r>
            <w:r>
              <w:rPr>
                <w:rStyle w:val="IndexLink"/>
                <w:rtl w:val="true"/>
              </w:rPr>
              <w:t xml:space="preserve">) </w:t>
            </w:r>
            <w:r>
              <w:rPr>
                <w:rStyle w:val="IndexLink"/>
                <w:rtl w:val="true"/>
              </w:rPr>
              <w:t>در ایجاد وحدت اجتماعی</w:t>
            </w:r>
            <w:r>
              <w:rPr>
                <w:rStyle w:val="IndexLink"/>
                <w:rtl w:val="true"/>
              </w:rPr>
              <w:tab/>
            </w:r>
            <w:r>
              <w:rPr>
                <w:rStyle w:val="IndexLink"/>
              </w:rPr>
              <w:t>125</w:t>
            </w:r>
          </w:hyperlink>
        </w:p>
        <w:p>
          <w:pPr>
            <w:pStyle w:val="Contents4"/>
            <w:tabs>
              <w:tab w:val="clear" w:pos="8176"/>
              <w:tab w:val="right" w:pos="9026" w:leader="dot"/>
            </w:tabs>
            <w:rPr/>
          </w:pPr>
          <w:hyperlink w:anchor="__RefHeading___Toc14292598_1280447820">
            <w:r>
              <w:rPr>
                <w:webHidden/>
                <w:rStyle w:val="IndexLink"/>
                <w:rtl w:val="true"/>
              </w:rPr>
              <w:t>اشاره</w:t>
            </w:r>
            <w:r>
              <w:rPr>
                <w:rStyle w:val="IndexLink"/>
                <w:rtl w:val="true"/>
              </w:rPr>
              <w:tab/>
            </w:r>
            <w:r>
              <w:rPr>
                <w:rStyle w:val="IndexLink"/>
              </w:rPr>
              <w:t>125</w:t>
            </w:r>
          </w:hyperlink>
        </w:p>
        <w:p>
          <w:pPr>
            <w:pStyle w:val="Contents4"/>
            <w:tabs>
              <w:tab w:val="clear" w:pos="8176"/>
              <w:tab w:val="right" w:pos="9026" w:leader="dot"/>
            </w:tabs>
            <w:rPr/>
          </w:pPr>
          <w:hyperlink w:anchor="__RefHeading___Toc14292600_1280447820">
            <w:r>
              <w:rPr>
                <w:webHidden/>
                <w:rStyle w:val="IndexLink"/>
              </w:rPr>
              <w:t>6.1.1</w:t>
            </w:r>
            <w:r>
              <w:rPr>
                <w:rStyle w:val="IndexLink"/>
                <w:rtl w:val="true"/>
              </w:rPr>
              <w:t xml:space="preserve">. </w:t>
            </w:r>
            <w:r>
              <w:rPr>
                <w:rStyle w:val="IndexLink"/>
                <w:rtl w:val="true"/>
              </w:rPr>
              <w:t>پیمان برادری</w:t>
            </w:r>
            <w:r>
              <w:rPr>
                <w:rStyle w:val="IndexLink"/>
                <w:rtl w:val="true"/>
              </w:rPr>
              <w:tab/>
            </w:r>
            <w:r>
              <w:rPr>
                <w:rStyle w:val="IndexLink"/>
              </w:rPr>
              <w:t>125</w:t>
            </w:r>
          </w:hyperlink>
        </w:p>
        <w:p>
          <w:pPr>
            <w:pStyle w:val="Contents4"/>
            <w:tabs>
              <w:tab w:val="clear" w:pos="8176"/>
              <w:tab w:val="right" w:pos="9026" w:leader="dot"/>
            </w:tabs>
            <w:rPr/>
          </w:pPr>
          <w:hyperlink w:anchor="__RefHeading___Toc14292602_1280447820">
            <w:r>
              <w:rPr>
                <w:webHidden/>
                <w:rStyle w:val="IndexLink"/>
              </w:rPr>
              <w:t>6.1.2</w:t>
            </w:r>
            <w:r>
              <w:rPr>
                <w:rStyle w:val="IndexLink"/>
                <w:rtl w:val="true"/>
              </w:rPr>
              <w:t>.</w:t>
            </w:r>
            <w:r>
              <w:rPr>
                <w:rStyle w:val="IndexLink"/>
                <w:rtl w:val="true"/>
              </w:rPr>
              <w:t>صلح مدینه</w:t>
            </w:r>
            <w:r>
              <w:rPr>
                <w:rStyle w:val="IndexLink"/>
                <w:rtl w:val="true"/>
              </w:rPr>
              <w:tab/>
            </w:r>
            <w:r>
              <w:rPr>
                <w:rStyle w:val="IndexLink"/>
              </w:rPr>
              <w:t>127</w:t>
            </w:r>
          </w:hyperlink>
        </w:p>
        <w:p>
          <w:pPr>
            <w:pStyle w:val="Contents4"/>
            <w:tabs>
              <w:tab w:val="clear" w:pos="8176"/>
              <w:tab w:val="right" w:pos="9026" w:leader="dot"/>
            </w:tabs>
            <w:rPr/>
          </w:pPr>
          <w:hyperlink w:anchor="__RefHeading___Toc14292604_1280447820">
            <w:r>
              <w:rPr>
                <w:webHidden/>
                <w:rStyle w:val="IndexLink"/>
              </w:rPr>
              <w:t>6.1.3</w:t>
            </w:r>
            <w:r>
              <w:rPr>
                <w:rStyle w:val="IndexLink"/>
                <w:rtl w:val="true"/>
              </w:rPr>
              <w:t xml:space="preserve">. </w:t>
            </w:r>
            <w:r>
              <w:rPr>
                <w:rStyle w:val="IndexLink"/>
                <w:rtl w:val="true"/>
              </w:rPr>
              <w:t>بیعت‌های وحدت‌آفرین</w:t>
            </w:r>
            <w:r>
              <w:rPr>
                <w:rStyle w:val="IndexLink"/>
                <w:rtl w:val="true"/>
              </w:rPr>
              <w:tab/>
            </w:r>
            <w:r>
              <w:rPr>
                <w:rStyle w:val="IndexLink"/>
              </w:rPr>
              <w:t>127</w:t>
            </w:r>
          </w:hyperlink>
        </w:p>
        <w:p>
          <w:pPr>
            <w:pStyle w:val="Contents4"/>
            <w:tabs>
              <w:tab w:val="clear" w:pos="8176"/>
              <w:tab w:val="right" w:pos="9026" w:leader="dot"/>
            </w:tabs>
            <w:rPr/>
          </w:pPr>
          <w:hyperlink w:anchor="__RefHeading___Toc14292606_1280447820">
            <w:r>
              <w:rPr>
                <w:webHidden/>
                <w:rStyle w:val="IndexLink"/>
              </w:rPr>
              <w:t>6.1.4</w:t>
            </w:r>
            <w:r>
              <w:rPr>
                <w:rStyle w:val="IndexLink"/>
                <w:rtl w:val="true"/>
              </w:rPr>
              <w:t xml:space="preserve">. </w:t>
            </w:r>
            <w:r>
              <w:rPr>
                <w:rStyle w:val="IndexLink"/>
                <w:rtl w:val="true"/>
              </w:rPr>
              <w:t xml:space="preserve">ارشادگری؛ محور وحدت‌آفرینی در سیره نبوی وعلوی </w:t>
            </w:r>
            <w:r>
              <w:rPr>
                <w:rStyle w:val="IndexLink"/>
              </w:rPr>
              <w:t>128</w:t>
            </w:r>
            <w:r>
              <w:rPr>
                <w:rStyle w:val="IndexLink"/>
                <w:rtl w:val="true"/>
              </w:rPr>
              <w:tab/>
            </w:r>
            <w:r>
              <w:rPr>
                <w:rStyle w:val="IndexLink"/>
              </w:rPr>
              <w:t>128</w:t>
            </w:r>
          </w:hyperlink>
        </w:p>
        <w:p>
          <w:pPr>
            <w:pStyle w:val="Contents5"/>
            <w:tabs>
              <w:tab w:val="clear" w:pos="7892"/>
              <w:tab w:val="right" w:pos="9026" w:leader="dot"/>
            </w:tabs>
            <w:rPr/>
          </w:pPr>
          <w:hyperlink w:anchor="__RefHeading___Toc14292608_1280447820">
            <w:r>
              <w:rPr>
                <w:webHidden/>
                <w:rStyle w:val="IndexLink"/>
                <w:rtl w:val="true"/>
              </w:rPr>
              <w:t>اشاره</w:t>
            </w:r>
            <w:r>
              <w:rPr>
                <w:rStyle w:val="IndexLink"/>
                <w:rtl w:val="true"/>
              </w:rPr>
              <w:tab/>
            </w:r>
            <w:r>
              <w:rPr>
                <w:rStyle w:val="IndexLink"/>
              </w:rPr>
              <w:t>128</w:t>
            </w:r>
          </w:hyperlink>
        </w:p>
        <w:p>
          <w:pPr>
            <w:pStyle w:val="Contents5"/>
            <w:tabs>
              <w:tab w:val="clear" w:pos="7892"/>
              <w:tab w:val="right" w:pos="9026" w:leader="dot"/>
            </w:tabs>
            <w:rPr/>
          </w:pPr>
          <w:hyperlink w:anchor="__RefHeading___Toc14292610_1280447820">
            <w:r>
              <w:rPr>
                <w:webHidden/>
                <w:rStyle w:val="IndexLink"/>
              </w:rPr>
              <w:t>6.1.4.1</w:t>
            </w:r>
            <w:r>
              <w:rPr>
                <w:rStyle w:val="IndexLink"/>
                <w:rtl w:val="true"/>
              </w:rPr>
              <w:t xml:space="preserve">. </w:t>
            </w:r>
            <w:r>
              <w:rPr>
                <w:rStyle w:val="IndexLink"/>
                <w:rtl w:val="true"/>
              </w:rPr>
              <w:t>تبلیغ چهره به چهره</w:t>
            </w:r>
            <w:r>
              <w:rPr>
                <w:rStyle w:val="IndexLink"/>
                <w:rtl w:val="true"/>
              </w:rPr>
              <w:tab/>
            </w:r>
            <w:r>
              <w:rPr>
                <w:rStyle w:val="IndexLink"/>
              </w:rPr>
              <w:t>128</w:t>
            </w:r>
          </w:hyperlink>
        </w:p>
        <w:p>
          <w:pPr>
            <w:pStyle w:val="Contents5"/>
            <w:tabs>
              <w:tab w:val="clear" w:pos="7892"/>
              <w:tab w:val="right" w:pos="9026" w:leader="dot"/>
            </w:tabs>
            <w:rPr/>
          </w:pPr>
          <w:hyperlink w:anchor="__RefHeading___Toc14292612_1280447820">
            <w:r>
              <w:rPr>
                <w:webHidden/>
                <w:rStyle w:val="IndexLink"/>
              </w:rPr>
              <w:t>6.1.4.2</w:t>
            </w:r>
            <w:r>
              <w:rPr>
                <w:rStyle w:val="IndexLink"/>
                <w:rtl w:val="true"/>
              </w:rPr>
              <w:t xml:space="preserve">. </w:t>
            </w:r>
            <w:r>
              <w:rPr>
                <w:rStyle w:val="IndexLink"/>
                <w:rtl w:val="true"/>
              </w:rPr>
              <w:t>اذان به عنوان نماد هویتی</w:t>
            </w:r>
            <w:r>
              <w:rPr>
                <w:rStyle w:val="IndexLink"/>
                <w:rtl w:val="true"/>
              </w:rPr>
              <w:tab/>
            </w:r>
            <w:r>
              <w:rPr>
                <w:rStyle w:val="IndexLink"/>
              </w:rPr>
              <w:t>128</w:t>
            </w:r>
          </w:hyperlink>
        </w:p>
        <w:p>
          <w:pPr>
            <w:pStyle w:val="Contents5"/>
            <w:tabs>
              <w:tab w:val="clear" w:pos="7892"/>
              <w:tab w:val="right" w:pos="9026" w:leader="dot"/>
            </w:tabs>
            <w:rPr/>
          </w:pPr>
          <w:hyperlink w:anchor="__RefHeading___Toc14292614_1280447820">
            <w:r>
              <w:rPr>
                <w:webHidden/>
                <w:rStyle w:val="IndexLink"/>
              </w:rPr>
              <w:t>6.1.4.3</w:t>
            </w:r>
            <w:r>
              <w:rPr>
                <w:rStyle w:val="IndexLink"/>
                <w:rtl w:val="true"/>
              </w:rPr>
              <w:t xml:space="preserve">. </w:t>
            </w:r>
            <w:r>
              <w:rPr>
                <w:rStyle w:val="IndexLink"/>
                <w:rtl w:val="true"/>
              </w:rPr>
              <w:t>بهره‌گیری از هنر شعر و سرود</w:t>
            </w:r>
            <w:r>
              <w:rPr>
                <w:rStyle w:val="IndexLink"/>
                <w:rtl w:val="true"/>
              </w:rPr>
              <w:tab/>
            </w:r>
            <w:r>
              <w:rPr>
                <w:rStyle w:val="IndexLink"/>
              </w:rPr>
              <w:t>128</w:t>
            </w:r>
          </w:hyperlink>
        </w:p>
        <w:p>
          <w:pPr>
            <w:pStyle w:val="Contents5"/>
            <w:tabs>
              <w:tab w:val="clear" w:pos="7892"/>
              <w:tab w:val="right" w:pos="9026" w:leader="dot"/>
            </w:tabs>
            <w:rPr/>
          </w:pPr>
          <w:hyperlink w:anchor="__RefHeading___Toc14292616_1280447820">
            <w:r>
              <w:rPr>
                <w:webHidden/>
                <w:rStyle w:val="IndexLink"/>
              </w:rPr>
              <w:t>6.1.4.4</w:t>
            </w:r>
            <w:r>
              <w:rPr>
                <w:rStyle w:val="IndexLink"/>
                <w:rtl w:val="true"/>
              </w:rPr>
              <w:t>.</w:t>
            </w:r>
            <w:r>
              <w:rPr>
                <w:rStyle w:val="IndexLink"/>
                <w:rtl w:val="true"/>
              </w:rPr>
              <w:t>سیستم اطلاع‌رسانی عمومی</w:t>
            </w:r>
            <w:r>
              <w:rPr>
                <w:rStyle w:val="IndexLink"/>
                <w:rtl w:val="true"/>
              </w:rPr>
              <w:tab/>
            </w:r>
            <w:r>
              <w:rPr>
                <w:rStyle w:val="IndexLink"/>
              </w:rPr>
              <w:t>129</w:t>
            </w:r>
          </w:hyperlink>
        </w:p>
        <w:p>
          <w:pPr>
            <w:pStyle w:val="Contents5"/>
            <w:tabs>
              <w:tab w:val="clear" w:pos="7892"/>
              <w:tab w:val="right" w:pos="9026" w:leader="dot"/>
            </w:tabs>
            <w:rPr/>
          </w:pPr>
          <w:hyperlink w:anchor="__RefHeading___Toc14292618_1280447820">
            <w:r>
              <w:rPr>
                <w:webHidden/>
                <w:rStyle w:val="IndexLink"/>
              </w:rPr>
              <w:t>6.1.4.5</w:t>
            </w:r>
            <w:r>
              <w:rPr>
                <w:rStyle w:val="IndexLink"/>
                <w:rtl w:val="true"/>
              </w:rPr>
              <w:t>.</w:t>
            </w:r>
            <w:r>
              <w:rPr>
                <w:rStyle w:val="IndexLink"/>
                <w:rtl w:val="true"/>
              </w:rPr>
              <w:t>تبلیغات جنگی و روانی</w:t>
            </w:r>
            <w:r>
              <w:rPr>
                <w:rStyle w:val="IndexLink"/>
                <w:rtl w:val="true"/>
              </w:rPr>
              <w:tab/>
            </w:r>
            <w:r>
              <w:rPr>
                <w:rStyle w:val="IndexLink"/>
              </w:rPr>
              <w:t>129</w:t>
            </w:r>
          </w:hyperlink>
        </w:p>
        <w:p>
          <w:pPr>
            <w:pStyle w:val="Contents5"/>
            <w:tabs>
              <w:tab w:val="clear" w:pos="7892"/>
              <w:tab w:val="right" w:pos="9026" w:leader="dot"/>
            </w:tabs>
            <w:rPr/>
          </w:pPr>
          <w:hyperlink w:anchor="__RefHeading___Toc14292620_1280447820">
            <w:r>
              <w:rPr>
                <w:webHidden/>
                <w:rStyle w:val="IndexLink"/>
              </w:rPr>
              <w:t>6.1.4.6</w:t>
            </w:r>
            <w:r>
              <w:rPr>
                <w:rStyle w:val="IndexLink"/>
                <w:rtl w:val="true"/>
              </w:rPr>
              <w:t>.</w:t>
            </w:r>
            <w:r>
              <w:rPr>
                <w:rStyle w:val="IndexLink"/>
                <w:rtl w:val="true"/>
              </w:rPr>
              <w:t>شعارهای رزمی در جنگ‌های مهم</w:t>
            </w:r>
            <w:r>
              <w:rPr>
                <w:rStyle w:val="IndexLink"/>
                <w:rtl w:val="true"/>
              </w:rPr>
              <w:tab/>
            </w:r>
            <w:r>
              <w:rPr>
                <w:rStyle w:val="IndexLink"/>
              </w:rPr>
              <w:t>130</w:t>
            </w:r>
          </w:hyperlink>
        </w:p>
        <w:p>
          <w:pPr>
            <w:pStyle w:val="Contents2"/>
            <w:tabs>
              <w:tab w:val="clear" w:pos="8743"/>
              <w:tab w:val="right" w:pos="9026" w:leader="dot"/>
            </w:tabs>
            <w:rPr/>
          </w:pPr>
          <w:hyperlink w:anchor="__RefHeading___Toc14292622_1280447820">
            <w:r>
              <w:rPr>
                <w:webHidden/>
                <w:rStyle w:val="IndexLink"/>
                <w:rtl w:val="true"/>
              </w:rPr>
              <w:t>فصل هفتم</w:t>
            </w:r>
            <w:r>
              <w:rPr>
                <w:rStyle w:val="IndexLink"/>
                <w:rtl w:val="true"/>
              </w:rPr>
              <w:t xml:space="preserve">: </w:t>
            </w:r>
            <w:r>
              <w:rPr>
                <w:rStyle w:val="IndexLink"/>
                <w:rtl w:val="true"/>
              </w:rPr>
              <w:t>تبیین تفاوت های سیره نبوی و علوی</w:t>
            </w:r>
            <w:r>
              <w:rPr>
                <w:rStyle w:val="IndexLink"/>
                <w:rtl w:val="true"/>
              </w:rPr>
              <w:tab/>
            </w:r>
            <w:r>
              <w:rPr>
                <w:rStyle w:val="IndexLink"/>
              </w:rPr>
              <w:t>132</w:t>
            </w:r>
          </w:hyperlink>
        </w:p>
        <w:p>
          <w:pPr>
            <w:pStyle w:val="Contents3"/>
            <w:tabs>
              <w:tab w:val="clear" w:pos="8459"/>
              <w:tab w:val="right" w:pos="9026" w:leader="dot"/>
            </w:tabs>
            <w:rPr/>
          </w:pPr>
          <w:hyperlink w:anchor="__RefHeading___Toc14292624_1280447820">
            <w:r>
              <w:rPr>
                <w:webHidden/>
                <w:rStyle w:val="IndexLink"/>
                <w:rtl w:val="true"/>
              </w:rPr>
              <w:t>اشاره</w:t>
            </w:r>
            <w:r>
              <w:rPr>
                <w:rStyle w:val="IndexLink"/>
                <w:rtl w:val="true"/>
              </w:rPr>
              <w:tab/>
            </w:r>
            <w:r>
              <w:rPr>
                <w:rStyle w:val="IndexLink"/>
              </w:rPr>
              <w:t>132</w:t>
            </w:r>
          </w:hyperlink>
        </w:p>
        <w:p>
          <w:pPr>
            <w:pStyle w:val="Contents3"/>
            <w:tabs>
              <w:tab w:val="clear" w:pos="8459"/>
              <w:tab w:val="right" w:pos="9026" w:leader="dot"/>
            </w:tabs>
            <w:rPr/>
          </w:pPr>
          <w:hyperlink w:anchor="__RefHeading___Toc14292626_1280447820">
            <w:r>
              <w:rPr>
                <w:webHidden/>
                <w:rStyle w:val="IndexLink"/>
              </w:rPr>
              <w:t>7.1</w:t>
            </w:r>
            <w:r>
              <w:rPr>
                <w:rStyle w:val="IndexLink"/>
                <w:rtl w:val="true"/>
              </w:rPr>
              <w:t>.</w:t>
            </w:r>
            <w:r>
              <w:rPr>
                <w:rStyle w:val="IndexLink"/>
                <w:rtl w:val="true"/>
              </w:rPr>
              <w:t>علل اصلی تفاوت‌ها در سیره علوی</w:t>
            </w:r>
            <w:r>
              <w:rPr>
                <w:rStyle w:val="IndexLink"/>
                <w:rtl w:val="true"/>
              </w:rPr>
              <w:tab/>
            </w:r>
            <w:r>
              <w:rPr>
                <w:rStyle w:val="IndexLink"/>
              </w:rPr>
              <w:t>133</w:t>
            </w:r>
          </w:hyperlink>
        </w:p>
        <w:p>
          <w:pPr>
            <w:pStyle w:val="Contents4"/>
            <w:tabs>
              <w:tab w:val="clear" w:pos="8176"/>
              <w:tab w:val="right" w:pos="9026" w:leader="dot"/>
            </w:tabs>
            <w:rPr/>
          </w:pPr>
          <w:hyperlink w:anchor="__RefHeading___Toc14292628_1280447820">
            <w:r>
              <w:rPr>
                <w:webHidden/>
                <w:rStyle w:val="IndexLink"/>
              </w:rPr>
              <w:t>7.1.1</w:t>
            </w:r>
            <w:r>
              <w:rPr>
                <w:rStyle w:val="IndexLink"/>
                <w:rtl w:val="true"/>
              </w:rPr>
              <w:t xml:space="preserve">. </w:t>
            </w:r>
            <w:r>
              <w:rPr>
                <w:rStyle w:val="IndexLink"/>
                <w:rtl w:val="true"/>
              </w:rPr>
              <w:t>دگرگونی جامعه اسلامی</w:t>
            </w:r>
            <w:r>
              <w:rPr>
                <w:rStyle w:val="IndexLink"/>
                <w:rtl w:val="true"/>
              </w:rPr>
              <w:tab/>
            </w:r>
            <w:r>
              <w:rPr>
                <w:rStyle w:val="IndexLink"/>
              </w:rPr>
              <w:t>133</w:t>
            </w:r>
          </w:hyperlink>
        </w:p>
        <w:p>
          <w:pPr>
            <w:pStyle w:val="Contents4"/>
            <w:tabs>
              <w:tab w:val="clear" w:pos="8176"/>
              <w:tab w:val="right" w:pos="9026" w:leader="dot"/>
            </w:tabs>
            <w:rPr/>
          </w:pPr>
          <w:hyperlink w:anchor="__RefHeading___Toc14292630_1280447820">
            <w:r>
              <w:rPr>
                <w:webHidden/>
                <w:rStyle w:val="IndexLink"/>
              </w:rPr>
              <w:t>7.1.2</w:t>
            </w:r>
            <w:r>
              <w:rPr>
                <w:rStyle w:val="IndexLink"/>
                <w:rtl w:val="true"/>
              </w:rPr>
              <w:t xml:space="preserve">. </w:t>
            </w:r>
            <w:r>
              <w:rPr>
                <w:rStyle w:val="IndexLink"/>
                <w:rtl w:val="true"/>
              </w:rPr>
              <w:t>بدعت‌ها و چالش‌های اصلاح</w:t>
            </w:r>
            <w:r>
              <w:rPr>
                <w:rStyle w:val="IndexLink"/>
                <w:rtl w:val="true"/>
              </w:rPr>
              <w:tab/>
            </w:r>
            <w:r>
              <w:rPr>
                <w:rStyle w:val="IndexLink"/>
              </w:rPr>
              <w:t>133</w:t>
            </w:r>
          </w:hyperlink>
        </w:p>
        <w:p>
          <w:pPr>
            <w:pStyle w:val="Contents4"/>
            <w:tabs>
              <w:tab w:val="clear" w:pos="8176"/>
              <w:tab w:val="right" w:pos="9026" w:leader="dot"/>
            </w:tabs>
            <w:rPr/>
          </w:pPr>
          <w:hyperlink w:anchor="__RefHeading___Toc14292632_1280447820">
            <w:r>
              <w:rPr>
                <w:webHidden/>
                <w:rStyle w:val="IndexLink"/>
              </w:rPr>
              <w:t>7.1.3</w:t>
            </w:r>
            <w:r>
              <w:rPr>
                <w:rStyle w:val="IndexLink"/>
                <w:rtl w:val="true"/>
              </w:rPr>
              <w:t xml:space="preserve">. </w:t>
            </w:r>
            <w:r>
              <w:rPr>
                <w:rStyle w:val="IndexLink"/>
                <w:rtl w:val="true"/>
              </w:rPr>
              <w:t>موانع اجرای اصلاحات</w:t>
            </w:r>
            <w:r>
              <w:rPr>
                <w:rStyle w:val="IndexLink"/>
                <w:rtl w:val="true"/>
              </w:rPr>
              <w:tab/>
            </w:r>
            <w:r>
              <w:rPr>
                <w:rStyle w:val="IndexLink"/>
              </w:rPr>
              <w:t>134</w:t>
            </w:r>
          </w:hyperlink>
        </w:p>
        <w:p>
          <w:pPr>
            <w:pStyle w:val="Contents3"/>
            <w:tabs>
              <w:tab w:val="clear" w:pos="8459"/>
              <w:tab w:val="right" w:pos="9026" w:leader="dot"/>
            </w:tabs>
            <w:rPr/>
          </w:pPr>
          <w:hyperlink w:anchor="__RefHeading___Toc14292634_1280447820">
            <w:r>
              <w:rPr>
                <w:webHidden/>
                <w:rStyle w:val="IndexLink"/>
              </w:rPr>
              <w:t>7.2</w:t>
            </w:r>
            <w:r>
              <w:rPr>
                <w:rStyle w:val="IndexLink"/>
                <w:rtl w:val="true"/>
              </w:rPr>
              <w:t>.</w:t>
            </w:r>
            <w:r>
              <w:rPr>
                <w:rStyle w:val="IndexLink"/>
                <w:rtl w:val="true"/>
              </w:rPr>
              <w:t>علل توقف فتوحات در حکومت امام علی</w:t>
            </w:r>
            <w:r>
              <w:rPr>
                <w:rStyle w:val="IndexLink"/>
                <w:rtl w:val="true"/>
              </w:rPr>
              <w:t>(</w:t>
            </w:r>
            <w:r>
              <w:rPr>
                <w:rStyle w:val="IndexLink"/>
                <w:rtl w:val="true"/>
              </w:rPr>
              <w:t>علیه السلام</w:t>
            </w:r>
            <w:r>
              <w:rPr>
                <w:rStyle w:val="IndexLink"/>
                <w:rtl w:val="true"/>
              </w:rPr>
              <w:t>)</w:t>
              <w:tab/>
            </w:r>
            <w:r>
              <w:rPr>
                <w:rStyle w:val="IndexLink"/>
              </w:rPr>
              <w:t>135</w:t>
            </w:r>
          </w:hyperlink>
        </w:p>
        <w:p>
          <w:pPr>
            <w:pStyle w:val="Contents3"/>
            <w:tabs>
              <w:tab w:val="clear" w:pos="8459"/>
              <w:tab w:val="right" w:pos="9026" w:leader="dot"/>
            </w:tabs>
            <w:rPr/>
          </w:pPr>
          <w:hyperlink w:anchor="__RefHeading___Toc14292636_1280447820">
            <w:r>
              <w:rPr>
                <w:webHidden/>
                <w:rStyle w:val="IndexLink"/>
              </w:rPr>
              <w:t>7.3</w:t>
            </w:r>
            <w:r>
              <w:rPr>
                <w:rStyle w:val="IndexLink"/>
                <w:rtl w:val="true"/>
              </w:rPr>
              <w:t>.</w:t>
            </w:r>
            <w:r>
              <w:rPr>
                <w:rStyle w:val="IndexLink"/>
                <w:rtl w:val="true"/>
              </w:rPr>
              <w:t>سیره پیامبر و امام علی در مواجهه با خوارج</w:t>
            </w:r>
            <w:r>
              <w:rPr>
                <w:rStyle w:val="IndexLink"/>
                <w:rtl w:val="true"/>
              </w:rPr>
              <w:tab/>
            </w:r>
            <w:r>
              <w:rPr>
                <w:rStyle w:val="IndexLink"/>
              </w:rPr>
              <w:t>136</w:t>
            </w:r>
          </w:hyperlink>
        </w:p>
        <w:p>
          <w:pPr>
            <w:pStyle w:val="Contents3"/>
            <w:tabs>
              <w:tab w:val="clear" w:pos="8459"/>
              <w:tab w:val="right" w:pos="9026" w:leader="dot"/>
            </w:tabs>
            <w:rPr/>
          </w:pPr>
          <w:hyperlink w:anchor="__RefHeading___Toc14292638_1280447820">
            <w:r>
              <w:rPr>
                <w:webHidden/>
                <w:rStyle w:val="IndexLink"/>
              </w:rPr>
              <w:t>7.4</w:t>
            </w:r>
            <w:r>
              <w:rPr>
                <w:rStyle w:val="IndexLink"/>
                <w:rtl w:val="true"/>
              </w:rPr>
              <w:t>.</w:t>
            </w:r>
            <w:r>
              <w:rPr>
                <w:rStyle w:val="IndexLink"/>
                <w:rtl w:val="true"/>
              </w:rPr>
              <w:t>مقایسه دو رویکرد</w:t>
            </w:r>
            <w:r>
              <w:rPr>
                <w:rStyle w:val="IndexLink"/>
                <w:rtl w:val="true"/>
              </w:rPr>
              <w:t xml:space="preserve">: </w:t>
            </w:r>
            <w:r>
              <w:rPr>
                <w:rStyle w:val="IndexLink"/>
                <w:rtl w:val="true"/>
              </w:rPr>
              <w:t>فتح مکه و جنگ صفین</w:t>
            </w:r>
            <w:r>
              <w:rPr>
                <w:rStyle w:val="IndexLink"/>
                <w:rtl w:val="true"/>
              </w:rPr>
              <w:tab/>
            </w:r>
            <w:r>
              <w:rPr>
                <w:rStyle w:val="IndexLink"/>
              </w:rPr>
              <w:t>137</w:t>
            </w:r>
          </w:hyperlink>
        </w:p>
        <w:p>
          <w:pPr>
            <w:pStyle w:val="Contents3"/>
            <w:tabs>
              <w:tab w:val="clear" w:pos="8459"/>
              <w:tab w:val="right" w:pos="9026" w:leader="dot"/>
            </w:tabs>
            <w:rPr/>
          </w:pPr>
          <w:hyperlink w:anchor="__RefHeading___Toc14292640_1280447820">
            <w:r>
              <w:rPr>
                <w:webHidden/>
                <w:rStyle w:val="IndexLink"/>
              </w:rPr>
              <w:t>7.5</w:t>
            </w:r>
            <w:r>
              <w:rPr>
                <w:rStyle w:val="IndexLink"/>
                <w:rtl w:val="true"/>
              </w:rPr>
              <w:t>.</w:t>
            </w:r>
            <w:r>
              <w:rPr>
                <w:rStyle w:val="IndexLink"/>
                <w:rtl w:val="true"/>
              </w:rPr>
              <w:t>عفو و عدالت</w:t>
            </w:r>
            <w:r>
              <w:rPr>
                <w:rStyle w:val="IndexLink"/>
                <w:rtl w:val="true"/>
              </w:rPr>
              <w:t xml:space="preserve">: </w:t>
            </w:r>
            <w:r>
              <w:rPr>
                <w:rStyle w:val="IndexLink"/>
                <w:rtl w:val="true"/>
              </w:rPr>
              <w:t>تحلیل تطبیقی سیره نظامی پیامبر</w:t>
            </w:r>
            <w:r>
              <w:rPr>
                <w:rStyle w:val="IndexLink"/>
                <w:rtl w:val="true"/>
              </w:rPr>
              <w:t>(</w:t>
            </w:r>
            <w:r>
              <w:rPr>
                <w:rStyle w:val="IndexLink"/>
                <w:rtl w:val="true"/>
              </w:rPr>
              <w:t>صلی الله علیه وآله</w:t>
            </w:r>
            <w:r>
              <w:rPr>
                <w:rStyle w:val="IndexLink"/>
                <w:rtl w:val="true"/>
              </w:rPr>
              <w:t xml:space="preserve">) </w:t>
            </w:r>
            <w:r>
              <w:rPr>
                <w:rStyle w:val="IndexLink"/>
                <w:rtl w:val="true"/>
              </w:rPr>
              <w:t>و امام علی</w:t>
            </w:r>
            <w:r>
              <w:rPr>
                <w:rStyle w:val="IndexLink"/>
                <w:rtl w:val="true"/>
              </w:rPr>
              <w:t>(</w:t>
            </w:r>
            <w:r>
              <w:rPr>
                <w:rStyle w:val="IndexLink"/>
                <w:rtl w:val="true"/>
              </w:rPr>
              <w:t>علیه السلام</w:t>
            </w:r>
            <w:r>
              <w:rPr>
                <w:rStyle w:val="IndexLink"/>
                <w:rtl w:val="true"/>
              </w:rPr>
              <w:t>)</w:t>
              <w:tab/>
            </w:r>
            <w:r>
              <w:rPr>
                <w:rStyle w:val="IndexLink"/>
              </w:rPr>
              <w:t>139</w:t>
            </w:r>
          </w:hyperlink>
        </w:p>
        <w:p>
          <w:pPr>
            <w:pStyle w:val="Contents3"/>
            <w:tabs>
              <w:tab w:val="clear" w:pos="8459"/>
              <w:tab w:val="right" w:pos="9026" w:leader="dot"/>
            </w:tabs>
            <w:rPr/>
          </w:pPr>
          <w:hyperlink w:anchor="__RefHeading___Toc14292642_1280447820">
            <w:r>
              <w:rPr>
                <w:webHidden/>
                <w:rStyle w:val="IndexLink"/>
                <w:rtl w:val="true"/>
              </w:rPr>
              <w:t>جمع بندی و دستآوردهای</w:t>
            </w:r>
            <w:r>
              <w:rPr>
                <w:rStyle w:val="IndexLink"/>
                <w:rtl w:val="true"/>
              </w:rPr>
              <w:tab/>
            </w:r>
            <w:r>
              <w:rPr>
                <w:rStyle w:val="IndexLink"/>
              </w:rPr>
              <w:t>142</w:t>
            </w:r>
          </w:hyperlink>
        </w:p>
        <w:p>
          <w:pPr>
            <w:pStyle w:val="Contents2"/>
            <w:tabs>
              <w:tab w:val="clear" w:pos="8743"/>
              <w:tab w:val="right" w:pos="9026" w:leader="dot"/>
            </w:tabs>
            <w:rPr/>
          </w:pPr>
          <w:hyperlink w:anchor="__RefHeading___Toc14292644_1280447820">
            <w:r>
              <w:rPr>
                <w:webHidden/>
                <w:rStyle w:val="IndexLink"/>
                <w:rtl w:val="true"/>
              </w:rPr>
              <w:t>منابع</w:t>
            </w:r>
            <w:r>
              <w:rPr>
                <w:rStyle w:val="IndexLink"/>
                <w:rtl w:val="true"/>
              </w:rPr>
              <w:tab/>
            </w:r>
            <w:r>
              <w:rPr>
                <w:rStyle w:val="IndexLink"/>
              </w:rPr>
              <w:t>146</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8832_210861"/>
      <w:bookmarkStart w:id="1" w:name="pg18832_210861"/>
      <w:bookmarkEnd w:id="1"/>
    </w:p>
    <w:p>
      <w:pPr>
        <w:pStyle w:val="Heading2"/>
        <w:numPr>
          <w:ilvl w:val="1"/>
          <w:numId w:val="1"/>
        </w:numPr>
        <w:rPr/>
      </w:pPr>
      <w:bookmarkStart w:id="2" w:name="pg18832_210861"/>
      <w:bookmarkStart w:id="3" w:name="__RefHeading___Toc14292324_128044782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شریفی‌رنانی، رضا، </w:t>
      </w:r>
      <w:r>
        <w:rPr>
          <w:rFonts w:eastAsia="IRNazanin" w:cs="IRNazanin"/>
          <w:color w:val="111111"/>
          <w:sz w:val="28"/>
          <w:szCs w:val="28"/>
          <w:lang w:bidi="fa-IR"/>
        </w:rPr>
        <w:t>1354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 در آینه نبوت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تطبیقی سیره حکومت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تهیه و تالیف رضا شریفی‌رنانی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ایلماه، </w:t>
      </w:r>
      <w:r>
        <w:rPr>
          <w:rFonts w:eastAsia="IRNazanin" w:cs="IRNazanin"/>
          <w:color w:val="111111"/>
          <w:sz w:val="28"/>
          <w:szCs w:val="28"/>
          <w:lang w:bidi="fa-IR"/>
        </w:rPr>
        <w:t>1404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8754</w:t>
      </w:r>
      <w:r>
        <w:rPr>
          <w:rFonts w:eastAsia="IRNazanin" w:cs="IRNazanin"/>
          <w:color w:val="111111"/>
          <w:sz w:val="28"/>
          <w:szCs w:val="28"/>
          <w:rtl w:val="true"/>
          <w:lang w:bidi="fa-IR"/>
        </w:rPr>
        <w:t>-</w:t>
      </w:r>
      <w:r>
        <w:rPr>
          <w:rFonts w:eastAsia="IRNazanin" w:cs="IRNazanin"/>
          <w:color w:val="111111"/>
          <w:sz w:val="28"/>
          <w:szCs w:val="28"/>
          <w:lang w:bidi="fa-IR"/>
        </w:rPr>
        <w:t>77</w:t>
      </w:r>
      <w:r>
        <w:rPr>
          <w:rFonts w:eastAsia="IRNazanin" w:cs="IRNazanin"/>
          <w:color w:val="111111"/>
          <w:sz w:val="28"/>
          <w:szCs w:val="28"/>
          <w:rtl w:val="true"/>
          <w:lang w:bidi="fa-IR"/>
        </w:rPr>
        <w:t>-</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عنوان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تطبیقی سیره حکومت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پیامبر اسلام،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هجرت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سیاست و حکومت</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Muhammad, Prophet -- Politics and government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اول،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هجرت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سیاست و حکومت</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Ali ibn Abi-talib, Imam I, 600-661 -- Politics and government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آغاز تا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Islam -- History -- To 661</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BP24/65</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eastAsia="IRNazanin" w:cs="IRNazanin"/>
          <w:color w:val="111111"/>
          <w:sz w:val="28"/>
          <w:szCs w:val="28"/>
          <w:lang w:bidi="fa-IR"/>
        </w:rPr>
        <w:t>297/936</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eastAsia="IRNazanin" w:cs="IRNazanin"/>
          <w:color w:val="111111"/>
          <w:sz w:val="28"/>
          <w:szCs w:val="28"/>
          <w:lang w:bidi="fa-IR"/>
        </w:rPr>
        <w:t>10329882</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4292326_1280447820"/>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الرَّحِیمِ </w:t>
      </w:r>
    </w:p>
    <w:p>
      <w:pPr>
        <w:pStyle w:val="BookText"/>
        <w:rPr/>
      </w:pPr>
      <w:r>
        <w:rPr>
          <w:rFonts w:ascii="IRNazanin" w:hAnsi="IRNazanin" w:eastAsia="IRNazanin"/>
          <w:color w:val="111111"/>
          <w:sz w:val="28"/>
          <w:sz w:val="28"/>
          <w:szCs w:val="28"/>
          <w:rtl w:val="true"/>
          <w:lang w:bidi="fa-IR"/>
        </w:rPr>
        <w:t>امامت در آینه نبوت</w:t>
      </w:r>
    </w:p>
    <w:p>
      <w:pPr>
        <w:pStyle w:val="BookText"/>
        <w:rPr/>
      </w:pPr>
      <w:r>
        <w:rPr>
          <w:rFonts w:ascii="IRNazanin" w:hAnsi="IRNazanin" w:eastAsia="IRNazanin"/>
          <w:color w:val="111111"/>
          <w:sz w:val="28"/>
          <w:sz w:val="28"/>
          <w:szCs w:val="28"/>
          <w:rtl w:val="true"/>
          <w:lang w:bidi="fa-IR"/>
        </w:rPr>
        <w:t>بررسی تطبیقی سیره حکومت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تهیه و تالیف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رضا شریفی رنانی </w:t>
      </w:r>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شریفی‌رنانی، رضا، </w:t>
      </w:r>
      <w:r>
        <w:rPr>
          <w:rFonts w:eastAsia="IRNazanin" w:cs="IRNazanin"/>
          <w:color w:val="111111"/>
          <w:sz w:val="28"/>
          <w:szCs w:val="28"/>
          <w:lang w:bidi="fa-IR"/>
        </w:rPr>
        <w:t>1354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 در آینه نبوت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تطبیقی سیره حکومت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تهیه و تالیف رضا شریفی‌رنانی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ایلماه، </w:t>
      </w:r>
      <w:r>
        <w:rPr>
          <w:rFonts w:eastAsia="IRNazanin" w:cs="IRNazanin"/>
          <w:color w:val="111111"/>
          <w:sz w:val="28"/>
          <w:szCs w:val="28"/>
          <w:lang w:bidi="fa-IR"/>
        </w:rPr>
        <w:t>1404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8754</w:t>
      </w:r>
      <w:r>
        <w:rPr>
          <w:rFonts w:eastAsia="IRNazanin" w:cs="IRNazanin"/>
          <w:color w:val="111111"/>
          <w:sz w:val="28"/>
          <w:szCs w:val="28"/>
          <w:rtl w:val="true"/>
          <w:lang w:bidi="fa-IR"/>
        </w:rPr>
        <w:t>-</w:t>
      </w:r>
      <w:r>
        <w:rPr>
          <w:rFonts w:eastAsia="IRNazanin" w:cs="IRNazanin"/>
          <w:color w:val="111111"/>
          <w:sz w:val="28"/>
          <w:szCs w:val="28"/>
          <w:lang w:bidi="fa-IR"/>
        </w:rPr>
        <w:t>77</w:t>
      </w:r>
      <w:r>
        <w:rPr>
          <w:rFonts w:eastAsia="IRNazanin" w:cs="IRNazanin"/>
          <w:color w:val="111111"/>
          <w:sz w:val="28"/>
          <w:szCs w:val="28"/>
          <w:rtl w:val="true"/>
          <w:lang w:bidi="fa-IR"/>
        </w:rPr>
        <w:t>-</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عنوان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تطبیقی سیره حکومت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پیامبر اسلام،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هجرت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سیاست و حکومت</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Muhammad, Prophet -- Politics and government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اول،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هجرت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سیاست و حکومت</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Ali ibn Abi-talib, Imam I, 600-661 -- Politics and government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آغاز تا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Islam -- History -- To 661</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BP24/65</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eastAsia="IRNazanin" w:cs="IRNazanin"/>
          <w:color w:val="111111"/>
          <w:sz w:val="28"/>
          <w:szCs w:val="28"/>
          <w:lang w:bidi="fa-IR"/>
        </w:rPr>
        <w:t>297/936</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eastAsia="IRNazanin" w:cs="IRNazanin"/>
          <w:color w:val="111111"/>
          <w:sz w:val="28"/>
          <w:szCs w:val="28"/>
          <w:lang w:bidi="fa-IR"/>
        </w:rPr>
        <w:t>10329882</w:t>
      </w:r>
    </w:p>
    <w:p>
      <w:pPr>
        <w:pStyle w:val="BookText"/>
        <w:rPr/>
      </w:pPr>
      <w:r>
        <w:rPr>
          <w:rFonts w:ascii="IRNazanin" w:hAnsi="IRNazanin" w:eastAsia="IRNazanin"/>
          <w:color w:val="111111"/>
          <w:sz w:val="28"/>
          <w:sz w:val="28"/>
          <w:szCs w:val="28"/>
          <w:rtl w:val="true"/>
          <w:lang w:bidi="fa-IR"/>
        </w:rPr>
        <w:t>اطلاعات رکورد کتابشناسی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تاریخ درخواست</w:t>
      </w:r>
      <w:r>
        <w:rPr>
          <w:rFonts w:eastAsia="IRNazanin" w:cs="IRNazanin"/>
          <w:color w:val="111111"/>
          <w:sz w:val="28"/>
          <w:szCs w:val="28"/>
          <w:rtl w:val="true"/>
          <w:lang w:bidi="fa-IR"/>
        </w:rPr>
        <w:t>:</w:t>
      </w:r>
      <w:r>
        <w:rPr>
          <w:rFonts w:eastAsia="IRNazanin" w:cs="IRNazanin"/>
          <w:color w:val="111111"/>
          <w:sz w:val="28"/>
          <w:szCs w:val="28"/>
          <w:lang w:bidi="fa-IR"/>
        </w:rPr>
        <w:t>1404/09/12</w:t>
      </w:r>
    </w:p>
    <w:p>
      <w:pPr>
        <w:pStyle w:val="BookText"/>
        <w:rPr/>
      </w:pPr>
      <w:r>
        <w:rPr>
          <w:rFonts w:ascii="IRNazanin" w:hAnsi="IRNazanin" w:eastAsia="IRNazanin"/>
          <w:color w:val="111111"/>
          <w:sz w:val="28"/>
          <w:sz w:val="28"/>
          <w:szCs w:val="28"/>
          <w:rtl w:val="true"/>
          <w:lang w:bidi="fa-IR"/>
        </w:rPr>
        <w:t>تاریخ پاسخگویی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کد پیگیری</w:t>
      </w:r>
      <w:r>
        <w:rPr>
          <w:rFonts w:eastAsia="IRNazanin" w:cs="IRNazanin"/>
          <w:color w:val="111111"/>
          <w:sz w:val="28"/>
          <w:szCs w:val="28"/>
          <w:rtl w:val="true"/>
          <w:lang w:bidi="fa-IR"/>
        </w:rPr>
        <w:t xml:space="preserve">: </w:t>
      </w:r>
      <w:r>
        <w:rPr>
          <w:rFonts w:eastAsia="IRNazanin" w:cs="IRNazanin"/>
          <w:color w:val="111111"/>
          <w:sz w:val="28"/>
          <w:szCs w:val="28"/>
          <w:lang w:bidi="fa-IR"/>
        </w:rPr>
        <w:t>10329591</w:t>
      </w:r>
    </w:p>
    <w:p>
      <w:pPr>
        <w:pStyle w:val="BookText"/>
        <w:rPr/>
      </w:pPr>
      <w:r>
        <w:rPr>
          <w:rFonts w:ascii="IRNazanin" w:hAnsi="IRNazanin" w:eastAsia="IRNazanin"/>
          <w:color w:val="111111"/>
          <w:sz w:val="28"/>
          <w:sz w:val="28"/>
          <w:szCs w:val="28"/>
          <w:rtl w:val="true"/>
          <w:lang w:bidi="fa-IR"/>
        </w:rPr>
        <w:t>نام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امامت در آینه نبوت</w:t>
      </w:r>
    </w:p>
    <w:p>
      <w:pPr>
        <w:pStyle w:val="BookText"/>
        <w:rPr/>
      </w:pPr>
      <w:r>
        <w:rPr>
          <w:rFonts w:ascii="IRNazanin" w:hAnsi="IRNazanin" w:eastAsia="IRNazanin"/>
          <w:color w:val="111111"/>
          <w:sz w:val="28"/>
          <w:sz w:val="28"/>
          <w:szCs w:val="28"/>
          <w:rtl w:val="true"/>
          <w:lang w:bidi="fa-IR"/>
        </w:rPr>
        <w:t>نام 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 شریفی رنانی</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ایلماه</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eastAsia="IRNazanin" w:cs="IRNazanin"/>
          <w:color w:val="111111"/>
          <w:sz w:val="28"/>
          <w:szCs w:val="28"/>
          <w:lang w:bidi="fa-IR"/>
        </w:rPr>
        <w:t>87547</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978</w:t>
      </w:r>
    </w:p>
    <w:p>
      <w:pPr>
        <w:pStyle w:val="BookText"/>
        <w:rPr/>
      </w:pPr>
      <w:r>
        <w:rPr>
          <w:rFonts w:ascii="IRNazanin" w:hAnsi="IRNazanin" w:eastAsia="IRNazanin"/>
          <w:color w:val="111111"/>
          <w:sz w:val="28"/>
          <w:sz w:val="28"/>
          <w:szCs w:val="28"/>
          <w:rtl w:val="true"/>
          <w:lang w:bidi="fa-IR"/>
        </w:rPr>
        <w:t>شمارگان</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پاییز </w:t>
      </w:r>
      <w:r>
        <w:rPr>
          <w:rFonts w:eastAsia="IRNazanin" w:cs="IRNazanin"/>
          <w:color w:val="111111"/>
          <w:sz w:val="28"/>
          <w:szCs w:val="28"/>
          <w:lang w:bidi="fa-IR"/>
        </w:rPr>
        <w:t>1404</w:t>
      </w:r>
    </w:p>
    <w:p>
      <w:pPr>
        <w:pStyle w:val="BookText"/>
        <w:rPr/>
      </w:pPr>
      <w:r>
        <w:rPr>
          <w:rFonts w:ascii="IRNazanin" w:hAnsi="IRNazanin" w:eastAsia="IRNazanin"/>
          <w:color w:val="111111"/>
          <w:sz w:val="28"/>
          <w:sz w:val="28"/>
          <w:szCs w:val="28"/>
          <w:rtl w:val="true"/>
          <w:lang w:bidi="fa-IR"/>
        </w:rPr>
        <w:t>طرح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علیرضا میرزاده</w:t>
      </w:r>
    </w:p>
    <w:p>
      <w:pPr>
        <w:pStyle w:val="BookText"/>
        <w:rPr/>
      </w:pPr>
      <w:r>
        <w:rPr>
          <w:rFonts w:ascii="IRNazanin" w:hAnsi="IRNazanin" w:eastAsia="IRNazanin"/>
          <w:color w:val="111111"/>
          <w:sz w:val="28"/>
          <w:sz w:val="28"/>
          <w:szCs w:val="28"/>
          <w:rtl w:val="true"/>
          <w:lang w:bidi="fa-IR"/>
        </w:rPr>
        <w:t>ویراستدار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وزنه</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ویراستار دیجیتالی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علی ملک محمّد </w:t>
      </w:r>
      <w:bookmarkStart w:id="7" w:name="pg18832_210865"/>
    </w:p>
    <w:p>
      <w:pPr>
        <w:pStyle w:val="Heading2"/>
        <w:numPr>
          <w:ilvl w:val="1"/>
          <w:numId w:val="1"/>
        </w:numPr>
        <w:rPr/>
      </w:pPr>
      <w:bookmarkStart w:id="8" w:name="__RefHeading___Toc14292328_1280447820"/>
      <w:bookmarkStart w:id="9" w:name="_Toc3"/>
      <w:bookmarkEnd w:id="7"/>
      <w:bookmarkEnd w:id="8"/>
      <w:r>
        <w:rPr>
          <w:rtl w:val="true"/>
        </w:rPr>
        <w:t>قدر دانی</w:t>
      </w:r>
      <w:r>
        <w:rPr>
          <w:rtl w:val="true"/>
        </w:rPr>
        <w:t>:</w:t>
      </w:r>
      <w:bookmarkEnd w:id="9"/>
    </w:p>
    <w:p>
      <w:pPr>
        <w:pStyle w:val="BookText"/>
        <w:rPr/>
      </w:pPr>
      <w:r>
        <w:rPr>
          <w:rFonts w:ascii="IRNazanin" w:hAnsi="IRNazanin" w:eastAsia="IRNazanin"/>
          <w:color w:val="111111"/>
          <w:sz w:val="28"/>
          <w:sz w:val="28"/>
          <w:szCs w:val="28"/>
          <w:rtl w:val="true"/>
          <w:lang w:bidi="fa-IR"/>
        </w:rPr>
        <w:t xml:space="preserve">به روح پر فتوح حضرت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ما را در مسیر اسلام ناب محمدی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رهنمون ساختند؛</w:t>
      </w:r>
    </w:p>
    <w:p>
      <w:pPr>
        <w:pStyle w:val="BookText"/>
        <w:rPr/>
      </w:pPr>
      <w:r>
        <w:rPr>
          <w:rFonts w:ascii="IRNazanin" w:hAnsi="IRNazanin" w:eastAsia="IRNazanin"/>
          <w:color w:val="111111"/>
          <w:sz w:val="28"/>
          <w:sz w:val="28"/>
          <w:szCs w:val="28"/>
          <w:rtl w:val="true"/>
          <w:lang w:bidi="fa-IR"/>
        </w:rPr>
        <w:t>به محضر اساتید معظم که اندک اندوخته علمی خود را مدیون تلاش و  زحمات آنانم؛</w:t>
      </w:r>
    </w:p>
    <w:p>
      <w:pPr>
        <w:pStyle w:val="BookText"/>
        <w:rPr/>
      </w:pPr>
      <w:r>
        <w:rPr>
          <w:rFonts w:ascii="IRNazanin" w:hAnsi="IRNazanin" w:eastAsia="IRNazanin"/>
          <w:color w:val="111111"/>
          <w:sz w:val="28"/>
          <w:sz w:val="28"/>
          <w:szCs w:val="28"/>
          <w:rtl w:val="true"/>
          <w:lang w:bidi="fa-IR"/>
        </w:rPr>
        <w:t>به روح والدین بزرگوار و برادر شهیدم که در زمان حیاتشان هدایتگر و  مشوق من در راه کسب علم دین بودند؛</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همسر و فرزندان مهربانم که با همدلی و همراهی خود مرا یاری دادند</w:t>
      </w:r>
      <w:r>
        <w:rPr>
          <w:rFonts w:eastAsia="IRNazanin" w:cs="IRNazanin"/>
          <w:color w:val="111111"/>
          <w:sz w:val="28"/>
          <w:szCs w:val="28"/>
          <w:rtl w:val="true"/>
          <w:lang w:bidi="fa-IR"/>
        </w:rPr>
        <w:t xml:space="preserve">. </w:t>
      </w:r>
      <w:bookmarkStart w:id="10" w:name="pg18832_210866"/>
    </w:p>
    <w:p>
      <w:pPr>
        <w:pStyle w:val="Heading2"/>
        <w:numPr>
          <w:ilvl w:val="1"/>
          <w:numId w:val="1"/>
        </w:numPr>
        <w:rPr/>
      </w:pPr>
      <w:bookmarkStart w:id="11" w:name="__RefHeading___Toc14292330_1280447820"/>
      <w:bookmarkStart w:id="12" w:name="_Toc4"/>
      <w:bookmarkEnd w:id="10"/>
      <w:bookmarkEnd w:id="11"/>
      <w:r>
        <w:rPr>
          <w:rtl w:val="true"/>
        </w:rPr>
        <w:t>تقدیم</w:t>
      </w:r>
      <w:bookmarkEnd w:id="12"/>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لم یشكر المخلوق، لم یشكر الخالق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 خود لازم می  دانم مراتب تقدیر و تشکر خود را از اساتید معظم حجت الاسلام والمسلمین  دکتر محمدرضا جباری و جناب حجت الاسلام و المسلمین دکتر جواد  سلیمانی را اعلام دارم چرا که در نتیجه هدایت ارشاد و راهنمایی های بی دریغ  و سازنده ایشان این رساله به سرانجام رسید</w:t>
      </w:r>
      <w:r>
        <w:rPr>
          <w:rFonts w:eastAsia="IRNazanin" w:cs="IRNazanin"/>
          <w:color w:val="111111"/>
          <w:sz w:val="28"/>
          <w:szCs w:val="28"/>
          <w:rtl w:val="true"/>
          <w:lang w:bidi="fa-IR"/>
        </w:rPr>
        <w:t xml:space="preserve">. </w:t>
      </w:r>
      <w:bookmarkStart w:id="13" w:name="pg18832_210867"/>
    </w:p>
    <w:p>
      <w:pPr>
        <w:pStyle w:val="Heading2"/>
        <w:numPr>
          <w:ilvl w:val="1"/>
          <w:numId w:val="1"/>
        </w:numPr>
        <w:rPr/>
      </w:pPr>
      <w:bookmarkStart w:id="14" w:name="__RefHeading___Toc14292332_1280447820"/>
      <w:bookmarkStart w:id="15" w:name="_Toc5"/>
      <w:bookmarkEnd w:id="13"/>
      <w:bookmarkEnd w:id="14"/>
      <w:r>
        <w:rPr>
          <w:rtl w:val="true"/>
        </w:rPr>
        <w:t>فهرست مطالب</w:t>
      </w:r>
      <w:bookmarkEnd w:id="15"/>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 مسأله و تعیین قلمرو آن</w:t>
      </w:r>
      <w:r>
        <w:rPr>
          <w:rFonts w:eastAsia="IRNazanin" w:cs="IRNazanin"/>
          <w:color w:val="111111"/>
          <w:sz w:val="28"/>
          <w:szCs w:val="28"/>
          <w:rtl w:val="true"/>
          <w:lang w:bidi="fa-IR"/>
        </w:rPr>
        <w:t xml:space="preserve">: ... </w:t>
      </w:r>
      <w:r>
        <w:rPr>
          <w:rFonts w:eastAsia="IRNazanin" w:cs="IRNazanin"/>
          <w:color w:val="111111"/>
          <w:sz w:val="28"/>
          <w:szCs w:val="28"/>
          <w:lang w:bidi="fa-IR"/>
        </w:rPr>
        <w:t>13</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فرضیه تحقیق</w:t>
      </w:r>
      <w:r>
        <w:rPr>
          <w:rFonts w:eastAsia="IRNazanin" w:cs="IRNazanin"/>
          <w:color w:val="111111"/>
          <w:sz w:val="28"/>
          <w:szCs w:val="28"/>
          <w:rtl w:val="true"/>
          <w:lang w:bidi="fa-IR"/>
        </w:rPr>
        <w:t xml:space="preserve">: ... </w:t>
      </w:r>
      <w:r>
        <w:rPr>
          <w:rFonts w:eastAsia="IRNazanin" w:cs="IRNazanin"/>
          <w:color w:val="111111"/>
          <w:sz w:val="28"/>
          <w:szCs w:val="28"/>
          <w:lang w:bidi="fa-IR"/>
        </w:rPr>
        <w:t>13</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پیشینه تحقیق و امتیاز این پژوهش</w:t>
      </w:r>
      <w:r>
        <w:rPr>
          <w:rFonts w:eastAsia="IRNazanin" w:cs="IRNazanin"/>
          <w:color w:val="111111"/>
          <w:sz w:val="28"/>
          <w:szCs w:val="28"/>
          <w:rtl w:val="true"/>
          <w:lang w:bidi="fa-IR"/>
        </w:rPr>
        <w:t xml:space="preserve">: ... </w:t>
      </w:r>
      <w:r>
        <w:rPr>
          <w:rFonts w:eastAsia="IRNazanin" w:cs="IRNazanin"/>
          <w:color w:val="111111"/>
          <w:sz w:val="28"/>
          <w:szCs w:val="28"/>
          <w:lang w:bidi="fa-IR"/>
        </w:rPr>
        <w:t>14</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ضرورت تحقیق</w:t>
      </w:r>
      <w:r>
        <w:rPr>
          <w:rFonts w:eastAsia="IRNazanin" w:cs="IRNazanin"/>
          <w:color w:val="111111"/>
          <w:sz w:val="28"/>
          <w:szCs w:val="28"/>
          <w:rtl w:val="true"/>
          <w:lang w:bidi="fa-IR"/>
        </w:rPr>
        <w:t xml:space="preserve">: ... </w:t>
      </w:r>
      <w:r>
        <w:rPr>
          <w:rFonts w:eastAsia="IRNazanin" w:cs="IRNazanin"/>
          <w:color w:val="111111"/>
          <w:sz w:val="28"/>
          <w:szCs w:val="28"/>
          <w:lang w:bidi="fa-IR"/>
        </w:rPr>
        <w:t>14</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مفاهیم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حكومت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p>
    <w:p>
      <w:pPr>
        <w:pStyle w:val="BookText"/>
        <w:rPr/>
      </w:pPr>
      <w:r>
        <w:rPr>
          <w:rFonts w:eastAsia="IRNazanin" w:cs="IRNazanin"/>
          <w:color w:val="111111"/>
          <w:sz w:val="28"/>
          <w:szCs w:val="28"/>
          <w:lang w:bidi="fa-IR"/>
        </w:rPr>
        <w:t>1.4.2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تعریف سیره </w:t>
      </w:r>
      <w:r>
        <w:rPr>
          <w:rFonts w:eastAsia="IRNazanin" w:cs="IRNazanin"/>
          <w:color w:val="111111"/>
          <w:sz w:val="28"/>
          <w:szCs w:val="28"/>
          <w:rtl w:val="true"/>
          <w:lang w:bidi="fa-IR"/>
        </w:rPr>
        <w:t xml:space="preserve">:... </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و ضرورت حکومت </w:t>
      </w:r>
      <w:r>
        <w:rPr>
          <w:rFonts w:eastAsia="IRNazanin" w:cs="IRNazanin"/>
          <w:color w:val="111111"/>
          <w:sz w:val="28"/>
          <w:szCs w:val="28"/>
          <w:rtl w:val="true"/>
          <w:lang w:bidi="fa-IR"/>
        </w:rPr>
        <w:t xml:space="preserve">... </w:t>
      </w:r>
      <w:r>
        <w:rPr>
          <w:rFonts w:eastAsia="IRNazanin" w:cs="IRNazanin"/>
          <w:color w:val="111111"/>
          <w:sz w:val="28"/>
          <w:szCs w:val="28"/>
          <w:lang w:bidi="fa-IR"/>
        </w:rPr>
        <w:t>20</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ساختار حکومت نبوی </w:t>
      </w:r>
      <w:r>
        <w:rPr>
          <w:rFonts w:eastAsia="IRNazanin" w:cs="IRNazanin"/>
          <w:color w:val="111111"/>
          <w:sz w:val="28"/>
          <w:szCs w:val="28"/>
          <w:rtl w:val="true"/>
          <w:lang w:bidi="fa-IR"/>
        </w:rPr>
        <w:t xml:space="preserve">... </w:t>
      </w:r>
      <w:r>
        <w:rPr>
          <w:rFonts w:eastAsia="IRNazanin" w:cs="IRNazanin"/>
          <w:color w:val="111111"/>
          <w:sz w:val="28"/>
          <w:szCs w:val="28"/>
          <w:lang w:bidi="fa-IR"/>
        </w:rPr>
        <w:t>21</w:t>
      </w:r>
    </w:p>
    <w:p>
      <w:pPr>
        <w:pStyle w:val="BookText"/>
        <w:rPr/>
      </w:pP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وزارت </w:t>
      </w:r>
      <w:r>
        <w:rPr>
          <w:rFonts w:eastAsia="IRNazanin" w:cs="IRNazanin"/>
          <w:color w:val="111111"/>
          <w:sz w:val="28"/>
          <w:szCs w:val="28"/>
          <w:rtl w:val="true"/>
          <w:lang w:bidi="fa-IR"/>
        </w:rPr>
        <w:t xml:space="preserve">... </w:t>
      </w:r>
      <w:r>
        <w:rPr>
          <w:rFonts w:eastAsia="IRNazanin" w:cs="IRNazanin"/>
          <w:color w:val="111111"/>
          <w:sz w:val="28"/>
          <w:szCs w:val="28"/>
          <w:lang w:bidi="fa-IR"/>
        </w:rPr>
        <w:t>22</w:t>
      </w:r>
    </w:p>
    <w:p>
      <w:pPr>
        <w:pStyle w:val="BookText"/>
        <w:rPr/>
      </w:pPr>
      <w:r>
        <w:rPr>
          <w:rFonts w:eastAsia="IRNazanin" w:cs="IRNazanin"/>
          <w:color w:val="111111"/>
          <w:sz w:val="28"/>
          <w:szCs w:val="28"/>
          <w:lang w:bidi="fa-IR"/>
        </w:rPr>
        <w:t>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جهاز اداری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وزارت كشور</w:t>
      </w:r>
      <w:r>
        <w:rPr>
          <w:rFonts w:eastAsia="IRNazanin" w:cs="IRNazanin"/>
          <w:color w:val="111111"/>
          <w:sz w:val="28"/>
          <w:szCs w:val="28"/>
          <w:rtl w:val="true"/>
          <w:lang w:bidi="fa-IR"/>
        </w:rPr>
        <w:t xml:space="preserve">). </w:t>
      </w:r>
      <w:r>
        <w:rPr>
          <w:rFonts w:eastAsia="IRNazanin" w:cs="IRNazanin"/>
          <w:color w:val="111111"/>
          <w:sz w:val="28"/>
          <w:szCs w:val="28"/>
          <w:lang w:bidi="fa-IR"/>
        </w:rPr>
        <w:t>26</w:t>
      </w:r>
    </w:p>
    <w:p>
      <w:pPr>
        <w:pStyle w:val="BookText"/>
        <w:rPr/>
      </w:pPr>
      <w:r>
        <w:rPr>
          <w:rFonts w:eastAsia="IRNazanin" w:cs="IRNazanin"/>
          <w:color w:val="111111"/>
          <w:sz w:val="28"/>
          <w:szCs w:val="28"/>
          <w:lang w:bidi="fa-IR"/>
        </w:rPr>
        <w:t>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جهاز فنی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دبیر خانه</w:t>
      </w:r>
      <w:r>
        <w:rPr>
          <w:rFonts w:eastAsia="IRNazanin" w:cs="IRNazanin"/>
          <w:color w:val="111111"/>
          <w:sz w:val="28"/>
          <w:szCs w:val="28"/>
          <w:rtl w:val="true"/>
          <w:lang w:bidi="fa-IR"/>
        </w:rPr>
        <w:t xml:space="preserve">) ... </w:t>
      </w:r>
      <w:r>
        <w:rPr>
          <w:rFonts w:eastAsia="IRNazanin" w:cs="IRNazanin"/>
          <w:color w:val="111111"/>
          <w:sz w:val="28"/>
          <w:szCs w:val="28"/>
          <w:lang w:bidi="fa-IR"/>
        </w:rPr>
        <w:t>27</w:t>
      </w:r>
    </w:p>
    <w:p>
      <w:pPr>
        <w:pStyle w:val="BookText"/>
        <w:rPr/>
      </w:pP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جهاز قضائی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قوه قضائیه</w:t>
      </w:r>
      <w:r>
        <w:rPr>
          <w:rFonts w:eastAsia="IRNazanin" w:cs="IRNazanin"/>
          <w:color w:val="111111"/>
          <w:sz w:val="28"/>
          <w:szCs w:val="28"/>
          <w:rtl w:val="true"/>
          <w:lang w:bidi="fa-IR"/>
        </w:rPr>
        <w:t xml:space="preserve">) ... </w:t>
      </w:r>
      <w:r>
        <w:rPr>
          <w:rFonts w:eastAsia="IRNazanin" w:cs="IRNazanin"/>
          <w:color w:val="111111"/>
          <w:sz w:val="28"/>
          <w:szCs w:val="28"/>
          <w:lang w:bidi="fa-IR"/>
        </w:rPr>
        <w:t>29</w:t>
      </w:r>
    </w:p>
    <w:p>
      <w:pPr>
        <w:pStyle w:val="BookText"/>
        <w:rPr/>
      </w:pP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جهاز عسگری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وزارت دفاع</w:t>
      </w:r>
      <w:r>
        <w:rPr>
          <w:rFonts w:eastAsia="IRNazanin" w:cs="IRNazanin"/>
          <w:color w:val="111111"/>
          <w:sz w:val="28"/>
          <w:szCs w:val="28"/>
          <w:rtl w:val="true"/>
          <w:lang w:bidi="fa-IR"/>
        </w:rPr>
        <w:t xml:space="preserve">) ... </w:t>
      </w:r>
      <w:r>
        <w:rPr>
          <w:rFonts w:eastAsia="IRNazanin" w:cs="IRNazanin"/>
          <w:color w:val="111111"/>
          <w:sz w:val="28"/>
          <w:szCs w:val="28"/>
          <w:lang w:bidi="fa-IR"/>
        </w:rPr>
        <w:t>31</w:t>
      </w:r>
    </w:p>
    <w:p>
      <w:pPr>
        <w:pStyle w:val="BookText"/>
        <w:rPr/>
      </w:pPr>
      <w:r>
        <w:rPr>
          <w:rFonts w:eastAsia="IRNazanin" w:cs="IRNazanin"/>
          <w:color w:val="111111"/>
          <w:sz w:val="28"/>
          <w:szCs w:val="28"/>
          <w:lang w:bidi="fa-IR"/>
        </w:rPr>
        <w:t>2.2.6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دستگاه تبلیغاتی پیامبر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 </w:t>
      </w:r>
      <w:r>
        <w:rPr>
          <w:rFonts w:eastAsia="IRNazanin" w:cs="IRNazanin"/>
          <w:color w:val="111111"/>
          <w:sz w:val="28"/>
          <w:szCs w:val="28"/>
          <w:lang w:bidi="fa-IR"/>
        </w:rPr>
        <w:t>42</w:t>
      </w:r>
    </w:p>
    <w:p>
      <w:pPr>
        <w:pStyle w:val="BookText"/>
        <w:rPr/>
      </w:pPr>
      <w:r>
        <w:rPr>
          <w:rFonts w:eastAsia="IRNazanin" w:cs="IRNazanin"/>
          <w:color w:val="111111"/>
          <w:sz w:val="28"/>
          <w:szCs w:val="28"/>
          <w:lang w:bidi="fa-IR"/>
        </w:rPr>
        <w:t>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دستگاه امنیتی در حکومت پیامبر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 </w:t>
      </w:r>
      <w:r>
        <w:rPr>
          <w:rFonts w:eastAsia="IRNazanin" w:cs="IRNazanin"/>
          <w:color w:val="111111"/>
          <w:sz w:val="28"/>
          <w:szCs w:val="28"/>
          <w:lang w:bidi="fa-IR"/>
        </w:rPr>
        <w:t>43</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امور مالی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سیاست خارجه حكومت اسلامی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 </w:t>
      </w:r>
      <w:r>
        <w:rPr>
          <w:rFonts w:eastAsia="IRNazanin" w:cs="IRNazanin"/>
          <w:color w:val="111111"/>
          <w:sz w:val="28"/>
          <w:szCs w:val="28"/>
          <w:lang w:bidi="fa-IR"/>
        </w:rPr>
        <w:t>48</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كارگزاران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49</w:t>
      </w:r>
    </w:p>
    <w:p>
      <w:pPr>
        <w:pStyle w:val="BookText"/>
        <w:rPr/>
      </w:pPr>
      <w:r>
        <w:rPr>
          <w:rFonts w:eastAsia="IRNazanin" w:cs="IRNazanin"/>
          <w:color w:val="111111"/>
          <w:sz w:val="28"/>
          <w:szCs w:val="28"/>
          <w:lang w:bidi="fa-IR"/>
        </w:rPr>
        <w:t>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جهاز اداری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وزارت كشور</w:t>
      </w:r>
      <w:r>
        <w:rPr>
          <w:rFonts w:eastAsia="IRNazanin" w:cs="IRNazanin"/>
          <w:color w:val="111111"/>
          <w:sz w:val="28"/>
          <w:szCs w:val="28"/>
          <w:rtl w:val="true"/>
          <w:lang w:bidi="fa-IR"/>
        </w:rPr>
        <w:t xml:space="preserve">) ... </w:t>
      </w:r>
      <w:r>
        <w:rPr>
          <w:rFonts w:eastAsia="IRNazanin" w:cs="IRNazanin"/>
          <w:color w:val="111111"/>
          <w:sz w:val="28"/>
          <w:szCs w:val="28"/>
          <w:lang w:bidi="fa-IR"/>
        </w:rPr>
        <w:t>50</w:t>
      </w:r>
    </w:p>
    <w:p>
      <w:pPr>
        <w:pStyle w:val="BookText"/>
        <w:rPr/>
      </w:pP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جهاز قضائی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قوه قضائیه</w:t>
      </w:r>
      <w:r>
        <w:rPr>
          <w:rFonts w:eastAsia="IRNazanin" w:cs="IRNazanin"/>
          <w:color w:val="111111"/>
          <w:sz w:val="28"/>
          <w:szCs w:val="28"/>
          <w:rtl w:val="true"/>
          <w:lang w:bidi="fa-IR"/>
        </w:rPr>
        <w:t xml:space="preserve">) ... </w:t>
      </w:r>
      <w:r>
        <w:rPr>
          <w:rFonts w:eastAsia="IRNazanin" w:cs="IRNazanin"/>
          <w:color w:val="111111"/>
          <w:sz w:val="28"/>
          <w:szCs w:val="28"/>
          <w:lang w:bidi="fa-IR"/>
        </w:rPr>
        <w:t>50</w:t>
      </w:r>
    </w:p>
    <w:p>
      <w:pPr>
        <w:pStyle w:val="BookText"/>
        <w:rPr/>
      </w:pPr>
      <w:r>
        <w:rPr>
          <w:rFonts w:eastAsia="IRNazanin" w:cs="IRNazanin"/>
          <w:color w:val="111111"/>
          <w:sz w:val="28"/>
          <w:szCs w:val="28"/>
          <w:lang w:bidi="fa-IR"/>
        </w:rPr>
        <w:t>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كارگزاران بیت المال؛ </w:t>
      </w:r>
      <w:r>
        <w:rPr>
          <w:rFonts w:eastAsia="IRNazanin" w:cs="IRNazanin"/>
          <w:color w:val="111111"/>
          <w:sz w:val="28"/>
          <w:szCs w:val="28"/>
          <w:rtl w:val="true"/>
          <w:lang w:bidi="fa-IR"/>
        </w:rPr>
        <w:t xml:space="preserve">... </w:t>
      </w:r>
      <w:r>
        <w:rPr>
          <w:rFonts w:eastAsia="IRNazanin" w:cs="IRNazanin"/>
          <w:color w:val="111111"/>
          <w:sz w:val="28"/>
          <w:szCs w:val="28"/>
          <w:lang w:bidi="fa-IR"/>
        </w:rPr>
        <w:t>51</w:t>
      </w:r>
    </w:p>
    <w:p>
      <w:pPr>
        <w:pStyle w:val="BookText"/>
        <w:rPr/>
      </w:pPr>
      <w:r>
        <w:rPr>
          <w:rFonts w:eastAsia="IRNazanin" w:cs="IRNazanin"/>
          <w:color w:val="111111"/>
          <w:sz w:val="28"/>
          <w:szCs w:val="28"/>
          <w:lang w:bidi="fa-IR"/>
        </w:rPr>
        <w:t>2.3.4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گردآوران صدقات و مالیات؛ </w:t>
      </w:r>
      <w:r>
        <w:rPr>
          <w:rFonts w:eastAsia="IRNazanin" w:cs="IRNazanin"/>
          <w:color w:val="111111"/>
          <w:sz w:val="28"/>
          <w:szCs w:val="28"/>
          <w:rtl w:val="true"/>
          <w:lang w:bidi="fa-IR"/>
        </w:rPr>
        <w:t xml:space="preserve">... </w:t>
      </w:r>
      <w:r>
        <w:rPr>
          <w:rFonts w:eastAsia="IRNazanin" w:cs="IRNazanin"/>
          <w:color w:val="111111"/>
          <w:sz w:val="28"/>
          <w:szCs w:val="28"/>
          <w:lang w:bidi="fa-IR"/>
        </w:rPr>
        <w:t>52</w:t>
      </w:r>
    </w:p>
    <w:p>
      <w:pPr>
        <w:pStyle w:val="BookText"/>
        <w:rPr/>
      </w:pPr>
      <w:r>
        <w:rPr>
          <w:rFonts w:eastAsia="IRNazanin" w:cs="IRNazanin"/>
          <w:color w:val="111111"/>
          <w:sz w:val="28"/>
          <w:szCs w:val="28"/>
          <w:lang w:bidi="fa-IR"/>
        </w:rPr>
        <w:t>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حاجبان و دربانان؛</w:t>
      </w:r>
      <w:r>
        <w:rPr>
          <w:rFonts w:eastAsia="IRNazanin" w:cs="IRNazanin"/>
          <w:color w:val="111111"/>
          <w:sz w:val="28"/>
          <w:szCs w:val="28"/>
          <w:rtl w:val="true"/>
          <w:lang w:bidi="fa-IR"/>
        </w:rPr>
        <w:t xml:space="preserve">...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آداب فتوحات </w:t>
      </w:r>
      <w:r>
        <w:rPr>
          <w:rFonts w:eastAsia="IRNazanin" w:cs="IRNazanin"/>
          <w:color w:val="111111"/>
          <w:sz w:val="28"/>
          <w:szCs w:val="28"/>
          <w:rtl w:val="true"/>
          <w:lang w:bidi="fa-IR"/>
        </w:rPr>
        <w:t xml:space="preserve">... </w:t>
      </w:r>
      <w:r>
        <w:rPr>
          <w:rFonts w:eastAsia="IRNazanin" w:cs="IRNazanin"/>
          <w:color w:val="111111"/>
          <w:sz w:val="28"/>
          <w:szCs w:val="28"/>
          <w:lang w:bidi="fa-IR"/>
        </w:rPr>
        <w:t>57</w:t>
      </w:r>
    </w:p>
    <w:p>
      <w:pPr>
        <w:pStyle w:val="BookText"/>
        <w:rPr/>
      </w:pPr>
      <w:r>
        <w:rPr>
          <w:rFonts w:eastAsia="IRNazanin" w:cs="IRNazanin"/>
          <w:color w:val="111111"/>
          <w:sz w:val="28"/>
          <w:szCs w:val="28"/>
          <w:lang w:bidi="fa-IR"/>
        </w:rPr>
        <w:t>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اتمام حجت در سیره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57</w:t>
      </w:r>
    </w:p>
    <w:p>
      <w:pPr>
        <w:pStyle w:val="BookText"/>
        <w:rPr/>
      </w:pPr>
      <w:r>
        <w:rPr>
          <w:rFonts w:eastAsia="IRNazanin" w:cs="IRNazanin"/>
          <w:color w:val="111111"/>
          <w:sz w:val="28"/>
          <w:szCs w:val="28"/>
          <w:lang w:bidi="fa-IR"/>
        </w:rPr>
        <w:t>3.1.2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اصول حاکم بر امور نظامی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 با معارضان در سیره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eastAsia="IRNazanin" w:cs="IRNazanin"/>
          <w:color w:val="111111"/>
          <w:sz w:val="28"/>
          <w:szCs w:val="28"/>
          <w:lang w:bidi="fa-IR"/>
        </w:rPr>
        <w:t>85</w:t>
      </w:r>
    </w:p>
    <w:p>
      <w:pPr>
        <w:pStyle w:val="BookText"/>
        <w:rPr/>
      </w:pPr>
      <w:r>
        <w:rPr>
          <w:rFonts w:eastAsia="IRNazanin" w:cs="IRNazanin"/>
          <w:color w:val="111111"/>
          <w:sz w:val="28"/>
          <w:szCs w:val="28"/>
          <w:lang w:bidi="fa-IR"/>
        </w:rPr>
        <w:t>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مدارا</w:t>
      </w:r>
      <w:r>
        <w:rPr>
          <w:rFonts w:eastAsia="IRNazanin" w:cs="IRNazanin"/>
          <w:color w:val="111111"/>
          <w:sz w:val="28"/>
          <w:szCs w:val="28"/>
          <w:rtl w:val="true"/>
          <w:lang w:bidi="fa-IR"/>
        </w:rPr>
        <w:t xml:space="preserve">... </w:t>
      </w:r>
      <w:r>
        <w:rPr>
          <w:rFonts w:eastAsia="IRNazanin" w:cs="IRNazanin"/>
          <w:color w:val="111111"/>
          <w:sz w:val="28"/>
          <w:szCs w:val="28"/>
          <w:lang w:bidi="fa-IR"/>
        </w:rPr>
        <w:t>85</w:t>
      </w:r>
    </w:p>
    <w:p>
      <w:pPr>
        <w:pStyle w:val="BookText"/>
        <w:rPr/>
      </w:pPr>
      <w:r>
        <w:rPr>
          <w:rFonts w:eastAsia="IRNazanin" w:cs="IRNazanin"/>
          <w:color w:val="111111"/>
          <w:sz w:val="28"/>
          <w:szCs w:val="28"/>
          <w:lang w:bidi="fa-IR"/>
        </w:rPr>
        <w:t>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روشنگری در برابر شایعه پراكنی</w:t>
      </w:r>
      <w:r>
        <w:rPr>
          <w:rFonts w:eastAsia="IRNazanin" w:cs="IRNazanin"/>
          <w:color w:val="111111"/>
          <w:sz w:val="28"/>
          <w:szCs w:val="28"/>
          <w:rtl w:val="true"/>
          <w:lang w:bidi="fa-IR"/>
        </w:rPr>
        <w:t xml:space="preserve">... </w:t>
      </w:r>
      <w:r>
        <w:rPr>
          <w:rFonts w:eastAsia="IRNazanin" w:cs="IRNazanin"/>
          <w:color w:val="111111"/>
          <w:sz w:val="28"/>
          <w:szCs w:val="28"/>
          <w:lang w:bidi="fa-IR"/>
        </w:rPr>
        <w:t>89</w:t>
      </w:r>
    </w:p>
    <w:p>
      <w:pPr>
        <w:pStyle w:val="BookText"/>
        <w:rPr/>
      </w:pP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منزوی كردن منافقان</w:t>
      </w:r>
      <w:r>
        <w:rPr>
          <w:rFonts w:eastAsia="IRNazanin" w:cs="IRNazanin"/>
          <w:color w:val="111111"/>
          <w:sz w:val="28"/>
          <w:szCs w:val="28"/>
          <w:rtl w:val="true"/>
          <w:lang w:bidi="fa-IR"/>
        </w:rPr>
        <w:t xml:space="preserve">... </w:t>
      </w:r>
      <w:r>
        <w:rPr>
          <w:rFonts w:eastAsia="IRNazanin" w:cs="IRNazanin"/>
          <w:color w:val="111111"/>
          <w:sz w:val="28"/>
          <w:szCs w:val="28"/>
          <w:lang w:bidi="fa-IR"/>
        </w:rPr>
        <w:t>90</w:t>
      </w:r>
    </w:p>
    <w:p>
      <w:pPr>
        <w:pStyle w:val="BookText"/>
        <w:rPr/>
      </w:pPr>
      <w:r>
        <w:rPr>
          <w:rFonts w:eastAsia="IRNazanin" w:cs="IRNazanin"/>
          <w:color w:val="111111"/>
          <w:sz w:val="28"/>
          <w:szCs w:val="28"/>
          <w:lang w:bidi="fa-IR"/>
        </w:rPr>
        <w:t>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 خشونت</w:t>
      </w:r>
      <w:r>
        <w:rPr>
          <w:rFonts w:eastAsia="IRNazanin" w:cs="IRNazanin"/>
          <w:color w:val="111111"/>
          <w:sz w:val="28"/>
          <w:szCs w:val="28"/>
          <w:rtl w:val="true"/>
          <w:lang w:bidi="fa-IR"/>
        </w:rPr>
        <w:t xml:space="preserve">....... </w:t>
      </w:r>
      <w:r>
        <w:rPr>
          <w:rFonts w:eastAsia="IRNazanin" w:cs="IRNazanin"/>
          <w:color w:val="111111"/>
          <w:sz w:val="28"/>
          <w:szCs w:val="28"/>
          <w:lang w:bidi="fa-IR"/>
        </w:rPr>
        <w:t>92</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برخورد با معارضان در سیره امیرالمومنین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فصل پنجم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اقتصاد مقاومتی در سیره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p>
    <w:p>
      <w:pPr>
        <w:pStyle w:val="BookText"/>
        <w:rPr/>
      </w:pPr>
      <w:r>
        <w:rPr>
          <w:rFonts w:eastAsia="IRNazanin" w:cs="IRNazanin"/>
          <w:color w:val="111111"/>
          <w:sz w:val="28"/>
          <w:szCs w:val="28"/>
          <w:lang w:bidi="fa-IR"/>
        </w:rPr>
        <w:t>5.2.1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زکات</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p>
    <w:p>
      <w:pPr>
        <w:pStyle w:val="BookText"/>
        <w:rPr/>
      </w:pPr>
      <w:r>
        <w:rPr>
          <w:rFonts w:eastAsia="IRNazanin" w:cs="IRNazanin"/>
          <w:color w:val="111111"/>
          <w:sz w:val="28"/>
          <w:szCs w:val="28"/>
          <w:lang w:bidi="fa-IR"/>
        </w:rPr>
        <w:t>5.2.2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p>
    <w:p>
      <w:pPr>
        <w:pStyle w:val="BookText"/>
        <w:rPr/>
      </w:pPr>
      <w:r>
        <w:rPr>
          <w:rFonts w:eastAsia="IRNazanin" w:cs="IRNazanin"/>
          <w:color w:val="111111"/>
          <w:sz w:val="28"/>
          <w:szCs w:val="28"/>
          <w:lang w:bidi="fa-IR"/>
        </w:rPr>
        <w:t>5.2.3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خراج</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جزیه</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5.2.5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فئ</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p>
    <w:p>
      <w:pPr>
        <w:pStyle w:val="BookText"/>
        <w:rPr/>
      </w:pPr>
      <w:r>
        <w:rPr>
          <w:rFonts w:eastAsia="IRNazanin" w:cs="IRNazanin"/>
          <w:color w:val="111111"/>
          <w:sz w:val="28"/>
          <w:szCs w:val="28"/>
          <w:lang w:bidi="fa-IR"/>
        </w:rPr>
        <w:t>5.2.6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انفال</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 توزیع بیت‌المال در سیره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p>
    <w:p>
      <w:pPr>
        <w:pStyle w:val="BookText"/>
        <w:rPr/>
      </w:pPr>
      <w:r>
        <w:rPr>
          <w:rFonts w:eastAsia="IRNazanin" w:cs="IRNazanin"/>
          <w:color w:val="111111"/>
          <w:sz w:val="28"/>
          <w:szCs w:val="28"/>
          <w:lang w:bidi="fa-IR"/>
        </w:rPr>
        <w:t>5.2.1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توزیع به‌موقع و عادلانه</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p>
    <w:p>
      <w:pPr>
        <w:pStyle w:val="BookText"/>
        <w:rPr/>
      </w:pPr>
      <w:r>
        <w:rPr>
          <w:rFonts w:eastAsia="IRNazanin" w:cs="IRNazanin"/>
          <w:color w:val="111111"/>
          <w:sz w:val="28"/>
          <w:szCs w:val="28"/>
          <w:lang w:bidi="fa-IR"/>
        </w:rPr>
        <w:t>5.2.2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عطایای هدفمند</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فصل ششم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سیره فرهنگی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ایجاد وحدت اجتماعی</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p>
    <w:p>
      <w:pPr>
        <w:pStyle w:val="BookText"/>
        <w:rPr/>
      </w:pPr>
      <w:r>
        <w:rPr>
          <w:rFonts w:eastAsia="IRNazanin" w:cs="IRNazanin"/>
          <w:color w:val="111111"/>
          <w:sz w:val="28"/>
          <w:szCs w:val="28"/>
          <w:lang w:bidi="fa-IR"/>
        </w:rPr>
        <w:t>6.1.1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پیمان برادری</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p>
    <w:p>
      <w:pPr>
        <w:pStyle w:val="BookText"/>
        <w:rPr/>
      </w:pPr>
      <w:r>
        <w:rPr>
          <w:rFonts w:eastAsia="IRNazanin" w:cs="IRNazanin"/>
          <w:color w:val="111111"/>
          <w:sz w:val="28"/>
          <w:szCs w:val="28"/>
          <w:lang w:bidi="fa-IR"/>
        </w:rPr>
        <w:t>6.1.2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صلح مدینه</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p>
    <w:p>
      <w:pPr>
        <w:pStyle w:val="BookText"/>
        <w:rPr/>
      </w:pPr>
      <w:r>
        <w:rPr>
          <w:rFonts w:eastAsia="IRNazanin" w:cs="IRNazanin"/>
          <w:color w:val="111111"/>
          <w:sz w:val="28"/>
          <w:szCs w:val="28"/>
          <w:lang w:bidi="fa-IR"/>
        </w:rPr>
        <w:t>6.1.3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بیعت‌های وحدت‌آفرین</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p>
    <w:p>
      <w:pPr>
        <w:pStyle w:val="BookText"/>
        <w:rPr/>
      </w:pPr>
      <w:r>
        <w:rPr>
          <w:rFonts w:eastAsia="IRNazanin" w:cs="IRNazanin"/>
          <w:color w:val="111111"/>
          <w:sz w:val="28"/>
          <w:szCs w:val="28"/>
          <w:lang w:bidi="fa-IR"/>
        </w:rPr>
        <w:t>6.1.4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ارشادگری؛ محور وحدت‌آفرینی در سیره نبوی وعلوی</w:t>
      </w:r>
      <w:r>
        <w:rPr>
          <w:rFonts w:eastAsia="IRNazanin" w:cs="IRNazanin"/>
          <w:color w:val="111111"/>
          <w:sz w:val="28"/>
          <w:szCs w:val="28"/>
          <w:rtl w:val="true"/>
          <w:lang w:bidi="fa-IR"/>
        </w:rPr>
        <w:t>...</w:t>
      </w:r>
      <w:r>
        <w:rPr>
          <w:rFonts w:eastAsia="IRNazanin" w:cs="IRNazanin"/>
          <w:color w:val="111111"/>
          <w:sz w:val="28"/>
          <w:szCs w:val="28"/>
          <w:lang w:bidi="fa-IR"/>
        </w:rPr>
        <w:t>132</w:t>
      </w:r>
    </w:p>
    <w:p>
      <w:pPr>
        <w:pStyle w:val="BookText"/>
        <w:rPr/>
      </w:pPr>
      <w:r>
        <w:rPr>
          <w:rFonts w:ascii="IRNazanin" w:hAnsi="IRNazanin" w:eastAsia="IRNazanin"/>
          <w:color w:val="111111"/>
          <w:sz w:val="28"/>
          <w:sz w:val="28"/>
          <w:szCs w:val="28"/>
          <w:rtl w:val="true"/>
          <w:lang w:bidi="fa-IR"/>
        </w:rPr>
        <w:t>فصل هفتم</w:t>
      </w:r>
    </w:p>
    <w:p>
      <w:pPr>
        <w:pStyle w:val="BookText"/>
        <w:rPr/>
      </w:pPr>
      <w:r>
        <w:rPr>
          <w:rFonts w:eastAsia="IRNazanin" w:cs="IRNazanin"/>
          <w:color w:val="111111"/>
          <w:sz w:val="28"/>
          <w:szCs w:val="28"/>
          <w:lang w:bidi="fa-IR"/>
        </w:rPr>
        <w:t>7.1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اصلی تفاوت‌ها در سیره علوی</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p>
    <w:p>
      <w:pPr>
        <w:pStyle w:val="BookText"/>
        <w:rPr/>
      </w:pPr>
      <w:r>
        <w:rPr>
          <w:rFonts w:eastAsia="IRNazanin" w:cs="IRNazanin"/>
          <w:color w:val="111111"/>
          <w:sz w:val="28"/>
          <w:szCs w:val="28"/>
          <w:lang w:bidi="fa-IR"/>
        </w:rPr>
        <w:t>7.1.1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دگرگونی جامعه اسلامی</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p>
    <w:p>
      <w:pPr>
        <w:pStyle w:val="BookText"/>
        <w:rPr/>
      </w:pPr>
      <w:r>
        <w:rPr>
          <w:rFonts w:eastAsia="IRNazanin" w:cs="IRNazanin"/>
          <w:color w:val="111111"/>
          <w:sz w:val="28"/>
          <w:szCs w:val="28"/>
          <w:lang w:bidi="fa-IR"/>
        </w:rPr>
        <w:t>7.1.2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بدعت‌ها و چالش‌های اصلاح</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p>
    <w:p>
      <w:pPr>
        <w:pStyle w:val="BookText"/>
        <w:rPr/>
      </w:pPr>
      <w:r>
        <w:rPr>
          <w:rFonts w:eastAsia="IRNazanin" w:cs="IRNazanin"/>
          <w:color w:val="111111"/>
          <w:sz w:val="28"/>
          <w:szCs w:val="28"/>
          <w:lang w:bidi="fa-IR"/>
        </w:rPr>
        <w:t>7.1.3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موانع اجرای اصلاحات</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p>
    <w:p>
      <w:pPr>
        <w:pStyle w:val="BookText"/>
        <w:rPr/>
      </w:pPr>
      <w:r>
        <w:rPr>
          <w:rFonts w:eastAsia="IRNazanin" w:cs="IRNazanin"/>
          <w:color w:val="111111"/>
          <w:sz w:val="28"/>
          <w:szCs w:val="28"/>
          <w:lang w:bidi="fa-IR"/>
        </w:rPr>
        <w:t>7.2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توقف فتوحات در حکومت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p>
    <w:p>
      <w:pPr>
        <w:pStyle w:val="BookText"/>
        <w:rPr/>
      </w:pPr>
      <w:r>
        <w:rPr>
          <w:rFonts w:eastAsia="IRNazanin" w:cs="IRNazanin"/>
          <w:color w:val="111111"/>
          <w:sz w:val="28"/>
          <w:szCs w:val="28"/>
          <w:lang w:bidi="fa-IR"/>
        </w:rPr>
        <w:t>7.3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سیره پیامبر و امام علی در مواجهه با خوارج</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p>
    <w:p>
      <w:pPr>
        <w:pStyle w:val="BookText"/>
        <w:rPr/>
      </w:pPr>
      <w:r>
        <w:rPr>
          <w:rFonts w:eastAsia="IRNazanin" w:cs="IRNazanin"/>
          <w:color w:val="111111"/>
          <w:sz w:val="28"/>
          <w:szCs w:val="28"/>
          <w:lang w:bidi="fa-IR"/>
        </w:rPr>
        <w:t>7.4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مقایسه دو رویکرد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 مکه و جنگ صفین</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p>
    <w:p>
      <w:pPr>
        <w:pStyle w:val="BookText"/>
        <w:rPr/>
      </w:pPr>
      <w:r>
        <w:rPr>
          <w:rFonts w:eastAsia="IRNazanin" w:cs="IRNazanin"/>
          <w:color w:val="111111"/>
          <w:sz w:val="28"/>
          <w:szCs w:val="28"/>
          <w:lang w:bidi="fa-IR"/>
        </w:rPr>
        <w:t>7.5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عفو و عدالت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تحلیل تطبیقی سیره نظامی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جمع بندی و دستآوردهای تحقیق</w:t>
      </w:r>
      <w:r>
        <w:rPr>
          <w:rFonts w:eastAsia="IRNazanin" w:cs="IRNazanin"/>
          <w:color w:val="111111"/>
          <w:sz w:val="28"/>
          <w:szCs w:val="28"/>
          <w:rtl w:val="true"/>
          <w:lang w:bidi="fa-IR"/>
        </w:rPr>
        <w:t xml:space="preserve">: ... </w:t>
      </w:r>
      <w:r>
        <w:rPr>
          <w:rFonts w:eastAsia="IRNazanin" w:cs="IRNazanin"/>
          <w:color w:val="111111"/>
          <w:sz w:val="28"/>
          <w:szCs w:val="28"/>
          <w:lang w:bidi="fa-IR"/>
        </w:rPr>
        <w:t>136</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فهرست منابع </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bookmarkStart w:id="16" w:name="pg18832_210870"/>
    </w:p>
    <w:p>
      <w:pPr>
        <w:pStyle w:val="Heading2"/>
        <w:numPr>
          <w:ilvl w:val="1"/>
          <w:numId w:val="1"/>
        </w:numPr>
        <w:rPr/>
      </w:pPr>
      <w:bookmarkStart w:id="17" w:name="__RefHeading___Toc14292334_1280447820"/>
      <w:bookmarkStart w:id="18" w:name="_Toc6"/>
      <w:bookmarkEnd w:id="16"/>
      <w:bookmarkEnd w:id="17"/>
      <w:r>
        <w:rPr>
          <w:rtl w:val="true"/>
        </w:rPr>
        <w:t>چکیده</w:t>
      </w:r>
      <w:bookmarkEnd w:id="18"/>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سیر در سیره نبوی و علوی و مطابقت این دو سیره معیار خوبی جهت به دست آوردن شاخصه های حکومتی، اقتصادی، سیاسی، اجتماعی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حکومت ده ساله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مدینه النبی و پنج ساله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کوفه و مطابقت این دو سیره، نتایجی را به همراه دارد که مطالعه آن برای مدیران و صاحبان حکومت فوق العاده ارزشمند و راهگشا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عقاید دینی ما مسلمانان؛ منشاء حکومت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الهی بوده و این مطلب را ما بصورت ایدئولوژیک می پذیریم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دومین حکومتی که با بیست و پنج سال فاصله پس از رحلت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توسط معصوم بر قرار گردید، حکومت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نیز سعی کردند حتی الامکان همانند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حکومت را اداره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موضع گیری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برابر انحرافات و بدعت هایی همچون نماز تراویح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این دلالت دارد که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قصد داشت در تمام موارد همانند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کنند ولی نفوذ منافقان و اشراف و همچنین سرکشی و فرمان گریزی مردم کوفه مانع از تحقق آن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تطبیق دو سیره حداقل دو نکته به عنوان دست آورد تحقیق قابل توجه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غیبت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حکومت غیر معصوم بر جامعه اسلامی، حاکم باید حتی الامکان مطابق با سیره نبی مکرم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نماید، چرا که قطعی ترین مسیر هدایت عمل نمودن بر اساس این سیره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سوال مطرح است که همانگونه که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مواردی براساس موقعیت و مصلحت بر خلاف سیره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 نمود آیا حاکمان مسلمان غیر معصوم هم می توانند بنابر مصلحت در مواردی بر خلاف سیره نبوی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 نمایند؟ در این پژوهش تلاش شده حد اقل در شش فصل به امور حکومتی، نظامی، سیاسی، اجتماعی، فرهنگی و انطباق سیره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نبی مکرم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نگاهی ویژه به سیره پیامبر و علی علیهما السلام پرداخته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اگرچه با اندکی کاوش </w:t>
      </w:r>
    </w:p>
    <w:p>
      <w:pPr>
        <w:pStyle w:val="BookText"/>
        <w:rPr/>
      </w:pPr>
      <w:r>
        <w:rPr>
          <w:rFonts w:ascii="IRNazanin" w:hAnsi="IRNazanin" w:eastAsia="IRNazanin"/>
          <w:color w:val="111111"/>
          <w:sz w:val="28"/>
          <w:sz w:val="28"/>
          <w:szCs w:val="28"/>
          <w:rtl w:val="true"/>
          <w:lang w:bidi="fa-IR"/>
        </w:rPr>
        <w:t>بتوان تک نگاره هایی را در این زمینه به دست آورد؛ لکن زاویه دید جدید به مباحث تاریخی، نوع اداره حکومت اسلامی و همچنین اجتماع مباحث مذکور در یک تحقیق از نو آوریهای منحصر به فرد این پژوهش می باشد</w:t>
      </w:r>
      <w:r>
        <w:rPr>
          <w:rFonts w:eastAsia="IRNazanin" w:cs="IRNazanin"/>
          <w:color w:val="111111"/>
          <w:sz w:val="28"/>
          <w:szCs w:val="28"/>
          <w:rtl w:val="true"/>
          <w:lang w:bidi="fa-IR"/>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پژوهش صورت گرفته می تواند مقدمه ای باشد تا با گسترش و تکمیل آن؛ مباحث مربوط به مبانی مدیریت، حکومت داری، امور نظامی، سیاسی، فرهنگی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با قید اسلامیت در زمان غیبت امام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گسترش داد</w:t>
      </w:r>
      <w:r>
        <w:rPr>
          <w:rFonts w:eastAsia="IRNazanin" w:cs="IRNazanin"/>
          <w:color w:val="111111"/>
          <w:sz w:val="28"/>
          <w:szCs w:val="28"/>
          <w:rtl w:val="true"/>
          <w:lang w:bidi="fa-IR"/>
        </w:rPr>
        <w:t xml:space="preserve">. </w:t>
      </w:r>
      <w:bookmarkStart w:id="19" w:name="pg18832_210872"/>
    </w:p>
    <w:p>
      <w:pPr>
        <w:pStyle w:val="Heading2"/>
        <w:numPr>
          <w:ilvl w:val="1"/>
          <w:numId w:val="1"/>
        </w:numPr>
        <w:rPr/>
      </w:pPr>
      <w:bookmarkStart w:id="20" w:name="__RefHeading___Toc14292336_1280447820"/>
      <w:bookmarkStart w:id="21" w:name="_Toc7"/>
      <w:bookmarkEnd w:id="19"/>
      <w:bookmarkEnd w:id="20"/>
      <w:r>
        <w:rPr>
          <w:rtl w:val="true"/>
        </w:rPr>
        <w:t>فصل اول</w:t>
      </w:r>
      <w:r>
        <w:rPr>
          <w:rtl w:val="true"/>
        </w:rPr>
        <w:t xml:space="preserve">: </w:t>
      </w:r>
      <w:r>
        <w:rPr>
          <w:rtl w:val="true"/>
        </w:rPr>
        <w:t>مفاهیم و کلیات</w:t>
      </w:r>
      <w:bookmarkEnd w:id="21"/>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2" w:name="__RefHeading___Toc14292338_1280447820"/>
      <w:bookmarkStart w:id="23" w:name="_Toc8"/>
      <w:bookmarkEnd w:id="22"/>
      <w:r>
        <w:rPr>
          <w:rtl w:val="true"/>
        </w:rPr>
        <w:t>اشاره</w:t>
      </w:r>
      <w:bookmarkStart w:id="24" w:name="pg18832_210873"/>
      <w:bookmarkEnd w:id="23"/>
    </w:p>
    <w:p>
      <w:pPr>
        <w:pStyle w:val="Heading3"/>
        <w:numPr>
          <w:ilvl w:val="2"/>
          <w:numId w:val="1"/>
        </w:numPr>
        <w:rPr/>
      </w:pPr>
      <w:bookmarkStart w:id="25" w:name="__RefHeading___Toc14292340_1280447820"/>
      <w:bookmarkStart w:id="26" w:name="_Toc9"/>
      <w:bookmarkEnd w:id="24"/>
      <w:bookmarkEnd w:id="25"/>
      <w:r>
        <w:rPr/>
        <w:t>1.1</w:t>
      </w:r>
      <w:r>
        <w:rPr>
          <w:rtl w:val="true"/>
        </w:rPr>
        <w:t>.</w:t>
      </w:r>
      <w:r>
        <w:rPr>
          <w:rtl w:val="true"/>
        </w:rPr>
        <w:t>بیان مسأله و تعیین قلمرو آن</w:t>
      </w:r>
      <w:r>
        <w:rPr>
          <w:rtl w:val="true"/>
        </w:rPr>
        <w:t>:</w:t>
      </w:r>
      <w:bookmarkEnd w:id="26"/>
    </w:p>
    <w:p>
      <w:pPr>
        <w:pStyle w:val="BookText"/>
        <w:rPr/>
      </w:pPr>
      <w:r>
        <w:rPr>
          <w:rFonts w:ascii="IRNazanin" w:hAnsi="IRNazanin" w:eastAsia="IRNazanin"/>
          <w:color w:val="111111"/>
          <w:sz w:val="28"/>
          <w:sz w:val="28"/>
          <w:szCs w:val="28"/>
          <w:rtl w:val="true"/>
          <w:lang w:bidi="fa-IR"/>
        </w:rPr>
        <w:t>در این پژوهش، سیرۀ حکومتی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حوزه‌های تشکیلات حکومتی، امور نظامی، اقتصادی، مواجهه با معارضان و امور فرهنگی مقایسه شده و شباهت‌ها و تفاوت‌های آن دو استخراج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 تجزیه و تحلیل گزاره‌های تاریخی، علل این شباهت‌ها و تفاوت‌ها تبیین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این تحقیق، به شبهات و پرسش‌های مطرح در حوزۀ سیرۀ علوی و نبوی پاسخ داده می‌شود؛ از جمله شبهۀ بستن آب در جنگ بدر توسط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پرسش پیرامون تقسیم اضافی بیت‌المال بین برخی افراد و علل عدم انطباق کامل سیرۀ حکومتی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سیرۀ نبوی در برخی موارد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قلمرو این پژوهش، منحصراً سیرۀ حکومتی آن دو بزرگوار است و تمرکز بر این حوزه، به معنای بی‌توجهی به ابعاد دیگر سیره‌ای ایشان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سیرۀ اجتماعی یا اخلاقی نیست</w:t>
      </w:r>
      <w:r>
        <w:rPr>
          <w:rFonts w:eastAsia="IRNazanin" w:cs="IRNazanin"/>
          <w:color w:val="111111"/>
          <w:sz w:val="28"/>
          <w:szCs w:val="28"/>
          <w:rtl w:val="true"/>
          <w:lang w:bidi="fa-IR"/>
        </w:rPr>
        <w:t>.</w:t>
      </w:r>
    </w:p>
    <w:p>
      <w:pPr>
        <w:pStyle w:val="Heading3"/>
        <w:numPr>
          <w:ilvl w:val="2"/>
          <w:numId w:val="1"/>
        </w:numPr>
        <w:rPr/>
      </w:pPr>
      <w:bookmarkStart w:id="27" w:name="__RefHeading___Toc14292342_1280447820"/>
      <w:bookmarkStart w:id="28" w:name="_Toc10"/>
      <w:bookmarkEnd w:id="27"/>
      <w:r>
        <w:rPr/>
        <w:t>1.2</w:t>
      </w:r>
      <w:r>
        <w:rPr>
          <w:rtl w:val="true"/>
        </w:rPr>
        <w:t>.</w:t>
      </w:r>
      <w:r>
        <w:rPr>
          <w:rtl w:val="true"/>
        </w:rPr>
        <w:t>فرضیه</w:t>
      </w:r>
      <w:bookmarkEnd w:id="28"/>
    </w:p>
    <w:p>
      <w:pPr>
        <w:pStyle w:val="BookText"/>
        <w:rPr/>
      </w:pP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ساختار حکومت امیرالمومنین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لحاظ ماهوی مشابه ساختار حکومت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در صورت وجود تفاوت در قوّت تشکیلاتی، این امر ناشی از گذر زمان و تثبیت تدریجی جایگاه‌های حکومتی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سیره نظامی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میدان‌های نبرد، کاملاً منطبق بر سیره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از جمله رعایت اصول اخلاقی مانند نهی از مثله، منع کشتن غیرنظامیان و پاسداشت حدود شرعی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رویکرد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برخورد با معارضان سیاسی، همسو با سیره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موارد خاصی مانند عدم تقسیم غنایم در جنگ جمل، با توجیهی منطبق بر سنت نبوی قابل تحلیل است</w:t>
      </w:r>
      <w:r>
        <w:rPr>
          <w:rFonts w:eastAsia="IRNazanin" w:cs="IRNazanin"/>
          <w:color w:val="111111"/>
          <w:sz w:val="28"/>
          <w:szCs w:val="28"/>
          <w:rtl w:val="true"/>
          <w:lang w:bidi="fa-IR"/>
        </w:rPr>
        <w:t xml:space="preserve">. </w:t>
      </w:r>
      <w:bookmarkStart w:id="29" w:name="pg18832_210874"/>
    </w:p>
    <w:p>
      <w:pPr>
        <w:pStyle w:val="BookText"/>
        <w:rPr/>
      </w:pPr>
      <w:bookmarkEnd w:id="29"/>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سیاست‌های اقتصادی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مواردی همچون سرعت در توزیع بیت‌المال و رعایت تساوی در تقسیم منابع، هماهنگ با سیره نبوی است؛ هرچند پدیده‌هایی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بخشش اضافی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نیازمند تبیین علّی جداگانه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حوزه سیره فرهنگی و اجتماعی، میزان انطباق سیره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سیره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کمتر از سایر حوزه‌هاست که این امر با توجه به شرایط اجتماعی و مقاومت جامعه در برابر برخی اصلاحات، قابل تبیین می‌باشد</w:t>
      </w:r>
      <w:r>
        <w:rPr>
          <w:rFonts w:eastAsia="IRNazanin" w:cs="IRNazanin"/>
          <w:color w:val="111111"/>
          <w:sz w:val="28"/>
          <w:szCs w:val="28"/>
          <w:rtl w:val="true"/>
          <w:lang w:bidi="fa-IR"/>
        </w:rPr>
        <w:t>.</w:t>
      </w:r>
    </w:p>
    <w:p>
      <w:pPr>
        <w:pStyle w:val="Heading3"/>
        <w:numPr>
          <w:ilvl w:val="2"/>
          <w:numId w:val="1"/>
        </w:numPr>
        <w:rPr/>
      </w:pPr>
      <w:bookmarkStart w:id="30" w:name="__RefHeading___Toc14292344_1280447820"/>
      <w:bookmarkStart w:id="31" w:name="_Toc11"/>
      <w:bookmarkEnd w:id="30"/>
      <w:r>
        <w:rPr/>
        <w:t>1.3</w:t>
      </w:r>
      <w:r>
        <w:rPr>
          <w:rtl w:val="true"/>
        </w:rPr>
        <w:t>.</w:t>
      </w:r>
      <w:r>
        <w:rPr>
          <w:rtl w:val="true"/>
        </w:rPr>
        <w:t>پیشینه تحقیق و امتیاز این پژوهش</w:t>
      </w:r>
      <w:r>
        <w:rPr>
          <w:rtl w:val="true"/>
        </w:rPr>
        <w:t>:</w:t>
      </w:r>
      <w:bookmarkEnd w:id="31"/>
    </w:p>
    <w:p>
      <w:pPr>
        <w:pStyle w:val="BookText"/>
        <w:rPr/>
      </w:pPr>
      <w:r>
        <w:rPr>
          <w:rFonts w:ascii="IRNazanin" w:hAnsi="IRNazanin" w:eastAsia="IRNazanin"/>
          <w:color w:val="111111"/>
          <w:sz w:val="28"/>
          <w:sz w:val="28"/>
          <w:szCs w:val="28"/>
          <w:rtl w:val="true"/>
          <w:lang w:bidi="fa-IR"/>
        </w:rPr>
        <w:t>بررسی سیرۀ حکومتی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موضوعات پر سابقه در حوزۀ مطالعات اسلامی است که تاکنون تک‌نگاری‌های متعددی در زمینه‌های گوناگون آن از جمله عزل و نصب کارگزاران، سیرۀ اقتصادی، فرهنگی، نظامی و سیاسی به رشتۀ تحریر درآمده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نمونه، آثار ارزشمندی همچون نوشته‌های مرحوم علامه عسگری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معالم المدرستین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مرحوم علامه جعفر مرتضی عاملی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الصحیح من سیره النبی الاعظم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الصحیح من سیره الامام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تفصیل به این موضوع پرداخته‌اند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حال، این پژوهش‌های پیشین، ما را از انجام تحقیقی با رویکرد تطبیقی</w:t>
        <w:noBreakHyphen/>
        <w:t>مقایسه‌ای میان حکومت نبوی و علوی بی‌نیاز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این پژوهش، جمع‌آوری، سازماندهی و تکمیل پژوهش‌های پیشین با نگاهی نو به روش‌های حکومت‌داری اسلامی در عصر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سنجش میزان تطبیق آن با سیرۀ نبوی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3"/>
        <w:numPr>
          <w:ilvl w:val="2"/>
          <w:numId w:val="1"/>
        </w:numPr>
        <w:rPr/>
      </w:pPr>
      <w:bookmarkStart w:id="32" w:name="__RefHeading___Toc14292346_1280447820"/>
      <w:bookmarkStart w:id="33" w:name="_Toc12"/>
      <w:bookmarkEnd w:id="32"/>
      <w:r>
        <w:rPr/>
        <w:t>1.3</w:t>
      </w:r>
      <w:r>
        <w:rPr>
          <w:rtl w:val="true"/>
        </w:rPr>
        <w:t>.</w:t>
      </w:r>
      <w:r>
        <w:rPr>
          <w:rtl w:val="true"/>
        </w:rPr>
        <w:t>ضرورت تحقیق</w:t>
      </w:r>
      <w:r>
        <w:rPr>
          <w:rtl w:val="true"/>
        </w:rPr>
        <w:t>:</w:t>
      </w:r>
      <w:bookmarkEnd w:id="33"/>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الگو و اسوه بودن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حكومت اسلامی تشكیل شده توسط ایشان و به تبع آن حكومت محدود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مسلمانان را بر آن داشته تا سیره حكومتی این دو معصوم را مبنای حكومت داری خود قرار دهند، لكن با توجه به اینكه در </w:t>
      </w:r>
      <w:bookmarkStart w:id="34" w:name="pg18832_210875"/>
    </w:p>
    <w:p>
      <w:pPr>
        <w:pStyle w:val="BookText"/>
        <w:rPr/>
      </w:pPr>
      <w:bookmarkEnd w:id="34"/>
      <w:r>
        <w:rPr>
          <w:rFonts w:ascii="IRNazanin" w:hAnsi="IRNazanin" w:eastAsia="IRNazanin"/>
          <w:color w:val="111111"/>
          <w:sz w:val="28"/>
          <w:sz w:val="28"/>
          <w:szCs w:val="28"/>
          <w:rtl w:val="true"/>
          <w:lang w:bidi="fa-IR"/>
        </w:rPr>
        <w:t>بعضی از موارد سیره حكومتی آنها با هم متفاوت است، ما در این تحقیق تلاش می كنیم منشاء تفاوت و شباهت دو سیره را مورد بررسی قرار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متعال در قرآن كریم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كان لكم فی رسول الله اسوة حسنه لمن كان یرجوا الله و الیوم الاخر و ذكر الله كثیرا</w:t>
      </w:r>
      <w:r>
        <w:rPr>
          <w:rFonts w:eastAsia="IRNazanin" w:cs="IRNazanin"/>
          <w:color w:val="111111"/>
          <w:sz w:val="28"/>
          <w:szCs w:val="28"/>
          <w:rtl w:val="true"/>
          <w:lang w:bidi="fa-IR"/>
        </w:rPr>
        <w:t>»</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 xml:space="preserve">به این معنا كه هر كس می خواهد به خدا برسد پیامبر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الگو برای او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نبی مكرم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ثقلین اهل بیت علیهم السلام را به عنوان ثقل اصغر؛ بهترین راه هدایت معرفی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آنجایی كه در بعضی از موارد در ظاهر، سیره علی علیه السلام با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منطبق نیست، ضرورت دارد منشاء تفاوت و انطباق این دو سیره را مورد بررسی قرار دهیم</w:t>
      </w:r>
      <w:r>
        <w:rPr>
          <w:rFonts w:eastAsia="IRNazanin" w:cs="IRNazanin"/>
          <w:color w:val="111111"/>
          <w:sz w:val="28"/>
          <w:szCs w:val="28"/>
          <w:rtl w:val="true"/>
          <w:lang w:bidi="fa-IR"/>
        </w:rPr>
        <w:t>.</w:t>
      </w:r>
    </w:p>
    <w:p>
      <w:pPr>
        <w:pStyle w:val="Heading3"/>
        <w:numPr>
          <w:ilvl w:val="2"/>
          <w:numId w:val="1"/>
        </w:numPr>
        <w:rPr/>
      </w:pPr>
      <w:bookmarkStart w:id="35" w:name="__RefHeading___Toc14292348_1280447820"/>
      <w:bookmarkStart w:id="36" w:name="_Toc13"/>
      <w:bookmarkEnd w:id="35"/>
      <w:r>
        <w:rPr/>
        <w:t>1.4</w:t>
      </w:r>
      <w:r>
        <w:rPr>
          <w:rtl w:val="true"/>
        </w:rPr>
        <w:t>.</w:t>
      </w:r>
      <w:r>
        <w:rPr>
          <w:rtl w:val="true"/>
        </w:rPr>
        <w:t>مفاهیم</w:t>
      </w:r>
      <w:r>
        <w:rPr>
          <w:rtl w:val="true"/>
        </w:rPr>
        <w:t>:</w:t>
      </w:r>
      <w:bookmarkEnd w:id="36"/>
    </w:p>
    <w:p>
      <w:pPr>
        <w:pStyle w:val="Heading4"/>
        <w:numPr>
          <w:ilvl w:val="3"/>
          <w:numId w:val="1"/>
        </w:numPr>
        <w:rPr/>
      </w:pPr>
      <w:bookmarkStart w:id="37" w:name="__RefHeading___Toc14292350_1280447820"/>
      <w:bookmarkStart w:id="38" w:name="_Toc14"/>
      <w:bookmarkEnd w:id="37"/>
      <w:r>
        <w:rPr/>
        <w:t>1.4.1</w:t>
      </w:r>
      <w:r>
        <w:rPr>
          <w:rtl w:val="true"/>
        </w:rPr>
        <w:t>.</w:t>
      </w:r>
      <w:r>
        <w:rPr>
          <w:rtl w:val="true"/>
        </w:rPr>
        <w:t xml:space="preserve">حكومت </w:t>
      </w:r>
      <w:r>
        <w:rPr>
          <w:rtl w:val="true"/>
        </w:rPr>
        <w:t>:</w:t>
      </w:r>
      <w:bookmarkEnd w:id="38"/>
    </w:p>
    <w:p>
      <w:pPr>
        <w:pStyle w:val="BookText"/>
        <w:rPr/>
      </w:pPr>
      <w:r>
        <w:rPr>
          <w:rFonts w:ascii="IRNazanin" w:hAnsi="IRNazanin" w:eastAsia="IRNazanin"/>
          <w:color w:val="111111"/>
          <w:sz w:val="28"/>
          <w:sz w:val="28"/>
          <w:szCs w:val="28"/>
          <w:rtl w:val="true"/>
          <w:lang w:bidi="fa-IR"/>
        </w:rPr>
        <w:t>حکومت در لغت به معنای فرمانروایی و حکمرانی است و هنگامی که با صفتی به کار رود، برای بیان نوع حکومت سیاسی مورد استفاده قرار می‌گیرد</w:t>
      </w:r>
      <w:r>
        <w:rPr>
          <w:rFonts w:eastAsia="IRNazanin" w:cs="IRNazanin"/>
          <w:color w:val="111111"/>
          <w:sz w:val="28"/>
          <w:szCs w:val="28"/>
          <w:rtl w:val="true"/>
          <w:lang w:bidi="fa-IR"/>
        </w:rPr>
        <w:t>.</w:t>
      </w:r>
      <w:r>
        <w:rPr>
          <w:rStyle w:val="FootnoteAnchor"/>
          <w:rtl w:val="true"/>
        </w:rPr>
        <w:footnoteReference w:id="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در اصطلاح، به قدرت عالیه‌ای اطلاق می‌شود که هم قانون‌گذار و هم مجری قانون است و فراتر از آن، هیچ مرجع قدرتی وجود ندارد</w:t>
      </w:r>
      <w:r>
        <w:rPr>
          <w:rFonts w:eastAsia="IRNazanin" w:cs="IRNazanin"/>
          <w:color w:val="111111"/>
          <w:sz w:val="28"/>
          <w:szCs w:val="28"/>
          <w:rtl w:val="true"/>
          <w:lang w:bidi="fa-IR"/>
        </w:rPr>
        <w:t>.</w:t>
      </w:r>
      <w:r>
        <w:rPr>
          <w:rStyle w:val="FootnoteAnchor"/>
          <w:rtl w:val="true"/>
        </w:rPr>
        <w:footnoteReference w:id="4"/>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جهان‌بینی اسلامی، حکومت منحصراً از آنِ خداست و کسانی که از سوی او مجازند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پیامبران، ائمه و فقهای جامع‌الشرایط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عهده‌دار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با ارائه قوانین سعادت‌آفرین، بهترین اندیشه سیاسی را برای مدیریت کلان جامعه ارائه داده و به همین دلیل، پیوندی ناگسستنی با سیاست دارد</w:t>
      </w:r>
      <w:r>
        <w:rPr>
          <w:rFonts w:eastAsia="IRNazanin" w:cs="IRNazanin"/>
          <w:color w:val="111111"/>
          <w:sz w:val="28"/>
          <w:szCs w:val="28"/>
          <w:rtl w:val="true"/>
          <w:lang w:bidi="fa-IR"/>
        </w:rPr>
        <w:t xml:space="preserve">. </w:t>
      </w:r>
      <w:bookmarkStart w:id="39" w:name="pg18832_210876"/>
    </w:p>
    <w:p>
      <w:pPr>
        <w:pStyle w:val="BookText"/>
        <w:rPr/>
      </w:pPr>
      <w:bookmarkEnd w:id="39"/>
      <w:r>
        <w:rPr>
          <w:rFonts w:ascii="IRNazanin" w:hAnsi="IRNazanin" w:eastAsia="IRNazanin"/>
          <w:color w:val="111111"/>
          <w:sz w:val="28"/>
          <w:sz w:val="28"/>
          <w:szCs w:val="28"/>
          <w:rtl w:val="true"/>
          <w:lang w:bidi="fa-IR"/>
        </w:rPr>
        <w:t xml:space="preserve">نظام سیاسی مطلوب در اسلام، نظام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 و 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توجه به نیازهای متعارض انسان‌ها، تشکیل حکومت یک ضرورت اجتماعی به شمار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همین اساس، پیامبر اعظم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تحقق اهداف زیر اقدام به تشکیل حکومت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هدایت بشریت از ظلمت به سوی نور توحید،اجرای قوانین شریعت بر پایه عدالت،تزکیه و تربیت نفوس آلوده به اخلاق رذیله و آراستن آنان به آداب و اخلاق حسنه</w:t>
      </w:r>
      <w:r>
        <w:rPr>
          <w:rFonts w:eastAsia="IRNazanin" w:cs="IRNazanin"/>
          <w:color w:val="111111"/>
          <w:sz w:val="28"/>
          <w:szCs w:val="28"/>
          <w:rtl w:val="true"/>
          <w:lang w:bidi="fa-IR"/>
        </w:rPr>
        <w:t>.</w:t>
      </w:r>
    </w:p>
    <w:p>
      <w:pPr>
        <w:pStyle w:val="Heading4"/>
        <w:numPr>
          <w:ilvl w:val="3"/>
          <w:numId w:val="1"/>
        </w:numPr>
        <w:rPr/>
      </w:pPr>
      <w:bookmarkStart w:id="40" w:name="__RefHeading___Toc14292352_1280447820"/>
      <w:bookmarkStart w:id="41" w:name="_Toc15"/>
      <w:bookmarkEnd w:id="40"/>
      <w:r>
        <w:rPr/>
        <w:t>1.4.2</w:t>
      </w:r>
      <w:r>
        <w:rPr>
          <w:rtl w:val="true"/>
        </w:rPr>
        <w:t>.</w:t>
      </w:r>
      <w:r>
        <w:rPr>
          <w:rtl w:val="true"/>
        </w:rPr>
        <w:t xml:space="preserve">تعریف سیره </w:t>
      </w:r>
      <w:r>
        <w:rPr>
          <w:rtl w:val="true"/>
        </w:rPr>
        <w:t>:</w:t>
      </w:r>
      <w:bookmarkEnd w:id="41"/>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سیره، اسم مصدر از ریشه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جمع‌های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در معانی متعددی به کار رفته‌است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این معانی، طریقه و روش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اصطلاح، سیره به بنای عملی انسان‌ها در طول تاریخ بر انجام یا ترک یک عمل اطلاق می‌شود</w:t>
      </w:r>
      <w:r>
        <w:rPr>
          <w:rFonts w:eastAsia="IRNazanin" w:cs="IRNazanin"/>
          <w:color w:val="111111"/>
          <w:sz w:val="28"/>
          <w:szCs w:val="28"/>
          <w:rtl w:val="true"/>
          <w:lang w:bidi="fa-IR"/>
        </w:rPr>
        <w:t>.</w:t>
      </w:r>
      <w:r>
        <w:rPr>
          <w:rStyle w:val="FootnoteAnchor"/>
          <w:rtl w:val="true"/>
        </w:rPr>
        <w:footnoteReference w:id="5"/>
      </w:r>
      <w:r>
        <w:rPr>
          <w:rFonts w:ascii="IRNazanin" w:hAnsi="IRNazanin" w:eastAsia="IRNazanin"/>
          <w:color w:val="111111"/>
          <w:sz w:val="28"/>
          <w:sz w:val="28"/>
          <w:szCs w:val="28"/>
          <w:rtl w:val="true"/>
          <w:lang w:bidi="fa-IR"/>
        </w:rPr>
        <w:t>به عبارت دیگر، سیره به روش و شیوۀ عملی مستمری گفته می‌شود که در میان مردم برای انجام یا ترک عملی رایج گردد</w:t>
      </w:r>
      <w:r>
        <w:rPr>
          <w:rFonts w:eastAsia="IRNazanin" w:cs="IRNazanin"/>
          <w:color w:val="111111"/>
          <w:sz w:val="28"/>
          <w:szCs w:val="28"/>
          <w:rtl w:val="true"/>
          <w:lang w:bidi="fa-IR"/>
        </w:rPr>
        <w:t>.</w:t>
      </w:r>
      <w:r>
        <w:rPr>
          <w:rStyle w:val="FootnoteAnchor"/>
          <w:rtl w:val="true"/>
        </w:rPr>
        <w:footnoteReference w:id="6"/>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2" w:name="pg18832_210878"/>
      <w:bookmarkStart w:id="43" w:name="pg18832_210878"/>
      <w:bookmarkEnd w:id="43"/>
    </w:p>
    <w:p>
      <w:pPr>
        <w:pStyle w:val="Heading2"/>
        <w:numPr>
          <w:ilvl w:val="1"/>
          <w:numId w:val="1"/>
        </w:numPr>
        <w:rPr/>
      </w:pPr>
      <w:bookmarkStart w:id="44" w:name="pg18832_210878"/>
      <w:bookmarkStart w:id="45" w:name="__RefHeading___Toc14292354_1280447820"/>
      <w:bookmarkStart w:id="46" w:name="_Toc16"/>
      <w:bookmarkEnd w:id="44"/>
      <w:bookmarkEnd w:id="45"/>
      <w:r>
        <w:rPr>
          <w:rtl w:val="true"/>
        </w:rPr>
        <w:t>فصل دوم</w:t>
      </w:r>
      <w:r>
        <w:rPr>
          <w:rtl w:val="true"/>
        </w:rPr>
        <w:t xml:space="preserve">: </w:t>
      </w:r>
      <w:r>
        <w:rPr>
          <w:rtl w:val="true"/>
        </w:rPr>
        <w:t>تطبیق سیرۀ حکومتی نبوی و علوی</w:t>
      </w:r>
      <w:bookmarkEnd w:id="46"/>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7" w:name="__RefHeading___Toc14292356_1280447820"/>
      <w:bookmarkStart w:id="48" w:name="_Toc17"/>
      <w:bookmarkEnd w:id="47"/>
      <w:r>
        <w:rPr>
          <w:rtl w:val="true"/>
        </w:rPr>
        <w:t>اشاره</w:t>
      </w:r>
      <w:bookmarkStart w:id="49" w:name="pg18832_210879"/>
      <w:bookmarkEnd w:id="48"/>
    </w:p>
    <w:p>
      <w:pPr>
        <w:pStyle w:val="Heading3"/>
        <w:numPr>
          <w:ilvl w:val="2"/>
          <w:numId w:val="1"/>
        </w:numPr>
        <w:rPr/>
      </w:pPr>
      <w:bookmarkStart w:id="50" w:name="__RefHeading___Toc14292358_1280447820"/>
      <w:bookmarkStart w:id="51" w:name="_Toc18"/>
      <w:bookmarkEnd w:id="49"/>
      <w:bookmarkEnd w:id="50"/>
      <w:r>
        <w:rPr>
          <w:rtl w:val="true"/>
        </w:rPr>
        <w:t>تطبیق سیرۀ حکومتی نبوی و علوی</w:t>
      </w:r>
      <w:bookmarkEnd w:id="51"/>
    </w:p>
    <w:p>
      <w:pPr>
        <w:pStyle w:val="Heading4"/>
        <w:numPr>
          <w:ilvl w:val="3"/>
          <w:numId w:val="1"/>
        </w:numPr>
        <w:rPr/>
      </w:pPr>
      <w:bookmarkStart w:id="52" w:name="__RefHeading___Toc14292360_1280447820"/>
      <w:bookmarkStart w:id="53" w:name="_Toc19"/>
      <w:bookmarkEnd w:id="52"/>
      <w:r>
        <w:rPr>
          <w:rtl w:val="true"/>
        </w:rPr>
        <w:t>اشاره</w:t>
      </w:r>
      <w:bookmarkEnd w:id="53"/>
    </w:p>
    <w:p>
      <w:pPr>
        <w:pStyle w:val="BookText"/>
        <w:rPr/>
      </w:pPr>
      <w:r>
        <w:rPr>
          <w:rFonts w:ascii="IRNazanin" w:hAnsi="IRNazanin" w:eastAsia="IRNazanin"/>
          <w:color w:val="111111"/>
          <w:sz w:val="28"/>
          <w:sz w:val="28"/>
          <w:szCs w:val="28"/>
          <w:rtl w:val="true"/>
          <w:lang w:bidi="fa-IR"/>
        </w:rPr>
        <w:t>در جهان‌بینی اسلامی، حکومت منحصراً از آنِ خداست و تنها کسانی که از سوی او مجازند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پیامبران، ائمه و فقهای جامع‌الشرایط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می‌توانند آن را عهده‌دار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با ارائه قوانین سعادت‌آفرین، برترین طرح سیاسی را برای مدیریت جامعه ارائه داده و از این رو، پیوندی ناگسستنی با سیاست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نظام سیاسی مطلوب اسلام، نظام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 و 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توجه به نیازهای متعارض انسانی، تشکیل حکومت یک ضرورت اجتماعی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پیامبر اعظم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دستیابی به اهداف زیر، حکومت تشکیل 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هدایت بشریت از تاریکی‌ها به سوی نور توحید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اجرای قوانین شریعت بر پایه عدالت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تزکیه و تربیت نفوس آلوده و جامعه درگیر در رذایل اخلاقی و آراستن آنان به فضیلت‌های اخلاقی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انتصاب افراد در مناصب اجتماعی و حکومتی می‌فرمایند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 رجل استعمل رجلا علی عشرة انفس علم ان فی العشرة افضل ممن استعمل فقد غش الله و رسوله و جماعة المسلمین</w:t>
      </w:r>
      <w:r>
        <w:rPr>
          <w:rStyle w:val="FootnoteAnchor"/>
          <w:rtl w:val="true"/>
        </w:rPr>
        <w:footnoteReference w:id="7"/>
      </w:r>
      <w:r>
        <w:rPr>
          <w:rFonts w:ascii="IRNazanin" w:hAnsi="IRNazanin" w:eastAsia="IRNazanin"/>
          <w:color w:val="111111"/>
          <w:sz w:val="28"/>
          <w:sz w:val="28"/>
          <w:szCs w:val="28"/>
          <w:rtl w:val="true"/>
          <w:lang w:bidi="fa-IR"/>
        </w:rPr>
        <w:t>هر‌کس مردی را بر ده نفر بگمارد، در حالی که می‌داند در میان آنان کسی هست که از او شایسته‌تر است، قطعاً به خدا و پیامبرش و همه‌ی مسلمانان خیانت کرده است</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 که انتخاب غیرشایسته‌ترین فرد برای یک منصب کوچک، خیانت به خدا و پیامبر و مسلمانان محسوب شود، آنگاه حساب انتخاب‌ها برای پست‌های حساس‌تری چون ادارات، وزارتخانه‌ها، استانداری و فرمانداری به مراتب روشن‌تر و مهم‌تر خواهد بود</w:t>
      </w:r>
      <w:r>
        <w:rPr>
          <w:rFonts w:eastAsia="IRNazanin" w:cs="IRNazanin"/>
          <w:color w:val="111111"/>
          <w:sz w:val="28"/>
          <w:szCs w:val="28"/>
          <w:rtl w:val="true"/>
          <w:lang w:bidi="fa-IR"/>
        </w:rPr>
        <w:t xml:space="preserve">. </w:t>
      </w:r>
      <w:bookmarkStart w:id="54" w:name="pg18832_210880"/>
    </w:p>
    <w:p>
      <w:pPr>
        <w:pStyle w:val="Heading4"/>
        <w:numPr>
          <w:ilvl w:val="3"/>
          <w:numId w:val="1"/>
        </w:numPr>
        <w:rPr/>
      </w:pPr>
      <w:bookmarkStart w:id="55" w:name="__RefHeading___Toc14292362_1280447820"/>
      <w:bookmarkStart w:id="56" w:name="_Toc20"/>
      <w:bookmarkEnd w:id="54"/>
      <w:bookmarkEnd w:id="55"/>
      <w:r>
        <w:rPr/>
        <w:t>2.1</w:t>
      </w:r>
      <w:r>
        <w:rPr>
          <w:rtl w:val="true"/>
        </w:rPr>
        <w:t xml:space="preserve">. </w:t>
      </w:r>
      <w:r>
        <w:rPr>
          <w:rtl w:val="true"/>
        </w:rPr>
        <w:t>پیامبر و ضرورت حکومت</w:t>
      </w:r>
      <w:bookmarkEnd w:id="56"/>
    </w:p>
    <w:p>
      <w:pPr>
        <w:pStyle w:val="BookText"/>
        <w:rPr/>
      </w:pP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دلایل زیر تشکیل حکومت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تشکیل حکومت ضرورتی اجتناب‌ناپذیر و مورد اجماع تمام جوامع انسانی است تا از این طریق تعارض‌های اجتماعی سامان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با دارا بودن کامل‌ترین قوانین اجتماعی، نیازمند ضمانت اجرایی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منطقی است که این قوانین جامع، بدون تشکیل حکومت به مرحله اجرا درآید؟ قانون زمانی سودمند خواهد بود که به مرحله عمل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پیامبر اسلام مبانی حکومت را پایه‌گذاری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واقعیت تاریخی گواه آن است که پیامبر اسلام پس از هجرت به مدینه، اتحاد مستحکمی با محوریت این شهر ایجاد کرد و همواره برداشت مسلمانان از این رویداد، تشکیل حکومت توسط پیامبر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کنار رسالت تبلیغی و ارشادی، زعامت سیاسی مسلمین را نیز بر عهده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تعریف علمی، حکومت به رهبری منسجم در سطح کلان جامعه و اعمال حاکمیت تعریف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معیار، پیامبر اسلام در سیره سیاسی و اجتماعی خویش، دارای سیاست‌گذاری‌های کلان و رهبری عادلانه در عرصه داخلی و خارجی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قضاوت می‌کردند و نظم و امنیت جامعه را به بهترین شکل تأمین می‌نمودند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ولایت سیاسی پیامبر اعظم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ریشه در آموزه های وحیانی دارد</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النبی اولی بالمومنین من انفسهم؛</w:t>
      </w:r>
      <w:r>
        <w:rPr>
          <w:rStyle w:val="FootnoteAnchor"/>
          <w:rtl w:val="true"/>
        </w:rPr>
        <w:footnoteReference w:id="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انزلنا الیك الكتاب بالحق لتحكم بین الناس بما اریك الله</w:t>
      </w:r>
      <w:r>
        <w:rPr>
          <w:rStyle w:val="FootnoteAnchor"/>
          <w:rtl w:val="true"/>
        </w:rPr>
        <w:footnoteReference w:id="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ایها الذین آمنوا اطیعوا الرسول و اولی </w:t>
      </w:r>
      <w:bookmarkStart w:id="57" w:name="pg18832_210881"/>
    </w:p>
    <w:p>
      <w:pPr>
        <w:pStyle w:val="BookText"/>
        <w:rPr/>
      </w:pPr>
      <w:bookmarkEnd w:id="57"/>
      <w:r>
        <w:rPr>
          <w:rFonts w:ascii="Amiri" w:hAnsi="Amiri" w:eastAsia="Amiri" w:cs="Amiri"/>
          <w:color w:val="111111"/>
          <w:sz w:val="28"/>
          <w:sz w:val="28"/>
          <w:szCs w:val="28"/>
          <w:rtl w:val="true"/>
          <w:lang w:bidi="ar-SA"/>
        </w:rPr>
        <w:t>الامر منكم</w:t>
      </w:r>
      <w:r>
        <w:rPr>
          <w:rStyle w:val="FootnoteAnchor"/>
          <w:rtl w:val="true"/>
        </w:rPr>
        <w:footnoteReference w:id="1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یطع الله و الرسول فاولئك مع الذین انعم الله علیهم </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این دو آیه ی مباركه، خداوند مومنین و انسان ها را به اطاعت از حكومت خدا و پیامبر فراخوانده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پایه دلایل پیشگفته، می‌توان نتیجه گرفت که پیامبر اعظم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فرمان الهی، اقدام به تأسیس مدینۀ فاضله و تشکیل حکومت نمود تا احکام نورانی اسلام و مقررات حکومتی و کیفری آن به مرحلۀ اجرا درآید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همین اساس، ایشان شخصاً به قضاوت می‌پرداخت، حدود الهی را جاری می‌ساخت، قضات را نصب می‌کرد و والیان را برای اجرای احکام اسلامی به مناطق مختلف اعزام می‌داشت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حوزۀ روابط بین‌الملل، با اعزام سفیران، روابط دولت نوپای اسلامی را با سایر کشورها تنظیم می‌نمود</w:t>
      </w:r>
      <w:r>
        <w:rPr>
          <w:rFonts w:eastAsia="IRNazanin" w:cs="IRNazanin"/>
          <w:color w:val="111111"/>
          <w:sz w:val="28"/>
          <w:szCs w:val="28"/>
          <w:rtl w:val="true"/>
          <w:lang w:bidi="fa-IR"/>
        </w:rPr>
        <w:t>.</w:t>
      </w:r>
    </w:p>
    <w:p>
      <w:pPr>
        <w:pStyle w:val="Heading4"/>
        <w:numPr>
          <w:ilvl w:val="3"/>
          <w:numId w:val="1"/>
        </w:numPr>
        <w:rPr/>
      </w:pPr>
      <w:bookmarkStart w:id="58" w:name="__RefHeading___Toc14292364_1280447820"/>
      <w:bookmarkStart w:id="59" w:name="_Toc21"/>
      <w:bookmarkEnd w:id="58"/>
      <w:r>
        <w:rPr/>
        <w:t>2.2</w:t>
      </w:r>
      <w:r>
        <w:rPr>
          <w:rtl w:val="true"/>
        </w:rPr>
        <w:t>.</w:t>
      </w:r>
      <w:r>
        <w:rPr>
          <w:rtl w:val="true"/>
        </w:rPr>
        <w:t>ساختار حکومت نبوی</w:t>
      </w:r>
      <w:bookmarkEnd w:id="59"/>
    </w:p>
    <w:p>
      <w:pPr>
        <w:pStyle w:val="Heading5"/>
        <w:numPr>
          <w:ilvl w:val="4"/>
          <w:numId w:val="1"/>
        </w:numPr>
        <w:rPr/>
      </w:pPr>
      <w:bookmarkStart w:id="60" w:name="__RefHeading___Toc14292366_1280447820"/>
      <w:bookmarkStart w:id="61" w:name="_Toc22"/>
      <w:bookmarkEnd w:id="60"/>
      <w:r>
        <w:rPr>
          <w:rtl w:val="true"/>
        </w:rPr>
        <w:t>اشاره</w:t>
      </w:r>
      <w:bookmarkEnd w:id="61"/>
    </w:p>
    <w:p>
      <w:pPr>
        <w:pStyle w:val="BookText"/>
        <w:rPr/>
      </w:pPr>
      <w:r>
        <w:rPr>
          <w:rFonts w:ascii="IRNazanin" w:hAnsi="IRNazanin" w:eastAsia="IRNazanin"/>
          <w:color w:val="111111"/>
          <w:sz w:val="28"/>
          <w:sz w:val="28"/>
          <w:szCs w:val="28"/>
          <w:rtl w:val="true"/>
          <w:lang w:bidi="fa-IR"/>
        </w:rPr>
        <w:t xml:space="preserve">دولت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مدینه‌الرسول دارای ساختار حکومتی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که این ساختار را نمی‌توان مشابه تشکیلات پیشرفتۀ کنونی تصور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بررسی حکومت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نگرش افراطی ممکن است رخ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نگاهی افراطی که ساختارهای امروزی را به آن دوره تحمیل می‌کند و به روایات ضعیف یا غیرواقعی استناد می‌نماید؛ و دوم نگاهی تفریطی که هرگونه ساختار منسجمی را در حکومت نبوی انکار می‌کند</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نظر متعادل در این زمینه با استناد به آیات و روایات آن است که حکومت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همچون سایر انبیای الهی، ریشه در وحی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همان‌گونه که </w:t>
      </w:r>
      <w:bookmarkStart w:id="62" w:name="pg18832_210882"/>
    </w:p>
    <w:p>
      <w:pPr>
        <w:pStyle w:val="BookText"/>
        <w:rPr/>
      </w:pPr>
      <w:bookmarkEnd w:id="62"/>
      <w:r>
        <w:rPr>
          <w:rFonts w:ascii="IRNazanin" w:hAnsi="IRNazanin" w:eastAsia="IRNazanin"/>
          <w:color w:val="111111"/>
          <w:sz w:val="28"/>
          <w:sz w:val="28"/>
          <w:szCs w:val="28"/>
          <w:rtl w:val="true"/>
          <w:lang w:bidi="fa-IR"/>
        </w:rPr>
        <w:t xml:space="preserve">حضرت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فرمان الهی کشتی عظیمی ساخت که در برابر طوفان‌های سهمگین مقاومت کرد، و حضرت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پایه‌های حکومت دینی را بنیان نهاد، حکومت پیامبر اعظم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نمونه‌ای کامل از حکومت الهی بود که اساس تشکیلات اداری در آن پایه‌گذاری شد و سپس توسط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کمال خود نزدیک‌تر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اساس منابع تاریخی، در حکومت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وظایف حکومتی بین یازده نهاد تقسیم شده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برخی معتقدند در حكومت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وظایف به عهده یازده دستگاه بود</w:t>
      </w:r>
      <w:r>
        <w:rPr>
          <w:rFonts w:eastAsia="IRNazanin" w:cs="IRNazanin"/>
          <w:color w:val="111111"/>
          <w:sz w:val="28"/>
          <w:szCs w:val="28"/>
          <w:rtl w:val="true"/>
          <w:lang w:bidi="fa-IR"/>
        </w:rPr>
        <w:t>:</w:t>
      </w:r>
      <w:r>
        <w:rPr>
          <w:rStyle w:val="FootnoteAnchor"/>
          <w:rtl w:val="true"/>
        </w:rPr>
        <w:footnoteReference w:id="12"/>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وزیر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دستگاه اداری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دستگاه قضایی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دستگاه فنی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دستگاه مالی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دستگاه</w:t>
      </w:r>
    </w:p>
    <w:p>
      <w:pPr>
        <w:pStyle w:val="BookText"/>
        <w:rPr/>
      </w:pPr>
      <w:r>
        <w:rPr>
          <w:rFonts w:ascii="IRNazanin" w:hAnsi="IRNazanin" w:eastAsia="IRNazanin"/>
          <w:color w:val="111111"/>
          <w:sz w:val="28"/>
          <w:sz w:val="28"/>
          <w:szCs w:val="28"/>
          <w:rtl w:val="true"/>
          <w:lang w:bidi="fa-IR"/>
        </w:rPr>
        <w:t xml:space="preserve">دیپلماسی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دستگاه نظامی یا عسكری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دستگاه آموزشی و تعلیمی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دستگاه تبلیغی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دستگاه امنیتی و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دستگاه حسبه</w:t>
      </w:r>
      <w:r>
        <w:rPr>
          <w:rFonts w:eastAsia="IRNazanin" w:cs="IRNazanin"/>
          <w:color w:val="111111"/>
          <w:sz w:val="28"/>
          <w:szCs w:val="28"/>
          <w:rtl w:val="true"/>
          <w:lang w:bidi="fa-IR"/>
        </w:rPr>
        <w:t>.</w:t>
      </w:r>
    </w:p>
    <w:p>
      <w:pPr>
        <w:pStyle w:val="Heading5"/>
        <w:numPr>
          <w:ilvl w:val="4"/>
          <w:numId w:val="1"/>
        </w:numPr>
        <w:rPr/>
      </w:pPr>
      <w:bookmarkStart w:id="63" w:name="__RefHeading___Toc14292368_1280447820"/>
      <w:bookmarkStart w:id="64" w:name="_Toc23"/>
      <w:bookmarkEnd w:id="63"/>
      <w:r>
        <w:rPr/>
        <w:t>2.2.1</w:t>
      </w:r>
      <w:r>
        <w:rPr>
          <w:rtl w:val="true"/>
        </w:rPr>
        <w:t xml:space="preserve">. </w:t>
      </w:r>
      <w:r>
        <w:rPr>
          <w:rtl w:val="true"/>
        </w:rPr>
        <w:t>وزارت</w:t>
      </w:r>
      <w:bookmarkEnd w:id="64"/>
    </w:p>
    <w:p>
      <w:pPr>
        <w:pStyle w:val="BookText"/>
        <w:rPr/>
      </w:pPr>
      <w:r>
        <w:rPr>
          <w:rFonts w:ascii="IRNazanin" w:hAnsi="IRNazanin" w:eastAsia="IRNazanin"/>
          <w:color w:val="111111"/>
          <w:sz w:val="28"/>
          <w:sz w:val="28"/>
          <w:szCs w:val="28"/>
          <w:rtl w:val="true"/>
          <w:lang w:bidi="fa-IR"/>
        </w:rPr>
        <w:t xml:space="preserve">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ریشۀ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گرفته شده که هم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وزیر بار مسئولیت‌ها را بر دوش می‌کشد و هم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پناهگاه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حاکم و مردم در امور مهم به رأی و تدبیر او پناه می‌برند</w:t>
      </w:r>
      <w:r>
        <w:rPr>
          <w:rStyle w:val="FootnoteAnchor"/>
          <w:rtl w:val="true"/>
        </w:rPr>
        <w:footnoteReference w:id="1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فردی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موثوق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دین و عقلش است</w:t>
      </w:r>
      <w:r>
        <w:rPr>
          <w:rFonts w:eastAsia="IRNazanin" w:cs="IRNazanin"/>
          <w:color w:val="111111"/>
          <w:sz w:val="28"/>
          <w:szCs w:val="28"/>
          <w:rtl w:val="true"/>
          <w:lang w:bidi="fa-IR"/>
        </w:rPr>
        <w:t>.</w:t>
      </w:r>
      <w:r>
        <w:rPr>
          <w:rStyle w:val="FootnoteAnchor"/>
          <w:rtl w:val="true"/>
        </w:rPr>
        <w:footnoteReference w:id="14"/>
      </w:r>
      <w:r>
        <w:rPr>
          <w:rFonts w:ascii="IRNazanin" w:hAnsi="IRNazanin" w:eastAsia="IRNazanin"/>
          <w:color w:val="111111"/>
          <w:sz w:val="28"/>
          <w:sz w:val="28"/>
          <w:szCs w:val="28"/>
          <w:rtl w:val="true"/>
          <w:lang w:bidi="fa-IR"/>
        </w:rPr>
        <w:t>در مورد پیدایش منصب وزارت، سه دیدگاه اصلی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نظریۀ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وزارت از عصر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پدید آمد</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طرفداران این دیدگاه به احادیثی همچون این فرمایش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استناد می‌کنند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یک از شما که عهده‌دار کاری گردد و خداوند خیر او را بخواهد، برایش وزیر شایسته‌ای قرار می‌دهد که اگر فراموش کرد، به او یادآوری کند و هنگامی که به یاد آورد، یاریش نماید</w:t>
      </w:r>
      <w:r>
        <w:rPr>
          <w:rFonts w:eastAsia="IRNazanin" w:cs="IRNazanin"/>
          <w:color w:val="111111"/>
          <w:sz w:val="28"/>
          <w:szCs w:val="28"/>
          <w:rtl w:val="true"/>
          <w:lang w:bidi="fa-IR"/>
        </w:rPr>
        <w:t>.</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نظریۀ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منصب در دوران خلفا شکل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نظریۀ 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وزارت از دورۀ سفاح، نخستین خلیفۀ عباسی، آغاز شده است</w:t>
      </w:r>
      <w:r>
        <w:rPr>
          <w:rFonts w:eastAsia="IRNazanin" w:cs="IRNazanin"/>
          <w:color w:val="111111"/>
          <w:sz w:val="28"/>
          <w:szCs w:val="28"/>
          <w:rtl w:val="true"/>
          <w:lang w:bidi="fa-IR"/>
        </w:rPr>
        <w:t>.</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 xml:space="preserve">علاوه بر احادیث نبوی،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کریم نیز به کار رفته است، از جمله در آیات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وَاجْعَلْ لِی وَزِیرًا مِنْ أَهْلِی</w:t>
      </w:r>
      <w:r>
        <w:rPr>
          <w:rStyle w:val="FootnoteAnchor"/>
          <w:rtl w:val="true"/>
        </w:rPr>
        <w:footnoteReference w:id="1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وَجَعَلْنَا مَعَهُ أَخَاهُ هَارُونَ وَزِیرً</w:t>
      </w:r>
      <w:r>
        <w:rPr>
          <w:rStyle w:val="FootnoteAnchor"/>
          <w:rtl w:val="true"/>
        </w:rPr>
        <w:footnoteReference w:id="18"/>
      </w: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فرقان</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برخی از محققان معتقدند هرچند در دولت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 رسمی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نداشت، اما افرادی بودند که در عمل وظایف وزیر را بر عهده 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گروه محدودی از یاران مورد اعتماد خود مشورت می‌کرد که در رأس آنان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داشت</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واقعه‌ای تاریخی،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خویشاوندان خود را گرد آورد و پس از اطعام آنان، درخواست یاری و همراهی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مجلس، تنها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برخاست و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ایشان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وصی و جانشین پس از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خطاب به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راضی نمی‌شوی که نسبت به من، همچون هارون برای موسی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در حالی بود که حضرت به آیۀ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وَاجْعَلْ لِی وَزِیرًا مِنْ أَهْلِی هَارُونَ أَخِی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اشاره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در رویدادهای مهمی چون مباهله و فتح خیبر، کسی جز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نیافت تا سورۀ برائت را ابلاغ کند و پرچمدار نبرد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بنابراین، اگرچه روایات صادره از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صریح بر مفهوم امروزی وزارت دلالت ندارد، اما می‌توان از آنها به عنوان مؤیدی بر این مدعا استفاده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پیش‌تر اشاره شد، عناوین سازمانی در گذر زمان تکامل یافته‌اند و تطبیق کامل روایات با ساختارهای کنونی ممکن است از دقت کافی برخوردار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نظریه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بر این باورند که منصب وزارت با دوران خلافت ظهور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این اساس، حضرت عمر وزیر ابوبکر، عثمان وزیر عمر،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 عثمان، و عمرو بن عاص و زیاد وزیران معاویه محسوب می‌شده‌اند</w:t>
      </w:r>
      <w:r>
        <w:rPr>
          <w:rFonts w:eastAsia="IRNazanin" w:cs="IRNazanin"/>
          <w:color w:val="111111"/>
          <w:sz w:val="28"/>
          <w:szCs w:val="28"/>
          <w:rtl w:val="true"/>
          <w:lang w:bidi="fa-IR"/>
        </w:rPr>
        <w:t>.</w:t>
      </w:r>
      <w:r>
        <w:rPr>
          <w:rStyle w:val="FootnoteAnchor"/>
          <w:rtl w:val="true"/>
        </w:rPr>
        <w:footnoteReference w:id="19"/>
      </w:r>
      <w:r>
        <w:rPr>
          <w:rFonts w:ascii="IRNazanin" w:hAnsi="IRNazanin" w:eastAsia="IRNazanin"/>
          <w:color w:val="111111"/>
          <w:sz w:val="28"/>
          <w:sz w:val="28"/>
          <w:szCs w:val="28"/>
          <w:rtl w:val="true"/>
          <w:lang w:bidi="fa-IR"/>
        </w:rPr>
        <w:t>ذهبی بر این باور است که عمر در دوران خلافت ابوبکر، وزیر او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اشاره به نقش همه‌کاره و محوری عمر در اداره امور حکومت در آن دوره دارد</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نظریه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محققان بر این باورند که منصب وزارت به صورت رسمی در دوره عباسی پدید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ایشان بر این گمانند که اعراب این نهاد اداری را از پادشاهان ساسانی ایران اقتباس کرده‌اند</w:t>
      </w:r>
      <w:r>
        <w:rPr>
          <w:rFonts w:eastAsia="IRNazanin" w:cs="IRNazanin"/>
          <w:color w:val="111111"/>
          <w:sz w:val="28"/>
          <w:szCs w:val="28"/>
          <w:rtl w:val="true"/>
          <w:lang w:bidi="fa-IR"/>
        </w:rPr>
        <w:t>.</w:t>
      </w:r>
      <w:r>
        <w:rPr>
          <w:rStyle w:val="FootnoteAnchor"/>
          <w:rtl w:val="true"/>
        </w:rPr>
        <w:footnoteReference w:id="21"/>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بررسی‌های انجام‌شده، می‌توان گفت وزارت به‌عنوان یک نهاد رسمی، در آغاز حکومت عباسیان در تشکیلات اداری مسلمانان ظهور یافت و پیش از آن، منصبی با این عنوان وجود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هرچند خلفای پیشین در امور </w:t>
      </w:r>
    </w:p>
    <w:p>
      <w:pPr>
        <w:pStyle w:val="BookText"/>
        <w:rPr/>
      </w:pPr>
      <w:r>
        <w:rPr>
          <w:rFonts w:ascii="IRNazanin" w:hAnsi="IRNazanin" w:eastAsia="IRNazanin"/>
          <w:color w:val="111111"/>
          <w:sz w:val="28"/>
          <w:sz w:val="28"/>
          <w:szCs w:val="28"/>
          <w:rtl w:val="true"/>
          <w:lang w:bidi="fa-IR"/>
        </w:rPr>
        <w:t xml:space="preserve">حکومتی با مشاوران خود رایزنی می‌کردند، اما این افراد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نمی‌نامیدند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جمع‌بندی نظرات سه‌گانه و ارائه دیدگاهی متعادل، می‌توان چنین بیان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وزارت مرحله‌ای طبیعی در تکامل دولت است و همان‌گونه که بسیاری از تمدن‌ها به آن دست یافته‌اند، دولت‌های عربی نیز به تدریج این نهاد را پذیرفتند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این پدیده آن است که پادشاه یا رئیس دولت به تنهایی قادر به مدیریت تمام امور سیاسی و اداری نبوده و همواره نیازمند انتخاب دستیارانی برای مشارکت در اداره حکومت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فردی که بالاترین جایگاه را نزد حاکم داشت، القابی همچون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دریافت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تدریج، دیگران نیز طالب چنین موقعیتی شدند و این روند در ادوار مختلف تاریخی تداوم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تبدیل به یك قاعده و یك ضابطه شد</w:t>
      </w:r>
      <w:r>
        <w:rPr>
          <w:rFonts w:eastAsia="IRNazanin" w:cs="IRNazanin"/>
          <w:color w:val="111111"/>
          <w:sz w:val="28"/>
          <w:szCs w:val="28"/>
          <w:rtl w:val="true"/>
          <w:lang w:bidi="fa-IR"/>
        </w:rPr>
        <w:t>.</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این جمع‌بندی به درستی بر ماهیت تدریجی و تکاملی نهاد وزارت تأکید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حکومتی، از جمله حکومت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برای اداره امور به همکاران و دستیارانی نیازمند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اصل حتی در مورد انبیای الهی نیز صادق است، چنان‌که هنگامی که حضرت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رسالت مأمور شد، از درگاه خداوند درخواست وزیر نمود و خداوند هارون را به عنوان یاور و مشاور به او عطا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نشان‌دهنده ضرورت وجود ساختارهای حکومتی، حتی در ساده‌ترین و اصیل‌ترین اشکال آن است</w:t>
      </w:r>
      <w:r>
        <w:rPr>
          <w:rFonts w:eastAsia="IRNazanin" w:cs="IRNazanin"/>
          <w:color w:val="111111"/>
          <w:sz w:val="28"/>
          <w:szCs w:val="28"/>
          <w:rtl w:val="true"/>
          <w:lang w:bidi="fa-IR"/>
        </w:rPr>
        <w:t>.</w:t>
      </w:r>
      <w:r>
        <w:rPr>
          <w:rStyle w:val="FootnoteAnchor"/>
          <w:rtl w:val="true"/>
        </w:rPr>
        <w:footnoteReference w:id="23"/>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استدلالی منطقی و مستند به منابع دینی، می‌توان اثبات کرد که نهاد وزارت در حکومت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هرچند عنوان رسمی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دوره به کار نمی‌رفته، اما مفهوم و وظایف آن به طور کامل </w:t>
      </w:r>
      <w:bookmarkStart w:id="65" w:name="pg18832_210886"/>
    </w:p>
    <w:p>
      <w:pPr>
        <w:pStyle w:val="BookText"/>
        <w:rPr/>
      </w:pPr>
      <w:bookmarkEnd w:id="65"/>
      <w:r>
        <w:rPr>
          <w:rFonts w:ascii="IRNazanin" w:hAnsi="IRNazanin" w:eastAsia="IRNazanin"/>
          <w:color w:val="111111"/>
          <w:sz w:val="28"/>
          <w:sz w:val="28"/>
          <w:szCs w:val="28"/>
          <w:rtl w:val="true"/>
          <w:lang w:bidi="fa-IR"/>
        </w:rPr>
        <w:t>محقق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قرآن کریم صراحتاً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آیات مربوط به حضرت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برده و این مفهوم را تأیید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حکومت نبوی،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برخی اصحاب، مسئولیت‌هایی را بر عهده داشتند که کاملاً منطبق با تعریف وزارت است، از جمله مشاوره، اجرای مأموریت‌های محوری و نمایندگی پیامبر در امور حساس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وزارت در حکومت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موجود بوده و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در قرآن و احادیث مورد اشاره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شواهد، هیچ تردیدی در وجود این نهاد در ساختار حکومت نبوی باقی نمی‌ماند</w:t>
      </w:r>
      <w:r>
        <w:rPr>
          <w:rFonts w:eastAsia="IRNazanin" w:cs="IRNazanin"/>
          <w:color w:val="111111"/>
          <w:sz w:val="28"/>
          <w:szCs w:val="28"/>
          <w:rtl w:val="true"/>
          <w:lang w:bidi="fa-IR"/>
        </w:rPr>
        <w:t>.</w:t>
      </w:r>
    </w:p>
    <w:p>
      <w:pPr>
        <w:pStyle w:val="Heading5"/>
        <w:numPr>
          <w:ilvl w:val="4"/>
          <w:numId w:val="1"/>
        </w:numPr>
        <w:rPr/>
      </w:pPr>
      <w:bookmarkStart w:id="66" w:name="__RefHeading___Toc14292370_1280447820"/>
      <w:bookmarkStart w:id="67" w:name="_Toc24"/>
      <w:bookmarkEnd w:id="66"/>
      <w:r>
        <w:rPr/>
        <w:t>2.2.2</w:t>
      </w:r>
      <w:r>
        <w:rPr>
          <w:rtl w:val="true"/>
        </w:rPr>
        <w:t xml:space="preserve">. </w:t>
      </w:r>
      <w:r>
        <w:rPr>
          <w:rtl w:val="true"/>
        </w:rPr>
        <w:t xml:space="preserve">جهاز اداری </w:t>
      </w:r>
      <w:r>
        <w:rPr>
          <w:rtl w:val="true"/>
        </w:rPr>
        <w:t>(</w:t>
      </w:r>
      <w:r>
        <w:rPr>
          <w:rtl w:val="true"/>
        </w:rPr>
        <w:t>وزارت كشور</w:t>
      </w:r>
      <w:r>
        <w:rPr>
          <w:rtl w:val="true"/>
        </w:rPr>
        <w:t>)</w:t>
      </w:r>
      <w:bookmarkEnd w:id="67"/>
    </w:p>
    <w:p>
      <w:pPr>
        <w:pStyle w:val="BookText"/>
        <w:rPr/>
      </w:pPr>
      <w:r>
        <w:rPr>
          <w:rFonts w:ascii="IRNazanin" w:hAnsi="IRNazanin" w:eastAsia="IRNazanin"/>
          <w:color w:val="111111"/>
          <w:sz w:val="28"/>
          <w:sz w:val="28"/>
          <w:szCs w:val="28"/>
          <w:rtl w:val="true"/>
          <w:lang w:bidi="fa-IR"/>
        </w:rPr>
        <w:t>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دستگاه اداری، مجموعه‌ای است که در دوران معاصر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وزارت کشور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مسئولیت اداره سرزمین وسیع و استان‌های متعدد را از طریق انتصاب استانداران و فرمانداران بر عهده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ساختار اداری در عصر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وجود داشت؛ چرا که پس از فتح شبه‌جزیره حجاز،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مناطق و شهرهای مهم، حاکمان و فرماندهانی منصوب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خلیفه دوم نیز این رویه را تداوم بخشید و گسترش داد</w:t>
      </w:r>
      <w:r>
        <w:rPr>
          <w:rFonts w:eastAsia="IRNazanin" w:cs="IRNazanin"/>
          <w:color w:val="111111"/>
          <w:sz w:val="28"/>
          <w:szCs w:val="28"/>
          <w:rtl w:val="true"/>
          <w:lang w:bidi="fa-IR"/>
        </w:rPr>
        <w:t>.</w:t>
      </w:r>
      <w:r>
        <w:rPr>
          <w:rStyle w:val="FootnoteAnchor"/>
          <w:rtl w:val="true"/>
        </w:rPr>
        <w:footnoteReference w:id="24"/>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فتح مکه و تثبیت حاکمیت اسلامی،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عتاب بن اسید را به عنوان فرماندار مکه منصوب نمودند و رهسپار مدینه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نخستین انتصاب رسمی یک امیر بر یکی از بلاد اسلامی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از آن، قلمرو اسلام منحصر به مدینه بود و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مستقیماً بر آن حکومت می‌کردند، اگرچه پیشتر نیز امیرانی برای فرماندهی در جهاد تعیین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استانداران منصوب شده توسط ایشان می‌توان به قیس بن مالک </w:t>
      </w:r>
      <w:bookmarkStart w:id="68" w:name="pg18832_210887"/>
    </w:p>
    <w:p>
      <w:pPr>
        <w:pStyle w:val="BookText"/>
        <w:rPr/>
      </w:pPr>
      <w:bookmarkEnd w:id="68"/>
      <w:r>
        <w:rPr>
          <w:rFonts w:ascii="IRNazanin" w:hAnsi="IRNazanin" w:eastAsia="IRNazanin"/>
          <w:color w:val="111111"/>
          <w:sz w:val="28"/>
          <w:sz w:val="28"/>
          <w:szCs w:val="28"/>
          <w:rtl w:val="true"/>
          <w:lang w:bidi="fa-IR"/>
        </w:rPr>
        <w:t xml:space="preserve">همدانی در قبیله همدان یمن، عدی بن حاتم در منطقه طی، عمرو بن حزم در یمن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 فروه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کرد</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قبیلۀ عبدالقیس ابتدا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علاء بن حضرمی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حکومت منصوب نمودند، اما پس از دریافت شکایات مردمی، وی را عزل کرده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ابان بن قیس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بزرگان قریش را جایگزین او ساختند</w:t>
      </w:r>
      <w:r>
        <w:rPr>
          <w:rFonts w:eastAsia="IRNazanin" w:cs="IRNazanin"/>
          <w:color w:val="111111"/>
          <w:sz w:val="28"/>
          <w:szCs w:val="28"/>
          <w:rtl w:val="true"/>
          <w:lang w:bidi="fa-IR"/>
        </w:rPr>
        <w:t>.</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ایشان بر چندین استان حکومت می‌کردند و استاندارانی متعدد برای ادارۀ این مناطق منصوب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اقدامات نشان می‌دهد که دستگاه اداری منظم و کاملی در دورۀ حکومت نبوی شکل گرفته بود</w:t>
      </w:r>
      <w:r>
        <w:rPr>
          <w:rFonts w:eastAsia="IRNazanin" w:cs="IRNazanin"/>
          <w:color w:val="111111"/>
          <w:sz w:val="28"/>
          <w:szCs w:val="28"/>
          <w:rtl w:val="true"/>
          <w:lang w:bidi="fa-IR"/>
        </w:rPr>
        <w:t>.</w:t>
      </w:r>
      <w:r>
        <w:rPr>
          <w:rStyle w:val="FootnoteAnchor"/>
          <w:rtl w:val="true"/>
        </w:rPr>
        <w:footnoteReference w:id="27"/>
      </w:r>
    </w:p>
    <w:p>
      <w:pPr>
        <w:pStyle w:val="Heading5"/>
        <w:numPr>
          <w:ilvl w:val="4"/>
          <w:numId w:val="1"/>
        </w:numPr>
        <w:rPr/>
      </w:pPr>
      <w:bookmarkStart w:id="69" w:name="__RefHeading___Toc14292372_1280447820"/>
      <w:bookmarkStart w:id="70" w:name="_Toc25"/>
      <w:bookmarkEnd w:id="69"/>
      <w:r>
        <w:rPr/>
        <w:t>2.2.3</w:t>
      </w:r>
      <w:r>
        <w:rPr>
          <w:rtl w:val="true"/>
        </w:rPr>
        <w:t xml:space="preserve">. </w:t>
      </w:r>
      <w:r>
        <w:rPr>
          <w:rtl w:val="true"/>
        </w:rPr>
        <w:t xml:space="preserve">جهاز فنی </w:t>
      </w:r>
      <w:r>
        <w:rPr>
          <w:rtl w:val="true"/>
        </w:rPr>
        <w:t>(</w:t>
      </w:r>
      <w:r>
        <w:rPr>
          <w:rtl w:val="true"/>
        </w:rPr>
        <w:t>دبیر خانه</w:t>
      </w:r>
      <w:r>
        <w:rPr>
          <w:rtl w:val="true"/>
        </w:rPr>
        <w:t>)</w:t>
      </w:r>
      <w:bookmarkEnd w:id="70"/>
    </w:p>
    <w:p>
      <w:pPr>
        <w:pStyle w:val="BookText"/>
        <w:rPr/>
      </w:pPr>
      <w:r>
        <w:rPr>
          <w:rFonts w:ascii="IRNazanin" w:hAnsi="IRNazanin" w:eastAsia="IRNazanin"/>
          <w:color w:val="111111"/>
          <w:sz w:val="28"/>
          <w:sz w:val="28"/>
          <w:szCs w:val="28"/>
          <w:rtl w:val="true"/>
          <w:lang w:bidi="fa-IR"/>
        </w:rPr>
        <w:t>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مقصور از دستگاه فنی، همان دبیرخانه، بایگانی و مجموعه‌ای از دیوان‌ها، کتابت و امور دفتری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شواهد تاریخی متقنی که به دست ما رسیده، گواه آن است که دولت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چنین ساختار منظمی بوده است</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عساکر در تاریخ دمشق آورده است که نویسندگان و کاتبان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بودند که زندگینامه‌ی آنان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بهجة المحافل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نشان‌دهنده‌ی وجود تشکیلات اداری منسجم و پیشرفته‌ای در حکومت نبوی است</w:t>
      </w:r>
      <w:r>
        <w:rPr>
          <w:rFonts w:eastAsia="IRNazanin" w:cs="IRNazanin"/>
          <w:color w:val="111111"/>
          <w:sz w:val="28"/>
          <w:szCs w:val="28"/>
          <w:rtl w:val="true"/>
          <w:lang w:bidi="fa-IR"/>
        </w:rPr>
        <w:t>.</w:t>
      </w:r>
      <w:r>
        <w:rPr>
          <w:rStyle w:val="FootnoteAnchor"/>
          <w:rtl w:val="true"/>
        </w:rPr>
        <w:footnoteReference w:id="28"/>
      </w:r>
      <w:r>
        <w:rPr>
          <w:rFonts w:ascii="IRNazanin" w:hAnsi="IRNazanin" w:eastAsia="IRNazanin"/>
          <w:color w:val="111111"/>
          <w:sz w:val="28"/>
          <w:sz w:val="28"/>
          <w:szCs w:val="28"/>
          <w:rtl w:val="true"/>
          <w:lang w:bidi="fa-IR"/>
        </w:rPr>
        <w:t>به عنوان كاتب العهود والصلح نام می برند</w:t>
      </w:r>
      <w:r>
        <w:rPr>
          <w:rFonts w:eastAsia="IRNazanin" w:cs="IRNazanin"/>
          <w:color w:val="111111"/>
          <w:sz w:val="28"/>
          <w:szCs w:val="28"/>
          <w:rtl w:val="true"/>
          <w:lang w:bidi="fa-IR"/>
        </w:rPr>
        <w:t>.</w:t>
      </w:r>
      <w:r>
        <w:rPr>
          <w:rStyle w:val="FootnoteAnchor"/>
          <w:rtl w:val="true"/>
        </w:rPr>
        <w:footnoteReference w:id="29"/>
      </w:r>
    </w:p>
    <w:p>
      <w:pPr>
        <w:pStyle w:val="BookText"/>
        <w:rPr/>
      </w:pPr>
      <w:r>
        <w:rPr>
          <w:rFonts w:ascii="IRNazanin" w:hAnsi="IRNazanin" w:eastAsia="IRNazanin"/>
          <w:color w:val="111111"/>
          <w:sz w:val="28"/>
          <w:sz w:val="28"/>
          <w:szCs w:val="28"/>
          <w:rtl w:val="true"/>
          <w:lang w:bidi="fa-IR"/>
        </w:rPr>
        <w:t xml:space="preserve">زید بن ثابت از جمله کاتبان ویژه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مسئولیت نگارش نامه‌ها به پادشاهان، رؤسای قبایل و عشایر را بر عهده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نقش، نشان‌دهنده وجود ساختار منظم ارتباطات دیپلماتیک و اداری در حکومت نبوی است</w:t>
      </w:r>
      <w:r>
        <w:rPr>
          <w:rFonts w:eastAsia="IRNazanin" w:cs="IRNazanin"/>
          <w:color w:val="111111"/>
          <w:sz w:val="28"/>
          <w:szCs w:val="28"/>
          <w:rtl w:val="true"/>
          <w:lang w:bidi="fa-IR"/>
        </w:rPr>
        <w:t>.</w:t>
      </w:r>
      <w:r>
        <w:rPr>
          <w:rStyle w:val="FootnoteAnchor"/>
          <w:rtl w:val="true"/>
        </w:rPr>
        <w:footnoteReference w:id="30"/>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اسدالغابه،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279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بی‌گمان، ساختار اداری در حکومت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نظم و دقتی قابل توجه برخوردار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بن اَرقَم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دایی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مسئولیت نامه‌نگاری به پادشاهان را عهده‌دار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چنان امین بود که نامه را می‌نوشت و بدون آنکه محتوایش را بازخوانی کند، مهر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دیگران برای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می‌نوشتند، حضرت از او می‌خواست پاسخ را تهیه کند و سپس آن را به عرض می‌رساند و در صورت تأیید، ارسال می‌شد</w:t>
      </w:r>
      <w:r>
        <w:rPr>
          <w:rFonts w:eastAsia="IRNazanin" w:cs="IRNazanin"/>
          <w:color w:val="111111"/>
          <w:sz w:val="28"/>
          <w:szCs w:val="28"/>
          <w:rtl w:val="true"/>
          <w:lang w:bidi="fa-IR"/>
        </w:rPr>
        <w:t>.</w:t>
      </w:r>
      <w:r>
        <w:rPr>
          <w:rStyle w:val="FootnoteAnchor"/>
          <w:rtl w:val="true"/>
        </w:rPr>
        <w:footnoteReference w:id="31"/>
      </w:r>
      <w:r>
        <w:rPr>
          <w:rFonts w:ascii="IRNazanin" w:hAnsi="IRNazanin" w:eastAsia="IRNazanin"/>
          <w:color w:val="111111"/>
          <w:sz w:val="28"/>
          <w:sz w:val="28"/>
          <w:szCs w:val="28"/>
          <w:rtl w:val="true"/>
          <w:lang w:bidi="fa-IR"/>
        </w:rPr>
        <w:t>ابیّ بن کعب نیز وحی را همزمان با نزول می‌نوشت</w:t>
      </w:r>
      <w:r>
        <w:rPr>
          <w:rFonts w:eastAsia="IRNazanin" w:cs="IRNazanin"/>
          <w:color w:val="111111"/>
          <w:sz w:val="28"/>
          <w:szCs w:val="28"/>
          <w:rtl w:val="true"/>
          <w:lang w:bidi="fa-IR"/>
        </w:rPr>
        <w:t>.</w:t>
      </w:r>
      <w:r>
        <w:rPr>
          <w:rStyle w:val="FootnoteAnchor"/>
          <w:rtl w:val="true"/>
        </w:rPr>
        <w:footnoteReference w:id="32"/>
      </w:r>
      <w:r>
        <w:rPr>
          <w:rFonts w:ascii="IRNazanin" w:hAnsi="IRNazanin" w:eastAsia="IRNazanin"/>
          <w:color w:val="111111"/>
          <w:sz w:val="28"/>
          <w:sz w:val="28"/>
          <w:szCs w:val="28"/>
          <w:rtl w:val="true"/>
          <w:lang w:bidi="fa-IR"/>
        </w:rPr>
        <w:t xml:space="preserve">همچنین هنگامی 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خواستند به هرقل، امپراتور روم، نامه بنویسند، به ایشان گفتند که ایرانیان و رومیان نامه‌های بدون مهر را نمی‌پذیرند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برای پیامبر مهری از جنس نقره ساختند که بر روی آن مُحَمَّدٌ رَسُولُ اللَّهِ نقش بسته بود</w:t>
      </w:r>
      <w:r>
        <w:rPr>
          <w:rFonts w:eastAsia="IRNazanin" w:cs="IRNazanin"/>
          <w:color w:val="111111"/>
          <w:sz w:val="28"/>
          <w:szCs w:val="28"/>
          <w:rtl w:val="true"/>
          <w:lang w:bidi="fa-IR"/>
        </w:rPr>
        <w:t>.</w:t>
      </w: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در جمع‌بندی نهایی 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کاتبانی توانمند و خوش‌خط در اختیار داشتند که هر یک در حوزه‌ای تخصصی آموزش دیده و مسئولیت‌های مشخصی به آنان محول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تقسیم کار هوشمندانه نشان‌دهنده وجود ساختاری منسجم در حوزۀ فنی و اداری است</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اموری همچون آمارنویسی، گزارش‌نویسی، بایگانی، کتابت وحی و سایر امور مکتوب، با نظم و دقت انجام می‌گرفت که بیانگر بلوغ تشکیلات اداری در حکومت نبوی است</w:t>
      </w:r>
      <w:r>
        <w:rPr>
          <w:rFonts w:eastAsia="IRNazanin" w:cs="IRNazanin"/>
          <w:color w:val="111111"/>
          <w:sz w:val="28"/>
          <w:szCs w:val="28"/>
          <w:rtl w:val="true"/>
          <w:lang w:bidi="fa-IR"/>
        </w:rPr>
        <w:t xml:space="preserve">. </w:t>
      </w:r>
      <w:bookmarkStart w:id="71" w:name="pg18832_210889"/>
    </w:p>
    <w:p>
      <w:pPr>
        <w:pStyle w:val="Heading5"/>
        <w:numPr>
          <w:ilvl w:val="4"/>
          <w:numId w:val="1"/>
        </w:numPr>
        <w:rPr/>
      </w:pPr>
      <w:bookmarkStart w:id="72" w:name="__RefHeading___Toc14292374_1280447820"/>
      <w:bookmarkStart w:id="73" w:name="_Toc26"/>
      <w:bookmarkEnd w:id="71"/>
      <w:bookmarkEnd w:id="72"/>
      <w:r>
        <w:rPr/>
        <w:t>2.2.4</w:t>
      </w:r>
      <w:r>
        <w:rPr>
          <w:rtl w:val="true"/>
        </w:rPr>
        <w:t xml:space="preserve">. </w:t>
      </w:r>
      <w:r>
        <w:rPr>
          <w:rtl w:val="true"/>
        </w:rPr>
        <w:t xml:space="preserve">جهاز قضائی </w:t>
      </w:r>
      <w:r>
        <w:rPr>
          <w:rtl w:val="true"/>
        </w:rPr>
        <w:t>(</w:t>
      </w:r>
      <w:r>
        <w:rPr>
          <w:rtl w:val="true"/>
        </w:rPr>
        <w:t>قوه قضائیه</w:t>
      </w:r>
      <w:r>
        <w:rPr>
          <w:rtl w:val="true"/>
        </w:rPr>
        <w:t>)</w:t>
      </w:r>
      <w:bookmarkEnd w:id="73"/>
    </w:p>
    <w:p>
      <w:pPr>
        <w:pStyle w:val="Heading6"/>
        <w:numPr>
          <w:ilvl w:val="5"/>
          <w:numId w:val="1"/>
        </w:numPr>
        <w:rPr/>
      </w:pPr>
      <w:bookmarkStart w:id="74" w:name="__RefHeading___Toc14292376_1280447820"/>
      <w:bookmarkStart w:id="75" w:name="_Toc27"/>
      <w:bookmarkEnd w:id="74"/>
      <w:r>
        <w:rPr>
          <w:rtl w:val="true"/>
        </w:rPr>
        <w:t>اشاره</w:t>
      </w:r>
      <w:bookmarkEnd w:id="75"/>
    </w:p>
    <w:p>
      <w:pPr>
        <w:pStyle w:val="BookText"/>
        <w:rPr/>
      </w:pPr>
      <w:r>
        <w:rPr>
          <w:rFonts w:ascii="IRNazanin" w:hAnsi="IRNazanin" w:eastAsia="IRNazanin"/>
          <w:color w:val="111111"/>
          <w:sz w:val="28"/>
          <w:sz w:val="28"/>
          <w:szCs w:val="28"/>
          <w:rtl w:val="true"/>
          <w:lang w:bidi="fa-IR"/>
        </w:rPr>
        <w:t>ابن خلدون در بررسی تاریخچۀ نظام قضایی اسلام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منصب قضا از جمله جایگاه‌هایی است که از وظایف خلیفه به شمار می‌رود؛ زیرا داوری و قضاوت برای رفع اختلافات میان مردم ضروری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مقام، ویژه‌ی پیامبر و خلیفه بوده و قاضی می‌بایست با اجازۀ آنان به قضاوت می‌پرداخت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رو، اگرچه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سیستم قضایی منظم و متمرکز تأسیس نکردند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در آن مقطع احساس نیاز چندانی به آن نمی‌شد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اصول و مبانی اصلی قضا را بیان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خلفای پس از ایشان نیز بر پایۀ همان اصول عمل کردند و به تدریج نهاد قضاوت را بنیان نهادند، تا جایی که مسئولیت قضاوت را به دیگران نیز واگذار کردند</w:t>
      </w:r>
      <w:r>
        <w:rPr>
          <w:rFonts w:eastAsia="IRNazanin" w:cs="IRNazanin"/>
          <w:color w:val="111111"/>
          <w:sz w:val="28"/>
          <w:szCs w:val="28"/>
          <w:rtl w:val="true"/>
          <w:lang w:bidi="fa-IR"/>
        </w:rPr>
        <w:t>.»</w:t>
      </w:r>
    </w:p>
    <w:p>
      <w:pPr>
        <w:pStyle w:val="Heading6"/>
        <w:numPr>
          <w:ilvl w:val="5"/>
          <w:numId w:val="1"/>
        </w:numPr>
        <w:rPr/>
      </w:pPr>
      <w:bookmarkStart w:id="76" w:name="__RefHeading___Toc14292378_1280447820"/>
      <w:bookmarkStart w:id="77" w:name="_Toc28"/>
      <w:bookmarkEnd w:id="76"/>
      <w:r>
        <w:rPr>
          <w:rtl w:val="true"/>
        </w:rPr>
        <w:t>الف</w:t>
      </w:r>
      <w:r>
        <w:rPr>
          <w:rtl w:val="true"/>
        </w:rPr>
        <w:t xml:space="preserve">. </w:t>
      </w:r>
      <w:r>
        <w:rPr>
          <w:rtl w:val="true"/>
        </w:rPr>
        <w:t xml:space="preserve">قضاوت شخص نبی اكرم </w:t>
      </w:r>
      <w:r>
        <w:rPr>
          <w:rtl w:val="true"/>
        </w:rPr>
        <w:t>(</w:t>
      </w:r>
      <w:r>
        <w:rPr>
          <w:rtl w:val="true"/>
        </w:rPr>
        <w:t>صلی الله علیه وآله</w:t>
      </w:r>
      <w:r>
        <w:rPr>
          <w:rtl w:val="true"/>
        </w:rPr>
        <w:t>)</w:t>
      </w:r>
      <w:bookmarkEnd w:id="77"/>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مبلغ و مجری شریعت بودند، مسئولیت قضاوت را نیزبرعهده داشت</w:t>
      </w:r>
      <w:r>
        <w:rPr>
          <w:rStyle w:val="FootnoteAnchor"/>
          <w:rtl w:val="true"/>
        </w:rPr>
        <w:footnoteReference w:id="34"/>
      </w:r>
      <w:r>
        <w:rPr>
          <w:rFonts w:ascii="IRNazanin" w:hAnsi="IRNazanin" w:eastAsia="IRNazanin"/>
          <w:color w:val="111111"/>
          <w:sz w:val="28"/>
          <w:sz w:val="28"/>
          <w:szCs w:val="28"/>
          <w:rtl w:val="true"/>
          <w:lang w:bidi="fa-IR"/>
        </w:rPr>
        <w:t>و در موارد اختلاف به داوری می پرداختند</w:t>
      </w:r>
      <w:r>
        <w:rPr>
          <w:rFonts w:eastAsia="IRNazanin" w:cs="IRNazanin"/>
          <w:color w:val="111111"/>
          <w:sz w:val="28"/>
          <w:szCs w:val="28"/>
          <w:rtl w:val="true"/>
          <w:lang w:bidi="fa-IR"/>
        </w:rPr>
        <w:t>.</w:t>
      </w:r>
      <w:r>
        <w:rPr>
          <w:rStyle w:val="FootnoteAnchor"/>
          <w:rtl w:val="true"/>
        </w:rPr>
        <w:footnoteReference w:id="35"/>
      </w:r>
      <w:r>
        <w:rPr>
          <w:rFonts w:ascii="IRNazanin" w:hAnsi="IRNazanin" w:eastAsia="IRNazanin"/>
          <w:color w:val="111111"/>
          <w:sz w:val="28"/>
          <w:sz w:val="28"/>
          <w:szCs w:val="28"/>
          <w:rtl w:val="true"/>
          <w:lang w:bidi="fa-IR"/>
        </w:rPr>
        <w:t>اهتمام ایشان به امر قضا، به دلیل ارتباط مستقیم آن با تحقق عدالت اجتماعی و سیاسی بود</w:t>
      </w:r>
      <w:r>
        <w:rPr>
          <w:rFonts w:eastAsia="IRNazanin" w:cs="IRNazanin"/>
          <w:color w:val="111111"/>
          <w:sz w:val="28"/>
          <w:szCs w:val="28"/>
          <w:rtl w:val="true"/>
          <w:lang w:bidi="fa-IR"/>
        </w:rPr>
        <w:t>.</w:t>
      </w:r>
      <w:r>
        <w:rPr>
          <w:rStyle w:val="FootnoteAnchor"/>
          <w:rtl w:val="true"/>
        </w:rPr>
        <w:footnoteReference w:id="36"/>
      </w:r>
      <w:r>
        <w:rPr>
          <w:rFonts w:ascii="IRNazanin" w:hAnsi="IRNazanin" w:eastAsia="IRNazanin"/>
          <w:color w:val="111111"/>
          <w:sz w:val="28"/>
          <w:sz w:val="28"/>
          <w:szCs w:val="28"/>
          <w:rtl w:val="true"/>
          <w:lang w:bidi="fa-IR"/>
        </w:rPr>
        <w:t>پیامبر با ورود به این عرصه، امر دادرسی را از انحصار کاهنان و یهودیان خارج ساختند</w:t>
      </w:r>
      <w:r>
        <w:rPr>
          <w:rFonts w:eastAsia="IRNazanin" w:cs="IRNazanin"/>
          <w:color w:val="111111"/>
          <w:sz w:val="28"/>
          <w:szCs w:val="28"/>
          <w:rtl w:val="true"/>
          <w:lang w:bidi="fa-IR"/>
        </w:rPr>
        <w:t>.</w:t>
      </w:r>
      <w:r>
        <w:rPr>
          <w:rStyle w:val="FootnoteAnchor"/>
          <w:rtl w:val="true"/>
        </w:rPr>
        <w:footnoteReference w:id="37"/>
      </w:r>
      <w:bookmarkStart w:id="78" w:name="pg18832_210890"/>
    </w:p>
    <w:p>
      <w:pPr>
        <w:pStyle w:val="BookText"/>
        <w:rPr/>
      </w:pPr>
      <w:bookmarkEnd w:id="78"/>
      <w:r>
        <w:rPr>
          <w:rFonts w:ascii="IRNazanin" w:hAnsi="IRNazanin" w:eastAsia="IRNazanin"/>
          <w:color w:val="111111"/>
          <w:sz w:val="28"/>
          <w:sz w:val="28"/>
          <w:szCs w:val="28"/>
          <w:rtl w:val="true"/>
          <w:lang w:bidi="fa-IR"/>
        </w:rPr>
        <w:t>از مشهورترین قضاوت‌های ایشان، داوری میان سمره بن جندب و مرد انصاری بر سر مالکیت یک درخت، و نیز رسیدگی به اختلاف زبیر بن عوام و مرد انصاری دربارهٔ آبیاری باغات بود</w:t>
      </w:r>
      <w:r>
        <w:rPr>
          <w:rFonts w:eastAsia="IRNazanin" w:cs="IRNazanin"/>
          <w:color w:val="111111"/>
          <w:sz w:val="28"/>
          <w:szCs w:val="28"/>
          <w:rtl w:val="true"/>
          <w:lang w:bidi="fa-IR"/>
        </w:rPr>
        <w:t>.</w:t>
      </w:r>
      <w:r>
        <w:rPr>
          <w:rStyle w:val="FootnoteAnchor"/>
          <w:rtl w:val="true"/>
        </w:rPr>
        <w:footnoteReference w:id="38"/>
      </w:r>
    </w:p>
    <w:p>
      <w:pPr>
        <w:pStyle w:val="BookText"/>
        <w:rPr/>
      </w:pP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قاضی اول دولت اسلامی و تنها دادرس مدینه</w:t>
      </w:r>
      <w:r>
        <w:rPr>
          <w:rStyle w:val="FootnoteAnchor"/>
          <w:rtl w:val="true"/>
        </w:rPr>
        <w:footnoteReference w:id="39"/>
      </w:r>
      <w:r>
        <w:rPr>
          <w:rFonts w:ascii="IRNazanin" w:hAnsi="IRNazanin" w:eastAsia="IRNazanin"/>
          <w:color w:val="111111"/>
          <w:sz w:val="28"/>
          <w:sz w:val="28"/>
          <w:szCs w:val="28"/>
          <w:rtl w:val="true"/>
          <w:lang w:bidi="fa-IR"/>
        </w:rPr>
        <w:t>، در بیان جایگاه بشری خویش در امر قضاوت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بشر هستم و شما دعاوی خود را نزد من می‌آورید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یکی از شما در بیان خود از دیگری فصیح‌تر باشد و من بر اساس آنچه می‌شنوم داوری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کس به سود او حکمی صادر شود و حقی از برادرش ضایع گردد، نباید چیزی از او بگیرد که در این ، سهمی از آتش دوزخ برای او خواهد بود</w:t>
      </w:r>
      <w:r>
        <w:rPr>
          <w:rFonts w:eastAsia="IRNazanin" w:cs="IRNazanin"/>
          <w:color w:val="111111"/>
          <w:sz w:val="28"/>
          <w:szCs w:val="28"/>
          <w:rtl w:val="true"/>
          <w:lang w:bidi="fa-IR"/>
        </w:rPr>
        <w:t>.»</w:t>
      </w:r>
      <w:r>
        <w:rPr>
          <w:rStyle w:val="FootnoteAnchor"/>
          <w:rtl w:val="true"/>
        </w:rPr>
        <w:footnoteReference w:id="40"/>
      </w:r>
    </w:p>
    <w:p>
      <w:pPr>
        <w:pStyle w:val="BookText"/>
        <w:rPr/>
      </w:pPr>
      <w:r>
        <w:rPr>
          <w:rFonts w:ascii="IRNazanin" w:hAnsi="IRNazanin" w:eastAsia="IRNazanin"/>
          <w:color w:val="111111"/>
          <w:sz w:val="28"/>
          <w:sz w:val="28"/>
          <w:szCs w:val="28"/>
          <w:rtl w:val="true"/>
          <w:lang w:bidi="fa-IR"/>
        </w:rPr>
        <w:t>این سخن، عمق مسئولیت‌پذیری و عدالت‌محوری ایشان در امر قضا را نشان می‌دهد</w:t>
      </w:r>
      <w:r>
        <w:rPr>
          <w:rFonts w:eastAsia="IRNazanin" w:cs="IRNazanin"/>
          <w:color w:val="111111"/>
          <w:sz w:val="28"/>
          <w:szCs w:val="28"/>
          <w:rtl w:val="true"/>
          <w:lang w:bidi="fa-IR"/>
        </w:rPr>
        <w:t>.</w:t>
      </w:r>
    </w:p>
    <w:p>
      <w:pPr>
        <w:pStyle w:val="Heading6"/>
        <w:numPr>
          <w:ilvl w:val="5"/>
          <w:numId w:val="1"/>
        </w:numPr>
        <w:rPr/>
      </w:pPr>
      <w:bookmarkStart w:id="79" w:name="__RefHeading___Toc14292380_1280447820"/>
      <w:bookmarkStart w:id="80" w:name="_Toc29"/>
      <w:bookmarkEnd w:id="79"/>
      <w:r>
        <w:rPr>
          <w:rtl w:val="true"/>
        </w:rPr>
        <w:t>ب</w:t>
      </w:r>
      <w:r>
        <w:rPr>
          <w:rtl w:val="true"/>
        </w:rPr>
        <w:t xml:space="preserve">. </w:t>
      </w:r>
      <w:r>
        <w:rPr>
          <w:rtl w:val="true"/>
        </w:rPr>
        <w:t>نصب قاضی</w:t>
      </w:r>
      <w:bookmarkEnd w:id="80"/>
    </w:p>
    <w:p>
      <w:pPr>
        <w:pStyle w:val="BookText"/>
        <w:rPr/>
      </w:pP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مناطق تحت حکومت اسلامی، افرادی واجد صلاحیت را به عنوان قاضی منصوب می‌فرمودند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یمن اعزام کردند و به ایشان فرمودند</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دو طرف دعوا نزد تو حاضر شدند، پیش از آنکه سخن هر دو را به یک اندازه بشنوی، قضاوت مکن</w:t>
      </w:r>
      <w:r>
        <w:rPr>
          <w:rFonts w:eastAsia="IRNazanin" w:cs="IRNazanin"/>
          <w:color w:val="111111"/>
          <w:sz w:val="28"/>
          <w:szCs w:val="28"/>
          <w:rtl w:val="true"/>
          <w:lang w:bidi="fa-IR"/>
        </w:rPr>
        <w:t>.»</w:t>
      </w:r>
      <w:r>
        <w:rPr>
          <w:rStyle w:val="FootnoteAnchor"/>
          <w:rtl w:val="true"/>
        </w:rPr>
        <w:footnoteReference w:id="41"/>
      </w:r>
      <w:bookmarkStart w:id="81" w:name="pg18832_210891"/>
    </w:p>
    <w:p>
      <w:pPr>
        <w:pStyle w:val="BookText"/>
        <w:rPr/>
      </w:pPr>
      <w:bookmarkEnd w:id="81"/>
      <w:r>
        <w:rPr>
          <w:rFonts w:ascii="IRNazanin" w:hAnsi="IRNazanin" w:eastAsia="IRNazanin"/>
          <w:color w:val="111111"/>
          <w:sz w:val="28"/>
          <w:sz w:val="28"/>
          <w:szCs w:val="28"/>
          <w:rtl w:val="true"/>
          <w:lang w:bidi="fa-IR"/>
        </w:rPr>
        <w:t xml:space="preserve">در مورد قضاوت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برخی ایشان را قاضی تعیین‌شده از سوی پیامبر در مدینه می‌دانند</w:t>
      </w:r>
      <w:r>
        <w:rPr>
          <w:rStyle w:val="FootnoteAnchor"/>
          <w:rtl w:val="true"/>
        </w:rPr>
        <w:footnoteReference w:id="42"/>
      </w:r>
      <w:r>
        <w:rPr>
          <w:rFonts w:ascii="IRNazanin" w:hAnsi="IRNazanin" w:eastAsia="IRNazanin"/>
          <w:color w:val="111111"/>
          <w:sz w:val="28"/>
          <w:sz w:val="28"/>
          <w:szCs w:val="28"/>
          <w:rtl w:val="true"/>
          <w:lang w:bidi="fa-IR"/>
        </w:rPr>
        <w:t>و برخی دیگر، قاضی خارج از مدینه</w:t>
      </w:r>
      <w:r>
        <w:rPr>
          <w:rFonts w:eastAsia="IRNazanin" w:cs="IRNazanin"/>
          <w:color w:val="111111"/>
          <w:sz w:val="28"/>
          <w:szCs w:val="28"/>
          <w:rtl w:val="true"/>
          <w:lang w:bidi="fa-IR"/>
        </w:rPr>
        <w:t>.</w:t>
      </w:r>
      <w:r>
        <w:rPr>
          <w:rStyle w:val="FootnoteAnchor"/>
          <w:rtl w:val="true"/>
        </w:rPr>
        <w:footnoteReference w:id="43"/>
      </w:r>
    </w:p>
    <w:p>
      <w:pPr>
        <w:pStyle w:val="BookText"/>
        <w:rPr/>
      </w:pPr>
      <w:r>
        <w:rPr>
          <w:rFonts w:ascii="IRNazanin" w:hAnsi="IRNazanin" w:eastAsia="IRNazanin"/>
          <w:color w:val="111111"/>
          <w:sz w:val="28"/>
          <w:sz w:val="28"/>
          <w:szCs w:val="28"/>
          <w:rtl w:val="true"/>
          <w:lang w:bidi="fa-IR"/>
        </w:rPr>
        <w:t xml:space="preserve">از جمله قضات منصوب‌شده از سوی پیامبر، معاذ بن جبل </w:t>
      </w:r>
      <w:r>
        <w:rPr>
          <w:rStyle w:val="FootnoteAnchor"/>
          <w:rtl w:val="true"/>
        </w:rPr>
        <w:footnoteReference w:id="44"/>
      </w:r>
      <w:r>
        <w:rPr>
          <w:rFonts w:ascii="IRNazanin" w:hAnsi="IRNazanin" w:eastAsia="IRNazanin"/>
          <w:color w:val="111111"/>
          <w:sz w:val="28"/>
          <w:sz w:val="28"/>
          <w:szCs w:val="28"/>
          <w:rtl w:val="true"/>
          <w:lang w:bidi="fa-IR"/>
        </w:rPr>
        <w:t>و ابوموسی اشعری</w:t>
      </w:r>
      <w:r>
        <w:rPr>
          <w:rStyle w:val="FootnoteAnchor"/>
          <w:rtl w:val="true"/>
        </w:rPr>
        <w:footnoteReference w:id="45"/>
      </w: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برخی آنان را والی می‌دانند،</w:t>
      </w:r>
      <w:r>
        <w:rPr>
          <w:rStyle w:val="FootnoteAnchor"/>
          <w:rtl w:val="true"/>
        </w:rPr>
        <w:footnoteReference w:id="46"/>
      </w:r>
      <w:r>
        <w:rPr>
          <w:rFonts w:ascii="IRNazanin" w:hAnsi="IRNazanin" w:eastAsia="IRNazanin"/>
          <w:color w:val="111111"/>
          <w:sz w:val="28"/>
          <w:sz w:val="28"/>
          <w:szCs w:val="28"/>
          <w:rtl w:val="true"/>
          <w:lang w:bidi="fa-IR"/>
        </w:rPr>
        <w:t xml:space="preserve">اما حدیث مشهوری که گفت‌وگوی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معاذ بن جبل را پیش از عزیمت به محل مأموریت نقل می‌کند، نشان می‌دهد که وی به عنوان قاضی اعزام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معاذ در این گفت‌وگو بیان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قرآن و سنت حکمی نیابم، با اجتهاد خود عمل خواهم کرد</w:t>
      </w:r>
      <w:r>
        <w:rPr>
          <w:rFonts w:eastAsia="IRNazanin" w:cs="IRNazanin"/>
          <w:color w:val="111111"/>
          <w:sz w:val="28"/>
          <w:szCs w:val="28"/>
          <w:rtl w:val="true"/>
          <w:lang w:bidi="fa-IR"/>
        </w:rPr>
        <w:t>.</w:t>
      </w:r>
      <w:r>
        <w:rPr>
          <w:rStyle w:val="FootnoteAnchor"/>
          <w:rtl w:val="true"/>
        </w:rPr>
        <w:footnoteReference w:id="47"/>
      </w:r>
    </w:p>
    <w:p>
      <w:pPr>
        <w:pStyle w:val="Heading5"/>
        <w:numPr>
          <w:ilvl w:val="4"/>
          <w:numId w:val="1"/>
        </w:numPr>
        <w:rPr/>
      </w:pPr>
      <w:bookmarkStart w:id="82" w:name="__RefHeading___Toc14292382_1280447820"/>
      <w:bookmarkStart w:id="83" w:name="_Toc30"/>
      <w:bookmarkEnd w:id="82"/>
      <w:r>
        <w:rPr/>
        <w:t>2.2.5</w:t>
      </w:r>
      <w:r>
        <w:rPr>
          <w:rtl w:val="true"/>
        </w:rPr>
        <w:t xml:space="preserve"> </w:t>
      </w:r>
      <w:r>
        <w:rPr>
          <w:rtl w:val="true"/>
        </w:rPr>
        <w:t xml:space="preserve">جهاز عسگری </w:t>
      </w:r>
      <w:r>
        <w:rPr>
          <w:rtl w:val="true"/>
        </w:rPr>
        <w:t>(</w:t>
      </w:r>
      <w:r>
        <w:rPr>
          <w:rtl w:val="true"/>
        </w:rPr>
        <w:t>وزارت دفاع</w:t>
      </w:r>
      <w:r>
        <w:rPr>
          <w:rtl w:val="true"/>
        </w:rPr>
        <w:t>)</w:t>
      </w:r>
      <w:bookmarkEnd w:id="83"/>
    </w:p>
    <w:p>
      <w:pPr>
        <w:pStyle w:val="Heading6"/>
        <w:numPr>
          <w:ilvl w:val="5"/>
          <w:numId w:val="1"/>
        </w:numPr>
        <w:rPr/>
      </w:pPr>
      <w:bookmarkStart w:id="84" w:name="__RefHeading___Toc14292384_1280447820"/>
      <w:bookmarkStart w:id="85" w:name="_Toc31"/>
      <w:bookmarkEnd w:id="84"/>
      <w:r>
        <w:rPr>
          <w:rtl w:val="true"/>
        </w:rPr>
        <w:t>اشاره</w:t>
      </w:r>
      <w:bookmarkEnd w:id="85"/>
    </w:p>
    <w:p>
      <w:pPr>
        <w:pStyle w:val="BookText"/>
        <w:rPr/>
      </w:pPr>
      <w:r>
        <w:rPr>
          <w:rFonts w:ascii="IRNazanin" w:hAnsi="IRNazanin" w:eastAsia="IRNazanin"/>
          <w:color w:val="111111"/>
          <w:sz w:val="28"/>
          <w:sz w:val="28"/>
          <w:szCs w:val="28"/>
          <w:rtl w:val="true"/>
          <w:lang w:bidi="fa-IR"/>
        </w:rPr>
        <w:t xml:space="preserve">در بُعد نظامی،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ساختاری منظم و کارآمد مبتنی بر تقسیم وظایف ایجاد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نمودهای این نظام، انتصاب فرماندهان برای سرایا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گروه‌های اعزامی نظامی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تعداد این سرایا در منابع تاریخی بین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ذکر شده که خود گواهی بر تعدد مأموریت‌ها و ضرورت وجود سلسله مراتب فرماندهی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بعد نظامی،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شفاف ترین تقسیم كار را داشته است</w:t>
      </w:r>
      <w:r>
        <w:rPr>
          <w:rFonts w:eastAsia="IRNazanin" w:cs="IRNazanin"/>
          <w:color w:val="111111"/>
          <w:sz w:val="28"/>
          <w:szCs w:val="28"/>
          <w:rtl w:val="true"/>
          <w:lang w:bidi="fa-IR"/>
        </w:rPr>
        <w:t>.</w:t>
      </w:r>
      <w:r>
        <w:rPr>
          <w:rStyle w:val="FootnoteAnchor"/>
          <w:rtl w:val="true"/>
        </w:rPr>
        <w:footnoteReference w:id="48"/>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مأموریت‌ها و ضرورت وجود سلسله مراتب فرماندهی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انتصاب‌ها در دو حالت انجام می‌گرفت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هنگامی 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شخصاً در </w:t>
      </w:r>
      <w:bookmarkStart w:id="86" w:name="pg18832_210892"/>
    </w:p>
    <w:p>
      <w:pPr>
        <w:pStyle w:val="BookText"/>
        <w:rPr/>
      </w:pPr>
      <w:bookmarkEnd w:id="86"/>
      <w:r>
        <w:rPr>
          <w:rFonts w:ascii="IRNazanin" w:hAnsi="IRNazanin" w:eastAsia="IRNazanin"/>
          <w:color w:val="111111"/>
          <w:sz w:val="28"/>
          <w:sz w:val="28"/>
          <w:szCs w:val="28"/>
          <w:rtl w:val="true"/>
          <w:lang w:bidi="fa-IR"/>
        </w:rPr>
        <w:t>عملیات حضور نداشتند، فرماندهی را به یکی از یاران می‌سپردند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زمانی که خود ایشان فرماندهی را بر عهده می‌گرفتند، جانشینی برای اداره مدینه تعیین می‌کردند تا نظم اداری و امنیتی شهر حفظ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نمونه، در غیاب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محمد بن مسلمه انصاری به عنوان جانشین ایشان در مدینه منصوب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رویکرد، نشان‌دهنده تدبیر نظامی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توجه ایشان به تداوم مدیریت در تمامی عرصه‌ها حتی در زمان غیبت است</w:t>
      </w:r>
      <w:r>
        <w:rPr>
          <w:rFonts w:eastAsia="IRNazanin" w:cs="IRNazanin"/>
          <w:color w:val="111111"/>
          <w:sz w:val="28"/>
          <w:szCs w:val="28"/>
          <w:rtl w:val="true"/>
          <w:lang w:bidi="fa-IR"/>
        </w:rPr>
        <w:t>.</w:t>
      </w:r>
      <w:r>
        <w:rPr>
          <w:rStyle w:val="FootnoteAnchor"/>
          <w:rtl w:val="true"/>
        </w:rPr>
        <w:footnoteReference w:id="49"/>
      </w:r>
    </w:p>
    <w:p>
      <w:pPr>
        <w:pStyle w:val="Heading6"/>
        <w:numPr>
          <w:ilvl w:val="5"/>
          <w:numId w:val="1"/>
        </w:numPr>
        <w:rPr/>
      </w:pPr>
      <w:bookmarkStart w:id="87" w:name="__RefHeading___Toc14292386_1280447820"/>
      <w:bookmarkStart w:id="88" w:name="_Toc32"/>
      <w:bookmarkEnd w:id="87"/>
      <w:r>
        <w:rPr>
          <w:rtl w:val="true"/>
        </w:rPr>
        <w:t>ب</w:t>
      </w:r>
      <w:r>
        <w:rPr>
          <w:rtl w:val="true"/>
        </w:rPr>
        <w:t xml:space="preserve">. </w:t>
      </w:r>
      <w:r>
        <w:rPr>
          <w:rtl w:val="true"/>
        </w:rPr>
        <w:t xml:space="preserve">مستنفر </w:t>
      </w:r>
      <w:r>
        <w:rPr>
          <w:rtl w:val="true"/>
        </w:rPr>
        <w:t>:</w:t>
      </w:r>
      <w:bookmarkEnd w:id="88"/>
    </w:p>
    <w:p>
      <w:pPr>
        <w:pStyle w:val="BookText"/>
        <w:rPr/>
      </w:pPr>
      <w:r>
        <w:rPr>
          <w:rFonts w:ascii="IRNazanin" w:hAnsi="IRNazanin" w:eastAsia="IRNazanin"/>
          <w:color w:val="111111"/>
          <w:sz w:val="28"/>
          <w:sz w:val="28"/>
          <w:szCs w:val="28"/>
          <w:rtl w:val="true"/>
          <w:lang w:bidi="fa-IR"/>
        </w:rPr>
        <w:t>می حکومت نبوی، مستنفِر به فردی اطلاق می‌شد که مأموریت داشت نیروهای رزمی را گردآوری و برای مشارکت در جنگ تشویق و سازماندهی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نمونه، بُسر بن سفیان خزاعی و بدیل بن ام اصرم از سوی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مأمور شدند تا قبیله خزاعه را برای حضور در جنگ علیه مشرکان مکه در سال فتح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عام‌الفتح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بسیج کنند</w:t>
      </w:r>
      <w:r>
        <w:rPr>
          <w:rFonts w:eastAsia="IRNazanin" w:cs="IRNazanin"/>
          <w:color w:val="111111"/>
          <w:sz w:val="28"/>
          <w:szCs w:val="28"/>
          <w:rtl w:val="true"/>
          <w:lang w:bidi="fa-IR"/>
        </w:rPr>
        <w:t>.</w:t>
      </w:r>
      <w:r>
        <w:rPr>
          <w:rStyle w:val="FootnoteAnchor"/>
          <w:rtl w:val="true"/>
        </w:rPr>
        <w:footnoteReference w:id="50"/>
      </w:r>
      <w:r>
        <w:rPr>
          <w:rFonts w:ascii="IRNazanin" w:hAnsi="IRNazanin" w:eastAsia="IRNazanin"/>
          <w:color w:val="111111"/>
          <w:sz w:val="28"/>
          <w:sz w:val="28"/>
          <w:szCs w:val="28"/>
          <w:rtl w:val="true"/>
          <w:lang w:bidi="fa-IR"/>
        </w:rPr>
        <w:t>همچنین در برخی روایات، بدیل به عنوان مأمور بسیج کنندۀ قبیله ابی‌کعب معرفی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نقش، نشان‌دهنده توجه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سازماندهی غیرمستقیم نیروها و استفاده از ظرفیت‌های محلی در عملیات‌های نظامی است</w:t>
      </w:r>
      <w:r>
        <w:rPr>
          <w:rFonts w:eastAsia="IRNazanin" w:cs="IRNazanin"/>
          <w:color w:val="111111"/>
          <w:sz w:val="28"/>
          <w:szCs w:val="28"/>
          <w:rtl w:val="true"/>
          <w:lang w:bidi="fa-IR"/>
        </w:rPr>
        <w:t>.</w:t>
      </w:r>
      <w:r>
        <w:rPr>
          <w:rStyle w:val="FootnoteAnchor"/>
          <w:rtl w:val="true"/>
        </w:rPr>
        <w:footnoteReference w:id="51"/>
      </w:r>
    </w:p>
    <w:p>
      <w:pPr>
        <w:pStyle w:val="Heading6"/>
        <w:numPr>
          <w:ilvl w:val="5"/>
          <w:numId w:val="1"/>
        </w:numPr>
        <w:rPr/>
      </w:pPr>
      <w:bookmarkStart w:id="89" w:name="__RefHeading___Toc14292388_1280447820"/>
      <w:bookmarkStart w:id="90" w:name="_Toc33"/>
      <w:bookmarkEnd w:id="89"/>
      <w:r>
        <w:rPr>
          <w:rtl w:val="true"/>
        </w:rPr>
        <w:t>ج</w:t>
      </w:r>
      <w:r>
        <w:rPr>
          <w:rtl w:val="true"/>
        </w:rPr>
        <w:t xml:space="preserve">. </w:t>
      </w:r>
      <w:r>
        <w:rPr>
          <w:rtl w:val="true"/>
        </w:rPr>
        <w:t xml:space="preserve">صاحب لواء </w:t>
      </w:r>
      <w:r>
        <w:rPr>
          <w:rtl w:val="true"/>
        </w:rPr>
        <w:t>(</w:t>
      </w:r>
      <w:r>
        <w:rPr>
          <w:rtl w:val="true"/>
        </w:rPr>
        <w:t>علمدار و پرچمدار</w:t>
      </w:r>
      <w:r>
        <w:rPr>
          <w:rtl w:val="true"/>
        </w:rPr>
        <w:t>)</w:t>
      </w:r>
      <w:bookmarkEnd w:id="90"/>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ساختار نظامی حکومت نبوی، پرچم‌داری نقشی نمادین و راهبردی داشت و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دقت و تدبیر، پرچمداران را انتخاب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پرچم اصلی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همواره در میدان‌های نبرد به دست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w:t>
      </w:r>
      <w:bookmarkStart w:id="91" w:name="pg18832_210893"/>
    </w:p>
    <w:p>
      <w:pPr>
        <w:pStyle w:val="BookText"/>
        <w:rPr/>
      </w:pPr>
      <w:bookmarkEnd w:id="91"/>
      <w:r>
        <w:rPr>
          <w:rFonts w:ascii="IRNazanin" w:hAnsi="IRNazanin" w:eastAsia="IRNazanin"/>
          <w:color w:val="111111"/>
          <w:sz w:val="28"/>
          <w:sz w:val="28"/>
          <w:szCs w:val="28"/>
          <w:rtl w:val="true"/>
          <w:lang w:bidi="fa-IR"/>
        </w:rPr>
        <w:t xml:space="preserve">چنان‌که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حدیثی مشهور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صاحب پرچم من در دنیا و آخرت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بُرَیده بن حصیب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اسلام آوردن، مأمور شد هنگام ورود به مدینه پرچم‌دار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با ابتکاری نمادین، عمامه خود را بر نیزه بست و آن را به عنوان پرچم پیش روی خود نگاه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دیگر پرچم‌داران برجسته در نبردهای زمان پیامبر می‌توان به ابوبکر، عمر، زبیر بن عوام، سعد بن معاذ، سعد بن عباده، قیس بن سعد و مصعب بن عمیر 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انتخاب‌ها نشان‌دهنده توجه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شایستگی‌های فردی و نقش نمادین پرچم‌دار در هدایت و انسجام نیروها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وارد مدینه می شود، پرچم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عمامه اش را بر نیزه اش پیچید و جلوی روی خویش گرفت تا وارد مدینه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ابوبكر، عمر، زبیر بن عوام، سعد بن معاذ ، سعد بن عباده، قیس بن سعد عباده و مصعب بن عمیر از جمله پرچمداران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نبردها بودند</w:t>
      </w:r>
      <w:r>
        <w:rPr>
          <w:rFonts w:eastAsia="IRNazanin" w:cs="IRNazanin"/>
          <w:color w:val="111111"/>
          <w:sz w:val="28"/>
          <w:szCs w:val="28"/>
          <w:rtl w:val="true"/>
          <w:lang w:bidi="fa-IR"/>
        </w:rPr>
        <w:t>.</w:t>
      </w:r>
      <w:r>
        <w:rPr>
          <w:rStyle w:val="FootnoteAnchor"/>
          <w:rtl w:val="true"/>
        </w:rPr>
        <w:footnoteReference w:id="52"/>
      </w:r>
    </w:p>
    <w:p>
      <w:pPr>
        <w:pStyle w:val="Heading6"/>
        <w:numPr>
          <w:ilvl w:val="5"/>
          <w:numId w:val="1"/>
        </w:numPr>
        <w:rPr/>
      </w:pPr>
      <w:bookmarkStart w:id="92" w:name="__RefHeading___Toc14292390_1280447820"/>
      <w:bookmarkStart w:id="93" w:name="_Toc34"/>
      <w:bookmarkEnd w:id="92"/>
      <w:r>
        <w:rPr>
          <w:rtl w:val="true"/>
        </w:rPr>
        <w:t>د</w:t>
      </w:r>
      <w:r>
        <w:rPr>
          <w:rtl w:val="true"/>
        </w:rPr>
        <w:t xml:space="preserve">. </w:t>
      </w:r>
      <w:r>
        <w:rPr>
          <w:rtl w:val="true"/>
        </w:rPr>
        <w:t>سازماندهی نیروهای نظامی</w:t>
      </w:r>
      <w:bookmarkEnd w:id="93"/>
    </w:p>
    <w:p>
      <w:pPr>
        <w:pStyle w:val="BookText"/>
        <w:rPr/>
      </w:pPr>
      <w:r>
        <w:rPr>
          <w:rFonts w:ascii="IRNazanin" w:hAnsi="IRNazanin" w:eastAsia="IRNazanin"/>
          <w:color w:val="111111"/>
          <w:sz w:val="28"/>
          <w:sz w:val="28"/>
          <w:szCs w:val="28"/>
          <w:rtl w:val="true"/>
          <w:lang w:bidi="fa-IR"/>
        </w:rPr>
        <w:t xml:space="preserve">ساختار نظامی در دوران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سازمانی منظم و مبتنی بر تقسیم‌بندی‌های شناخته ‌شده در آن عصر برخوردار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اعراب سپاه را به عنوان خمیس می‌شناختند، زیرا به پنج بخش اصلی تقسیم می‌شد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ستون اصلی و فرماندهی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میمنه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جناح راست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میسره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جناح چپ</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مقدّمه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پیش‌تاز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ساقه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محافظان عقب سپاه</w:t>
      </w:r>
      <w:r>
        <w:rPr>
          <w:rFonts w:eastAsia="IRNazanin" w:cs="IRNazanin"/>
          <w:color w:val="111111"/>
          <w:sz w:val="28"/>
          <w:szCs w:val="28"/>
          <w:rtl w:val="true"/>
          <w:lang w:bidi="fa-IR"/>
        </w:rPr>
        <w:t xml:space="preserve">) </w:t>
      </w:r>
      <w:bookmarkStart w:id="94" w:name="pg18832_210894"/>
    </w:p>
    <w:p>
      <w:pPr>
        <w:pStyle w:val="BookText"/>
        <w:rPr/>
      </w:pPr>
      <w:bookmarkEnd w:id="94"/>
      <w:r>
        <w:rPr>
          <w:rFonts w:ascii="IRNazanin" w:hAnsi="IRNazanin" w:eastAsia="IRNazanin"/>
          <w:color w:val="111111"/>
          <w:sz w:val="28"/>
          <w:sz w:val="28"/>
          <w:szCs w:val="28"/>
          <w:rtl w:val="true"/>
          <w:lang w:bidi="fa-IR"/>
        </w:rPr>
        <w:t xml:space="preserve">ابن اسحاق در روایات خود به رعایت این ساختار توسط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کرده است</w:t>
      </w:r>
      <w:r>
        <w:rPr>
          <w:rFonts w:eastAsia="IRNazanin" w:cs="IRNazanin"/>
          <w:color w:val="111111"/>
          <w:sz w:val="28"/>
          <w:szCs w:val="28"/>
          <w:rtl w:val="true"/>
          <w:lang w:bidi="fa-IR"/>
        </w:rPr>
        <w:t>.</w:t>
      </w:r>
      <w:r>
        <w:rPr>
          <w:rStyle w:val="FootnoteAnchor"/>
          <w:rtl w:val="true"/>
        </w:rPr>
        <w:footnoteReference w:id="53"/>
      </w:r>
      <w:r>
        <w:rPr>
          <w:rFonts w:ascii="IRNazanin" w:hAnsi="IRNazanin" w:eastAsia="IRNazanin"/>
          <w:color w:val="111111"/>
          <w:sz w:val="28"/>
          <w:sz w:val="28"/>
          <w:szCs w:val="28"/>
          <w:rtl w:val="true"/>
          <w:lang w:bidi="fa-IR"/>
        </w:rPr>
        <w:t xml:space="preserve">همچنین در نقلی معتبر آمده 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 فتح مکه، سپاه اسلام را به گردان‌های متعدد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کَتائِب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تقسیم کردند و فرماندهانی شایسته چون زبیر بن عوام، سعد بن عباده، خالد بن ولید و ابوعبیده جراح را به فرماندهی این یگان‌ها منصوب نمودند</w:t>
      </w:r>
      <w:r>
        <w:rPr>
          <w:rFonts w:eastAsia="IRNazanin" w:cs="IRNazanin"/>
          <w:color w:val="111111"/>
          <w:sz w:val="28"/>
          <w:szCs w:val="28"/>
          <w:rtl w:val="true"/>
          <w:lang w:bidi="fa-IR"/>
        </w:rPr>
        <w:t>.</w:t>
      </w:r>
      <w:r>
        <w:rPr>
          <w:rStyle w:val="FootnoteAnchor"/>
          <w:rtl w:val="true"/>
        </w:rPr>
        <w:footnoteReference w:id="54"/>
      </w:r>
    </w:p>
    <w:p>
      <w:pPr>
        <w:pStyle w:val="Heading6"/>
        <w:numPr>
          <w:ilvl w:val="5"/>
          <w:numId w:val="1"/>
        </w:numPr>
        <w:rPr/>
      </w:pPr>
      <w:bookmarkStart w:id="95" w:name="__RefHeading___Toc14292392_1280447820"/>
      <w:bookmarkStart w:id="96" w:name="_Toc35"/>
      <w:bookmarkEnd w:id="95"/>
      <w:r>
        <w:rPr>
          <w:rtl w:val="true"/>
        </w:rPr>
        <w:t>ه</w:t>
      </w:r>
      <w:r>
        <w:rPr>
          <w:rtl w:val="true"/>
        </w:rPr>
        <w:t xml:space="preserve">. </w:t>
      </w:r>
      <w:r>
        <w:rPr>
          <w:rtl w:val="true"/>
        </w:rPr>
        <w:t xml:space="preserve">امیر الرماة </w:t>
      </w:r>
      <w:r>
        <w:rPr>
          <w:rtl w:val="true"/>
        </w:rPr>
        <w:t>(</w:t>
      </w:r>
      <w:r>
        <w:rPr>
          <w:rtl w:val="true"/>
        </w:rPr>
        <w:t>فرمانده تیراندازان</w:t>
      </w:r>
      <w:r>
        <w:rPr>
          <w:rtl w:val="true"/>
        </w:rPr>
        <w:t>)</w:t>
      </w:r>
      <w:bookmarkEnd w:id="96"/>
    </w:p>
    <w:p>
      <w:pPr>
        <w:pStyle w:val="BookText"/>
        <w:rPr/>
      </w:pPr>
      <w:r>
        <w:rPr>
          <w:rFonts w:ascii="IRNazanin" w:hAnsi="IRNazanin" w:eastAsia="IRNazanin"/>
          <w:color w:val="111111"/>
          <w:sz w:val="28"/>
          <w:sz w:val="28"/>
          <w:szCs w:val="28"/>
          <w:rtl w:val="true"/>
          <w:lang w:bidi="fa-IR"/>
        </w:rPr>
        <w:t xml:space="preserve">انتصاب فرماندهان تخصصی در جنگ‌های دوران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نشان‌دهنده سازماندهی پیشرفته نظامی در حکومت نبوی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بن جبیر به عنوان فرمانده تیراندازان در جنگ احد منصوب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پیامبر به وی این بود که موضع خود و یارانش را در کوه عینین تحت هر شرایطی حفظ کند، حتی اگر نتیجه جنگ به نفع یا ضرر مسلمانان تغییر کند</w:t>
      </w:r>
      <w:r>
        <w:rPr>
          <w:rFonts w:eastAsia="IRNazanin" w:cs="IRNazanin"/>
          <w:color w:val="111111"/>
          <w:sz w:val="28"/>
          <w:szCs w:val="28"/>
          <w:rtl w:val="true"/>
          <w:lang w:bidi="fa-IR"/>
        </w:rPr>
        <w:t>.</w:t>
      </w:r>
      <w:r>
        <w:rPr>
          <w:rStyle w:val="FootnoteAnchor"/>
          <w:rtl w:val="true"/>
        </w:rPr>
        <w:footnoteReference w:id="55"/>
      </w:r>
      <w:r>
        <w:rPr>
          <w:rFonts w:ascii="IRNazanin" w:hAnsi="IRNazanin" w:eastAsia="IRNazanin"/>
          <w:color w:val="111111"/>
          <w:sz w:val="28"/>
          <w:sz w:val="28"/>
          <w:szCs w:val="28"/>
          <w:rtl w:val="true"/>
          <w:lang w:bidi="fa-IR"/>
        </w:rPr>
        <w:t>عبدالله بن جعفر نیز در برخی نبردها مسئولیت هدایت واحد تیراندازی را بر عهده داشت</w:t>
      </w:r>
      <w:r>
        <w:rPr>
          <w:rFonts w:eastAsia="IRNazanin" w:cs="IRNazanin"/>
          <w:color w:val="111111"/>
          <w:sz w:val="28"/>
          <w:szCs w:val="28"/>
          <w:rtl w:val="true"/>
          <w:lang w:bidi="fa-IR"/>
        </w:rPr>
        <w:t>.</w:t>
      </w:r>
      <w:r>
        <w:rPr>
          <w:rStyle w:val="FootnoteAnchor"/>
          <w:rtl w:val="true"/>
        </w:rPr>
        <w:footnoteReference w:id="56"/>
      </w:r>
    </w:p>
    <w:p>
      <w:pPr>
        <w:pStyle w:val="BookText"/>
        <w:rPr/>
      </w:pPr>
      <w:r>
        <w:rPr>
          <w:rFonts w:ascii="IRNazanin" w:hAnsi="IRNazanin" w:eastAsia="IRNazanin"/>
          <w:color w:val="111111"/>
          <w:sz w:val="28"/>
          <w:sz w:val="28"/>
          <w:szCs w:val="28"/>
          <w:rtl w:val="true"/>
          <w:lang w:bidi="fa-IR"/>
        </w:rPr>
        <w:t xml:space="preserve">این انتصاب‌ها نشان می‌دهد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نقش مؤثر رزمندگان تخصصی در میدان نبرد واقف بودند و با انتخاب فرماندهان شایسته، سعی در بهره‌گیری حداکثری از توان رزمی سپاه اسلام داشتند</w:t>
      </w:r>
      <w:r>
        <w:rPr>
          <w:rFonts w:eastAsia="IRNazanin" w:cs="IRNazanin"/>
          <w:color w:val="111111"/>
          <w:sz w:val="28"/>
          <w:szCs w:val="28"/>
          <w:rtl w:val="true"/>
          <w:lang w:bidi="fa-IR"/>
        </w:rPr>
        <w:t>.</w:t>
      </w:r>
    </w:p>
    <w:p>
      <w:pPr>
        <w:pStyle w:val="Heading6"/>
        <w:numPr>
          <w:ilvl w:val="5"/>
          <w:numId w:val="1"/>
        </w:numPr>
        <w:rPr/>
      </w:pPr>
      <w:bookmarkStart w:id="97" w:name="__RefHeading___Toc14292394_1280447820"/>
      <w:bookmarkStart w:id="98" w:name="_Toc36"/>
      <w:bookmarkEnd w:id="97"/>
      <w:r>
        <w:rPr>
          <w:rtl w:val="true"/>
        </w:rPr>
        <w:t>و</w:t>
      </w:r>
      <w:r>
        <w:rPr>
          <w:rtl w:val="true"/>
        </w:rPr>
        <w:t xml:space="preserve">. </w:t>
      </w:r>
      <w:r>
        <w:rPr>
          <w:rtl w:val="true"/>
        </w:rPr>
        <w:t>بدل</w:t>
      </w:r>
      <w:bookmarkEnd w:id="98"/>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سازمان نظامی عصر نبوی، مسئولیت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شباهت‌سازی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فریب دشمن و محافظت از جان ایشان، نقشی حیاتی ایفا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جنگ احد، کعب بن مالک با پوشیدن زره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قرار گرفتن در مرکز لشکر، </w:t>
      </w:r>
      <w:bookmarkStart w:id="99" w:name="pg18832_210895"/>
    </w:p>
    <w:p>
      <w:pPr>
        <w:pStyle w:val="BookText"/>
        <w:rPr/>
      </w:pPr>
      <w:bookmarkEnd w:id="99"/>
      <w:r>
        <w:rPr>
          <w:rFonts w:ascii="IRNazanin" w:hAnsi="IRNazanin" w:eastAsia="IRNazanin"/>
          <w:color w:val="111111"/>
          <w:sz w:val="28"/>
          <w:sz w:val="28"/>
          <w:szCs w:val="28"/>
          <w:rtl w:val="true"/>
          <w:lang w:bidi="fa-IR"/>
        </w:rPr>
        <w:t>خود را به جای ایشان نشان داد و با دریافت یازده زخم، از جان رسول خدا دفاع کرد</w:t>
      </w:r>
      <w:r>
        <w:rPr>
          <w:rFonts w:eastAsia="IRNazanin" w:cs="IRNazanin"/>
          <w:color w:val="111111"/>
          <w:sz w:val="28"/>
          <w:szCs w:val="28"/>
          <w:rtl w:val="true"/>
          <w:lang w:bidi="fa-IR"/>
        </w:rPr>
        <w:t>.</w:t>
      </w:r>
      <w:r>
        <w:rPr>
          <w:rStyle w:val="FootnoteAnchor"/>
          <w:rtl w:val="true"/>
        </w:rPr>
        <w:footnoteReference w:id="57"/>
      </w:r>
      <w:r>
        <w:rPr>
          <w:rFonts w:ascii="IRNazanin" w:hAnsi="IRNazanin" w:eastAsia="IRNazanin"/>
          <w:color w:val="111111"/>
          <w:sz w:val="28"/>
          <w:sz w:val="28"/>
          <w:szCs w:val="28"/>
          <w:rtl w:val="true"/>
          <w:lang w:bidi="fa-IR"/>
        </w:rPr>
        <w:t xml:space="preserve">همچنین،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واقعه هجرت، با خوابیدن در بستر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دشمن را فریب داد و امکان خروج ایمن ایشان از مکه را فراهم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اقدامات، علاوه بر نشان دادن فداکاری یاران پیامبر، بر استراتژی محافظت از رهبری به عنوان یک اصل اساسی در جنگ‌های اسلام تأکید دارد</w:t>
      </w:r>
      <w:r>
        <w:rPr>
          <w:rFonts w:eastAsia="IRNazanin" w:cs="IRNazanin"/>
          <w:color w:val="111111"/>
          <w:sz w:val="28"/>
          <w:szCs w:val="28"/>
          <w:rtl w:val="true"/>
          <w:lang w:bidi="fa-IR"/>
        </w:rPr>
        <w:t>.</w:t>
      </w:r>
      <w:r>
        <w:rPr>
          <w:rStyle w:val="FootnoteAnchor"/>
          <w:rtl w:val="true"/>
        </w:rPr>
        <w:footnoteReference w:id="58"/>
      </w:r>
    </w:p>
    <w:p>
      <w:pPr>
        <w:pStyle w:val="Heading6"/>
        <w:numPr>
          <w:ilvl w:val="5"/>
          <w:numId w:val="1"/>
        </w:numPr>
        <w:rPr/>
      </w:pPr>
      <w:bookmarkStart w:id="100" w:name="__RefHeading___Toc14292396_1280447820"/>
      <w:bookmarkStart w:id="101" w:name="_Toc37"/>
      <w:bookmarkEnd w:id="100"/>
      <w:r>
        <w:rPr>
          <w:rtl w:val="true"/>
        </w:rPr>
        <w:t>ز</w:t>
      </w:r>
      <w:r>
        <w:rPr>
          <w:rtl w:val="true"/>
        </w:rPr>
        <w:t xml:space="preserve">. </w:t>
      </w:r>
      <w:r>
        <w:rPr>
          <w:rtl w:val="true"/>
        </w:rPr>
        <w:t>وازع</w:t>
      </w:r>
      <w:r>
        <w:rPr>
          <w:rtl w:val="true"/>
        </w:rPr>
        <w:t>:</w:t>
      </w:r>
      <w:bookmarkEnd w:id="101"/>
    </w:p>
    <w:p>
      <w:pPr>
        <w:pStyle w:val="BookText"/>
        <w:rPr/>
      </w:pPr>
      <w:r>
        <w:rPr>
          <w:rFonts w:ascii="IRNazanin" w:hAnsi="IRNazanin" w:eastAsia="IRNazanin"/>
          <w:color w:val="111111"/>
          <w:sz w:val="28"/>
          <w:sz w:val="28"/>
          <w:szCs w:val="28"/>
          <w:rtl w:val="true"/>
          <w:lang w:bidi="fa-IR"/>
        </w:rPr>
        <w:t>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ساختار نظامی حکومت نبوی، یکی از مناصب مهم،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نظام‌دهنده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سازمان‌دهندۀ صفوف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مسئولیت نظم‌بخشی به گردان‌ها، آرایش نیروها و تنظیم حرکت آنان را در میدان نبرد بر عهده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انتصاب افرادی برای این نقش، بر اهمیت انسجام و انضباط در صفوف سپاه تأکید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در روایت اشاره شده، حضرت در توصیف وظیفۀ این فرد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سپاه را به پیش و پس حرکت می‌دهد و صفوف را منظم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مسئولیت، نشان‌دهنده توجه دقیق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اصول سازمانی و تاکتیکی در مدیریت نبردها است</w:t>
      </w:r>
      <w:r>
        <w:rPr>
          <w:rFonts w:eastAsia="IRNazanin" w:cs="IRNazanin"/>
          <w:color w:val="111111"/>
          <w:sz w:val="28"/>
          <w:szCs w:val="28"/>
          <w:rtl w:val="true"/>
          <w:lang w:bidi="fa-IR"/>
        </w:rPr>
        <w:t>.</w:t>
      </w:r>
      <w:r>
        <w:rPr>
          <w:rStyle w:val="FootnoteAnchor"/>
          <w:rtl w:val="true"/>
        </w:rPr>
        <w:footnoteReference w:id="59"/>
      </w:r>
    </w:p>
    <w:p>
      <w:pPr>
        <w:pStyle w:val="Heading6"/>
        <w:numPr>
          <w:ilvl w:val="5"/>
          <w:numId w:val="1"/>
        </w:numPr>
        <w:rPr/>
      </w:pPr>
      <w:bookmarkStart w:id="102" w:name="__RefHeading___Toc14292398_1280447820"/>
      <w:bookmarkStart w:id="103" w:name="_Toc38"/>
      <w:bookmarkEnd w:id="102"/>
      <w:r>
        <w:rPr>
          <w:rtl w:val="true"/>
        </w:rPr>
        <w:t>ح</w:t>
      </w:r>
      <w:r>
        <w:rPr>
          <w:rtl w:val="true"/>
        </w:rPr>
        <w:t xml:space="preserve">. </w:t>
      </w:r>
      <w:r>
        <w:rPr>
          <w:rtl w:val="true"/>
        </w:rPr>
        <w:t xml:space="preserve">خریدار اسب و سلاح </w:t>
      </w:r>
      <w:r>
        <w:rPr>
          <w:rtl w:val="true"/>
        </w:rPr>
        <w:t>:</w:t>
      </w:r>
      <w:bookmarkEnd w:id="103"/>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سعد بن زید بن مالک اشهلی انصاری از سوی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 شد گروهی از اسرای بنی قریظه را به منطقه نجد انتقال دهد و در ازای ارزش آنان، سلاح و اسب تهیه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مأموریت، نقش کلیدی تأمین و تدارکات نظامی را در حکومت نبوی نشان می‌دهد که در اصطلاح امروزی معادل امور لجستیک محسوب می‌شود</w:t>
      </w:r>
      <w:r>
        <w:rPr>
          <w:rFonts w:eastAsia="IRNazanin" w:cs="IRNazanin"/>
          <w:color w:val="111111"/>
          <w:sz w:val="28"/>
          <w:szCs w:val="28"/>
          <w:rtl w:val="true"/>
          <w:lang w:bidi="fa-IR"/>
        </w:rPr>
        <w:t>.</w:t>
      </w:r>
      <w:r>
        <w:rPr>
          <w:rStyle w:val="FootnoteAnchor"/>
          <w:rtl w:val="true"/>
        </w:rPr>
        <w:footnoteReference w:id="60"/>
      </w:r>
      <w:bookmarkStart w:id="104" w:name="pg18832_210896"/>
    </w:p>
    <w:p>
      <w:pPr>
        <w:pStyle w:val="BookText"/>
        <w:rPr/>
      </w:pPr>
      <w:bookmarkEnd w:id="104"/>
      <w:r>
        <w:rPr>
          <w:rFonts w:ascii="IRNazanin" w:hAnsi="IRNazanin" w:eastAsia="IRNazanin"/>
          <w:color w:val="111111"/>
          <w:sz w:val="28"/>
          <w:sz w:val="28"/>
          <w:szCs w:val="28"/>
          <w:rtl w:val="true"/>
          <w:lang w:bidi="fa-IR"/>
        </w:rPr>
        <w:t>این اقدام علاوه بر نمایش مدیریت منابع در دولت نبوی، بر بهره‌گیری از ظرفیت‌های موجود برای تقویت بنیه دفاعی جامعه اسلامی تأکید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مأموریت‌هایی بیانگر دوراندیشی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زمینه تأمین نیازهای اساسی سپاه و حفظ آمادگی نظامی امت اسلامی است</w:t>
      </w:r>
      <w:r>
        <w:rPr>
          <w:rFonts w:eastAsia="IRNazanin" w:cs="IRNazanin"/>
          <w:color w:val="111111"/>
          <w:sz w:val="28"/>
          <w:szCs w:val="28"/>
          <w:rtl w:val="true"/>
          <w:lang w:bidi="fa-IR"/>
        </w:rPr>
        <w:t>.</w:t>
      </w:r>
    </w:p>
    <w:p>
      <w:pPr>
        <w:pStyle w:val="Heading6"/>
        <w:numPr>
          <w:ilvl w:val="5"/>
          <w:numId w:val="1"/>
        </w:numPr>
        <w:rPr/>
      </w:pPr>
      <w:bookmarkStart w:id="105" w:name="__RefHeading___Toc14292400_1280447820"/>
      <w:bookmarkStart w:id="106" w:name="_Toc39"/>
      <w:bookmarkEnd w:id="105"/>
      <w:r>
        <w:rPr>
          <w:rtl w:val="true"/>
        </w:rPr>
        <w:t>ط</w:t>
      </w:r>
      <w:r>
        <w:rPr>
          <w:rtl w:val="true"/>
        </w:rPr>
        <w:t xml:space="preserve">. </w:t>
      </w:r>
      <w:r>
        <w:rPr>
          <w:rtl w:val="true"/>
        </w:rPr>
        <w:t xml:space="preserve">مسرج </w:t>
      </w:r>
      <w:r>
        <w:rPr>
          <w:rtl w:val="true"/>
        </w:rPr>
        <w:t>(</w:t>
      </w:r>
      <w:r>
        <w:rPr>
          <w:rtl w:val="true"/>
        </w:rPr>
        <w:t>مركب دار</w:t>
      </w:r>
      <w:r>
        <w:rPr>
          <w:rtl w:val="true"/>
        </w:rPr>
        <w:t>) :</w:t>
      </w:r>
      <w:bookmarkEnd w:id="106"/>
    </w:p>
    <w:p>
      <w:pPr>
        <w:pStyle w:val="BookText"/>
        <w:rPr/>
      </w:pPr>
      <w:r>
        <w:rPr>
          <w:rFonts w:ascii="IRNazanin" w:hAnsi="IRNazanin" w:eastAsia="IRNazanin"/>
          <w:color w:val="111111"/>
          <w:sz w:val="28"/>
          <w:sz w:val="28"/>
          <w:szCs w:val="28"/>
          <w:rtl w:val="true"/>
          <w:lang w:bidi="fa-IR"/>
        </w:rPr>
        <w:t>در ساختار خدماتی حکومت نبوی، حتی امور به ظاهر کوچک نیز دارای مسئول مشخص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آماده‌کننده مرکب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رکابدار از جمله این مسئولیت‌ها به شمار می‌رفتند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بلال حبشی به عنوان مسرج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وظیفه داشت مرکب حضرت را آماده کرده و زین و برگ آن را تنظیم 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 می گرفت</w:t>
      </w:r>
      <w:r>
        <w:rPr>
          <w:rFonts w:eastAsia="IRNazanin" w:cs="IRNazanin"/>
          <w:color w:val="111111"/>
          <w:sz w:val="28"/>
          <w:szCs w:val="28"/>
          <w:rtl w:val="true"/>
          <w:lang w:bidi="fa-IR"/>
        </w:rPr>
        <w:t>.</w:t>
      </w:r>
      <w:r>
        <w:rPr>
          <w:rStyle w:val="FootnoteAnchor"/>
          <w:rtl w:val="true"/>
        </w:rPr>
        <w:footnoteReference w:id="61"/>
      </w:r>
      <w:r>
        <w:rPr>
          <w:rFonts w:ascii="IRNazanin" w:hAnsi="IRNazanin" w:eastAsia="IRNazanin"/>
          <w:color w:val="111111"/>
          <w:sz w:val="28"/>
          <w:sz w:val="28"/>
          <w:szCs w:val="28"/>
          <w:rtl w:val="true"/>
          <w:lang w:bidi="fa-IR"/>
        </w:rPr>
        <w:t>عبدالله بن بشر نیز به عنوان رکابدار، ایشان را در سوار شدن بر مرکب یاری می‌داد</w:t>
      </w:r>
      <w:r>
        <w:rPr>
          <w:rFonts w:eastAsia="IRNazanin" w:cs="IRNazanin"/>
          <w:color w:val="111111"/>
          <w:sz w:val="28"/>
          <w:szCs w:val="28"/>
          <w:rtl w:val="true"/>
          <w:lang w:bidi="fa-IR"/>
        </w:rPr>
        <w:t>.</w:t>
      </w:r>
      <w:r>
        <w:rPr>
          <w:rStyle w:val="FootnoteAnchor"/>
          <w:rtl w:val="true"/>
        </w:rPr>
        <w:footnoteReference w:id="62"/>
      </w:r>
    </w:p>
    <w:p>
      <w:pPr>
        <w:pStyle w:val="Heading6"/>
        <w:numPr>
          <w:ilvl w:val="5"/>
          <w:numId w:val="1"/>
        </w:numPr>
        <w:rPr/>
      </w:pPr>
      <w:bookmarkStart w:id="107" w:name="__RefHeading___Toc14292402_1280447820"/>
      <w:bookmarkStart w:id="108" w:name="_Toc40"/>
      <w:bookmarkEnd w:id="107"/>
      <w:r>
        <w:rPr>
          <w:rtl w:val="true"/>
        </w:rPr>
        <w:t>ی</w:t>
      </w:r>
      <w:r>
        <w:rPr>
          <w:rtl w:val="true"/>
        </w:rPr>
        <w:t xml:space="preserve">. </w:t>
      </w:r>
      <w:r>
        <w:rPr>
          <w:rtl w:val="true"/>
        </w:rPr>
        <w:t xml:space="preserve">صاحب السلاح </w:t>
      </w:r>
      <w:r>
        <w:rPr>
          <w:rtl w:val="true"/>
        </w:rPr>
        <w:t>:</w:t>
      </w:r>
      <w:bookmarkEnd w:id="108"/>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ساختار نظامی و امنیتی حکومت نبوی، مسئولیت‌های تخصصی متعددی مرتبط با سلاح و اجرای احکام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سعید بن زید مأمور خرید اسب و سلاح از منطقه نجد بود که نقش او در تأمین ادوات نظامی قابل توجه است</w:t>
      </w:r>
      <w:r>
        <w:rPr>
          <w:rFonts w:eastAsia="IRNazanin" w:cs="IRNazanin"/>
          <w:color w:val="111111"/>
          <w:sz w:val="28"/>
          <w:szCs w:val="28"/>
          <w:rtl w:val="true"/>
          <w:lang w:bidi="fa-IR"/>
        </w:rPr>
        <w:t>.</w:t>
      </w:r>
      <w:r>
        <w:rPr>
          <w:rStyle w:val="FootnoteAnchor"/>
          <w:rtl w:val="true"/>
        </w:rPr>
        <w:footnoteReference w:id="63"/>
      </w:r>
      <w:r>
        <w:rPr>
          <w:rFonts w:ascii="IRNazanin" w:hAnsi="IRNazanin" w:eastAsia="IRNazanin"/>
          <w:color w:val="111111"/>
          <w:sz w:val="28"/>
          <w:sz w:val="28"/>
          <w:szCs w:val="28"/>
          <w:rtl w:val="true"/>
          <w:lang w:bidi="fa-IR"/>
        </w:rPr>
        <w:t xml:space="preserve">ضحاک بن سفیان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اجراکنندۀ احکام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شمشیر در کنار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می‌ایستاد و مسئولیت حفاظت و اجرای حدود را بر عهده داشت</w:t>
      </w:r>
      <w:r>
        <w:rPr>
          <w:rFonts w:eastAsia="IRNazanin" w:cs="IRNazanin"/>
          <w:color w:val="111111"/>
          <w:sz w:val="28"/>
          <w:szCs w:val="28"/>
          <w:rtl w:val="true"/>
          <w:lang w:bidi="fa-IR"/>
        </w:rPr>
        <w:t>.</w:t>
      </w:r>
      <w:r>
        <w:rPr>
          <w:rStyle w:val="FootnoteAnchor"/>
          <w:rtl w:val="true"/>
        </w:rPr>
        <w:footnoteReference w:id="64"/>
      </w:r>
      <w:r>
        <w:rPr>
          <w:rFonts w:ascii="IRNazanin" w:hAnsi="IRNazanin" w:eastAsia="IRNazanin"/>
          <w:color w:val="111111"/>
          <w:sz w:val="28"/>
          <w:sz w:val="28"/>
          <w:szCs w:val="28"/>
          <w:rtl w:val="true"/>
          <w:lang w:bidi="fa-IR"/>
        </w:rPr>
        <w:t xml:space="preserve">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زبیر، مقداد، محمد بن مسلمه، عاصم بن ثابت، زاد بن القیم و ضحاک بن سفیان کلابی از جمله کسانی بودند که اجرای </w:t>
      </w:r>
      <w:bookmarkStart w:id="109" w:name="pg18832_210897"/>
    </w:p>
    <w:p>
      <w:pPr>
        <w:pStyle w:val="BookText"/>
        <w:rPr/>
      </w:pPr>
      <w:bookmarkEnd w:id="109"/>
      <w:r>
        <w:rPr>
          <w:rFonts w:ascii="IRNazanin" w:hAnsi="IRNazanin" w:eastAsia="IRNazanin"/>
          <w:color w:val="111111"/>
          <w:sz w:val="28"/>
          <w:sz w:val="28"/>
          <w:szCs w:val="28"/>
          <w:rtl w:val="true"/>
          <w:lang w:bidi="fa-IR"/>
        </w:rPr>
        <w:t xml:space="preserve">احکام اعدام محکومان را در حضور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می‌دادند</w:t>
      </w:r>
      <w:r>
        <w:rPr>
          <w:rFonts w:eastAsia="IRNazanin" w:cs="IRNazanin"/>
          <w:color w:val="111111"/>
          <w:sz w:val="28"/>
          <w:szCs w:val="28"/>
          <w:rtl w:val="true"/>
          <w:lang w:bidi="fa-IR"/>
        </w:rPr>
        <w:t>.</w:t>
      </w:r>
      <w:r>
        <w:rPr>
          <w:rStyle w:val="FootnoteAnchor"/>
          <w:rtl w:val="true"/>
        </w:rPr>
        <w:footnoteReference w:id="65"/>
      </w:r>
      <w:r>
        <w:rPr>
          <w:rFonts w:ascii="IRNazanin" w:hAnsi="IRNazanin" w:eastAsia="IRNazanin"/>
          <w:color w:val="111111"/>
          <w:sz w:val="28"/>
          <w:sz w:val="28"/>
          <w:szCs w:val="28"/>
          <w:rtl w:val="true"/>
          <w:lang w:bidi="fa-IR"/>
        </w:rPr>
        <w:t xml:space="preserve">فردی به نام مرزوق، ملقب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صیقل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مسئول جلا دادن و تیزکردن شمشیر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r>
        <w:rPr>
          <w:rStyle w:val="FootnoteAnchor"/>
          <w:rtl w:val="true"/>
        </w:rPr>
        <w:footnoteReference w:id="66"/>
      </w:r>
    </w:p>
    <w:p>
      <w:pPr>
        <w:pStyle w:val="Heading6"/>
        <w:numPr>
          <w:ilvl w:val="5"/>
          <w:numId w:val="1"/>
        </w:numPr>
        <w:rPr/>
      </w:pPr>
      <w:bookmarkStart w:id="110" w:name="__RefHeading___Toc14292404_1280447820"/>
      <w:bookmarkStart w:id="111" w:name="_Toc41"/>
      <w:bookmarkEnd w:id="110"/>
      <w:r>
        <w:rPr>
          <w:rtl w:val="true"/>
        </w:rPr>
        <w:t>ك</w:t>
      </w:r>
      <w:r>
        <w:rPr>
          <w:rtl w:val="true"/>
        </w:rPr>
        <w:t xml:space="preserve">. </w:t>
      </w:r>
      <w:r>
        <w:rPr>
          <w:rtl w:val="true"/>
        </w:rPr>
        <w:t xml:space="preserve">راهنمای جنگ </w:t>
      </w:r>
      <w:r>
        <w:rPr>
          <w:rtl w:val="true"/>
        </w:rPr>
        <w:t>:</w:t>
      </w:r>
      <w:bookmarkEnd w:id="111"/>
    </w:p>
    <w:p>
      <w:pPr>
        <w:pStyle w:val="BookText"/>
        <w:rPr/>
      </w:pPr>
      <w:r>
        <w:rPr>
          <w:rFonts w:ascii="IRNazanin" w:hAnsi="IRNazanin" w:eastAsia="IRNazanin"/>
          <w:color w:val="111111"/>
          <w:sz w:val="28"/>
          <w:sz w:val="28"/>
          <w:szCs w:val="28"/>
          <w:rtl w:val="true"/>
          <w:lang w:bidi="fa-IR"/>
        </w:rPr>
        <w:t>در ساختار اطلاعاتی و راهبردی حکومت نبوی، افرادی به عنوان راهنما و مأمور شناسایی مسئولیت ارائه اطلاعات حیاتی درباره زمان، مکان و موقعیت دوست و دشمن را بر عهده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بهره‌گیری از تخصص این افراد، تصمیمات استراتژیک خود در جنگ‌ها و سفرها را اتخاذ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این افراد می‌توان به موارد زیر اشاره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مردی از قبیله هذیل که در هنگام هجرت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مکه به مدینه، راهنمای ایشان بود</w:t>
      </w:r>
      <w:r>
        <w:rPr>
          <w:rFonts w:eastAsia="IRNazanin" w:cs="IRNazanin"/>
          <w:color w:val="111111"/>
          <w:sz w:val="28"/>
          <w:szCs w:val="28"/>
          <w:rtl w:val="true"/>
          <w:lang w:bidi="fa-IR"/>
        </w:rPr>
        <w:t>.</w:t>
      </w:r>
      <w:r>
        <w:rPr>
          <w:rStyle w:val="FootnoteAnchor"/>
          <w:rtl w:val="true"/>
        </w:rPr>
        <w:footnoteReference w:id="67"/>
      </w:r>
      <w:r>
        <w:rPr>
          <w:rFonts w:ascii="IRNazanin" w:hAnsi="IRNazanin" w:eastAsia="IRNazanin"/>
          <w:color w:val="111111"/>
          <w:sz w:val="28"/>
          <w:sz w:val="28"/>
          <w:szCs w:val="28"/>
          <w:rtl w:val="true"/>
          <w:lang w:bidi="fa-IR"/>
        </w:rPr>
        <w:t>ابوحثمة بن الحارث که در جنگ احد مسئولیت راهنمایی و ارائه اطلاعات را عهده‌دار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فردی از قبیله اسلم که در ماجرای صلح حدیبیه به عنوان راهنما عمل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سعد العرفی که در مسیر هجرت به مدینه،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همراهی و راهنمایی نمود</w:t>
      </w:r>
      <w:r>
        <w:rPr>
          <w:rFonts w:eastAsia="IRNazanin" w:cs="IRNazanin"/>
          <w:color w:val="111111"/>
          <w:sz w:val="28"/>
          <w:szCs w:val="28"/>
          <w:rtl w:val="true"/>
          <w:lang w:bidi="fa-IR"/>
        </w:rPr>
        <w:t>.</w:t>
      </w:r>
      <w:r>
        <w:rPr>
          <w:rStyle w:val="FootnoteAnchor"/>
          <w:rtl w:val="true"/>
        </w:rPr>
        <w:footnoteReference w:id="68"/>
      </w:r>
    </w:p>
    <w:p>
      <w:pPr>
        <w:pStyle w:val="Heading6"/>
        <w:numPr>
          <w:ilvl w:val="5"/>
          <w:numId w:val="1"/>
        </w:numPr>
        <w:rPr/>
      </w:pPr>
      <w:bookmarkStart w:id="112" w:name="__RefHeading___Toc14292406_1280447820"/>
      <w:bookmarkStart w:id="113" w:name="_Toc42"/>
      <w:bookmarkEnd w:id="112"/>
      <w:r>
        <w:rPr>
          <w:rtl w:val="true"/>
        </w:rPr>
        <w:t>ل</w:t>
      </w:r>
      <w:r>
        <w:rPr>
          <w:rtl w:val="true"/>
        </w:rPr>
        <w:t xml:space="preserve">. </w:t>
      </w:r>
      <w:r>
        <w:rPr>
          <w:rtl w:val="true"/>
        </w:rPr>
        <w:t xml:space="preserve">حارس و محافظ </w:t>
      </w:r>
      <w:r>
        <w:rPr>
          <w:rtl w:val="true"/>
        </w:rPr>
        <w:t>:</w:t>
      </w:r>
      <w:bookmarkEnd w:id="113"/>
    </w:p>
    <w:p>
      <w:pPr>
        <w:pStyle w:val="BookText"/>
        <w:rPr/>
      </w:pPr>
      <w:r>
        <w:rPr>
          <w:rFonts w:ascii="IRNazanin" w:hAnsi="IRNazanin" w:eastAsia="IRNazanin"/>
          <w:color w:val="111111"/>
          <w:sz w:val="28"/>
          <w:sz w:val="28"/>
          <w:szCs w:val="28"/>
          <w:rtl w:val="true"/>
          <w:lang w:bidi="fa-IR"/>
        </w:rPr>
        <w:t xml:space="preserve">پیش از نزول آیۀ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وَاللَّهُ یَعْصِمُكَ مِنَ النَّاسِ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حفاظت الهی 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تضمین می‌کرد، گروهی از صحابه به عنوان محافظ شخصی ایشان عمل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ابوایوب انصاری،</w:t>
      </w:r>
      <w:r>
        <w:rPr>
          <w:rStyle w:val="FootnoteAnchor"/>
          <w:rtl w:val="true"/>
        </w:rPr>
        <w:footnoteReference w:id="69"/>
      </w:r>
      <w:r>
        <w:rPr>
          <w:rFonts w:ascii="IRNazanin" w:hAnsi="IRNazanin" w:eastAsia="IRNazanin"/>
          <w:color w:val="111111"/>
          <w:sz w:val="28"/>
          <w:sz w:val="28"/>
          <w:szCs w:val="28"/>
          <w:rtl w:val="true"/>
          <w:lang w:bidi="fa-IR"/>
        </w:rPr>
        <w:t>ادرع سلمی و خشرم بن حباب انصاری در غزوه‌های مختلف</w:t>
      </w:r>
      <w:r>
        <w:rPr>
          <w:rStyle w:val="FootnoteAnchor"/>
          <w:rtl w:val="true"/>
        </w:rPr>
        <w:footnoteReference w:id="7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عمار بن یاسر و عبادة بن بشر که در غزوۀ ذات الرقاع به دستور مستقیم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پاسداری شبانه را بر عهده داشتند</w:t>
      </w:r>
      <w:r>
        <w:rPr>
          <w:rFonts w:eastAsia="IRNazanin" w:cs="IRNazanin"/>
          <w:color w:val="111111"/>
          <w:sz w:val="28"/>
          <w:szCs w:val="28"/>
          <w:rtl w:val="true"/>
          <w:lang w:bidi="fa-IR"/>
        </w:rPr>
        <w:t>.</w:t>
      </w:r>
      <w:r>
        <w:rPr>
          <w:rStyle w:val="FootnoteAnchor"/>
          <w:rtl w:val="true"/>
        </w:rPr>
        <w:footnoteReference w:id="71"/>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محافظت‌ها نشان‌دهندۀ </w:t>
      </w:r>
      <w:bookmarkStart w:id="114" w:name="pg18832_210898"/>
    </w:p>
    <w:p>
      <w:pPr>
        <w:pStyle w:val="BookText"/>
        <w:rPr/>
      </w:pPr>
      <w:bookmarkEnd w:id="114"/>
      <w:r>
        <w:rPr>
          <w:rFonts w:ascii="IRNazanin" w:hAnsi="IRNazanin" w:eastAsia="IRNazanin"/>
          <w:color w:val="111111"/>
          <w:sz w:val="28"/>
          <w:sz w:val="28"/>
          <w:szCs w:val="28"/>
          <w:rtl w:val="true"/>
          <w:lang w:bidi="fa-IR"/>
        </w:rPr>
        <w:t xml:space="preserve">اهتمام صحابه به جان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سازماندهی غیررسمی اما مؤثر برای تأمین امنیت ایشان در شرایط بحرانی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نزول آیۀ مذکور،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محافظت انسانی را منع فرمودند و توکل بر حفاظت الهی را جایگزین آن ساختند</w:t>
      </w:r>
      <w:r>
        <w:rPr>
          <w:rFonts w:eastAsia="IRNazanin" w:cs="IRNazanin"/>
          <w:color w:val="111111"/>
          <w:sz w:val="28"/>
          <w:szCs w:val="28"/>
          <w:rtl w:val="true"/>
          <w:lang w:bidi="fa-IR"/>
        </w:rPr>
        <w:t>.</w:t>
      </w:r>
    </w:p>
    <w:p>
      <w:pPr>
        <w:pStyle w:val="Heading6"/>
        <w:numPr>
          <w:ilvl w:val="5"/>
          <w:numId w:val="1"/>
        </w:numPr>
        <w:rPr/>
      </w:pPr>
      <w:bookmarkStart w:id="115" w:name="__RefHeading___Toc14292408_1280447820"/>
      <w:bookmarkStart w:id="116" w:name="_Toc43"/>
      <w:bookmarkEnd w:id="115"/>
      <w:r>
        <w:rPr>
          <w:rtl w:val="true"/>
        </w:rPr>
        <w:t>م</w:t>
      </w:r>
      <w:r>
        <w:rPr>
          <w:rtl w:val="true"/>
        </w:rPr>
        <w:t xml:space="preserve">. </w:t>
      </w:r>
      <w:r>
        <w:rPr>
          <w:rtl w:val="true"/>
        </w:rPr>
        <w:t xml:space="preserve">جاسوس جنگی </w:t>
      </w:r>
      <w:r>
        <w:rPr>
          <w:rtl w:val="true"/>
        </w:rPr>
        <w:t>:</w:t>
      </w:r>
      <w:bookmarkEnd w:id="116"/>
    </w:p>
    <w:p>
      <w:pPr>
        <w:pStyle w:val="BookText"/>
        <w:rPr/>
      </w:pPr>
      <w:r>
        <w:rPr>
          <w:rFonts w:ascii="IRNazanin" w:hAnsi="IRNazanin" w:eastAsia="IRNazanin"/>
          <w:color w:val="111111"/>
          <w:sz w:val="28"/>
          <w:sz w:val="28"/>
          <w:szCs w:val="28"/>
          <w:rtl w:val="true"/>
          <w:lang w:bidi="fa-IR"/>
        </w:rPr>
        <w:t xml:space="preserve">در ساختار اطلاعاتی و روانی حکومت نبوی،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روش‌های متنوعی برای کسب برتری استراتژیک استفاده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بَسّیسَه مأمور شد تا از حرکت کاروان ابوسفیان جاسوسی کند،</w:t>
      </w:r>
      <w:r>
        <w:rPr>
          <w:rStyle w:val="FootnoteAnchor"/>
          <w:rtl w:val="true"/>
        </w:rPr>
        <w:footnoteReference w:id="72"/>
      </w:r>
      <w:r>
        <w:rPr>
          <w:rFonts w:ascii="IRNazanin" w:hAnsi="IRNazanin" w:eastAsia="IRNazanin"/>
          <w:color w:val="111111"/>
          <w:sz w:val="28"/>
          <w:sz w:val="28"/>
          <w:szCs w:val="28"/>
          <w:rtl w:val="true"/>
          <w:lang w:bidi="fa-IR"/>
        </w:rPr>
        <w:t xml:space="preserve">و عُدی بن ابی زَغْباء جُهَنی در جنگ بدر اطلاعاتی از موقعیت دشمن را برای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جمع‌آوری نمود</w:t>
      </w:r>
      <w:r>
        <w:rPr>
          <w:rFonts w:eastAsia="IRNazanin" w:cs="IRNazanin"/>
          <w:color w:val="111111"/>
          <w:sz w:val="28"/>
          <w:szCs w:val="28"/>
          <w:rtl w:val="true"/>
          <w:lang w:bidi="fa-IR"/>
        </w:rPr>
        <w:t>.</w:t>
      </w:r>
      <w:r>
        <w:rPr>
          <w:rStyle w:val="FootnoteAnchor"/>
          <w:rtl w:val="true"/>
        </w:rPr>
        <w:footnoteReference w:id="73"/>
      </w:r>
      <w:r>
        <w:rPr>
          <w:rFonts w:ascii="IRNazanin" w:hAnsi="IRNazanin" w:eastAsia="IRNazanin"/>
          <w:color w:val="111111"/>
          <w:sz w:val="28"/>
          <w:sz w:val="28"/>
          <w:szCs w:val="28"/>
          <w:rtl w:val="true"/>
          <w:lang w:bidi="fa-IR"/>
        </w:rPr>
        <w:t xml:space="preserve">همچنین افرادی مانند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زبیر، سعد بن ابی وقاص، طلحة بن عبیدالله و سعید بن زید برای کسب اطلاعات از مناطق مختلف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شام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اعزام شدند</w:t>
      </w:r>
      <w:r>
        <w:rPr>
          <w:rFonts w:eastAsia="IRNazanin" w:cs="IRNazanin"/>
          <w:color w:val="111111"/>
          <w:sz w:val="28"/>
          <w:szCs w:val="28"/>
          <w:rtl w:val="true"/>
          <w:lang w:bidi="fa-IR"/>
        </w:rPr>
        <w:t>.</w:t>
      </w:r>
      <w:r>
        <w:rPr>
          <w:rStyle w:val="FootnoteAnchor"/>
          <w:rtl w:val="true"/>
        </w:rPr>
        <w:footnoteReference w:id="74"/>
      </w:r>
    </w:p>
    <w:p>
      <w:pPr>
        <w:pStyle w:val="BookText"/>
        <w:rPr/>
      </w:pPr>
      <w:r>
        <w:rPr>
          <w:rFonts w:ascii="IRNazanin" w:hAnsi="IRNazanin" w:eastAsia="IRNazanin"/>
          <w:color w:val="111111"/>
          <w:sz w:val="28"/>
          <w:sz w:val="28"/>
          <w:szCs w:val="28"/>
          <w:rtl w:val="true"/>
          <w:lang w:bidi="fa-IR"/>
        </w:rPr>
        <w:t xml:space="preserve">علاوه بر این،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گروهی را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مُخَذِّل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منصوب می‌کردند که مسئولیت تضعیف روحیۀ دشمن و اجرای جنگ روانی را بر عهده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برجسته‌ترین نمونه‌ها، نُعَیم بن مسعود اشجعی در جنگ احزاب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خندق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که تازه مسلمان شده بود، با ایجاد تفرقه میان قبایل بنی قریظه و غطفان، موجب تضعیف همپیمانی دشمن و شکست آنان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اقدامات نشان‌دهنده بصیرت عمیق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به کارگیری ابزارهای اطلاعاتی و روانی برای تضعیف دشمن و تقویت مواضع اسلامی است</w:t>
      </w:r>
      <w:r>
        <w:rPr>
          <w:rFonts w:eastAsia="IRNazanin" w:cs="IRNazanin"/>
          <w:color w:val="111111"/>
          <w:sz w:val="28"/>
          <w:szCs w:val="28"/>
          <w:rtl w:val="true"/>
          <w:lang w:bidi="fa-IR"/>
        </w:rPr>
        <w:t>.</w:t>
      </w:r>
    </w:p>
    <w:p>
      <w:pPr>
        <w:pStyle w:val="Heading6"/>
        <w:numPr>
          <w:ilvl w:val="5"/>
          <w:numId w:val="1"/>
        </w:numPr>
        <w:rPr/>
      </w:pPr>
      <w:bookmarkStart w:id="117" w:name="__RefHeading___Toc14292410_1280447820"/>
      <w:bookmarkStart w:id="118" w:name="_Toc44"/>
      <w:bookmarkEnd w:id="117"/>
      <w:r>
        <w:rPr>
          <w:rtl w:val="true"/>
        </w:rPr>
        <w:t>ص</w:t>
      </w:r>
      <w:r>
        <w:rPr>
          <w:rtl w:val="true"/>
        </w:rPr>
        <w:t xml:space="preserve">. </w:t>
      </w:r>
      <w:r>
        <w:rPr>
          <w:rtl w:val="true"/>
        </w:rPr>
        <w:t xml:space="preserve">تبلیغات جنگ </w:t>
      </w:r>
      <w:r>
        <w:rPr>
          <w:rtl w:val="true"/>
        </w:rPr>
        <w:t>:</w:t>
      </w:r>
      <w:bookmarkEnd w:id="118"/>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نظام تبلیغات و روان‌شناسی جنگ در عصر نبوی،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تدبیری هوشمندانه، از ابزارهای گوناگونی برای تقویت روحیۀ سپاه اسلام و </w:t>
      </w:r>
      <w:bookmarkStart w:id="119" w:name="pg18832_210899"/>
    </w:p>
    <w:p>
      <w:pPr>
        <w:pStyle w:val="BookText"/>
        <w:rPr/>
      </w:pPr>
      <w:bookmarkEnd w:id="119"/>
      <w:r>
        <w:rPr>
          <w:rFonts w:ascii="IRNazanin" w:hAnsi="IRNazanin" w:eastAsia="IRNazanin"/>
          <w:color w:val="111111"/>
          <w:sz w:val="28"/>
          <w:sz w:val="28"/>
          <w:szCs w:val="28"/>
          <w:rtl w:val="true"/>
          <w:lang w:bidi="fa-IR"/>
        </w:rPr>
        <w:t>تضعیف روحیۀ دشمن استفاده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رواحه و زید بن حارثه به‌طور مشخص مسئولیت تبلیغات جنگی را بر عهده داشتند</w:t>
      </w:r>
      <w:r>
        <w:rPr>
          <w:rFonts w:eastAsia="IRNazanin" w:cs="IRNazanin"/>
          <w:color w:val="111111"/>
          <w:sz w:val="28"/>
          <w:szCs w:val="28"/>
          <w:rtl w:val="true"/>
          <w:lang w:bidi="fa-IR"/>
        </w:rPr>
        <w:t>.</w:t>
      </w:r>
      <w:r>
        <w:rPr>
          <w:rStyle w:val="FootnoteAnchor"/>
          <w:rtl w:val="true"/>
        </w:rPr>
        <w:footnoteReference w:id="75"/>
      </w:r>
    </w:p>
    <w:p>
      <w:pPr>
        <w:pStyle w:val="BookText"/>
        <w:rPr/>
      </w:pPr>
      <w:r>
        <w:rPr>
          <w:rFonts w:ascii="IRNazanin" w:hAnsi="IRNazanin" w:eastAsia="IRNazanin"/>
          <w:color w:val="111111"/>
          <w:sz w:val="28"/>
          <w:sz w:val="28"/>
          <w:szCs w:val="28"/>
          <w:rtl w:val="true"/>
          <w:lang w:bidi="fa-IR"/>
        </w:rPr>
        <w:t>و با انتشار بشارت‌های پیروزی، امید و انگیزه را در میان مسلمانان زنده نگه می‌داشتند</w:t>
      </w:r>
      <w:r>
        <w:rPr>
          <w:rFonts w:eastAsia="IRNazanin" w:cs="IRNazanin"/>
          <w:color w:val="111111"/>
          <w:sz w:val="28"/>
          <w:szCs w:val="28"/>
          <w:rtl w:val="true"/>
          <w:lang w:bidi="fa-IR"/>
        </w:rPr>
        <w:t>.</w:t>
      </w:r>
      <w:r>
        <w:rPr>
          <w:rStyle w:val="FootnoteAnchor"/>
          <w:rtl w:val="true"/>
        </w:rPr>
        <w:footnoteReference w:id="76"/>
      </w:r>
    </w:p>
    <w:p>
      <w:pPr>
        <w:pStyle w:val="BookText"/>
        <w:rPr/>
      </w:pPr>
      <w:r>
        <w:rPr>
          <w:rFonts w:ascii="IRNazanin" w:hAnsi="IRNazanin" w:eastAsia="IRNazanin"/>
          <w:color w:val="111111"/>
          <w:sz w:val="28"/>
          <w:sz w:val="28"/>
          <w:szCs w:val="28"/>
          <w:rtl w:val="true"/>
          <w:lang w:bidi="fa-IR"/>
        </w:rPr>
        <w:t xml:space="preserve">شعارهای الهی و توحیدی 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میدان‌های نبرد انتخاب می‌کردند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إله إلا الله، وحده لا شریک له، له الملک و له الحمد و هو علی کل شیء قدیر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نه‌تنها روحیۀ سپاه اسلام را تقویت می‌کرد، بلکه در برابر شعارهای شرک‌آمیز دشمن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اِعْلُ هُبَل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هویتی روشن و مقاوم می‌ساخت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پاسخ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شعارها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أعلی و أجل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بیانگر جایگاه رفیع توحید و برتری بی‌چونِ خداوند بود و در فضای میدان نبرد، پیام روشنی از شکست‌ناپذیری ایمان را منتقل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تقابل نمادین، تنها یک رویارویی کلامی نبود، بلکه نبردی عمیق‌تر میان دو جهان‌بینی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نمایان می‌ساخت و نقش تبلیغات و شعارها را به‌عنوان ابزاری راهبردی در جنگ‌های آن دوران تثبیت می‌کرد</w:t>
      </w:r>
      <w:r>
        <w:rPr>
          <w:rFonts w:eastAsia="IRNazanin" w:cs="IRNazanin"/>
          <w:color w:val="111111"/>
          <w:sz w:val="28"/>
          <w:szCs w:val="28"/>
          <w:rtl w:val="true"/>
          <w:lang w:bidi="fa-IR"/>
        </w:rPr>
        <w:t>.</w:t>
      </w:r>
    </w:p>
    <w:p>
      <w:pPr>
        <w:pStyle w:val="Heading6"/>
        <w:numPr>
          <w:ilvl w:val="5"/>
          <w:numId w:val="1"/>
        </w:numPr>
        <w:rPr/>
      </w:pPr>
      <w:bookmarkStart w:id="120" w:name="__RefHeading___Toc14292412_1280447820"/>
      <w:bookmarkStart w:id="121" w:name="_Toc45"/>
      <w:bookmarkEnd w:id="120"/>
      <w:r>
        <w:rPr>
          <w:rtl w:val="true"/>
        </w:rPr>
        <w:t>ف</w:t>
      </w:r>
      <w:r>
        <w:rPr>
          <w:rtl w:val="true"/>
        </w:rPr>
        <w:t xml:space="preserve">. </w:t>
      </w:r>
      <w:r>
        <w:rPr>
          <w:rtl w:val="true"/>
        </w:rPr>
        <w:t>ماموریتهای ویژه</w:t>
      </w:r>
      <w:bookmarkEnd w:id="121"/>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پیش از فتح مکه،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تدبیری هوشمندانه تلاش کردند حرکت سپاه اسلام به سوی مکه را پنهان نگه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میان، حاطب بن ابی بلتعه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ایمانی سست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ارسال نامه‌ای محرمانه به وسیله یک زن، قریش را از این نقشه آگاه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بلافاصله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مأمور تعقیب و بازیابی نامه کردند و ایشان نیز این مأموریت را با موفقیت به انجام رساندند</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 xml:space="preserve">. </w:t>
      </w:r>
      <w:bookmarkStart w:id="122" w:name="pg18832_210900"/>
    </w:p>
    <w:p>
      <w:pPr>
        <w:pStyle w:val="BookText"/>
        <w:rPr/>
      </w:pPr>
      <w:bookmarkEnd w:id="122"/>
      <w:r>
        <w:rPr>
          <w:rFonts w:ascii="IRNazanin" w:hAnsi="IRNazanin" w:eastAsia="IRNazanin"/>
          <w:color w:val="111111"/>
          <w:sz w:val="28"/>
          <w:sz w:val="28"/>
          <w:szCs w:val="28"/>
          <w:rtl w:val="true"/>
          <w:lang w:bidi="fa-IR"/>
        </w:rPr>
        <w:t xml:space="preserve">همچنین در جنگ احد،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ابی عمرو و دو تن دیگر را مسئول هدایت گروهی نمودند که مأموریت تعقیب مشرکان پس از پایان درگیری را بر عهده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اقدامات نشان‌دهنده توجه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حفظ امنیت اطلاعات، مدیریت عملیات‌های ویژه و پیگیری تاکتیکی دشمن حتی پس از پایان نبرد است</w:t>
      </w:r>
      <w:r>
        <w:rPr>
          <w:rFonts w:eastAsia="IRNazanin" w:cs="IRNazanin"/>
          <w:color w:val="111111"/>
          <w:sz w:val="28"/>
          <w:szCs w:val="28"/>
          <w:rtl w:val="true"/>
          <w:lang w:bidi="fa-IR"/>
        </w:rPr>
        <w:t>.</w:t>
      </w:r>
      <w:r>
        <w:rPr>
          <w:rStyle w:val="FootnoteAnchor"/>
          <w:rtl w:val="true"/>
        </w:rPr>
        <w:footnoteReference w:id="78"/>
      </w:r>
    </w:p>
    <w:p>
      <w:pPr>
        <w:pStyle w:val="Heading6"/>
        <w:numPr>
          <w:ilvl w:val="5"/>
          <w:numId w:val="1"/>
        </w:numPr>
        <w:rPr/>
      </w:pPr>
      <w:bookmarkStart w:id="123" w:name="__RefHeading___Toc14292414_1280447820"/>
      <w:bookmarkStart w:id="124" w:name="_Toc46"/>
      <w:bookmarkEnd w:id="123"/>
      <w:r>
        <w:rPr>
          <w:rtl w:val="true"/>
        </w:rPr>
        <w:t>خ</w:t>
      </w:r>
      <w:r>
        <w:rPr>
          <w:rtl w:val="true"/>
        </w:rPr>
        <w:t xml:space="preserve">. </w:t>
      </w:r>
      <w:r>
        <w:rPr>
          <w:rtl w:val="true"/>
        </w:rPr>
        <w:t>حضور زنان در امور نظامی بی‌تردید،</w:t>
      </w:r>
      <w:bookmarkEnd w:id="124"/>
    </w:p>
    <w:p>
      <w:pPr>
        <w:pStyle w:val="BookText"/>
        <w:rPr/>
      </w:pPr>
      <w:r>
        <w:rPr>
          <w:rFonts w:ascii="IRNazanin" w:hAnsi="IRNazanin" w:eastAsia="IRNazanin"/>
          <w:color w:val="111111"/>
          <w:sz w:val="28"/>
          <w:sz w:val="28"/>
          <w:szCs w:val="28"/>
          <w:rtl w:val="true"/>
          <w:lang w:bidi="fa-IR"/>
        </w:rPr>
        <w:t>زنان در عصر نبوی با حفظ حریم و شأن خود، نقش‌های مؤثری در عرصه‌های نظامی ایفا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مشارکت با توجه به شرایط و توانمندی‌های ایشان در قالب وظایف متنوعی ثبت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خدمات درمانی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جنگ احد با حضور به موقع در میدان، به مداوای زخم‌های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با استفاده از خاکستر حاصل از سوزاندان بوریا، خونریزی زخم‌های پدر را بستند و نمونه‌ای بی‌نظیر از فداکاری و کارآمدی در امدادرسانی ارائه نمودند</w:t>
      </w:r>
      <w:r>
        <w:rPr>
          <w:rFonts w:eastAsia="IRNazanin" w:cs="IRNazanin"/>
          <w:color w:val="111111"/>
          <w:sz w:val="28"/>
          <w:szCs w:val="28"/>
          <w:rtl w:val="true"/>
          <w:lang w:bidi="fa-IR"/>
        </w:rPr>
        <w:t>.</w:t>
      </w:r>
      <w:r>
        <w:rPr>
          <w:rStyle w:val="FootnoteAnchor"/>
          <w:rtl w:val="true"/>
        </w:rPr>
        <w:footnoteReference w:id="79"/>
      </w:r>
      <w:r>
        <w:rPr>
          <w:rStyle w:val="FootnoteAnchor"/>
          <w:rtl w:val="true"/>
        </w:rPr>
        <w:footnoteReference w:id="80"/>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آبرسانی و امداد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زنان مسئولیت انتقال آب به رزمندگان، پرستاری از مجروحان و انتقال آنان به پشت جبهه را بر عهده داشتند</w:t>
      </w:r>
      <w:r>
        <w:rPr>
          <w:rFonts w:eastAsia="IRNazanin" w:cs="IRNazanin"/>
          <w:color w:val="111111"/>
          <w:sz w:val="28"/>
          <w:szCs w:val="28"/>
          <w:rtl w:val="true"/>
          <w:lang w:bidi="fa-IR"/>
        </w:rPr>
        <w:t>.</w:t>
      </w:r>
      <w:r>
        <w:rPr>
          <w:rStyle w:val="FootnoteAnchor"/>
          <w:rtl w:val="true"/>
        </w:rPr>
        <w:footnoteReference w:id="81"/>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حفاظت از تدارکات</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حفظ و نگهبانی از تجهیزات و منابع تأمین شده برای نبرد نیز از جمله مسئولیت‌های زنان بود</w:t>
      </w:r>
      <w:r>
        <w:rPr>
          <w:rFonts w:eastAsia="IRNazanin" w:cs="IRNazanin"/>
          <w:color w:val="111111"/>
          <w:sz w:val="28"/>
          <w:szCs w:val="28"/>
          <w:rtl w:val="true"/>
          <w:lang w:bidi="fa-IR"/>
        </w:rPr>
        <w:t xml:space="preserve">. </w:t>
      </w:r>
      <w:bookmarkStart w:id="125" w:name="pg18832_210901"/>
    </w:p>
    <w:p>
      <w:pPr>
        <w:pStyle w:val="BookText"/>
        <w:rPr/>
      </w:pPr>
      <w:bookmarkEnd w:id="125"/>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مقاومت مسلحانه در مواقع ضروری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موارد حساس، برخی زنان به صورت مستقیم در دفاع مسلحانه مشارکت می‌کردند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امنیت‌سازی در مدینه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زنان در غیاب مردان، مسئولیت حراست از شهر مدینه و پشتیبانی از جبهه را عهده‌دار می‌شدند</w:t>
      </w:r>
      <w:r>
        <w:rPr>
          <w:rFonts w:eastAsia="IRNazanin" w:cs="IRNazanin"/>
          <w:color w:val="111111"/>
          <w:sz w:val="28"/>
          <w:szCs w:val="28"/>
          <w:rtl w:val="true"/>
          <w:lang w:bidi="fa-IR"/>
        </w:rPr>
        <w:t>.</w:t>
      </w:r>
      <w:r>
        <w:rPr>
          <w:rStyle w:val="FootnoteAnchor"/>
          <w:rtl w:val="true"/>
        </w:rPr>
        <w:footnoteReference w:id="82"/>
      </w:r>
    </w:p>
    <w:p>
      <w:pPr>
        <w:pStyle w:val="Heading6"/>
        <w:numPr>
          <w:ilvl w:val="5"/>
          <w:numId w:val="1"/>
        </w:numPr>
        <w:rPr/>
      </w:pPr>
      <w:bookmarkStart w:id="126" w:name="__RefHeading___Toc14292416_1280447820"/>
      <w:bookmarkStart w:id="127" w:name="_Toc47"/>
      <w:bookmarkEnd w:id="126"/>
      <w:r>
        <w:rPr>
          <w:rtl w:val="true"/>
        </w:rPr>
        <w:t>گ</w:t>
      </w:r>
      <w:r>
        <w:rPr>
          <w:rtl w:val="true"/>
        </w:rPr>
        <w:t xml:space="preserve">. </w:t>
      </w:r>
      <w:r>
        <w:rPr>
          <w:rtl w:val="true"/>
        </w:rPr>
        <w:t>آموزش نظامی از كفار</w:t>
      </w:r>
      <w:bookmarkEnd w:id="127"/>
    </w:p>
    <w:p>
      <w:pPr>
        <w:pStyle w:val="BookText"/>
        <w:rPr/>
      </w:pPr>
      <w:r>
        <w:rPr>
          <w:rFonts w:ascii="IRNazanin" w:hAnsi="IRNazanin" w:eastAsia="IRNazanin"/>
          <w:color w:val="111111"/>
          <w:sz w:val="28"/>
          <w:sz w:val="28"/>
          <w:szCs w:val="28"/>
          <w:rtl w:val="true"/>
          <w:lang w:bidi="fa-IR"/>
        </w:rPr>
        <w:t>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آموزش نظامی از كفار</w:t>
      </w:r>
      <w:r>
        <w:rPr>
          <w:rStyle w:val="FootnoteAnchor"/>
          <w:rtl w:val="true"/>
        </w:rPr>
        <w:footnoteReference w:id="83"/>
      </w:r>
    </w:p>
    <w:p>
      <w:pPr>
        <w:pStyle w:val="BookText"/>
        <w:rPr/>
      </w:pP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تأکید بر آمادگی نظامی و بهره‌گیری از ابزارهای روزآمد دفاعی، همواره مسلمانان را به تقویت توان رزمی فرا می‌خواندند</w:t>
      </w:r>
      <w:r>
        <w:rPr>
          <w:rFonts w:eastAsia="IRNazanin" w:cs="IRNazanin"/>
          <w:color w:val="111111"/>
          <w:sz w:val="28"/>
          <w:szCs w:val="28"/>
          <w:rtl w:val="true"/>
          <w:lang w:bidi="fa-IR"/>
        </w:rPr>
        <w:t>.</w:t>
      </w:r>
      <w:r>
        <w:rPr>
          <w:rStyle w:val="FootnoteAnchor"/>
          <w:rtl w:val="true"/>
        </w:rPr>
        <w:footnoteReference w:id="84"/>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خود از منجنیق در جنگ استفاده می كرد</w:t>
      </w:r>
      <w:r>
        <w:rPr>
          <w:rFonts w:eastAsia="IRNazanin" w:cs="IRNazanin"/>
          <w:color w:val="111111"/>
          <w:sz w:val="28"/>
          <w:szCs w:val="28"/>
          <w:rtl w:val="true"/>
          <w:lang w:bidi="fa-IR"/>
        </w:rPr>
        <w:t>.</w:t>
      </w:r>
      <w:r>
        <w:rPr>
          <w:rStyle w:val="FootnoteAnchor"/>
          <w:rtl w:val="true"/>
        </w:rPr>
        <w:footnoteReference w:id="85"/>
      </w:r>
      <w:r>
        <w:rPr>
          <w:rFonts w:ascii="IRNazanin" w:hAnsi="IRNazanin" w:eastAsia="IRNazanin"/>
          <w:color w:val="111111"/>
          <w:sz w:val="28"/>
          <w:sz w:val="28"/>
          <w:szCs w:val="28"/>
          <w:rtl w:val="true"/>
          <w:lang w:bidi="fa-IR"/>
        </w:rPr>
        <w:t xml:space="preserve">هرچند امدادهای غیبی و نصرت الهی همواره پشتیبان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سپاه اسلام بود، اما این امر هرگز به معنای چشم‌پوشی از سازماندهی، نظم و تجهیز سپاه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به‌عنوان رهبری دوراندیش، ترکیبی از توکل بر خدا و برنامه‌ریزی عقلانی را الگوی خویش قرار داده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وجود سپاهی منظم و مجهز، بخشی جدایی‌ناپذیر از استراتژی دفاعی حکومت اسلامی در عصر نبوی به شمار می‌رفت</w:t>
      </w:r>
      <w:r>
        <w:rPr>
          <w:rFonts w:eastAsia="IRNazanin" w:cs="IRNazanin"/>
          <w:color w:val="111111"/>
          <w:sz w:val="28"/>
          <w:szCs w:val="28"/>
          <w:rtl w:val="true"/>
          <w:lang w:bidi="fa-IR"/>
        </w:rPr>
        <w:t xml:space="preserve">. </w:t>
      </w:r>
      <w:bookmarkStart w:id="128" w:name="pg18832_210902"/>
    </w:p>
    <w:p>
      <w:pPr>
        <w:pStyle w:val="Heading5"/>
        <w:numPr>
          <w:ilvl w:val="4"/>
          <w:numId w:val="1"/>
        </w:numPr>
        <w:rPr/>
      </w:pPr>
      <w:bookmarkStart w:id="129" w:name="__RefHeading___Toc14292418_1280447820"/>
      <w:bookmarkStart w:id="130" w:name="_Toc48"/>
      <w:bookmarkEnd w:id="128"/>
      <w:bookmarkEnd w:id="129"/>
      <w:r>
        <w:rPr/>
        <w:t>2.2.6</w:t>
      </w:r>
      <w:r>
        <w:rPr>
          <w:rtl w:val="true"/>
        </w:rPr>
        <w:t xml:space="preserve">. </w:t>
      </w:r>
      <w:r>
        <w:rPr>
          <w:rtl w:val="true"/>
        </w:rPr>
        <w:t xml:space="preserve">دستگاه تبلیغاتی پیامبر اكرم </w:t>
      </w:r>
      <w:r>
        <w:rPr>
          <w:rtl w:val="true"/>
        </w:rPr>
        <w:t>(</w:t>
      </w:r>
      <w:r>
        <w:rPr>
          <w:rtl w:val="true"/>
        </w:rPr>
        <w:t>صلی الله علیه وآله</w:t>
      </w:r>
      <w:r>
        <w:rPr>
          <w:rtl w:val="true"/>
        </w:rPr>
        <w:t>)</w:t>
      </w:r>
      <w:bookmarkEnd w:id="130"/>
    </w:p>
    <w:p>
      <w:pPr>
        <w:pStyle w:val="BookText"/>
        <w:rPr/>
      </w:pPr>
      <w:r>
        <w:rPr>
          <w:rFonts w:ascii="IRNazanin" w:hAnsi="IRNazanin" w:eastAsia="IRNazanin"/>
          <w:color w:val="111111"/>
          <w:sz w:val="28"/>
          <w:sz w:val="28"/>
          <w:szCs w:val="28"/>
          <w:rtl w:val="true"/>
          <w:lang w:bidi="fa-IR"/>
        </w:rPr>
        <w:t xml:space="preserve">بی‌گمان،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تدبیری ژرف، ساختاری منسجم برای تبلیغ و ترویج اسلام پدید آوردند که عناصر گوناگونی در آن نقش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ساختار را می‌توان در قالب سه محور اصلی زیر ترسیم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تبلیغ خارجی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مبلغان و نمایندگان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اعزام گروه‌هایی مانند چهل تن از حافظان قرآن به نجد در واقعه بئر معونه، یا شش نفر برای تعلیم قرآن به قبایل عضل و قاره، نشان از برنامه‌ای منظم برای گسترش اسلام در خارج از مدینه داشت</w:t>
      </w:r>
      <w:r>
        <w:rPr>
          <w:rFonts w:eastAsia="IRNazanin" w:cs="IRNazanin"/>
          <w:color w:val="111111"/>
          <w:sz w:val="28"/>
          <w:szCs w:val="28"/>
          <w:rtl w:val="true"/>
          <w:lang w:bidi="fa-IR"/>
        </w:rPr>
        <w:t>.</w:t>
      </w:r>
      <w:r>
        <w:rPr>
          <w:rStyle w:val="FootnoteAnchor"/>
          <w:rtl w:val="true"/>
        </w:rPr>
        <w:footnoteReference w:id="8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استفاده از شخصیت‌های تأثیرگذار مانند عبدالله بن 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علمای یهود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دعوت قوم خود به اسلام، نشان‌دهنده بهره‌گیری از ظرفیت‌های محلی در تبلیغ است</w:t>
      </w:r>
      <w:r>
        <w:rPr>
          <w:rFonts w:eastAsia="IRNazanin" w:cs="IRNazanin"/>
          <w:color w:val="111111"/>
          <w:sz w:val="28"/>
          <w:szCs w:val="28"/>
          <w:rtl w:val="true"/>
          <w:lang w:bidi="fa-IR"/>
        </w:rPr>
        <w:t>.</w:t>
      </w:r>
      <w:r>
        <w:rPr>
          <w:rStyle w:val="FootnoteAnchor"/>
          <w:rtl w:val="true"/>
        </w:rPr>
        <w:footnoteReference w:id="87"/>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تبلیغ داخلی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نمادهای هماهنگ و یکپارچه</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اذان به رهبری بلال، نه تنها نمادی برای فراخوان به نماز، بلکه علامت هویتی امت اسلامی بود که آن را از دیگر ادیان متمایز می‌ساخت</w:t>
      </w:r>
      <w:r>
        <w:rPr>
          <w:rFonts w:eastAsia="IRNazanin" w:cs="IRNazanin"/>
          <w:color w:val="111111"/>
          <w:sz w:val="28"/>
          <w:szCs w:val="28"/>
          <w:rtl w:val="true"/>
          <w:lang w:bidi="fa-IR"/>
        </w:rPr>
        <w:t>.</w:t>
      </w:r>
      <w:r>
        <w:rPr>
          <w:rStyle w:val="FootnoteAnchor"/>
          <w:rtl w:val="true"/>
        </w:rPr>
        <w:footnoteReference w:id="88"/>
      </w:r>
      <w:r>
        <w:rPr>
          <w:rFonts w:ascii="IRNazanin" w:hAnsi="IRNazanin" w:eastAsia="IRNazanin"/>
          <w:color w:val="111111"/>
          <w:sz w:val="28"/>
          <w:sz w:val="28"/>
          <w:szCs w:val="28"/>
          <w:rtl w:val="true"/>
          <w:lang w:bidi="fa-IR"/>
        </w:rPr>
        <w:t>هماهنگی مؤذنان در مسجد مدینه با اذان بلال، نشان از مدیریت متمرکز و وحدت رویه در تبلیغ درونی داشت</w:t>
      </w:r>
      <w:r>
        <w:rPr>
          <w:rFonts w:eastAsia="IRNazanin" w:cs="IRNazanin"/>
          <w:color w:val="111111"/>
          <w:sz w:val="28"/>
          <w:szCs w:val="28"/>
          <w:rtl w:val="true"/>
          <w:lang w:bidi="fa-IR"/>
        </w:rPr>
        <w:t>.</w:t>
      </w:r>
      <w:r>
        <w:rPr>
          <w:rStyle w:val="FootnoteAnchor"/>
          <w:rtl w:val="true"/>
        </w:rPr>
        <w:footnoteReference w:id="89"/>
      </w:r>
      <w:r>
        <w:rPr>
          <w:rFonts w:ascii="IRNazanin" w:hAnsi="IRNazanin" w:eastAsia="IRNazanin"/>
          <w:color w:val="111111"/>
          <w:sz w:val="28"/>
          <w:sz w:val="28"/>
          <w:szCs w:val="28"/>
          <w:rtl w:val="true"/>
          <w:lang w:bidi="fa-IR"/>
        </w:rPr>
        <w:t>بلال مؤذن اصلی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مسؤول مرتب كردن صفوف جماعت هم بود</w:t>
      </w:r>
      <w:r>
        <w:rPr>
          <w:rFonts w:eastAsia="IRNazanin" w:cs="IRNazanin"/>
          <w:color w:val="111111"/>
          <w:sz w:val="28"/>
          <w:szCs w:val="28"/>
          <w:rtl w:val="true"/>
          <w:lang w:bidi="fa-IR"/>
        </w:rPr>
        <w:t>.</w:t>
      </w:r>
      <w:r>
        <w:rPr>
          <w:rStyle w:val="FootnoteAnchor"/>
          <w:rtl w:val="true"/>
        </w:rPr>
        <w:footnoteReference w:id="90"/>
      </w:r>
      <w:bookmarkStart w:id="131" w:name="pg18832_210903"/>
    </w:p>
    <w:p>
      <w:pPr>
        <w:pStyle w:val="BookText"/>
        <w:rPr/>
      </w:pPr>
      <w:bookmarkEnd w:id="131"/>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ابزار هنری و رسانه‌ای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 و شاعری</w:t>
      </w:r>
    </w:p>
    <w:p>
      <w:pPr>
        <w:pStyle w:val="BookText"/>
        <w:rPr/>
      </w:pPr>
      <w:r>
        <w:rPr>
          <w:rFonts w:ascii="IRNazanin" w:hAnsi="IRNazanin" w:eastAsia="IRNazanin"/>
          <w:color w:val="111111"/>
          <w:sz w:val="28"/>
          <w:sz w:val="28"/>
          <w:szCs w:val="28"/>
          <w:rtl w:val="true"/>
          <w:lang w:bidi="fa-IR"/>
        </w:rPr>
        <w:t>به کارگیری شاعران برجسته‌ای مانند حسان بن ثابت، عبدالله بن رواحه</w:t>
      </w:r>
      <w:r>
        <w:rPr>
          <w:rStyle w:val="FootnoteAnchor"/>
          <w:rtl w:val="true"/>
        </w:rPr>
        <w:footnoteReference w:id="91"/>
      </w:r>
      <w:r>
        <w:rPr>
          <w:rFonts w:ascii="IRNazanin" w:hAnsi="IRNazanin" w:eastAsia="IRNazanin"/>
          <w:color w:val="111111"/>
          <w:sz w:val="28"/>
          <w:sz w:val="28"/>
          <w:szCs w:val="28"/>
          <w:rtl w:val="true"/>
          <w:lang w:bidi="fa-IR"/>
        </w:rPr>
        <w:t>و کعب بن مالک</w:t>
      </w:r>
      <w:r>
        <w:rPr>
          <w:rStyle w:val="FootnoteAnchor"/>
          <w:rtl w:val="true"/>
        </w:rPr>
        <w:footnoteReference w:id="92"/>
      </w:r>
      <w:r>
        <w:rPr>
          <w:rFonts w:ascii="IRNazanin" w:hAnsi="IRNazanin" w:eastAsia="IRNazanin"/>
          <w:color w:val="111111"/>
          <w:sz w:val="28"/>
          <w:sz w:val="28"/>
          <w:szCs w:val="28"/>
          <w:rtl w:val="true"/>
          <w:lang w:bidi="fa-IR"/>
        </w:rPr>
        <w:t>برای تقویت روحیه مسلمانان و تضعیف روحیه دشمن، نشان از بهره‌گیری از هنر به عنوان ابزار جنگ نرم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هدایت محتوای اشعار، اطمینان حاصل می‌کردند که شعر در مسیر اهداف عالیۀ اسلام گام برمی‌دارد</w:t>
      </w:r>
      <w:r>
        <w:rPr>
          <w:rFonts w:eastAsia="IRNazanin" w:cs="IRNazanin"/>
          <w:color w:val="111111"/>
          <w:sz w:val="28"/>
          <w:szCs w:val="28"/>
          <w:rtl w:val="true"/>
          <w:lang w:bidi="fa-IR"/>
        </w:rPr>
        <w:t>.</w:t>
      </w:r>
      <w:r>
        <w:rPr>
          <w:rStyle w:val="FootnoteAnchor"/>
          <w:rtl w:val="true"/>
        </w:rPr>
        <w:footnoteReference w:id="93"/>
      </w:r>
    </w:p>
    <w:p>
      <w:pPr>
        <w:pStyle w:val="BookText"/>
        <w:rPr/>
      </w:pPr>
      <w:r>
        <w:rPr>
          <w:rFonts w:ascii="IRNazanin" w:hAnsi="IRNazanin" w:eastAsia="IRNazanin"/>
          <w:color w:val="111111"/>
          <w:sz w:val="28"/>
          <w:sz w:val="28"/>
          <w:szCs w:val="28"/>
          <w:rtl w:val="true"/>
          <w:lang w:bidi="fa-IR"/>
        </w:rPr>
        <w:t xml:space="preserve">سازمان تبلیغاتی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ترکیبی از مؤذن، مبلغ، شاعر و مسجد، شبکه‌ای اثرگذار را تشکیل می‌داد که هم در درون جامعۀ اسلامی و هم در تعامل با بیرون، به شکلی منسجم عمل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ساختار، نه تنها صدای اسلام را به گوش همگان می‌رساند، بلکه هویت واحدی برای امت نوپای اسلامی می‌ساخت</w:t>
      </w:r>
      <w:r>
        <w:rPr>
          <w:rFonts w:eastAsia="IRNazanin" w:cs="IRNazanin"/>
          <w:color w:val="111111"/>
          <w:sz w:val="28"/>
          <w:szCs w:val="28"/>
          <w:rtl w:val="true"/>
          <w:lang w:bidi="fa-IR"/>
        </w:rPr>
        <w:t>.</w:t>
      </w:r>
    </w:p>
    <w:p>
      <w:pPr>
        <w:pStyle w:val="Heading5"/>
        <w:numPr>
          <w:ilvl w:val="4"/>
          <w:numId w:val="1"/>
        </w:numPr>
        <w:rPr/>
      </w:pPr>
      <w:bookmarkStart w:id="132" w:name="__RefHeading___Toc14292420_1280447820"/>
      <w:bookmarkStart w:id="133" w:name="_Toc49"/>
      <w:bookmarkEnd w:id="132"/>
      <w:r>
        <w:rPr/>
        <w:t>2.2.7</w:t>
      </w:r>
      <w:r>
        <w:rPr>
          <w:rtl w:val="true"/>
        </w:rPr>
        <w:t xml:space="preserve">. </w:t>
      </w:r>
      <w:r>
        <w:rPr>
          <w:rtl w:val="true"/>
        </w:rPr>
        <w:t>دستگاه</w:t>
      </w:r>
      <w:bookmarkEnd w:id="133"/>
    </w:p>
    <w:p>
      <w:pPr>
        <w:pStyle w:val="BookText"/>
        <w:rPr/>
      </w:pPr>
      <w:r>
        <w:rPr>
          <w:rFonts w:ascii="IRNazanin" w:hAnsi="IRNazanin" w:eastAsia="IRNazanin"/>
          <w:color w:val="111111"/>
          <w:sz w:val="28"/>
          <w:sz w:val="28"/>
          <w:szCs w:val="28"/>
          <w:rtl w:val="true"/>
          <w:lang w:bidi="fa-IR"/>
        </w:rPr>
        <w:t xml:space="preserve">امنیتی در حکومت پیامبر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بی‌تردید،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درک ضرورت نظم امنیتی و اطلاعاتی در حکومت، ساختاری هدفمند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در حوزۀ امور غیرنظامی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پایه‌گذاری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اگرچه فعالیت‌های اطلاعاتی و نظارتی ممکن است در نگاه عمومی با واکنش‌های منفی همراه باشد، ولی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مسئولیت خطیر حکومت و حفظ جامعۀ اسلامی، آن را به عنوان یک وظیفۀ اجتناب‌ناپذیر و سازمان‌یافته دنبال می‌کردند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نمونه‌های کلیدی در دستگاه امنیتی نبوی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نظارت و شناسایی داخلی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حذیفة بن یمان و عمار یاسر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دارا بودن ویژگی‌های لازم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مأموریت یافتند تا افراد اخلالگر و توطئه‌گر را شناسایی کرده و مسلمانان را از آسیب آنان آگاه سازند</w:t>
      </w:r>
      <w:r>
        <w:rPr>
          <w:rFonts w:eastAsia="IRNazanin" w:cs="IRNazanin"/>
          <w:color w:val="111111"/>
          <w:sz w:val="28"/>
          <w:szCs w:val="28"/>
          <w:rtl w:val="true"/>
          <w:lang w:bidi="fa-IR"/>
        </w:rPr>
        <w:t>.</w:t>
      </w:r>
      <w:r>
        <w:rPr>
          <w:rStyle w:val="FootnoteAnchor"/>
          <w:rtl w:val="true"/>
        </w:rPr>
        <w:footnoteReference w:id="94"/>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جاسوسی در قلب دشمن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عباس بن عبدالمطلب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پیش از فتح مکه اسلام آورده اما ایمان خود را پنهان نگه داشته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منبع اطلاعاتی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درون جامعۀ مشرکان مکه عمل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توصیۀ پیامبر به او برای ماندن در مکه، نشان از بهره‌گیری هوشمندانه از موقعیت‌های استراتژیک دارد</w:t>
      </w:r>
      <w:r>
        <w:rPr>
          <w:rFonts w:eastAsia="IRNazanin" w:cs="IRNazanin"/>
          <w:color w:val="111111"/>
          <w:sz w:val="28"/>
          <w:szCs w:val="28"/>
          <w:rtl w:val="true"/>
          <w:lang w:bidi="fa-IR"/>
        </w:rPr>
        <w:t>.</w:t>
      </w:r>
      <w:r>
        <w:rPr>
          <w:rStyle w:val="FootnoteAnchor"/>
          <w:rtl w:val="true"/>
        </w:rPr>
        <w:footnoteReference w:id="95"/>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حفاظت از شخص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حذیفة بن یمان همچنین مسئولیت شناسایی افرادی را داشت که قصد ترور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داشتند</w:t>
      </w:r>
      <w:r>
        <w:rPr>
          <w:rFonts w:eastAsia="IRNazanin" w:cs="IRNazanin"/>
          <w:color w:val="111111"/>
          <w:sz w:val="28"/>
          <w:szCs w:val="28"/>
          <w:rtl w:val="true"/>
          <w:lang w:bidi="fa-IR"/>
        </w:rPr>
        <w:t>.</w:t>
      </w:r>
      <w:r>
        <w:rPr>
          <w:rStyle w:val="FootnoteAnchor"/>
          <w:rtl w:val="true"/>
        </w:rPr>
        <w:footnoteReference w:id="96"/>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نمونه‌ها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 موارد پیشین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وضوح نشان می‌دهد که در حکومت نبوی تقسیم کار و سازماندهی حتی در حوزۀ حساس امنیت و اطلاعات نیز جریان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این ساختار با اصطلاحات اداری امروزین مطابقت ندارد، اما وجود شبکۀ منسجمی از مأموریت‌های اطلاعاتی، نظارتی و حفاظتی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مسئولیت‌های مشخص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گواهی روشن بر تدبیر عمیق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ادارۀ حکومت اسلامی است</w:t>
      </w:r>
      <w:r>
        <w:rPr>
          <w:rFonts w:eastAsia="IRNazanin" w:cs="IRNazanin"/>
          <w:color w:val="111111"/>
          <w:sz w:val="28"/>
          <w:szCs w:val="28"/>
          <w:rtl w:val="true"/>
          <w:lang w:bidi="fa-IR"/>
        </w:rPr>
        <w:t xml:space="preserve">. </w:t>
      </w:r>
      <w:bookmarkStart w:id="134" w:name="pg18832_210905"/>
    </w:p>
    <w:p>
      <w:pPr>
        <w:pStyle w:val="Heading5"/>
        <w:numPr>
          <w:ilvl w:val="4"/>
          <w:numId w:val="1"/>
        </w:numPr>
        <w:rPr/>
      </w:pPr>
      <w:bookmarkStart w:id="135" w:name="__RefHeading___Toc14292422_1280447820"/>
      <w:bookmarkStart w:id="136" w:name="_Toc50"/>
      <w:bookmarkEnd w:id="134"/>
      <w:bookmarkEnd w:id="135"/>
      <w:r>
        <w:rPr/>
        <w:t>2.2.5</w:t>
      </w:r>
      <w:r>
        <w:rPr>
          <w:rtl w:val="true"/>
        </w:rPr>
        <w:t xml:space="preserve">. </w:t>
      </w:r>
      <w:r>
        <w:rPr>
          <w:rtl w:val="true"/>
        </w:rPr>
        <w:t xml:space="preserve">امور مالی پیامبر </w:t>
      </w:r>
      <w:r>
        <w:rPr>
          <w:rtl w:val="true"/>
        </w:rPr>
        <w:t>(</w:t>
      </w:r>
      <w:r>
        <w:rPr>
          <w:rtl w:val="true"/>
        </w:rPr>
        <w:t>صلی الله علیه وآله</w:t>
      </w:r>
      <w:r>
        <w:rPr>
          <w:rtl w:val="true"/>
        </w:rPr>
        <w:t>)</w:t>
      </w:r>
      <w:bookmarkEnd w:id="136"/>
    </w:p>
    <w:p>
      <w:pPr>
        <w:pStyle w:val="Heading6"/>
        <w:numPr>
          <w:ilvl w:val="5"/>
          <w:numId w:val="1"/>
        </w:numPr>
        <w:rPr/>
      </w:pPr>
      <w:bookmarkStart w:id="137" w:name="__RefHeading___Toc14292424_1280447820"/>
      <w:bookmarkStart w:id="138" w:name="_Toc51"/>
      <w:bookmarkEnd w:id="137"/>
      <w:r>
        <w:rPr>
          <w:rtl w:val="true"/>
        </w:rPr>
        <w:t>اشاره</w:t>
      </w:r>
      <w:bookmarkEnd w:id="138"/>
    </w:p>
    <w:p>
      <w:pPr>
        <w:pStyle w:val="BookText"/>
        <w:rPr/>
      </w:pPr>
      <w:r>
        <w:rPr>
          <w:rFonts w:ascii="IRNazanin" w:hAnsi="IRNazanin" w:eastAsia="IRNazanin"/>
          <w:color w:val="111111"/>
          <w:sz w:val="28"/>
          <w:sz w:val="28"/>
          <w:szCs w:val="28"/>
          <w:rtl w:val="true"/>
          <w:lang w:bidi="fa-IR"/>
        </w:rPr>
        <w:t>با گسترش قلمرو اسلامی و فتح مناطق مختلف از جمله حجاز، یمن، شام و عراق، انتقال منابع مالی مانند خمس، زکات و جزیه به مرکز حکومت نیازمند ایجاد ساختاری منظم برای جمع‌آوری، ثبت، نگهداری و توزیع این اموال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ساختار را می‌توان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دستگاه 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نبوی توصیف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مواجهه با حکام مناطق تحت قرارداد، وجوهی را دریافت می‌کردند که صرفاً به مصارف شخصی اختصاص نداشت، بلکه در جهت تقویت بنیۀ مالی جامعۀ اسلامی و تأمین نیازهای عمومی به کار می‌رفت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زمینه،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مسئولیت امور مالی را به افرادی با تخصص واگذار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شایان ذکر است که این تقسیم‌کاری به معنای استخدام افرادی با عناوین شغلی ثابت و متمرکز نبود، بلکه بسیاری از یاران پیامبر در کنار فعالیت‌های روزمرۀ خود، در این امور نیز مشارکت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جملۀ این مسئولیت‌ها می‌توان به موارد زیر اشاره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جمع‌آوری و ثبت زکات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افرادی مانند زید بن ثابت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نگهداری و محاسبه اموال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بلال بن رباح و ابورافع</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توزیع بیت‌المال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مقداد بن اسود</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رویکرد نشان می‌دهد که اگرچه تشکیلات مالی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پیچیدگی نظام‌های امروزی نبود، اما از اساس و نظم لازم برای مدیریت امور مالی حکومت برخوردار بود</w:t>
      </w:r>
      <w:r>
        <w:rPr>
          <w:rFonts w:eastAsia="IRNazanin" w:cs="IRNazanin"/>
          <w:color w:val="111111"/>
          <w:sz w:val="28"/>
          <w:szCs w:val="28"/>
          <w:rtl w:val="true"/>
          <w:lang w:bidi="fa-IR"/>
        </w:rPr>
        <w:t xml:space="preserve">. </w:t>
      </w:r>
      <w:bookmarkStart w:id="139" w:name="pg18832_210906"/>
    </w:p>
    <w:p>
      <w:pPr>
        <w:pStyle w:val="Heading6"/>
        <w:numPr>
          <w:ilvl w:val="5"/>
          <w:numId w:val="1"/>
        </w:numPr>
        <w:rPr/>
      </w:pPr>
      <w:bookmarkStart w:id="140" w:name="__RefHeading___Toc14292426_1280447820"/>
      <w:bookmarkStart w:id="141" w:name="_Toc52"/>
      <w:bookmarkEnd w:id="139"/>
      <w:bookmarkEnd w:id="140"/>
      <w:r>
        <w:rPr/>
        <w:t>1</w:t>
      </w:r>
      <w:r>
        <w:rPr>
          <w:rtl w:val="true"/>
        </w:rPr>
        <w:t xml:space="preserve">. </w:t>
      </w:r>
      <w:r>
        <w:rPr>
          <w:rtl w:val="true"/>
        </w:rPr>
        <w:t>مصدق</w:t>
      </w:r>
      <w:bookmarkEnd w:id="14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مصدق</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بی‌تردید،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ساختاری منظم برای جمع‌آوری منابع مالی حکومت اسلامی تدارک 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افرادی را به عنوان مأموران رسمی خود به مناطق مختلف اعزام می‌فرمودند تا وجوهی نظیر زکات، مالیات و جزیه را جمع‌آوری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عدی بن حاتم برای قبیلۀ بنی سعد،علاء بن حضرمی به بحرین،امام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نجران،زیاد بن لَبید به حضرموت ومالک بن نویره برای جمع‌آوری صدقات بنی حنظله</w:t>
      </w:r>
      <w:r>
        <w:rPr>
          <w:rFonts w:eastAsia="IRNazanin" w:cs="IRNazanin"/>
          <w:color w:val="111111"/>
          <w:sz w:val="28"/>
          <w:szCs w:val="28"/>
          <w:rtl w:val="true"/>
          <w:lang w:bidi="fa-IR"/>
        </w:rPr>
        <w:t>.</w:t>
      </w:r>
      <w:r>
        <w:rPr>
          <w:rStyle w:val="FootnoteAnchor"/>
          <w:rtl w:val="true"/>
        </w:rPr>
        <w:footnoteReference w:id="97"/>
      </w:r>
    </w:p>
    <w:p>
      <w:pPr>
        <w:pStyle w:val="BookText"/>
        <w:rPr/>
      </w:pPr>
      <w:r>
        <w:rPr>
          <w:rFonts w:ascii="IRNazanin" w:hAnsi="IRNazanin" w:eastAsia="IRNazanin"/>
          <w:color w:val="111111"/>
          <w:sz w:val="28"/>
          <w:sz w:val="28"/>
          <w:szCs w:val="28"/>
          <w:rtl w:val="true"/>
          <w:lang w:bidi="fa-IR"/>
        </w:rPr>
        <w:t xml:space="preserve">در یک جمع‌بندی کلی، شمار مأموران رسمی تعیین‌شده از سوی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جمع‌آوری زکات و دیگر منابع مالی، به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می‌رسید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افراد به طور رسمی منصوب و مسئول انجام این وظایف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رویکرد، نشان از وجود یک دستگاه مالی اولیه اما سازمان‌یافته در حکومت نبوی دارد</w:t>
      </w:r>
      <w:r>
        <w:rPr>
          <w:rFonts w:eastAsia="IRNazanin" w:cs="IRNazanin"/>
          <w:color w:val="111111"/>
          <w:sz w:val="28"/>
          <w:szCs w:val="28"/>
          <w:rtl w:val="true"/>
          <w:lang w:bidi="fa-IR"/>
        </w:rPr>
        <w:t>.</w:t>
      </w:r>
      <w:r>
        <w:rPr>
          <w:rStyle w:val="FootnoteAnchor"/>
          <w:rtl w:val="true"/>
        </w:rPr>
        <w:footnoteReference w:id="98"/>
      </w:r>
    </w:p>
    <w:p>
      <w:pPr>
        <w:pStyle w:val="Heading6"/>
        <w:numPr>
          <w:ilvl w:val="5"/>
          <w:numId w:val="1"/>
        </w:numPr>
        <w:rPr/>
      </w:pPr>
      <w:bookmarkStart w:id="142" w:name="__RefHeading___Toc14292428_1280447820"/>
      <w:bookmarkStart w:id="143" w:name="_Toc53"/>
      <w:bookmarkEnd w:id="142"/>
      <w:r>
        <w:rPr/>
        <w:t>2</w:t>
      </w:r>
      <w:r>
        <w:rPr>
          <w:rtl w:val="true"/>
        </w:rPr>
        <w:t xml:space="preserve">. </w:t>
      </w:r>
      <w:r>
        <w:rPr>
          <w:rtl w:val="true"/>
        </w:rPr>
        <w:t>مستوفی</w:t>
      </w:r>
      <w:bookmarkEnd w:id="143"/>
    </w:p>
    <w:p>
      <w:pPr>
        <w:pStyle w:val="BookText"/>
        <w:rPr/>
      </w:pPr>
      <w:r>
        <w:rPr>
          <w:rFonts w:ascii="IRNazanin" w:hAnsi="IRNazanin" w:eastAsia="IRNazanin"/>
          <w:color w:val="111111"/>
          <w:sz w:val="28"/>
          <w:sz w:val="28"/>
          <w:szCs w:val="28"/>
          <w:rtl w:val="true"/>
          <w:lang w:bidi="fa-IR"/>
        </w:rPr>
        <w:t xml:space="preserve">در ساختار مالی حکومت نبوی،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مستوفی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فردی اطلاق می‌شد که از سوی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دریافت و جمع‌آوری مالیات‌های گردآوری‌شده توسط عاملان محلی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مصدقان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 می‌گردید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افراد مسئولیت داشتند وجوه جمع‌آوری‌شده را به طور مستقیم به محضر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برساند</w:t>
      </w:r>
      <w:r>
        <w:rPr>
          <w:rFonts w:eastAsia="IRNazanin" w:cs="IRNazanin"/>
          <w:color w:val="111111"/>
          <w:sz w:val="28"/>
          <w:szCs w:val="28"/>
          <w:rtl w:val="true"/>
          <w:lang w:bidi="fa-IR"/>
        </w:rPr>
        <w:t>.</w:t>
      </w:r>
      <w:r>
        <w:rPr>
          <w:rStyle w:val="FootnoteAnchor"/>
          <w:rtl w:val="true"/>
        </w:rPr>
        <w:footnoteReference w:id="99"/>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سال‌های پایانی عمر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مستوفی ایشان عمل می‌کرد و مسئولیت جمع‌آوری و تحویل صدقات و جزیه را بر عهده </w:t>
      </w:r>
      <w:bookmarkStart w:id="144" w:name="pg18832_210907"/>
    </w:p>
    <w:p>
      <w:pPr>
        <w:pStyle w:val="BookText"/>
        <w:rPr/>
      </w:pPr>
      <w:bookmarkEnd w:id="144"/>
      <w:r>
        <w:rPr>
          <w:rFonts w:ascii="IRNazanin" w:hAnsi="IRNazanin" w:eastAsia="IRNazanin"/>
          <w:color w:val="111111"/>
          <w:sz w:val="28"/>
          <w:sz w:val="28"/>
          <w:szCs w:val="28"/>
          <w:rtl w:val="true"/>
          <w:lang w:bidi="fa-IR"/>
        </w:rPr>
        <w:t>داشت</w:t>
      </w:r>
      <w:r>
        <w:rPr>
          <w:rStyle w:val="FootnoteAnchor"/>
          <w:rtl w:val="true"/>
        </w:rPr>
        <w:footnoteReference w:id="10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حاجب بن زراره الدارسی تمیمی به عنوان مستوفی صدقات قبیله بنی‌تمیم منصوب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انتصابات نشان‌دهنده وجود سلسله مراتب اداری و نظارت متمرکز بر امور مالی در حکومت نبوی است</w:t>
      </w:r>
      <w:r>
        <w:rPr>
          <w:rFonts w:eastAsia="IRNazanin" w:cs="IRNazanin"/>
          <w:color w:val="111111"/>
          <w:sz w:val="28"/>
          <w:szCs w:val="28"/>
          <w:rtl w:val="true"/>
          <w:lang w:bidi="fa-IR"/>
        </w:rPr>
        <w:t>.</w:t>
      </w:r>
      <w:r>
        <w:rPr>
          <w:rStyle w:val="FootnoteAnchor"/>
          <w:rtl w:val="true"/>
        </w:rPr>
        <w:footnoteReference w:id="101"/>
      </w:r>
    </w:p>
    <w:p>
      <w:pPr>
        <w:pStyle w:val="Heading6"/>
        <w:numPr>
          <w:ilvl w:val="5"/>
          <w:numId w:val="1"/>
        </w:numPr>
        <w:rPr/>
      </w:pPr>
      <w:bookmarkStart w:id="145" w:name="__RefHeading___Toc14292430_1280447820"/>
      <w:bookmarkStart w:id="146" w:name="_Toc54"/>
      <w:bookmarkEnd w:id="145"/>
      <w:r>
        <w:rPr/>
        <w:t>3</w:t>
      </w:r>
      <w:r>
        <w:rPr>
          <w:rtl w:val="true"/>
        </w:rPr>
        <w:t xml:space="preserve">. </w:t>
      </w:r>
      <w:r>
        <w:rPr>
          <w:rtl w:val="true"/>
        </w:rPr>
        <w:t>موزع</w:t>
      </w:r>
      <w:bookmarkEnd w:id="146"/>
    </w:p>
    <w:p>
      <w:pPr>
        <w:pStyle w:val="BookText"/>
        <w:rPr/>
      </w:pPr>
      <w:r>
        <w:rPr>
          <w:rFonts w:ascii="IRNazanin" w:hAnsi="IRNazanin" w:eastAsia="IRNazanin"/>
          <w:color w:val="111111"/>
          <w:sz w:val="28"/>
          <w:sz w:val="28"/>
          <w:szCs w:val="28"/>
          <w:rtl w:val="true"/>
          <w:lang w:bidi="fa-IR"/>
        </w:rPr>
        <w:t xml:space="preserve">در حکومت نبوی، توزیع و تقسیم اموال به نمایندگی از سوی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نظم و برنامه‌ریزی دقیقی انجام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افرادی مانند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زید بن مالک انصاری و ابوسفیان از سوی ایشان مأموریت می‌یافتند تا وجوهی را در میان قبایل مختلف  از جمله بنی جذیمه، بنی قریظه و اهالی مکه  توزیع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اموال شامل دیه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خون‌بها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کمک‌های معیشتی یا تأمین هزینه‌های نظامی مانند خرید سلاح و اسب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رویکرد نشان‌دهنده توجه حکومت نبوی به تأمین نیازهای جامعه و توزیع عادلانه منابع در راستای تحقق عدالت اجتماعی است</w:t>
      </w:r>
      <w:r>
        <w:rPr>
          <w:rFonts w:eastAsia="IRNazanin" w:cs="IRNazanin"/>
          <w:color w:val="111111"/>
          <w:sz w:val="28"/>
          <w:szCs w:val="28"/>
          <w:rtl w:val="true"/>
          <w:lang w:bidi="fa-IR"/>
        </w:rPr>
        <w:t>.</w:t>
      </w:r>
      <w:r>
        <w:rPr>
          <w:rStyle w:val="FootnoteAnchor"/>
          <w:rtl w:val="true"/>
        </w:rPr>
        <w:footnoteReference w:id="102"/>
      </w:r>
    </w:p>
    <w:p>
      <w:pPr>
        <w:pStyle w:val="Heading6"/>
        <w:numPr>
          <w:ilvl w:val="5"/>
          <w:numId w:val="1"/>
        </w:numPr>
        <w:rPr/>
      </w:pPr>
      <w:bookmarkStart w:id="147" w:name="__RefHeading___Toc14292432_1280447820"/>
      <w:bookmarkStart w:id="148" w:name="_Toc55"/>
      <w:bookmarkEnd w:id="147"/>
      <w:r>
        <w:rPr/>
        <w:t>4</w:t>
      </w:r>
      <w:r>
        <w:rPr>
          <w:rtl w:val="true"/>
        </w:rPr>
        <w:t xml:space="preserve">. </w:t>
      </w:r>
      <w:r>
        <w:rPr>
          <w:rtl w:val="true"/>
        </w:rPr>
        <w:t>خارص</w:t>
      </w:r>
      <w:bookmarkEnd w:id="148"/>
    </w:p>
    <w:p>
      <w:pPr>
        <w:pStyle w:val="BookText"/>
        <w:rPr/>
      </w:pPr>
      <w:r>
        <w:rPr>
          <w:rFonts w:ascii="IRNazanin" w:hAnsi="IRNazanin" w:eastAsia="IRNazanin"/>
          <w:color w:val="111111"/>
          <w:sz w:val="28"/>
          <w:sz w:val="28"/>
          <w:szCs w:val="28"/>
          <w:rtl w:val="true"/>
          <w:lang w:bidi="fa-IR"/>
        </w:rPr>
        <w:t>در حکومت نبوی، برای تعیین ارزش و برآورد کمّی محصولات کشاورزی مانند نخل و انگور، از افراد متخصص و کارشناسی استفاده می‌شد که به آنان خارص گفته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افراد با تخصص خود، مقدار محصول را پیش از برداشت تخمین می‌زدند تا بر اساس آن، حقوق شرعی مانند زکات محاسبه و وصول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این کارشناسان می‌توان به موارد زیر اشاره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ابی حمید که در زمینۀ برآورد محصول نخل تخصص داشت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49" w:name="pg18832_210908"/>
    </w:p>
    <w:p>
      <w:pPr>
        <w:pStyle w:val="BookText"/>
        <w:rPr/>
      </w:pPr>
      <w:bookmarkEnd w:id="149"/>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عبدالله بن رواحه که مسئولیت تخمین محصول خرما در منطقه خیبر را بر عهده داشت</w:t>
      </w:r>
      <w:r>
        <w:rPr>
          <w:rFonts w:eastAsia="IRNazanin" w:cs="IRNazanin"/>
          <w:color w:val="111111"/>
          <w:sz w:val="28"/>
          <w:szCs w:val="28"/>
          <w:rtl w:val="true"/>
          <w:lang w:bidi="fa-IR"/>
        </w:rPr>
        <w:t>.</w:t>
      </w:r>
      <w:r>
        <w:rPr>
          <w:rStyle w:val="FootnoteAnchor"/>
          <w:rtl w:val="true"/>
        </w:rPr>
        <w:footnoteReference w:id="10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عتاب بن اسید که مأمور برآورد محصول نخل و انگور بود</w:t>
      </w:r>
      <w:r>
        <w:rPr>
          <w:rFonts w:eastAsia="IRNazanin" w:cs="IRNazanin"/>
          <w:color w:val="111111"/>
          <w:sz w:val="28"/>
          <w:szCs w:val="28"/>
          <w:rtl w:val="true"/>
          <w:lang w:bidi="fa-IR"/>
        </w:rPr>
        <w:t>.</w:t>
      </w:r>
      <w:r>
        <w:rPr>
          <w:rStyle w:val="FootnoteAnchor"/>
          <w:rtl w:val="true"/>
        </w:rPr>
        <w:footnoteReference w:id="104"/>
      </w:r>
    </w:p>
    <w:p>
      <w:pPr>
        <w:pStyle w:val="BookText"/>
        <w:rPr/>
      </w:pPr>
      <w:r>
        <w:rPr>
          <w:rFonts w:ascii="IRNazanin" w:hAnsi="IRNazanin" w:eastAsia="IRNazanin"/>
          <w:color w:val="111111"/>
          <w:sz w:val="28"/>
          <w:sz w:val="28"/>
          <w:szCs w:val="28"/>
          <w:rtl w:val="true"/>
          <w:lang w:bidi="fa-IR"/>
        </w:rPr>
        <w:t xml:space="preserve">این رویکرد، نشان از دقت و سازمان‌یافتگی نظام مالی و اقتصادی در عصر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w:t>
      </w:r>
    </w:p>
    <w:p>
      <w:pPr>
        <w:pStyle w:val="Heading6"/>
        <w:numPr>
          <w:ilvl w:val="5"/>
          <w:numId w:val="1"/>
        </w:numPr>
        <w:rPr/>
      </w:pPr>
      <w:bookmarkStart w:id="150" w:name="__RefHeading___Toc14292434_1280447820"/>
      <w:bookmarkStart w:id="151" w:name="_Toc56"/>
      <w:bookmarkEnd w:id="150"/>
      <w:r>
        <w:rPr/>
        <w:t>5</w:t>
      </w:r>
      <w:r>
        <w:rPr>
          <w:rtl w:val="true"/>
        </w:rPr>
        <w:t xml:space="preserve">. </w:t>
      </w:r>
      <w:r>
        <w:rPr>
          <w:rtl w:val="true"/>
        </w:rPr>
        <w:t>كاتب صدقات</w:t>
      </w:r>
      <w:bookmarkEnd w:id="151"/>
    </w:p>
    <w:p>
      <w:pPr>
        <w:pStyle w:val="BookText"/>
        <w:rPr/>
      </w:pPr>
      <w:r>
        <w:rPr>
          <w:rFonts w:ascii="IRNazanin" w:hAnsi="IRNazanin" w:eastAsia="IRNazanin"/>
          <w:color w:val="111111"/>
          <w:sz w:val="28"/>
          <w:sz w:val="28"/>
          <w:szCs w:val="28"/>
          <w:rtl w:val="true"/>
          <w:lang w:bidi="fa-IR"/>
        </w:rPr>
        <w:t>در ساختار اداری حکومت نبوی، مسئولیت ثبت و ضبط آمار و بایگانی اسناد به افرادی متخصص سپرده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زبیر بن عوام متصدی ثبت صدقات بود و در زمان غیاب یا بیماری وی، جهم بن صلت و حذیفة بن یمان این وظیفه را بر عهده می‌گرفتند</w:t>
      </w:r>
      <w:r>
        <w:rPr>
          <w:rFonts w:eastAsia="IRNazanin" w:cs="IRNazanin"/>
          <w:color w:val="111111"/>
          <w:sz w:val="28"/>
          <w:szCs w:val="28"/>
          <w:rtl w:val="true"/>
          <w:lang w:bidi="fa-IR"/>
        </w:rPr>
        <w:t>.</w:t>
      </w:r>
      <w:r>
        <w:rPr>
          <w:rStyle w:val="FootnoteAnchor"/>
          <w:rtl w:val="true"/>
        </w:rPr>
        <w:footnoteReference w:id="105"/>
      </w:r>
      <w:r>
        <w:rPr>
          <w:rFonts w:ascii="IRNazanin" w:hAnsi="IRNazanin" w:eastAsia="IRNazanin"/>
          <w:color w:val="111111"/>
          <w:sz w:val="28"/>
          <w:sz w:val="28"/>
          <w:szCs w:val="28"/>
          <w:rtl w:val="true"/>
          <w:lang w:bidi="fa-IR"/>
        </w:rPr>
        <w:t>همچنین ابوهریره مسئولیت نگهداری و توزیع زکات فطر را عهده‌دار بود و عبدالله بن کعب انصاری خمس را مدیریت می‌کرد</w:t>
      </w:r>
      <w:r>
        <w:rPr>
          <w:rFonts w:eastAsia="IRNazanin" w:cs="IRNazanin"/>
          <w:color w:val="111111"/>
          <w:sz w:val="28"/>
          <w:szCs w:val="28"/>
          <w:rtl w:val="true"/>
          <w:lang w:bidi="fa-IR"/>
        </w:rPr>
        <w:t>.</w:t>
      </w:r>
      <w:r>
        <w:rPr>
          <w:rStyle w:val="FootnoteAnchor"/>
          <w:rtl w:val="true"/>
        </w:rPr>
        <w:footnoteReference w:id="106"/>
      </w:r>
    </w:p>
    <w:p>
      <w:pPr>
        <w:pStyle w:val="BookText"/>
        <w:rPr/>
      </w:pPr>
      <w:r>
        <w:rPr>
          <w:rFonts w:ascii="IRNazanin" w:hAnsi="IRNazanin" w:eastAsia="IRNazanin"/>
          <w:color w:val="111111"/>
          <w:sz w:val="28"/>
          <w:sz w:val="28"/>
          <w:szCs w:val="28"/>
          <w:rtl w:val="true"/>
          <w:lang w:bidi="fa-IR"/>
        </w:rPr>
        <w:t xml:space="preserve">این نمونه‌ها به وضوح نشان می‌دهد که در حکومت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تقسیم کار و تخصص‌گرایی در مناصب اداری و مالی وجود داشته و هر بخش تحت نظارت شایسته قرار گرفته است</w:t>
      </w:r>
      <w:r>
        <w:rPr>
          <w:rFonts w:eastAsia="IRNazanin" w:cs="IRNazanin"/>
          <w:color w:val="111111"/>
          <w:sz w:val="28"/>
          <w:szCs w:val="28"/>
          <w:rtl w:val="true"/>
          <w:lang w:bidi="fa-IR"/>
        </w:rPr>
        <w:t>.</w:t>
      </w:r>
    </w:p>
    <w:p>
      <w:pPr>
        <w:pStyle w:val="Heading5"/>
        <w:numPr>
          <w:ilvl w:val="4"/>
          <w:numId w:val="1"/>
        </w:numPr>
        <w:rPr/>
      </w:pPr>
      <w:bookmarkStart w:id="152" w:name="__RefHeading___Toc14292436_1280447820"/>
      <w:bookmarkStart w:id="153" w:name="_Toc57"/>
      <w:bookmarkEnd w:id="152"/>
      <w:r>
        <w:rPr/>
        <w:t>2.2.6</w:t>
      </w:r>
      <w:r>
        <w:rPr>
          <w:rtl w:val="true"/>
        </w:rPr>
        <w:t xml:space="preserve">. </w:t>
      </w:r>
      <w:r>
        <w:rPr>
          <w:rtl w:val="true"/>
        </w:rPr>
        <w:t xml:space="preserve">سیاست خارجه حكومت اسلامی پیامبر </w:t>
      </w:r>
      <w:r>
        <w:rPr>
          <w:rtl w:val="true"/>
        </w:rPr>
        <w:t>(</w:t>
      </w:r>
      <w:r>
        <w:rPr>
          <w:rtl w:val="true"/>
        </w:rPr>
        <w:t>صلی الله علیه وآله</w:t>
      </w:r>
      <w:r>
        <w:rPr>
          <w:rtl w:val="true"/>
        </w:rPr>
        <w:t>)</w:t>
      </w:r>
      <w:bookmarkEnd w:id="153"/>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سیاست خارجی حکومت اسلامی توسط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طریق ارسال نامه‌هایی به سران کشورها و امپراتوری‌های همسایه ترسیم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اقدام که عمدتاً از سال هفتم هجری و پس از صلح حدیبیه آغاز گردید، نشان </w:t>
      </w:r>
      <w:bookmarkStart w:id="154" w:name="pg18832_210909"/>
    </w:p>
    <w:p>
      <w:pPr>
        <w:pStyle w:val="BookText"/>
        <w:rPr/>
      </w:pPr>
      <w:bookmarkEnd w:id="154"/>
      <w:r>
        <w:rPr>
          <w:rFonts w:ascii="IRNazanin" w:hAnsi="IRNazanin" w:eastAsia="IRNazanin"/>
          <w:color w:val="111111"/>
          <w:sz w:val="28"/>
          <w:sz w:val="28"/>
          <w:szCs w:val="28"/>
          <w:rtl w:val="true"/>
          <w:lang w:bidi="fa-IR"/>
        </w:rPr>
        <w:t>می‌داد که هدف اصلی پیامبر، کشورگشایی و توسعه قلمرو نیست، بلکه ابلاغ پیام الهی و دعوت به توحید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نامه‌ها که در منابع معتبری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جمهرة رسائل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مکاتیب الرسول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ثبت شده،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حاکمان دعوت می‌کردند تا اسلام را بپذیرند و هشدار می‌دادند که در صورت پذیرش، در امان خواهند بود و در غیر این صورت، مسئولیت گمراهی مردم بر عهده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نامه‌ها به عنوان اسناد سیاسی اسلام، خطوط کلی سیاست خارجی دولت نوپای اسلامی را مبتنی بر دعوت، هشدار و تعیین مسئولیت تبیین می‌کنند </w:t>
      </w:r>
      <w:r>
        <w:rPr>
          <w:rFonts w:eastAsia="IRNazanin" w:cs="IRNazanin"/>
          <w:color w:val="111111"/>
          <w:sz w:val="28"/>
          <w:szCs w:val="28"/>
          <w:rtl w:val="true"/>
          <w:lang w:bidi="fa-IR"/>
        </w:rPr>
        <w:t>.</w:t>
      </w:r>
      <w:r>
        <w:rPr>
          <w:rStyle w:val="FootnoteAnchor"/>
          <w:rtl w:val="true"/>
        </w:rPr>
        <w:footnoteReference w:id="107"/>
      </w:r>
    </w:p>
    <w:p>
      <w:pPr>
        <w:pStyle w:val="BookText"/>
        <w:rPr/>
      </w:pPr>
      <w:r>
        <w:rPr>
          <w:rFonts w:ascii="IRNazanin" w:hAnsi="IRNazanin" w:eastAsia="IRNazanin"/>
          <w:color w:val="111111"/>
          <w:sz w:val="28"/>
          <w:sz w:val="28"/>
          <w:szCs w:val="28"/>
          <w:rtl w:val="true"/>
          <w:lang w:bidi="fa-IR"/>
        </w:rPr>
        <w:t>به باور برخی تحلیلگران، این حرکت سیاسی پس از تثبیت اولیه دولت اسلامی و در دورۀ شش سالۀ پس از صلح حدیبیه، با هدف گسترش حوزه نفوذ معنوی اسلام و تعریف رابطه با قدرت‌های خارجی انجام پذیرفت</w:t>
      </w:r>
      <w:r>
        <w:rPr>
          <w:rFonts w:eastAsia="IRNazanin" w:cs="IRNazanin"/>
          <w:color w:val="111111"/>
          <w:sz w:val="28"/>
          <w:szCs w:val="28"/>
          <w:rtl w:val="true"/>
          <w:lang w:bidi="fa-IR"/>
        </w:rPr>
        <w:t>.</w:t>
      </w:r>
      <w:r>
        <w:rPr>
          <w:rStyle w:val="FootnoteAnchor"/>
          <w:rtl w:val="true"/>
        </w:rPr>
        <w:footnoteReference w:id="108"/>
      </w:r>
    </w:p>
    <w:p>
      <w:pPr>
        <w:pStyle w:val="Heading4"/>
        <w:numPr>
          <w:ilvl w:val="3"/>
          <w:numId w:val="1"/>
        </w:numPr>
        <w:rPr/>
      </w:pPr>
      <w:bookmarkStart w:id="155" w:name="__RefHeading___Toc14292438_1280447820"/>
      <w:bookmarkStart w:id="156" w:name="_Toc58"/>
      <w:bookmarkEnd w:id="155"/>
      <w:r>
        <w:rPr/>
        <w:t>2.3</w:t>
      </w:r>
      <w:r>
        <w:rPr>
          <w:rtl w:val="true"/>
        </w:rPr>
        <w:t>.</w:t>
      </w:r>
      <w:r>
        <w:rPr>
          <w:rtl w:val="true"/>
        </w:rPr>
        <w:t xml:space="preserve">كارگزاران امیرالمؤمنین </w:t>
      </w:r>
      <w:r>
        <w:rPr>
          <w:rtl w:val="true"/>
        </w:rPr>
        <w:t>(</w:t>
      </w:r>
      <w:r>
        <w:rPr>
          <w:rtl w:val="true"/>
        </w:rPr>
        <w:t>علیه السلام</w:t>
      </w:r>
      <w:r>
        <w:rPr>
          <w:rtl w:val="true"/>
        </w:rPr>
        <w:t>)</w:t>
      </w:r>
      <w:bookmarkEnd w:id="156"/>
    </w:p>
    <w:p>
      <w:pPr>
        <w:pStyle w:val="Heading5"/>
        <w:numPr>
          <w:ilvl w:val="4"/>
          <w:numId w:val="1"/>
        </w:numPr>
        <w:rPr/>
      </w:pPr>
      <w:bookmarkStart w:id="157" w:name="__RefHeading___Toc14292440_1280447820"/>
      <w:bookmarkStart w:id="158" w:name="_Toc59"/>
      <w:bookmarkEnd w:id="157"/>
      <w:r>
        <w:rPr>
          <w:rtl w:val="true"/>
        </w:rPr>
        <w:t>اشاره</w:t>
      </w:r>
      <w:bookmarkEnd w:id="158"/>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بی‌گمان، حکومت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بازتابی آگاهانه از سیرۀ نبوی در ادارۀ جامعه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با ایجاد ساختاری منسجم، عناصر ضروری برای مدیریت دولت اسلامی را از انتصاب کارگزاران شایسته تا سازماندهی نهادهای قضایی و مالی احیا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عهدنامۀ مالک اشتر نه تنها سندی تاریخی، بلکه چارچوبی زنده برای درک اندیشه‌های سیاسی، اجتماعی، اقتصادی و مدیریتی امام است که خود ایشان نیز در عمل به آن پایبند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طور خلاصه می توان مهمترین مناصب را چنین ذکر کرد</w:t>
      </w:r>
      <w:r>
        <w:rPr>
          <w:rFonts w:eastAsia="IRNazanin" w:cs="IRNazanin"/>
          <w:color w:val="111111"/>
          <w:sz w:val="28"/>
          <w:szCs w:val="28"/>
          <w:rtl w:val="true"/>
          <w:lang w:bidi="fa-IR"/>
        </w:rPr>
        <w:t xml:space="preserve">. </w:t>
      </w:r>
      <w:bookmarkStart w:id="159" w:name="pg18832_210910"/>
    </w:p>
    <w:p>
      <w:pPr>
        <w:pStyle w:val="Heading5"/>
        <w:numPr>
          <w:ilvl w:val="4"/>
          <w:numId w:val="1"/>
        </w:numPr>
        <w:rPr/>
      </w:pPr>
      <w:bookmarkStart w:id="160" w:name="__RefHeading___Toc14292442_1280447820"/>
      <w:bookmarkStart w:id="161" w:name="_Toc60"/>
      <w:bookmarkEnd w:id="159"/>
      <w:bookmarkEnd w:id="160"/>
      <w:r>
        <w:rPr/>
        <w:t>2.3.1</w:t>
      </w:r>
      <w:r>
        <w:rPr>
          <w:rtl w:val="true"/>
        </w:rPr>
        <w:t xml:space="preserve">. </w:t>
      </w:r>
      <w:r>
        <w:rPr>
          <w:rtl w:val="true"/>
        </w:rPr>
        <w:t xml:space="preserve">جهاز اداری </w:t>
      </w:r>
      <w:r>
        <w:rPr>
          <w:rtl w:val="true"/>
        </w:rPr>
        <w:t>(</w:t>
      </w:r>
      <w:r>
        <w:rPr>
          <w:rtl w:val="true"/>
        </w:rPr>
        <w:t>وزارت كشور</w:t>
      </w:r>
      <w:r>
        <w:rPr>
          <w:rtl w:val="true"/>
        </w:rPr>
        <w:t>)</w:t>
      </w:r>
      <w:bookmarkEnd w:id="161"/>
    </w:p>
    <w:p>
      <w:pPr>
        <w:pStyle w:val="BookText"/>
        <w:rPr/>
      </w:pPr>
      <w:r>
        <w:rPr>
          <w:rFonts w:ascii="IRNazanin" w:hAnsi="IRNazanin" w:eastAsia="IRNazanin"/>
          <w:color w:val="111111"/>
          <w:sz w:val="28"/>
          <w:sz w:val="28"/>
          <w:szCs w:val="28"/>
          <w:rtl w:val="true"/>
          <w:lang w:bidi="fa-IR"/>
        </w:rPr>
        <w:t xml:space="preserve">در دوران حکومت 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ساختار اداری و قلمرو سرزمینی با نظم و دقت قابل توجهی سازماندهی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با گمارش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فرماندار و استاندار به اقصی نقاط جهان اسلام، نشان دادند که ادارۀ امپراتوری گستردۀ اسلامی نیازمند شبکۀ منسجمی از کارگزاران صالح و پاسخگو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نمونۀ بارز این مدیریت، خلید بن قره بود که به عنوان فرماندار خراسان، با هوشیاری در برابر تحرکات ضد اسلامی در نیشابور ایستاد و با کارآمدی به مقابله با شورشیان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اقدام نه تنها امنیت منطقه را تأمین کرد، بلکه نشان دهندۀ حضور فعال و نظارت مستقیم حکومت مرکزی در دورترین نقاط تحت حاکمیت اسلام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دیگر کارگزاران برجستۀ حضرت می‌توان به این افراد اشاره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ثابت بن قیس در مداین،عبدالرحمن ابن ابزی در خراسان،شنسب ابن جرمک در غور،ابن هرمه در سوق الاهواز،ابو عریف ارجهی، مرة بن شراحیل همدانی و قرظة بن ارطات در قزوین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انتصاب‌ها نه تنها بیانگر وسعت قلمرو حکومت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بلکه نشان می‌دهد که ایشان با بهره‌گیری از افراد لایق و متعهد، درصدد تحقق عدالت و ادارۀ شایستۀ سرزمین‌های اسلامی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رویکرد، ادامۀ همان سیرۀ نبوی در تشکیل دستگاه اداری منظم و پاسخگو است</w:t>
      </w:r>
      <w:r>
        <w:rPr>
          <w:rFonts w:eastAsia="IRNazanin" w:cs="IRNazanin"/>
          <w:color w:val="111111"/>
          <w:sz w:val="28"/>
          <w:szCs w:val="28"/>
          <w:rtl w:val="true"/>
          <w:lang w:bidi="fa-IR"/>
        </w:rPr>
        <w:t>.</w:t>
      </w:r>
    </w:p>
    <w:p>
      <w:pPr>
        <w:pStyle w:val="Heading5"/>
        <w:numPr>
          <w:ilvl w:val="4"/>
          <w:numId w:val="1"/>
        </w:numPr>
        <w:rPr/>
      </w:pPr>
      <w:bookmarkStart w:id="162" w:name="__RefHeading___Toc14292444_1280447820"/>
      <w:bookmarkStart w:id="163" w:name="_Toc61"/>
      <w:bookmarkEnd w:id="162"/>
      <w:r>
        <w:rPr/>
        <w:t>2.3.2</w:t>
      </w:r>
      <w:r>
        <w:rPr>
          <w:rtl w:val="true"/>
        </w:rPr>
        <w:t xml:space="preserve">. </w:t>
      </w:r>
      <w:r>
        <w:rPr>
          <w:rtl w:val="true"/>
        </w:rPr>
        <w:t xml:space="preserve">جهاز قضائی </w:t>
      </w:r>
      <w:r>
        <w:rPr>
          <w:rtl w:val="true"/>
        </w:rPr>
        <w:t>(</w:t>
      </w:r>
      <w:r>
        <w:rPr>
          <w:rtl w:val="true"/>
        </w:rPr>
        <w:t>قوه قضائیه</w:t>
      </w:r>
      <w:r>
        <w:rPr>
          <w:rtl w:val="true"/>
        </w:rPr>
        <w:t>)</w:t>
      </w:r>
      <w:bookmarkEnd w:id="163"/>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ساختار قضایی حکومت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نظم و تدبیر ویژ‌های حاکم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قضات نه تنها بر اساس دانش فقهی، که بر مبنای بردباری، پارسایی، و دوری از طمع انتخاب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عهدنامۀ مالک اشتر،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دقت معیارهای یک قاضی شایسته را برمی‌شمرند</w:t>
      </w:r>
      <w:r>
        <w:rPr>
          <w:rFonts w:eastAsia="IRNazanin" w:cs="IRNazanin"/>
          <w:color w:val="111111"/>
          <w:sz w:val="28"/>
          <w:szCs w:val="28"/>
          <w:rtl w:val="true"/>
          <w:lang w:bidi="fa-IR"/>
        </w:rPr>
        <w:t xml:space="preserve">: </w:t>
      </w:r>
      <w:bookmarkStart w:id="164" w:name="pg18832_210911"/>
    </w:p>
    <w:p>
      <w:pPr>
        <w:pStyle w:val="BookText"/>
        <w:rPr/>
      </w:pPr>
      <w:bookmarkEnd w:id="164"/>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آگاهی عمیق از احکام و توانایی استدلال منطقی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شکیبایی در شنیدن دعاوی و پرهیز از شتاب‌زدگی در قضاوت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تواضع در برابر حق و دوری از خودبینی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قاطعیت در اجرای عدالت و عدم تأثیرپذیری از تمجید یا فشار دیگران </w:t>
      </w:r>
      <w:r>
        <w:rPr>
          <w:rFonts w:eastAsia="IRNazanin" w:cs="IRNazanin"/>
          <w:color w:val="111111"/>
          <w:sz w:val="28"/>
          <w:szCs w:val="28"/>
          <w:rtl w:val="true"/>
          <w:lang w:bidi="fa-IR"/>
        </w:rPr>
        <w:t>.</w:t>
      </w:r>
      <w:r>
        <w:rPr>
          <w:rStyle w:val="FootnoteAnchor"/>
          <w:rtl w:val="true"/>
        </w:rPr>
        <w:footnoteReference w:id="109"/>
      </w:r>
    </w:p>
    <w:p>
      <w:pPr>
        <w:pStyle w:val="BookText"/>
        <w:rPr/>
      </w:pPr>
      <w:r>
        <w:rPr>
          <w:rFonts w:ascii="IRNazanin" w:hAnsi="IRNazanin" w:eastAsia="IRNazanin"/>
          <w:color w:val="111111"/>
          <w:sz w:val="28"/>
          <w:sz w:val="28"/>
          <w:szCs w:val="28"/>
          <w:rtl w:val="true"/>
          <w:lang w:bidi="fa-IR"/>
        </w:rPr>
        <w:t>سازمان قضایی در حکومت علوی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مرکز حکومت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شریح قاضی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حفظ سمت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تحت نظارت مستقیم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خود ادامه داد</w:t>
      </w:r>
      <w:r>
        <w:rPr>
          <w:rFonts w:eastAsia="IRNazanin" w:cs="IRNazanin"/>
          <w:color w:val="111111"/>
          <w:sz w:val="28"/>
          <w:szCs w:val="28"/>
          <w:rtl w:val="true"/>
          <w:lang w:bidi="fa-IR"/>
        </w:rPr>
        <w:t>.</w:t>
      </w:r>
      <w:r>
        <w:rPr>
          <w:rStyle w:val="FootnoteAnchor"/>
          <w:rtl w:val="true"/>
        </w:rPr>
        <w:footnoteReference w:id="11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ابوالأسود دؤلی نیز به عنوان قاضی منصوب شد</w:t>
      </w:r>
      <w:r>
        <w:rPr>
          <w:rFonts w:eastAsia="IRNazanin" w:cs="IRNazanin"/>
          <w:color w:val="111111"/>
          <w:sz w:val="28"/>
          <w:szCs w:val="28"/>
          <w:rtl w:val="true"/>
          <w:lang w:bidi="fa-IR"/>
        </w:rPr>
        <w:t>.</w:t>
      </w:r>
      <w:r>
        <w:rPr>
          <w:rStyle w:val="FootnoteAnchor"/>
          <w:rtl w:val="true"/>
        </w:rPr>
        <w:footnoteReference w:id="111"/>
      </w:r>
    </w:p>
    <w:p>
      <w:pPr>
        <w:pStyle w:val="BookText"/>
        <w:rPr/>
      </w:pPr>
      <w:r>
        <w:rPr>
          <w:rFonts w:ascii="IRNazanin" w:hAnsi="IRNazanin" w:eastAsia="IRNazanin"/>
          <w:color w:val="111111"/>
          <w:sz w:val="28"/>
          <w:sz w:val="28"/>
          <w:szCs w:val="28"/>
          <w:rtl w:val="true"/>
          <w:lang w:bidi="fa-IR"/>
        </w:rPr>
        <w:t xml:space="preserve">اما به دلیل بلند کردن صدا بر متخاصمان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نشان‌دهندۀ بی‌تابی در اجرای عدالت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برکنار گردید</w:t>
      </w:r>
      <w:r>
        <w:rPr>
          <w:rFonts w:eastAsia="IRNazanin" w:cs="IRNazanin"/>
          <w:color w:val="111111"/>
          <w:sz w:val="28"/>
          <w:szCs w:val="28"/>
          <w:rtl w:val="true"/>
          <w:lang w:bidi="fa-IR"/>
        </w:rPr>
        <w:t>.</w:t>
      </w:r>
      <w:r>
        <w:rPr>
          <w:rStyle w:val="FootnoteAnchor"/>
          <w:rtl w:val="true"/>
        </w:rPr>
        <w:footnoteReference w:id="112"/>
      </w:r>
    </w:p>
    <w:p>
      <w:pPr>
        <w:pStyle w:val="Heading5"/>
        <w:numPr>
          <w:ilvl w:val="4"/>
          <w:numId w:val="1"/>
        </w:numPr>
        <w:rPr/>
      </w:pPr>
      <w:bookmarkStart w:id="165" w:name="__RefHeading___Toc14292446_1280447820"/>
      <w:bookmarkStart w:id="166" w:name="_Toc62"/>
      <w:bookmarkEnd w:id="165"/>
      <w:r>
        <w:rPr/>
        <w:t>2.3.3</w:t>
      </w:r>
      <w:r>
        <w:rPr>
          <w:rtl w:val="true"/>
        </w:rPr>
        <w:t xml:space="preserve">. </w:t>
      </w:r>
      <w:r>
        <w:rPr>
          <w:rtl w:val="true"/>
        </w:rPr>
        <w:t>كارگزاران بیت المال؛</w:t>
      </w:r>
      <w:bookmarkEnd w:id="166"/>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عمل به عدالت اقتصادی، الگویی بی‌بدیل در تاریخ حکومت‌داری اسلامی به جای گذاردند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با تأکید بر توزیع عادلانۀ بیت‌المال و پرهیز از هرگونه تبعیض، خط مشی روشنی را برای همۀ کارگزاران حکومتی ترسیم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نگاه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بیت‌المال امانتی الهی بود که می‌بایست صرفاً بر اساس معیارهای عقلانی و شرعی، و با رعایت اولویت‌های واقعی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 روابط شخصی یا جناحی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توزیع گردد</w:t>
      </w:r>
      <w:r>
        <w:rPr>
          <w:rFonts w:eastAsia="IRNazanin" w:cs="IRNazanin"/>
          <w:color w:val="111111"/>
          <w:sz w:val="28"/>
          <w:szCs w:val="28"/>
          <w:rtl w:val="true"/>
          <w:lang w:bidi="fa-IR"/>
        </w:rPr>
        <w:t xml:space="preserve">. </w:t>
      </w:r>
      <w:bookmarkStart w:id="167" w:name="pg18832_210912"/>
    </w:p>
    <w:p>
      <w:pPr>
        <w:pStyle w:val="BookText"/>
        <w:rPr/>
      </w:pPr>
      <w:bookmarkEnd w:id="167"/>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نامه به مالک اشتر و دیگر فرمانداران هشدار دادند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بیت‌المال را چنان تقسیم کن که نزدیکان و قدرتمندان آن را نبخشند و مستمندان و قشرهای محروم از آن محروم نشوند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تحقق این امر، افرادی امین و با تقوا مانند علی بن ابی رافع، وهب بن عبدالله و ابو جحیفه را به مدیریت بیت‌المال گماشتند تا از هرگونه انحراف و سوءاستفاده جلوگیری شود</w:t>
      </w:r>
      <w:r>
        <w:rPr>
          <w:rFonts w:eastAsia="IRNazanin" w:cs="IRNazanin"/>
          <w:color w:val="111111"/>
          <w:sz w:val="28"/>
          <w:szCs w:val="28"/>
          <w:rtl w:val="true"/>
          <w:lang w:bidi="fa-IR"/>
        </w:rPr>
        <w:t>.</w:t>
      </w:r>
    </w:p>
    <w:p>
      <w:pPr>
        <w:pStyle w:val="Heading5"/>
        <w:numPr>
          <w:ilvl w:val="4"/>
          <w:numId w:val="1"/>
        </w:numPr>
        <w:rPr/>
      </w:pPr>
      <w:bookmarkStart w:id="168" w:name="__RefHeading___Toc14292448_1280447820"/>
      <w:bookmarkStart w:id="169" w:name="_Toc63"/>
      <w:bookmarkEnd w:id="168"/>
      <w:r>
        <w:rPr/>
        <w:t>2.3.4</w:t>
      </w:r>
      <w:r>
        <w:rPr>
          <w:rtl w:val="true"/>
        </w:rPr>
        <w:t>.</w:t>
      </w:r>
      <w:r>
        <w:rPr>
          <w:rtl w:val="true"/>
        </w:rPr>
        <w:t>گردآوران صدقات و مالیات؛</w:t>
      </w:r>
      <w:bookmarkEnd w:id="169"/>
    </w:p>
    <w:p>
      <w:pPr>
        <w:pStyle w:val="BookText"/>
        <w:rPr/>
      </w:pPr>
      <w:r>
        <w:rPr>
          <w:rFonts w:ascii="IRNazanin" w:hAnsi="IRNazanin" w:eastAsia="IRNazanin"/>
          <w:color w:val="111111"/>
          <w:sz w:val="28"/>
          <w:sz w:val="28"/>
          <w:szCs w:val="28"/>
          <w:rtl w:val="true"/>
          <w:lang w:bidi="fa-IR"/>
        </w:rPr>
        <w:t xml:space="preserve">در دوران حکومت 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مدیریت نظاممند منابع مالی از اهمیت ویژه‌ای برخوردار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گسترش قلمرو اسلامی و افزایش درآمدهای ناشی از مالیات، خراج و صدقات، نیاز به ساماندهی دقیق بیت‌المال بیش از پیش احساس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درک این ضرورت، کارگزاران شایسته‌ای را برای جمع‌آوری و ثبت این منابع گماردند تا شفافیت و انضباط مالی در حکومت اسلامی تداوم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کارگزاران مالی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مناطق مختلف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مخنف بن سلیم ← متصدی جمع‌آوری صدقات قبیله بکر بن وائل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مصعب بن یزید انصاری ← مسئول صدقات منطقه مداین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عبدالله بن زمعه و قرظة بن کعب ← عهده‌دار جمع‌آوری صدقات عین التمر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مسیب بن نجبه ← مسئول صدقات کوفه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عبدالله بن ابی کرب و ابولینه ← متصدیان صدقات بنی مره و عکراش</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مردی از قبیله ثقیف ← مسئول جمع‌آوری صدقات عکبرا</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انتصاب‌ها نشان می‌دهد که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ایجاد شبکه‌ای منسجم از نمایندگان مالی، نه تنها به دنبال تأمین منابع مالی حکومت بودند، بلکه بر </w:t>
      </w:r>
      <w:bookmarkStart w:id="170" w:name="pg18832_210913"/>
    </w:p>
    <w:p>
      <w:pPr>
        <w:pStyle w:val="BookText"/>
        <w:rPr/>
      </w:pPr>
      <w:bookmarkEnd w:id="170"/>
      <w:r>
        <w:rPr>
          <w:rFonts w:ascii="IRNazanin" w:hAnsi="IRNazanin" w:eastAsia="IRNazanin"/>
          <w:color w:val="111111"/>
          <w:sz w:val="28"/>
          <w:sz w:val="28"/>
          <w:szCs w:val="28"/>
          <w:rtl w:val="true"/>
          <w:lang w:bidi="fa-IR"/>
        </w:rPr>
        <w:t>نظارت دقیق بر ورود و خروج اموال عمومی و جلوگیری از فساد مالی تأکید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رویکرد، تجلی عینی عدالت مالی و مسئولیت‌پذیری در حکومت‌داری علوی بود</w:t>
      </w:r>
      <w:r>
        <w:rPr>
          <w:rFonts w:eastAsia="IRNazanin" w:cs="IRNazanin"/>
          <w:color w:val="111111"/>
          <w:sz w:val="28"/>
          <w:szCs w:val="28"/>
          <w:rtl w:val="true"/>
          <w:lang w:bidi="fa-IR"/>
        </w:rPr>
        <w:t>.</w:t>
      </w:r>
    </w:p>
    <w:p>
      <w:pPr>
        <w:pStyle w:val="Heading5"/>
        <w:numPr>
          <w:ilvl w:val="4"/>
          <w:numId w:val="1"/>
        </w:numPr>
        <w:rPr/>
      </w:pPr>
      <w:bookmarkStart w:id="171" w:name="__RefHeading___Toc14292450_1280447820"/>
      <w:bookmarkStart w:id="172" w:name="_Toc64"/>
      <w:bookmarkEnd w:id="171"/>
      <w:r>
        <w:rPr/>
        <w:t>2.3.5</w:t>
      </w:r>
      <w:r>
        <w:rPr>
          <w:rtl w:val="true"/>
        </w:rPr>
        <w:t xml:space="preserve">. </w:t>
      </w:r>
      <w:r>
        <w:rPr>
          <w:rtl w:val="true"/>
        </w:rPr>
        <w:t>حاجبان و دربانان؛</w:t>
      </w:r>
      <w:bookmarkEnd w:id="172"/>
    </w:p>
    <w:p>
      <w:pPr>
        <w:pStyle w:val="BookText"/>
        <w:rPr/>
      </w:pPr>
      <w:r>
        <w:rPr>
          <w:rFonts w:ascii="IRNazanin" w:hAnsi="IRNazanin" w:eastAsia="IRNazanin"/>
          <w:color w:val="111111"/>
          <w:sz w:val="28"/>
          <w:sz w:val="28"/>
          <w:szCs w:val="28"/>
          <w:rtl w:val="true"/>
          <w:lang w:bidi="fa-IR"/>
        </w:rPr>
        <w:t xml:space="preserve">بر اساس سیرۀ حکومتی 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نقش حاجب و دربان نه به عنوان مانعی برای دور نگه‌داشتن حاکم از مردم، بلکه به عنوان تنظیم‌کننده و تسهیل‌گر ارتباط تعریف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در عهدنامۀ مالک اشتر با صراحت بر پرهیز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احتجاب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خود را از مردم پنهان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تأکید می‌فرمایند و آن را نشانۀ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ضعف در مدیریت و بی‌خبری از امور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می‌دانند</w:t>
      </w:r>
      <w:r>
        <w:rPr>
          <w:rFonts w:eastAsia="IRNazanin" w:cs="IRNazanin"/>
          <w:color w:val="111111"/>
          <w:sz w:val="28"/>
          <w:szCs w:val="28"/>
          <w:rtl w:val="true"/>
          <w:lang w:bidi="fa-IR"/>
        </w:rPr>
        <w:t>.</w:t>
      </w:r>
      <w:r>
        <w:rPr>
          <w:rStyle w:val="FootnoteAnchor"/>
          <w:rtl w:val="true"/>
        </w:rPr>
        <w:footnoteReference w:id="113"/>
      </w:r>
    </w:p>
    <w:p>
      <w:pPr>
        <w:pStyle w:val="BookText"/>
        <w:rPr/>
      </w:pPr>
      <w:r>
        <w:rPr>
          <w:rFonts w:ascii="Amiri" w:hAnsi="Amiri" w:eastAsia="Amiri" w:cs="Amiri"/>
          <w:color w:val="111111"/>
          <w:sz w:val="28"/>
          <w:sz w:val="28"/>
          <w:szCs w:val="28"/>
          <w:rtl w:val="true"/>
          <w:lang w:bidi="ar-SA"/>
        </w:rPr>
        <w:t xml:space="preserve">، نامة </w:t>
      </w:r>
      <w:r>
        <w:rPr>
          <w:rFonts w:eastAsia="Amiri" w:cs="Amiri" w:ascii="Amiri" w:hAnsi="Amiri"/>
          <w:color w:val="111111"/>
          <w:sz w:val="28"/>
          <w:szCs w:val="28"/>
          <w:lang w:bidi="ar-SA"/>
        </w:rPr>
        <w:t>53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1024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ویژگی‌های نظام ارتباطی در حکومت علوی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دسترسی مستقیم مردم به حاکم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تعیین زمان‌های مشخص برای ملاقات عمومی زمینۀ گفت‌وگوی بی‌واسطه و بدون ترس را فراهم می‌کردند</w:t>
      </w:r>
      <w:r>
        <w:rPr>
          <w:rFonts w:eastAsia="IRNazanin" w:cs="IRNazanin"/>
          <w:color w:val="111111"/>
          <w:sz w:val="28"/>
          <w:szCs w:val="28"/>
          <w:rtl w:val="true"/>
          <w:lang w:bidi="fa-IR"/>
        </w:rPr>
        <w:t>.</w:t>
      </w:r>
      <w:r>
        <w:rPr>
          <w:rStyle w:val="FootnoteAnchor"/>
          <w:rtl w:val="true"/>
        </w:rPr>
        <w:footnoteReference w:id="114"/>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کارکرد حاجبان به عنوان ناظران بر نظم ملاقات‌ها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حاجبانی مانند قنبر و میثم تمار، نه برای ممانعت از مراجعان، بلکه برای ساماندهی نوبت‌دهی و حفظ حریم ضروری گمارده می‌شدند</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در حکومت علوی، حاجب و دربان، ابزاری برای خدمت‌رسانی بهتر بود، نه انحصارگرایی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نهایی، ایجاد توازن بین حفظ حریم مدیریتی و دسترسی عادلانۀ مردم به حاکم بود تا عدالت نه تنها در قانون، بلکه در اجرای روابط حکومت و ملت نیز متجلی شود</w:t>
      </w:r>
      <w:r>
        <w:rPr>
          <w:rFonts w:eastAsia="IRNazanin" w:cs="IRNazanin"/>
          <w:color w:val="111111"/>
          <w:sz w:val="28"/>
          <w:szCs w:val="28"/>
          <w:rtl w:val="true"/>
          <w:lang w:bidi="fa-IR"/>
        </w:rPr>
        <w:t xml:space="preserve">. </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73" w:name="pg18832_210916"/>
      <w:bookmarkStart w:id="174" w:name="pg18832_210916"/>
      <w:bookmarkEnd w:id="174"/>
    </w:p>
    <w:p>
      <w:pPr>
        <w:pStyle w:val="Heading2"/>
        <w:numPr>
          <w:ilvl w:val="1"/>
          <w:numId w:val="1"/>
        </w:numPr>
        <w:rPr/>
      </w:pPr>
      <w:bookmarkStart w:id="175" w:name="pg18832_210916"/>
      <w:bookmarkStart w:id="176" w:name="__RefHeading___Toc14292452_1280447820"/>
      <w:bookmarkStart w:id="177" w:name="_Toc65"/>
      <w:bookmarkEnd w:id="175"/>
      <w:bookmarkEnd w:id="176"/>
      <w:r>
        <w:rPr>
          <w:rtl w:val="true"/>
        </w:rPr>
        <w:t>فصل سوم</w:t>
      </w:r>
      <w:r>
        <w:rPr>
          <w:rtl w:val="true"/>
        </w:rPr>
        <w:t xml:space="preserve">: </w:t>
      </w:r>
      <w:r>
        <w:rPr>
          <w:rtl w:val="true"/>
        </w:rPr>
        <w:t>تطبیق سیره علوی بر سیره نبوی در امور نظامی</w:t>
      </w:r>
      <w:bookmarkEnd w:id="177"/>
    </w:p>
    <w:p>
      <w:pPr>
        <w:pStyle w:val="Heading3"/>
        <w:numPr>
          <w:ilvl w:val="2"/>
          <w:numId w:val="1"/>
        </w:numPr>
        <w:rPr/>
      </w:pPr>
      <w:bookmarkStart w:id="178" w:name="__RefHeading___Toc14292454_1280447820"/>
      <w:bookmarkStart w:id="179" w:name="_Toc66"/>
      <w:bookmarkEnd w:id="178"/>
      <w:r>
        <w:rPr>
          <w:rtl w:val="true"/>
        </w:rPr>
        <w:t>اشاره</w:t>
      </w:r>
      <w:bookmarkEnd w:id="179"/>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تطبیق سیره در امور نظامی </w:t>
      </w:r>
      <w:bookmarkStart w:id="180" w:name="pg18832_210917"/>
    </w:p>
    <w:p>
      <w:pPr>
        <w:pStyle w:val="Heading3"/>
        <w:numPr>
          <w:ilvl w:val="2"/>
          <w:numId w:val="1"/>
        </w:numPr>
        <w:rPr/>
      </w:pPr>
      <w:bookmarkStart w:id="181" w:name="__RefHeading___Toc14292456_1280447820"/>
      <w:bookmarkStart w:id="182" w:name="_Toc67"/>
      <w:bookmarkEnd w:id="180"/>
      <w:bookmarkEnd w:id="181"/>
      <w:r>
        <w:rPr/>
        <w:t>3.1</w:t>
      </w:r>
      <w:r>
        <w:rPr>
          <w:rtl w:val="true"/>
        </w:rPr>
        <w:t xml:space="preserve">. </w:t>
      </w:r>
      <w:r>
        <w:rPr>
          <w:rtl w:val="true"/>
        </w:rPr>
        <w:t>آداب فتوحات</w:t>
      </w:r>
      <w:bookmarkEnd w:id="182"/>
    </w:p>
    <w:p>
      <w:pPr>
        <w:pStyle w:val="Heading4"/>
        <w:numPr>
          <w:ilvl w:val="3"/>
          <w:numId w:val="1"/>
        </w:numPr>
        <w:rPr/>
      </w:pPr>
      <w:bookmarkStart w:id="183" w:name="__RefHeading___Toc14292458_1280447820"/>
      <w:bookmarkStart w:id="184" w:name="_Toc68"/>
      <w:bookmarkEnd w:id="183"/>
      <w:r>
        <w:rPr>
          <w:rtl w:val="true"/>
        </w:rPr>
        <w:t>اشاره</w:t>
      </w:r>
      <w:bookmarkEnd w:id="184"/>
    </w:p>
    <w:p>
      <w:pPr>
        <w:pStyle w:val="BookText"/>
        <w:rPr/>
      </w:pPr>
      <w:r>
        <w:rPr>
          <w:rFonts w:ascii="IRNazanin" w:hAnsi="IRNazanin" w:eastAsia="IRNazanin"/>
          <w:color w:val="111111"/>
          <w:sz w:val="28"/>
          <w:sz w:val="28"/>
          <w:szCs w:val="28"/>
          <w:rtl w:val="true"/>
          <w:lang w:bidi="fa-IR"/>
        </w:rPr>
        <w:t xml:space="preserve">سیرۀ نظامی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پایۀ هدایت، رحمت و اخلاق استوار بود و هرگز هدف اصلی، جنگ‌آوری یا کشورگشایی به معنای متعارف آن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برخلاف دیدگاه برخی مستشرقان که با تحریف تاریخ، چهره‌ای خشن 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ترسیم می‌کنند، اسناد تاریخی و روایی گواه آن است که ایشان همواره اصول انسانی و الهی را حتی در سخت‌ترین شرایط نبرد رعایت می‌فرمودند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p>
    <w:p>
      <w:pPr>
        <w:pStyle w:val="BookText"/>
        <w:rPr/>
      </w:pPr>
      <w:r>
        <w:rPr>
          <w:rFonts w:ascii="IRNazanin" w:hAnsi="IRNazanin" w:eastAsia="IRNazanin"/>
          <w:color w:val="111111"/>
          <w:sz w:val="28"/>
          <w:sz w:val="28"/>
          <w:szCs w:val="28"/>
          <w:rtl w:val="true"/>
          <w:lang w:bidi="fa-IR"/>
        </w:rPr>
        <w:t>ادامه به مهم‌ترین اصول انسانی در سیرۀ نظامی نبوی و تطبیق با سیره علوی اشاره می کنیم</w:t>
      </w:r>
      <w:r>
        <w:rPr>
          <w:rFonts w:eastAsia="IRNazanin" w:cs="IRNazanin"/>
          <w:color w:val="111111"/>
          <w:sz w:val="28"/>
          <w:szCs w:val="28"/>
          <w:rtl w:val="true"/>
          <w:lang w:bidi="fa-IR"/>
        </w:rPr>
        <w:t>.</w:t>
      </w:r>
    </w:p>
    <w:p>
      <w:pPr>
        <w:pStyle w:val="Heading4"/>
        <w:numPr>
          <w:ilvl w:val="3"/>
          <w:numId w:val="1"/>
        </w:numPr>
        <w:rPr/>
      </w:pPr>
      <w:bookmarkStart w:id="185" w:name="__RefHeading___Toc14292460_1280447820"/>
      <w:bookmarkStart w:id="186" w:name="_Toc69"/>
      <w:bookmarkEnd w:id="185"/>
      <w:r>
        <w:rPr/>
        <w:t>3.1.1</w:t>
      </w:r>
      <w:r>
        <w:rPr>
          <w:rtl w:val="true"/>
        </w:rPr>
        <w:t xml:space="preserve">. </w:t>
      </w:r>
      <w:r>
        <w:rPr>
          <w:rtl w:val="true"/>
        </w:rPr>
        <w:t>اتمام</w:t>
      </w:r>
      <w:bookmarkEnd w:id="186"/>
    </w:p>
    <w:p>
      <w:pPr>
        <w:pStyle w:val="Heading5"/>
        <w:numPr>
          <w:ilvl w:val="4"/>
          <w:numId w:val="1"/>
        </w:numPr>
        <w:rPr/>
      </w:pPr>
      <w:bookmarkStart w:id="187" w:name="__RefHeading___Toc14292462_1280447820"/>
      <w:bookmarkStart w:id="188" w:name="_Toc70"/>
      <w:bookmarkEnd w:id="187"/>
      <w:r>
        <w:rPr>
          <w:rtl w:val="true"/>
        </w:rPr>
        <w:t>اشاره</w:t>
      </w:r>
      <w:bookmarkEnd w:id="188"/>
    </w:p>
    <w:p>
      <w:pPr>
        <w:pStyle w:val="BookText"/>
        <w:rPr/>
      </w:pPr>
      <w:r>
        <w:rPr>
          <w:rFonts w:ascii="IRNazanin" w:hAnsi="IRNazanin" w:eastAsia="IRNazanin"/>
          <w:color w:val="111111"/>
          <w:sz w:val="28"/>
          <w:sz w:val="28"/>
          <w:szCs w:val="28"/>
          <w:rtl w:val="true"/>
          <w:lang w:bidi="fa-IR"/>
        </w:rPr>
        <w:t xml:space="preserve">حجت در سیره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بیشک آنچه از آیات و روایات در باب جنگ‌ها و فتوحات اسلامی برداشت می‌شود، نشان می‌دهد که هدف نهایی، هدایت انسان‌هاست، نه جنگ‌جویی یا جمع‌آوری غنایم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قرآن کریم خطاب به پیامبرش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أَرْسَلْناکَ إِلّا رَحْمَةً لِلْعالَمِینَ</w:t>
      </w:r>
      <w:r>
        <w:rPr>
          <w:rStyle w:val="FootnoteAnchor"/>
          <w:rtl w:val="true"/>
        </w:rPr>
        <w:footnoteReference w:id="115"/>
      </w:r>
      <w:r>
        <w:rPr>
          <w:rFonts w:ascii="IRNazanin" w:hAnsi="IRNazanin" w:eastAsia="IRNazanin"/>
          <w:color w:val="111111"/>
          <w:sz w:val="28"/>
          <w:sz w:val="28"/>
          <w:szCs w:val="28"/>
          <w:rtl w:val="true"/>
          <w:lang w:bidi="fa-IR"/>
        </w:rPr>
        <w:t>و تو را جز رحمتی برای جهانیان نفرستادیم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آیه، محور اصلی تمام اقدامات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در میدان نبرد را مشخص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سیرۀ نبوی و علوی در اتمام حجت پیش از جنگ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دعوت به اسلام پیش از درگیری</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هیچ‌کس جنگ مکن، مگر آنکه او را به اسلام دعوت کرده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 به دست تو حتی یک نفر را هدایت کند، برای تو از تمام دنیا و آنچه زیر خورشید است، بهتر است</w:t>
      </w:r>
      <w:r>
        <w:rPr>
          <w:rFonts w:eastAsia="IRNazanin" w:cs="IRNazanin"/>
          <w:color w:val="111111"/>
          <w:sz w:val="28"/>
          <w:szCs w:val="28"/>
          <w:rtl w:val="true"/>
          <w:lang w:bidi="fa-IR"/>
        </w:rPr>
        <w:t>.</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سخن، نشان می‌دهد که ارزش هدایت یک انسان، از همۀ دارایی‌های دنیوی بالاتر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تأکید بر دفاع مشروط</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حتی در جنگ‌های دفاعی مانند خیبر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یارانش دستور دادند پیش از آغاز درگیری، دشمن را به اسلام دعوت کنند و حقوق الهی را به آنان یادآور شوند</w:t>
      </w:r>
      <w:r>
        <w:rPr>
          <w:rStyle w:val="FootnoteAnchor"/>
          <w:rtl w:val="true"/>
        </w:rPr>
        <w:footnoteReference w:id="117"/>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آرامی به سوی دشمن رهسپار شود تا به عرصه‌گاه آنان فردو آیی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آنان را به اسلام دعوت كن و از حق واجبی كه خداوند بر آنها دارد، آگاهشان ساز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اگر خداوند به وسیلة تو تنها یك مرد از آنان را هدایت كند، برای تو بهتر از آن است كه شتران سرخ موی داشته باشی</w:t>
      </w:r>
      <w:r>
        <w:rPr>
          <w:rFonts w:eastAsia="IRNazanin" w:cs="IRNazanin"/>
          <w:color w:val="111111"/>
          <w:sz w:val="28"/>
          <w:szCs w:val="28"/>
          <w:rtl w:val="true"/>
          <w:lang w:bidi="fa-IR"/>
        </w:rPr>
        <w:t xml:space="preserve">.» </w:t>
      </w:r>
      <w:bookmarkStart w:id="189" w:name="pg18832_210919"/>
    </w:p>
    <w:p>
      <w:pPr>
        <w:pStyle w:val="Heading5"/>
        <w:numPr>
          <w:ilvl w:val="4"/>
          <w:numId w:val="1"/>
        </w:numPr>
        <w:rPr/>
      </w:pPr>
      <w:bookmarkStart w:id="190" w:name="__RefHeading___Toc14292464_1280447820"/>
      <w:bookmarkStart w:id="191" w:name="_Toc71"/>
      <w:bookmarkEnd w:id="189"/>
      <w:bookmarkEnd w:id="190"/>
      <w:r>
        <w:rPr>
          <w:rtl w:val="true"/>
        </w:rPr>
        <w:t xml:space="preserve">اتمام حجت در سیرۀ امیرالمؤمنین علی </w:t>
      </w:r>
      <w:r>
        <w:rPr>
          <w:rtl w:val="true"/>
        </w:rPr>
        <w:t>(</w:t>
      </w:r>
      <w:r>
        <w:rPr>
          <w:rtl w:val="true"/>
        </w:rPr>
        <w:t>علیه السلام</w:t>
      </w:r>
      <w:r>
        <w:rPr>
          <w:rtl w:val="true"/>
        </w:rPr>
        <w:t>)</w:t>
      </w:r>
      <w:bookmarkEnd w:id="191"/>
    </w:p>
    <w:p>
      <w:pPr>
        <w:pStyle w:val="Heading6"/>
        <w:numPr>
          <w:ilvl w:val="5"/>
          <w:numId w:val="1"/>
        </w:numPr>
        <w:rPr/>
      </w:pPr>
      <w:bookmarkStart w:id="192" w:name="__RefHeading___Toc14292466_1280447820"/>
      <w:bookmarkStart w:id="193" w:name="_Toc72"/>
      <w:bookmarkEnd w:id="192"/>
      <w:r>
        <w:rPr>
          <w:rtl w:val="true"/>
        </w:rPr>
        <w:t>الف</w:t>
      </w:r>
      <w:r>
        <w:rPr>
          <w:rtl w:val="true"/>
        </w:rPr>
        <w:t xml:space="preserve">) </w:t>
      </w:r>
      <w:r>
        <w:rPr>
          <w:rtl w:val="true"/>
        </w:rPr>
        <w:t>جنگ جمل</w:t>
      </w:r>
      <w:r>
        <w:rPr>
          <w:rtl w:val="true"/>
        </w:rPr>
        <w:t>:</w:t>
      </w:r>
      <w:bookmarkEnd w:id="193"/>
    </w:p>
    <w:p>
      <w:pPr>
        <w:pStyle w:val="BookText"/>
        <w:rPr/>
      </w:pPr>
      <w:r>
        <w:rPr>
          <w:rFonts w:ascii="IRNazanin" w:hAnsi="IRNazanin" w:eastAsia="IRNazanin"/>
          <w:color w:val="111111"/>
          <w:sz w:val="28"/>
          <w:sz w:val="28"/>
          <w:szCs w:val="28"/>
          <w:rtl w:val="true"/>
          <w:lang w:bidi="fa-IR"/>
        </w:rPr>
        <w:t xml:space="preserve">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برخورد با پیمان‌شکنان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ناکثین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سنت نبوی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دعوت پیش از 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دقتی بی‌نظیر به اجرا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با به کارگیری همۀ ابزارهای ممکن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نامه‌نگاری و اعزام نماینده تا گفت‌وگوی چهره به چهره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کوشید تا از بروز جنگ داخلی جلوگیری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مراحل اتمام حجت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قرار ذیل می‌باشد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مرحلۀ کتبی و پیام‌رسانی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ارسال نامه‌های متعدد به سران ناکثین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طلحه، زبیر، عایشه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معتمد مانند صعصعة بن صوحان و عمران بن حصین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یادآوری جنایت‌های آنان در بصره و دعوت به بازگشت به بیعت نمود</w:t>
      </w:r>
      <w:r>
        <w:rPr>
          <w:rFonts w:eastAsia="IRNazanin" w:cs="IRNazanin"/>
          <w:color w:val="111111"/>
          <w:sz w:val="28"/>
          <w:szCs w:val="28"/>
          <w:rtl w:val="true"/>
          <w:lang w:bidi="fa-IR"/>
        </w:rPr>
        <w:t>.</w:t>
      </w:r>
      <w:r>
        <w:rPr>
          <w:rStyle w:val="FootnoteAnchor"/>
          <w:rtl w:val="true"/>
        </w:rPr>
        <w:footnoteReference w:id="118"/>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مرحلۀ گفت‌وگو و میثاق‌سازی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اعزام چهره‌های سرشناس و میانه‌رو مانند ابن عباس</w:t>
      </w:r>
      <w:r>
        <w:rPr>
          <w:rStyle w:val="FootnoteAnchor"/>
          <w:rtl w:val="true"/>
        </w:rPr>
        <w:footnoteReference w:id="119"/>
      </w:r>
      <w:r>
        <w:rPr>
          <w:rFonts w:ascii="IRNazanin" w:hAnsi="IRNazanin" w:eastAsia="IRNazanin"/>
          <w:color w:val="111111"/>
          <w:sz w:val="28"/>
          <w:sz w:val="28"/>
          <w:szCs w:val="28"/>
          <w:rtl w:val="true"/>
          <w:lang w:bidi="fa-IR"/>
        </w:rPr>
        <w:t>، قعقاع بن عمرو</w:t>
      </w:r>
      <w:r>
        <w:rPr>
          <w:rStyle w:val="FootnoteAnchor"/>
          <w:rtl w:val="true"/>
        </w:rPr>
        <w:footnoteReference w:id="120"/>
      </w:r>
      <w:r>
        <w:rPr>
          <w:rFonts w:ascii="IRNazanin" w:hAnsi="IRNazanin" w:eastAsia="IRNazanin"/>
          <w:color w:val="111111"/>
          <w:sz w:val="28"/>
          <w:sz w:val="28"/>
          <w:szCs w:val="28"/>
          <w:rtl w:val="true"/>
          <w:lang w:bidi="fa-IR"/>
        </w:rPr>
        <w:t xml:space="preserve">و زید بن صوحان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حتی با فرستادن نماینده‌ای ویژه نزد زبیر که نرمش بیشتری نشان می‌داد تلاش کرد او را جداگانه به مسیر حق بازگرداند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مرحلۀ رویارویی مستقیم و یادآوری خاطرات مشترک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ملاقات شخصی امام با زبیر در میان دو سپاه و یادآوری پیش‌بینی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مبنی بر جنگیدن زبیر با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ظالم</w:t>
      </w:r>
    </w:p>
    <w:p>
      <w:pPr>
        <w:pStyle w:val="BookText"/>
        <w:rPr/>
      </w:pPr>
      <w:r>
        <w:rPr>
          <w:rFonts w:ascii="IRNazanin" w:hAnsi="IRNazanin" w:eastAsia="IRNazanin"/>
          <w:color w:val="111111"/>
          <w:sz w:val="28"/>
          <w:sz w:val="28"/>
          <w:szCs w:val="28"/>
          <w:rtl w:val="true"/>
          <w:lang w:bidi="fa-IR"/>
        </w:rPr>
        <w:t>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گفت‌وگو چنان اثرگذار بود که زبیر از جنگ کناره گرفت</w:t>
      </w:r>
      <w:r>
        <w:rPr>
          <w:rFonts w:eastAsia="IRNazanin" w:cs="IRNazanin"/>
          <w:color w:val="111111"/>
          <w:sz w:val="28"/>
          <w:szCs w:val="28"/>
          <w:rtl w:val="true"/>
          <w:lang w:bidi="fa-IR"/>
        </w:rPr>
        <w:t>.</w:t>
      </w:r>
      <w:r>
        <w:rPr>
          <w:rStyle w:val="FootnoteAnchor"/>
          <w:rtl w:val="true"/>
        </w:rPr>
        <w:footnoteReference w:id="121"/>
      </w:r>
    </w:p>
    <w:p>
      <w:pPr>
        <w:pStyle w:val="BookText"/>
        <w:rPr/>
      </w:pPr>
      <w:r>
        <w:rPr>
          <w:rFonts w:ascii="IRNazanin" w:hAnsi="IRNazanin" w:eastAsia="IRNazanin"/>
          <w:color w:val="111111"/>
          <w:sz w:val="28"/>
          <w:sz w:val="28"/>
          <w:szCs w:val="28"/>
          <w:rtl w:val="true"/>
          <w:lang w:bidi="fa-IR"/>
        </w:rPr>
        <w:t>الخواص،ج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223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مرحلۀ عرضۀ عمومی قرآن و شهادت طلبی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با پیشنهاد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حَملۀ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فرستادن فردی با قرآن که بدانند کشته خواهد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عالی‌ترین سطح از فداکاری برای اتمام حجت را به نمایش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جوان عبدقیسی که قرآن را با دندان گرفت، نماد اوج مقاومت حق در برابر باطن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مرحلۀ صبر در میدان جنگ و کنترل یاران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وجود آغاز تیراندازی از سوی ناکثین، امام سه روز در برابر اصرار یاران برای مقابله به مثل مقاومت کرد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پیوسته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حجت تمام نشدهاست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حتی پس از شهادت اولین یاران، امام با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شاهد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مسئولیت خونریزی را به گردن پیمان‌شکنان انداخت</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مرحلۀ صدور دستورات اخلاقی در آستانۀ نبرد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جنگ اجتناب‌ناپذیر شد، امام به یاران سفارش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فراریان تعقیب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و غیرنظامیان رانیازرند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اعضای کشتگان را قطع نکرده و حرمت اموال و خانه‌های مردم را نگاه دارند</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سیرۀ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جمل، درسی بزرگ از حکمرانی مبتنی بر مسئولیت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نشان داد که برای حاکم اسلامی، هدایت یک انسان از پیروزی در یک نبرد مهم‌تر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روش، الگویی جاودانه برای همۀ زمامداران در برخورد با بحران‌های داخلی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پیروزی در جنگ جمل، با استناد به اصول قرآنی و سیره نبوی، راه بخشش و عفو عمومی را در پیش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ایشان دستور داد تمام کسانی که در سپاه ناکثین حضور داشتند بخشیده شوند و آزادانه به زندگی خود بازگردند</w:t>
      </w:r>
      <w:r>
        <w:rPr>
          <w:rFonts w:eastAsia="IRNazanin" w:cs="IRNazanin"/>
          <w:color w:val="111111"/>
          <w:sz w:val="28"/>
          <w:szCs w:val="28"/>
          <w:rtl w:val="true"/>
          <w:lang w:bidi="fa-IR"/>
        </w:rPr>
        <w:t>.</w:t>
      </w:r>
      <w:r>
        <w:rPr>
          <w:rStyle w:val="FootnoteAnchor"/>
          <w:rtl w:val="true"/>
        </w:rPr>
        <w:footnoteReference w:id="123"/>
      </w:r>
      <w:r>
        <w:rPr>
          <w:rFonts w:ascii="IRNazanin" w:hAnsi="IRNazanin" w:eastAsia="IRNazanin"/>
          <w:color w:val="111111"/>
          <w:sz w:val="28"/>
          <w:sz w:val="28"/>
          <w:szCs w:val="28"/>
          <w:rtl w:val="true"/>
          <w:lang w:bidi="fa-IR"/>
        </w:rPr>
        <w:t>و آنها را آزاد گذاشت كه كشته های خود را به خاك بسپارند</w:t>
      </w:r>
      <w:r>
        <w:rPr>
          <w:rFonts w:eastAsia="IRNazanin" w:cs="IRNazanin"/>
          <w:color w:val="111111"/>
          <w:sz w:val="28"/>
          <w:szCs w:val="28"/>
          <w:rtl w:val="true"/>
          <w:lang w:bidi="fa-IR"/>
        </w:rPr>
        <w:t>.</w:t>
      </w:r>
      <w:r>
        <w:rPr>
          <w:rStyle w:val="FootnoteAnchor"/>
          <w:rtl w:val="true"/>
        </w:rPr>
        <w:footnoteReference w:id="124"/>
      </w:r>
    </w:p>
    <w:p>
      <w:pPr>
        <w:pStyle w:val="BookText"/>
        <w:rPr/>
      </w:pPr>
      <w:r>
        <w:rPr>
          <w:rFonts w:ascii="IRNazanin" w:hAnsi="IRNazanin" w:eastAsia="IRNazanin"/>
          <w:color w:val="111111"/>
          <w:sz w:val="28"/>
          <w:sz w:val="28"/>
          <w:szCs w:val="28"/>
          <w:rtl w:val="true"/>
          <w:lang w:bidi="fa-IR"/>
        </w:rPr>
        <w:t xml:space="preserve">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صراحت با درخواست برخی اصحاب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خواستار اسیر گرفتن زنان و تملک اموال دشمن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مخالفت کرد و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اگرچه گناهکارند، اما مسلمانند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اموال و جان‌هایشان همچنان محترم است</w:t>
      </w:r>
      <w:r>
        <w:rPr>
          <w:rFonts w:eastAsia="IRNazanin" w:cs="IRNazanin"/>
          <w:color w:val="111111"/>
          <w:sz w:val="28"/>
          <w:szCs w:val="28"/>
          <w:rtl w:val="true"/>
          <w:lang w:bidi="fa-IR"/>
        </w:rPr>
        <w:t>.</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رفتار کریمانۀ امام چنان تأثیری داشت که حتی مروان بن 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دشمنان سختگیر امام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همراه دیگران نزد امام آمد و گفت</w:t>
      </w:r>
      <w:r>
        <w:rPr>
          <w:rFonts w:eastAsia="IRNazanin" w:cs="IRNazanin"/>
          <w:color w:val="111111"/>
          <w:sz w:val="28"/>
          <w:szCs w:val="28"/>
          <w:rtl w:val="true"/>
          <w:lang w:bidi="fa-IR"/>
        </w:rPr>
        <w:t xml:space="preserve">: </w:t>
      </w:r>
      <w:bookmarkStart w:id="194" w:name="pg18832_210922"/>
    </w:p>
    <w:p>
      <w:pPr>
        <w:pStyle w:val="BookText"/>
        <w:rPr/>
      </w:pPr>
      <w:bookmarkEnd w:id="19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بر علی ستم کردیم، ولی او پس از پیروزی، بزرگوارتر و بخشنده‌تر از همگان بود</w:t>
      </w:r>
      <w:r>
        <w:rPr>
          <w:rFonts w:eastAsia="IRNazanin" w:cs="IRNazanin"/>
          <w:color w:val="111111"/>
          <w:sz w:val="28"/>
          <w:szCs w:val="28"/>
          <w:rtl w:val="true"/>
          <w:lang w:bidi="fa-IR"/>
        </w:rPr>
        <w:t>.</w:t>
      </w:r>
      <w:r>
        <w:rPr>
          <w:rStyle w:val="FootnoteAnchor"/>
          <w:rtl w:val="true"/>
        </w:rPr>
        <w:footnoteReference w:id="126"/>
      </w:r>
    </w:p>
    <w:p>
      <w:pPr>
        <w:pStyle w:val="Heading6"/>
        <w:numPr>
          <w:ilvl w:val="5"/>
          <w:numId w:val="1"/>
        </w:numPr>
        <w:rPr/>
      </w:pPr>
      <w:bookmarkStart w:id="195" w:name="__RefHeading___Toc14292468_1280447820"/>
      <w:bookmarkStart w:id="196" w:name="_Toc73"/>
      <w:bookmarkEnd w:id="195"/>
      <w:r>
        <w:rPr>
          <w:rtl w:val="true"/>
        </w:rPr>
        <w:t>ب</w:t>
      </w:r>
      <w:r>
        <w:rPr>
          <w:rtl w:val="true"/>
        </w:rPr>
        <w:t xml:space="preserve">) </w:t>
      </w:r>
      <w:r>
        <w:rPr>
          <w:rtl w:val="true"/>
        </w:rPr>
        <w:t>جنگ نهروان</w:t>
      </w:r>
      <w:r>
        <w:rPr>
          <w:rtl w:val="true"/>
        </w:rPr>
        <w:t>.</w:t>
      </w:r>
      <w:bookmarkEnd w:id="196"/>
    </w:p>
    <w:p>
      <w:pPr>
        <w:pStyle w:val="BookText"/>
        <w:rPr/>
      </w:pPr>
      <w:r>
        <w:rPr>
          <w:rFonts w:ascii="IRNazanin" w:hAnsi="IRNazanin" w:eastAsia="IRNazanin"/>
          <w:color w:val="111111"/>
          <w:sz w:val="28"/>
          <w:sz w:val="28"/>
          <w:szCs w:val="28"/>
          <w:rtl w:val="true"/>
          <w:lang w:bidi="fa-IR"/>
        </w:rPr>
        <w:t xml:space="preserve">در تحلیل سیرۀ نظامی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جنگ نهروان، بار دیگر شاهد تبلور همان اصل نبوی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اتمام حجت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اولویت هدایت بر جنگ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مواجهۀ امام با خوارج، نمونه‌ای کامل از یک فرآیند منطقی و اخلاقی در مدیریت بحران است که می‌توان آن را در مراحل زیر خلاصه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فرآیند اتمام حجت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خوارج در نهروان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دعوت اولیه به اتحاد و چشم‌پوشی از خطاها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حتی پس از شورش فکری خوارج و اعلام بی‌لیاقتی ابوموسی اشعری برای رهبری، اولین اقدامش دعوت از آنان برای پیوستن به سپاهش جهت مقابله با معاویه بود</w:t>
      </w:r>
      <w:r>
        <w:rPr>
          <w:rFonts w:eastAsia="IRNazanin" w:cs="IRNazanin"/>
          <w:color w:val="111111"/>
          <w:sz w:val="28"/>
          <w:szCs w:val="28"/>
          <w:rtl w:val="true"/>
          <w:lang w:bidi="fa-IR"/>
        </w:rPr>
        <w:t>.</w:t>
      </w:r>
      <w:r>
        <w:rPr>
          <w:rStyle w:val="FootnoteAnchor"/>
          <w:rtl w:val="true"/>
        </w:rPr>
        <w:footnoteReference w:id="127"/>
      </w:r>
    </w:p>
    <w:p>
      <w:pPr>
        <w:pStyle w:val="BookText"/>
        <w:rPr/>
      </w:pPr>
      <w:r>
        <w:rPr>
          <w:rFonts w:ascii="IRNazanin" w:hAnsi="IRNazanin" w:eastAsia="IRNazanin"/>
          <w:color w:val="111111"/>
          <w:sz w:val="28"/>
          <w:sz w:val="28"/>
          <w:szCs w:val="28"/>
          <w:rtl w:val="true"/>
          <w:lang w:bidi="fa-IR"/>
        </w:rPr>
        <w:t>هنگامی که اصحاب پیشنهاد حمله به خوارج را دادند</w:t>
      </w:r>
      <w:r>
        <w:rPr>
          <w:rStyle w:val="FootnoteAnchor"/>
          <w:rtl w:val="true"/>
        </w:rPr>
        <w:footnoteReference w:id="128"/>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امام قاطعانه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آنان را رها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سراغ گروهی بروید که می‌خواهند مؤمنان را به بردگی بگیرند</w:t>
      </w:r>
      <w:r>
        <w:rPr>
          <w:rFonts w:eastAsia="IRNazanin" w:cs="IRNazanin"/>
          <w:color w:val="111111"/>
          <w:sz w:val="28"/>
          <w:szCs w:val="28"/>
          <w:rtl w:val="true"/>
          <w:lang w:bidi="fa-IR"/>
        </w:rPr>
        <w:t>.»</w:t>
      </w:r>
      <w:r>
        <w:rPr>
          <w:rStyle w:val="FootnoteAnchor"/>
          <w:rtl w:val="true"/>
        </w:rPr>
        <w:footnoteReference w:id="129"/>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نشان می‌دهد که در نگاه امام، خطر اصلی، استبداد معاویه بود، نه خطای فکری خوارج</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تغییر موضع به دلیل تهدید امنیت عمومی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تنها پس از قتل فجیع عبدالله بن خباب و همسر باردارش توسط خوارج که نشان از تبدیل شدن آنان به یک گروه تروریستی می‌داد امام تصمیم به مقابله گرفت</w:t>
      </w:r>
      <w:r>
        <w:rPr>
          <w:rFonts w:eastAsia="IRNazanin" w:cs="IRNazanin"/>
          <w:color w:val="111111"/>
          <w:sz w:val="28"/>
          <w:szCs w:val="28"/>
          <w:rtl w:val="true"/>
          <w:lang w:bidi="fa-IR"/>
        </w:rPr>
        <w:t xml:space="preserve">. </w:t>
      </w:r>
      <w:r>
        <w:rPr>
          <w:rStyle w:val="FootnoteAnchor"/>
          <w:rtl w:val="true"/>
        </w:rPr>
        <w:footnoteReference w:id="130"/>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کارگیری تمام ابزارهای دیپلماتیک پیش از جنگ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ارسال نامه‌های نصیحت‌آمیز و اعزام چهره‌های محبوب مانند قیس بن سعد و ابوایوب انصاری برای گفت‌وگو</w:t>
      </w:r>
      <w:r>
        <w:rPr>
          <w:rFonts w:eastAsia="IRNazanin" w:cs="IRNazanin"/>
          <w:color w:val="111111"/>
          <w:sz w:val="28"/>
          <w:szCs w:val="28"/>
          <w:rtl w:val="true"/>
          <w:lang w:bidi="fa-IR"/>
        </w:rPr>
        <w:t>.</w:t>
      </w:r>
      <w:r>
        <w:rPr>
          <w:rStyle w:val="FootnoteAnchor"/>
          <w:rtl w:val="true"/>
        </w:rPr>
        <w:footnoteReference w:id="131"/>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اعلام عفو عمومی و فرصت بازگشت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برافراشتن پرچم امان و اعلام عمومی که هر کس زیر این پرچم برود یا از میدان جدا شود، در امان است</w:t>
      </w:r>
      <w:r>
        <w:rPr>
          <w:rFonts w:eastAsia="IRNazanin" w:cs="IRNazanin"/>
          <w:color w:val="111111"/>
          <w:sz w:val="28"/>
          <w:szCs w:val="28"/>
          <w:rtl w:val="true"/>
          <w:lang w:bidi="fa-IR"/>
        </w:rPr>
        <w:t>.</w:t>
      </w:r>
      <w:r>
        <w:rPr>
          <w:rStyle w:val="FootnoteAnchor"/>
          <w:rtl w:val="true"/>
        </w:rPr>
        <w:footnoteReference w:id="132"/>
      </w:r>
      <w:r>
        <w:rPr>
          <w:rFonts w:ascii="IRNazanin" w:hAnsi="IRNazanin" w:eastAsia="IRNazanin"/>
          <w:color w:val="111111"/>
          <w:sz w:val="28"/>
          <w:sz w:val="28"/>
          <w:szCs w:val="28"/>
          <w:rtl w:val="true"/>
          <w:lang w:bidi="fa-IR"/>
        </w:rPr>
        <w:t xml:space="preserve">نتیجۀ این اقدام کریمانه، بازگشت </w:t>
      </w:r>
      <w:r>
        <w:rPr>
          <w:rFonts w:eastAsia="IRNazanin" w:cs="IRNazanin"/>
          <w:color w:val="111111"/>
          <w:sz w:val="28"/>
          <w:szCs w:val="28"/>
          <w:lang w:bidi="fa-IR"/>
        </w:rPr>
        <w:t>8000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از </w:t>
      </w:r>
      <w:r>
        <w:rPr>
          <w:rFonts w:eastAsia="IRNazanin" w:cs="IRNazanin"/>
          <w:color w:val="111111"/>
          <w:sz w:val="28"/>
          <w:szCs w:val="28"/>
          <w:lang w:bidi="fa-IR"/>
        </w:rPr>
        <w:t>12000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خوارج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بزرگ‌ترین پیروزی معنوی امام بود که نشان می‌داد قلب‌ها را می‌توان با رحمت فتح کرد</w:t>
      </w:r>
      <w:r>
        <w:rPr>
          <w:rFonts w:eastAsia="IRNazanin" w:cs="IRNazanin"/>
          <w:color w:val="111111"/>
          <w:sz w:val="28"/>
          <w:szCs w:val="28"/>
          <w:rtl w:val="true"/>
          <w:lang w:bidi="fa-IR"/>
        </w:rPr>
        <w:t>.</w:t>
      </w:r>
      <w:r>
        <w:rPr>
          <w:rStyle w:val="FootnoteAnchor"/>
          <w:rtl w:val="true"/>
        </w:rPr>
        <w:footnoteReference w:id="133"/>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پرهیز از آغاز جنگ و وصیت به مدارا پس از خود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حتی در آستانۀ نبرد دستور داد آغازگر نبرد نباشند</w:t>
      </w:r>
      <w:r>
        <w:rPr>
          <w:rFonts w:eastAsia="IRNazanin" w:cs="IRNazanin"/>
          <w:color w:val="111111"/>
          <w:sz w:val="28"/>
          <w:szCs w:val="28"/>
          <w:rtl w:val="true"/>
          <w:lang w:bidi="fa-IR"/>
        </w:rPr>
        <w:t>.</w:t>
      </w:r>
      <w:r>
        <w:rPr>
          <w:rStyle w:val="FootnoteAnchor"/>
          <w:rtl w:val="true"/>
        </w:rPr>
        <w:footnoteReference w:id="134"/>
      </w:r>
      <w:r>
        <w:rPr>
          <w:rFonts w:ascii="IRNazanin" w:hAnsi="IRNazanin" w:eastAsia="IRNazanin"/>
          <w:color w:val="111111"/>
          <w:sz w:val="28"/>
          <w:sz w:val="28"/>
          <w:szCs w:val="28"/>
          <w:rtl w:val="true"/>
          <w:lang w:bidi="fa-IR"/>
        </w:rPr>
        <w:t>ایشان در وصیت تاریخی به مسلمانان پس از خود درباره خوارج فرمودند</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من خوارج را مکشید؛ زیرا کسی که در جستجوی حق بوده و خطا کرده، مانند کسی نیست که باطل را می‌جسته و به آن رسیده است</w:t>
      </w:r>
      <w:r>
        <w:rPr>
          <w:rFonts w:eastAsia="IRNazanin" w:cs="IRNazanin"/>
          <w:color w:val="111111"/>
          <w:sz w:val="28"/>
          <w:szCs w:val="28"/>
          <w:rtl w:val="true"/>
          <w:lang w:bidi="fa-IR"/>
        </w:rPr>
        <w:t>.</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این جمله، سند جاودانۀ تمایز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خطاکار قابل اصلاح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 حق‌ستیز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فقه سیاسی شیعه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سیرۀ امام در نهروان به ما می‌آموزد که در حکومت دینی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اصل، رحمت و هدایت است و جنگ، استثنا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هرگونه برخورد قهری، منوط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اخلال جدی در نظم عمومی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اتمام حجت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حتی در سخت‌ترین شرایط، درهای بازگشت و توبه باید به روی مردم گشوده بماند</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الگو، پاسخی محکم به تحریف‌کنندگانی است که اسلام را دین خشونت می‌خوانند؛ اسلام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اسلامِ عقلانیت، اخلاق و رحمت است، حتی در میدان جنگ</w:t>
      </w:r>
      <w:r>
        <w:rPr>
          <w:rFonts w:eastAsia="IRNazanin" w:cs="IRNazanin"/>
          <w:color w:val="111111"/>
          <w:sz w:val="28"/>
          <w:szCs w:val="28"/>
          <w:rtl w:val="true"/>
          <w:lang w:bidi="fa-IR"/>
        </w:rPr>
        <w:t>.</w:t>
      </w:r>
      <w:r>
        <w:rPr>
          <w:rStyle w:val="FootnoteAnchor"/>
          <w:rtl w:val="true"/>
        </w:rPr>
        <w:footnoteReference w:id="136"/>
      </w:r>
      <w:bookmarkStart w:id="197" w:name="pg18832_210925"/>
    </w:p>
    <w:p>
      <w:pPr>
        <w:pStyle w:val="Heading4"/>
        <w:numPr>
          <w:ilvl w:val="3"/>
          <w:numId w:val="1"/>
        </w:numPr>
        <w:rPr/>
      </w:pPr>
      <w:bookmarkStart w:id="198" w:name="__RefHeading___Toc14292470_1280447820"/>
      <w:bookmarkStart w:id="199" w:name="_Toc74"/>
      <w:bookmarkEnd w:id="197"/>
      <w:bookmarkEnd w:id="198"/>
      <w:r>
        <w:rPr/>
        <w:t>3.1.2</w:t>
      </w:r>
      <w:r>
        <w:rPr>
          <w:rtl w:val="true"/>
        </w:rPr>
        <w:t>.</w:t>
      </w:r>
      <w:r>
        <w:rPr>
          <w:rtl w:val="true"/>
        </w:rPr>
        <w:t xml:space="preserve">اصول حاکم بر امور نظامی پیامبر </w:t>
      </w:r>
      <w:r>
        <w:rPr>
          <w:rtl w:val="true"/>
        </w:rPr>
        <w:t>(</w:t>
      </w:r>
      <w:r>
        <w:rPr>
          <w:rtl w:val="true"/>
        </w:rPr>
        <w:t>صلی الله علیه وآله</w:t>
      </w:r>
      <w:r>
        <w:rPr>
          <w:rtl w:val="true"/>
        </w:rPr>
        <w:t xml:space="preserve">) </w:t>
      </w:r>
      <w:r>
        <w:rPr>
          <w:rtl w:val="true"/>
        </w:rPr>
        <w:t xml:space="preserve">و امام علی </w:t>
      </w:r>
      <w:r>
        <w:rPr>
          <w:rtl w:val="true"/>
        </w:rPr>
        <w:t>(</w:t>
      </w:r>
      <w:r>
        <w:rPr>
          <w:rtl w:val="true"/>
        </w:rPr>
        <w:t>علیه السلام</w:t>
      </w:r>
      <w:r>
        <w:rPr>
          <w:rtl w:val="true"/>
        </w:rPr>
        <w:t>)</w:t>
      </w:r>
      <w:bookmarkEnd w:id="199"/>
    </w:p>
    <w:p>
      <w:pPr>
        <w:pStyle w:val="Heading5"/>
        <w:numPr>
          <w:ilvl w:val="4"/>
          <w:numId w:val="1"/>
        </w:numPr>
        <w:rPr/>
      </w:pPr>
      <w:bookmarkStart w:id="200" w:name="__RefHeading___Toc14292472_1280447820"/>
      <w:bookmarkStart w:id="201" w:name="_Toc75"/>
      <w:bookmarkEnd w:id="200"/>
      <w:r>
        <w:rPr>
          <w:rtl w:val="true"/>
        </w:rPr>
        <w:t>اشاره</w:t>
      </w:r>
      <w:bookmarkEnd w:id="201"/>
    </w:p>
    <w:p>
      <w:pPr>
        <w:pStyle w:val="BookText"/>
        <w:rPr/>
      </w:pPr>
      <w:r>
        <w:rPr>
          <w:rFonts w:ascii="IRNazanin" w:hAnsi="IRNazanin" w:eastAsia="IRNazanin"/>
          <w:color w:val="111111"/>
          <w:sz w:val="28"/>
          <w:sz w:val="28"/>
          <w:szCs w:val="28"/>
          <w:rtl w:val="true"/>
          <w:lang w:bidi="fa-IR"/>
        </w:rPr>
        <w:t xml:space="preserve">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حرکت نیروها به جنگ، در قالبهای مختلف، سپاهیان را به رعایت حقوق لشکریان دشمن سفارش میکردند</w:t>
      </w:r>
      <w:r>
        <w:rPr>
          <w:rFonts w:eastAsia="IRNazanin" w:cs="IRNazanin"/>
          <w:color w:val="111111"/>
          <w:sz w:val="28"/>
          <w:szCs w:val="28"/>
          <w:rtl w:val="true"/>
          <w:lang w:bidi="fa-IR"/>
        </w:rPr>
        <w:t>.</w:t>
      </w:r>
    </w:p>
    <w:p>
      <w:pPr>
        <w:pStyle w:val="Heading5"/>
        <w:numPr>
          <w:ilvl w:val="4"/>
          <w:numId w:val="1"/>
        </w:numPr>
        <w:rPr/>
      </w:pPr>
      <w:bookmarkStart w:id="202" w:name="__RefHeading___Toc14292474_1280447820"/>
      <w:bookmarkStart w:id="203" w:name="_Toc76"/>
      <w:bookmarkEnd w:id="202"/>
      <w:r>
        <w:rPr>
          <w:rtl w:val="true"/>
        </w:rPr>
        <w:t>الف</w:t>
      </w:r>
      <w:r>
        <w:rPr>
          <w:rtl w:val="true"/>
        </w:rPr>
        <w:t>)</w:t>
      </w:r>
      <w:r>
        <w:rPr>
          <w:rtl w:val="true"/>
        </w:rPr>
        <w:t>رعایت اصول انسانی در جنگ</w:t>
      </w:r>
      <w:bookmarkEnd w:id="203"/>
    </w:p>
    <w:p>
      <w:pPr>
        <w:pStyle w:val="BookText"/>
        <w:rPr/>
      </w:pPr>
      <w:r>
        <w:rPr>
          <w:rFonts w:ascii="IRNazanin" w:hAnsi="IRNazanin" w:eastAsia="IRNazanin"/>
          <w:color w:val="111111"/>
          <w:sz w:val="28"/>
          <w:sz w:val="28"/>
          <w:szCs w:val="28"/>
          <w:rtl w:val="true"/>
          <w:lang w:bidi="fa-IR"/>
        </w:rPr>
        <w:t>ایشان می‌فرمودند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اغزوا باسم الله و فی سبیل الله، لا تغدروا و لا تغلّوا و لا تمثّلوا ولا تقتلوا ولیداً و لا امراةً و لا كبیراً</w:t>
      </w:r>
    </w:p>
    <w:p>
      <w:pPr>
        <w:pStyle w:val="BookText"/>
        <w:rPr/>
      </w:pPr>
      <w:r>
        <w:rPr>
          <w:rFonts w:ascii="IRNazanin" w:hAnsi="IRNazanin" w:eastAsia="IRNazanin"/>
          <w:color w:val="111111"/>
          <w:sz w:val="28"/>
          <w:sz w:val="28"/>
          <w:szCs w:val="28"/>
          <w:rtl w:val="true"/>
          <w:lang w:bidi="fa-IR"/>
        </w:rPr>
        <w:t>فانیاً و لا منعزلاً بصومعة، لا تعقروا نخلاً و لا تحرقوه و لا تقطعوا شجرةً مثمرةً و لا تهدموا بناءً و لا تذبحوا شاة و لا بقرةّ و لا بعیراً إلاّ لمأكله؛به نام خدا و در راه خدا بجنگید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نیرنگ نزنید، خیانت نکنید، مثله نکنید، کودکان و زنان و سالخوردگان را نکشید، راهبان گوشهگیر را نکشید، درختان نخل و درختان میوه را قطع نکنید و نسوزانید، ساختمانها را ویران نکنید، و گوسفند و گاو و شتر را جز برای مصرف خوراکی ذبح نکنید</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04" w:name="__RefHeading___Toc14292476_1280447820"/>
      <w:bookmarkStart w:id="205" w:name="_Toc77"/>
      <w:bookmarkEnd w:id="204"/>
      <w:r>
        <w:rPr>
          <w:rtl w:val="true"/>
        </w:rPr>
        <w:t>ب</w:t>
      </w:r>
      <w:r>
        <w:rPr>
          <w:rtl w:val="true"/>
        </w:rPr>
        <w:t xml:space="preserve">) </w:t>
      </w:r>
      <w:r>
        <w:rPr>
          <w:rtl w:val="true"/>
        </w:rPr>
        <w:t xml:space="preserve">مدارای پیامبر </w:t>
      </w:r>
      <w:r>
        <w:rPr>
          <w:rtl w:val="true"/>
        </w:rPr>
        <w:t>(</w:t>
      </w:r>
      <w:r>
        <w:rPr>
          <w:rtl w:val="true"/>
        </w:rPr>
        <w:t>صلی الله علیه وآله</w:t>
      </w:r>
      <w:r>
        <w:rPr>
          <w:rtl w:val="true"/>
        </w:rPr>
        <w:t xml:space="preserve">) </w:t>
      </w:r>
      <w:r>
        <w:rPr>
          <w:rtl w:val="true"/>
        </w:rPr>
        <w:t>پس از فتح مکه</w:t>
      </w:r>
      <w:bookmarkEnd w:id="205"/>
    </w:p>
    <w:p>
      <w:pPr>
        <w:pStyle w:val="BookText"/>
        <w:rPr/>
      </w:pPr>
      <w:r>
        <w:rPr>
          <w:rFonts w:ascii="IRNazanin" w:hAnsi="IRNazanin" w:eastAsia="IRNazanin"/>
          <w:color w:val="111111"/>
          <w:sz w:val="28"/>
          <w:sz w:val="28"/>
          <w:szCs w:val="28"/>
          <w:rtl w:val="true"/>
          <w:lang w:bidi="fa-IR"/>
        </w:rPr>
        <w:t xml:space="preserve">در روز فتح مکه،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مشرکان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یجهزّن علی جریح و لا یتبعن مدبر و لایقتلنّ أسیر و من أغلق علیه بابه فهو آمن؛آگاه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مجروح حمله نبرید، فراری را تعقیب نکنید، اسیر را نکشید و هر کس در خانهاش را ببندد، در امان است</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06" w:name="__RefHeading___Toc14292478_1280447820"/>
      <w:bookmarkStart w:id="207" w:name="_Toc78"/>
      <w:bookmarkEnd w:id="206"/>
      <w:r>
        <w:rPr>
          <w:rtl w:val="true"/>
        </w:rPr>
        <w:t>ج</w:t>
      </w:r>
      <w:r>
        <w:rPr>
          <w:rtl w:val="true"/>
        </w:rPr>
        <w:t>)</w:t>
      </w:r>
      <w:r>
        <w:rPr>
          <w:rtl w:val="true"/>
        </w:rPr>
        <w:t>تأکید بر اخلاق در نبرد</w:t>
      </w:r>
      <w:bookmarkEnd w:id="207"/>
    </w:p>
    <w:p>
      <w:pPr>
        <w:pStyle w:val="BookText"/>
        <w:rPr/>
      </w:pP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اعزام سربازان به جنگ می‌فرمودند</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نیرنگ و فریب ندهید، کشته‌ها را مُثله نکنید و زنان و کودکان را نکشید</w:t>
      </w:r>
      <w:r>
        <w:rPr>
          <w:rFonts w:eastAsia="IRNazanin" w:cs="IRNazanin"/>
          <w:color w:val="111111"/>
          <w:sz w:val="28"/>
          <w:szCs w:val="28"/>
          <w:rtl w:val="true"/>
          <w:lang w:bidi="fa-IR"/>
        </w:rPr>
        <w:t>.</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 xml:space="preserve">» </w:t>
      </w:r>
      <w:bookmarkStart w:id="208" w:name="pg18832_210926"/>
    </w:p>
    <w:p>
      <w:pPr>
        <w:pStyle w:val="BookText"/>
        <w:rPr/>
      </w:pPr>
      <w:bookmarkEnd w:id="208"/>
      <w:r>
        <w:rPr>
          <w:rFonts w:ascii="IRNazanin" w:hAnsi="IRNazanin" w:eastAsia="IRNazanin"/>
          <w:color w:val="111111"/>
          <w:sz w:val="28"/>
          <w:sz w:val="28"/>
          <w:szCs w:val="28"/>
          <w:rtl w:val="true"/>
          <w:lang w:bidi="fa-IR"/>
        </w:rPr>
        <w:t>همچنین از کشتن افراد زمینگیر، نوجوانان و خدمتکاران نهی میکردند</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09" w:name="__RefHeading___Toc14292480_1280447820"/>
      <w:bookmarkStart w:id="210" w:name="_Toc79"/>
      <w:bookmarkEnd w:id="209"/>
      <w:r>
        <w:rPr>
          <w:rtl w:val="true"/>
        </w:rPr>
        <w:t>د</w:t>
      </w:r>
      <w:r>
        <w:rPr>
          <w:rtl w:val="true"/>
        </w:rPr>
        <w:t>)</w:t>
      </w:r>
      <w:r>
        <w:rPr>
          <w:rtl w:val="true"/>
        </w:rPr>
        <w:t>ممنوعیت کشتن کودکان</w:t>
      </w:r>
      <w:bookmarkEnd w:id="210"/>
    </w:p>
    <w:p>
      <w:pPr>
        <w:pStyle w:val="BookText"/>
        <w:rPr/>
      </w:pPr>
      <w:r>
        <w:rPr>
          <w:rFonts w:ascii="IRNazanin" w:hAnsi="IRNazanin" w:eastAsia="IRNazanin"/>
          <w:color w:val="111111"/>
          <w:sz w:val="28"/>
          <w:sz w:val="28"/>
          <w:szCs w:val="28"/>
          <w:rtl w:val="true"/>
          <w:lang w:bidi="fa-IR"/>
        </w:rPr>
        <w:t xml:space="preserve">هنگام اعزام نیرو به خیبر، وقتی به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رسید که در درگیریها کودکان نیز کشته شدهاند،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مایحملكم علی قتل الذریّة؟؛چه چیزی شما را به کشتن کودکان واداشت؟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سپاهیان گفتند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ألیسوا أولاد المشركین؛مگر آنها فرزندان مشرکان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أولیس خیاركم أولاد المشركین؛مگر بهترینهای شما نیز فرزندان مشرکان نبودهاند؟</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11" w:name="__RefHeading___Toc14292482_1280447820"/>
      <w:bookmarkStart w:id="212" w:name="_Toc80"/>
      <w:bookmarkEnd w:id="211"/>
      <w:r>
        <w:rPr>
          <w:rtl w:val="true"/>
        </w:rPr>
        <w:t>ه</w:t>
      </w:r>
      <w:r>
        <w:rPr>
          <w:rtl w:val="true"/>
        </w:rPr>
        <w:t xml:space="preserve">) </w:t>
      </w:r>
      <w:r>
        <w:rPr>
          <w:rtl w:val="true"/>
        </w:rPr>
        <w:t>ممنوعیت جنگ شیمیایی</w:t>
      </w:r>
      <w:bookmarkEnd w:id="212"/>
    </w:p>
    <w:p>
      <w:pPr>
        <w:pStyle w:val="BookText"/>
        <w:rPr/>
      </w:pPr>
      <w:r>
        <w:rPr>
          <w:rFonts w:ascii="IRNazanin" w:hAnsi="IRNazanin" w:eastAsia="IRNazanin"/>
          <w:color w:val="111111"/>
          <w:sz w:val="28"/>
          <w:sz w:val="28"/>
          <w:szCs w:val="28"/>
          <w:rtl w:val="true"/>
          <w:lang w:bidi="fa-IR"/>
        </w:rPr>
        <w:t xml:space="preserve">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قول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نهی رسول‌الله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یلقی السم فی بلاد المشركین؛پیامبر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ریختن سم در سرزمین مشرکان نهی کردند</w:t>
      </w:r>
      <w:r>
        <w:rPr>
          <w:rFonts w:eastAsia="IRNazanin" w:cs="IRNazanin"/>
          <w:color w:val="111111"/>
          <w:sz w:val="28"/>
          <w:szCs w:val="28"/>
          <w:rtl w:val="true"/>
          <w:lang w:bidi="fa-IR"/>
        </w:rPr>
        <w:t>.</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13" w:name="__RefHeading___Toc14292484_1280447820"/>
      <w:bookmarkStart w:id="214" w:name="_Toc81"/>
      <w:bookmarkEnd w:id="213"/>
      <w:r>
        <w:rPr>
          <w:rtl w:val="true"/>
        </w:rPr>
        <w:t>و</w:t>
      </w:r>
      <w:r>
        <w:rPr>
          <w:rtl w:val="true"/>
        </w:rPr>
        <w:t xml:space="preserve">) </w:t>
      </w:r>
      <w:r>
        <w:rPr>
          <w:rtl w:val="true"/>
        </w:rPr>
        <w:t>ممنوعیت قطع درختان</w:t>
      </w:r>
      <w:bookmarkEnd w:id="214"/>
    </w:p>
    <w:p>
      <w:pPr>
        <w:pStyle w:val="Heading6"/>
        <w:numPr>
          <w:ilvl w:val="5"/>
          <w:numId w:val="1"/>
        </w:numPr>
        <w:rPr/>
      </w:pPr>
      <w:bookmarkStart w:id="215" w:name="__RefHeading___Toc14292486_1280447820"/>
      <w:bookmarkStart w:id="216" w:name="_Toc82"/>
      <w:bookmarkEnd w:id="215"/>
      <w:r>
        <w:rPr>
          <w:rtl w:val="true"/>
        </w:rPr>
        <w:t>اشاره</w:t>
      </w:r>
      <w:bookmarkEnd w:id="216"/>
    </w:p>
    <w:p>
      <w:pPr>
        <w:pStyle w:val="BookText"/>
        <w:rPr/>
      </w:pPr>
      <w:r>
        <w:rPr>
          <w:rFonts w:ascii="IRNazanin" w:hAnsi="IRNazanin" w:eastAsia="IRNazanin"/>
          <w:color w:val="111111"/>
          <w:sz w:val="28"/>
          <w:sz w:val="28"/>
          <w:szCs w:val="28"/>
          <w:rtl w:val="true"/>
          <w:lang w:bidi="fa-IR"/>
        </w:rPr>
        <w:t xml:space="preserve">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تقطعوا شجراً إلاّ أن تضطرّوا إلیها</w:t>
      </w:r>
      <w:r>
        <w:rPr>
          <w:rStyle w:val="FootnoteAnchor"/>
          <w:rtl w:val="true"/>
        </w:rPr>
        <w:footnoteReference w:id="143"/>
      </w:r>
      <w:r>
        <w:rPr>
          <w:rFonts w:ascii="IRNazanin" w:hAnsi="IRNazanin" w:eastAsia="IRNazanin"/>
          <w:color w:val="111111"/>
          <w:sz w:val="28"/>
          <w:sz w:val="28"/>
          <w:szCs w:val="28"/>
          <w:rtl w:val="true"/>
          <w:lang w:bidi="fa-IR"/>
        </w:rPr>
        <w:t>هیچ درختی را قطع نكنید، مگر آن كه ناچار شوید</w:t>
      </w:r>
      <w:r>
        <w:rPr>
          <w:rFonts w:eastAsia="IRNazanin" w:cs="IRNazanin"/>
          <w:color w:val="111111"/>
          <w:sz w:val="28"/>
          <w:szCs w:val="28"/>
          <w:rtl w:val="true"/>
          <w:lang w:bidi="fa-IR"/>
        </w:rPr>
        <w:t xml:space="preserve">.» </w:t>
      </w:r>
      <w:bookmarkStart w:id="217" w:name="pg18832_210927"/>
    </w:p>
    <w:p>
      <w:pPr>
        <w:pStyle w:val="BookText"/>
        <w:rPr/>
      </w:pPr>
      <w:bookmarkEnd w:id="217"/>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خلاف دستورشان مبنی بر ممنوعیت قطع درختان در جنگها، تعدادی از درختان یهودیان بنی نضیر را قطع نمودند؟</w:t>
      </w:r>
    </w:p>
    <w:p>
      <w:pPr>
        <w:pStyle w:val="BookText"/>
        <w:rPr/>
      </w:pPr>
      <w:r>
        <w:rPr>
          <w:rFonts w:ascii="IRNazanin" w:hAnsi="IRNazanin" w:eastAsia="IRNazanin"/>
          <w:color w:val="111111"/>
          <w:sz w:val="28"/>
          <w:sz w:val="28"/>
          <w:szCs w:val="28"/>
          <w:rtl w:val="true"/>
          <w:lang w:bidi="fa-IR"/>
        </w:rPr>
        <w:t xml:space="preserve">در برخی منابع تاریخی مانند سیره ابن هشام به نقل از ابن اسحاق و کتاب مغازی واقدی آمده است که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جریان محاصره بنی نضیر دستور قطع و سوزاندن درختان خرما را صادر کردند</w:t>
      </w:r>
      <w:r>
        <w:rPr>
          <w:rFonts w:eastAsia="IRNazanin" w:cs="IRNazanin"/>
          <w:color w:val="111111"/>
          <w:sz w:val="28"/>
          <w:szCs w:val="28"/>
          <w:rtl w:val="true"/>
          <w:lang w:bidi="fa-IR"/>
        </w:rPr>
        <w:t>.</w:t>
      </w:r>
      <w:r>
        <w:rPr>
          <w:rStyle w:val="FootnoteAnchor"/>
          <w:rtl w:val="true"/>
        </w:rPr>
        <w:footnoteReference w:id="144"/>
      </w:r>
    </w:p>
    <w:p>
      <w:pPr>
        <w:pStyle w:val="BookText"/>
        <w:rPr/>
      </w:pPr>
      <w:r>
        <w:rPr>
          <w:rFonts w:ascii="IRNazanin" w:hAnsi="IRNazanin" w:eastAsia="IRNazanin"/>
          <w:color w:val="111111"/>
          <w:sz w:val="28"/>
          <w:sz w:val="28"/>
          <w:szCs w:val="28"/>
          <w:rtl w:val="true"/>
          <w:lang w:bidi="fa-IR"/>
        </w:rPr>
        <w:t>در تحلیل این اقدام باید به نکات زیر توجه کرد</w:t>
      </w:r>
      <w:r>
        <w:rPr>
          <w:rFonts w:eastAsia="IRNazanin" w:cs="IRNazanin"/>
          <w:color w:val="111111"/>
          <w:sz w:val="28"/>
          <w:szCs w:val="28"/>
          <w:rtl w:val="true"/>
          <w:lang w:bidi="fa-IR"/>
        </w:rPr>
        <w:t>:</w:t>
      </w:r>
    </w:p>
    <w:p>
      <w:pPr>
        <w:pStyle w:val="Heading6"/>
        <w:numPr>
          <w:ilvl w:val="5"/>
          <w:numId w:val="1"/>
        </w:numPr>
        <w:rPr/>
      </w:pPr>
      <w:bookmarkStart w:id="218" w:name="__RefHeading___Toc14292488_1280447820"/>
      <w:bookmarkStart w:id="219" w:name="_Toc83"/>
      <w:bookmarkEnd w:id="218"/>
      <w:r>
        <w:rPr>
          <w:rtl w:val="true"/>
        </w:rPr>
        <w:t>الف</w:t>
      </w:r>
      <w:r>
        <w:rPr>
          <w:rtl w:val="true"/>
        </w:rPr>
        <w:t xml:space="preserve">) </w:t>
      </w:r>
      <w:r>
        <w:rPr>
          <w:rtl w:val="true"/>
        </w:rPr>
        <w:t>علل و زمینه‌های تصمیم</w:t>
      </w:r>
      <w:r>
        <w:rPr>
          <w:rtl w:val="true"/>
        </w:rPr>
        <w:t>:</w:t>
      </w:r>
      <w:bookmarkEnd w:id="219"/>
    </w:p>
    <w:p>
      <w:pPr>
        <w:pStyle w:val="BookText"/>
        <w:rPr/>
      </w:pP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کارشکنی‌ها و اقدامات تهدیدآمیز یهودیان بنی نضیر، آنان را محاصره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طولانی شدن این محاصره و دوری مسلمانان از مرکز حکومت، می‌توانست خطراتی مانند حمله دشمنان خارجی یا آشوب منافقان داخلی را در پی داشته باشد؛ چرا که در آن زمان، اسلام هنوز قدرت کامل را به دست نیاورده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می‌رسد قطع درختان خرما که برای بنی نضیر از اهمیت حیاتی و اقتصادی برخوردار بود، با هدف تسریع در پایان دادن به محاصره و وادار کردن آنان به تسلیم انجام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است که یهود، نخل‌های خود را از کودکانشان نیز بیشتر دوست داشتند</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اقدام می‌توانست به قصد بیرون کشاندن یهودیان از قلعه‌ها برای نبرد یا ایجاد رعب در آنان صورت گرفته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یهودیان که از سیره معمول مداراگرایانه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بودند، با دیدن این اقدام قاطع، دریافتند که ممکن است درگیری به مرحله خونین‌تری وارد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بلافاصله پس از قطع درختان، تسلیم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واقدی گزارش می‌کند که حیی بن اخطب به پیامبر پیام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درختان را قطع می‌کنی؟ به خواسته تو تن می‌دهیم و از شهر بیرون می‌رویم</w:t>
      </w:r>
      <w:r>
        <w:rPr>
          <w:rFonts w:eastAsia="IRNazanin" w:cs="IRNazanin"/>
          <w:color w:val="111111"/>
          <w:sz w:val="28"/>
          <w:szCs w:val="28"/>
          <w:rtl w:val="true"/>
          <w:lang w:bidi="fa-IR"/>
        </w:rPr>
        <w:t xml:space="preserve">." </w:t>
      </w:r>
      <w:bookmarkStart w:id="220" w:name="pg18832_210928"/>
    </w:p>
    <w:p>
      <w:pPr>
        <w:pStyle w:val="Heading6"/>
        <w:numPr>
          <w:ilvl w:val="5"/>
          <w:numId w:val="1"/>
        </w:numPr>
        <w:rPr/>
      </w:pPr>
      <w:bookmarkStart w:id="221" w:name="__RefHeading___Toc14292490_1280447820"/>
      <w:bookmarkStart w:id="222" w:name="_Toc84"/>
      <w:bookmarkEnd w:id="220"/>
      <w:bookmarkEnd w:id="221"/>
      <w:r>
        <w:rPr>
          <w:rtl w:val="true"/>
        </w:rPr>
        <w:t>ب</w:t>
      </w:r>
      <w:r>
        <w:rPr>
          <w:rtl w:val="true"/>
        </w:rPr>
        <w:t xml:space="preserve">) </w:t>
      </w:r>
      <w:r>
        <w:rPr>
          <w:rtl w:val="true"/>
        </w:rPr>
        <w:t>توجیه فقهی و اخلاقی</w:t>
      </w:r>
      <w:r>
        <w:rPr>
          <w:rtl w:val="true"/>
        </w:rPr>
        <w:t>:</w:t>
      </w:r>
      <w:bookmarkEnd w:id="222"/>
    </w:p>
    <w:p>
      <w:pPr>
        <w:pStyle w:val="BookText"/>
        <w:rPr/>
      </w:pPr>
      <w:r>
        <w:rPr>
          <w:rFonts w:ascii="IRNazanin" w:hAnsi="IRNazanin" w:eastAsia="IRNazanin"/>
          <w:color w:val="111111"/>
          <w:sz w:val="28"/>
          <w:sz w:val="28"/>
          <w:szCs w:val="28"/>
          <w:rtl w:val="true"/>
          <w:lang w:bidi="fa-IR"/>
        </w:rPr>
        <w:t>گرچه در اسلام از چنین اقداماتی معمولاً نهی شده، اما زمانی که مصالح مهم‌تری در میان باشد، این اقدام قابل توجیه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مورد، قطع چند درخت در برابر خطرات ناشی از طولانی شدن محاصره و احتمال خونریزی بیشتر، اولویت کمتری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عمل را می‌توان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کرده‌اند که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فرماندهان خود سفارش می‌فرمودند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درختی را قطع نکنید، مگر آنکه ضرورت اقتضا کند</w:t>
      </w:r>
      <w:r>
        <w:rPr>
          <w:rFonts w:eastAsia="IRNazanin" w:cs="IRNazanin"/>
          <w:color w:val="111111"/>
          <w:sz w:val="28"/>
          <w:szCs w:val="28"/>
          <w:rtl w:val="true"/>
          <w:lang w:bidi="fa-IR"/>
        </w:rPr>
        <w:t>.»</w:t>
      </w:r>
      <w:r>
        <w:rPr>
          <w:rStyle w:val="FootnoteAnchor"/>
          <w:rtl w:val="true"/>
        </w:rPr>
        <w:footnoteReference w:id="145"/>
      </w:r>
    </w:p>
    <w:p>
      <w:pPr>
        <w:pStyle w:val="BookText"/>
        <w:rPr/>
      </w:pPr>
      <w:r>
        <w:rPr>
          <w:rFonts w:ascii="IRNazanin" w:hAnsi="IRNazanin" w:eastAsia="IRNazanin"/>
          <w:color w:val="111111"/>
          <w:sz w:val="28"/>
          <w:sz w:val="28"/>
          <w:szCs w:val="28"/>
          <w:rtl w:val="true"/>
          <w:lang w:bidi="fa-IR"/>
        </w:rPr>
        <w:t>وضعیت پیش آمده با بنی نضیر از موارد ضرورت محسوب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گزارش‌ها حاکی از آن است که تعداد درختان قطع‌شده زیاد نبوده</w:t>
      </w:r>
      <w:r>
        <w:rPr>
          <w:rStyle w:val="FootnoteAnchor"/>
          <w:rtl w:val="true"/>
        </w:rPr>
        <w:footnoteReference w:id="146"/>
      </w:r>
      <w:r>
        <w:rPr>
          <w:rFonts w:ascii="IRNazanin" w:hAnsi="IRNazanin" w:eastAsia="IRNazanin"/>
          <w:color w:val="111111"/>
          <w:sz w:val="28"/>
          <w:sz w:val="28"/>
          <w:szCs w:val="28"/>
          <w:rtl w:val="true"/>
          <w:lang w:bidi="fa-IR"/>
        </w:rPr>
        <w:t>و با اعتراض یهودیان، این کار متوقف شد</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نهایت، تسلیم شدن بنی نضیر بلافاصله پس از این رویداد، بدون نیاز به درگیری خونین‌تر، نشان می‌دهد که این اقدام تا چه اندازه در شکستن مقاومت آنان مؤثر بوده است</w:t>
      </w:r>
      <w:r>
        <w:rPr>
          <w:rFonts w:eastAsia="IRNazanin" w:cs="IRNazanin"/>
          <w:color w:val="111111"/>
          <w:sz w:val="28"/>
          <w:szCs w:val="28"/>
          <w:rtl w:val="true"/>
          <w:lang w:bidi="fa-IR"/>
        </w:rPr>
        <w:t>.</w:t>
      </w:r>
      <w:r>
        <w:rPr>
          <w:rStyle w:val="FootnoteAnchor"/>
          <w:rtl w:val="true"/>
        </w:rPr>
        <w:footnoteReference w:id="148"/>
      </w:r>
      <w:bookmarkStart w:id="223" w:name="pg18832_210929"/>
    </w:p>
    <w:p>
      <w:pPr>
        <w:pStyle w:val="Heading6"/>
        <w:numPr>
          <w:ilvl w:val="5"/>
          <w:numId w:val="1"/>
        </w:numPr>
        <w:rPr/>
      </w:pPr>
      <w:bookmarkStart w:id="224" w:name="__RefHeading___Toc14292492_1280447820"/>
      <w:bookmarkStart w:id="225" w:name="_Toc85"/>
      <w:bookmarkEnd w:id="223"/>
      <w:bookmarkEnd w:id="224"/>
      <w:r>
        <w:rPr>
          <w:rtl w:val="true"/>
        </w:rPr>
        <w:t>ز</w:t>
      </w:r>
      <w:r>
        <w:rPr>
          <w:rtl w:val="true"/>
        </w:rPr>
        <w:t>)</w:t>
      </w:r>
      <w:r>
        <w:rPr>
          <w:rtl w:val="true"/>
        </w:rPr>
        <w:t>مصونیت صومعه‌نشینان و بازرگانان</w:t>
      </w:r>
      <w:bookmarkEnd w:id="225"/>
    </w:p>
    <w:p>
      <w:pPr>
        <w:pStyle w:val="BookText"/>
        <w:rPr/>
      </w:pPr>
      <w:r>
        <w:rPr>
          <w:rFonts w:ascii="IRNazanin" w:hAnsi="IRNazanin" w:eastAsia="IRNazanin"/>
          <w:color w:val="111111"/>
          <w:sz w:val="28"/>
          <w:sz w:val="28"/>
          <w:szCs w:val="28"/>
          <w:rtl w:val="true"/>
          <w:lang w:bidi="fa-IR"/>
        </w:rPr>
        <w:t xml:space="preserve">هرگاه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را برای عملیات نظامی اعزام می‌کرد، به آنان سفارش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اهل صومعه را نکشید</w:t>
      </w:r>
      <w:r>
        <w:rPr>
          <w:rFonts w:eastAsia="IRNazanin" w:cs="IRNazanin"/>
          <w:color w:val="111111"/>
          <w:sz w:val="28"/>
          <w:szCs w:val="28"/>
          <w:rtl w:val="true"/>
          <w:lang w:bidi="fa-IR"/>
        </w:rPr>
        <w:t>.»</w:t>
      </w:r>
      <w:r>
        <w:rPr>
          <w:rStyle w:val="FootnoteAnchor"/>
          <w:rtl w:val="true"/>
        </w:rPr>
        <w:footnoteReference w:id="149"/>
      </w:r>
      <w:r>
        <w:rPr>
          <w:rFonts w:ascii="IRNazanin" w:hAnsi="IRNazanin" w:eastAsia="IRNazanin"/>
          <w:color w:val="111111"/>
          <w:sz w:val="28"/>
          <w:sz w:val="28"/>
          <w:szCs w:val="28"/>
          <w:rtl w:val="true"/>
          <w:lang w:bidi="fa-IR"/>
        </w:rPr>
        <w:t xml:space="preserve">همچنین جابر بن عبدالله نقل می‌کند 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یارانش، بازرگانان مشرک را به قتل می‌رساندند</w:t>
      </w:r>
      <w:r>
        <w:rPr>
          <w:rFonts w:eastAsia="IRNazanin" w:cs="IRNazanin"/>
          <w:color w:val="111111"/>
          <w:sz w:val="28"/>
          <w:szCs w:val="28"/>
          <w:rtl w:val="true"/>
          <w:lang w:bidi="fa-IR"/>
        </w:rPr>
        <w:t>.</w:t>
      </w:r>
      <w:r>
        <w:rPr>
          <w:rStyle w:val="FootnoteAnchor"/>
          <w:rtl w:val="true"/>
        </w:rPr>
        <w:footnoteReference w:id="150"/>
      </w:r>
    </w:p>
    <w:p>
      <w:pPr>
        <w:pStyle w:val="Heading6"/>
        <w:numPr>
          <w:ilvl w:val="5"/>
          <w:numId w:val="1"/>
        </w:numPr>
        <w:rPr/>
      </w:pPr>
      <w:bookmarkStart w:id="226" w:name="__RefHeading___Toc14292494_1280447820"/>
      <w:bookmarkStart w:id="227" w:name="_Toc86"/>
      <w:bookmarkEnd w:id="226"/>
      <w:r>
        <w:rPr>
          <w:rtl w:val="true"/>
        </w:rPr>
        <w:t>ح</w:t>
      </w:r>
      <w:r>
        <w:rPr>
          <w:rtl w:val="true"/>
        </w:rPr>
        <w:t>)</w:t>
      </w:r>
      <w:r>
        <w:rPr>
          <w:rtl w:val="true"/>
        </w:rPr>
        <w:t>مصونیت پیک و گروگان و زنان</w:t>
      </w:r>
      <w:bookmarkEnd w:id="227"/>
    </w:p>
    <w:p>
      <w:pPr>
        <w:pStyle w:val="BookText"/>
        <w:rPr/>
      </w:pPr>
      <w:r>
        <w:rPr>
          <w:rFonts w:ascii="IRNazanin" w:hAnsi="IRNazanin" w:eastAsia="IRNazanin"/>
          <w:color w:val="111111"/>
          <w:sz w:val="28"/>
          <w:sz w:val="28"/>
          <w:szCs w:val="28"/>
          <w:rtl w:val="true"/>
          <w:lang w:bidi="fa-IR"/>
        </w:rPr>
        <w:t xml:space="preserve">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سفیران و گروگان‌ها مصونیت قائل بودند و می‌فرمودند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فرستادگان و گروگان‌ها کشته نمی‌شوند</w:t>
      </w:r>
      <w:r>
        <w:rPr>
          <w:rFonts w:eastAsia="IRNazanin" w:cs="IRNazanin"/>
          <w:color w:val="111111"/>
          <w:sz w:val="28"/>
          <w:szCs w:val="28"/>
          <w:rtl w:val="true"/>
          <w:lang w:bidi="fa-IR"/>
        </w:rPr>
        <w:t>.</w:t>
      </w:r>
      <w:r>
        <w:rPr>
          <w:rStyle w:val="FootnoteAnchor"/>
          <w:rtl w:val="true"/>
        </w:rPr>
        <w:footnoteReference w:id="151"/>
      </w:r>
      <w:r>
        <w:rPr>
          <w:rFonts w:ascii="IRNazanin" w:hAnsi="IRNazanin" w:eastAsia="IRNazanin"/>
          <w:color w:val="111111"/>
          <w:sz w:val="28"/>
          <w:sz w:val="28"/>
          <w:szCs w:val="28"/>
          <w:rtl w:val="true"/>
          <w:lang w:bidi="fa-IR"/>
        </w:rPr>
        <w:t>ایشان همواره از کشتن زنان و کودکان در جنگ نهی می‌کردند</w:t>
      </w:r>
      <w:r>
        <w:rPr>
          <w:rFonts w:eastAsia="IRNazanin" w:cs="IRNazanin"/>
          <w:color w:val="111111"/>
          <w:sz w:val="28"/>
          <w:szCs w:val="28"/>
          <w:rtl w:val="true"/>
          <w:lang w:bidi="fa-IR"/>
        </w:rPr>
        <w:t>.</w:t>
      </w:r>
      <w:r>
        <w:rPr>
          <w:rStyle w:val="FootnoteAnchor"/>
          <w:rtl w:val="true"/>
        </w:rPr>
        <w:footnoteReference w:id="152"/>
      </w:r>
      <w:r>
        <w:rPr>
          <w:rFonts w:ascii="IRNazanin" w:hAnsi="IRNazanin" w:eastAsia="IRNazanin"/>
          <w:color w:val="111111"/>
          <w:sz w:val="28"/>
          <w:sz w:val="28"/>
          <w:szCs w:val="28"/>
          <w:rtl w:val="true"/>
          <w:lang w:bidi="fa-IR"/>
        </w:rPr>
        <w:t>در یکی از غزوات، هنگامی که به جسد زنی از دشمن برخورد کردند، پرسیدند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کسی او را کشته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خالد بن ولید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برخی از همراهان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سرعت خود را به خالد برسان و به او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تو را از کشتن زنان، کودکان و اجیرها منع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رَسُولَ اللَّهِ یَنْهَاكَ أَنْ تَقْتُلَ امْرَأَةً أَوْ وَلِیدًا أَوْ عَسِیفًا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حتی در برخورد با قبیله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قریظه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 دشمنان اسلام همدستی کرده بودند، پس از حکم به مجازات مردانی که در جنگ دخالت، زنان از مصونیت برخوردار بودند و تنها یک زن به دلایل خاصی کشته شد</w:t>
      </w:r>
      <w:r>
        <w:rPr>
          <w:rFonts w:eastAsia="IRNazanin" w:cs="IRNazanin"/>
          <w:color w:val="111111"/>
          <w:sz w:val="28"/>
          <w:szCs w:val="28"/>
          <w:rtl w:val="true"/>
          <w:lang w:bidi="fa-IR"/>
        </w:rPr>
        <w:t>.</w:t>
      </w:r>
      <w:r>
        <w:rPr>
          <w:rStyle w:val="FootnoteAnchor"/>
          <w:rtl w:val="true"/>
        </w:rPr>
        <w:footnoteReference w:id="153"/>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سیره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نمود و به سربازان خود سفارش می‌کردند</w:t>
      </w:r>
      <w:r>
        <w:rPr>
          <w:rFonts w:eastAsia="IRNazanin" w:cs="IRNazanin"/>
          <w:color w:val="111111"/>
          <w:sz w:val="28"/>
          <w:szCs w:val="28"/>
          <w:rtl w:val="true"/>
          <w:lang w:bidi="fa-IR"/>
        </w:rPr>
        <w:t xml:space="preserve">: </w:t>
      </w:r>
      <w:bookmarkStart w:id="228" w:name="pg18832_210930"/>
    </w:p>
    <w:p>
      <w:pPr>
        <w:pStyle w:val="BookText"/>
        <w:rPr/>
      </w:pPr>
      <w:bookmarkEnd w:id="228"/>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تُهَیِّجُوا امْرَأَةً بِأَذًى، وَإِنْ شَتَمْنَ أَعْرَاضَکُمْ وَتَنَاوَلْنَ أُمَرَاءَکُمْ وَصُلَحَاءَکُمْ، فَإِنَّهُنَّ ضِعَافُ الْقُوَى وَالْأَنْفُسِ وَالْعُقُولِ</w:t>
      </w:r>
      <w:r>
        <w:rPr>
          <w:rStyle w:val="FootnoteAnchor"/>
          <w:rtl w:val="true"/>
        </w:rPr>
        <w:footnoteReference w:id="154"/>
      </w:r>
      <w:r>
        <w:rPr>
          <w:rFonts w:ascii="IRNazanin" w:hAnsi="IRNazanin" w:eastAsia="IRNazanin"/>
          <w:color w:val="111111"/>
          <w:sz w:val="28"/>
          <w:sz w:val="28"/>
          <w:szCs w:val="28"/>
          <w:rtl w:val="true"/>
          <w:lang w:bidi="fa-IR"/>
        </w:rPr>
        <w:t>به زنان آزار نرسانید، هرچند به ناموس‌های شما دشنام دهند و به امیران و نیکان شما بدگویی کنند؛ زیرا آنان ناتوانِ قوا، نفس و خرد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به فرماندهان نظامی خود می‌نوشتند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أَنْشُدُکُمُ اللَّهَ فِی فَلَّاحِی الْأَرْضِ أَنْ یُظْلَمُوا قِبَلَکُمْ</w:t>
      </w:r>
      <w:r>
        <w:rPr>
          <w:rStyle w:val="FootnoteAnchor"/>
          <w:rtl w:val="true"/>
        </w:rPr>
        <w:footnoteReference w:id="155"/>
      </w:r>
      <w:r>
        <w:rPr>
          <w:rFonts w:ascii="IRNazanin" w:hAnsi="IRNazanin" w:eastAsia="IRNazanin"/>
          <w:color w:val="111111"/>
          <w:sz w:val="28"/>
          <w:sz w:val="28"/>
          <w:szCs w:val="28"/>
          <w:rtl w:val="true"/>
          <w:lang w:bidi="fa-IR"/>
        </w:rPr>
        <w:t>شما را به خدا سوگند می‌دهم که مبادا کشاورزان از ناحیه‌ی شما مورد ستم قرار 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معقل بن قیس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فرماندهان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برای جنگ با شامیان می‌رفت،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تُقَاتِلَنَّ إِلَّا مَنْ قَاتَلَکَ</w:t>
      </w:r>
      <w:r>
        <w:rPr>
          <w:rStyle w:val="FootnoteAnchor"/>
          <w:rtl w:val="true"/>
        </w:rPr>
        <w:footnoteReference w:id="156"/>
      </w:r>
      <w:r>
        <w:rPr>
          <w:rFonts w:ascii="IRNazanin" w:hAnsi="IRNazanin" w:eastAsia="IRNazanin"/>
          <w:color w:val="111111"/>
          <w:sz w:val="28"/>
          <w:sz w:val="28"/>
          <w:szCs w:val="28"/>
          <w:rtl w:val="true"/>
          <w:lang w:bidi="fa-IR"/>
        </w:rPr>
        <w:t>جز با کسانی که با تو می‌جنگند، جنگ مکن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جمله بر ضرورت پرهیز از نبرد با مردم بی‌دفاع و غیرنظامی تأکید دارد</w:t>
      </w:r>
      <w:r>
        <w:rPr>
          <w:rFonts w:eastAsia="IRNazanin" w:cs="IRNazanin"/>
          <w:color w:val="111111"/>
          <w:sz w:val="28"/>
          <w:szCs w:val="28"/>
          <w:rtl w:val="true"/>
          <w:lang w:bidi="fa-IR"/>
        </w:rPr>
        <w:t>.</w:t>
      </w:r>
    </w:p>
    <w:p>
      <w:pPr>
        <w:pStyle w:val="Heading6"/>
        <w:numPr>
          <w:ilvl w:val="5"/>
          <w:numId w:val="1"/>
        </w:numPr>
        <w:rPr/>
      </w:pPr>
      <w:bookmarkStart w:id="229" w:name="__RefHeading___Toc14292496_1280447820"/>
      <w:bookmarkStart w:id="230" w:name="_Toc87"/>
      <w:bookmarkEnd w:id="229"/>
      <w:r>
        <w:rPr>
          <w:rtl w:val="true"/>
        </w:rPr>
        <w:t>ت</w:t>
      </w:r>
      <w:r>
        <w:rPr>
          <w:rtl w:val="true"/>
        </w:rPr>
        <w:t xml:space="preserve">) </w:t>
      </w:r>
      <w:r>
        <w:rPr>
          <w:rtl w:val="true"/>
        </w:rPr>
        <w:t>حرمت بستن آب بر دشمن</w:t>
      </w:r>
      <w:bookmarkEnd w:id="230"/>
    </w:p>
    <w:p>
      <w:pPr>
        <w:pStyle w:val="BookText"/>
        <w:rPr/>
      </w:pPr>
      <w:r>
        <w:rPr>
          <w:rFonts w:ascii="IRNazanin" w:hAnsi="IRNazanin" w:eastAsia="IRNazanin"/>
          <w:color w:val="111111"/>
          <w:sz w:val="28"/>
          <w:sz w:val="28"/>
          <w:szCs w:val="28"/>
          <w:rtl w:val="true"/>
          <w:lang w:bidi="fa-IR"/>
        </w:rPr>
        <w:t xml:space="preserve">یکی از دستورات ثابت و اصولی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 جنگ‌ها این بود که در صورت تسلط بر منابع آب، نمی‌بایست دشمن را از آن محروم نمود، حتی اگر دشمن قصد جنگ با مسلمانان را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قانون، نشان‌دهنده رعایت انصاف و اصول اخلاقی در میدان نبرد، حتی در رویارویی با دشمن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در جنگ بدر به دستور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مسلمانان کفار را از آب محروم کردند؟</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بررسی این شبهه نیازمند واکاوی گزارش‌های تاریخی و تطبیق آن با آموزه‌های قرآنی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پی می‌آید، جمع‌بندی نظرات مورخان و مفسران در این زمینه است</w:t>
      </w:r>
      <w:r>
        <w:rPr>
          <w:rFonts w:eastAsia="IRNazanin" w:cs="IRNazanin"/>
          <w:color w:val="111111"/>
          <w:sz w:val="28"/>
          <w:szCs w:val="28"/>
          <w:rtl w:val="true"/>
          <w:lang w:bidi="fa-IR"/>
        </w:rPr>
        <w:t xml:space="preserve">: </w:t>
      </w:r>
      <w:bookmarkStart w:id="231" w:name="pg18832_210931"/>
    </w:p>
    <w:p>
      <w:pPr>
        <w:pStyle w:val="Heading6"/>
        <w:numPr>
          <w:ilvl w:val="5"/>
          <w:numId w:val="1"/>
        </w:numPr>
        <w:rPr/>
      </w:pPr>
      <w:bookmarkStart w:id="232" w:name="__RefHeading___Toc14292498_1280447820"/>
      <w:bookmarkStart w:id="233" w:name="_Toc88"/>
      <w:bookmarkEnd w:id="231"/>
      <w:bookmarkEnd w:id="232"/>
      <w:r>
        <w:rPr>
          <w:rtl w:val="true"/>
        </w:rPr>
        <w:t>بررسی گزارش‌های تاریخی</w:t>
      </w:r>
      <w:bookmarkEnd w:id="233"/>
    </w:p>
    <w:p>
      <w:pPr>
        <w:pStyle w:val="BookText"/>
        <w:rPr/>
      </w:pPr>
      <w:r>
        <w:rPr>
          <w:rFonts w:ascii="IRNazanin" w:hAnsi="IRNazanin" w:eastAsia="IRNazanin"/>
          <w:color w:val="111111"/>
          <w:sz w:val="28"/>
          <w:sz w:val="28"/>
          <w:szCs w:val="28"/>
          <w:rtl w:val="true"/>
          <w:lang w:bidi="fa-IR"/>
        </w:rPr>
        <w:t xml:space="preserve">در برخی منابع تاریخی روایتی نقل شده که حباب بن منذر به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پیشنهاد کرد لشکر اسلام در کنار یک چاه مستقر شود و سایر چاه‌ها را پر کنند تا دشمن از آب محروم گردد و پیامبر این نظر را پذیرفت</w:t>
      </w:r>
      <w:r>
        <w:rPr>
          <w:rFonts w:eastAsia="IRNazanin" w:cs="IRNazanin"/>
          <w:color w:val="111111"/>
          <w:sz w:val="28"/>
          <w:szCs w:val="28"/>
          <w:rtl w:val="true"/>
          <w:lang w:bidi="fa-IR"/>
        </w:rPr>
        <w:t>.</w:t>
      </w:r>
      <w:r>
        <w:rPr>
          <w:rStyle w:val="FootnoteAnchor"/>
          <w:rtl w:val="true"/>
        </w:rPr>
        <w:footnoteReference w:id="157"/>
      </w:r>
      <w:r>
        <w:rPr>
          <w:rFonts w:ascii="IRNazanin" w:hAnsi="IRNazanin" w:eastAsia="IRNazanin"/>
          <w:color w:val="111111"/>
          <w:sz w:val="28"/>
          <w:sz w:val="28"/>
          <w:szCs w:val="28"/>
          <w:rtl w:val="true"/>
          <w:lang w:bidi="fa-IR"/>
        </w:rPr>
        <w:t xml:space="preserve">با این حال، در خود همان منابع، نقل متعارضی وجود دارد 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را از جلوگیری آب خوردن کفار منع کردند</w:t>
      </w:r>
      <w:r>
        <w:rPr>
          <w:rFonts w:eastAsia="IRNazanin" w:cs="IRNazanin"/>
          <w:color w:val="111111"/>
          <w:sz w:val="28"/>
          <w:szCs w:val="28"/>
          <w:rtl w:val="true"/>
          <w:lang w:bidi="fa-IR"/>
        </w:rPr>
        <w:t>.</w:t>
      </w:r>
      <w:r>
        <w:rPr>
          <w:rStyle w:val="FootnoteAnchor"/>
          <w:rtl w:val="true"/>
        </w:rPr>
        <w:footnoteReference w:id="158"/>
      </w:r>
    </w:p>
    <w:p>
      <w:pPr>
        <w:pStyle w:val="BookText"/>
        <w:rPr/>
      </w:pPr>
      <w:r>
        <w:rPr>
          <w:rFonts w:ascii="IRNazanin" w:hAnsi="IRNazanin" w:eastAsia="IRNazanin"/>
          <w:color w:val="111111"/>
          <w:sz w:val="28"/>
          <w:sz w:val="28"/>
          <w:szCs w:val="28"/>
          <w:rtl w:val="true"/>
          <w:lang w:bidi="fa-IR"/>
        </w:rPr>
        <w:t xml:space="preserve">این دو نقل با هم ناسازگارند؛ زیرا اگر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پر کردن چاه‌ها موافق بود، منطقی نبود که سپس مانع محروم کردن دشمن از آب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در صورت پذیرش هر دو نقل می‌توان گفت که هدف، کنترل چاه‌ها بود، نه محرومیت مطلق دشمن از آب؛ به این معنا که اگر دشمنی درخواست آب می‌کرد، با اجازه مسلمانان می‌توانست از آن استفاده کند</w:t>
      </w:r>
      <w:r>
        <w:rPr>
          <w:rFonts w:eastAsia="IRNazanin" w:cs="IRNazanin"/>
          <w:color w:val="111111"/>
          <w:sz w:val="28"/>
          <w:szCs w:val="28"/>
          <w:rtl w:val="true"/>
          <w:lang w:bidi="fa-IR"/>
        </w:rPr>
        <w:t>.</w:t>
      </w:r>
    </w:p>
    <w:p>
      <w:pPr>
        <w:pStyle w:val="Heading6"/>
        <w:numPr>
          <w:ilvl w:val="5"/>
          <w:numId w:val="1"/>
        </w:numPr>
        <w:rPr/>
      </w:pPr>
      <w:bookmarkStart w:id="234" w:name="__RefHeading___Toc14292500_1280447820"/>
      <w:bookmarkStart w:id="235" w:name="_Toc89"/>
      <w:bookmarkEnd w:id="234"/>
      <w:r>
        <w:rPr>
          <w:rtl w:val="true"/>
        </w:rPr>
        <w:t>دیدگاه محققان و مفسران</w:t>
      </w:r>
      <w:bookmarkEnd w:id="235"/>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محققان معاصر، مانند علامه سید جعفر مرتضی عاملی، اساس این روایت را رد کرده‌اند و معتقدند چاه‌های بدر در اختیار مسلمانان نبوده است</w:t>
      </w:r>
      <w:r>
        <w:rPr>
          <w:rFonts w:eastAsia="IRNazanin" w:cs="IRNazanin"/>
          <w:color w:val="111111"/>
          <w:sz w:val="28"/>
          <w:szCs w:val="28"/>
          <w:rtl w:val="true"/>
          <w:lang w:bidi="fa-IR"/>
        </w:rPr>
        <w:t>.</w:t>
      </w:r>
      <w:r>
        <w:rPr>
          <w:rStyle w:val="FootnoteAnchor"/>
          <w:rtl w:val="true"/>
        </w:rPr>
        <w:footnoteReference w:id="159"/>
      </w:r>
      <w:r>
        <w:rPr>
          <w:rFonts w:ascii="IRNazanin" w:hAnsi="IRNazanin" w:eastAsia="IRNazanin"/>
          <w:color w:val="111111"/>
          <w:sz w:val="28"/>
          <w:sz w:val="28"/>
          <w:szCs w:val="28"/>
          <w:rtl w:val="true"/>
          <w:lang w:bidi="fa-IR"/>
        </w:rPr>
        <w:t xml:space="preserve">همچنین این روایت با آیات قرآن در تعارض است؛ چرا که در آیه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انفال تصریح شده که خداوند برای مسلمانان باران فرستاد تا آنان را پاک کند و زمین را برایشان استوار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نشان می‌دهد که مسلمانان در آن موقعیت به آب کافی دسترسی نداشته‌اند</w:t>
      </w:r>
      <w:r>
        <w:rPr>
          <w:rFonts w:eastAsia="IRNazanin" w:cs="IRNazanin"/>
          <w:color w:val="111111"/>
          <w:sz w:val="28"/>
          <w:szCs w:val="28"/>
          <w:rtl w:val="true"/>
          <w:lang w:bidi="fa-IR"/>
        </w:rPr>
        <w:t>.</w:t>
      </w:r>
      <w:r>
        <w:rPr>
          <w:rStyle w:val="FootnoteAnchor"/>
          <w:rtl w:val="true"/>
        </w:rPr>
        <w:footnoteReference w:id="160"/>
      </w:r>
    </w:p>
    <w:p>
      <w:pPr>
        <w:pStyle w:val="BookText"/>
        <w:rPr/>
      </w:pPr>
      <w:r>
        <w:rPr>
          <w:rFonts w:ascii="IRNazanin" w:hAnsi="IRNazanin" w:eastAsia="IRNazanin"/>
          <w:color w:val="111111"/>
          <w:sz w:val="28"/>
          <w:sz w:val="28"/>
          <w:szCs w:val="28"/>
          <w:rtl w:val="true"/>
          <w:lang w:bidi="fa-IR"/>
        </w:rPr>
        <w:t>مفسران بزرگی مانند امین‌الاسلام طبرسی و علامه طباطبایی نیز با استناد به همین آیه تأکید کرده‌اند که چاه‌های بدر در اختیار مشرکان قریش بوده و مسلمانان با مشکل کم‌آبی مواجه بودند، تا آنکه باران به عنوان امداد غیبی نازل شد و هم نیاز آنان را برطرف کرد و هم زمین را برای نبرد مستحکم نمود</w:t>
      </w:r>
      <w:r>
        <w:rPr>
          <w:rFonts w:eastAsia="IRNazanin" w:cs="IRNazanin"/>
          <w:color w:val="111111"/>
          <w:sz w:val="28"/>
          <w:szCs w:val="28"/>
          <w:rtl w:val="true"/>
          <w:lang w:bidi="fa-IR"/>
        </w:rPr>
        <w:t>.</w:t>
      </w:r>
      <w:r>
        <w:rPr>
          <w:rStyle w:val="FootnoteAnchor"/>
          <w:rtl w:val="true"/>
        </w:rPr>
        <w:footnoteReference w:id="161"/>
      </w:r>
    </w:p>
    <w:p>
      <w:pPr>
        <w:pStyle w:val="BookText"/>
        <w:rPr/>
      </w:pPr>
      <w:r>
        <w:rPr>
          <w:rFonts w:ascii="IRNazanin" w:hAnsi="IRNazanin" w:eastAsia="IRNazanin"/>
          <w:color w:val="111111"/>
          <w:sz w:val="28"/>
          <w:sz w:val="28"/>
          <w:szCs w:val="28"/>
          <w:rtl w:val="true"/>
          <w:lang w:bidi="fa-IR"/>
        </w:rPr>
        <w:t>با توجه به مطالب فوق می‌توان نتیجه گرفت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صحت تاریخی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 کردن چاه‌ها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تردید جدی وجود دارد و نقل‌های متعارض، آن را زیر سؤال می‌برند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اساس شواهد قرآنی و نظر مفسران، چاه‌های بدر در اختیار مشرکان بوده و مسلمانان از دسترسی آسان به آب محروم بودند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در نظر گرفتن سیره ثابت نبوی در منع محروم کردن دشمن از آب، روایت مذکور از اعتبار کافی برخوردار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شبهه مطرح شده بر پایه روایتی ضعیف و غیرقطعی استوار شده و با اصول مسلم سیره نبوی و شواهد تاریخی و قرآنی سازگاری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منابع تاریخی متعددی آمده است که در جنگ صفین، معاویه و لشکریانش با بستن راه دسترسی به رود فرات، سپاه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آب محروم کردند</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طبری در تاریخ خود نقل می‌کند که هنگامی که سپاه امام به صفین رسید، شامیان شریعه فرات را در اختیار گرفته و با گماردن نگهبانان مسلح، مانع از دسترسی یاران امام به آب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ارسال پیامی به معاویه، او را از این عمل ناشایست برحذر داشت و فرمود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راه را به سوی شما پیموده‌ایم تا حجت را بر شما تمام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آب را بر ما بسته‌اید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یارانت پیغام فرست راه آب را باز بگذارند، وگرنه سپاهم را رخصت می‌دهم تا برای آب بجنگند</w:t>
      </w:r>
      <w:r>
        <w:rPr>
          <w:rFonts w:eastAsia="IRNazanin" w:cs="IRNazanin"/>
          <w:color w:val="111111"/>
          <w:sz w:val="28"/>
          <w:szCs w:val="28"/>
          <w:rtl w:val="true"/>
          <w:lang w:bidi="fa-IR"/>
        </w:rPr>
        <w:t>.»</w:t>
      </w:r>
      <w:r>
        <w:rPr>
          <w:rStyle w:val="FootnoteAnchor"/>
          <w:rtl w:val="true"/>
        </w:rPr>
        <w:footnoteReference w:id="162"/>
      </w:r>
    </w:p>
    <w:p>
      <w:pPr>
        <w:pStyle w:val="BookText"/>
        <w:rPr/>
      </w:pPr>
      <w:r>
        <w:rPr>
          <w:rFonts w:ascii="IRNazanin" w:hAnsi="IRNazanin" w:eastAsia="IRNazanin"/>
          <w:color w:val="111111"/>
          <w:sz w:val="28"/>
          <w:sz w:val="28"/>
          <w:szCs w:val="28"/>
          <w:rtl w:val="true"/>
          <w:lang w:bidi="fa-IR"/>
        </w:rPr>
        <w:t>در مشورت معاویه با یارانش، افرادی مانند ولید بن عقبه و عبدالله بن ابی سرح بر ادامه محاصره آب اصرار ورزیدند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عمرو بن عاص مخالفت کرد، اما معاویه نپذیرفت 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 قطره‌ای آب به عراقیان نخواهیم داد</w:t>
      </w:r>
      <w:r>
        <w:rPr>
          <w:rFonts w:eastAsia="IRNazanin" w:cs="IRNazanin"/>
          <w:color w:val="111111"/>
          <w:sz w:val="28"/>
          <w:szCs w:val="28"/>
          <w:rtl w:val="true"/>
          <w:lang w:bidi="fa-IR"/>
        </w:rPr>
        <w:t>.</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پس از یک شبانه روز محرومیت از آب،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ناراحتی فراوان، به درخواست اشعث بن قیس و مالک اشتر اجازه حمله برای بازپس‌گیری آب را صادر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نبردی سخت، یاران امام موفق شدند کنترل شریعه فرات را به دست آورند</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واکنش متعالی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این پیروزی، زمانی که یاران امام پیشنهاد دادند همان عمل معاویه را تکرار کرده و شامیان را از آب محروم کنند،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قاطعانه مخالفت نمود و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به خدا سوگند با ایشان همچون خودشان مقابله نمی‌کنم</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ایشان سپس دستور دادند به سپاه شام اجازه دهند به اندازه نیاز از آب استفاده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واکنش امام، تجلی واضحی از پایبندی ایشان به اصول </w:t>
      </w:r>
    </w:p>
    <w:p>
      <w:pPr>
        <w:pStyle w:val="BookText"/>
        <w:rPr/>
      </w:pPr>
      <w:r>
        <w:rPr>
          <w:rFonts w:ascii="IRNazanin" w:hAnsi="IRNazanin" w:eastAsia="IRNazanin"/>
          <w:color w:val="111111"/>
          <w:sz w:val="28"/>
          <w:sz w:val="28"/>
          <w:szCs w:val="28"/>
          <w:rtl w:val="true"/>
          <w:lang w:bidi="fa-IR"/>
        </w:rPr>
        <w:t>اخلاقی و شرعی، حتی در میدان جنگ و در برابر دشمنی ناجوانمردانه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اقدام امام چنان بود که حتی عمرو عاص به معاویه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دیدی که علی با وجود توانایی، چگونه با بزرگواری با ما رفتار کرد</w:t>
      </w:r>
      <w:r>
        <w:rPr>
          <w:rFonts w:eastAsia="IRNazanin" w:cs="IRNazanin"/>
          <w:color w:val="111111"/>
          <w:sz w:val="28"/>
          <w:szCs w:val="28"/>
          <w:rtl w:val="true"/>
          <w:lang w:bidi="fa-IR"/>
        </w:rPr>
        <w:t>.</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 با اسیران</w:t>
      </w:r>
    </w:p>
    <w:p>
      <w:pPr>
        <w:pStyle w:val="BookText"/>
        <w:rPr/>
      </w:pPr>
      <w:r>
        <w:rPr>
          <w:rFonts w:ascii="IRNazanin" w:hAnsi="IRNazanin" w:eastAsia="IRNazanin"/>
          <w:color w:val="111111"/>
          <w:sz w:val="28"/>
          <w:sz w:val="28"/>
          <w:szCs w:val="28"/>
          <w:rtl w:val="true"/>
          <w:lang w:bidi="fa-IR"/>
        </w:rPr>
        <w:t>در طول تاریخ در جنگها براى افرادى اسیر مى‌شوند چند راه وجود داشته که به طور ساده آن را بررسى مى‌كنیم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را یك سره آزاد كنیم؛ این سبب مى‌شود كه جنگجو و مخالف شمشیر بدست آزاد شده، دوباره اسلحه به دست گیرد و به سراغ مسلمین آید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را یك سره بكشیم؛ این شیوه با رحمت و رأفت و استفاده از قابلیت‌ها منافات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را یكجا در اردوگاه‌ها پناه دهیم؛ در این شیوه براى اسرا رشد و تغییرى نخواهد بود و هزینه سنگینى بر دوش دولت خواهد گذاشت</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 در میان مسلمانان پیروز پخش شوند؛ تا از یك سو هزینه آنان در مسلمین تقسیم شود و بر دوش دولت نباشد و از سوى دیگر رفتار و گفتار و عقائد مسلمین تدریجاً به آنان منتقل شود و با سفارشات اسلامى با آنان رفتارى عادلانه و برادرانه و كریمانه شود تا كم كم آزاد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امر بعد از تثبیت جنگ است و هیچ كس حق ندارد قبل از غلبه كامل در منطقه و استقرار پایگاه اسیر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فكر اسیر گرفتن و به پول رسیدن باعث روحیه دنیاگرائى شده و سبب شكست آنان خواهد شد</w:t>
      </w:r>
      <w:r>
        <w:rPr>
          <w:rFonts w:eastAsia="IRNazanin" w:cs="IRNazanin"/>
          <w:color w:val="111111"/>
          <w:sz w:val="28"/>
          <w:szCs w:val="28"/>
          <w:rtl w:val="true"/>
          <w:lang w:bidi="fa-IR"/>
        </w:rPr>
        <w:t xml:space="preserve">. </w:t>
      </w:r>
      <w:bookmarkStart w:id="236" w:name="pg18832_210935"/>
    </w:p>
    <w:p>
      <w:pPr>
        <w:pStyle w:val="Heading6"/>
        <w:numPr>
          <w:ilvl w:val="5"/>
          <w:numId w:val="1"/>
        </w:numPr>
        <w:rPr/>
      </w:pPr>
      <w:bookmarkStart w:id="237" w:name="__RefHeading___Toc14292502_1280447820"/>
      <w:bookmarkStart w:id="238" w:name="_Toc90"/>
      <w:bookmarkEnd w:id="236"/>
      <w:bookmarkEnd w:id="237"/>
      <w:r>
        <w:rPr>
          <w:rtl w:val="true"/>
        </w:rPr>
        <w:t>ی</w:t>
      </w:r>
      <w:r>
        <w:rPr>
          <w:rtl w:val="true"/>
        </w:rPr>
        <w:t xml:space="preserve">) </w:t>
      </w:r>
      <w:r>
        <w:rPr>
          <w:rtl w:val="true"/>
        </w:rPr>
        <w:t>برخورد شایسته با اسیران</w:t>
      </w:r>
      <w:r>
        <w:rPr>
          <w:rtl w:val="true"/>
        </w:rPr>
        <w:t>:</w:t>
      </w:r>
      <w:bookmarkEnd w:id="238"/>
    </w:p>
    <w:p>
      <w:pPr>
        <w:pStyle w:val="BookText"/>
        <w:rPr/>
      </w:pPr>
      <w:r>
        <w:rPr>
          <w:rFonts w:ascii="IRNazanin" w:hAnsi="IRNazanin" w:eastAsia="IRNazanin"/>
          <w:color w:val="111111"/>
          <w:sz w:val="28"/>
          <w:sz w:val="28"/>
          <w:szCs w:val="28"/>
          <w:rtl w:val="true"/>
          <w:lang w:bidi="fa-IR"/>
        </w:rPr>
        <w:t>اسلام به نیکوکاری با اسیران دستور داده است، حتی اگر پیش از اسارت، مرتکب شدیدترین تعدی‌ها و ستم‌ها شده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رویکرد در راستای هدف اصلی اسلام، که هدایت مردم است،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ادامه به نمونه‌هایی از رفتار نیکوی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اسیران اشاره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رفتار با صفیه در جنگ خیبر</w:t>
      </w:r>
    </w:p>
    <w:p>
      <w:pPr>
        <w:pStyle w:val="BookText"/>
        <w:rPr/>
      </w:pPr>
      <w:r>
        <w:rPr>
          <w:rFonts w:ascii="IRNazanin" w:hAnsi="IRNazanin" w:eastAsia="IRNazanin"/>
          <w:color w:val="111111"/>
          <w:sz w:val="28"/>
          <w:sz w:val="28"/>
          <w:szCs w:val="28"/>
          <w:rtl w:val="true"/>
          <w:lang w:bidi="fa-IR"/>
        </w:rPr>
        <w:t>پس از پیروزی در جنگ خیبر، صفیه، دختر حیی بن اخطب، به اسارت گرفته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بلال حبشی او و زن دیگری را از کنار اجساد کشته‌شدگان یهود عبور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مشاهده ناراحتی صفیه، بلال را به خاطر این رفتار غیرانسانی سرزنش کردند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مهر و عاطفه از دلت رخت بربسته که آنان را از کنار کشته‌شدگانشان عبور می‌دهی؟ چرا بی‌رحمی کردی؟پیامبر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جبران این رنج، صفیه را آزاد کردند و سپس با پیشنهاد و رضایت کامل او، با ایشان ازدواد نمودند تا غم را از قلبش بزدایند</w:t>
      </w:r>
      <w:r>
        <w:rPr>
          <w:rFonts w:eastAsia="IRNazanin" w:cs="IRNazanin"/>
          <w:color w:val="111111"/>
          <w:sz w:val="28"/>
          <w:szCs w:val="28"/>
          <w:rtl w:val="true"/>
          <w:lang w:bidi="fa-IR"/>
        </w:rPr>
        <w:t>.</w:t>
      </w:r>
      <w:r>
        <w:rPr>
          <w:rStyle w:val="FootnoteAnchor"/>
          <w:rtl w:val="true"/>
        </w:rPr>
        <w:footnoteReference w:id="166"/>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رفتار با شیماء در جنگ حنین</w:t>
      </w:r>
    </w:p>
    <w:p>
      <w:pPr>
        <w:pStyle w:val="BookText"/>
        <w:rPr/>
      </w:pPr>
      <w:r>
        <w:rPr>
          <w:rFonts w:ascii="IRNazanin" w:hAnsi="IRNazanin" w:eastAsia="IRNazanin"/>
          <w:color w:val="111111"/>
          <w:sz w:val="28"/>
          <w:sz w:val="28"/>
          <w:szCs w:val="28"/>
          <w:rtl w:val="true"/>
          <w:lang w:bidi="fa-IR"/>
        </w:rPr>
        <w:t xml:space="preserve">شیماء، خواهر رضاعی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میان اسیران جنگ حنین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دیدن او، به پاس محبت‌هایش در دوران شیرخوارگی، برخاستند و عبای خود را برای نشستن او گستردند و با مهربانی از او احوالپرسی کردند</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وقتی شیماء آزادی اسیران قومش را درخواست کرد،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سهم خود را بخشید و به او توصیه کردند تا در جمع مسلمانان این درخواست را مطرح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نیز به پیروی از ایشان، سهم خود از اسیران را بخشیدند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همچنین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شیماء اختیار داد که نزد ایشان بماند یا به قوم خود بازگردد و با بخشش یک غلام و کنیز به او، احترام خود را نشان دادند</w:t>
      </w:r>
      <w:r>
        <w:rPr>
          <w:rFonts w:eastAsia="IRNazanin" w:cs="IRNazanin"/>
          <w:color w:val="111111"/>
          <w:sz w:val="28"/>
          <w:szCs w:val="28"/>
          <w:rtl w:val="true"/>
          <w:lang w:bidi="fa-IR"/>
        </w:rPr>
        <w:t>.</w:t>
      </w:r>
      <w:r>
        <w:rPr>
          <w:rStyle w:val="FootnoteAnchor"/>
          <w:rtl w:val="true"/>
        </w:rPr>
        <w:footnoteReference w:id="167"/>
      </w:r>
    </w:p>
    <w:p>
      <w:pPr>
        <w:pStyle w:val="BookText"/>
        <w:rPr/>
      </w:pPr>
      <w:r>
        <w:rPr>
          <w:rFonts w:ascii="IRNazanin" w:hAnsi="IRNazanin" w:eastAsia="IRNazanin"/>
          <w:color w:val="111111"/>
          <w:sz w:val="28"/>
          <w:sz w:val="28"/>
          <w:szCs w:val="28"/>
          <w:rtl w:val="true"/>
          <w:lang w:bidi="fa-IR"/>
        </w:rPr>
        <w:t>گفت‌وگوی مستقیم و امیدبخشی</w:t>
      </w:r>
    </w:p>
    <w:p>
      <w:pPr>
        <w:pStyle w:val="BookText"/>
        <w:rPr/>
      </w:pPr>
      <w:r>
        <w:rPr>
          <w:rFonts w:ascii="IRNazanin" w:hAnsi="IRNazanin" w:eastAsia="IRNazanin"/>
          <w:color w:val="111111"/>
          <w:sz w:val="28"/>
          <w:sz w:val="28"/>
          <w:szCs w:val="28"/>
          <w:rtl w:val="true"/>
          <w:lang w:bidi="fa-IR"/>
        </w:rPr>
        <w:t xml:space="preserve">خداوند در آیه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انفال به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می‌دهد تا مستقیماً با اسیران گفت‌وگو کرده و به آنان امید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خداوند در دل‌های شما خیری بیابد، بهتر از آنچه از شما گرفته شده به شما خواهد داد و گناهانتان را می‌بخشد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را از آزار و کشتن اسیران منع می‌کردند</w:t>
      </w:r>
      <w:r>
        <w:rPr>
          <w:rStyle w:val="FootnoteAnchor"/>
          <w:rtl w:val="true"/>
        </w:rPr>
        <w:footnoteReference w:id="168"/>
      </w:r>
      <w:r>
        <w:rPr>
          <w:rFonts w:ascii="IRNazanin" w:hAnsi="IRNazanin" w:eastAsia="IRNazanin"/>
          <w:color w:val="111111"/>
          <w:sz w:val="28"/>
          <w:sz w:val="28"/>
          <w:szCs w:val="28"/>
          <w:rtl w:val="true"/>
          <w:lang w:bidi="fa-IR"/>
        </w:rPr>
        <w:t>و بر خوشرفتاری با آنان تأکید داشتند</w:t>
      </w:r>
      <w:r>
        <w:rPr>
          <w:rFonts w:eastAsia="IRNazanin" w:cs="IRNazanin"/>
          <w:color w:val="111111"/>
          <w:sz w:val="28"/>
          <w:szCs w:val="28"/>
          <w:rtl w:val="true"/>
          <w:lang w:bidi="fa-IR"/>
        </w:rPr>
        <w:t>.</w:t>
      </w:r>
      <w:r>
        <w:rPr>
          <w:rStyle w:val="FootnoteAnchor"/>
          <w:rtl w:val="true"/>
        </w:rPr>
        <w:footnoteReference w:id="169"/>
      </w:r>
      <w:r>
        <w:rPr>
          <w:rFonts w:ascii="IRNazanin" w:hAnsi="IRNazanin" w:eastAsia="IRNazanin"/>
          <w:color w:val="111111"/>
          <w:sz w:val="28"/>
          <w:sz w:val="28"/>
          <w:szCs w:val="28"/>
          <w:rtl w:val="true"/>
          <w:lang w:bidi="fa-IR"/>
        </w:rPr>
        <w:t xml:space="preserve">حتی وقتی عمر بن خطاب پیشنهاد قطع زبان سهیل بن عمرو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سران مشرکان مکه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داد،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قاطعانه رد کردند و او را نکوهش نمودند</w:t>
      </w:r>
      <w:r>
        <w:rPr>
          <w:rStyle w:val="FootnoteAnchor"/>
          <w:rtl w:val="true"/>
        </w:rPr>
        <w:footnoteReference w:id="17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اسلام، حتی اگر اسیری محکوم به اعدام باشد، آزار او قبل از اجرای حکم جایز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آزادی اسیران باسواد در جنگ بدر، شرط آموزش سواد به ده مسلمان بی‌سواد را قرار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اقدام، نشان‌دهنده اهمیت فوق‌العاده علم‌آموزی در اسلام است</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توجه به شبهه مطرح شده مبنی بر دستور قتل دو اسیر در جنگ بدر توسط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حالی که ایشان بر حفظ حرمت اسیران تأکید داشتند، پاسخ به شرح زیر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شناسایی دو اسیر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دو فرد، نَضْر بن حارث و عُقبة بن ابی مُعَیْط بودند که از سران مشرکان و دشمنان سرسخت اسلام محسوب می‌شدند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علل صدور دستور قتل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دشمنی سازمان‌یافته و تأثیرگذاری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نضر بن حارث به عنوان یکی از محرکان اصلی جنگ بدر شناخته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با سفر به مناطق مجاور و آشنایی با داستان‌های فارسی مانند رستم و اسفندیار، به عمد در مقابل بیان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سرگذشت اقوام گذشته می‌نشست و ادعا می‌کرد داستان‌های او جذاب‌تر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اقدام نوعی جنگ روانی و تحریف حقایق برای منحرف کردن مردم از قرآن محسوب می‌شد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آیاتی از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مانند آیات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انعام،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مطففین و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انفال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مذمت او نازل شده بود که نشان از عمق فساد و تاثیرگذاری منفی او دارد</w:t>
      </w:r>
      <w:r>
        <w:rPr>
          <w:rFonts w:eastAsia="IRNazanin" w:cs="IRNazanin"/>
          <w:color w:val="111111"/>
          <w:sz w:val="28"/>
          <w:szCs w:val="28"/>
          <w:rtl w:val="true"/>
          <w:lang w:bidi="fa-IR"/>
        </w:rPr>
        <w:t>.</w:t>
      </w:r>
      <w:r>
        <w:rPr>
          <w:rStyle w:val="FootnoteAnchor"/>
          <w:rtl w:val="true"/>
        </w:rPr>
        <w:footnoteReference w:id="171"/>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آزار مستقیم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مسلمانان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عقبة بن ابی معیط از جمله افرادی بود 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صورت مستقیم آزار می‌داد و حتی پس از هجرت حضرت به مدینه، با سرودن اشعار تهدیدآمیز، قصد جنگ و خونریزی داشت</w:t>
      </w:r>
      <w:r>
        <w:rPr>
          <w:rFonts w:eastAsia="IRNazanin" w:cs="IRNazanin"/>
          <w:color w:val="111111"/>
          <w:sz w:val="28"/>
          <w:szCs w:val="28"/>
          <w:rtl w:val="true"/>
          <w:lang w:bidi="fa-IR"/>
        </w:rPr>
        <w:t>.</w:t>
      </w:r>
      <w:r>
        <w:rPr>
          <w:rStyle w:val="FootnoteAnchor"/>
          <w:rtl w:val="true"/>
        </w:rPr>
        <w:footnoteReference w:id="172"/>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صراحتاً علت قتل عقبه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دشمنی او با خدا و پیامبر و آزار دادن 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فرمودند</w:t>
      </w:r>
      <w:r>
        <w:rPr>
          <w:rFonts w:eastAsia="IRNazanin" w:cs="IRNazanin"/>
          <w:color w:val="111111"/>
          <w:sz w:val="28"/>
          <w:szCs w:val="28"/>
          <w:rtl w:val="true"/>
          <w:lang w:bidi="fa-IR"/>
        </w:rPr>
        <w:t>.</w:t>
      </w:r>
      <w:r>
        <w:rPr>
          <w:rStyle w:val="FootnoteAnchor"/>
          <w:rtl w:val="true"/>
        </w:rPr>
        <w:footnoteReference w:id="173"/>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مصالح عالی اسلامی</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حکم نه از روی انتقام‌جویی، بلکه با توجه به مصالح عمومی امت اسلامی صادر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دو نفر از چهره‌های تاثیرگذار در تحریک قبایل و </w:t>
      </w:r>
    </w:p>
    <w:p>
      <w:pPr>
        <w:pStyle w:val="BookText"/>
        <w:rPr/>
      </w:pPr>
      <w:r>
        <w:rPr>
          <w:rFonts w:ascii="IRNazanin" w:hAnsi="IRNazanin" w:eastAsia="IRNazanin"/>
          <w:color w:val="111111"/>
          <w:sz w:val="28"/>
          <w:sz w:val="28"/>
          <w:szCs w:val="28"/>
          <w:rtl w:val="true"/>
          <w:lang w:bidi="fa-IR"/>
        </w:rPr>
        <w:t>طراحی توطئه‌های ضداسلامی بودند و آزادی آنان تهدیدی جدی برای امنیت جامعه نوپای اسلامی محسوب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قوانین اسلام در موارد خاص و با توجه به خطراتی که منافع عمومی را تهدید می‌کند، قابلیت اعمال استثناها را داراست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اقدام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راستای حفظ اساس دعوت اسلامی و جلوگیری از فتنه‌انگیزی‌های آتی بود</w:t>
      </w:r>
      <w:r>
        <w:rPr>
          <w:rFonts w:eastAsia="IRNazanin" w:cs="IRNazanin"/>
          <w:color w:val="111111"/>
          <w:sz w:val="28"/>
          <w:szCs w:val="28"/>
          <w:rtl w:val="true"/>
          <w:lang w:bidi="fa-IR"/>
        </w:rPr>
        <w:t>.</w:t>
      </w:r>
      <w:r>
        <w:rPr>
          <w:rStyle w:val="FootnoteAnchor"/>
          <w:rtl w:val="true"/>
        </w:rPr>
        <w:footnoteReference w:id="174"/>
      </w:r>
    </w:p>
    <w:p>
      <w:pPr>
        <w:pStyle w:val="BookText"/>
        <w:rPr/>
      </w:pPr>
      <w:r>
        <w:rPr>
          <w:rFonts w:ascii="IRNazanin" w:hAnsi="IRNazanin" w:eastAsia="IRNazanin"/>
          <w:color w:val="111111"/>
          <w:sz w:val="28"/>
          <w:sz w:val="28"/>
          <w:szCs w:val="28"/>
          <w:rtl w:val="true"/>
          <w:lang w:bidi="fa-IR"/>
        </w:rPr>
        <w:t xml:space="preserve">رعایت حقوق اسیر در سیره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رفتار 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اسیران، تجلی کامل رعایت حقوق انسانی و اخلاقی حتی در سخت‌ترین شرایط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بارز این منش، برخورد ایشان با قاتل خود، ابن ملجم مرادی،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ضربت خوردن، حضرت به یاران خود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اسیر را نگه دارید، به او غذا و آب بدهید و در اسارت با او نیکی کنید</w:t>
      </w:r>
      <w:r>
        <w:rPr>
          <w:rStyle w:val="FootnoteAnchor"/>
          <w:rtl w:val="true"/>
        </w:rPr>
        <w:footnoteReference w:id="175"/>
      </w:r>
      <w:r>
        <w:rPr>
          <w:rFonts w:eastAsia="Times New Roman" w:cs="Times New Roman" w:ascii="Times New Roman" w:hAnsi="Times New Roman"/>
          <w:color w:val="111111"/>
          <w:sz w:val="28"/>
          <w:szCs w:val="28"/>
          <w:rtl w:val="true"/>
          <w:lang w:val="en-US" w:bidi="en-US"/>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همچنین، در ماجرای عبور امام از خانه عبدالله بن خلف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جنگ با امام کشته شده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هنگامی که همسر وی امام را با سخنان تند مورد خطاب قرار داد، حضرت نه تنها پاسخی خشم‌آلود ندادند، بلکه با بردباری برخورد کردند و تنها پس از تکرار سخنان آن زن، با متانت به او پاسخ دادند</w:t>
      </w:r>
      <w:r>
        <w:rPr>
          <w:rFonts w:eastAsia="IRNazanin" w:cs="IRNazanin"/>
          <w:color w:val="111111"/>
          <w:sz w:val="28"/>
          <w:szCs w:val="28"/>
          <w:rtl w:val="true"/>
          <w:lang w:bidi="fa-IR"/>
        </w:rPr>
        <w:t>.</w:t>
      </w:r>
      <w:r>
        <w:rPr>
          <w:rStyle w:val="FootnoteAnchor"/>
          <w:rtl w:val="true"/>
        </w:rPr>
        <w:footnoteReference w:id="176"/>
      </w:r>
    </w:p>
    <w:p>
      <w:pPr>
        <w:pStyle w:val="BookText"/>
        <w:rPr/>
      </w:pPr>
      <w:r>
        <w:rPr>
          <w:rFonts w:ascii="IRNazanin" w:hAnsi="IRNazanin" w:eastAsia="IRNazanin"/>
          <w:color w:val="111111"/>
          <w:sz w:val="28"/>
          <w:sz w:val="28"/>
          <w:szCs w:val="28"/>
          <w:rtl w:val="true"/>
          <w:lang w:bidi="fa-IR"/>
        </w:rPr>
        <w:t>عفو مجروحان و آزادی اسیران در جنگ جمل</w:t>
      </w:r>
    </w:p>
    <w:p>
      <w:pPr>
        <w:pStyle w:val="BookText"/>
        <w:rPr/>
      </w:pPr>
      <w:r>
        <w:rPr>
          <w:rFonts w:ascii="IRNazanin" w:hAnsi="IRNazanin" w:eastAsia="IRNazanin"/>
          <w:color w:val="111111"/>
          <w:sz w:val="28"/>
          <w:sz w:val="28"/>
          <w:szCs w:val="28"/>
          <w:rtl w:val="true"/>
          <w:lang w:bidi="fa-IR"/>
        </w:rPr>
        <w:t xml:space="preserve">پس از پایان جنگ جمل،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عفو مجروحان و آزادی اسیران را صادر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تبیین مصلحت این تصمیم می‌فرمایند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می‌دانستند که پس از ایشان حکومت به دست دیگران خواهد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آن زمان سختگیری می‌کردند، ممکن بود در آینده به زیان شیعیان تمام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 در نظر گرفتن مصلحت آینده جامعه اسلامی، فرمان آزادی و بخشش صادر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می‌فرمایند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زمانی که حضرت حجت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 کنند، با اسیران جنگی به گونه‌ای دیگر رفتار خواهد شد؛ چرا که دیگر قدرت و حکومت هرگز به دست دشمنان نخواهد افتاد</w:t>
      </w:r>
      <w:r>
        <w:rPr>
          <w:rStyle w:val="FootnoteAnchor"/>
          <w:rtl w:val="true"/>
        </w:rPr>
        <w:footnoteReference w:id="177"/>
      </w:r>
      <w:r>
        <w:rPr>
          <w:rFonts w:eastAsia="Times New Roman" w:cs="Times New Roman" w:ascii="Times New Roman" w:hAnsi="Times New Roman"/>
          <w:color w:val="111111"/>
          <w:sz w:val="28"/>
          <w:szCs w:val="28"/>
          <w:rtl w:val="true"/>
          <w:lang w:val="en-US" w:bidi="en-US"/>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رویکرد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نشان‌دهنده عمق دوراندیشی و رعایت مصلحت عمومی در سیره ایشان است، حتی زمانی که دشمن کاملاً در اختیارشان قرار گرفته بود</w:t>
      </w:r>
      <w:r>
        <w:rPr>
          <w:rFonts w:eastAsia="IRNazanin" w:cs="IRNazanin"/>
          <w:color w:val="111111"/>
          <w:sz w:val="28"/>
          <w:szCs w:val="28"/>
          <w:rtl w:val="true"/>
          <w:lang w:bidi="fa-IR"/>
        </w:rPr>
        <w:t xml:space="preserve">. </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39" w:name="pg18832_210942"/>
      <w:bookmarkStart w:id="240" w:name="pg18832_210942"/>
      <w:bookmarkEnd w:id="240"/>
    </w:p>
    <w:p>
      <w:pPr>
        <w:pStyle w:val="Heading2"/>
        <w:numPr>
          <w:ilvl w:val="1"/>
          <w:numId w:val="1"/>
        </w:numPr>
        <w:rPr/>
      </w:pPr>
      <w:bookmarkStart w:id="241" w:name="pg18832_210942"/>
      <w:bookmarkStart w:id="242" w:name="__RefHeading___Toc14292504_1280447820"/>
      <w:bookmarkStart w:id="243" w:name="_Toc91"/>
      <w:bookmarkEnd w:id="241"/>
      <w:bookmarkEnd w:id="242"/>
      <w:r>
        <w:rPr>
          <w:rtl w:val="true"/>
        </w:rPr>
        <w:t>فصل چهارم</w:t>
      </w:r>
      <w:r>
        <w:rPr>
          <w:rtl w:val="true"/>
        </w:rPr>
        <w:t xml:space="preserve">: </w:t>
      </w:r>
      <w:r>
        <w:rPr>
          <w:rtl w:val="true"/>
        </w:rPr>
        <w:t>تطبیق دو سیره در مواجهه با معارضان سیاسی</w:t>
      </w:r>
      <w:bookmarkEnd w:id="243"/>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44" w:name="__RefHeading___Toc14292506_1280447820"/>
      <w:bookmarkStart w:id="245" w:name="_Toc92"/>
      <w:bookmarkEnd w:id="244"/>
      <w:r>
        <w:rPr>
          <w:rtl w:val="true"/>
        </w:rPr>
        <w:t>اشاره</w:t>
      </w:r>
      <w:bookmarkEnd w:id="245"/>
    </w:p>
    <w:p>
      <w:pPr>
        <w:pStyle w:val="BookText"/>
        <w:rPr/>
      </w:pPr>
      <w:r>
        <w:rPr>
          <w:rFonts w:ascii="IRNazanin" w:hAnsi="IRNazanin" w:eastAsia="IRNazanin"/>
          <w:color w:val="111111"/>
          <w:sz w:val="28"/>
          <w:sz w:val="28"/>
          <w:szCs w:val="28"/>
          <w:rtl w:val="true"/>
          <w:lang w:bidi="fa-IR"/>
        </w:rPr>
        <w:t xml:space="preserve">در تحلیل مخالفان حکومت پیامبر مکرم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می‌توان آنان را در دسته‌بندی‌های زیر مورد بررسی قرار 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مخالفان برانداز</w:t>
      </w:r>
    </w:p>
    <w:p>
      <w:pPr>
        <w:pStyle w:val="BookText"/>
        <w:rPr/>
      </w:pPr>
      <w:r>
        <w:rPr>
          <w:rFonts w:ascii="IRNazanin" w:hAnsi="IRNazanin" w:eastAsia="IRNazanin"/>
          <w:color w:val="111111"/>
          <w:sz w:val="28"/>
          <w:sz w:val="28"/>
          <w:szCs w:val="28"/>
          <w:rtl w:val="true"/>
          <w:lang w:bidi="fa-IR"/>
        </w:rPr>
        <w:t>این گروه به صورت فعال و آگاهانه در پی سرنگونی نظام حکومتی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دوران حکومت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اصحاب جمل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عایشه، طلحه و 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یاران معاویه در جنگ صفین، در این دسته جای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با سازماندهی نیروهای نظامی و اعلان جنگ مستقیم، به مقابله آشکار با حکومت حق برخاستند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معاندان برانداز</w:t>
      </w:r>
    </w:p>
    <w:p>
      <w:pPr>
        <w:pStyle w:val="BookText"/>
        <w:rPr/>
      </w:pPr>
      <w:r>
        <w:rPr>
          <w:rFonts w:ascii="IRNazanin" w:hAnsi="IRNazanin" w:eastAsia="IRNazanin"/>
          <w:color w:val="111111"/>
          <w:sz w:val="28"/>
          <w:sz w:val="28"/>
          <w:szCs w:val="28"/>
          <w:rtl w:val="true"/>
          <w:lang w:bidi="fa-IR"/>
        </w:rPr>
        <w:t>این دسته علاوه بر مخالفت، دارای عناد و دشمنی عمیق با اساس حکومت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خوارج نهروان نمونه بارز این گروه هستند که با تفسیرهای </w:t>
      </w:r>
      <w:r>
        <w:rPr>
          <w:rFonts w:eastAsia="Times New Roman" w:cs="Times New Roman" w:ascii="Times New Roman" w:hAnsi="Times New Roman"/>
          <w:color w:val="111111"/>
          <w:sz w:val="28"/>
          <w:szCs w:val="28"/>
          <w:lang w:val="en-US" w:bidi="en-US"/>
        </w:rPr>
        <w:t>rigid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افراطی، نه تنها با حکومت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مخالفت کردند، بلکه به رویارویی مسلحانه و ترور دست زدند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جاهلان برانداز</w:t>
      </w:r>
    </w:p>
    <w:p>
      <w:pPr>
        <w:pStyle w:val="BookText"/>
        <w:rPr/>
      </w:pPr>
      <w:r>
        <w:rPr>
          <w:rFonts w:ascii="IRNazanin" w:hAnsi="IRNazanin" w:eastAsia="IRNazanin"/>
          <w:color w:val="111111"/>
          <w:sz w:val="28"/>
          <w:sz w:val="28"/>
          <w:szCs w:val="28"/>
          <w:rtl w:val="true"/>
          <w:lang w:bidi="fa-IR"/>
        </w:rPr>
        <w:t>این گروه از روی نادانی و عدم درک صحیح از مصالح اسلام و مسلمین، به صف مخالفان حکومت حق پیوستند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سپاهیان جمل و صفین که بدون آگاهی از اهداف پشت پرده فرماندهان خود می‌جنگیدند، در این رده قرار می‌گیرند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منافقان ساکت</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افراد اگرچه ظاهراً خود را بی‌طرف نشان می‌دادند، اما سکوت آنان در شرایط حساس، عملاً به تقویت جبهه باطن کمک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افرادی مانند سعد بن ابی وقاص و عبدالله بن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وجود جایگاه و نفوذ اجتماعی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خودداری از اعلام موضع شفاف در حمایت از جبهه حق، موجب تضعیف حکومت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ایجاد مشکلات عدیده شدند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تحلیل پیامدها</w:t>
      </w:r>
    </w:p>
    <w:p>
      <w:pPr>
        <w:pStyle w:val="BookText"/>
        <w:rPr/>
      </w:pPr>
      <w:r>
        <w:rPr>
          <w:rFonts w:ascii="IRNazanin" w:hAnsi="IRNazanin" w:eastAsia="IRNazanin"/>
          <w:color w:val="111111"/>
          <w:sz w:val="28"/>
          <w:sz w:val="28"/>
          <w:szCs w:val="28"/>
          <w:rtl w:val="true"/>
          <w:lang w:bidi="fa-IR"/>
        </w:rPr>
        <w:t xml:space="preserve">سکوت و عدم همراهی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منافقان ساکت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مواقع حساس، از چند جهت به حکومت حق آسیب می‌رساند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محروم کردن جبهه حق از پتانسیل‌های اجتماعی و نظامی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ایجاد تردید در افکار عمومی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تقویت روحیه مخالفان فعال</w:t>
      </w:r>
    </w:p>
    <w:p>
      <w:pPr>
        <w:pStyle w:val="BookText"/>
        <w:rPr/>
      </w:pPr>
      <w:r>
        <w:rPr>
          <w:rFonts w:ascii="IRNazanin" w:hAnsi="IRNazanin" w:eastAsia="IRNazanin"/>
          <w:color w:val="111111"/>
          <w:sz w:val="28"/>
          <w:sz w:val="28"/>
          <w:szCs w:val="28"/>
          <w:rtl w:val="true"/>
          <w:lang w:bidi="fa-IR"/>
        </w:rPr>
        <w:t>این دسته‌بندی نشان می‌دهد که براندازی یک حکومت حق می‌تواند هم از طریق مخالفت فعال و هم از طریق سکوت محاسبه‌شده صورت 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برخورد رهبران الهی با مخالفان خود، همواره بر پایه رحمت، عطوفت و حکمت استوار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حدیثی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بدی را با بدی پاسخ نمی‌دهم، بلکه آن را با خوبی پاسخ می‌دهم</w:t>
      </w:r>
      <w:r>
        <w:rPr>
          <w:rFonts w:eastAsia="IRNazanin" w:cs="IRNazanin"/>
          <w:color w:val="111111"/>
          <w:sz w:val="28"/>
          <w:szCs w:val="28"/>
          <w:rtl w:val="true"/>
          <w:lang w:bidi="fa-IR"/>
        </w:rPr>
        <w:t>.</w:t>
      </w:r>
      <w:r>
        <w:rPr>
          <w:rStyle w:val="FootnoteAnchor"/>
          <w:rtl w:val="true"/>
        </w:rPr>
        <w:footnoteReference w:id="178"/>
      </w:r>
      <w:r>
        <w:rPr>
          <w:rFonts w:ascii="IRNazanin" w:hAnsi="IRNazanin" w:eastAsia="IRNazanin"/>
          <w:color w:val="111111"/>
          <w:sz w:val="28"/>
          <w:sz w:val="28"/>
          <w:szCs w:val="28"/>
          <w:rtl w:val="true"/>
          <w:lang w:bidi="fa-IR"/>
        </w:rPr>
        <w:t>این رویکرد، اساس تعامل ایشان با مخالفان را تشکیل می‌داد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عهدنامه خود به مالک اشتر بر همین اصل تأکید می‌فرمایند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مهربانی، عطوفت و نرم‌خویی با مردم را در دل خود جای ده، از صمیم قلب آنان را دوست بدار و به ایشان نیکی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آنان همانند درنده‌ای مباش که خوردنشان را غنیمت شماری؛ زیرا مردم دو گروهند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دسته‌ای برادر دینی تو هستند و گروه دیگر در آفرینش همانند تو</w:t>
      </w:r>
      <w:r>
        <w:rPr>
          <w:rFonts w:eastAsia="IRNazanin" w:cs="IRNazanin"/>
          <w:color w:val="111111"/>
          <w:sz w:val="28"/>
          <w:szCs w:val="28"/>
          <w:rtl w:val="true"/>
          <w:lang w:bidi="fa-IR"/>
        </w:rPr>
        <w:t>.</w:t>
      </w:r>
      <w:r>
        <w:rPr>
          <w:rStyle w:val="FootnoteAnchor"/>
          <w:rtl w:val="true"/>
        </w:rPr>
        <w:footnoteReference w:id="179"/>
      </w:r>
      <w:r>
        <w:rPr>
          <w:rFonts w:eastAsia="Times New Roman" w:cs="Times New Roman" w:ascii="Times New Roman" w:hAnsi="Times New Roman"/>
          <w:color w:val="111111"/>
          <w:sz w:val="28"/>
          <w:szCs w:val="28"/>
          <w:rtl w:val="true"/>
          <w:lang w:val="en-US" w:bidi="en-US"/>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دوران حکومت کوتاه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دلیل مواجهه با مخالفت‌های گسترده گروه‌های مختلف، زمینه‌ی نمایش سیره عملی ایشان در برخورد با مخالفان به وضوح قابل مشاهده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اگرچه شرایطی مانند رویارویی مسلمانان با یکدیگر در آن مقطع بی‌سابقه بود، اما تطبیق سیره امام با روش </w:t>
      </w:r>
      <w:bookmarkStart w:id="246" w:name="pg18832_210945"/>
    </w:p>
    <w:p>
      <w:pPr>
        <w:pStyle w:val="BookText"/>
        <w:rPr/>
      </w:pPr>
      <w:bookmarkEnd w:id="246"/>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نکات درخشان و درس‌آموزی را نمایان می‌سازد که نشان از تداوم همان اصول اخلاقی و انسانی در رهبری جامعه اسلامی دارد</w:t>
      </w:r>
      <w:r>
        <w:rPr>
          <w:rFonts w:eastAsia="IRNazanin" w:cs="IRNazanin"/>
          <w:color w:val="111111"/>
          <w:sz w:val="28"/>
          <w:szCs w:val="28"/>
          <w:rtl w:val="true"/>
          <w:lang w:bidi="fa-IR"/>
        </w:rPr>
        <w:t>.</w:t>
      </w:r>
    </w:p>
    <w:p>
      <w:pPr>
        <w:pStyle w:val="Heading3"/>
        <w:numPr>
          <w:ilvl w:val="2"/>
          <w:numId w:val="1"/>
        </w:numPr>
        <w:rPr/>
      </w:pPr>
      <w:bookmarkStart w:id="247" w:name="__RefHeading___Toc14292508_1280447820"/>
      <w:bookmarkStart w:id="248" w:name="_Toc93"/>
      <w:bookmarkEnd w:id="247"/>
      <w:r>
        <w:rPr/>
        <w:t>4.1</w:t>
      </w:r>
      <w:r>
        <w:rPr>
          <w:rtl w:val="true"/>
        </w:rPr>
        <w:t xml:space="preserve">. </w:t>
      </w:r>
      <w:r>
        <w:rPr>
          <w:rtl w:val="true"/>
        </w:rPr>
        <w:t>برخورد با معارضان در سیره پیامبر</w:t>
      </w:r>
      <w:r>
        <w:rPr>
          <w:rtl w:val="true"/>
        </w:rPr>
        <w:t>(</w:t>
      </w:r>
      <w:r>
        <w:rPr>
          <w:rtl w:val="true"/>
        </w:rPr>
        <w:t>صلی الله علیه وآله</w:t>
      </w:r>
      <w:r>
        <w:rPr>
          <w:rtl w:val="true"/>
        </w:rPr>
        <w:t>)</w:t>
      </w:r>
      <w:bookmarkEnd w:id="248"/>
    </w:p>
    <w:p>
      <w:pPr>
        <w:pStyle w:val="Heading4"/>
        <w:numPr>
          <w:ilvl w:val="3"/>
          <w:numId w:val="1"/>
        </w:numPr>
        <w:rPr/>
      </w:pPr>
      <w:bookmarkStart w:id="249" w:name="__RefHeading___Toc14292510_1280447820"/>
      <w:bookmarkStart w:id="250" w:name="_Toc94"/>
      <w:bookmarkEnd w:id="249"/>
      <w:r>
        <w:rPr/>
        <w:t>4.1.1</w:t>
      </w:r>
      <w:r>
        <w:rPr>
          <w:rtl w:val="true"/>
        </w:rPr>
        <w:t xml:space="preserve">. </w:t>
      </w:r>
      <w:r>
        <w:rPr>
          <w:rtl w:val="true"/>
        </w:rPr>
        <w:t>مدارا</w:t>
      </w:r>
      <w:bookmarkEnd w:id="250"/>
    </w:p>
    <w:p>
      <w:pPr>
        <w:pStyle w:val="BookText"/>
        <w:rPr/>
      </w:pPr>
      <w:r>
        <w:rPr>
          <w:rFonts w:ascii="IRNazanin" w:hAnsi="IRNazanin" w:eastAsia="IRNazanin"/>
          <w:color w:val="111111"/>
          <w:sz w:val="28"/>
          <w:sz w:val="28"/>
          <w:szCs w:val="28"/>
          <w:rtl w:val="true"/>
          <w:lang w:bidi="fa-IR"/>
        </w:rPr>
        <w:t xml:space="preserve">مدارا به عنوان یک اصل کلیدی در طول دوران هجرت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در برخورد با منافقان مورد توجه ایشان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وجود تحریکات گسترده منافقان،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سیاست مدارا را در پیش گرفتند و ضمن کنترل شرایط، از سخت‌گیری و اعمال خشونت نسبت به آنان خودداری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مبانی فقهی و روایی مدارا با منافقان</w:t>
      </w:r>
    </w:p>
    <w:p>
      <w:pPr>
        <w:pStyle w:val="BookText"/>
        <w:rPr/>
      </w:pPr>
      <w:r>
        <w:rPr>
          <w:rFonts w:ascii="Amiri" w:hAnsi="Amiri" w:eastAsia="Amiri" w:cs="Amiri"/>
          <w:color w:val="111111"/>
          <w:sz w:val="28"/>
          <w:sz w:val="28"/>
          <w:szCs w:val="28"/>
          <w:rtl w:val="true"/>
          <w:lang w:bidi="ar-SA"/>
        </w:rPr>
        <w:t>مرحوم طبرسی در تفسیر آیه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النَّبِیُّ جَاهِدِ الْكُفَّارَ وَالْمُنَافِقِینَ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تحریم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می‌نویسد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جهاد با کفار به صورت جنگ و کشتن است، و جهاد با منافقان به گفتن سخنانی است که آنان را از کارهای زشت بازدارد، نه جنگ کردن با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این صورت نیز تلاش و جهاد صادق است</w:t>
      </w:r>
      <w:r>
        <w:rPr>
          <w:rFonts w:eastAsia="IRNazanin" w:cs="IRNazanin"/>
          <w:color w:val="111111"/>
          <w:sz w:val="28"/>
          <w:szCs w:val="28"/>
          <w:rtl w:val="true"/>
          <w:lang w:bidi="fa-IR"/>
        </w:rPr>
        <w:t>.</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همچنین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رَسُولَ اللَّهِ لَمَاَ یُقَاتِلْ مُنَافِقاً قَطُّ، إِنَّمَا كَانَ یَتَأَلَّفُهُمْ؛رسول خدا هیچگاه به قتل منافقان اقدام نکرد، همواره با آنان مهربانی و الفت می‌نمود</w:t>
      </w:r>
      <w:r>
        <w:rPr>
          <w:rFonts w:eastAsia="IRNazanin" w:cs="IRNazanin"/>
          <w:color w:val="111111"/>
          <w:sz w:val="28"/>
          <w:szCs w:val="28"/>
          <w:rtl w:val="true"/>
          <w:lang w:bidi="fa-IR"/>
        </w:rPr>
        <w:t>.</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نمونه تاریخی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 با عبدالله بن ابی</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عبدالله بن ابی، سرکرده منافقان، پس از حادثه بنی مصطلق در موقعیت سختی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فرزندش نزد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w:t>
      </w:r>
      <w:bookmarkStart w:id="251" w:name="pg18832_210946"/>
    </w:p>
    <w:p>
      <w:pPr>
        <w:pStyle w:val="BookText"/>
        <w:rPr/>
      </w:pPr>
      <w:bookmarkEnd w:id="251"/>
      <w:r>
        <w:rPr>
          <w:rFonts w:ascii="IRNazanin" w:hAnsi="IRNazanin" w:eastAsia="IRNazanin"/>
          <w:color w:val="111111"/>
          <w:sz w:val="28"/>
          <w:sz w:val="28"/>
          <w:szCs w:val="28"/>
          <w:rtl w:val="true"/>
          <w:lang w:bidi="fa-IR"/>
        </w:rPr>
        <w:t>تصمیم دارید او را به قتل برسانید، مرا مأمور این کار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زمانی که او در کنار ماست، با او رفیق و مهربان هستیم</w:t>
      </w:r>
      <w:r>
        <w:rPr>
          <w:rFonts w:eastAsia="IRNazanin" w:cs="IRNazanin"/>
          <w:color w:val="111111"/>
          <w:sz w:val="28"/>
          <w:szCs w:val="28"/>
          <w:rtl w:val="true"/>
          <w:lang w:bidi="fa-IR"/>
        </w:rPr>
        <w:t>.»</w:t>
      </w:r>
      <w:r>
        <w:rPr>
          <w:rStyle w:val="FootnoteAnchor"/>
          <w:rtl w:val="true"/>
        </w:rPr>
        <w:footnoteReference w:id="182"/>
      </w:r>
    </w:p>
    <w:p>
      <w:pPr>
        <w:pStyle w:val="BookText"/>
        <w:rPr/>
      </w:pPr>
      <w:r>
        <w:rPr>
          <w:rFonts w:ascii="IRNazanin" w:hAnsi="IRNazanin" w:eastAsia="IRNazanin"/>
          <w:color w:val="111111"/>
          <w:sz w:val="28"/>
          <w:sz w:val="28"/>
          <w:szCs w:val="28"/>
          <w:rtl w:val="true"/>
          <w:lang w:bidi="fa-IR"/>
        </w:rPr>
        <w:t xml:space="preserve">اسلام،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303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ادامه نمونه‌های دیگری از سیاست مدارای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می‌شود</w:t>
      </w:r>
      <w:r>
        <w:rPr>
          <w:rFonts w:eastAsia="IRNazanin" w:cs="IRNazanin"/>
          <w:color w:val="111111"/>
          <w:sz w:val="28"/>
          <w:szCs w:val="28"/>
          <w:rtl w:val="true"/>
          <w:lang w:bidi="fa-IR"/>
        </w:rPr>
        <w:t>:</w:t>
      </w:r>
    </w:p>
    <w:p>
      <w:pPr>
        <w:pStyle w:val="Heading4"/>
        <w:numPr>
          <w:ilvl w:val="3"/>
          <w:numId w:val="1"/>
        </w:numPr>
        <w:rPr/>
      </w:pPr>
      <w:bookmarkStart w:id="252" w:name="__RefHeading___Toc14292512_1280447820"/>
      <w:bookmarkStart w:id="253" w:name="_Toc95"/>
      <w:bookmarkEnd w:id="252"/>
      <w:r>
        <w:rPr/>
        <w:t>4.1.1</w:t>
      </w:r>
      <w:r>
        <w:rPr>
          <w:rtl w:val="true"/>
        </w:rPr>
        <w:t>.</w:t>
      </w:r>
      <w:r>
        <w:rPr>
          <w:rtl w:val="true"/>
        </w:rPr>
        <w:t>نادیده گرفتنِ آزار منافقان</w:t>
      </w:r>
      <w:bookmarkEnd w:id="253"/>
    </w:p>
    <w:p>
      <w:pPr>
        <w:pStyle w:val="BookText"/>
        <w:rPr/>
      </w:pPr>
      <w:r>
        <w:rPr>
          <w:rFonts w:ascii="IRNazanin" w:hAnsi="IRNazanin" w:eastAsia="IRNazanin"/>
          <w:color w:val="111111"/>
          <w:sz w:val="28"/>
          <w:sz w:val="28"/>
          <w:szCs w:val="28"/>
          <w:rtl w:val="true"/>
          <w:lang w:bidi="fa-IR"/>
        </w:rPr>
        <w:t>پس از شکست مسلمانان در جنگ احد، یهودیان و منافقان با سخنان تفرقه‌انگیز به آزار پیامبر و اصحاب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منافقان با بیان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کشته‌شدگان نزد ما می‌ماندند، کشته نمی‌شدند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صدد تضعیف روحیه مسلمانان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عمر با شنیدن این سخنان، نزد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تقاضای اجازه قتل این افراد را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قاطعیت پاسخ دادند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دینش را آشکار و رسولش را عزیز و حفظ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یهودیان، چون در ذمه ما هستند، اجازه قتلشان را نمی‌دهم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عمر در مورد منافقان پرسید، پیامبر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آنان شهادت نمی‌دهند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 و محمد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اما از روی ترس شمشیر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دادند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کشتن کسی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 و محمد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 نهی شده‌ام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با بیان امیدوارکننده افزودند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پسر خطاب، قریش دیگر اینگونه بر ما غلبه نخواهند کرد تا مکه را فتح کنیم</w:t>
      </w:r>
      <w:r>
        <w:rPr>
          <w:rFonts w:eastAsia="IRNazanin" w:cs="IRNazanin"/>
          <w:color w:val="111111"/>
          <w:sz w:val="28"/>
          <w:szCs w:val="28"/>
          <w:rtl w:val="true"/>
          <w:lang w:bidi="fa-IR"/>
        </w:rPr>
        <w:t>.</w:t>
      </w:r>
      <w:r>
        <w:rPr>
          <w:rStyle w:val="FootnoteAnchor"/>
          <w:rtl w:val="true"/>
        </w:rPr>
        <w:footnoteReference w:id="183"/>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موضعگیری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نشان می‌دهد که ایشان حتی در شرایط سخت پس از شکست نظامی، بر اصل مدارا پایدار ماندند و با درایت کامل، </w:t>
      </w:r>
      <w:bookmarkStart w:id="254" w:name="pg18832_210947"/>
    </w:p>
    <w:p>
      <w:pPr>
        <w:pStyle w:val="BookText"/>
        <w:rPr/>
      </w:pPr>
      <w:bookmarkEnd w:id="254"/>
      <w:r>
        <w:rPr>
          <w:rFonts w:ascii="IRNazanin" w:hAnsi="IRNazanin" w:eastAsia="IRNazanin"/>
          <w:color w:val="111111"/>
          <w:sz w:val="28"/>
          <w:sz w:val="28"/>
          <w:szCs w:val="28"/>
          <w:rtl w:val="true"/>
          <w:lang w:bidi="fa-IR"/>
        </w:rPr>
        <w:t>مانع از تشدید تنش‌های داخلی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رویکرد علاوه بر حفظ وحدت جامعه اسلامی، مانع از تبدیل مخالفان پنهان به دشمنان آشکار گردید</w:t>
      </w:r>
      <w:r>
        <w:rPr>
          <w:rFonts w:eastAsia="IRNazanin" w:cs="IRNazanin"/>
          <w:color w:val="111111"/>
          <w:sz w:val="28"/>
          <w:szCs w:val="28"/>
          <w:rtl w:val="true"/>
          <w:lang w:bidi="fa-IR"/>
        </w:rPr>
        <w:t>.</w:t>
      </w:r>
    </w:p>
    <w:p>
      <w:pPr>
        <w:pStyle w:val="Heading4"/>
        <w:numPr>
          <w:ilvl w:val="3"/>
          <w:numId w:val="1"/>
        </w:numPr>
        <w:rPr/>
      </w:pPr>
      <w:bookmarkStart w:id="255" w:name="__RefHeading___Toc14292514_1280447820"/>
      <w:bookmarkStart w:id="256" w:name="_Toc96"/>
      <w:bookmarkEnd w:id="255"/>
      <w:r>
        <w:rPr/>
        <w:t>4.1.2</w:t>
      </w:r>
      <w:r>
        <w:rPr>
          <w:rtl w:val="true"/>
        </w:rPr>
        <w:t>.</w:t>
      </w:r>
      <w:r>
        <w:rPr>
          <w:rtl w:val="true"/>
        </w:rPr>
        <w:t>پذیرش عذرخواهی منافقان</w:t>
      </w:r>
      <w:bookmarkEnd w:id="256"/>
    </w:p>
    <w:p>
      <w:pPr>
        <w:pStyle w:val="BookText"/>
        <w:rPr/>
      </w:pPr>
      <w:r>
        <w:rPr>
          <w:rFonts w:ascii="IRNazanin" w:hAnsi="IRNazanin" w:eastAsia="IRNazanin"/>
          <w:color w:val="111111"/>
          <w:sz w:val="28"/>
          <w:sz w:val="28"/>
          <w:szCs w:val="28"/>
          <w:rtl w:val="true"/>
          <w:lang w:bidi="fa-IR"/>
        </w:rPr>
        <w:t>غزوه تبوک به عنوان یک آزمون بزرگ برای مسلمانان، زمینه‌ساز آشکارسازی نیات درونی آنان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سفر نظامی در شرایطی سخت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گرما، مسافت طولانی، و همزمان با برداشت محصول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صورت گرفت، تا آنجا که سپاه شرکت‌کننده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جیش العسره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لشکر دشواری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اعلام بسیج عمومی، منافقان که در این مقطع بیش از هر زمان دیگری فعال بودند، به بهانه‌جویی روی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با بیان سخنانی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این گرما به سوی تبوک حرکت نکنید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می‌کوشیدند مردم را از جهاد بی‌میل کرده و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بترسانند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کریم در سوره توبه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3842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شرح دقیق این رویداد پرداخته و روحیه مسلمانان در آن دوره حساس را ترسیم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آیات آمده است 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دلسوزی و مدارا، به برخی افراد اجازه ماندن در مدینه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خداوند متعال خطاب به ایشان فرمود</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خدایت عفو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پیش از آنكه راستگویان و دروغگویان را بشناسی، به آنان اجازه دادی؟ كسانى كه به خدا و روز قیامت ایمان دارند، هرگز براى خوددارى از جهاد با اموال و جان‌هایشان از تو اجازه نمى‌گیرند؛ و خداوند به حال پرهیزگاران آگاه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كسانى از تو اجازه مى‌گیرند كه به خدا و روز قیامت ایمان ندارند و دلهاشان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شكّ و تردید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آشفته است؛ و آنان در تردید خود سرگردانند</w:t>
      </w:r>
      <w:r>
        <w:rPr>
          <w:rFonts w:eastAsia="IRNazanin" w:cs="IRNazanin"/>
          <w:color w:val="111111"/>
          <w:sz w:val="28"/>
          <w:szCs w:val="28"/>
          <w:rtl w:val="true"/>
          <w:lang w:bidi="fa-IR"/>
        </w:rPr>
        <w:t>.»</w:t>
      </w:r>
      <w:r>
        <w:rPr>
          <w:rStyle w:val="FootnoteAnchor"/>
          <w:rtl w:val="true"/>
        </w:rPr>
        <w:footnoteReference w:id="184"/>
      </w:r>
      <w:bookmarkStart w:id="257" w:name="pg18832_210948"/>
    </w:p>
    <w:p>
      <w:pPr>
        <w:pStyle w:val="BookText"/>
        <w:rPr/>
      </w:pPr>
      <w:bookmarkEnd w:id="257"/>
      <w:r>
        <w:rPr>
          <w:rFonts w:ascii="IRNazanin" w:hAnsi="IRNazanin" w:eastAsia="IRNazanin"/>
          <w:color w:val="111111"/>
          <w:sz w:val="28"/>
          <w:sz w:val="28"/>
          <w:szCs w:val="28"/>
          <w:rtl w:val="true"/>
          <w:lang w:bidi="fa-IR"/>
        </w:rPr>
        <w:t xml:space="preserve">این موضعگیری الهی نشان می‌دهد اگرچه مدارا و نرمش از اصول اساسی سیره نبوی بود، اما در مقاطع حساس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تشخیص حق از باطل برای حفظ مصالح عمومی ضرورت می‌یافت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می‌بایست دقت بیشتری صورت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رویداد به روشنی تعادل میان مدارا و تدبیر در مدیریت جامعه نوپای اسلامی را نمایان می‌سازد</w:t>
      </w:r>
      <w:r>
        <w:rPr>
          <w:rFonts w:eastAsia="IRNazanin" w:cs="IRNazanin"/>
          <w:color w:val="111111"/>
          <w:sz w:val="28"/>
          <w:szCs w:val="28"/>
          <w:rtl w:val="true"/>
          <w:lang w:bidi="fa-IR"/>
        </w:rPr>
        <w:t>.</w:t>
      </w:r>
    </w:p>
    <w:p>
      <w:pPr>
        <w:pStyle w:val="Heading4"/>
        <w:numPr>
          <w:ilvl w:val="3"/>
          <w:numId w:val="1"/>
        </w:numPr>
        <w:rPr/>
      </w:pPr>
      <w:bookmarkStart w:id="258" w:name="__RefHeading___Toc14292516_1280447820"/>
      <w:bookmarkStart w:id="259" w:name="_Toc97"/>
      <w:bookmarkEnd w:id="258"/>
      <w:r>
        <w:rPr/>
        <w:t>4.1.3</w:t>
      </w:r>
      <w:r>
        <w:rPr>
          <w:rtl w:val="true"/>
        </w:rPr>
        <w:t>.</w:t>
      </w:r>
      <w:r>
        <w:rPr>
          <w:rtl w:val="true"/>
        </w:rPr>
        <w:t>مدارای مدبّرانه در برابر تحریكات منافقان</w:t>
      </w:r>
      <w:bookmarkEnd w:id="259"/>
    </w:p>
    <w:p>
      <w:pPr>
        <w:pStyle w:val="BookText"/>
        <w:rPr/>
      </w:pPr>
      <w:r>
        <w:rPr>
          <w:rFonts w:ascii="IRNazanin" w:hAnsi="IRNazanin" w:eastAsia="IRNazanin"/>
          <w:color w:val="111111"/>
          <w:sz w:val="28"/>
          <w:sz w:val="28"/>
          <w:szCs w:val="28"/>
          <w:rtl w:val="true"/>
          <w:lang w:bidi="fa-IR"/>
        </w:rPr>
        <w:t>در حادثه‌ای که پس از جنگ بنی مصطلق رخ داد، درگیری لفظی بین دو فرد به نام‌های سِنان بن وَبَر و جَهجاه بن مسعود بر سر آب، به درگیری بین انصار و مهاجر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ابی، سرکرده منافقان، از این فرصت استفاده کرد و با سخنانی تحریک‌آمیز، آتش اختلاف را شعله‌ورتر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خودتان این وضعیت را به وجود آوردید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مهاجران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شهر خود راه دادید و اموالتان را با آنان تقسیم کردید، شمار شما کاهش یافت و بر تعداد آنان افزوده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امروز از آنان قطع حمایت کنید، خودشان از شهر شما خواهند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به مدینه بازگردم، عزیزان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انصار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ذلیلان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مهاجران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شهر بیرون خواهند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زید بن ارقم، نوجوانی که در جمع حاضر بود، این سخنان را به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شنیدن این خبر، چهره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ناراحتی دگرگون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ایشان با احتیاط، از زید پرسیدند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جوان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تو از او ناراحتی و چنین سخنی را به او نسبت می‌دهی؟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با قاطعیت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به خدا سوگند که این سخن را از او شنیدم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این خبر در لشکر پیچید، عبدالله بن ابی نزد پیامبر آمد و با قسم تأکید کرد که چنین سخنی نگفته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از اصحاب خواستار اجازه قتل او شدند، اما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درایت فرمودند</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خواهند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یاران خود را می‌کشد</w:t>
      </w:r>
      <w:r>
        <w:rPr>
          <w:rFonts w:eastAsia="IRNazanin" w:cs="IRNazanin"/>
          <w:color w:val="111111"/>
          <w:sz w:val="28"/>
          <w:szCs w:val="28"/>
          <w:rtl w:val="true"/>
          <w:lang w:bidi="fa-IR"/>
        </w:rPr>
        <w:t xml:space="preserve">.» </w:t>
      </w:r>
      <w:bookmarkStart w:id="260" w:name="pg18832_210949"/>
    </w:p>
    <w:p>
      <w:pPr>
        <w:pStyle w:val="BookText"/>
        <w:rPr/>
      </w:pPr>
      <w:bookmarkEnd w:id="260"/>
      <w:r>
        <w:rPr>
          <w:rFonts w:ascii="IRNazanin" w:hAnsi="IRNazanin" w:eastAsia="IRNazanin"/>
          <w:color w:val="111111"/>
          <w:sz w:val="28"/>
          <w:sz w:val="28"/>
          <w:szCs w:val="28"/>
          <w:rtl w:val="true"/>
          <w:lang w:bidi="fa-IR"/>
        </w:rPr>
        <w:t>ایشان برای جلوگیری از گسترش بیشتر فتنه، لشکر را به سرعت به حرکت درآوردند تا جایی که همه از خستگی به خواب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رفتار حکیمانه پیامبر، نمونه‌ای بارز از مدارای مدبرانه ایشان بود که از تشدید درگیری داخلی جلوگیری کرد</w:t>
      </w:r>
      <w:r>
        <w:rPr>
          <w:rFonts w:eastAsia="IRNazanin" w:cs="IRNazanin"/>
          <w:color w:val="111111"/>
          <w:sz w:val="28"/>
          <w:szCs w:val="28"/>
          <w:rtl w:val="true"/>
          <w:lang w:bidi="fa-IR"/>
        </w:rPr>
        <w:t>.</w:t>
      </w:r>
      <w:r>
        <w:rPr>
          <w:rStyle w:val="FootnoteAnchor"/>
          <w:rtl w:val="true"/>
        </w:rPr>
        <w:footnoteReference w:id="185"/>
      </w:r>
    </w:p>
    <w:p>
      <w:pPr>
        <w:pStyle w:val="BookText"/>
        <w:rPr/>
      </w:pPr>
      <w:r>
        <w:rPr>
          <w:rFonts w:ascii="IRNazanin" w:hAnsi="IRNazanin" w:eastAsia="IRNazanin"/>
          <w:color w:val="111111"/>
          <w:sz w:val="28"/>
          <w:sz w:val="28"/>
          <w:szCs w:val="28"/>
          <w:rtl w:val="true"/>
          <w:lang w:bidi="fa-IR"/>
        </w:rPr>
        <w:t xml:space="preserve">سپس، با نزول سوره منافقون، خداوند سخن زید بن ارقم را تأیید کرد و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نوجوان، خدا خبر تو را تأیید کرد</w:t>
      </w:r>
      <w:r>
        <w:rPr>
          <w:rFonts w:eastAsia="IRNazanin" w:cs="IRNazanin"/>
          <w:color w:val="111111"/>
          <w:sz w:val="28"/>
          <w:szCs w:val="28"/>
          <w:rtl w:val="true"/>
          <w:lang w:bidi="fa-IR"/>
        </w:rPr>
        <w:t>.</w:t>
      </w:r>
      <w:r>
        <w:rPr>
          <w:rStyle w:val="FootnoteAnchor"/>
          <w:rtl w:val="true"/>
        </w:rPr>
        <w:footnoteReference w:id="186"/>
      </w:r>
      <w:r>
        <w:rPr>
          <w:rFonts w:ascii="IRNazanin" w:hAnsi="IRNazanin" w:eastAsia="IRNazanin"/>
          <w:color w:val="111111"/>
          <w:sz w:val="28"/>
          <w:sz w:val="28"/>
          <w:szCs w:val="28"/>
          <w:rtl w:val="true"/>
          <w:lang w:bidi="fa-IR"/>
        </w:rPr>
        <w:t>این واقعه نشان می‌دهد که پیامبر حتی در مواجهه با صریح‌ترین تحریکات، با حفظ آرامش و تدبیر، مصالح کلی جامعه اسلامی را بر واکنش‌های احساسی ترجیح می‌دادند</w:t>
      </w:r>
      <w:r>
        <w:rPr>
          <w:rFonts w:eastAsia="IRNazanin" w:cs="IRNazanin"/>
          <w:color w:val="111111"/>
          <w:sz w:val="28"/>
          <w:szCs w:val="28"/>
          <w:rtl w:val="true"/>
          <w:lang w:bidi="fa-IR"/>
        </w:rPr>
        <w:t>.</w:t>
      </w:r>
    </w:p>
    <w:p>
      <w:pPr>
        <w:pStyle w:val="Heading4"/>
        <w:numPr>
          <w:ilvl w:val="3"/>
          <w:numId w:val="1"/>
        </w:numPr>
        <w:rPr/>
      </w:pPr>
      <w:bookmarkStart w:id="261" w:name="__RefHeading___Toc14292518_1280447820"/>
      <w:bookmarkStart w:id="262" w:name="_Toc98"/>
      <w:bookmarkEnd w:id="261"/>
      <w:r>
        <w:rPr/>
        <w:t>4.1.2</w:t>
      </w:r>
      <w:r>
        <w:rPr>
          <w:rtl w:val="true"/>
        </w:rPr>
        <w:t xml:space="preserve">. </w:t>
      </w:r>
      <w:r>
        <w:rPr>
          <w:rtl w:val="true"/>
        </w:rPr>
        <w:t>روشنگری در برابر شایعه پراكنی</w:t>
      </w:r>
      <w:bookmarkEnd w:id="262"/>
    </w:p>
    <w:p>
      <w:pPr>
        <w:pStyle w:val="BookText"/>
        <w:rPr/>
      </w:pPr>
      <w:r>
        <w:rPr>
          <w:rFonts w:ascii="IRNazanin" w:hAnsi="IRNazanin" w:eastAsia="IRNazanin"/>
          <w:color w:val="111111"/>
          <w:sz w:val="28"/>
          <w:sz w:val="28"/>
          <w:szCs w:val="28"/>
          <w:rtl w:val="true"/>
          <w:lang w:bidi="fa-IR"/>
        </w:rPr>
        <w:t xml:space="preserve">در رویارویی با شایعه‌پراکنی منافقان،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بهره‌گیری از روشنگری هدفمند، توطئه‌های آنان را خنثی می‌ساختند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بارز این رویکرد، در حادثه گم شدن شتر ایشان در مسیر تبوک نمایان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هنگامی که شتر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گم شد، زید بن لصیت قینقاعی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منافقان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طعنه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محمد ادعای پیامبری و آگاهی از اخبار آسمانی دارد، ولی نمی‌داند شترش کجاست؟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بلافاصله با آگاهی بخشی به موقع، دو اقدام اساسی انجام دادند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افشای منبع شایعه</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یکی از منافقان چنین ادعایی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جمله هوشمندانه، هم هویت شایعه‌پرداز را آشکار کرد و هم انگیزه‌های پلید او را برملا ساخت</w:t>
      </w:r>
      <w:r>
        <w:rPr>
          <w:rFonts w:eastAsia="IRNazanin" w:cs="IRNazanin"/>
          <w:color w:val="111111"/>
          <w:sz w:val="28"/>
          <w:szCs w:val="28"/>
          <w:rtl w:val="true"/>
          <w:lang w:bidi="fa-IR"/>
        </w:rPr>
        <w:t xml:space="preserve">. </w:t>
      </w:r>
      <w:bookmarkStart w:id="263" w:name="pg18832_210950"/>
    </w:p>
    <w:p>
      <w:pPr>
        <w:pStyle w:val="BookText"/>
        <w:rPr/>
      </w:pPr>
      <w:bookmarkEnd w:id="263"/>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ارائه حقایق ملموس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بیان دقیق محل شتر، در فلان دره، با افساری که به درختی گیر کرده و بازیابی آن، ادعای منافق را بی‌اساس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واکنش حکیمانه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نتیجه کلیدی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ارائه پاسخی مستدل، از تردیدافکنی در عقاید مردم جلوگیری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شایعه به جای تضعیف موقعیت پیامبر، به عاملی برای رسوایی خود منافقان تبدیل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رویداد به وضوح نشان می‌دهد که روشنگری به موقع و مستند، کارآمدترین ابزار برای مقابله با جنگ روانی دشمنان است</w:t>
      </w:r>
      <w:r>
        <w:rPr>
          <w:rFonts w:eastAsia="IRNazanin" w:cs="IRNazanin"/>
          <w:color w:val="111111"/>
          <w:sz w:val="28"/>
          <w:szCs w:val="28"/>
          <w:rtl w:val="true"/>
          <w:lang w:bidi="fa-IR"/>
        </w:rPr>
        <w:t>.</w:t>
      </w:r>
      <w:r>
        <w:rPr>
          <w:rStyle w:val="FootnoteAnchor"/>
          <w:rtl w:val="true"/>
        </w:rPr>
        <w:footnoteReference w:id="187"/>
      </w:r>
    </w:p>
    <w:p>
      <w:pPr>
        <w:pStyle w:val="Heading4"/>
        <w:numPr>
          <w:ilvl w:val="3"/>
          <w:numId w:val="1"/>
        </w:numPr>
        <w:rPr/>
      </w:pPr>
      <w:bookmarkStart w:id="264" w:name="__RefHeading___Toc14292520_1280447820"/>
      <w:bookmarkStart w:id="265" w:name="_Toc99"/>
      <w:bookmarkEnd w:id="264"/>
      <w:r>
        <w:rPr/>
        <w:t>4.1.3</w:t>
      </w:r>
      <w:r>
        <w:rPr>
          <w:rtl w:val="true"/>
        </w:rPr>
        <w:t xml:space="preserve">. </w:t>
      </w:r>
      <w:r>
        <w:rPr>
          <w:rtl w:val="true"/>
        </w:rPr>
        <w:t>منزوی كردن منافقان</w:t>
      </w:r>
      <w:bookmarkEnd w:id="265"/>
    </w:p>
    <w:p>
      <w:pPr>
        <w:pStyle w:val="Heading5"/>
        <w:numPr>
          <w:ilvl w:val="4"/>
          <w:numId w:val="1"/>
        </w:numPr>
        <w:rPr/>
      </w:pPr>
      <w:bookmarkStart w:id="266" w:name="__RefHeading___Toc14292522_1280447820"/>
      <w:bookmarkStart w:id="267" w:name="_Toc100"/>
      <w:bookmarkEnd w:id="266"/>
      <w:r>
        <w:rPr>
          <w:rtl w:val="true"/>
        </w:rPr>
        <w:t>اشاره</w:t>
      </w:r>
      <w:bookmarkEnd w:id="267"/>
    </w:p>
    <w:p>
      <w:pPr>
        <w:pStyle w:val="BookText"/>
        <w:rPr/>
      </w:pPr>
      <w:r>
        <w:rPr>
          <w:rFonts w:ascii="IRNazanin" w:hAnsi="IRNazanin" w:eastAsia="IRNazanin"/>
          <w:color w:val="111111"/>
          <w:sz w:val="28"/>
          <w:sz w:val="28"/>
          <w:szCs w:val="28"/>
          <w:rtl w:val="true"/>
          <w:lang w:bidi="fa-IR"/>
        </w:rPr>
        <w:t xml:space="preserve">در سیاست‌های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قبال منافقان، انزوا به عنوان یک راهبرد کلیدی برای خنثی‌سازی توطئه‌های آنان، بدون رویارویی مستقیم فیزیکی، به کار گرفته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سیاست با وجود مدارای عمومی، با تدابیر هوشمندانه‌ای همراه بود که نفوذ و تاثیرگذاری منافقان را محدود می‌ساخت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مهم‌ترین این تدابیر به شرح زیر است</w:t>
      </w:r>
      <w:r>
        <w:rPr>
          <w:rFonts w:eastAsia="IRNazanin" w:cs="IRNazanin"/>
          <w:color w:val="111111"/>
          <w:sz w:val="28"/>
          <w:szCs w:val="28"/>
          <w:rtl w:val="true"/>
          <w:lang w:bidi="fa-IR"/>
        </w:rPr>
        <w:t>:</w:t>
      </w:r>
    </w:p>
    <w:p>
      <w:pPr>
        <w:pStyle w:val="Heading5"/>
        <w:numPr>
          <w:ilvl w:val="4"/>
          <w:numId w:val="1"/>
        </w:numPr>
        <w:rPr/>
      </w:pPr>
      <w:bookmarkStart w:id="268" w:name="__RefHeading___Toc14292524_1280447820"/>
      <w:bookmarkStart w:id="269" w:name="_Toc101"/>
      <w:bookmarkEnd w:id="268"/>
      <w:r>
        <w:rPr>
          <w:rtl w:val="true"/>
        </w:rPr>
        <w:t>الف</w:t>
      </w:r>
      <w:r>
        <w:rPr>
          <w:rtl w:val="true"/>
        </w:rPr>
        <w:t xml:space="preserve">. </w:t>
      </w:r>
      <w:r>
        <w:rPr>
          <w:rtl w:val="true"/>
        </w:rPr>
        <w:t>معرفی هویّت منافقان</w:t>
      </w:r>
      <w:bookmarkEnd w:id="269"/>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افشای چهره واقعی منافقان، زمینه نفوذ و فریب آنان را از بین می‌بردند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بارز، ماجرای توطئه ترور در بازگشت از تبوک بود که جبرئیل پیامبر را آگاه ساخت</w:t>
      </w:r>
      <w:r>
        <w:rPr>
          <w:rFonts w:eastAsia="IRNazanin" w:cs="IRNazanin"/>
          <w:color w:val="111111"/>
          <w:sz w:val="28"/>
          <w:szCs w:val="28"/>
          <w:rtl w:val="true"/>
          <w:lang w:bidi="fa-IR"/>
        </w:rPr>
        <w:t>.</w:t>
      </w:r>
      <w:r>
        <w:rPr>
          <w:rStyle w:val="FootnoteAnchor"/>
          <w:rtl w:val="true"/>
        </w:rPr>
        <w:footnoteReference w:id="188"/>
      </w:r>
      <w:r>
        <w:rPr>
          <w:rFonts w:ascii="IRNazanin" w:hAnsi="IRNazanin" w:eastAsia="IRNazanin"/>
          <w:color w:val="111111"/>
          <w:sz w:val="28"/>
          <w:sz w:val="28"/>
          <w:szCs w:val="28"/>
          <w:rtl w:val="true"/>
          <w:lang w:bidi="fa-IR"/>
        </w:rPr>
        <w:t>هنگامی که حذیفه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آنان را به قتل نمی‌رسانید؟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نمی‌خواهم عرب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محمد به </w:t>
      </w:r>
      <w:bookmarkStart w:id="270" w:name="pg18832_210951"/>
    </w:p>
    <w:p>
      <w:pPr>
        <w:pStyle w:val="BookText"/>
        <w:rPr/>
      </w:pPr>
      <w:bookmarkEnd w:id="270"/>
      <w:r>
        <w:rPr>
          <w:rFonts w:ascii="IRNazanin" w:hAnsi="IRNazanin" w:eastAsia="IRNazanin"/>
          <w:color w:val="111111"/>
          <w:sz w:val="28"/>
          <w:sz w:val="28"/>
          <w:szCs w:val="28"/>
          <w:rtl w:val="true"/>
          <w:lang w:bidi="fa-IR"/>
        </w:rPr>
        <w:t>کمک اصحابش پیروزی یافت، به کشتن آنها پرداخت</w:t>
      </w:r>
      <w:r>
        <w:rPr>
          <w:rStyle w:val="FootnoteAnchor"/>
          <w:rtl w:val="true"/>
        </w:rPr>
        <w:footnoteReference w:id="18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پاسخ، نشان از دوراندیشی سیاسی ایشان در حفظ وحدت ظاهری جامعه داشت</w:t>
      </w:r>
      <w:r>
        <w:rPr>
          <w:rFonts w:eastAsia="IRNazanin" w:cs="IRNazanin"/>
          <w:color w:val="111111"/>
          <w:sz w:val="28"/>
          <w:szCs w:val="28"/>
          <w:rtl w:val="true"/>
          <w:lang w:bidi="fa-IR"/>
        </w:rPr>
        <w:t>.</w:t>
      </w:r>
    </w:p>
    <w:p>
      <w:pPr>
        <w:pStyle w:val="Heading5"/>
        <w:numPr>
          <w:ilvl w:val="4"/>
          <w:numId w:val="1"/>
        </w:numPr>
        <w:rPr/>
      </w:pPr>
      <w:bookmarkStart w:id="271" w:name="__RefHeading___Toc14292526_1280447820"/>
      <w:bookmarkStart w:id="272" w:name="_Toc102"/>
      <w:bookmarkEnd w:id="271"/>
      <w:r>
        <w:rPr>
          <w:rtl w:val="true"/>
        </w:rPr>
        <w:t>ب</w:t>
      </w:r>
      <w:r>
        <w:rPr>
          <w:rtl w:val="true"/>
        </w:rPr>
        <w:t xml:space="preserve">. </w:t>
      </w:r>
      <w:r>
        <w:rPr>
          <w:rtl w:val="true"/>
        </w:rPr>
        <w:t>لعن و بی‌اعتبارسازی</w:t>
      </w:r>
      <w:bookmarkEnd w:id="272"/>
    </w:p>
    <w:p>
      <w:pPr>
        <w:pStyle w:val="BookText"/>
        <w:rPr/>
      </w:pPr>
      <w:r>
        <w:rPr>
          <w:rFonts w:ascii="IRNazanin" w:hAnsi="IRNazanin" w:eastAsia="IRNazanin"/>
          <w:color w:val="111111"/>
          <w:sz w:val="28"/>
          <w:sz w:val="28"/>
          <w:szCs w:val="28"/>
          <w:rtl w:val="true"/>
          <w:lang w:bidi="fa-IR"/>
        </w:rPr>
        <w:t>در بازگشت از تبوک، هنگامی که گروهی از منافقان عمداً دستور پیامبر برای حفظ آب را نادیده گرفتند و دیگران را تشنه گذاشتند، ایشان آشکارا آنان را لعن و نفرین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اقدام، ضمن بیان شدت عمل در برابر تخلف عمدی، مرز بین وفاداران و منافقان را برای جامعه ترسیم می‌کرد</w:t>
      </w:r>
      <w:r>
        <w:rPr>
          <w:rFonts w:eastAsia="IRNazanin" w:cs="IRNazanin"/>
          <w:color w:val="111111"/>
          <w:sz w:val="28"/>
          <w:szCs w:val="28"/>
          <w:rtl w:val="true"/>
          <w:lang w:bidi="fa-IR"/>
        </w:rPr>
        <w:t>.</w:t>
      </w:r>
      <w:r>
        <w:rPr>
          <w:rStyle w:val="FootnoteAnchor"/>
          <w:rtl w:val="true"/>
        </w:rPr>
        <w:footnoteReference w:id="190"/>
      </w:r>
    </w:p>
    <w:p>
      <w:pPr>
        <w:pStyle w:val="Heading5"/>
        <w:numPr>
          <w:ilvl w:val="4"/>
          <w:numId w:val="1"/>
        </w:numPr>
        <w:rPr/>
      </w:pPr>
      <w:bookmarkStart w:id="273" w:name="__RefHeading___Toc14292528_1280447820"/>
      <w:bookmarkStart w:id="274" w:name="_Toc103"/>
      <w:bookmarkEnd w:id="273"/>
      <w:r>
        <w:rPr>
          <w:rtl w:val="true"/>
        </w:rPr>
        <w:t>ج</w:t>
      </w:r>
      <w:r>
        <w:rPr>
          <w:rtl w:val="true"/>
        </w:rPr>
        <w:t xml:space="preserve">. </w:t>
      </w:r>
      <w:r>
        <w:rPr>
          <w:rtl w:val="true"/>
        </w:rPr>
        <w:t>تحقیر و بی اعتنایی</w:t>
      </w:r>
      <w:bookmarkEnd w:id="274"/>
    </w:p>
    <w:p>
      <w:pPr>
        <w:pStyle w:val="BookText"/>
        <w:rPr/>
      </w:pPr>
      <w:r>
        <w:rPr>
          <w:rFonts w:ascii="IRNazanin" w:hAnsi="IRNazanin" w:eastAsia="IRNazanin"/>
          <w:color w:val="111111"/>
          <w:sz w:val="28"/>
          <w:sz w:val="28"/>
          <w:szCs w:val="28"/>
          <w:rtl w:val="true"/>
          <w:lang w:bidi="fa-IR"/>
        </w:rPr>
        <w:t xml:space="preserve">در جنگ احد، هنگامی که عبدالله بن ابی با سیصد نفر از منافقان در حساسترین لحظه، سپاه اسلام را ترک کرد،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بی‌اعتنایی کامل، حتی به پشت سر خود نگاه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رفتار، نشان‌دهنده بی‌نیازی جبهه حق به چنین عناصر بی‌ثباتی بود و روحیه آنان را تضعیف می‌کرد</w:t>
      </w:r>
      <w:r>
        <w:rPr>
          <w:rFonts w:eastAsia="IRNazanin" w:cs="IRNazanin"/>
          <w:color w:val="111111"/>
          <w:sz w:val="28"/>
          <w:szCs w:val="28"/>
          <w:rtl w:val="true"/>
          <w:lang w:bidi="fa-IR"/>
        </w:rPr>
        <w:t>.</w:t>
      </w:r>
      <w:r>
        <w:rPr>
          <w:rStyle w:val="FootnoteAnchor"/>
          <w:rtl w:val="true"/>
        </w:rPr>
        <w:footnoteReference w:id="191"/>
      </w:r>
    </w:p>
    <w:p>
      <w:pPr>
        <w:pStyle w:val="Heading5"/>
        <w:numPr>
          <w:ilvl w:val="4"/>
          <w:numId w:val="1"/>
        </w:numPr>
        <w:rPr/>
      </w:pPr>
      <w:bookmarkStart w:id="275" w:name="__RefHeading___Toc14292530_1280447820"/>
      <w:bookmarkStart w:id="276" w:name="_Toc104"/>
      <w:bookmarkEnd w:id="275"/>
      <w:r>
        <w:rPr>
          <w:rtl w:val="true"/>
        </w:rPr>
        <w:t>د</w:t>
      </w:r>
      <w:r>
        <w:rPr>
          <w:rtl w:val="true"/>
        </w:rPr>
        <w:t xml:space="preserve">. </w:t>
      </w:r>
      <w:r>
        <w:rPr>
          <w:rtl w:val="true"/>
        </w:rPr>
        <w:t>محرومیت ازپستهای حسّاس</w:t>
      </w:r>
      <w:bookmarkEnd w:id="276"/>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خلق کریمانه، هیچگاه مسئولیت‌های حساس حکومتی را به منافقان نمی‌سپردند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احتیاط حکیمانه، مانع از نفوذ آنان در مراکز تصمیم‌گیری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پس از رحلت ایشان، این سیاست حیاتی رعایت نشد و در دوره خلفا به ویژه عثمان، منافقان به تدریج توانستند پست‌های کلیدی را تصاحب کنند که پیامدهای ویرانگری برای امت اسلامی به همراه آورد</w:t>
      </w:r>
      <w:r>
        <w:rPr>
          <w:rFonts w:eastAsia="IRNazanin" w:cs="IRNazanin"/>
          <w:color w:val="111111"/>
          <w:sz w:val="28"/>
          <w:szCs w:val="28"/>
          <w:rtl w:val="true"/>
          <w:lang w:bidi="fa-IR"/>
        </w:rPr>
        <w:t>.</w:t>
      </w:r>
      <w:r>
        <w:rPr>
          <w:rStyle w:val="FootnoteAnchor"/>
          <w:rtl w:val="true"/>
        </w:rPr>
        <w:footnoteReference w:id="192"/>
      </w:r>
      <w:bookmarkStart w:id="277" w:name="pg18832_210952"/>
    </w:p>
    <w:p>
      <w:pPr>
        <w:pStyle w:val="Heading4"/>
        <w:numPr>
          <w:ilvl w:val="3"/>
          <w:numId w:val="1"/>
        </w:numPr>
        <w:rPr/>
      </w:pPr>
      <w:bookmarkStart w:id="278" w:name="__RefHeading___Toc14292532_1280447820"/>
      <w:bookmarkStart w:id="279" w:name="_Toc105"/>
      <w:bookmarkEnd w:id="277"/>
      <w:bookmarkEnd w:id="278"/>
      <w:r>
        <w:rPr/>
        <w:t>4.1.4</w:t>
      </w:r>
      <w:r>
        <w:rPr>
          <w:rtl w:val="true"/>
        </w:rPr>
        <w:t xml:space="preserve">. </w:t>
      </w:r>
      <w:r>
        <w:rPr>
          <w:rtl w:val="true"/>
        </w:rPr>
        <w:t>اعمال خشونت</w:t>
      </w:r>
      <w:bookmarkEnd w:id="279"/>
    </w:p>
    <w:p>
      <w:pPr>
        <w:pStyle w:val="BookText"/>
        <w:rPr/>
      </w:pPr>
      <w:r>
        <w:rPr>
          <w:rFonts w:ascii="IRNazanin" w:hAnsi="IRNazanin" w:eastAsia="IRNazanin"/>
          <w:color w:val="111111"/>
          <w:sz w:val="28"/>
          <w:sz w:val="28"/>
          <w:szCs w:val="28"/>
          <w:rtl w:val="true"/>
          <w:lang w:bidi="fa-IR"/>
        </w:rPr>
        <w:t xml:space="preserve">در مواجهه با منافقان،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رویکردی مبتنی بر مدارا و انعطاف در پیش می‌گرفتند؛ اما هرگاه تشخیص می‌دادند که فعالیت‌های آنان به صورت سازمان‌یافته و هدفمند، امنیت جامعه اسلامی را تهدید می‌کند، با قاطعیت مداخله کرده و از گسترش فتنه جلوگیری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نمونه تاریخی زیر این رویکرد حکیمانه را به وضوح نشان می‌دهد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تخریب خانه سُوَیلم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پایگاه منافقان پیش از تبوک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 از حرکت سپاه اسلام به سوی تبوک، منافقان در خانه‌ای متعلق به یک یهودی به نام سویلم گرد می‌آمدند و هسته‌ی فتنه را سازماندهی می‌کردند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دستور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خانه که به پایگاه توطئه تبدیل شده بود، آتش زده شد</w:t>
      </w:r>
      <w:r>
        <w:rPr>
          <w:rFonts w:eastAsia="IRNazanin" w:cs="IRNazanin"/>
          <w:color w:val="111111"/>
          <w:sz w:val="28"/>
          <w:szCs w:val="28"/>
          <w:rtl w:val="true"/>
          <w:lang w:bidi="fa-IR"/>
        </w:rPr>
        <w:t>.</w:t>
      </w:r>
      <w:r>
        <w:rPr>
          <w:rStyle w:val="FootnoteAnchor"/>
          <w:rtl w:val="true"/>
        </w:rPr>
        <w:footnoteReference w:id="193"/>
      </w:r>
      <w:r>
        <w:rPr>
          <w:rFonts w:ascii="IRNazanin" w:hAnsi="IRNazanin" w:eastAsia="IRNazanin"/>
          <w:color w:val="111111"/>
          <w:sz w:val="28"/>
          <w:sz w:val="28"/>
          <w:szCs w:val="28"/>
          <w:rtl w:val="true"/>
          <w:lang w:bidi="fa-IR"/>
        </w:rPr>
        <w:t xml:space="preserve">این اقدام قاطع، نشان‌دهنده آن است که هرگاه منافقان از حالت پراکنده خارج شده و به تشکیل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هسته‌های سازمان‌یافته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می‌پرداختند، پیامبر با قاطعیت کامل وارد عمل می‌شدند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ماجرای مسجد ضِرار و فرمان تخریب آن</w:t>
      </w:r>
    </w:p>
    <w:p>
      <w:pPr>
        <w:pStyle w:val="BookText"/>
        <w:rPr/>
      </w:pPr>
      <w:r>
        <w:rPr>
          <w:rFonts w:ascii="IRNazanin" w:hAnsi="IRNazanin" w:eastAsia="IRNazanin"/>
          <w:color w:val="111111"/>
          <w:sz w:val="28"/>
          <w:sz w:val="28"/>
          <w:szCs w:val="28"/>
          <w:rtl w:val="true"/>
          <w:lang w:bidi="fa-IR"/>
        </w:rPr>
        <w:t>گروهی از منافقان از قبیله بنی غنم بن عوف، با انگیزه‌ای پلید و به قصد تفرقه‌افکنی، مسجدی در نزدیکی مسجد قبا ساختند و از پیامبر خواستند تا برای افتتاح آن در آنجا نماز بخوانند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که در آستانه حرکت به تبوک بودند، قضیه را به بازگشت موکول کردند؛ اما خداوند در سوره توبه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107110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را از نیت واقعی منافقان آگاه ساخت و این مسجد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ضِرار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مسجد زیان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w:t>
      </w:r>
      <w:r>
        <w:rPr>
          <w:rFonts w:eastAsia="IRNazanin" w:cs="IRNazanin"/>
          <w:color w:val="111111"/>
          <w:sz w:val="28"/>
          <w:szCs w:val="28"/>
          <w:rtl w:val="true"/>
          <w:lang w:bidi="fa-IR"/>
        </w:rPr>
        <w:t>.</w:t>
      </w:r>
      <w:r>
        <w:rPr>
          <w:rStyle w:val="FootnoteAnchor"/>
          <w:rtl w:val="true"/>
        </w:rPr>
        <w:footnoteReference w:id="194"/>
      </w:r>
      <w:r>
        <w:rPr>
          <w:rFonts w:ascii="IRNazanin" w:hAnsi="IRNazanin" w:eastAsia="IRNazanin"/>
          <w:color w:val="111111"/>
          <w:sz w:val="28"/>
          <w:sz w:val="28"/>
          <w:szCs w:val="28"/>
          <w:rtl w:val="true"/>
          <w:lang w:bidi="fa-IR"/>
        </w:rPr>
        <w:t>پس از این، پیامبر به گروهی از اصحاب دستور دادند مسجد را ویران کرده یا بسوزانند</w:t>
      </w:r>
      <w:r>
        <w:rPr>
          <w:rFonts w:eastAsia="IRNazanin" w:cs="IRNazanin"/>
          <w:color w:val="111111"/>
          <w:sz w:val="28"/>
          <w:szCs w:val="28"/>
          <w:rtl w:val="true"/>
          <w:lang w:bidi="fa-IR"/>
        </w:rPr>
        <w:t>.</w:t>
      </w:r>
      <w:r>
        <w:rPr>
          <w:rStyle w:val="FootnoteAnchor"/>
          <w:rtl w:val="true"/>
        </w:rPr>
        <w:footnoteReference w:id="195"/>
      </w:r>
      <w:bookmarkStart w:id="280" w:name="pg18832_210953"/>
    </w:p>
    <w:p>
      <w:pPr>
        <w:pStyle w:val="Heading3"/>
        <w:numPr>
          <w:ilvl w:val="2"/>
          <w:numId w:val="1"/>
        </w:numPr>
        <w:rPr/>
      </w:pPr>
      <w:bookmarkStart w:id="281" w:name="__RefHeading___Toc14292534_1280447820"/>
      <w:bookmarkStart w:id="282" w:name="_Toc106"/>
      <w:bookmarkEnd w:id="280"/>
      <w:bookmarkEnd w:id="281"/>
      <w:r>
        <w:rPr/>
        <w:t>4.2</w:t>
      </w:r>
      <w:r>
        <w:rPr>
          <w:rtl w:val="true"/>
        </w:rPr>
        <w:t xml:space="preserve">. </w:t>
      </w:r>
      <w:r>
        <w:rPr>
          <w:rtl w:val="true"/>
        </w:rPr>
        <w:t xml:space="preserve">برخورد با معارضان در سیره امیرالمومنین </w:t>
      </w:r>
      <w:r>
        <w:rPr>
          <w:rtl w:val="true"/>
        </w:rPr>
        <w:t>(</w:t>
      </w:r>
      <w:r>
        <w:rPr>
          <w:rtl w:val="true"/>
        </w:rPr>
        <w:t>علیه السلام</w:t>
      </w:r>
      <w:r>
        <w:rPr>
          <w:rtl w:val="true"/>
        </w:rPr>
        <w:t>)</w:t>
      </w:r>
      <w:bookmarkEnd w:id="282"/>
    </w:p>
    <w:p>
      <w:pPr>
        <w:pStyle w:val="Heading4"/>
        <w:numPr>
          <w:ilvl w:val="3"/>
          <w:numId w:val="1"/>
        </w:numPr>
        <w:rPr/>
      </w:pPr>
      <w:bookmarkStart w:id="283" w:name="__RefHeading___Toc14292536_1280447820"/>
      <w:bookmarkStart w:id="284" w:name="_Toc107"/>
      <w:bookmarkEnd w:id="283"/>
      <w:r>
        <w:rPr>
          <w:rtl w:val="true"/>
        </w:rPr>
        <w:t>اشاره</w:t>
      </w:r>
      <w:bookmarkEnd w:id="284"/>
    </w:p>
    <w:p>
      <w:pPr>
        <w:pStyle w:val="BookText"/>
        <w:rPr/>
      </w:pPr>
      <w:r>
        <w:rPr>
          <w:rFonts w:ascii="IRNazanin" w:hAnsi="IRNazanin" w:eastAsia="IRNazanin"/>
          <w:color w:val="111111"/>
          <w:sz w:val="28"/>
          <w:sz w:val="28"/>
          <w:szCs w:val="28"/>
          <w:rtl w:val="true"/>
          <w:lang w:bidi="fa-IR"/>
        </w:rPr>
        <w:t xml:space="preserve">اقدام 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شورش ناکثین، تجلی روشن سیاست مدارای حداکثری ایشان در عین پایبندی به اصلاح امت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حضرت در ربذه توقف کرده و برای حرکت به سوی بصره آماده می‌شد، گفت‌وگوی روشنگرانه‌ای با رفاعة بن رافع انجام داد که خط مشی ایشان را به وضوح ترسیم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مراحل برخورد امام با مخالفان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دعوت به اصلاح</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نیت کرده‌ام و تصمیم بر انجامش دارم، اصلاح است اگر از ما بپذیرند و به آن پاسخ مثبت دهند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بذل و بخشش از حق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را فرا می‌خوانیم و از حق به اندازه‌ای به آنان می‌بخشیم که امید داریم راضی 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واگذاری در صورت عدم تعرض</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وقتی که آنان ما را به خود واگذارند، آنها را به حال خود وا می‌گذاریم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دفاع در برابر تهاجم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ما را به خود واگذار نکنند، در مقابل آنان از خود دفاع می‌کنیم</w:t>
      </w:r>
      <w:r>
        <w:rPr>
          <w:rFonts w:eastAsia="IRNazanin" w:cs="IRNazanin"/>
          <w:color w:val="111111"/>
          <w:sz w:val="28"/>
          <w:szCs w:val="28"/>
          <w:rtl w:val="true"/>
          <w:lang w:bidi="fa-IR"/>
        </w:rPr>
        <w:t>.</w:t>
      </w:r>
      <w:r>
        <w:rPr>
          <w:rStyle w:val="FootnoteAnchor"/>
          <w:rtl w:val="true"/>
        </w:rPr>
        <w:footnoteReference w:id="196"/>
      </w:r>
    </w:p>
    <w:p>
      <w:pPr>
        <w:pStyle w:val="BookText"/>
        <w:rPr/>
      </w:pPr>
      <w:r>
        <w:rPr>
          <w:rFonts w:ascii="Amiri" w:hAnsi="Amiri" w:eastAsia="Amiri" w:cs="Amiri"/>
          <w:color w:val="111111"/>
          <w:sz w:val="28"/>
          <w:sz w:val="28"/>
          <w:szCs w:val="28"/>
          <w:rtl w:val="true"/>
          <w:lang w:bidi="ar-SA"/>
        </w:rPr>
        <w:t>الكامل، ج</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گفتگو به روشنی نشان می‌دهد که سیره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برخورد با مخالفان، همانند پیامبر گرامی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 مدارا و گذشت استوار بود، اما این مدارا تا زمانی ادامه می‌یافت که طرف مقابل راه خشونت و قیام مسلحانه حکومت اسلامی را در پیش نگیرد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ناکثین با تجهیز سپاه و اشغال </w:t>
      </w:r>
      <w:bookmarkStart w:id="285" w:name="pg18832_210954"/>
    </w:p>
    <w:p>
      <w:pPr>
        <w:pStyle w:val="BookText"/>
        <w:rPr/>
      </w:pPr>
      <w:bookmarkEnd w:id="285"/>
      <w:r>
        <w:rPr>
          <w:rFonts w:ascii="IRNazanin" w:hAnsi="IRNazanin" w:eastAsia="IRNazanin"/>
          <w:color w:val="111111"/>
          <w:sz w:val="28"/>
          <w:sz w:val="28"/>
          <w:szCs w:val="28"/>
          <w:rtl w:val="true"/>
          <w:lang w:bidi="fa-IR"/>
        </w:rPr>
        <w:t>بصره عملاً به جنگ داخلی دامن زدند، امام با درایت کامل وارد مرحله دفاع مشروع شدند</w:t>
      </w:r>
      <w:r>
        <w:rPr>
          <w:rFonts w:eastAsia="IRNazanin" w:cs="IRNazanin"/>
          <w:color w:val="111111"/>
          <w:sz w:val="28"/>
          <w:szCs w:val="28"/>
          <w:rtl w:val="true"/>
          <w:lang w:bidi="fa-IR"/>
        </w:rPr>
        <w:t>.</w:t>
      </w:r>
    </w:p>
    <w:p>
      <w:pPr>
        <w:pStyle w:val="Heading4"/>
        <w:numPr>
          <w:ilvl w:val="3"/>
          <w:numId w:val="1"/>
        </w:numPr>
        <w:rPr/>
      </w:pPr>
      <w:bookmarkStart w:id="286" w:name="__RefHeading___Toc14292538_1280447820"/>
      <w:bookmarkStart w:id="287" w:name="_Toc108"/>
      <w:bookmarkEnd w:id="286"/>
      <w:r>
        <w:rPr>
          <w:rtl w:val="true"/>
        </w:rPr>
        <w:t>مقابله با معاندان برانداز</w:t>
      </w:r>
      <w:bookmarkEnd w:id="287"/>
    </w:p>
    <w:p>
      <w:pPr>
        <w:pStyle w:val="BookText"/>
        <w:rPr/>
      </w:pPr>
      <w:r>
        <w:rPr>
          <w:rFonts w:ascii="IRNazanin" w:hAnsi="IRNazanin" w:eastAsia="IRNazanin"/>
          <w:color w:val="111111"/>
          <w:sz w:val="28"/>
          <w:sz w:val="28"/>
          <w:szCs w:val="28"/>
          <w:rtl w:val="true"/>
          <w:lang w:bidi="fa-IR"/>
        </w:rPr>
        <w:t xml:space="preserve">برخورد 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معاویه به عنوان نماد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معاندان برانداز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الگویی کامل از پایبندی به اصول اخلاقی و اسلامی، حتی در سخت‌ترین شرایط سیاسی را ارائه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اقدامات حضرت را می‌توان در چند مرحله خلاصه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تلاش برای حل مسالمت‌آمیز و جلوگیری از خونریزی</w:t>
      </w:r>
    </w:p>
    <w:p>
      <w:pPr>
        <w:pStyle w:val="BookText"/>
        <w:rPr/>
      </w:pPr>
      <w:r>
        <w:rPr>
          <w:rFonts w:ascii="IRNazanin" w:hAnsi="IRNazanin" w:eastAsia="IRNazanin"/>
          <w:color w:val="111111"/>
          <w:sz w:val="28"/>
          <w:sz w:val="28"/>
          <w:szCs w:val="28"/>
          <w:rtl w:val="true"/>
          <w:lang w:bidi="fa-IR"/>
        </w:rPr>
        <w:t>اعزام نماینده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بلافاصله پس از بیعت مردم، جریر بن عبدالله را که رابطه دوستانه‌ای با معاویه داشت، برای مذاکره و گرفتن بیعت به شام فرستاد</w:t>
      </w:r>
      <w:r>
        <w:rPr>
          <w:rFonts w:eastAsia="IRNazanin" w:cs="IRNazanin"/>
          <w:color w:val="111111"/>
          <w:sz w:val="28"/>
          <w:szCs w:val="28"/>
          <w:rtl w:val="true"/>
          <w:lang w:bidi="fa-IR"/>
        </w:rPr>
        <w:t>.</w:t>
      </w:r>
      <w:r>
        <w:rPr>
          <w:rStyle w:val="FootnoteAnchor"/>
          <w:rtl w:val="true"/>
        </w:rPr>
        <w:footnoteReference w:id="197"/>
      </w:r>
    </w:p>
    <w:p>
      <w:pPr>
        <w:pStyle w:val="BookText"/>
        <w:rPr/>
      </w:pPr>
      <w:r>
        <w:rPr>
          <w:rFonts w:ascii="IRNazanin" w:hAnsi="IRNazanin" w:eastAsia="IRNazanin"/>
          <w:color w:val="111111"/>
          <w:sz w:val="28"/>
          <w:sz w:val="28"/>
          <w:szCs w:val="28"/>
          <w:rtl w:val="true"/>
          <w:lang w:bidi="fa-IR"/>
        </w:rPr>
        <w:t>سوءاستفاده 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با استفاده از این فرصت، مذاکرات را به مدت چهار ماه به تعویق انداخت تا خود را برای جنگ آماده کند و با تطمیع سران قبایل، پایگاه قدرت خود را تقویت نماید</w:t>
      </w:r>
      <w:r>
        <w:rPr>
          <w:rFonts w:eastAsia="IRNazanin" w:cs="IRNazanin"/>
          <w:color w:val="111111"/>
          <w:sz w:val="28"/>
          <w:szCs w:val="28"/>
          <w:rtl w:val="true"/>
          <w:lang w:bidi="fa-IR"/>
        </w:rPr>
        <w:t>.</w:t>
      </w:r>
      <w:r>
        <w:rPr>
          <w:rStyle w:val="FootnoteAnchor"/>
          <w:rtl w:val="true"/>
        </w:rPr>
        <w:footnoteReference w:id="198"/>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پایبندی به اخلاق حتی در آستانه جنگ</w:t>
      </w:r>
    </w:p>
    <w:p>
      <w:pPr>
        <w:pStyle w:val="BookText"/>
        <w:rPr/>
      </w:pPr>
      <w:r>
        <w:rPr>
          <w:rFonts w:ascii="IRNazanin" w:hAnsi="IRNazanin" w:eastAsia="IRNazanin"/>
          <w:color w:val="111111"/>
          <w:sz w:val="28"/>
          <w:sz w:val="28"/>
          <w:szCs w:val="28"/>
          <w:rtl w:val="true"/>
          <w:lang w:bidi="fa-IR"/>
        </w:rPr>
        <w:t>عدم آغاز 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به سپاهیان خود دستور دادند هرگز آغازگر نبرد نباشند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توصیه به مالک اشتر فرمودند</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حذر باش از اینکه تو آغازگر نبرد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دعوت به حق کنی و هر گونه بهانه و عذری را به طور مکرر بر آنها ببندی</w:t>
      </w:r>
      <w:r>
        <w:rPr>
          <w:rFonts w:eastAsia="IRNazanin" w:cs="IRNazanin"/>
          <w:color w:val="111111"/>
          <w:sz w:val="28"/>
          <w:szCs w:val="28"/>
          <w:rtl w:val="true"/>
          <w:lang w:bidi="fa-IR"/>
        </w:rPr>
        <w:t>.</w:t>
      </w:r>
      <w:r>
        <w:rPr>
          <w:rStyle w:val="FootnoteAnchor"/>
          <w:rtl w:val="true"/>
        </w:rPr>
        <w:footnoteReference w:id="19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دعوت مکرر به صلح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طول رویارویی در صفین، حدود ده نامه به معاویه نوشتند و او را به صلح و پذیرش حکم قرآن فراخواندند</w:t>
      </w:r>
      <w:r>
        <w:rPr>
          <w:rFonts w:eastAsia="IRNazanin" w:cs="IRNazanin"/>
          <w:color w:val="111111"/>
          <w:sz w:val="28"/>
          <w:szCs w:val="28"/>
          <w:rtl w:val="true"/>
          <w:lang w:bidi="fa-IR"/>
        </w:rPr>
        <w:t>.</w:t>
      </w:r>
      <w:r>
        <w:rPr>
          <w:rStyle w:val="FootnoteAnchor"/>
          <w:rtl w:val="true"/>
        </w:rPr>
        <w:footnoteReference w:id="200"/>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کنترل فضای اخلاقی در میدان نبرد</w:t>
      </w:r>
    </w:p>
    <w:p>
      <w:pPr>
        <w:pStyle w:val="BookText"/>
        <w:rPr/>
      </w:pPr>
      <w:r>
        <w:rPr>
          <w:rFonts w:ascii="IRNazanin" w:hAnsi="IRNazanin" w:eastAsia="IRNazanin"/>
          <w:color w:val="111111"/>
          <w:sz w:val="28"/>
          <w:sz w:val="28"/>
          <w:szCs w:val="28"/>
          <w:rtl w:val="true"/>
          <w:lang w:bidi="fa-IR"/>
        </w:rPr>
        <w:t>منع توهین متقابل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یاران امام در پاسخ به فحش‌های لشکر شام، به توهین متقابل روی آوردند، ایشان قاطعانه آنان را از این کار منع کرده و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جای دشنام دادن،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خون‌های ما و آنها را حفظ کن و میان ما و آنها صلح برقرار فرما و آنها را از گمراهی به هدایت رسان</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سیره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معاویه نشان می‌دهد که ایشان حتی در مواجهه با دشمنی که هیچ پایبندی به اصول اسلامی نداشت، هرگز از مسیر حق و اخلاق خارج نشدند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تلاش ایشان معطوف به جلوگیری از خونریزی بود و تنها هنگامی به جنگ تن دادند که تمام راه‌های مسالمت‌آمیز با شکست مواجه شد و دفاع از تمامیت امت اسلامی ضروری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رویکرد، عینی‌سازی همان سیره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برخورد با مخالفان بود</w:t>
      </w:r>
      <w:r>
        <w:rPr>
          <w:rFonts w:eastAsia="IRNazanin" w:cs="IRNazanin"/>
          <w:color w:val="111111"/>
          <w:sz w:val="28"/>
          <w:szCs w:val="28"/>
          <w:rtl w:val="true"/>
          <w:lang w:bidi="fa-IR"/>
        </w:rPr>
        <w:t xml:space="preserve">. </w:t>
      </w:r>
      <w:bookmarkStart w:id="288" w:name="pg18832_210956"/>
    </w:p>
    <w:p>
      <w:pPr>
        <w:pStyle w:val="Heading4"/>
        <w:numPr>
          <w:ilvl w:val="3"/>
          <w:numId w:val="1"/>
        </w:numPr>
        <w:rPr/>
      </w:pPr>
      <w:bookmarkStart w:id="289" w:name="__RefHeading___Toc14292540_1280447820"/>
      <w:bookmarkStart w:id="290" w:name="_Toc109"/>
      <w:bookmarkEnd w:id="288"/>
      <w:bookmarkEnd w:id="289"/>
      <w:r>
        <w:rPr>
          <w:rtl w:val="true"/>
        </w:rPr>
        <w:t>مواجه با جاهلان برانداز</w:t>
      </w:r>
      <w:bookmarkEnd w:id="290"/>
    </w:p>
    <w:p>
      <w:pPr>
        <w:pStyle w:val="BookText"/>
        <w:rPr/>
      </w:pPr>
      <w:r>
        <w:rPr>
          <w:rFonts w:ascii="IRNazanin" w:hAnsi="IRNazanin" w:eastAsia="IRNazanin"/>
          <w:color w:val="111111"/>
          <w:sz w:val="28"/>
          <w:sz w:val="28"/>
          <w:szCs w:val="28"/>
          <w:rtl w:val="true"/>
          <w:lang w:bidi="fa-IR"/>
        </w:rPr>
        <w:t xml:space="preserve">خوارج به عنوان نماد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جاهلان برانداز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تاریخ صدر اسلام، گروهی متعصب، خشن و انعطاف‌ناپذیر بودند که در پی واقعه حکمیت در جنگ صفین، از سپاه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 شدند و پرچم مخالفت برافراشتند</w:t>
      </w:r>
      <w:r>
        <w:rPr>
          <w:rStyle w:val="FootnoteAnchor"/>
          <w:rtl w:val="true"/>
        </w:rPr>
        <w:footnoteReference w:id="20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مواجهه امام با این گروه، الگویی کامل از صبر، مدارا و تلاش حداکثری برای هدایت، پیش از هرگونه اقدام قهری است</w:t>
      </w:r>
      <w:r>
        <w:rPr>
          <w:rFonts w:eastAsia="IRNazanin" w:cs="IRNazanin"/>
          <w:color w:val="111111"/>
          <w:sz w:val="28"/>
          <w:szCs w:val="28"/>
          <w:rtl w:val="true"/>
          <w:lang w:bidi="fa-IR"/>
        </w:rPr>
        <w:t>.</w:t>
      </w:r>
    </w:p>
    <w:p>
      <w:pPr>
        <w:pStyle w:val="Heading4"/>
        <w:numPr>
          <w:ilvl w:val="3"/>
          <w:numId w:val="1"/>
        </w:numPr>
        <w:rPr/>
      </w:pPr>
      <w:bookmarkStart w:id="291" w:name="__RefHeading___Toc14292542_1280447820"/>
      <w:bookmarkStart w:id="292" w:name="_Toc110"/>
      <w:bookmarkEnd w:id="291"/>
      <w:r>
        <w:rPr>
          <w:rtl w:val="true"/>
        </w:rPr>
        <w:t xml:space="preserve">سیره امام علی </w:t>
      </w:r>
      <w:r>
        <w:rPr>
          <w:rtl w:val="true"/>
        </w:rPr>
        <w:t>(</w:t>
      </w:r>
      <w:r>
        <w:rPr>
          <w:rtl w:val="true"/>
        </w:rPr>
        <w:t>علیه السلام</w:t>
      </w:r>
      <w:r>
        <w:rPr>
          <w:rtl w:val="true"/>
        </w:rPr>
        <w:t xml:space="preserve">) </w:t>
      </w:r>
      <w:r>
        <w:rPr>
          <w:rtl w:val="true"/>
        </w:rPr>
        <w:t>در مواجهه با خوارج</w:t>
      </w:r>
      <w:bookmarkEnd w:id="29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تلاش حداکثری برای هدایت و روشنگری</w:t>
      </w:r>
    </w:p>
    <w:p>
      <w:pPr>
        <w:pStyle w:val="BookText"/>
        <w:rPr/>
      </w:pPr>
      <w:r>
        <w:rPr>
          <w:rFonts w:ascii="IRNazanin" w:hAnsi="IRNazanin" w:eastAsia="IRNazanin"/>
          <w:color w:val="111111"/>
          <w:sz w:val="28"/>
          <w:sz w:val="28"/>
          <w:szCs w:val="28"/>
          <w:rtl w:val="true"/>
          <w:lang w:bidi="fa-IR"/>
        </w:rPr>
        <w:t xml:space="preserve">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مدت شش ماه، تنها از راه گفت‌وگو و استدلال به هدایت خوارج پرداخت و از هرگونه برخورد قهری خودداری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اقدامات ایشان شامل این موارد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ملاقات‌های خصوصی با رهبران خوارج برای پاسخگویی به شبهات و روشنگری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اعزام شخصیت‌های برجسته مانند ابن عباس، صعصعة بن صوحان و زیاد بن نضر برای مناظره و نصیحت</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حضور مستقیم امام در اردوگاه خوارج و استدلال گسترده با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از این گفتگوها، امام حتی برای آرام کردن فضا، بدون اشاره به گناه خاصی، توبه عمومی نمود</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ولایت،</w:t>
      </w:r>
      <w:r>
        <w:rPr>
          <w:rFonts w:eastAsia="IRNazanin" w:cs="IRNazanin"/>
          <w:color w:val="111111"/>
          <w:sz w:val="28"/>
          <w:szCs w:val="28"/>
          <w:lang w:bidi="fa-IR"/>
        </w:rPr>
        <w:t>627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همان،ص</w:t>
      </w:r>
      <w:r>
        <w:rPr>
          <w:rFonts w:eastAsia="IRNazanin" w:cs="IRNazanin"/>
          <w:color w:val="111111"/>
          <w:sz w:val="28"/>
          <w:szCs w:val="28"/>
          <w:lang w:bidi="fa-IR"/>
        </w:rPr>
        <w:t>632</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ابن ابی الحدید، شرح نهج البلاغه،ج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278</w:t>
      </w:r>
      <w:r>
        <w:rPr>
          <w:rFonts w:eastAsia="IRNazanin" w:cs="IRNazanin"/>
          <w:color w:val="111111"/>
          <w:sz w:val="28"/>
          <w:szCs w:val="28"/>
          <w:rtl w:val="true"/>
          <w:lang w:bidi="fa-IR"/>
        </w:rPr>
        <w:t xml:space="preserve"> .</w:t>
      </w:r>
      <w:bookmarkStart w:id="293" w:name="pg18832_210957"/>
    </w:p>
    <w:p>
      <w:pPr>
        <w:pStyle w:val="Heading4"/>
        <w:numPr>
          <w:ilvl w:val="3"/>
          <w:numId w:val="1"/>
        </w:numPr>
        <w:rPr/>
      </w:pPr>
      <w:bookmarkStart w:id="294" w:name="__RefHeading___Toc14292544_1280447820"/>
      <w:bookmarkStart w:id="295" w:name="_Toc111"/>
      <w:bookmarkEnd w:id="293"/>
      <w:bookmarkEnd w:id="294"/>
      <w:r>
        <w:rPr>
          <w:rtl w:val="true"/>
        </w:rPr>
        <w:t>مواجه با منافقان ساکت</w:t>
      </w:r>
      <w:bookmarkEnd w:id="295"/>
    </w:p>
    <w:p>
      <w:pPr>
        <w:pStyle w:val="BookText"/>
        <w:rPr/>
      </w:pPr>
      <w:r>
        <w:rPr>
          <w:rFonts w:ascii="IRNazanin" w:hAnsi="IRNazanin" w:eastAsia="IRNazanin"/>
          <w:color w:val="111111"/>
          <w:sz w:val="28"/>
          <w:sz w:val="28"/>
          <w:szCs w:val="28"/>
          <w:rtl w:val="true"/>
          <w:lang w:bidi="fa-IR"/>
        </w:rPr>
        <w:t xml:space="preserve">بررسی مواجهه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منافقان ساکت، الگویی از برخوردی حکیمانه، قاطع و مبتنی بر روشنگری را نمایان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 بهره‌گیری از تجربیات عصر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مقابله با این پدیده مخرب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سابقه درگیری امام با نفاق</w:t>
      </w:r>
    </w:p>
    <w:p>
      <w:pPr>
        <w:pStyle w:val="BookText"/>
        <w:rPr/>
      </w:pPr>
      <w:r>
        <w:rPr>
          <w:rFonts w:ascii="IRNazanin" w:hAnsi="IRNazanin" w:eastAsia="IRNazanin"/>
          <w:color w:val="111111"/>
          <w:sz w:val="28"/>
          <w:sz w:val="28"/>
          <w:szCs w:val="28"/>
          <w:rtl w:val="true"/>
          <w:lang w:bidi="fa-IR"/>
        </w:rPr>
        <w:t xml:space="preserve">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همان دوران جوانی و در رکاب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خوبی با چهره و تاکتیک‌های منافقان آشنا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بار سنگین خیانت منافقان در جنگ‌هایی مانند احد را به دوش کشیده و در غزوه تبوک، به عنوان جانشین پیامبر در مدینه، نقشه‌های آنان را خنثی کرده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 مشی کلی امام در حکومت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در دوران خلافت، سیاستی مبتنی بر صداقت مطلق و افشاگری در پیش گرفت و کوچک‌ترین مصلحت‌اندیشی کوتاه‌مدت را جایز ندانست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رویکرد در موارد زیر متجلی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برکناری فوری والیان فاسد و ناصالح مانند معاویه، بدون هیچ‌گونه مداهنه یا تجاهل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افشای چهره منافقان در خطبه‌ها و سخنان عمومی، به‌گونه‌ای که مردم بتوانند آنان را شناسایی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87</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امام پس از غلبه بر ناكثین، خطاب به شورشگران بصره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فیكم ختم النفاق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الانوار، ج</w:t>
      </w:r>
      <w:r>
        <w:rPr>
          <w:rFonts w:ascii="IRNazanin" w:hAnsi="IRNazanin" w:eastAsia="IRNazanin"/>
          <w:color w:val="111111"/>
          <w:sz w:val="28"/>
          <w:sz w:val="28"/>
          <w:szCs w:val="28"/>
          <w:lang w:bidi="fa-IR"/>
        </w:rPr>
        <w:t>‌</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226</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خصال، ص </w:t>
      </w:r>
      <w:r>
        <w:rPr>
          <w:rFonts w:eastAsia="IRNazanin" w:cs="IRNazanin"/>
          <w:color w:val="111111"/>
          <w:sz w:val="28"/>
          <w:szCs w:val="28"/>
          <w:lang w:bidi="fa-IR"/>
        </w:rPr>
        <w:t>232</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74</w:t>
      </w:r>
      <w:r>
        <w:rPr>
          <w:rFonts w:eastAsia="IRNazanin" w:cs="IRNazanin"/>
          <w:color w:val="111111"/>
          <w:sz w:val="28"/>
          <w:szCs w:val="28"/>
          <w:rtl w:val="true"/>
          <w:lang w:bidi="fa-IR"/>
        </w:rPr>
        <w:t>.</w:t>
      </w:r>
      <w:bookmarkStart w:id="296" w:name="pg18832_210958"/>
    </w:p>
    <w:p>
      <w:pPr>
        <w:pStyle w:val="Heading4"/>
        <w:numPr>
          <w:ilvl w:val="3"/>
          <w:numId w:val="1"/>
        </w:numPr>
        <w:rPr/>
      </w:pPr>
      <w:bookmarkStart w:id="297" w:name="__RefHeading___Toc14292546_1280447820"/>
      <w:bookmarkStart w:id="298" w:name="_Toc112"/>
      <w:bookmarkEnd w:id="296"/>
      <w:bookmarkEnd w:id="297"/>
      <w:r>
        <w:rPr>
          <w:rtl w:val="true"/>
        </w:rPr>
        <w:t>مصادیق برجسته منافقان ساکت</w:t>
      </w:r>
      <w:bookmarkEnd w:id="29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عبدالله بن عمر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بیعت با امام خودداری کرد و در هیچ یک از جنگ‌های جمل، صفین و نهروان شرکت نکرد</w:t>
      </w:r>
      <w:r>
        <w:rPr>
          <w:rFonts w:eastAsia="IRNazanin" w:cs="IRNazanin"/>
          <w:color w:val="111111"/>
          <w:sz w:val="28"/>
          <w:szCs w:val="28"/>
          <w:rtl w:val="true"/>
          <w:lang w:bidi="fa-IR"/>
        </w:rPr>
        <w:t>.</w:t>
      </w:r>
      <w:r>
        <w:rPr>
          <w:rStyle w:val="FootnoteAnchor"/>
          <w:rtl w:val="true"/>
        </w:rPr>
        <w:footnoteReference w:id="202"/>
      </w:r>
      <w:r>
        <w:rPr>
          <w:rFonts w:ascii="IRNazanin" w:hAnsi="IRNazanin" w:eastAsia="IRNazanin"/>
          <w:color w:val="111111"/>
          <w:sz w:val="28"/>
          <w:sz w:val="28"/>
          <w:szCs w:val="28"/>
          <w:rtl w:val="true"/>
          <w:lang w:bidi="fa-IR"/>
        </w:rPr>
        <w:t xml:space="preserve">با استناد به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دو طرف مسلمانند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خود را کنار کشید و عملاً به تقویت جبهه باطل کمک کرد</w:t>
      </w:r>
      <w:r>
        <w:rPr>
          <w:rFonts w:eastAsia="IRNazanin" w:cs="IRNazanin"/>
          <w:color w:val="111111"/>
          <w:sz w:val="28"/>
          <w:szCs w:val="28"/>
          <w:rtl w:val="true"/>
          <w:lang w:bidi="fa-IR"/>
        </w:rPr>
        <w:t>.</w:t>
      </w:r>
      <w:r>
        <w:rPr>
          <w:rStyle w:val="FootnoteAnchor"/>
          <w:rtl w:val="true"/>
        </w:rPr>
        <w:footnoteReference w:id="203"/>
      </w:r>
      <w:r>
        <w:rPr>
          <w:rFonts w:ascii="IRNazanin" w:hAnsi="IRNazanin" w:eastAsia="IRNazanin"/>
          <w:color w:val="111111"/>
          <w:sz w:val="28"/>
          <w:sz w:val="28"/>
          <w:szCs w:val="28"/>
          <w:rtl w:val="true"/>
          <w:lang w:bidi="fa-IR"/>
        </w:rPr>
        <w:t>امام در مورد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بن عمر نه حق را یاری کرد و نه باطل را نابود</w:t>
      </w:r>
      <w:r>
        <w:rPr>
          <w:rFonts w:eastAsia="IRNazanin" w:cs="IRNazanin"/>
          <w:color w:val="111111"/>
          <w:sz w:val="28"/>
          <w:szCs w:val="28"/>
          <w:rtl w:val="true"/>
          <w:lang w:bidi="fa-IR"/>
        </w:rPr>
        <w:t>.</w:t>
      </w:r>
      <w:r>
        <w:rPr>
          <w:rStyle w:val="FootnoteAnchor"/>
          <w:rtl w:val="true"/>
        </w:rPr>
        <w:footnoteReference w:id="20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نقل شده که در اواخر عمر از این موضعگیری پشیمان بود، اما رفتار او در آن مقطع حساس، ضربه‌ای جدی به جبهه حق وارد آورد</w:t>
      </w:r>
      <w:r>
        <w:rPr>
          <w:rFonts w:eastAsia="IRNazanin" w:cs="IRNazanin"/>
          <w:color w:val="111111"/>
          <w:sz w:val="28"/>
          <w:szCs w:val="28"/>
          <w:rtl w:val="true"/>
          <w:lang w:bidi="fa-IR"/>
        </w:rPr>
        <w:t>.</w:t>
      </w:r>
      <w:r>
        <w:rPr>
          <w:rStyle w:val="FootnoteAnchor"/>
          <w:rtl w:val="true"/>
        </w:rPr>
        <w:footnoteReference w:id="205"/>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سعد بن ابی وقاص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نیز از بیعت با امام سرباز زد و در جنگ‌ها شرکت نکرد</w:t>
      </w:r>
      <w:r>
        <w:rPr>
          <w:rFonts w:eastAsia="IRNazanin" w:cs="IRNazanin"/>
          <w:color w:val="111111"/>
          <w:sz w:val="28"/>
          <w:szCs w:val="28"/>
          <w:rtl w:val="true"/>
          <w:lang w:bidi="fa-IR"/>
        </w:rPr>
        <w:t>.</w:t>
      </w:r>
      <w:r>
        <w:rPr>
          <w:rStyle w:val="FootnoteAnchor"/>
          <w:rtl w:val="true"/>
        </w:rPr>
        <w:footnoteReference w:id="206"/>
      </w:r>
      <w:r>
        <w:rPr>
          <w:rFonts w:ascii="IRNazanin" w:hAnsi="IRNazanin" w:eastAsia="IRNazanin"/>
          <w:color w:val="111111"/>
          <w:sz w:val="28"/>
          <w:sz w:val="28"/>
          <w:szCs w:val="28"/>
          <w:rtl w:val="true"/>
          <w:lang w:bidi="fa-IR"/>
        </w:rPr>
        <w:t xml:space="preserve">با بهانه‌جویی‌هایی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ترس از کشتن 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منتظر بیعت همگان بودن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مسئولیت تاریخی خود را نادیده گرفت</w:t>
      </w:r>
      <w:r>
        <w:rPr>
          <w:rFonts w:eastAsia="IRNazanin" w:cs="IRNazanin"/>
          <w:color w:val="111111"/>
          <w:sz w:val="28"/>
          <w:szCs w:val="28"/>
          <w:rtl w:val="true"/>
          <w:lang w:bidi="fa-IR"/>
        </w:rPr>
        <w:t>.</w:t>
      </w:r>
      <w:r>
        <w:rPr>
          <w:rStyle w:val="FootnoteAnchor"/>
          <w:rtl w:val="true"/>
        </w:rPr>
        <w:footnoteReference w:id="207"/>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اشعث بن قیس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نماد نفاق فعال</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از خطرناک‌ترین منافقان درون سپاه امام بود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رأس النفاق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شد</w:t>
      </w:r>
      <w:r>
        <w:rPr>
          <w:rFonts w:eastAsia="IRNazanin" w:cs="IRNazanin"/>
          <w:color w:val="111111"/>
          <w:sz w:val="28"/>
          <w:szCs w:val="28"/>
          <w:rtl w:val="true"/>
          <w:lang w:bidi="fa-IR"/>
        </w:rPr>
        <w:t>.</w:t>
      </w:r>
      <w:r>
        <w:rPr>
          <w:rStyle w:val="FootnoteAnchor"/>
          <w:rtl w:val="true"/>
        </w:rPr>
        <w:footnoteReference w:id="208"/>
      </w:r>
      <w:r>
        <w:rPr>
          <w:rFonts w:ascii="IRNazanin" w:hAnsi="IRNazanin" w:eastAsia="IRNazanin"/>
          <w:color w:val="111111"/>
          <w:sz w:val="28"/>
          <w:sz w:val="28"/>
          <w:szCs w:val="28"/>
          <w:rtl w:val="true"/>
          <w:lang w:bidi="fa-IR"/>
        </w:rPr>
        <w:t>در بحرانی‌ترین لحظات جنگ صفین، سپاه امام را به عقب‌نشینی و پذیرش حکمیت تشویق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او را به صورت علنی بر فراز منبر کوفه رسوا و لعن کرد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منافق پسر کافر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خطابش نمود</w:t>
      </w:r>
      <w:r>
        <w:rPr>
          <w:rFonts w:eastAsia="IRNazanin" w:cs="IRNazanin"/>
          <w:color w:val="111111"/>
          <w:sz w:val="28"/>
          <w:szCs w:val="28"/>
          <w:rtl w:val="true"/>
          <w:lang w:bidi="fa-IR"/>
        </w:rPr>
        <w:t>.</w:t>
      </w:r>
      <w:r>
        <w:rPr>
          <w:rStyle w:val="FootnoteAnchor"/>
          <w:rtl w:val="true"/>
        </w:rPr>
        <w:footnoteReference w:id="209"/>
      </w:r>
    </w:p>
    <w:p>
      <w:pPr>
        <w:pStyle w:val="BookText"/>
        <w:rPr/>
      </w:pPr>
      <w:r>
        <w:rPr>
          <w:rFonts w:ascii="IRNazanin" w:hAnsi="IRNazanin" w:eastAsia="IRNazanin"/>
          <w:color w:val="111111"/>
          <w:sz w:val="28"/>
          <w:sz w:val="28"/>
          <w:szCs w:val="28"/>
          <w:rtl w:val="true"/>
          <w:lang w:bidi="fa-IR"/>
        </w:rPr>
        <w:t>راهکارهای امام برای مقابله با نفاق</w:t>
      </w:r>
    </w:p>
    <w:p>
      <w:pPr>
        <w:pStyle w:val="BookText"/>
        <w:rPr/>
      </w:pPr>
      <w:r>
        <w:rPr>
          <w:rFonts w:ascii="IRNazanin" w:hAnsi="IRNazanin" w:eastAsia="IRNazanin"/>
          <w:color w:val="111111"/>
          <w:sz w:val="28"/>
          <w:sz w:val="28"/>
          <w:szCs w:val="28"/>
          <w:rtl w:val="true"/>
          <w:lang w:bidi="fa-IR"/>
        </w:rPr>
        <w:t>امام برای خنثی‌سازی توطئه‌های منافقان، راهکارهای متعددی را به کار بست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هشدارهای مکرر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در خطبه‌ها و نامه‌هایش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نامه به محمد بن ابی‌بکر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را از خطر منافقان برحذر می‌داشت</w:t>
      </w:r>
      <w:r>
        <w:rPr>
          <w:rFonts w:eastAsia="IRNazanin" w:cs="IRNazanin"/>
          <w:color w:val="111111"/>
          <w:sz w:val="28"/>
          <w:szCs w:val="28"/>
          <w:rtl w:val="true"/>
          <w:lang w:bidi="fa-IR"/>
        </w:rPr>
        <w:t>.</w:t>
      </w:r>
      <w:r>
        <w:rPr>
          <w:rStyle w:val="FootnoteAnchor"/>
          <w:rtl w:val="true"/>
        </w:rPr>
        <w:footnoteReference w:id="21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افشاگری بی‌پروا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چهره واقعی منافقان را بدون واهمه از عواقب آن، برای مردم آشکار می‌ساخت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تمثیل‌های گویا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منافق را به درخت حنظل تشبیه می‌کرد که ظاهری سرسبز اما طعمی تلخ دارد</w:t>
      </w:r>
      <w:r>
        <w:rPr>
          <w:rFonts w:eastAsia="IRNazanin" w:cs="IRNazanin"/>
          <w:color w:val="111111"/>
          <w:sz w:val="28"/>
          <w:szCs w:val="28"/>
          <w:rtl w:val="true"/>
          <w:lang w:bidi="fa-IR"/>
        </w:rPr>
        <w:t>.</w:t>
      </w:r>
      <w:r>
        <w:rPr>
          <w:rStyle w:val="FootnoteAnchor"/>
          <w:rtl w:val="true"/>
        </w:rPr>
        <w:footnoteReference w:id="21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تشخیص مصداقی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به یارانش می‌آموخت که چگونه منافقان عالم‌نما و سیاستمداران دوچهره را شناسایی کنند</w:t>
      </w:r>
      <w:r>
        <w:rPr>
          <w:rFonts w:eastAsia="IRNazanin" w:cs="IRNazanin"/>
          <w:color w:val="111111"/>
          <w:sz w:val="28"/>
          <w:szCs w:val="28"/>
          <w:rtl w:val="true"/>
          <w:lang w:bidi="fa-IR"/>
        </w:rPr>
        <w:t>.</w:t>
      </w:r>
      <w:r>
        <w:rPr>
          <w:rStyle w:val="FootnoteAnchor"/>
          <w:rtl w:val="true"/>
        </w:rPr>
        <w:footnoteReference w:id="212"/>
      </w:r>
    </w:p>
    <w:p>
      <w:pPr>
        <w:pStyle w:val="BookText"/>
        <w:rPr/>
      </w:pPr>
      <w:r>
        <w:rPr>
          <w:rFonts w:ascii="IRNazanin" w:hAnsi="IRNazanin" w:eastAsia="IRNazanin"/>
          <w:color w:val="111111"/>
          <w:sz w:val="28"/>
          <w:sz w:val="28"/>
          <w:szCs w:val="28"/>
          <w:rtl w:val="true"/>
          <w:lang w:bidi="fa-IR"/>
        </w:rPr>
        <w:t xml:space="preserve">یافته‌ها به وضوح نشان می‌دهد که سیره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قبال مخالفان و منافقان، بر پایه مدارا و عفو به عنوان اصل اساسی استوار بود، اما این مدارا مطلق نبوده و در موارد ضروری با قاطعیت و جدیت همراه می‌شد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خلاصه‌ای از این رویکرد دووجهی را می‌توان به شرح زیر بیان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 بنیادین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مدارا و گذشت</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هدف اصلی رهبران الهی، هدایت و جذب قلوب بود، نه حذف فیزیکی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نمونه‌های بارز این رویکرد را می‌توان در برخورد پیامبر با عبدالله بن ابی، عفو عمومی در فتح مکه، و صبر شش‌ماهه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خوارج و گفت‌وگوهای مکرر با آنان مشاهده کرد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خط قرمز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اقدام مسلحانه و اخلال در امنیت عمومی</w:t>
      </w:r>
    </w:p>
    <w:p>
      <w:pPr>
        <w:pStyle w:val="BookText"/>
        <w:rPr/>
      </w:pPr>
      <w:r>
        <w:rPr>
          <w:rFonts w:ascii="IRNazanin" w:hAnsi="IRNazanin" w:eastAsia="IRNazanin"/>
          <w:color w:val="111111"/>
          <w:sz w:val="28"/>
          <w:sz w:val="28"/>
          <w:szCs w:val="28"/>
          <w:rtl w:val="true"/>
          <w:lang w:bidi="fa-IR"/>
        </w:rPr>
        <w:t>هنگامی که مخالفان از مرحله گفت‌وگو و ابراز نظر فراتر رفته و به شورش مسلحانه، فتنه‌انگیزی و تهدید تمامیت جامعه اسلامی اقدام می‌کردند، موضع رهبران الهی به قاطعیت تغییر می‌یافت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جنگ با ناکثین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 جمل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قاسطین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لشکر 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مارقین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چارچوب قابل تحلیل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راهبرد کلان در برابر منافقان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انزوا و افشاگری</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همان‌طور که اشاره شد،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منافقان عمدتاً از موضع سیاسی و روانی برخورد می‌کردند، نه نظامی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ابزار اصلی ایشان در این زمینه روشنگری، افشای چهره واقعی منافقان و محروم کردن آنان از پست‌های حساس بود تا از نفوذ و تأثیرگذاری آنان کاسته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راهبرد، جامعه را از درون در برابر این دشمن پنهان مصونیت می‌بخشید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مجموع، سیره معصومان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برخورد با مخالفان، الگویی حکیمانه و متعادل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مدارای حداکثری در عین قاطعیت لازم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نمایش 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الگو، هم بر ارزش‌های اخلاقی پای می‌فشارد و هم مصالح کلی و امنیت جامعه را به شکل واقع‌بینانه‌ای مدنظر قرار می‌دهد</w:t>
      </w:r>
      <w:r>
        <w:rPr>
          <w:rFonts w:eastAsia="IRNazanin" w:cs="IRNazanin"/>
          <w:color w:val="111111"/>
          <w:sz w:val="28"/>
          <w:szCs w:val="28"/>
          <w:rtl w:val="true"/>
          <w:lang w:bidi="fa-IR"/>
        </w:rPr>
        <w:t xml:space="preserve">. </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99" w:name="pg18832_210962"/>
      <w:bookmarkStart w:id="300" w:name="pg18832_210962"/>
      <w:bookmarkEnd w:id="300"/>
    </w:p>
    <w:p>
      <w:pPr>
        <w:pStyle w:val="Heading2"/>
        <w:numPr>
          <w:ilvl w:val="1"/>
          <w:numId w:val="1"/>
        </w:numPr>
        <w:rPr/>
      </w:pPr>
      <w:bookmarkStart w:id="301" w:name="pg18832_210962"/>
      <w:bookmarkStart w:id="302" w:name="__RefHeading___Toc14292548_1280447820"/>
      <w:bookmarkStart w:id="303" w:name="_Toc113"/>
      <w:bookmarkEnd w:id="301"/>
      <w:bookmarkEnd w:id="302"/>
      <w:r>
        <w:rPr>
          <w:rtl w:val="true"/>
        </w:rPr>
        <w:t>فصل پنجم</w:t>
      </w:r>
      <w:r>
        <w:rPr>
          <w:rtl w:val="true"/>
        </w:rPr>
        <w:t xml:space="preserve">: </w:t>
      </w:r>
      <w:r>
        <w:rPr>
          <w:rtl w:val="true"/>
        </w:rPr>
        <w:t xml:space="preserve">عدالت اقتصادی در سیره پیامبر </w:t>
      </w:r>
      <w:r>
        <w:rPr>
          <w:rtl w:val="true"/>
        </w:rPr>
        <w:t>(</w:t>
      </w:r>
      <w:r>
        <w:rPr>
          <w:rtl w:val="true"/>
        </w:rPr>
        <w:t>صلی الله علیه و آله</w:t>
      </w:r>
      <w:r>
        <w:rPr>
          <w:rtl w:val="true"/>
        </w:rPr>
        <w:t xml:space="preserve">) </w:t>
      </w:r>
      <w:r>
        <w:rPr>
          <w:rtl w:val="true"/>
        </w:rPr>
        <w:t xml:space="preserve">و امام علی </w:t>
      </w:r>
      <w:r>
        <w:rPr>
          <w:rtl w:val="true"/>
        </w:rPr>
        <w:t>(</w:t>
      </w:r>
      <w:r>
        <w:rPr>
          <w:rtl w:val="true"/>
        </w:rPr>
        <w:t>علیه السلام</w:t>
      </w:r>
      <w:r>
        <w:rPr>
          <w:rtl w:val="true"/>
        </w:rPr>
        <w:t>)</w:t>
      </w:r>
      <w:bookmarkEnd w:id="303"/>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04" w:name="__RefHeading___Toc14292550_1280447820"/>
      <w:bookmarkStart w:id="305" w:name="_Toc114"/>
      <w:bookmarkEnd w:id="304"/>
      <w:r>
        <w:rPr>
          <w:rtl w:val="true"/>
        </w:rPr>
        <w:t>اشاره</w:t>
      </w:r>
      <w:bookmarkStart w:id="306" w:name="pg18832_210963"/>
      <w:bookmarkEnd w:id="305"/>
    </w:p>
    <w:p>
      <w:pPr>
        <w:pStyle w:val="Heading3"/>
        <w:numPr>
          <w:ilvl w:val="2"/>
          <w:numId w:val="1"/>
        </w:numPr>
        <w:rPr/>
      </w:pPr>
      <w:bookmarkStart w:id="307" w:name="__RefHeading___Toc14292552_1280447820"/>
      <w:bookmarkStart w:id="308" w:name="_Toc115"/>
      <w:bookmarkEnd w:id="306"/>
      <w:bookmarkEnd w:id="307"/>
      <w:r>
        <w:rPr>
          <w:rtl w:val="true"/>
        </w:rPr>
        <w:t>مقدمه</w:t>
      </w:r>
      <w:r>
        <w:rPr>
          <w:rtl w:val="true"/>
        </w:rPr>
        <w:t>:</w:t>
      </w:r>
      <w:bookmarkEnd w:id="30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اقتصاد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لغت عرب به معنای میانه‌روی و اعتدال است</w:t>
      </w:r>
      <w:r>
        <w:rPr>
          <w:rStyle w:val="FootnoteAnchor"/>
          <w:rtl w:val="true"/>
        </w:rPr>
        <w:footnoteReference w:id="213"/>
      </w:r>
      <w:r>
        <w:rPr>
          <w:rFonts w:ascii="IRNazanin" w:hAnsi="IRNazanin" w:eastAsia="IRNazanin"/>
          <w:color w:val="111111"/>
          <w:sz w:val="28"/>
          <w:sz w:val="28"/>
          <w:szCs w:val="28"/>
          <w:rtl w:val="true"/>
          <w:lang w:bidi="fa-IR"/>
        </w:rPr>
        <w:t xml:space="preserve">و در اصطلاح ،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مطالعه روش تخصیص منابع محدود برای تأمین خواسته‌های نامحدود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می‌شود</w:t>
      </w:r>
      <w:r>
        <w:rPr>
          <w:rFonts w:eastAsia="IRNazanin" w:cs="IRNazanin"/>
          <w:color w:val="111111"/>
          <w:sz w:val="28"/>
          <w:szCs w:val="28"/>
          <w:rtl w:val="true"/>
          <w:lang w:bidi="fa-IR"/>
        </w:rPr>
        <w:t>.</w:t>
      </w:r>
      <w:r>
        <w:rPr>
          <w:rStyle w:val="FootnoteAnchor"/>
          <w:rtl w:val="true"/>
        </w:rPr>
        <w:footnoteReference w:id="214"/>
      </w:r>
    </w:p>
    <w:p>
      <w:pPr>
        <w:pStyle w:val="BookText"/>
        <w:rPr/>
      </w:pPr>
      <w:r>
        <w:rPr>
          <w:rFonts w:ascii="IRNazanin" w:hAnsi="IRNazanin" w:eastAsia="IRNazanin"/>
          <w:color w:val="111111"/>
          <w:sz w:val="28"/>
          <w:sz w:val="28"/>
          <w:szCs w:val="28"/>
          <w:rtl w:val="true"/>
          <w:lang w:bidi="fa-IR"/>
        </w:rPr>
        <w:t>با توجه به اینکه مسلمانان در مکه به دلیل تحریم‌های اقتصادی و آزار مشرکان، از درآمد شایسته‌ای محروم بودند، هنگام هجرت به مدینه نیز به دلیل پنهانی بودن حرکت، نتوانستند اموال خود را همراه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مجاورت مسجد النبی سکنا گزیدند</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سامان‌بخشی به وضعیت اقتصادی مهاجران، اقداماتی اساسی انجام دادند که به تدریج رفاه نسبی برای همگان فراهم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تحول چنان چشمگیر بود که مهاجران در سال‌های بعد صاحب مسکن، شغل و درآمد شدند و علاوه بر تأمین هزینه‌های زندگی، مازاد درآمد نیز داشتند؛</w:t>
      </w:r>
      <w:r>
        <w:rPr>
          <w:rStyle w:val="FootnoteAnchor"/>
          <w:rtl w:val="true"/>
        </w:rPr>
        <w:footnoteReference w:id="215"/>
      </w:r>
      <w:r>
        <w:rPr>
          <w:rFonts w:ascii="IRNazanin" w:hAnsi="IRNazanin" w:eastAsia="IRNazanin"/>
          <w:color w:val="111111"/>
          <w:sz w:val="28"/>
          <w:sz w:val="28"/>
          <w:szCs w:val="28"/>
          <w:rtl w:val="true"/>
          <w:lang w:bidi="fa-IR"/>
        </w:rPr>
        <w:t>تا آنجا که در سال نهم هجری، توانایی پرداخت زکات را پیدا کردند</w:t>
      </w:r>
      <w:r>
        <w:rPr>
          <w:rFonts w:eastAsia="IRNazanin" w:cs="IRNazanin"/>
          <w:color w:val="111111"/>
          <w:sz w:val="28"/>
          <w:szCs w:val="28"/>
          <w:rtl w:val="true"/>
          <w:lang w:bidi="fa-IR"/>
        </w:rPr>
        <w:t>.</w:t>
      </w:r>
      <w:r>
        <w:rPr>
          <w:rStyle w:val="FootnoteAnchor"/>
          <w:rtl w:val="true"/>
        </w:rPr>
        <w:footnoteReference w:id="216"/>
      </w:r>
      <w:bookmarkStart w:id="309" w:name="pg18832_210964"/>
    </w:p>
    <w:p>
      <w:pPr>
        <w:pStyle w:val="Heading3"/>
        <w:numPr>
          <w:ilvl w:val="2"/>
          <w:numId w:val="1"/>
        </w:numPr>
        <w:rPr/>
      </w:pPr>
      <w:bookmarkStart w:id="310" w:name="__RefHeading___Toc14292554_1280447820"/>
      <w:bookmarkStart w:id="311" w:name="_Toc116"/>
      <w:bookmarkEnd w:id="309"/>
      <w:bookmarkEnd w:id="310"/>
      <w:r>
        <w:rPr/>
        <w:t>5.1</w:t>
      </w:r>
      <w:r>
        <w:rPr>
          <w:rtl w:val="true"/>
        </w:rPr>
        <w:t>.</w:t>
      </w:r>
      <w:r>
        <w:rPr>
          <w:rtl w:val="true"/>
        </w:rPr>
        <w:t xml:space="preserve">اقتصاد مقاومتی در سیره پیامبر </w:t>
      </w:r>
      <w:r>
        <w:rPr>
          <w:rtl w:val="true"/>
        </w:rPr>
        <w:t>(</w:t>
      </w:r>
      <w:r>
        <w:rPr>
          <w:rtl w:val="true"/>
        </w:rPr>
        <w:t>صلی الله علیه وآله</w:t>
      </w:r>
      <w:r>
        <w:rPr>
          <w:rtl w:val="true"/>
        </w:rPr>
        <w:t>)</w:t>
      </w:r>
      <w:bookmarkEnd w:id="311"/>
    </w:p>
    <w:p>
      <w:pPr>
        <w:pStyle w:val="BookText"/>
        <w:rPr/>
      </w:pPr>
      <w:r>
        <w:rPr>
          <w:rFonts w:ascii="IRNazanin" w:hAnsi="IRNazanin" w:eastAsia="IRNazanin"/>
          <w:color w:val="111111"/>
          <w:sz w:val="28"/>
          <w:sz w:val="28"/>
          <w:szCs w:val="28"/>
          <w:rtl w:val="true"/>
          <w:lang w:bidi="fa-IR"/>
        </w:rPr>
        <w:t xml:space="preserve">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اقتصاد مقاومتی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می‌توان به معنای کارآفرینی و خودکفایی در برابر فشارهای اقتصادی دشمن تعریف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دلیل اصلی برای ضرورت کارآفرینی در آن دوره،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فشار اقتصادی دشمنان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لزوم آمادگی برای جهش اقتصادی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اقتصاد مقاومتی در عمل به معنای شناسایی حوزه‌های فشار و تلاش برای خنثی‌سازی و کنترل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هجرت، برای سامان‌دهی اقتصادی مهاجران و تقویت بنیه مالی جامعه نوپای اسلامی، اقدامات زیر را انجام دادند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برقراری پیمان برادری بین مهاجران و انصار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پیمان، تعهدات متقابلی را ایجاد کرد که از جمله آن‌ها، مسئولیت هر انصاری در کمک مالی به برادر مهاجر نیازمندش بود</w:t>
      </w:r>
      <w:r>
        <w:rPr>
          <w:rFonts w:eastAsia="IRNazanin" w:cs="IRNazanin"/>
          <w:color w:val="111111"/>
          <w:sz w:val="28"/>
          <w:szCs w:val="28"/>
          <w:rtl w:val="true"/>
          <w:lang w:bidi="fa-IR"/>
        </w:rPr>
        <w:t>.</w:t>
      </w:r>
      <w:r>
        <w:rPr>
          <w:rStyle w:val="FootnoteAnchor"/>
          <w:rtl w:val="true"/>
        </w:rPr>
        <w:footnoteReference w:id="217"/>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انعقاد قراردادهای مساقات و مزارعه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ورود مهاجران به مدینه، انصار پیشنهاد دادند که نیمی از اموال خود را به آنان واگذار کنند، اما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اقدام جلوگیری کرده و به جای آن، قراردادهای مشارکتی مساقات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آبیاری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مزارعه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کشاورزی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بین آنان برقرار نمود</w:t>
      </w:r>
      <w:r>
        <w:rPr>
          <w:rFonts w:eastAsia="IRNazanin" w:cs="IRNazanin"/>
          <w:color w:val="111111"/>
          <w:sz w:val="28"/>
          <w:szCs w:val="28"/>
          <w:rtl w:val="true"/>
          <w:lang w:bidi="fa-IR"/>
        </w:rPr>
        <w:t>.</w:t>
      </w:r>
      <w:r>
        <w:rPr>
          <w:rStyle w:val="FootnoteAnchor"/>
          <w:rtl w:val="true"/>
        </w:rPr>
        <w:footnoteReference w:id="218"/>
      </w:r>
      <w:r>
        <w:rPr>
          <w:rFonts w:ascii="IRNazanin" w:hAnsi="IRNazanin" w:eastAsia="IRNazanin"/>
          <w:color w:val="111111"/>
          <w:sz w:val="28"/>
          <w:sz w:val="28"/>
          <w:szCs w:val="28"/>
          <w:rtl w:val="true"/>
          <w:lang w:bidi="fa-IR"/>
        </w:rPr>
        <w:t>این کار علاوه بر اشتغال‌زایی در بخش‌های کشاورزی، کارگری و تجارت، موجب افزایش چشمگیر تولیدات زراعی و باغی و در نتیجه رشد درآمد عمومی مهاجران و انصار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ترویج و گسترش تجارت و بازرگانی</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آغاز، انحصار تجارت در دست قریش بود و به مسلمانان اجازه فعالیت داده نمی‌شد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به خطر انداختن امنیت تجاری قریش در جنگ </w:t>
      </w:r>
      <w:bookmarkStart w:id="312" w:name="pg18832_210965"/>
    </w:p>
    <w:p>
      <w:pPr>
        <w:pStyle w:val="BookText"/>
        <w:rPr/>
      </w:pPr>
      <w:bookmarkEnd w:id="312"/>
      <w:r>
        <w:rPr>
          <w:rFonts w:ascii="IRNazanin" w:hAnsi="IRNazanin" w:eastAsia="IRNazanin"/>
          <w:color w:val="111111"/>
          <w:sz w:val="28"/>
          <w:sz w:val="28"/>
          <w:szCs w:val="28"/>
          <w:rtl w:val="true"/>
          <w:lang w:bidi="fa-IR"/>
        </w:rPr>
        <w:t>بدر و تضعیف کاروان‌های اقتصادی آنان، موفق به کسب غنایمی شدند</w:t>
      </w:r>
      <w:r>
        <w:rPr>
          <w:rStyle w:val="FootnoteAnchor"/>
          <w:rtl w:val="true"/>
        </w:rPr>
        <w:footnoteReference w:id="219"/>
      </w:r>
      <w:r>
        <w:rPr>
          <w:rFonts w:ascii="IRNazanin" w:hAnsi="IRNazanin" w:eastAsia="IRNazanin"/>
          <w:color w:val="111111"/>
          <w:sz w:val="28"/>
          <w:sz w:val="28"/>
          <w:szCs w:val="28"/>
          <w:rtl w:val="true"/>
          <w:lang w:bidi="fa-IR"/>
        </w:rPr>
        <w:t>که پس از کسر سهم خمس، میان لشکریان تقسیم گردید</w:t>
      </w:r>
      <w:r>
        <w:rPr>
          <w:rFonts w:eastAsia="IRNazanin" w:cs="IRNazanin"/>
          <w:color w:val="111111"/>
          <w:sz w:val="28"/>
          <w:szCs w:val="28"/>
          <w:rtl w:val="true"/>
          <w:lang w:bidi="fa-IR"/>
        </w:rPr>
        <w:t>.</w:t>
      </w:r>
      <w:r>
        <w:rPr>
          <w:rStyle w:val="FootnoteAnchor"/>
          <w:rtl w:val="true"/>
        </w:rPr>
        <w:footnoteReference w:id="220"/>
      </w:r>
      <w:r>
        <w:rPr>
          <w:rFonts w:ascii="IRNazanin" w:hAnsi="IRNazanin" w:eastAsia="IRNazanin"/>
          <w:color w:val="111111"/>
          <w:sz w:val="28"/>
          <w:sz w:val="28"/>
          <w:szCs w:val="28"/>
          <w:rtl w:val="true"/>
          <w:lang w:bidi="fa-IR"/>
        </w:rPr>
        <w:t>ایشان در تأیید اهمیت تجارت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نه‌دهم روزی در تجارت و یک‌دهم آن در دامداری نهفته است</w:t>
      </w:r>
      <w:r>
        <w:rPr>
          <w:rFonts w:eastAsia="IRNazanin" w:cs="IRNazanin"/>
          <w:color w:val="111111"/>
          <w:sz w:val="28"/>
          <w:szCs w:val="28"/>
          <w:rtl w:val="true"/>
          <w:lang w:bidi="fa-IR"/>
        </w:rPr>
        <w:t>.</w:t>
      </w:r>
      <w:r>
        <w:rPr>
          <w:rStyle w:val="FootnoteAnchor"/>
          <w:rtl w:val="true"/>
        </w:rPr>
        <w:footnoteReference w:id="22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13" w:name="__RefHeading___Toc14292556_1280447820"/>
      <w:bookmarkStart w:id="314" w:name="_Toc117"/>
      <w:bookmarkEnd w:id="313"/>
      <w:r>
        <w:rPr/>
        <w:t>5.2</w:t>
      </w:r>
      <w:r>
        <w:rPr>
          <w:rtl w:val="true"/>
        </w:rPr>
        <w:t xml:space="preserve">. </w:t>
      </w:r>
      <w:r>
        <w:rPr>
          <w:rtl w:val="true"/>
        </w:rPr>
        <w:t>منابع درآمد حکومت نبوی و علوی</w:t>
      </w:r>
      <w:bookmarkEnd w:id="314"/>
    </w:p>
    <w:p>
      <w:pPr>
        <w:pStyle w:val="Heading4"/>
        <w:numPr>
          <w:ilvl w:val="3"/>
          <w:numId w:val="1"/>
        </w:numPr>
        <w:rPr/>
      </w:pPr>
      <w:bookmarkStart w:id="315" w:name="__RefHeading___Toc14292558_1280447820"/>
      <w:bookmarkStart w:id="316" w:name="_Toc118"/>
      <w:bookmarkEnd w:id="315"/>
      <w:r>
        <w:rPr>
          <w:rtl w:val="true"/>
        </w:rPr>
        <w:t>اشاره</w:t>
      </w:r>
      <w:bookmarkEnd w:id="316"/>
    </w:p>
    <w:p>
      <w:pPr>
        <w:pStyle w:val="BookText"/>
        <w:rPr/>
      </w:pPr>
      <w:r>
        <w:rPr>
          <w:rFonts w:ascii="IRNazanin" w:hAnsi="IRNazanin" w:eastAsia="IRNazanin"/>
          <w:color w:val="111111"/>
          <w:sz w:val="28"/>
          <w:sz w:val="28"/>
          <w:szCs w:val="28"/>
          <w:rtl w:val="true"/>
          <w:lang w:bidi="fa-IR"/>
        </w:rPr>
        <w:t>منابع درآمد حکومت اسلامی برای انجام مسئولیت‌های خود، از طریق منابع مالی شرعی مانند زکات، خمس، انفال و مالیات تأمین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به بررسی این منابع می‌پردازیم</w:t>
      </w:r>
      <w:r>
        <w:rPr>
          <w:rFonts w:eastAsia="IRNazanin" w:cs="IRNazanin"/>
          <w:color w:val="111111"/>
          <w:sz w:val="28"/>
          <w:szCs w:val="28"/>
          <w:rtl w:val="true"/>
          <w:lang w:bidi="fa-IR"/>
        </w:rPr>
        <w:t>:</w:t>
      </w:r>
    </w:p>
    <w:p>
      <w:pPr>
        <w:pStyle w:val="Heading4"/>
        <w:numPr>
          <w:ilvl w:val="3"/>
          <w:numId w:val="1"/>
        </w:numPr>
        <w:rPr/>
      </w:pPr>
      <w:bookmarkStart w:id="317" w:name="__RefHeading___Toc14292560_1280447820"/>
      <w:bookmarkStart w:id="318" w:name="_Toc119"/>
      <w:bookmarkEnd w:id="317"/>
      <w:r>
        <w:rPr/>
        <w:t>5.2.1</w:t>
      </w:r>
      <w:r>
        <w:rPr>
          <w:rtl w:val="true"/>
        </w:rPr>
        <w:t xml:space="preserve">. </w:t>
      </w:r>
      <w:r>
        <w:rPr>
          <w:rtl w:val="true"/>
        </w:rPr>
        <w:t>زکات</w:t>
      </w:r>
      <w:r>
        <w:rPr>
          <w:rtl w:val="true"/>
        </w:rPr>
        <w:t>:</w:t>
      </w:r>
      <w:bookmarkEnd w:id="318"/>
    </w:p>
    <w:p>
      <w:pPr>
        <w:pStyle w:val="Heading5"/>
        <w:numPr>
          <w:ilvl w:val="4"/>
          <w:numId w:val="1"/>
        </w:numPr>
        <w:rPr/>
      </w:pPr>
      <w:bookmarkStart w:id="319" w:name="__RefHeading___Toc14292562_1280447820"/>
      <w:bookmarkStart w:id="320" w:name="_Toc120"/>
      <w:bookmarkEnd w:id="319"/>
      <w:r>
        <w:rPr>
          <w:rtl w:val="true"/>
        </w:rPr>
        <w:t>اشاره</w:t>
      </w:r>
      <w:bookmarkEnd w:id="320"/>
    </w:p>
    <w:p>
      <w:pPr>
        <w:pStyle w:val="BookText"/>
        <w:rPr/>
      </w:pPr>
      <w:r>
        <w:rPr>
          <w:rFonts w:ascii="IRNazanin" w:hAnsi="IRNazanin" w:eastAsia="IRNazanin"/>
          <w:color w:val="111111"/>
          <w:sz w:val="28"/>
          <w:sz w:val="28"/>
          <w:szCs w:val="28"/>
          <w:rtl w:val="true"/>
          <w:lang w:bidi="fa-IR"/>
        </w:rPr>
        <w:t>زکات به عنوان مالیات اسلامی، منبع مالی مهمی برای اداره حکومت اسلامی محسوب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اصطلاح شرعی، زکات سهم معینی از مال است که برای گروه‌های مشخصی مقرر شده و به دو دسته تقسیم می‌شود</w:t>
      </w:r>
      <w:r>
        <w:rPr>
          <w:rFonts w:eastAsia="IRNazanin" w:cs="IRNazanin"/>
          <w:color w:val="111111"/>
          <w:sz w:val="28"/>
          <w:szCs w:val="28"/>
          <w:rtl w:val="true"/>
          <w:lang w:bidi="fa-IR"/>
        </w:rPr>
        <w:t>:</w:t>
      </w:r>
    </w:p>
    <w:p>
      <w:pPr>
        <w:pStyle w:val="Heading5"/>
        <w:numPr>
          <w:ilvl w:val="4"/>
          <w:numId w:val="1"/>
        </w:numPr>
        <w:rPr/>
      </w:pPr>
      <w:bookmarkStart w:id="321" w:name="__RefHeading___Toc14292564_1280447820"/>
      <w:bookmarkStart w:id="322" w:name="_Toc121"/>
      <w:bookmarkEnd w:id="321"/>
      <w:r>
        <w:rPr>
          <w:rtl w:val="true"/>
        </w:rPr>
        <w:t>الف</w:t>
      </w:r>
      <w:r>
        <w:rPr>
          <w:rtl w:val="true"/>
        </w:rPr>
        <w:t xml:space="preserve">. </w:t>
      </w:r>
      <w:r>
        <w:rPr>
          <w:rtl w:val="true"/>
        </w:rPr>
        <w:t xml:space="preserve">زکات ابدان </w:t>
      </w:r>
      <w:r>
        <w:rPr>
          <w:rtl w:val="true"/>
        </w:rPr>
        <w:t>(</w:t>
      </w:r>
      <w:r>
        <w:rPr>
          <w:rtl w:val="true"/>
        </w:rPr>
        <w:t>فطره</w:t>
      </w:r>
      <w:r>
        <w:rPr>
          <w:rtl w:val="true"/>
        </w:rPr>
        <w:t>)</w:t>
      </w:r>
      <w:bookmarkEnd w:id="322"/>
    </w:p>
    <w:p>
      <w:pPr>
        <w:pStyle w:val="BookText"/>
        <w:rPr/>
      </w:pPr>
      <w:r>
        <w:rPr>
          <w:rFonts w:ascii="IRNazanin" w:hAnsi="IRNazanin" w:eastAsia="IRNazanin"/>
          <w:color w:val="111111"/>
          <w:sz w:val="28"/>
          <w:sz w:val="28"/>
          <w:szCs w:val="28"/>
          <w:rtl w:val="true"/>
          <w:lang w:bidi="fa-IR"/>
        </w:rPr>
        <w:t>مقدار آن برای هر نفر، سه کیلو از غذای رایج جامعه در سال است</w:t>
      </w:r>
      <w:r>
        <w:rPr>
          <w:rFonts w:eastAsia="IRNazanin" w:cs="IRNazanin"/>
          <w:color w:val="111111"/>
          <w:sz w:val="28"/>
          <w:szCs w:val="28"/>
          <w:rtl w:val="true"/>
          <w:lang w:bidi="fa-IR"/>
        </w:rPr>
        <w:t>.</w:t>
      </w:r>
    </w:p>
    <w:p>
      <w:pPr>
        <w:pStyle w:val="Heading5"/>
        <w:numPr>
          <w:ilvl w:val="4"/>
          <w:numId w:val="1"/>
        </w:numPr>
        <w:rPr/>
      </w:pPr>
      <w:bookmarkStart w:id="323" w:name="__RefHeading___Toc14292566_1280447820"/>
      <w:bookmarkStart w:id="324" w:name="_Toc122"/>
      <w:bookmarkEnd w:id="323"/>
      <w:r>
        <w:rPr>
          <w:rtl w:val="true"/>
        </w:rPr>
        <w:t>ب</w:t>
      </w:r>
      <w:r>
        <w:rPr>
          <w:rtl w:val="true"/>
        </w:rPr>
        <w:t xml:space="preserve">. </w:t>
      </w:r>
      <w:r>
        <w:rPr>
          <w:rtl w:val="true"/>
        </w:rPr>
        <w:t>زکات اموال</w:t>
      </w:r>
      <w:bookmarkEnd w:id="324"/>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زکات سالانه به نه نوع مال تعلق می‌گیرد که پایه‌های اقتصادی جامعه را تشکیل می‌دهند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گندم، جو، خرما، کشمش،طلا، نقره شتر، گاو و گوسفند</w:t>
      </w:r>
      <w:r>
        <w:rPr>
          <w:rStyle w:val="FootnoteAnchor"/>
          <w:rtl w:val="true"/>
        </w:rPr>
        <w:footnoteReference w:id="222"/>
      </w:r>
    </w:p>
    <w:p>
      <w:pPr>
        <w:pStyle w:val="BookText"/>
        <w:rPr/>
      </w:pPr>
      <w:r>
        <w:rPr>
          <w:rFonts w:ascii="IRNazanin" w:hAnsi="IRNazanin" w:eastAsia="IRNazanin"/>
          <w:color w:val="111111"/>
          <w:sz w:val="28"/>
          <w:sz w:val="28"/>
          <w:szCs w:val="28"/>
          <w:rtl w:val="true"/>
          <w:lang w:bidi="fa-IR"/>
        </w:rPr>
        <w:t>حاکم اسلامی می‌تواند با توجه به نیازهای جامعه، موارد زکات را توسعه دهد</w:t>
      </w:r>
      <w:r>
        <w:rPr>
          <w:rFonts w:eastAsia="IRNazanin" w:cs="IRNazanin"/>
          <w:color w:val="111111"/>
          <w:sz w:val="28"/>
          <w:szCs w:val="28"/>
          <w:rtl w:val="true"/>
          <w:lang w:bidi="fa-IR"/>
        </w:rPr>
        <w:t>.</w:t>
      </w:r>
      <w:r>
        <w:rPr>
          <w:rStyle w:val="FootnoteAnchor"/>
          <w:rtl w:val="true"/>
        </w:rPr>
        <w:footnoteReference w:id="223"/>
      </w:r>
      <w:r>
        <w:rPr>
          <w:rFonts w:ascii="IRNazanin" w:hAnsi="IRNazanin" w:eastAsia="IRNazanin"/>
          <w:color w:val="111111"/>
          <w:sz w:val="28"/>
          <w:sz w:val="28"/>
          <w:szCs w:val="28"/>
          <w:rtl w:val="true"/>
          <w:lang w:bidi="fa-IR"/>
        </w:rPr>
        <w:t xml:space="preserve">همان‌گونه که در روایتی از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ایشان برای برخی اسب‌ها نیز زکات تعیین کردند</w:t>
      </w:r>
      <w:r>
        <w:rPr>
          <w:rFonts w:eastAsia="IRNazanin" w:cs="IRNazanin"/>
          <w:color w:val="111111"/>
          <w:sz w:val="28"/>
          <w:szCs w:val="28"/>
          <w:rtl w:val="true"/>
          <w:lang w:bidi="fa-IR"/>
        </w:rPr>
        <w:t>.</w:t>
      </w:r>
      <w:r>
        <w:rPr>
          <w:rStyle w:val="FootnoteAnchor"/>
          <w:rtl w:val="true"/>
        </w:rPr>
        <w:footnoteReference w:id="224"/>
      </w:r>
    </w:p>
    <w:p>
      <w:pPr>
        <w:pStyle w:val="BookText"/>
        <w:rPr/>
      </w:pPr>
      <w:r>
        <w:rPr>
          <w:rFonts w:ascii="IRNazanin" w:hAnsi="IRNazanin" w:eastAsia="IRNazanin"/>
          <w:color w:val="111111"/>
          <w:sz w:val="28"/>
          <w:sz w:val="28"/>
          <w:szCs w:val="28"/>
          <w:rtl w:val="true"/>
          <w:lang w:bidi="fa-IR"/>
        </w:rPr>
        <w:t>اجباری بودن پرداخت زکات به حاکم اسلامی</w:t>
      </w:r>
    </w:p>
    <w:p>
      <w:pPr>
        <w:pStyle w:val="BookText"/>
        <w:rPr/>
      </w:pPr>
      <w:r>
        <w:rPr>
          <w:rFonts w:ascii="Amiri" w:hAnsi="Amiri" w:eastAsia="Amiri" w:cs="Amiri"/>
          <w:color w:val="111111"/>
          <w:sz w:val="28"/>
          <w:sz w:val="28"/>
          <w:szCs w:val="28"/>
          <w:rtl w:val="true"/>
          <w:lang w:bidi="ar-SA"/>
        </w:rPr>
        <w:t>آیه شریفه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خُذْ مِنْ أَمْوَالِهِمْ صَدَقَه</w:t>
      </w:r>
      <w:r>
        <w:rPr>
          <w:rFonts w:eastAsia="Amiri" w:cs="Amiri" w:ascii="Amiri" w:hAnsi="Amiri"/>
          <w:color w:val="111111"/>
          <w:sz w:val="28"/>
          <w:szCs w:val="28"/>
          <w:rtl w:val="true"/>
          <w:lang w:bidi="ar-SA"/>
        </w:rPr>
        <w:t>...</w:t>
      </w:r>
      <w:r>
        <w:rPr>
          <w:rStyle w:val="FootnoteAnchor"/>
          <w:rtl w:val="true"/>
        </w:rPr>
        <w:footnoteReference w:id="22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صراحت بیان می‌کند که دریافت زکات از وظایف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حاکم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شواهد تاریخی نشان می‌دهد 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موظف بودند زکات را از صاحبان اموال دریافت کنند، حتی اگر به درگیری نظامی منجر شود</w:t>
      </w:r>
      <w:r>
        <w:rPr>
          <w:rFonts w:eastAsia="IRNazanin" w:cs="IRNazanin"/>
          <w:color w:val="111111"/>
          <w:sz w:val="28"/>
          <w:szCs w:val="28"/>
          <w:rtl w:val="true"/>
          <w:lang w:bidi="fa-IR"/>
        </w:rPr>
        <w:t>.</w:t>
      </w:r>
      <w:r>
        <w:rPr>
          <w:rStyle w:val="FootnoteAnchor"/>
          <w:rtl w:val="true"/>
        </w:rPr>
        <w:footnoteReference w:id="226"/>
      </w:r>
    </w:p>
    <w:p>
      <w:pPr>
        <w:pStyle w:val="BookText"/>
        <w:rPr/>
      </w:pPr>
      <w:r>
        <w:rPr>
          <w:rFonts w:ascii="IRNazanin" w:hAnsi="IRNazanin" w:eastAsia="IRNazanin"/>
          <w:color w:val="111111"/>
          <w:sz w:val="28"/>
          <w:sz w:val="28"/>
          <w:szCs w:val="28"/>
          <w:rtl w:val="true"/>
          <w:lang w:bidi="fa-IR"/>
        </w:rPr>
        <w:t xml:space="preserve">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زمینه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حاکم اسلامی مردم را به پرداخت زکات از اموالشان ملزم می‌کند، چرا که خداوند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اموال آنان زکات بگیر</w:t>
      </w:r>
      <w:r>
        <w:rPr>
          <w:rFonts w:eastAsia="IRNazanin" w:cs="IRNazanin"/>
          <w:color w:val="111111"/>
          <w:sz w:val="28"/>
          <w:szCs w:val="28"/>
          <w:rtl w:val="true"/>
          <w:lang w:bidi="fa-IR"/>
        </w:rPr>
        <w:t>.</w:t>
      </w:r>
      <w:r>
        <w:rPr>
          <w:rStyle w:val="FootnoteAnchor"/>
          <w:rtl w:val="true"/>
        </w:rPr>
        <w:footnoteReference w:id="2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مصرف زکات</w:t>
      </w:r>
    </w:p>
    <w:p>
      <w:pPr>
        <w:pStyle w:val="BookText"/>
        <w:rPr/>
      </w:pPr>
      <w:r>
        <w:rPr>
          <w:rFonts w:ascii="IRNazanin" w:hAnsi="IRNazanin" w:eastAsia="IRNazanin"/>
          <w:color w:val="111111"/>
          <w:sz w:val="28"/>
          <w:sz w:val="28"/>
          <w:szCs w:val="28"/>
          <w:rtl w:val="true"/>
          <w:lang w:bidi="fa-IR"/>
        </w:rPr>
        <w:t>خداوند در قرآن هشت مورد مصرف برای زکات مشخص کرده است</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زکات تنها به اینان تعلق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فقرا، مساکین، عاملان جمع‌آوری زکات، کسانی که دل‌هایشان باید جلب شود، بردگان، بدهکاران در راه خدا و در راه‌ماندگان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فریضه‌ای از سوی خداست و خدا دانای حکیم است</w:t>
      </w:r>
      <w:r>
        <w:rPr>
          <w:rFonts w:eastAsia="IRNazanin" w:cs="IRNazanin"/>
          <w:color w:val="111111"/>
          <w:sz w:val="28"/>
          <w:szCs w:val="28"/>
          <w:rtl w:val="true"/>
          <w:lang w:bidi="fa-IR"/>
        </w:rPr>
        <w:t>.</w:t>
      </w:r>
      <w:r>
        <w:rPr>
          <w:rStyle w:val="FootnoteAnchor"/>
          <w:rtl w:val="true"/>
        </w:rPr>
        <w:footnoteReference w:id="228"/>
      </w:r>
      <w:r>
        <w:rPr>
          <w:rFonts w:eastAsia="Times New Roman" w:cs="Times New Roman" w:ascii="Times New Roman" w:hAnsi="Times New Roman"/>
          <w:color w:val="111111"/>
          <w:sz w:val="28"/>
          <w:szCs w:val="28"/>
          <w:rtl w:val="true"/>
          <w:lang w:val="en-US" w:bidi="en-US"/>
        </w:rPr>
        <w:t xml:space="preserve">» </w:t>
      </w:r>
      <w:bookmarkStart w:id="325" w:name="pg18832_210967"/>
    </w:p>
    <w:p>
      <w:pPr>
        <w:pStyle w:val="Heading4"/>
        <w:numPr>
          <w:ilvl w:val="3"/>
          <w:numId w:val="1"/>
        </w:numPr>
        <w:rPr/>
      </w:pPr>
      <w:bookmarkStart w:id="326" w:name="__RefHeading___Toc14292568_1280447820"/>
      <w:bookmarkStart w:id="327" w:name="_Toc123"/>
      <w:bookmarkEnd w:id="325"/>
      <w:bookmarkEnd w:id="326"/>
      <w:r>
        <w:rPr/>
        <w:t>5.2.2</w:t>
      </w:r>
      <w:r>
        <w:rPr>
          <w:rtl w:val="true"/>
        </w:rPr>
        <w:t xml:space="preserve"> </w:t>
      </w:r>
      <w:r>
        <w:rPr>
          <w:rtl w:val="true"/>
        </w:rPr>
        <w:t>خمس</w:t>
      </w:r>
      <w:r>
        <w:rPr>
          <w:rtl w:val="true"/>
        </w:rPr>
        <w:t>:</w:t>
      </w:r>
      <w:bookmarkEnd w:id="327"/>
    </w:p>
    <w:p>
      <w:pPr>
        <w:pStyle w:val="BookText"/>
        <w:rPr/>
      </w:pPr>
      <w:r>
        <w:rPr>
          <w:rFonts w:ascii="IRNazanin" w:hAnsi="IRNazanin" w:eastAsia="IRNazanin"/>
          <w:color w:val="111111"/>
          <w:sz w:val="28"/>
          <w:sz w:val="28"/>
          <w:szCs w:val="28"/>
          <w:rtl w:val="true"/>
          <w:lang w:bidi="fa-IR"/>
        </w:rPr>
        <w:t>خمس در لغت به معنای یک‌پنجم است</w:t>
      </w:r>
      <w:r>
        <w:rPr>
          <w:rStyle w:val="FootnoteAnchor"/>
          <w:rtl w:val="true"/>
        </w:rPr>
        <w:footnoteReference w:id="229"/>
      </w:r>
    </w:p>
    <w:p>
      <w:pPr>
        <w:pStyle w:val="BookText"/>
        <w:rPr/>
      </w:pPr>
      <w:r>
        <w:rPr>
          <w:rFonts w:ascii="IRNazanin" w:hAnsi="IRNazanin" w:eastAsia="IRNazanin"/>
          <w:color w:val="111111"/>
          <w:sz w:val="28"/>
          <w:sz w:val="28"/>
          <w:szCs w:val="28"/>
          <w:rtl w:val="true"/>
          <w:lang w:bidi="fa-IR"/>
        </w:rPr>
        <w:t>و در اصطلاح شرعی، مالیاتی است به میزان یک‌پنجم که در موارد مشخصی واجب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موظفند یک‌پنجم مازاد درآمد خود را پس از کسر هزینه‌های سالانه زندگی پرداخت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ویژگی‌های اقتصادی خمس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خمس یک مالیات نسبی است که به صورت خودکار نقش تثبیت‌کننده اقتصادی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آنجا که تنها به سود خالص تعلق می‌گیرد، انگیزه برای تولید و سرمایه‌گذاری را حفظ می‌کند</w:t>
      </w:r>
      <w:r>
        <w:rPr>
          <w:rFonts w:eastAsia="IRNazanin" w:cs="IRNazanin"/>
          <w:color w:val="111111"/>
          <w:sz w:val="28"/>
          <w:szCs w:val="28"/>
          <w:rtl w:val="true"/>
          <w:lang w:bidi="fa-IR"/>
        </w:rPr>
        <w:t>.</w:t>
      </w:r>
      <w:r>
        <w:rPr>
          <w:rStyle w:val="FootnoteAnchor"/>
          <w:rtl w:val="true"/>
        </w:rPr>
        <w:footnoteReference w:id="230"/>
      </w:r>
    </w:p>
    <w:p>
      <w:pPr>
        <w:pStyle w:val="BookText"/>
        <w:rPr/>
      </w:pPr>
      <w:r>
        <w:rPr>
          <w:rFonts w:ascii="IRNazanin" w:hAnsi="IRNazanin" w:eastAsia="IRNazanin"/>
          <w:color w:val="111111"/>
          <w:sz w:val="28"/>
          <w:sz w:val="28"/>
          <w:szCs w:val="28"/>
          <w:rtl w:val="true"/>
          <w:lang w:bidi="fa-IR"/>
        </w:rPr>
        <w:t>طبق روایات، هفت مورد مشمول خمس می‌شوند</w:t>
      </w:r>
      <w:r>
        <w:rPr>
          <w:rStyle w:val="FootnoteAnchor"/>
          <w:rtl w:val="true"/>
        </w:rPr>
        <w:footnoteReference w:id="23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p>
    <w:p>
      <w:pPr>
        <w:pStyle w:val="BookText"/>
        <w:rPr/>
      </w:pPr>
      <w:r>
        <w:rPr>
          <w:rFonts w:ascii="IRNazanin" w:hAnsi="IRNazanin" w:eastAsia="IRNazanin"/>
          <w:color w:val="111111"/>
          <w:sz w:val="28"/>
          <w:sz w:val="28"/>
          <w:szCs w:val="28"/>
          <w:rtl w:val="true"/>
          <w:lang w:bidi="fa-IR"/>
        </w:rPr>
        <w:t xml:space="preserve">عهد حکومت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خمس به عنوان یکی از منابع مهم درآمدی محسوب می‌شد و آن حضرت به جمع‌آوری و توزیع آن مطابق مصالح اسلامی اقدام می‌فرمودند</w:t>
      </w:r>
      <w:r>
        <w:rPr>
          <w:rFonts w:eastAsia="IRNazanin" w:cs="IRNazanin"/>
          <w:color w:val="111111"/>
          <w:sz w:val="28"/>
          <w:szCs w:val="28"/>
          <w:rtl w:val="true"/>
          <w:lang w:bidi="fa-IR"/>
        </w:rPr>
        <w:t>.</w:t>
      </w:r>
      <w:r>
        <w:rPr>
          <w:rStyle w:val="FootnoteAnchor"/>
          <w:rtl w:val="true"/>
        </w:rPr>
        <w:footnoteReference w:id="232"/>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فقهای شیعه با استناد به آیه خمس و روایات متعدد، پرداخت خمس به امام یا نایب شرعی او را واجب می‌دانند و تصریح دارند که تمامی خمس باید تحت اختیار حاکم اسلامی قرار گیرد تا طبق مصالح جامعه هزینه شود</w:t>
      </w:r>
      <w:r>
        <w:rPr>
          <w:rFonts w:eastAsia="IRNazanin" w:cs="IRNazanin"/>
          <w:color w:val="111111"/>
          <w:sz w:val="28"/>
          <w:szCs w:val="28"/>
          <w:rtl w:val="true"/>
          <w:lang w:bidi="fa-IR"/>
        </w:rPr>
        <w:t>.</w:t>
      </w:r>
      <w:r>
        <w:rPr>
          <w:rStyle w:val="FootnoteAnchor"/>
          <w:rtl w:val="true"/>
        </w:rPr>
        <w:footnoteReference w:id="233"/>
      </w:r>
      <w:bookmarkStart w:id="328" w:name="pg18832_210968"/>
    </w:p>
    <w:p>
      <w:pPr>
        <w:pStyle w:val="Heading4"/>
        <w:numPr>
          <w:ilvl w:val="3"/>
          <w:numId w:val="1"/>
        </w:numPr>
        <w:rPr/>
      </w:pPr>
      <w:bookmarkStart w:id="329" w:name="__RefHeading___Toc14292570_1280447820"/>
      <w:bookmarkStart w:id="330" w:name="_Toc124"/>
      <w:bookmarkEnd w:id="328"/>
      <w:bookmarkEnd w:id="329"/>
      <w:r>
        <w:rPr/>
        <w:t>5.2.3</w:t>
      </w:r>
      <w:r>
        <w:rPr>
          <w:rtl w:val="true"/>
        </w:rPr>
        <w:t>.</w:t>
      </w:r>
      <w:r>
        <w:rPr>
          <w:rtl w:val="true"/>
        </w:rPr>
        <w:t>خراج</w:t>
      </w:r>
      <w:r>
        <w:rPr>
          <w:rtl w:val="true"/>
        </w:rPr>
        <w:t>:</w:t>
      </w:r>
      <w:bookmarkEnd w:id="330"/>
    </w:p>
    <w:p>
      <w:pPr>
        <w:pStyle w:val="BookText"/>
        <w:rPr/>
      </w:pPr>
      <w:r>
        <w:rPr>
          <w:rFonts w:ascii="IRNazanin" w:hAnsi="IRNazanin" w:eastAsia="IRNazanin"/>
          <w:color w:val="111111"/>
          <w:sz w:val="28"/>
          <w:sz w:val="28"/>
          <w:szCs w:val="28"/>
          <w:rtl w:val="true"/>
          <w:lang w:bidi="fa-IR"/>
        </w:rPr>
        <w:t>خراج در اصطلاح فقهی به مالیاتی اطلاق می‌شود که از محصول یا درآمد زمین‌های خراجی گرفته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زمین‌ها معمولاً شامل اراضی‌ای است که در جریان فتوحات اسلامی به تصرف درآمده‌اند به شرطی که اولا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اجازه امام یا حاکم شرع فتح شده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زمان فتح، آباد و قابل کشت بوده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زمین‌های عراق، شام، مصر و بخش عمده‌ای از ایران از جمله اراضی خراجی محسوب می‌شدند</w:t>
      </w:r>
      <w:r>
        <w:rPr>
          <w:rFonts w:eastAsia="IRNazanin" w:cs="IRNazanin"/>
          <w:color w:val="111111"/>
          <w:sz w:val="28"/>
          <w:szCs w:val="28"/>
          <w:rtl w:val="true"/>
          <w:lang w:bidi="fa-IR"/>
        </w:rPr>
        <w:t>.</w:t>
      </w:r>
      <w:r>
        <w:rPr>
          <w:rStyle w:val="FootnoteAnchor"/>
          <w:rtl w:val="true"/>
        </w:rPr>
        <w:footnoteReference w:id="234"/>
      </w:r>
    </w:p>
    <w:p>
      <w:pPr>
        <w:pStyle w:val="BookText"/>
        <w:rPr/>
      </w:pP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اعزام مأموران ویژه برای برآورد محصول و دریافت خراج از مناطق مانند خیبر، نظام مالیاتی خراج را سازماندهی کردند</w:t>
      </w:r>
      <w:r>
        <w:rPr>
          <w:rFonts w:eastAsia="IRNazanin" w:cs="IRNazanin"/>
          <w:color w:val="111111"/>
          <w:sz w:val="28"/>
          <w:szCs w:val="28"/>
          <w:rtl w:val="true"/>
          <w:lang w:bidi="fa-IR"/>
        </w:rPr>
        <w:t>.</w:t>
      </w:r>
      <w:r>
        <w:rPr>
          <w:rStyle w:val="FootnoteAnchor"/>
          <w:rtl w:val="true"/>
        </w:rPr>
        <w:footnoteReference w:id="235"/>
      </w:r>
      <w:r>
        <w:rPr>
          <w:rFonts w:ascii="IRNazanin" w:hAnsi="IRNazanin" w:eastAsia="IRNazanin"/>
          <w:color w:val="111111"/>
          <w:sz w:val="28"/>
          <w:sz w:val="28"/>
          <w:szCs w:val="28"/>
          <w:rtl w:val="true"/>
          <w:lang w:bidi="fa-IR"/>
        </w:rPr>
        <w:t xml:space="preserve">خراج یکی از مهم‌ترین منابع درآمدی بیت‌المال در دوره حکومت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به‌گونه‌ای که دستورات متعددی از ایشان درباره نحوه اخذ و توزیع عادلانه آن ثبت شده است</w:t>
      </w:r>
      <w:r>
        <w:rPr>
          <w:rFonts w:eastAsia="IRNazanin" w:cs="IRNazanin"/>
          <w:color w:val="111111"/>
          <w:sz w:val="28"/>
          <w:szCs w:val="28"/>
          <w:rtl w:val="true"/>
          <w:lang w:bidi="fa-IR"/>
        </w:rPr>
        <w:t xml:space="preserve">. </w:t>
      </w:r>
      <w:r>
        <w:rPr>
          <w:rStyle w:val="FootnoteAnchor"/>
          <w:rtl w:val="true"/>
        </w:rPr>
        <w:footnoteReference w:id="236"/>
      </w:r>
    </w:p>
    <w:p>
      <w:pPr>
        <w:pStyle w:val="BookText"/>
        <w:rPr/>
      </w:pPr>
      <w:r>
        <w:rPr>
          <w:rFonts w:ascii="IRNazanin" w:hAnsi="IRNazanin" w:eastAsia="IRNazanin"/>
          <w:color w:val="111111"/>
          <w:sz w:val="28"/>
          <w:sz w:val="28"/>
          <w:szCs w:val="28"/>
          <w:rtl w:val="true"/>
          <w:lang w:bidi="fa-IR"/>
        </w:rPr>
        <w:t>ماهیت حقوقی</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خراج از دیدگاه شرعی، حق تمام مسلمانان محسوب می‌شود و حاکم اسلامی تنها به عنوان متولی و امین، مسئول جمع‌آوری و توزیع آن در مصالح عمومی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روایتی بر این حق همگانی تصریح فرموده‌اند</w:t>
      </w:r>
      <w:r>
        <w:rPr>
          <w:rFonts w:eastAsia="IRNazanin" w:cs="IRNazanin"/>
          <w:color w:val="111111"/>
          <w:sz w:val="28"/>
          <w:szCs w:val="28"/>
          <w:rtl w:val="true"/>
          <w:lang w:bidi="fa-IR"/>
        </w:rPr>
        <w:t>.</w:t>
      </w:r>
      <w:r>
        <w:rPr>
          <w:rStyle w:val="FootnoteAnchor"/>
          <w:rtl w:val="true"/>
        </w:rPr>
        <w:footnoteReference w:id="237"/>
      </w:r>
      <w:bookmarkStart w:id="331" w:name="pg18832_210969"/>
    </w:p>
    <w:p>
      <w:pPr>
        <w:pStyle w:val="Heading4"/>
        <w:numPr>
          <w:ilvl w:val="3"/>
          <w:numId w:val="1"/>
        </w:numPr>
        <w:rPr/>
      </w:pPr>
      <w:bookmarkStart w:id="332" w:name="__RefHeading___Toc14292572_1280447820"/>
      <w:bookmarkStart w:id="333" w:name="_Toc125"/>
      <w:bookmarkEnd w:id="331"/>
      <w:bookmarkEnd w:id="332"/>
      <w:r>
        <w:rPr/>
        <w:t>5.2.4</w:t>
      </w:r>
      <w:r>
        <w:rPr>
          <w:rtl w:val="true"/>
        </w:rPr>
        <w:t xml:space="preserve">. </w:t>
      </w:r>
      <w:r>
        <w:rPr>
          <w:rtl w:val="true"/>
        </w:rPr>
        <w:t>جزیه</w:t>
      </w:r>
      <w:r>
        <w:rPr>
          <w:rtl w:val="true"/>
        </w:rPr>
        <w:t>:</w:t>
      </w:r>
      <w:bookmarkEnd w:id="333"/>
    </w:p>
    <w:p>
      <w:pPr>
        <w:pStyle w:val="BookText"/>
        <w:rPr/>
      </w:pPr>
      <w:r>
        <w:rPr>
          <w:rFonts w:ascii="IRNazanin" w:hAnsi="IRNazanin" w:eastAsia="IRNazanin"/>
          <w:color w:val="111111"/>
          <w:sz w:val="28"/>
          <w:sz w:val="28"/>
          <w:szCs w:val="28"/>
          <w:rtl w:val="true"/>
          <w:lang w:bidi="fa-IR"/>
        </w:rPr>
        <w:t xml:space="preserve">جزیه نوعی مالیات سرانه سالانه است که به‌طور خاص از اهل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یهود، مسیحیان و مجوس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پناه حکومت اسلامی زندگی می‌کنند، دریافت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پرداخت این مالیات، جان و مال آنان تحت حمایت حکومت اسلامی قرار می‌گیرد</w:t>
      </w:r>
      <w:r>
        <w:rPr>
          <w:rFonts w:eastAsia="IRNazanin" w:cs="IRNazanin"/>
          <w:color w:val="111111"/>
          <w:sz w:val="28"/>
          <w:szCs w:val="28"/>
          <w:rtl w:val="true"/>
          <w:lang w:bidi="fa-IR"/>
        </w:rPr>
        <w:t>.</w:t>
      </w:r>
      <w:r>
        <w:rPr>
          <w:rStyle w:val="FootnoteAnchor"/>
          <w:rtl w:val="true"/>
        </w:rPr>
        <w:footnoteReference w:id="238"/>
      </w:r>
    </w:p>
    <w:p>
      <w:pPr>
        <w:pStyle w:val="BookText"/>
        <w:rPr/>
      </w:pPr>
      <w:r>
        <w:rPr>
          <w:rFonts w:ascii="IRNazanin" w:hAnsi="IRNazanin" w:eastAsia="IRNazanin"/>
          <w:color w:val="111111"/>
          <w:sz w:val="28"/>
          <w:sz w:val="28"/>
          <w:szCs w:val="28"/>
          <w:rtl w:val="true"/>
          <w:lang w:bidi="fa-IR"/>
        </w:rPr>
        <w:t>مبانی شرعی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وجوب جزیه در آیه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توبه صراحت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کسانی از اهل کتاب که به خدا و روز قیامت ایمان ندارند جهادکنید تا زمانی که با خضوع و تسلیم، جزیه را به دست خویش بپردازند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سابقه تاریخی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نظام مالیاتی در عصر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تثبیت و شرعی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دوران حکومت خویش، مطابق این قانون عمل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حکم حقوقی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جزیه از منابع درآمدی دولت اسلامی محسوب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متعلق به عموم مسلمانان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باید در مصالح عمومی جامعه اسلامی هزینه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میان فقها درباره این حکم اجماع وجود دارد </w:t>
      </w:r>
      <w:bookmarkStart w:id="334" w:name="pg18832_210970"/>
    </w:p>
    <w:p>
      <w:pPr>
        <w:pStyle w:val="Heading4"/>
        <w:numPr>
          <w:ilvl w:val="3"/>
          <w:numId w:val="1"/>
        </w:numPr>
        <w:rPr/>
      </w:pPr>
      <w:bookmarkStart w:id="335" w:name="__RefHeading___Toc14292574_1280447820"/>
      <w:bookmarkStart w:id="336" w:name="_Toc126"/>
      <w:bookmarkEnd w:id="334"/>
      <w:bookmarkEnd w:id="335"/>
      <w:r>
        <w:rPr/>
        <w:t>5.2.5</w:t>
      </w:r>
      <w:r>
        <w:rPr>
          <w:rtl w:val="true"/>
        </w:rPr>
        <w:t>.</w:t>
      </w:r>
      <w:r>
        <w:rPr>
          <w:rtl w:val="true"/>
        </w:rPr>
        <w:t>فئ</w:t>
      </w:r>
      <w:r>
        <w:rPr>
          <w:rtl w:val="true"/>
        </w:rPr>
        <w:t>:</w:t>
      </w:r>
      <w:bookmarkEnd w:id="336"/>
    </w:p>
    <w:p>
      <w:pPr>
        <w:pStyle w:val="BookText"/>
        <w:rPr/>
      </w:pPr>
      <w:r>
        <w:rPr>
          <w:rFonts w:ascii="IRNazanin" w:hAnsi="IRNazanin" w:eastAsia="IRNazanin"/>
          <w:color w:val="111111"/>
          <w:sz w:val="28"/>
          <w:sz w:val="28"/>
          <w:szCs w:val="28"/>
          <w:rtl w:val="true"/>
          <w:lang w:bidi="fa-IR"/>
        </w:rPr>
        <w:t>فئ در اصطلاح فقهی به اموالی اطلاق می‌شود که بدون جنگ و درگیری در اختیار حکومت اسلامی قرار می‌گیرد؛ مانند جزیه، خراج و اموالی که دشمنان بدون مقابله نظامی تسلیم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نمونه بارز آن، سرزمین فدک است که یهودیان پس از فتح خیبر، آن را به صورت صلح‌آمیز به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واگذار کردند</w:t>
      </w:r>
      <w:r>
        <w:rPr>
          <w:rFonts w:eastAsia="IRNazanin" w:cs="IRNazanin"/>
          <w:color w:val="111111"/>
          <w:sz w:val="28"/>
          <w:szCs w:val="28"/>
          <w:rtl w:val="true"/>
          <w:lang w:bidi="fa-IR"/>
        </w:rPr>
        <w:t>.</w:t>
      </w:r>
      <w:r>
        <w:rPr>
          <w:rStyle w:val="FootnoteAnchor"/>
          <w:rtl w:val="true"/>
        </w:rPr>
        <w:footnoteReference w:id="239"/>
      </w:r>
    </w:p>
    <w:p>
      <w:pPr>
        <w:pStyle w:val="BookText"/>
        <w:rPr/>
      </w:pPr>
      <w:r>
        <w:rPr>
          <w:rFonts w:ascii="IRNazanin" w:hAnsi="IRNazanin" w:eastAsia="IRNazanin"/>
          <w:color w:val="111111"/>
          <w:sz w:val="28"/>
          <w:sz w:val="28"/>
          <w:szCs w:val="28"/>
          <w:rtl w:val="true"/>
          <w:lang w:bidi="fa-IR"/>
        </w:rPr>
        <w:t>مبانی قرآنی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6</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حشر به‌روشنی مصارف فئ را مشخص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آنچه خدا از اموال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رسولش بازگردانده و شما برای به دست آوردن آن اسب‌و شتری بتازانده‌اید،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شما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خداوند پیامبرانش را بر هر کس بخواهد مسلط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اموال، خاص خدا و پیامبر و خویشاوندان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یتیمان و مستمندان و درراه‌ماندگان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مدیریت فئ</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عصر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امامان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اختیار فئ در دست آنان بود</w:t>
      </w:r>
      <w:r>
        <w:rPr>
          <w:rFonts w:eastAsia="IRNazanin" w:cs="IRNazanin"/>
          <w:color w:val="111111"/>
          <w:sz w:val="28"/>
          <w:szCs w:val="28"/>
          <w:rtl w:val="true"/>
          <w:lang w:bidi="fa-IR"/>
        </w:rPr>
        <w:t>.</w:t>
      </w:r>
      <w:r>
        <w:rPr>
          <w:rStyle w:val="FootnoteAnchor"/>
          <w:rtl w:val="true"/>
        </w:rPr>
        <w:footnoteReference w:id="240"/>
      </w:r>
    </w:p>
    <w:p>
      <w:pPr>
        <w:pStyle w:val="BookText"/>
        <w:rPr/>
      </w:pPr>
      <w:r>
        <w:rPr>
          <w:rFonts w:ascii="IRNazanin" w:hAnsi="IRNazanin" w:eastAsia="IRNazanin"/>
          <w:color w:val="111111"/>
          <w:sz w:val="28"/>
          <w:sz w:val="28"/>
          <w:szCs w:val="28"/>
          <w:rtl w:val="true"/>
          <w:lang w:bidi="fa-IR"/>
        </w:rPr>
        <w:t xml:space="preserve">در دوران غیبت، این اختیار به ولی فقیه به عنوان نایب عام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منتقل می‌شود</w:t>
      </w:r>
      <w:r>
        <w:rPr>
          <w:rFonts w:eastAsia="IRNazanin" w:cs="IRNazanin"/>
          <w:color w:val="111111"/>
          <w:sz w:val="28"/>
          <w:szCs w:val="28"/>
          <w:rtl w:val="true"/>
          <w:lang w:bidi="fa-IR"/>
        </w:rPr>
        <w:t>.</w:t>
      </w:r>
      <w:r>
        <w:rPr>
          <w:rStyle w:val="FootnoteAnchor"/>
          <w:rtl w:val="true"/>
        </w:rPr>
        <w:footnoteReference w:id="241"/>
      </w:r>
    </w:p>
    <w:p>
      <w:pPr>
        <w:pStyle w:val="BookText"/>
        <w:rPr/>
      </w:pPr>
      <w:r>
        <w:rPr>
          <w:rFonts w:ascii="IRNazanin" w:hAnsi="IRNazanin" w:eastAsia="IRNazanin"/>
          <w:color w:val="111111"/>
          <w:sz w:val="28"/>
          <w:sz w:val="28"/>
          <w:szCs w:val="28"/>
          <w:rtl w:val="true"/>
          <w:lang w:bidi="fa-IR"/>
        </w:rPr>
        <w:t>مصارف اختصاصی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سهم خدا و رسول از فئ در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پروژه‌های عام‌المنفعه،خدمات عمومی بدون متولی خاص، سایر مصالح عمومی مسلمانان  هزینه می شود</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ذکر گروه‌های خاصی مانند یتیمان و مستمندان در آیه، نشان‌دهنده اولویت‌بندی در مصرف این منابع است</w:t>
      </w:r>
      <w:r>
        <w:rPr>
          <w:rFonts w:eastAsia="IRNazanin" w:cs="IRNazanin"/>
          <w:color w:val="111111"/>
          <w:sz w:val="28"/>
          <w:szCs w:val="28"/>
          <w:rtl w:val="true"/>
          <w:lang w:bidi="fa-IR"/>
        </w:rPr>
        <w:t xml:space="preserve">. </w:t>
      </w:r>
      <w:bookmarkStart w:id="337" w:name="pg18832_210971"/>
    </w:p>
    <w:p>
      <w:pPr>
        <w:pStyle w:val="Heading4"/>
        <w:numPr>
          <w:ilvl w:val="3"/>
          <w:numId w:val="1"/>
        </w:numPr>
        <w:rPr/>
      </w:pPr>
      <w:bookmarkStart w:id="338" w:name="__RefHeading___Toc14292576_1280447820"/>
      <w:bookmarkStart w:id="339" w:name="_Toc127"/>
      <w:bookmarkEnd w:id="337"/>
      <w:bookmarkEnd w:id="338"/>
      <w:r>
        <w:rPr/>
        <w:t>5.2.6</w:t>
      </w:r>
      <w:r>
        <w:rPr>
          <w:rtl w:val="true"/>
        </w:rPr>
        <w:t xml:space="preserve">. </w:t>
      </w:r>
      <w:r>
        <w:rPr>
          <w:rtl w:val="true"/>
        </w:rPr>
        <w:t>انفال</w:t>
      </w:r>
      <w:r>
        <w:rPr>
          <w:rtl w:val="true"/>
        </w:rPr>
        <w:t>:</w:t>
      </w:r>
      <w:bookmarkEnd w:id="339"/>
    </w:p>
    <w:p>
      <w:pPr>
        <w:pStyle w:val="BookText"/>
        <w:rPr/>
      </w:pPr>
      <w:r>
        <w:rPr>
          <w:rFonts w:ascii="IRNazanin" w:hAnsi="IRNazanin" w:eastAsia="IRNazanin"/>
          <w:color w:val="111111"/>
          <w:sz w:val="28"/>
          <w:sz w:val="28"/>
          <w:szCs w:val="28"/>
          <w:rtl w:val="true"/>
          <w:lang w:bidi="fa-IR"/>
        </w:rPr>
        <w:t xml:space="preserve">انفال در فقه اسلامی به اموال و منابعی اطلاق می‌شود که مالکیت عمومی دارند و طبق آیه اول سوره انفال،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 خدا و پیامبرش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متعدد تأکید شده که پس از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اموال در اختیار امام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می‌گیرد</w:t>
      </w:r>
      <w:r>
        <w:rPr>
          <w:rFonts w:eastAsia="IRNazanin" w:cs="IRNazanin"/>
          <w:color w:val="111111"/>
          <w:sz w:val="28"/>
          <w:szCs w:val="28"/>
          <w:rtl w:val="true"/>
          <w:lang w:bidi="fa-IR"/>
        </w:rPr>
        <w:t>.</w:t>
      </w:r>
      <w:r>
        <w:rPr>
          <w:rStyle w:val="FootnoteAnchor"/>
          <w:rtl w:val="true"/>
        </w:rPr>
        <w:footnoteReference w:id="242"/>
      </w:r>
    </w:p>
    <w:p>
      <w:pPr>
        <w:pStyle w:val="BookText"/>
        <w:rPr/>
      </w:pPr>
      <w:r>
        <w:rPr>
          <w:rFonts w:ascii="IRNazanin" w:hAnsi="IRNazanin" w:eastAsia="IRNazanin"/>
          <w:color w:val="111111"/>
          <w:sz w:val="28"/>
          <w:sz w:val="28"/>
          <w:szCs w:val="28"/>
          <w:rtl w:val="true"/>
          <w:lang w:bidi="fa-IR"/>
        </w:rPr>
        <w:t>در منابع فقهی معمولاً نُه مورد به عنوان مصادیق انفال ذکر شده که از مهم‌ترین آنها در عصر حاضر می‌توان به تمامی معادن اشاره کرد</w:t>
      </w:r>
      <w:r>
        <w:rPr>
          <w:rFonts w:eastAsia="IRNazanin" w:cs="IRNazanin"/>
          <w:color w:val="111111"/>
          <w:sz w:val="28"/>
          <w:szCs w:val="28"/>
          <w:rtl w:val="true"/>
          <w:lang w:bidi="fa-IR"/>
        </w:rPr>
        <w:t>.</w:t>
      </w:r>
      <w:r>
        <w:rPr>
          <w:rStyle w:val="FootnoteAnchor"/>
          <w:rtl w:val="true"/>
        </w:rPr>
        <w:footnoteReference w:id="243"/>
      </w:r>
      <w:r>
        <w:rPr>
          <w:rFonts w:ascii="IRNazanin" w:hAnsi="IRNazanin" w:eastAsia="IRNazanin"/>
          <w:color w:val="111111"/>
          <w:sz w:val="28"/>
          <w:sz w:val="28"/>
          <w:szCs w:val="28"/>
          <w:rtl w:val="true"/>
          <w:lang w:bidi="fa-IR"/>
        </w:rPr>
        <w:t>با توجه به گستردگی منابع معدنی، انفال امروزه به یکی از مهم‌ترین منابع درآمدی دولت اسلامی تبدیل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حکم شرعی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انفال در عصر حاضر در اختیار ولی فقیه به عنوان نماینده امام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منابع باید در مصالح عمومی جامعه اسلامی هزینه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تصمیم‌گیری درباره بهره‌برداری و توزیع درآمدهای حاصل از انفال بر عهده حاکم شرع است</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نظام اقتصادی با تأکید بر مالکیت عمومی منابع استراتژیک، تضمین می‌کند که ثروت‌های طبیعی به نفع کل جامعه مدیریت و توزیع می‌شود</w:t>
      </w:r>
      <w:r>
        <w:rPr>
          <w:rFonts w:eastAsia="IRNazanin" w:cs="IRNazanin"/>
          <w:color w:val="111111"/>
          <w:sz w:val="28"/>
          <w:szCs w:val="28"/>
          <w:rtl w:val="true"/>
          <w:lang w:bidi="fa-IR"/>
        </w:rPr>
        <w:t xml:space="preserve">. </w:t>
      </w:r>
      <w:bookmarkStart w:id="340" w:name="pg18832_210972"/>
    </w:p>
    <w:p>
      <w:pPr>
        <w:pStyle w:val="Heading3"/>
        <w:numPr>
          <w:ilvl w:val="2"/>
          <w:numId w:val="1"/>
        </w:numPr>
        <w:rPr/>
      </w:pPr>
      <w:bookmarkStart w:id="341" w:name="__RefHeading___Toc14292578_1280447820"/>
      <w:bookmarkStart w:id="342" w:name="_Toc128"/>
      <w:bookmarkEnd w:id="340"/>
      <w:bookmarkEnd w:id="341"/>
      <w:r>
        <w:rPr/>
        <w:t>5.2</w:t>
      </w:r>
      <w:r>
        <w:rPr>
          <w:rtl w:val="true"/>
        </w:rPr>
        <w:t xml:space="preserve">. </w:t>
      </w:r>
      <w:r>
        <w:rPr>
          <w:rtl w:val="true"/>
        </w:rPr>
        <w:t xml:space="preserve">روش توزیع بیت‌المال در سیره پیامبر </w:t>
      </w:r>
      <w:r>
        <w:rPr>
          <w:rtl w:val="true"/>
        </w:rPr>
        <w:t>(</w:t>
      </w:r>
      <w:r>
        <w:rPr>
          <w:rtl w:val="true"/>
        </w:rPr>
        <w:t>صلی الله علیه وآله</w:t>
      </w:r>
      <w:r>
        <w:rPr>
          <w:rtl w:val="true"/>
        </w:rPr>
        <w:t xml:space="preserve">) </w:t>
      </w:r>
      <w:r>
        <w:rPr>
          <w:rtl w:val="true"/>
        </w:rPr>
        <w:t xml:space="preserve">و امام علی </w:t>
      </w:r>
      <w:r>
        <w:rPr>
          <w:rtl w:val="true"/>
        </w:rPr>
        <w:t>(</w:t>
      </w:r>
      <w:r>
        <w:rPr>
          <w:rtl w:val="true"/>
        </w:rPr>
        <w:t>علیه السلام</w:t>
      </w:r>
      <w:r>
        <w:rPr>
          <w:rtl w:val="true"/>
        </w:rPr>
        <w:t>)</w:t>
      </w:r>
      <w:bookmarkEnd w:id="342"/>
    </w:p>
    <w:p>
      <w:pPr>
        <w:pStyle w:val="Heading4"/>
        <w:numPr>
          <w:ilvl w:val="3"/>
          <w:numId w:val="1"/>
        </w:numPr>
        <w:rPr/>
      </w:pPr>
      <w:bookmarkStart w:id="343" w:name="__RefHeading___Toc14292580_1280447820"/>
      <w:bookmarkStart w:id="344" w:name="_Toc129"/>
      <w:bookmarkEnd w:id="343"/>
      <w:r>
        <w:rPr/>
        <w:t>5.2.1</w:t>
      </w:r>
      <w:r>
        <w:rPr>
          <w:rtl w:val="true"/>
        </w:rPr>
        <w:t xml:space="preserve">. </w:t>
      </w:r>
      <w:r>
        <w:rPr>
          <w:rtl w:val="true"/>
        </w:rPr>
        <w:t>توزیع به‌موقع و عادلانه</w:t>
      </w:r>
      <w:bookmarkEnd w:id="344"/>
    </w:p>
    <w:p>
      <w:pPr>
        <w:pStyle w:val="BookText"/>
        <w:rPr/>
      </w:pPr>
      <w:r>
        <w:rPr>
          <w:rFonts w:ascii="IRNazanin" w:hAnsi="IRNazanin" w:eastAsia="IRNazanin"/>
          <w:color w:val="111111"/>
          <w:sz w:val="28"/>
          <w:sz w:val="28"/>
          <w:szCs w:val="28"/>
          <w:rtl w:val="true"/>
          <w:lang w:bidi="fa-IR"/>
        </w:rPr>
        <w:t xml:space="preserve">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بارها تصریح کردند که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بیت‌المال را به صورت مساوی میان مردم تقسیم می‌نمودند</w:t>
      </w:r>
      <w:r>
        <w:rPr>
          <w:rFonts w:eastAsia="IRNazanin" w:cs="IRNazanin"/>
          <w:color w:val="111111"/>
          <w:sz w:val="28"/>
          <w:szCs w:val="28"/>
          <w:rtl w:val="true"/>
          <w:lang w:bidi="fa-IR"/>
        </w:rPr>
        <w:t>.</w:t>
      </w:r>
      <w:r>
        <w:rPr>
          <w:rStyle w:val="FootnoteAnchor"/>
          <w:rtl w:val="true"/>
        </w:rPr>
        <w:footnoteReference w:id="244"/>
      </w:r>
      <w:r>
        <w:rPr>
          <w:rFonts w:ascii="IRNazanin" w:hAnsi="IRNazanin" w:eastAsia="IRNazanin"/>
          <w:color w:val="111111"/>
          <w:sz w:val="28"/>
          <w:sz w:val="28"/>
          <w:szCs w:val="28"/>
          <w:rtl w:val="true"/>
          <w:lang w:bidi="fa-IR"/>
        </w:rPr>
        <w:t>تبعیض در تقسیم بیت‌المال از دوران عمر 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مردم را بر اساس دو معیار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سبقت در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نزدیکی نسبی به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دسته‌بندی کرد و به کسانی که سابقه بیشتری در اسلام داشتند یا از جهت خویشاوندی به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نزدیک‌تر بودند، سهم بیشتری اعطا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روش توزیع بیت‌المال توسط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اموال عمومی بلافاصله بین مستحقان تقسیم می‌شد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می‌کوشید چیزی از اموال عمومی نزد ایشان باقی نماند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غنائم جنگی معمولاً در همان میدان جنگ توزیع می‌گردید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نمونه‌های تاریخی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جنگ خیبر، غنائم بلافاصله در محل نبرد تقسیم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جنگ بدر، به دلیل اختلاف یاران بر سر شیوه تقسیم،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تدبیر خاصی، اموال را به عبدالله بن کعب سپردند و پس از انتقال به نزدیکی مدینه، به طور مساوی بین رزمندگان تقسیم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رویکرد نشان‌دهنده حساسیت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حفظ وحدت و اجتناب از تفرقه در جامعه اسلامی بود</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تأسی به سیره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تقسیم بیت‌المال به اصل برابری و عدالت پایبند بودند و هرگونه تبعیض طبقاتی را مردود می‌شمردند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این زمینه می‌فرمایند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این اموال، مال شخصی خودم بود و می‌خواستم میان مردم تقسیم کنم، تبعیض قائل نمی‌شدم؛ حال آنکه این بیت‌المال، مال خداست و ملک شخصی کسی نیست</w:t>
      </w:r>
      <w:r>
        <w:rPr>
          <w:rFonts w:eastAsia="IRNazanin" w:cs="IRNazanin"/>
          <w:color w:val="111111"/>
          <w:sz w:val="28"/>
          <w:szCs w:val="28"/>
          <w:rtl w:val="true"/>
          <w:lang w:bidi="fa-IR"/>
        </w:rPr>
        <w:t>.</w:t>
      </w:r>
      <w:r>
        <w:rPr>
          <w:rStyle w:val="FootnoteAnchor"/>
          <w:rtl w:val="true"/>
        </w:rPr>
        <w:footnoteReference w:id="245"/>
      </w:r>
    </w:p>
    <w:p>
      <w:pPr>
        <w:pStyle w:val="BookText"/>
        <w:rPr/>
      </w:pPr>
      <w:r>
        <w:rPr>
          <w:rFonts w:ascii="IRNazanin" w:hAnsi="IRNazanin" w:eastAsia="IRNazanin"/>
          <w:color w:val="111111"/>
          <w:sz w:val="28"/>
          <w:sz w:val="28"/>
          <w:szCs w:val="28"/>
          <w:rtl w:val="true"/>
          <w:lang w:bidi="fa-IR"/>
        </w:rPr>
        <w:t xml:space="preserve">البلاغه،صص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353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232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سیره حکومتی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برخورد قاطع با خویشاوندان نماد بارز التزام عملی به عدالت و مسئولیت‌پذیری در مدیریت بیت‌المال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رویکرد در موارد متعددی تجلی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 با خواهرشان ام هانی</w:t>
      </w:r>
      <w:r>
        <w:rPr>
          <w:rStyle w:val="FootnoteAnchor"/>
          <w:rtl w:val="true"/>
        </w:rPr>
        <w:footnoteReference w:id="246"/>
      </w:r>
      <w:r>
        <w:rPr>
          <w:rFonts w:ascii="IRNazanin" w:hAnsi="IRNazanin" w:eastAsia="IRNazanin"/>
          <w:color w:val="111111"/>
          <w:sz w:val="28"/>
          <w:sz w:val="28"/>
          <w:szCs w:val="28"/>
          <w:rtl w:val="true"/>
          <w:lang w:bidi="fa-IR"/>
        </w:rPr>
        <w:t>، دامادش عبدالله بن جعفر</w:t>
      </w:r>
      <w:r>
        <w:rPr>
          <w:rStyle w:val="FootnoteAnchor"/>
          <w:rtl w:val="true"/>
        </w:rPr>
        <w:footnoteReference w:id="247"/>
      </w:r>
      <w:r>
        <w:rPr>
          <w:rFonts w:ascii="IRNazanin" w:hAnsi="IRNazanin" w:eastAsia="IRNazanin"/>
          <w:color w:val="111111"/>
          <w:sz w:val="28"/>
          <w:sz w:val="28"/>
          <w:szCs w:val="28"/>
          <w:rtl w:val="true"/>
          <w:lang w:bidi="fa-IR"/>
        </w:rPr>
        <w:t>، برادرشان عقیل</w:t>
      </w:r>
      <w:r>
        <w:rPr>
          <w:rStyle w:val="FootnoteAnchor"/>
          <w:rtl w:val="true"/>
        </w:rPr>
        <w:footnoteReference w:id="248"/>
      </w:r>
      <w:r>
        <w:rPr>
          <w:rFonts w:ascii="IRNazanin" w:hAnsi="IRNazanin" w:eastAsia="IRNazanin"/>
          <w:color w:val="111111"/>
          <w:sz w:val="28"/>
          <w:sz w:val="28"/>
          <w:szCs w:val="28"/>
          <w:rtl w:val="true"/>
          <w:lang w:bidi="fa-IR"/>
        </w:rPr>
        <w:t>و پاسخ به اعتراض طلحه و زبیر از آن جمله اند</w:t>
      </w:r>
      <w:r>
        <w:rPr>
          <w:rFonts w:eastAsia="IRNazanin" w:cs="IRNazanin"/>
          <w:color w:val="111111"/>
          <w:sz w:val="28"/>
          <w:szCs w:val="28"/>
          <w:rtl w:val="true"/>
          <w:lang w:bidi="fa-IR"/>
        </w:rPr>
        <w:t>.</w:t>
      </w:r>
      <w:r>
        <w:rPr>
          <w:rStyle w:val="FootnoteAnchor"/>
          <w:rtl w:val="true"/>
        </w:rPr>
        <w:footnoteReference w:id="249"/>
      </w:r>
    </w:p>
    <w:p>
      <w:pPr>
        <w:pStyle w:val="BookText"/>
        <w:rPr/>
      </w:pPr>
      <w:r>
        <w:rPr>
          <w:rFonts w:ascii="IRNazanin" w:hAnsi="IRNazanin" w:eastAsia="IRNazanin"/>
          <w:color w:val="111111"/>
          <w:sz w:val="28"/>
          <w:sz w:val="28"/>
          <w:szCs w:val="28"/>
          <w:rtl w:val="true"/>
          <w:lang w:bidi="fa-IR"/>
        </w:rPr>
        <w:t xml:space="preserve">در دوران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اموالی که به عنوان درآمدهای عمومی به بیت‌المال می‌رسید، بلافاصله و بدون نگهداری میان مردم توزیع می‌گردید</w:t>
      </w:r>
      <w:r>
        <w:rPr>
          <w:rFonts w:eastAsia="IRNazanin" w:cs="IRNazanin"/>
          <w:color w:val="111111"/>
          <w:sz w:val="28"/>
          <w:szCs w:val="28"/>
          <w:rtl w:val="true"/>
          <w:lang w:bidi="fa-IR"/>
        </w:rPr>
        <w:t>.</w:t>
      </w:r>
      <w:r>
        <w:rPr>
          <w:rStyle w:val="FootnoteAnchor"/>
          <w:rtl w:val="true"/>
        </w:rPr>
        <w:footnoteReference w:id="250"/>
      </w:r>
      <w:r>
        <w:rPr>
          <w:rFonts w:ascii="IRNazanin" w:hAnsi="IRNazanin" w:eastAsia="IRNazanin"/>
          <w:color w:val="111111"/>
          <w:sz w:val="28"/>
          <w:sz w:val="28"/>
          <w:szCs w:val="28"/>
          <w:rtl w:val="true"/>
          <w:lang w:bidi="fa-IR"/>
        </w:rPr>
        <w:t xml:space="preserve">ابوبكر نیز در زمان خلافت خود از این سیره پیروی كرد </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در دوران عمر، این روش تغییر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تصمیم گرفت اموال بیت‌المال را تا پایان سال جمع‌آوری کند و سپس یکجا توزیع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نام مهاجران، انصار و دیگر مردم را در دفاتری ثبت کرد و برای آنان بر اساس معیارهایی 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سابقه در اسلام،وابستگی قبیله‌ای و نزدیکی به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Style w:val="FootnoteAnchor"/>
          <w:rtl w:val="true"/>
        </w:rPr>
        <w:footnoteReference w:id="25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در سیره اقتصادی امیرالمؤمنین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انباشت و راکد گذاشتن ثروت به هیچ وجه پذیرفته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دیدگاه ایشان، فلسفه وجودی مال، بهره‌مندی انسان‌ها از آن است</w:t>
      </w:r>
      <w:r>
        <w:rPr>
          <w:rStyle w:val="FootnoteAnchor"/>
          <w:rtl w:val="true"/>
        </w:rPr>
        <w:footnoteReference w:id="252"/>
      </w:r>
      <w:r>
        <w:rPr>
          <w:rFonts w:ascii="IRNazanin" w:hAnsi="IRNazanin" w:eastAsia="IRNazanin"/>
          <w:color w:val="111111"/>
          <w:sz w:val="28"/>
          <w:sz w:val="28"/>
          <w:szCs w:val="28"/>
          <w:rtl w:val="true"/>
          <w:lang w:bidi="fa-IR"/>
        </w:rPr>
        <w:t>و ذخیره‌سازی آن با انگیزه ثروت‌اندوزی، ظلم به جامعه و محروم کردن مردم از نعمت‌های الهی محسوب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استثنا در این قاعده، پس‌انداز مخارج سالانه خانواده است که حضرت حدود آن را در آن زمان چهار هزار درهم تعیین فرمودند</w:t>
      </w:r>
      <w:r>
        <w:rPr>
          <w:rFonts w:eastAsia="IRNazanin" w:cs="IRNazanin"/>
          <w:color w:val="111111"/>
          <w:sz w:val="28"/>
          <w:szCs w:val="28"/>
          <w:rtl w:val="true"/>
          <w:lang w:bidi="fa-IR"/>
        </w:rPr>
        <w:t>.</w:t>
      </w:r>
      <w:r>
        <w:rPr>
          <w:rStyle w:val="FootnoteAnchor"/>
          <w:rtl w:val="true"/>
        </w:rPr>
        <w:footnoteReference w:id="253"/>
      </w:r>
    </w:p>
    <w:p>
      <w:pPr>
        <w:pStyle w:val="BookText"/>
        <w:rPr/>
      </w:pPr>
      <w:r>
        <w:rPr>
          <w:rFonts w:ascii="IRNazanin" w:hAnsi="IRNazanin" w:eastAsia="IRNazanin"/>
          <w:color w:val="111111"/>
          <w:sz w:val="28"/>
          <w:sz w:val="28"/>
          <w:szCs w:val="28"/>
          <w:rtl w:val="true"/>
          <w:lang w:bidi="fa-IR"/>
        </w:rPr>
        <w:t>بر این اساس،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حکومت نیز هیچ‌گاه توزیع بیت‌المال را به تأثیر نمی‌انداخت و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دوست ندارم این اموال نزد من باقی بماند در حالی که مردم به آن نیازمندند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نمونه عینی اجرای این سیاست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حضرت دستور دادند تمام مردم برای دریافت سهم خود از بیت‌المال حاضر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تقسیم‌بندی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هر نفر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مهاجر، انصار، عرب، عجم، آزاد و برده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دینار پرداخت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سهل بن حنیف به برده سابق خود اشاره کرد، امام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او نیز همانند تو می‌دهیم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تقسیم‌بندی بدون هیچ تبعیضی انجام گرفت</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گروهی از بزرگان قریش از جمله طلحه، زبیر، عبدالله بن عمر و مروان بن حکم از حضور در این مراسم تقسیم عادلانه خودداری کردند، که نشان‌دهنده مقاومت در برابر سیاست‌های عدالت‌محور امام بود</w:t>
      </w:r>
      <w:r>
        <w:rPr>
          <w:rFonts w:eastAsia="IRNazanin" w:cs="IRNazanin"/>
          <w:color w:val="111111"/>
          <w:sz w:val="28"/>
          <w:szCs w:val="28"/>
          <w:rtl w:val="true"/>
          <w:lang w:bidi="fa-IR"/>
        </w:rPr>
        <w:t>.</w:t>
      </w:r>
      <w:r>
        <w:rPr>
          <w:rStyle w:val="FootnoteAnchor"/>
          <w:rtl w:val="true"/>
        </w:rPr>
        <w:footnoteReference w:id="254"/>
      </w:r>
      <w:bookmarkStart w:id="345" w:name="pg18832_210975"/>
    </w:p>
    <w:p>
      <w:pPr>
        <w:pStyle w:val="Heading4"/>
        <w:numPr>
          <w:ilvl w:val="3"/>
          <w:numId w:val="1"/>
        </w:numPr>
        <w:rPr/>
      </w:pPr>
      <w:bookmarkStart w:id="346" w:name="__RefHeading___Toc14292582_1280447820"/>
      <w:bookmarkStart w:id="347" w:name="_Toc130"/>
      <w:bookmarkEnd w:id="345"/>
      <w:bookmarkEnd w:id="346"/>
      <w:r>
        <w:rPr/>
        <w:t>5.2.2</w:t>
      </w:r>
      <w:r>
        <w:rPr>
          <w:rtl w:val="true"/>
        </w:rPr>
        <w:t xml:space="preserve">. </w:t>
      </w:r>
      <w:r>
        <w:rPr>
          <w:rtl w:val="true"/>
        </w:rPr>
        <w:t>عطایای هدفمند</w:t>
      </w:r>
      <w:bookmarkEnd w:id="347"/>
    </w:p>
    <w:p>
      <w:pPr>
        <w:pStyle w:val="Heading5"/>
        <w:numPr>
          <w:ilvl w:val="4"/>
          <w:numId w:val="1"/>
        </w:numPr>
        <w:rPr/>
      </w:pPr>
      <w:bookmarkStart w:id="348" w:name="__RefHeading___Toc14292584_1280447820"/>
      <w:bookmarkStart w:id="349" w:name="_Toc131"/>
      <w:bookmarkEnd w:id="348"/>
      <w:r>
        <w:rPr>
          <w:rtl w:val="true"/>
        </w:rPr>
        <w:t>اشاره</w:t>
      </w:r>
      <w:bookmarkEnd w:id="349"/>
    </w:p>
    <w:p>
      <w:pPr>
        <w:pStyle w:val="BookText"/>
        <w:rPr/>
      </w:pPr>
      <w:r>
        <w:rPr>
          <w:rFonts w:ascii="IRNazanin" w:hAnsi="IRNazanin" w:eastAsia="IRNazanin"/>
          <w:color w:val="111111"/>
          <w:sz w:val="28"/>
          <w:sz w:val="28"/>
          <w:szCs w:val="28"/>
          <w:rtl w:val="true"/>
          <w:lang w:bidi="fa-IR"/>
        </w:rPr>
        <w:t xml:space="preserve">همان‌گونه که اشاره شد، توزیع بیت‌المال در سیره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بر پایه عدالت و توزیع به‌موقع استوار بود؛ اما ایشان در موارد خاص و با تدبیر حکیمانه، با هدف جذب قلوب و تثبیت اسلام، اقدام به بخشش‌های اضافی می‌نمودند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نمونه‌های</w:t>
      </w:r>
    </w:p>
    <w:p>
      <w:pPr>
        <w:pStyle w:val="BookText"/>
        <w:rPr/>
      </w:pPr>
      <w:r>
        <w:rPr>
          <w:rFonts w:ascii="IRNazanin" w:hAnsi="IRNazanin" w:eastAsia="IRNazanin"/>
          <w:color w:val="111111"/>
          <w:sz w:val="28"/>
          <w:sz w:val="28"/>
          <w:szCs w:val="28"/>
          <w:rtl w:val="true"/>
          <w:lang w:bidi="fa-IR"/>
        </w:rPr>
        <w:t>زیر گویای این رویکرد است</w:t>
      </w:r>
      <w:r>
        <w:rPr>
          <w:rFonts w:eastAsia="IRNazanin" w:cs="IRNazanin"/>
          <w:color w:val="111111"/>
          <w:sz w:val="28"/>
          <w:szCs w:val="28"/>
          <w:rtl w:val="true"/>
          <w:lang w:bidi="fa-IR"/>
        </w:rPr>
        <w:t>:</w:t>
      </w:r>
    </w:p>
    <w:p>
      <w:pPr>
        <w:pStyle w:val="Heading5"/>
        <w:numPr>
          <w:ilvl w:val="4"/>
          <w:numId w:val="1"/>
        </w:numPr>
        <w:rPr/>
      </w:pPr>
      <w:bookmarkStart w:id="350" w:name="__RefHeading___Toc14292586_1280447820"/>
      <w:bookmarkStart w:id="351" w:name="_Toc132"/>
      <w:bookmarkEnd w:id="350"/>
      <w:r>
        <w:rPr>
          <w:rtl w:val="true"/>
        </w:rPr>
        <w:t>الف</w:t>
      </w:r>
      <w:r>
        <w:rPr>
          <w:rtl w:val="true"/>
        </w:rPr>
        <w:t xml:space="preserve">. </w:t>
      </w:r>
      <w:r>
        <w:rPr>
          <w:rtl w:val="true"/>
        </w:rPr>
        <w:t>جذب رئیس قبیله هوازن</w:t>
      </w:r>
      <w:bookmarkEnd w:id="351"/>
    </w:p>
    <w:p>
      <w:pPr>
        <w:pStyle w:val="BookText"/>
        <w:rPr/>
      </w:pPr>
      <w:r>
        <w:rPr>
          <w:rFonts w:ascii="IRNazanin" w:hAnsi="IRNazanin" w:eastAsia="IRNazanin"/>
          <w:color w:val="111111"/>
          <w:sz w:val="28"/>
          <w:sz w:val="28"/>
          <w:szCs w:val="28"/>
          <w:rtl w:val="true"/>
          <w:lang w:bidi="fa-IR"/>
        </w:rPr>
        <w:t xml:space="preserve">پس از جنگ حنین،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مالک بن عوف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رهبر هوازن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 کردند که در صورت اسلام آوردن، علاوه بر استرداد اموال و خانواده‌اش، صد شتر نیز به او خواهند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پذیرش اسلام توسط مالک، پیامبر به وعده خود عمل نمودند و حتی حکومت قومش را نیز به او سپردند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اقدام، مصداق بارز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عطایای هدفمند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تثبیت اقتدار اسلامی و جذب نخبگان قبیله‌ای بود</w:t>
      </w:r>
      <w:r>
        <w:rPr>
          <w:rFonts w:eastAsia="IRNazanin" w:cs="IRNazanin"/>
          <w:color w:val="111111"/>
          <w:sz w:val="28"/>
          <w:szCs w:val="28"/>
          <w:rtl w:val="true"/>
          <w:lang w:bidi="fa-IR"/>
        </w:rPr>
        <w:t>.</w:t>
      </w:r>
      <w:r>
        <w:rPr>
          <w:rStyle w:val="FootnoteAnchor"/>
          <w:rtl w:val="true"/>
        </w:rPr>
        <w:footnoteReference w:id="255"/>
      </w:r>
    </w:p>
    <w:p>
      <w:pPr>
        <w:pStyle w:val="Heading5"/>
        <w:numPr>
          <w:ilvl w:val="4"/>
          <w:numId w:val="1"/>
        </w:numPr>
        <w:rPr/>
      </w:pPr>
      <w:bookmarkStart w:id="352" w:name="__RefHeading___Toc14292588_1280447820"/>
      <w:bookmarkStart w:id="353" w:name="_Toc133"/>
      <w:bookmarkEnd w:id="352"/>
      <w:r>
        <w:rPr>
          <w:rtl w:val="true"/>
        </w:rPr>
        <w:t>ب</w:t>
      </w:r>
      <w:r>
        <w:rPr>
          <w:rtl w:val="true"/>
        </w:rPr>
        <w:t xml:space="preserve">. </w:t>
      </w:r>
      <w:r>
        <w:rPr>
          <w:rtl w:val="true"/>
        </w:rPr>
        <w:t>توزیع اموال یمن و دلجویی از انصار</w:t>
      </w:r>
      <w:bookmarkEnd w:id="353"/>
    </w:p>
    <w:p>
      <w:pPr>
        <w:pStyle w:val="BookText"/>
        <w:rPr/>
      </w:pPr>
      <w:r>
        <w:rPr>
          <w:rFonts w:ascii="IRNazanin" w:hAnsi="IRNazanin" w:eastAsia="IRNazanin"/>
          <w:color w:val="111111"/>
          <w:sz w:val="28"/>
          <w:sz w:val="28"/>
          <w:szCs w:val="28"/>
          <w:rtl w:val="true"/>
          <w:lang w:bidi="fa-IR"/>
        </w:rPr>
        <w:t xml:space="preserve">هنگامی که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اموال فراوانی از یمن آوردند،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عمدتاً میان تازه‌مسلمانان قریش و سایر قبایل عرب تقسیم کردند و به انصار چیزی نبخشیدند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بروز</w:t>
      </w:r>
    </w:p>
    <w:p>
      <w:pPr>
        <w:pStyle w:val="BookText"/>
        <w:rPr/>
      </w:pPr>
      <w:r>
        <w:rPr>
          <w:rFonts w:ascii="IRNazanin" w:hAnsi="IRNazanin" w:eastAsia="IRNazanin"/>
          <w:color w:val="111111"/>
          <w:sz w:val="28"/>
          <w:sz w:val="28"/>
          <w:szCs w:val="28"/>
          <w:rtl w:val="true"/>
          <w:lang w:bidi="fa-IR"/>
        </w:rPr>
        <w:t>نارضایتی میان انصار، پیامبر در خطابه‌ای تاریخی با یادآوری خدمات و ایثارهای آنان، فرمودند</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راضی نیستید که دیگران گوسفند و شتر ببرند، و شما پیامبر خود را داشته باشید؟</w:t>
      </w:r>
      <w:r>
        <w:rPr>
          <w:rStyle w:val="FootnoteAnchor"/>
          <w:rtl w:val="true"/>
        </w:rPr>
        <w:footnoteReference w:id="256"/>
      </w:r>
      <w:r>
        <w:rPr>
          <w:rFonts w:eastAsia="Times New Roman" w:cs="Times New Roman" w:ascii="Times New Roman" w:hAnsi="Times New Roman"/>
          <w:color w:val="111111"/>
          <w:sz w:val="28"/>
          <w:szCs w:val="28"/>
          <w:rtl w:val="true"/>
          <w:lang w:val="en-US" w:bidi="en-US"/>
        </w:rPr>
        <w:t xml:space="preserve">» </w:t>
      </w:r>
      <w:bookmarkStart w:id="354" w:name="pg18832_210976"/>
    </w:p>
    <w:p>
      <w:pPr>
        <w:pStyle w:val="BookText"/>
        <w:rPr/>
      </w:pPr>
      <w:bookmarkEnd w:id="354"/>
      <w:r>
        <w:rPr>
          <w:rFonts w:ascii="IRNazanin" w:hAnsi="IRNazanin" w:eastAsia="IRNazanin"/>
          <w:color w:val="111111"/>
          <w:sz w:val="28"/>
          <w:sz w:val="28"/>
          <w:szCs w:val="28"/>
          <w:rtl w:val="true"/>
          <w:lang w:bidi="fa-IR"/>
        </w:rPr>
        <w:t>این سخن چنان تاثیری بر جان انصار نشست که با اشک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به پیامبر بسنده می‌کنیم</w:t>
      </w:r>
      <w:r>
        <w:rPr>
          <w:rFonts w:eastAsia="IRNazanin" w:cs="IRNazanin"/>
          <w:color w:val="111111"/>
          <w:sz w:val="28"/>
          <w:szCs w:val="28"/>
          <w:rtl w:val="true"/>
          <w:lang w:bidi="fa-IR"/>
        </w:rPr>
        <w:t xml:space="preserve">." </w:t>
      </w:r>
      <w:r>
        <w:rPr>
          <w:rStyle w:val="FootnoteAnchor"/>
          <w:rtl w:val="true"/>
        </w:rPr>
        <w:footnoteReference w:id="257"/>
      </w:r>
      <w:r>
        <w:rPr>
          <w:rFonts w:ascii="IRNazanin" w:hAnsi="IRNazanin" w:eastAsia="IRNazanin"/>
          <w:color w:val="111111"/>
          <w:sz w:val="28"/>
          <w:sz w:val="28"/>
          <w:szCs w:val="28"/>
          <w:rtl w:val="true"/>
          <w:lang w:bidi="fa-IR"/>
        </w:rPr>
        <w:t xml:space="preserve">این رویداد نشان می‌دهد که 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گذشت آگاهانه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از حق خویش، در سایه مدیریت حکیمانه رهبر، ارزشی بالاتر از ثروت مادی می‌یابد</w:t>
      </w:r>
      <w:r>
        <w:rPr>
          <w:rFonts w:eastAsia="IRNazanin" w:cs="IRNazanin"/>
          <w:color w:val="111111"/>
          <w:sz w:val="28"/>
          <w:szCs w:val="28"/>
          <w:rtl w:val="true"/>
          <w:lang w:bidi="fa-IR"/>
        </w:rPr>
        <w:t>.</w:t>
      </w:r>
    </w:p>
    <w:p>
      <w:pPr>
        <w:pStyle w:val="Heading5"/>
        <w:numPr>
          <w:ilvl w:val="4"/>
          <w:numId w:val="1"/>
        </w:numPr>
        <w:rPr/>
      </w:pPr>
      <w:bookmarkStart w:id="355" w:name="__RefHeading___Toc14292590_1280447820"/>
      <w:bookmarkStart w:id="356" w:name="_Toc134"/>
      <w:bookmarkEnd w:id="355"/>
      <w:r>
        <w:rPr>
          <w:rtl w:val="true"/>
        </w:rPr>
        <w:t>ج</w:t>
      </w:r>
      <w:r>
        <w:rPr>
          <w:rtl w:val="true"/>
        </w:rPr>
        <w:t xml:space="preserve">. </w:t>
      </w:r>
      <w:r>
        <w:rPr>
          <w:rtl w:val="true"/>
        </w:rPr>
        <w:t>ایثار انصار در ماجرای بنی نضیر</w:t>
      </w:r>
      <w:bookmarkEnd w:id="356"/>
    </w:p>
    <w:p>
      <w:pPr>
        <w:pStyle w:val="BookText"/>
        <w:rPr/>
      </w:pPr>
      <w:r>
        <w:rPr>
          <w:rFonts w:ascii="IRNazanin" w:hAnsi="IRNazanin" w:eastAsia="IRNazanin"/>
          <w:color w:val="111111"/>
          <w:sz w:val="28"/>
          <w:sz w:val="28"/>
          <w:szCs w:val="28"/>
          <w:rtl w:val="true"/>
          <w:lang w:bidi="fa-IR"/>
        </w:rPr>
        <w:t xml:space="preserve">پس از فتح بنی نضیر،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مشورت انصار، پیشنهاد دادند که غنایم یا بین مهاجران و انصار تقسیم شود و مهاجران میهمان انصار بمانند، یا تنها به مهاجران داده شود و آنان از خانه‌های انصار خارج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انصار با بزرگواری پاسخ دادند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مهاجران تقسیم کن و آنان همچنان میهمان ما باشند</w:t>
      </w:r>
      <w:r>
        <w:rPr>
          <w:rFonts w:eastAsia="IRNazanin" w:cs="IRNazanin"/>
          <w:color w:val="111111"/>
          <w:sz w:val="28"/>
          <w:szCs w:val="28"/>
          <w:rtl w:val="true"/>
          <w:lang w:bidi="fa-IR"/>
        </w:rPr>
        <w:t>.</w:t>
      </w:r>
      <w:r>
        <w:rPr>
          <w:rStyle w:val="FootnoteAnchor"/>
          <w:rtl w:val="true"/>
        </w:rPr>
        <w:footnoteReference w:id="2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پاسخ، نشان‌دهنده بلندنظری و اولویت‌دادن به وحدت اسلامی بر منافع مادی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بخشش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مؤلفة قلوبهم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حنین</w:t>
      </w:r>
    </w:p>
    <w:p>
      <w:pPr>
        <w:pStyle w:val="BookText"/>
        <w:rPr/>
      </w:pP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تازه‌مسلمانانی چون ابوسفیان، معاویه و دیگران، تا صد شتر بخشیدند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از ایشان پرسیدند چرا به افراد باایمان‌تر کمتر می‌دهند، فرمودند</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اینان را با مال دلجویی می‌کنم تا دوستیمان را جلب کنم، اما افراد باایمان را به اسلامشان وا می‌گذارم</w:t>
      </w:r>
      <w:r>
        <w:rPr>
          <w:rFonts w:eastAsia="IRNazanin" w:cs="IRNazanin"/>
          <w:color w:val="111111"/>
          <w:sz w:val="28"/>
          <w:szCs w:val="28"/>
          <w:rtl w:val="true"/>
          <w:lang w:bidi="fa-IR"/>
        </w:rPr>
        <w:t>.</w:t>
      </w:r>
      <w:r>
        <w:rPr>
          <w:rStyle w:val="FootnoteAnchor"/>
          <w:rtl w:val="true"/>
        </w:rPr>
        <w:footnoteReference w:id="259"/>
      </w:r>
      <w:r>
        <w:rPr>
          <w:rFonts w:eastAsia="Times New Roman" w:cs="Times New Roman" w:ascii="Times New Roman" w:hAnsi="Times New Roman"/>
          <w:color w:val="111111"/>
          <w:sz w:val="28"/>
          <w:szCs w:val="28"/>
          <w:rtl w:val="true"/>
          <w:lang w:val="en-US" w:bidi="en-US"/>
        </w:rPr>
        <w:t xml:space="preserve">» </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57" w:name="pg18832_210978"/>
      <w:bookmarkStart w:id="358" w:name="pg18832_210978"/>
      <w:bookmarkEnd w:id="358"/>
    </w:p>
    <w:p>
      <w:pPr>
        <w:pStyle w:val="Heading2"/>
        <w:numPr>
          <w:ilvl w:val="1"/>
          <w:numId w:val="1"/>
        </w:numPr>
        <w:rPr/>
      </w:pPr>
      <w:bookmarkStart w:id="359" w:name="pg18832_210978"/>
      <w:bookmarkStart w:id="360" w:name="__RefHeading___Toc14292592_1280447820"/>
      <w:bookmarkStart w:id="361" w:name="_Toc135"/>
      <w:bookmarkEnd w:id="359"/>
      <w:bookmarkEnd w:id="360"/>
      <w:r>
        <w:rPr>
          <w:rtl w:val="true"/>
        </w:rPr>
        <w:t>فصل ششم</w:t>
      </w:r>
      <w:r>
        <w:rPr>
          <w:rtl w:val="true"/>
        </w:rPr>
        <w:t xml:space="preserve">: </w:t>
      </w:r>
      <w:r>
        <w:rPr>
          <w:rtl w:val="true"/>
        </w:rPr>
        <w:t xml:space="preserve">سیره فرهنگی پیامبر اکرم </w:t>
      </w:r>
      <w:r>
        <w:rPr>
          <w:rtl w:val="true"/>
        </w:rPr>
        <w:t>(</w:t>
      </w:r>
      <w:r>
        <w:rPr>
          <w:rtl w:val="true"/>
        </w:rPr>
        <w:t>صلی الله علیه وآله</w:t>
      </w:r>
      <w:r>
        <w:rPr>
          <w:rtl w:val="true"/>
        </w:rPr>
        <w:t xml:space="preserve">) </w:t>
      </w:r>
      <w:r>
        <w:rPr>
          <w:rtl w:val="true"/>
        </w:rPr>
        <w:t xml:space="preserve">و امام علی </w:t>
      </w:r>
      <w:r>
        <w:rPr>
          <w:rtl w:val="true"/>
        </w:rPr>
        <w:t>(</w:t>
      </w:r>
      <w:r>
        <w:rPr>
          <w:rtl w:val="true"/>
        </w:rPr>
        <w:t>علیه السلام</w:t>
      </w:r>
      <w:r>
        <w:rPr>
          <w:rtl w:val="true"/>
        </w:rPr>
        <w:t>)</w:t>
      </w:r>
      <w:bookmarkEnd w:id="361"/>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62" w:name="__RefHeading___Toc14292594_1280447820"/>
      <w:bookmarkStart w:id="363" w:name="_Toc136"/>
      <w:bookmarkEnd w:id="362"/>
      <w:r>
        <w:rPr>
          <w:rtl w:val="true"/>
        </w:rPr>
        <w:t>اشاره</w:t>
      </w:r>
      <w:bookmarkStart w:id="364" w:name="pg18832_210979"/>
      <w:bookmarkEnd w:id="363"/>
    </w:p>
    <w:p>
      <w:pPr>
        <w:pStyle w:val="Heading3"/>
        <w:numPr>
          <w:ilvl w:val="2"/>
          <w:numId w:val="1"/>
        </w:numPr>
        <w:rPr/>
      </w:pPr>
      <w:bookmarkStart w:id="365" w:name="__RefHeading___Toc14292596_1280447820"/>
      <w:bookmarkStart w:id="366" w:name="_Toc137"/>
      <w:bookmarkEnd w:id="364"/>
      <w:bookmarkEnd w:id="365"/>
      <w:r>
        <w:rPr/>
        <w:t>6.1</w:t>
      </w:r>
      <w:r>
        <w:rPr>
          <w:rtl w:val="true"/>
        </w:rPr>
        <w:t>.</w:t>
      </w:r>
      <w:r>
        <w:rPr>
          <w:rtl w:val="true"/>
        </w:rPr>
        <w:t xml:space="preserve">سیره فرهنگی پیامبر اکرم </w:t>
      </w:r>
      <w:r>
        <w:rPr>
          <w:rtl w:val="true"/>
        </w:rPr>
        <w:t>(</w:t>
      </w:r>
      <w:r>
        <w:rPr>
          <w:rtl w:val="true"/>
        </w:rPr>
        <w:t>صلی الله علیه وآله</w:t>
      </w:r>
      <w:r>
        <w:rPr>
          <w:rtl w:val="true"/>
        </w:rPr>
        <w:t xml:space="preserve">) </w:t>
      </w:r>
      <w:r>
        <w:rPr>
          <w:rtl w:val="true"/>
        </w:rPr>
        <w:t>و امام علی</w:t>
      </w:r>
      <w:r>
        <w:rPr>
          <w:rtl w:val="true"/>
        </w:rPr>
        <w:t>(</w:t>
      </w:r>
      <w:r>
        <w:rPr>
          <w:rtl w:val="true"/>
        </w:rPr>
        <w:t>علیه السلام</w:t>
      </w:r>
      <w:r>
        <w:rPr>
          <w:rtl w:val="true"/>
        </w:rPr>
        <w:t xml:space="preserve">) </w:t>
      </w:r>
      <w:r>
        <w:rPr>
          <w:rtl w:val="true"/>
        </w:rPr>
        <w:t>در ایجاد وحدت اجتماعی</w:t>
      </w:r>
      <w:bookmarkEnd w:id="366"/>
    </w:p>
    <w:p>
      <w:pPr>
        <w:pStyle w:val="Heading4"/>
        <w:numPr>
          <w:ilvl w:val="3"/>
          <w:numId w:val="1"/>
        </w:numPr>
        <w:rPr/>
      </w:pPr>
      <w:bookmarkStart w:id="367" w:name="__RefHeading___Toc14292598_1280447820"/>
      <w:bookmarkStart w:id="368" w:name="_Toc138"/>
      <w:bookmarkEnd w:id="367"/>
      <w:r>
        <w:rPr>
          <w:rtl w:val="true"/>
        </w:rPr>
        <w:t>اشاره</w:t>
      </w:r>
      <w:bookmarkEnd w:id="368"/>
    </w:p>
    <w:p>
      <w:pPr>
        <w:pStyle w:val="BookText"/>
        <w:rPr/>
      </w:pP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به‌کارگیری راهبردهای فرهنگی هوشمندانه، زمینه‌ساز وحدت و همبستگی امت اسلامی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بخش به مهم‌ترین اقدامات ایشان در این زمینه اشاره می‌شود</w:t>
      </w:r>
      <w:r>
        <w:rPr>
          <w:rFonts w:eastAsia="IRNazanin" w:cs="IRNazanin"/>
          <w:color w:val="111111"/>
          <w:sz w:val="28"/>
          <w:szCs w:val="28"/>
          <w:rtl w:val="true"/>
          <w:lang w:bidi="fa-IR"/>
        </w:rPr>
        <w:t>:</w:t>
      </w:r>
    </w:p>
    <w:p>
      <w:pPr>
        <w:pStyle w:val="Heading4"/>
        <w:numPr>
          <w:ilvl w:val="3"/>
          <w:numId w:val="1"/>
        </w:numPr>
        <w:rPr/>
      </w:pPr>
      <w:bookmarkStart w:id="369" w:name="__RefHeading___Toc14292600_1280447820"/>
      <w:bookmarkStart w:id="370" w:name="_Toc139"/>
      <w:bookmarkEnd w:id="369"/>
      <w:r>
        <w:rPr/>
        <w:t>6.1.1</w:t>
      </w:r>
      <w:r>
        <w:rPr>
          <w:rtl w:val="true"/>
        </w:rPr>
        <w:t xml:space="preserve">. </w:t>
      </w:r>
      <w:r>
        <w:rPr>
          <w:rtl w:val="true"/>
        </w:rPr>
        <w:t>پیمان برادری</w:t>
      </w:r>
      <w:bookmarkEnd w:id="370"/>
    </w:p>
    <w:p>
      <w:pPr>
        <w:pStyle w:val="BookText"/>
        <w:rPr/>
      </w:pPr>
      <w:r>
        <w:rPr>
          <w:rFonts w:ascii="IRNazanin" w:hAnsi="IRNazanin" w:eastAsia="IRNazanin"/>
          <w:color w:val="111111"/>
          <w:sz w:val="28"/>
          <w:sz w:val="28"/>
          <w:szCs w:val="28"/>
          <w:rtl w:val="true"/>
          <w:lang w:bidi="fa-IR"/>
        </w:rPr>
        <w:t xml:space="preserve">در آغاز هجرت به مدینه،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انعقاد پیمان اخوت میان مهاجران و انصار، بنیان همبستگی اجتماعی را استوار کردند</w:t>
      </w:r>
      <w:r>
        <w:rPr>
          <w:rFonts w:eastAsia="IRNazanin" w:cs="IRNazanin"/>
          <w:color w:val="111111"/>
          <w:sz w:val="28"/>
          <w:szCs w:val="28"/>
          <w:rtl w:val="true"/>
          <w:lang w:bidi="fa-IR"/>
        </w:rPr>
        <w:t>.</w:t>
      </w:r>
      <w:r>
        <w:rPr>
          <w:rStyle w:val="FootnoteAnchor"/>
          <w:rtl w:val="true"/>
        </w:rPr>
        <w:footnoteReference w:id="260"/>
      </w:r>
      <w:r>
        <w:rPr>
          <w:rFonts w:ascii="IRNazanin" w:hAnsi="IRNazanin" w:eastAsia="IRNazanin"/>
          <w:color w:val="111111"/>
          <w:sz w:val="28"/>
          <w:sz w:val="28"/>
          <w:szCs w:val="28"/>
          <w:rtl w:val="true"/>
          <w:lang w:bidi="fa-IR"/>
        </w:rPr>
        <w:t xml:space="preserve">هنگامی که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برای من برادری انتخاب نکردید؟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برادر من در دنیا و آخرت هستی</w:t>
      </w:r>
      <w:r>
        <w:rPr>
          <w:rFonts w:eastAsia="IRNazanin" w:cs="IRNazanin"/>
          <w:color w:val="111111"/>
          <w:sz w:val="28"/>
          <w:szCs w:val="28"/>
          <w:rtl w:val="true"/>
          <w:lang w:bidi="fa-IR"/>
        </w:rPr>
        <w:t>."</w:t>
      </w:r>
      <w:r>
        <w:rPr>
          <w:rStyle w:val="FootnoteAnchor"/>
          <w:rtl w:val="true"/>
        </w:rPr>
        <w:footnoteReference w:id="261"/>
      </w:r>
      <w:r>
        <w:rPr>
          <w:rFonts w:ascii="IRNazanin" w:hAnsi="IRNazanin" w:eastAsia="IRNazanin"/>
          <w:color w:val="111111"/>
          <w:sz w:val="28"/>
          <w:sz w:val="28"/>
          <w:szCs w:val="28"/>
          <w:rtl w:val="true"/>
          <w:lang w:bidi="fa-IR"/>
        </w:rPr>
        <w:t>این پیمان، الگویی ماندگار برای عبور از اختلافات قبیله‌ای و ایجاد اتحاد بر اساس ایمان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بینشی ژرف، وحدت اجتماعی را اساس پیشرفت و اختلاف را عامل ویرانی می‌دانستند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تبیین این اصل حیاتی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الخِلافُ یَهْدِمُ الرَّأْیَ</w:t>
      </w:r>
      <w:r>
        <w:rPr>
          <w:rStyle w:val="FootnoteAnchor"/>
          <w:rtl w:val="true"/>
        </w:rPr>
        <w:footnoteReference w:id="262"/>
      </w:r>
      <w:r>
        <w:rPr>
          <w:rFonts w:ascii="IRNazanin" w:hAnsi="IRNazanin" w:eastAsia="IRNazanin"/>
          <w:color w:val="111111"/>
          <w:sz w:val="28"/>
          <w:sz w:val="28"/>
          <w:szCs w:val="28"/>
          <w:rtl w:val="true"/>
          <w:lang w:bidi="fa-IR"/>
        </w:rPr>
        <w:t>اختلاف، اندیشه را ویران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مبانی نظری وحدت از دیدگاه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تحلیل تاریخی جوامع</w:t>
      </w:r>
    </w:p>
    <w:p>
      <w:pPr>
        <w:pStyle w:val="BookText"/>
        <w:rPr/>
      </w:pPr>
      <w:r>
        <w:rPr>
          <w:rFonts w:ascii="IRNazanin" w:hAnsi="IRNazanin" w:eastAsia="IRNazanin"/>
          <w:color w:val="111111"/>
          <w:sz w:val="28"/>
          <w:sz w:val="28"/>
          <w:szCs w:val="28"/>
          <w:rtl w:val="true"/>
          <w:lang w:bidi="fa-IR"/>
        </w:rPr>
        <w:t>امام در خطبه قاصعه با ترسیم میان دو وضعیت جوامع، درس‌های بزرگی ارائه می‌فرمایند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وضعیت مطلوب</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اَلْأُمَّةُ مُجْتَمِعَةً؛جامعه‌ای متحد؛الْقُلُوبُ مُعْتَدِلَةً؛دل‌ها به هم نزدیک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الْأَیْدِی مُتَرَادِفَةً؛دست‌ها یاری‌گر یکدیگر</w:t>
      </w:r>
      <w:r>
        <w:rPr>
          <w:rFonts w:eastAsia="IRNazanin" w:cs="IRNazanin"/>
          <w:color w:val="111111"/>
          <w:sz w:val="28"/>
          <w:szCs w:val="28"/>
          <w:rtl w:val="true"/>
          <w:lang w:bidi="fa-IR"/>
        </w:rPr>
        <w:t>»</w:t>
      </w:r>
      <w:r>
        <w:rPr>
          <w:rStyle w:val="FootnoteAnchor"/>
          <w:rtl w:val="true"/>
        </w:rPr>
        <w:footnoteReference w:id="263"/>
      </w:r>
    </w:p>
    <w:p>
      <w:pPr>
        <w:pStyle w:val="BookText"/>
        <w:rPr/>
      </w:pPr>
      <w:r>
        <w:rPr>
          <w:rFonts w:ascii="IRNazanin" w:hAnsi="IRNazanin" w:eastAsia="IRNazanin"/>
          <w:color w:val="111111"/>
          <w:sz w:val="28"/>
          <w:sz w:val="28"/>
          <w:szCs w:val="28"/>
          <w:rtl w:val="true"/>
          <w:lang w:bidi="fa-IR"/>
        </w:rPr>
        <w:t>وضعیت نامطلوب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وَقَعَتِ الْفُرْقَةُ؛جدایی افتاد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تَشَعَّبُوا مُخْتَلِفِینَ؛پراکنده و مختلف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تَفَرَّقُوا مُتَحَارِبِینَ؛متفرق</w:t>
      </w:r>
    </w:p>
    <w:p>
      <w:pPr>
        <w:pStyle w:val="BookText"/>
        <w:rPr/>
      </w:pPr>
      <w:r>
        <w:rPr>
          <w:rFonts w:ascii="IRNazanin" w:hAnsi="IRNazanin" w:eastAsia="IRNazanin"/>
          <w:color w:val="111111"/>
          <w:sz w:val="28"/>
          <w:sz w:val="28"/>
          <w:szCs w:val="28"/>
          <w:rtl w:val="true"/>
          <w:lang w:bidi="fa-IR"/>
        </w:rPr>
        <w:t>و در حال جنگ شدند</w:t>
      </w:r>
      <w:r>
        <w:rPr>
          <w:rFonts w:eastAsia="IRNazanin" w:cs="IRNazanin"/>
          <w:color w:val="111111"/>
          <w:sz w:val="28"/>
          <w:szCs w:val="28"/>
          <w:rtl w:val="true"/>
          <w:lang w:bidi="fa-IR"/>
        </w:rPr>
        <w:t>.</w:t>
      </w:r>
      <w:r>
        <w:rPr>
          <w:rStyle w:val="FootnoteAnchor"/>
          <w:rtl w:val="true"/>
        </w:rPr>
        <w:footnoteReference w:id="26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ریشه‌یابی اختلاف‌ها</w:t>
      </w:r>
    </w:p>
    <w:p>
      <w:p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منشأ اصلی تفرقه را درونی می‌دانند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فَرَّقَ بَیْنَكُمْ إِلَّا خُبْثُ السَّرَائِرِ وَ سُوءُ الضَّمَائِرِ</w:t>
      </w:r>
      <w:r>
        <w:rPr>
          <w:rStyle w:val="FootnoteAnchor"/>
          <w:rtl w:val="true"/>
        </w:rPr>
        <w:footnoteReference w:id="265"/>
      </w:r>
      <w:r>
        <w:rPr>
          <w:rFonts w:ascii="IRNazanin" w:hAnsi="IRNazanin" w:eastAsia="IRNazanin"/>
          <w:color w:val="111111"/>
          <w:sz w:val="28"/>
          <w:sz w:val="28"/>
          <w:szCs w:val="28"/>
          <w:rtl w:val="true"/>
          <w:lang w:bidi="fa-IR"/>
        </w:rPr>
        <w:t>جز پلیدی سریره‌ها و بدی ضمیرها، چیزی شما را از هم جدا نکرده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راهکارهای عملی برای ایجاد وحدت</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احترام به کرامت انسانی</w:t>
      </w:r>
    </w:p>
    <w:p>
      <w:pPr>
        <w:pStyle w:val="BookText"/>
        <w:rPr/>
      </w:pPr>
      <w:r>
        <w:rPr>
          <w:rFonts w:ascii="IRNazanin" w:hAnsi="IRNazanin" w:eastAsia="IRNazanin"/>
          <w:color w:val="111111"/>
          <w:sz w:val="28"/>
          <w:sz w:val="28"/>
          <w:szCs w:val="28"/>
          <w:rtl w:val="true"/>
          <w:lang w:bidi="fa-IR"/>
        </w:rPr>
        <w:t>در عهدنامه مالک اشتر، امام بر محورترین اصل وحدت‌ساز تأکید می‌فرمایند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اِشْعِرْ قَلْبَكَ الرَّحْمَةَ لِلرَّعِیَّةِ وَ الْمَحَبَّةَ لَهُمْ وَ اللُّطْفَ بِهِمْ</w:t>
      </w:r>
      <w:r>
        <w:rPr>
          <w:rStyle w:val="FootnoteAnchor"/>
          <w:rtl w:val="true"/>
        </w:rPr>
        <w:footnoteReference w:id="266"/>
      </w:r>
      <w:r>
        <w:rPr>
          <w:rFonts w:ascii="IRNazanin" w:hAnsi="IRNazanin" w:eastAsia="IRNazanin"/>
          <w:color w:val="111111"/>
          <w:sz w:val="28"/>
          <w:sz w:val="28"/>
          <w:szCs w:val="28"/>
          <w:rtl w:val="true"/>
          <w:lang w:bidi="fa-IR"/>
        </w:rPr>
        <w:t>دلت را از رحمت و محبت به مردم و لطف نسبت به آنان آکنده ساز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نگرش برادرانه به همه انسان‌ها</w:t>
      </w:r>
    </w:p>
    <w:p>
      <w:pPr>
        <w:pStyle w:val="BookText"/>
        <w:rPr/>
      </w:pPr>
      <w:r>
        <w:rPr>
          <w:rFonts w:ascii="IRNazanin" w:hAnsi="IRNazanin" w:eastAsia="IRNazanin"/>
          <w:color w:val="111111"/>
          <w:sz w:val="28"/>
          <w:sz w:val="28"/>
          <w:szCs w:val="28"/>
          <w:rtl w:val="true"/>
          <w:lang w:bidi="fa-IR"/>
        </w:rPr>
        <w:t>امام مردم را به دو دسته تقسیم می‌کنند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إِمَّا أَخٌ لَكَ فِی الدِّین إِمَّا نَظِیرٌ لَكَ فِی الْخَلْق</w:t>
      </w:r>
      <w:r>
        <w:rPr>
          <w:rStyle w:val="FootnoteAnchor"/>
          <w:rtl w:val="true"/>
        </w:rPr>
        <w:footnoteReference w:id="2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سیره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ایجاد وحدت اجتماعی، ترکیبی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تبیین نظری پیامدهای وحدت و تفرقه،ریشه‌یابی عمیق عوامل اختلاف و ارائه راهکارهای عینی برای همزیستی مسالمت‌آمیزاست</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آموزه‌ها امروزه نیز می‌تواند الگویی برای جوامع باشد</w:t>
      </w:r>
      <w:r>
        <w:rPr>
          <w:rFonts w:eastAsia="IRNazanin" w:cs="IRNazanin"/>
          <w:color w:val="111111"/>
          <w:sz w:val="28"/>
          <w:szCs w:val="28"/>
          <w:rtl w:val="true"/>
          <w:lang w:bidi="fa-IR"/>
        </w:rPr>
        <w:t xml:space="preserve">. </w:t>
      </w:r>
      <w:bookmarkStart w:id="371" w:name="pg18832_210981"/>
    </w:p>
    <w:p>
      <w:pPr>
        <w:pStyle w:val="Heading4"/>
        <w:numPr>
          <w:ilvl w:val="3"/>
          <w:numId w:val="1"/>
        </w:numPr>
        <w:rPr/>
      </w:pPr>
      <w:bookmarkStart w:id="372" w:name="__RefHeading___Toc14292602_1280447820"/>
      <w:bookmarkStart w:id="373" w:name="_Toc140"/>
      <w:bookmarkEnd w:id="371"/>
      <w:bookmarkEnd w:id="372"/>
      <w:r>
        <w:rPr/>
        <w:t>6.1.2</w:t>
      </w:r>
      <w:r>
        <w:rPr>
          <w:rtl w:val="true"/>
        </w:rPr>
        <w:t>.</w:t>
      </w:r>
      <w:r>
        <w:rPr>
          <w:rtl w:val="true"/>
        </w:rPr>
        <w:t>صلح مدینه</w:t>
      </w:r>
      <w:bookmarkEnd w:id="373"/>
    </w:p>
    <w:p>
      <w:pPr>
        <w:pStyle w:val="BookText"/>
        <w:rPr/>
      </w:pPr>
      <w:r>
        <w:rPr>
          <w:rFonts w:ascii="IRNazanin" w:hAnsi="IRNazanin" w:eastAsia="IRNazanin"/>
          <w:color w:val="111111"/>
          <w:sz w:val="28"/>
          <w:sz w:val="28"/>
          <w:szCs w:val="28"/>
          <w:rtl w:val="true"/>
          <w:lang w:bidi="fa-IR"/>
        </w:rPr>
        <w:t xml:space="preserve">این پیمان که در سال اول هجرت میان مسلمانان و یهودیان مدینه منعقد شد،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عنوان مرجع اصلی حل اختلافات و اعلام جنگ و صلح معرفی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قرارداد نه تنها یک پیمان دفاعی، بلکه سنگ بنای حکمرانی عادلانه و ایجاد نظم اجتماعی بود</w:t>
      </w:r>
      <w:r>
        <w:rPr>
          <w:rFonts w:eastAsia="IRNazanin" w:cs="IRNazanin"/>
          <w:color w:val="111111"/>
          <w:sz w:val="28"/>
          <w:szCs w:val="28"/>
          <w:rtl w:val="true"/>
          <w:lang w:bidi="fa-IR"/>
        </w:rPr>
        <w:t>.</w:t>
      </w:r>
      <w:r>
        <w:rPr>
          <w:rStyle w:val="FootnoteAnchor"/>
          <w:rtl w:val="true"/>
        </w:rPr>
        <w:footnoteReference w:id="268"/>
      </w:r>
    </w:p>
    <w:p>
      <w:pPr>
        <w:pStyle w:val="Heading4"/>
        <w:numPr>
          <w:ilvl w:val="3"/>
          <w:numId w:val="1"/>
        </w:numPr>
        <w:rPr/>
      </w:pPr>
      <w:bookmarkStart w:id="374" w:name="__RefHeading___Toc14292604_1280447820"/>
      <w:bookmarkStart w:id="375" w:name="_Toc141"/>
      <w:bookmarkEnd w:id="374"/>
      <w:r>
        <w:rPr/>
        <w:t>6.1.3</w:t>
      </w:r>
      <w:r>
        <w:rPr>
          <w:rtl w:val="true"/>
        </w:rPr>
        <w:t xml:space="preserve">. </w:t>
      </w:r>
      <w:r>
        <w:rPr>
          <w:rtl w:val="true"/>
        </w:rPr>
        <w:t>بیعت‌های وحدت‌آفرین</w:t>
      </w:r>
      <w:bookmarkEnd w:id="375"/>
    </w:p>
    <w:p>
      <w:pPr>
        <w:pStyle w:val="BookText"/>
        <w:rPr/>
      </w:pPr>
      <w:r>
        <w:rPr>
          <w:rFonts w:ascii="IRNazanin" w:hAnsi="IRNazanin" w:eastAsia="IRNazanin"/>
          <w:color w:val="111111"/>
          <w:sz w:val="28"/>
          <w:sz w:val="28"/>
          <w:szCs w:val="28"/>
          <w:rtl w:val="true"/>
          <w:lang w:bidi="fa-IR"/>
        </w:rPr>
        <w:t xml:space="preserve">بیعت رضوان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شجره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آستانه صلح حدیبیه، مسلمانان با بیعت خود بر حمایت 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اهداف عالیه اسلامی، وحدت عملی خود را به نمایش گذاشتند</w:t>
      </w:r>
      <w:r>
        <w:rPr>
          <w:rFonts w:eastAsia="IRNazanin" w:cs="IRNazanin"/>
          <w:color w:val="111111"/>
          <w:sz w:val="28"/>
          <w:szCs w:val="28"/>
          <w:rtl w:val="true"/>
          <w:lang w:bidi="fa-IR"/>
        </w:rPr>
        <w:t>.</w:t>
      </w:r>
      <w:r>
        <w:rPr>
          <w:rStyle w:val="FootnoteAnchor"/>
          <w:rtl w:val="true"/>
        </w:rPr>
        <w:footnoteReference w:id="269"/>
      </w:r>
    </w:p>
    <w:p>
      <w:pPr>
        <w:pStyle w:val="BookText"/>
        <w:rPr/>
      </w:pPr>
      <w:r>
        <w:rPr>
          <w:rFonts w:ascii="IRNazanin" w:hAnsi="IRNazanin" w:eastAsia="IRNazanin"/>
          <w:color w:val="111111"/>
          <w:sz w:val="28"/>
          <w:sz w:val="28"/>
          <w:szCs w:val="28"/>
          <w:rtl w:val="true"/>
          <w:lang w:bidi="fa-IR"/>
        </w:rPr>
        <w:t>بیعت غدیرخم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معرفی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جانشین،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ستون مدیریت جامعه اسلامی را استوار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پایبندی به این پیمان می‌توانست مانع بروز اختلافات تاریخی در امت اسلامی شود</w:t>
      </w:r>
      <w:r>
        <w:rPr>
          <w:rFonts w:eastAsia="IRNazanin" w:cs="IRNazanin"/>
          <w:color w:val="111111"/>
          <w:sz w:val="28"/>
          <w:szCs w:val="28"/>
          <w:rtl w:val="true"/>
          <w:lang w:bidi="fa-IR"/>
        </w:rPr>
        <w:t>.</w:t>
      </w:r>
      <w:r>
        <w:rPr>
          <w:rStyle w:val="FootnoteAnchor"/>
          <w:rtl w:val="true"/>
        </w:rPr>
        <w:footnoteReference w:id="270"/>
      </w:r>
    </w:p>
    <w:p>
      <w:pPr>
        <w:pStyle w:val="BookText"/>
        <w:rPr/>
      </w:pPr>
      <w:r>
        <w:rPr>
          <w:rFonts w:ascii="IRNazanin" w:hAnsi="IRNazanin" w:eastAsia="IRNazanin"/>
          <w:color w:val="111111"/>
          <w:sz w:val="28"/>
          <w:sz w:val="28"/>
          <w:szCs w:val="28"/>
          <w:rtl w:val="true"/>
          <w:lang w:bidi="fa-IR"/>
        </w:rPr>
        <w:t>بیعت النساء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بیعت با زنان تازه‌مسلمان پس از فتح مکه، نشان‌دهنده توجه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نقش همه‌جانبه اقشار مختلف در تحکیم وحدت اجتماعی بود</w:t>
      </w:r>
      <w:r>
        <w:rPr>
          <w:rFonts w:eastAsia="IRNazanin" w:cs="IRNazanin"/>
          <w:color w:val="111111"/>
          <w:sz w:val="28"/>
          <w:szCs w:val="28"/>
          <w:rtl w:val="true"/>
          <w:lang w:bidi="fa-IR"/>
        </w:rPr>
        <w:t>.</w:t>
      </w:r>
      <w:r>
        <w:rPr>
          <w:rStyle w:val="FootnoteAnchor"/>
          <w:rtl w:val="true"/>
        </w:rPr>
        <w:footnoteReference w:id="271"/>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پیمان‌ها نشان می‌دهد 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خلق نهادهای جدید اجتماعی، تعریف مرجعیت مشترک و ایجاد احساس تعلق جمعی، موفق به تبدیل جامعه پراکنده عرب به امت واحده اسلامی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الگو امروزه نیز می‌تواند راهگشای وحدت جهان اسلام باشد</w:t>
      </w:r>
      <w:r>
        <w:rPr>
          <w:rFonts w:eastAsia="IRNazanin" w:cs="IRNazanin"/>
          <w:color w:val="111111"/>
          <w:sz w:val="28"/>
          <w:szCs w:val="28"/>
          <w:rtl w:val="true"/>
          <w:lang w:bidi="fa-IR"/>
        </w:rPr>
        <w:t xml:space="preserve">. </w:t>
      </w:r>
      <w:bookmarkStart w:id="376" w:name="pg18832_210982"/>
    </w:p>
    <w:p>
      <w:pPr>
        <w:pStyle w:val="Heading4"/>
        <w:numPr>
          <w:ilvl w:val="3"/>
          <w:numId w:val="1"/>
        </w:numPr>
        <w:rPr/>
      </w:pPr>
      <w:bookmarkStart w:id="377" w:name="__RefHeading___Toc14292606_1280447820"/>
      <w:bookmarkStart w:id="378" w:name="_Toc142"/>
      <w:bookmarkEnd w:id="376"/>
      <w:bookmarkEnd w:id="377"/>
      <w:r>
        <w:rPr/>
        <w:t>6.1.4</w:t>
      </w:r>
      <w:r>
        <w:rPr>
          <w:rtl w:val="true"/>
        </w:rPr>
        <w:t xml:space="preserve">. </w:t>
      </w:r>
      <w:r>
        <w:rPr>
          <w:rtl w:val="true"/>
        </w:rPr>
        <w:t xml:space="preserve">ارشادگری؛ محور وحدت‌آفرینی در سیره نبوی وعلوی </w:t>
      </w:r>
      <w:r>
        <w:rPr/>
        <w:t>128</w:t>
      </w:r>
      <w:bookmarkEnd w:id="378"/>
    </w:p>
    <w:p>
      <w:pPr>
        <w:pStyle w:val="Heading5"/>
        <w:numPr>
          <w:ilvl w:val="4"/>
          <w:numId w:val="1"/>
        </w:numPr>
        <w:rPr/>
      </w:pPr>
      <w:bookmarkStart w:id="379" w:name="__RefHeading___Toc14292608_1280447820"/>
      <w:bookmarkStart w:id="380" w:name="_Toc143"/>
      <w:bookmarkEnd w:id="379"/>
      <w:r>
        <w:rPr>
          <w:rtl w:val="true"/>
        </w:rPr>
        <w:t>اشاره</w:t>
      </w:r>
      <w:bookmarkEnd w:id="380"/>
    </w:p>
    <w:p>
      <w:pPr>
        <w:pStyle w:val="BookText"/>
        <w:rPr/>
      </w:pPr>
      <w:r>
        <w:rPr>
          <w:rFonts w:ascii="IRNazanin" w:hAnsi="IRNazanin" w:eastAsia="IRNazanin"/>
          <w:color w:val="111111"/>
          <w:sz w:val="28"/>
          <w:sz w:val="28"/>
          <w:szCs w:val="28"/>
          <w:rtl w:val="true"/>
          <w:lang w:bidi="fa-IR"/>
        </w:rPr>
        <w:t>سازمان تبلیغاتی در عصر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ساختاری نظام‌مند و ابزارهای متنوعی بهره می‌برد که مهم‌ترین آنها عبارت بود از</w:t>
      </w:r>
      <w:r>
        <w:rPr>
          <w:rFonts w:eastAsia="IRNazanin" w:cs="IRNazanin"/>
          <w:color w:val="111111"/>
          <w:sz w:val="28"/>
          <w:szCs w:val="28"/>
          <w:rtl w:val="true"/>
          <w:lang w:bidi="fa-IR"/>
        </w:rPr>
        <w:t>:</w:t>
      </w:r>
    </w:p>
    <w:p>
      <w:pPr>
        <w:pStyle w:val="Heading5"/>
        <w:numPr>
          <w:ilvl w:val="4"/>
          <w:numId w:val="1"/>
        </w:numPr>
        <w:rPr/>
      </w:pPr>
      <w:bookmarkStart w:id="381" w:name="__RefHeading___Toc14292610_1280447820"/>
      <w:bookmarkStart w:id="382" w:name="_Toc144"/>
      <w:bookmarkEnd w:id="381"/>
      <w:r>
        <w:rPr/>
        <w:t>6.1.4.1</w:t>
      </w:r>
      <w:r>
        <w:rPr>
          <w:rtl w:val="true"/>
        </w:rPr>
        <w:t xml:space="preserve">. </w:t>
      </w:r>
      <w:r>
        <w:rPr>
          <w:rtl w:val="true"/>
        </w:rPr>
        <w:t>تبلیغ چهره به چهره</w:t>
      </w:r>
      <w:bookmarkEnd w:id="382"/>
    </w:p>
    <w:p>
      <w:pPr>
        <w:pStyle w:val="BookText"/>
        <w:rPr/>
      </w:pP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،مبلغان ویژه 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منذر بن عمر و چهل حافظ قرآن را به مناطق مختلف اظام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تازه مسلمانان مربیان تعلیم قرآن می فرستاد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همچنین از شخصیت‌های محلی مانند عبدالله بن سلام </w:t>
      </w:r>
      <w:r>
        <w:rPr>
          <w:rFonts w:ascii="IRNazanin" w:hAnsi="IRNazanin" w:eastAsia="IRNazanin"/>
          <w:i/>
          <w:i/>
          <w:iCs/>
          <w:color w:val="111111"/>
          <w:sz w:val="28"/>
          <w:sz w:val="28"/>
          <w:szCs w:val="28"/>
          <w:rtl w:val="true"/>
          <w:lang w:bidi="fa-IR"/>
        </w:rPr>
        <w:t>از یهودیان بنی‌قینقاع</w:t>
      </w:r>
      <w:r>
        <w:rPr>
          <w:rFonts w:ascii="IRNazanin" w:hAnsi="IRNazanin" w:eastAsia="IRNazanin"/>
          <w:color w:val="111111"/>
          <w:sz w:val="28"/>
          <w:sz w:val="28"/>
          <w:szCs w:val="28"/>
          <w:rtl w:val="true"/>
          <w:lang w:bidi="fa-IR"/>
        </w:rPr>
        <w:t xml:space="preserve"> در تبلیغ بهره‌می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مبلغانی برای گفت‌وگو با مخالفان در جنگ‌های جمل، صفین و نهروان اعزام می کرد</w:t>
      </w:r>
      <w:r>
        <w:rPr>
          <w:rFonts w:eastAsia="IRNazanin" w:cs="IRNazanin"/>
          <w:color w:val="111111"/>
          <w:sz w:val="28"/>
          <w:szCs w:val="28"/>
          <w:rtl w:val="true"/>
          <w:lang w:bidi="fa-IR"/>
        </w:rPr>
        <w:t>.</w:t>
      </w:r>
    </w:p>
    <w:p>
      <w:pPr>
        <w:pStyle w:val="Heading5"/>
        <w:numPr>
          <w:ilvl w:val="4"/>
          <w:numId w:val="1"/>
        </w:numPr>
        <w:rPr/>
      </w:pPr>
      <w:bookmarkStart w:id="383" w:name="__RefHeading___Toc14292612_1280447820"/>
      <w:bookmarkStart w:id="384" w:name="_Toc145"/>
      <w:bookmarkEnd w:id="383"/>
      <w:r>
        <w:rPr/>
        <w:t>6.1.4.2</w:t>
      </w:r>
      <w:r>
        <w:rPr>
          <w:rtl w:val="true"/>
        </w:rPr>
        <w:t xml:space="preserve">. </w:t>
      </w:r>
      <w:r>
        <w:rPr>
          <w:rtl w:val="true"/>
        </w:rPr>
        <w:t>اذان به عنوان نماد هویتی</w:t>
      </w:r>
      <w:bookmarkEnd w:id="384"/>
    </w:p>
    <w:p>
      <w:pPr>
        <w:pStyle w:val="BookText"/>
        <w:rPr/>
      </w:pPr>
      <w:r>
        <w:rPr>
          <w:rFonts w:ascii="IRNazanin" w:hAnsi="IRNazanin" w:eastAsia="IRNazanin"/>
          <w:color w:val="111111"/>
          <w:sz w:val="28"/>
          <w:sz w:val="28"/>
          <w:szCs w:val="28"/>
          <w:rtl w:val="true"/>
          <w:lang w:bidi="fa-IR"/>
        </w:rPr>
        <w:t xml:space="preserve">تعیین مؤذنان رسمی همچون بلال، ابن ام‌مکتوم، عیاض و ابو مخدوره، یکی از اقدامات سنجیده‌ی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ایجاد یک نظام یکپارچه تبلیغی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انتخاب، نه تنها دعوت به نماز را سامان می‌بخشید، بلکه با نوآوری در شیوه‌ی اذان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 صدای رسا و عباراتی متمایز از ناقوس مسیحیان و بوق یهودیان انجام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نمادی هویت‌ساز برای امت اسلامی تبدیل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هماهنگی تمامی مؤذنان مساجد با اذان مسجد النبی، این نماد واحد را در سراسر مدینه طنین‌انداز می‌کرد و وحدت کلمه‌ی مسلمانان را در عمل به نمایش می‌گذاشت</w:t>
      </w:r>
      <w:r>
        <w:rPr>
          <w:rFonts w:eastAsia="IRNazanin" w:cs="IRNazanin"/>
          <w:color w:val="111111"/>
          <w:sz w:val="28"/>
          <w:szCs w:val="28"/>
          <w:rtl w:val="true"/>
          <w:lang w:bidi="fa-IR"/>
        </w:rPr>
        <w:t>.</w:t>
      </w:r>
    </w:p>
    <w:p>
      <w:pPr>
        <w:pStyle w:val="Heading5"/>
        <w:numPr>
          <w:ilvl w:val="4"/>
          <w:numId w:val="1"/>
        </w:numPr>
        <w:rPr/>
      </w:pPr>
      <w:bookmarkStart w:id="385" w:name="__RefHeading___Toc14292614_1280447820"/>
      <w:bookmarkStart w:id="386" w:name="_Toc146"/>
      <w:bookmarkEnd w:id="385"/>
      <w:r>
        <w:rPr/>
        <w:t>6.1.4.3</w:t>
      </w:r>
      <w:r>
        <w:rPr>
          <w:rtl w:val="true"/>
        </w:rPr>
        <w:t xml:space="preserve">. </w:t>
      </w:r>
      <w:r>
        <w:rPr>
          <w:rtl w:val="true"/>
        </w:rPr>
        <w:t>بهره‌گیری از هنر شعر و سرود</w:t>
      </w:r>
      <w:bookmarkEnd w:id="386"/>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درک ژرف از تأثیر شگرف هنر بر افکار عمومی، شاعرانی برجسته مانند حسان بن ثابت، عبدالله بن رواحه و کعب بن مالک را به عنوان شاعران رسمی اسلام به کار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شاعران با سرودن اشعاری پرشور و </w:t>
      </w:r>
      <w:bookmarkStart w:id="387" w:name="pg18832_210983"/>
    </w:p>
    <w:p>
      <w:pPr>
        <w:pStyle w:val="BookText"/>
        <w:rPr/>
      </w:pPr>
      <w:bookmarkEnd w:id="387"/>
      <w:r>
        <w:rPr>
          <w:rFonts w:ascii="IRNazanin" w:hAnsi="IRNazanin" w:eastAsia="IRNazanin"/>
          <w:color w:val="111111"/>
          <w:sz w:val="28"/>
          <w:sz w:val="28"/>
          <w:szCs w:val="28"/>
          <w:rtl w:val="true"/>
          <w:lang w:bidi="fa-IR"/>
        </w:rPr>
        <w:t>محتوامحور، ضمن تقویت روحیه ایمانی مسلمانان و تضعیف روانی دشمنان، به دفاع از حریم اسلام می‌پرداختند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شخصاً محتوای اشعار را در مسیری هدایت می‌کرد که همسو با اهداف عالیه اسلامی باشد و از هرگونه افراط و تفریط جلوگیری می‌نمود؛ بدین ترتیب، شعر از حالت صرفاً احساسی خارج شده و به ابزاری مؤثر در پیشبرد اهداف مکتبی تبدیل شد</w:t>
      </w:r>
      <w:r>
        <w:rPr>
          <w:rFonts w:eastAsia="IRNazanin" w:cs="IRNazanin"/>
          <w:color w:val="111111"/>
          <w:sz w:val="28"/>
          <w:szCs w:val="28"/>
          <w:rtl w:val="true"/>
          <w:lang w:bidi="fa-IR"/>
        </w:rPr>
        <w:t>.</w:t>
      </w:r>
    </w:p>
    <w:p>
      <w:pPr>
        <w:pStyle w:val="Heading5"/>
        <w:numPr>
          <w:ilvl w:val="4"/>
          <w:numId w:val="1"/>
        </w:numPr>
        <w:rPr/>
      </w:pPr>
      <w:bookmarkStart w:id="388" w:name="__RefHeading___Toc14292616_1280447820"/>
      <w:bookmarkStart w:id="389" w:name="_Toc147"/>
      <w:bookmarkEnd w:id="388"/>
      <w:r>
        <w:rPr/>
        <w:t>6.1.4.4</w:t>
      </w:r>
      <w:r>
        <w:rPr>
          <w:rtl w:val="true"/>
        </w:rPr>
        <w:t>.</w:t>
      </w:r>
      <w:r>
        <w:rPr>
          <w:rtl w:val="true"/>
        </w:rPr>
        <w:t>سیستم اطلاع‌رسانی عمومی</w:t>
      </w:r>
      <w:bookmarkEnd w:id="389"/>
    </w:p>
    <w:p>
      <w:pPr>
        <w:pStyle w:val="BookText"/>
        <w:rPr/>
      </w:pP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ایجاد یک نظام منسجم اطلاع‌رسانی، از ابزارهایی مانند منادیان رسمی همچون ربیعه بن خلف بهره می‌گرفتند تا پیام‌های الهی و حکومتی را به سراسر جامعه منتقل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سیستم، افرادی سخنان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بلند تکرار می‌کردند تا جمعیت بیشتری آن را بشنوند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مبلغ ویژه، مسئولیت ابلاغ آیات مهم و سوره‌های کلیدی مانند برائت را بر عهده داشتند که نشان از جایگاه ویژه ایشان در این ساختار ارتباطی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نظام تبلیغاتی با محوریت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مثلث مؤذن، مسجد و منبر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توانست پیام اسلام را به‌طور مؤثر در جامعه نفوذ داده و وحدت امت اسلامی را تقویت کند</w:t>
      </w:r>
      <w:r>
        <w:rPr>
          <w:rFonts w:eastAsia="IRNazanin" w:cs="IRNazanin"/>
          <w:color w:val="111111"/>
          <w:sz w:val="28"/>
          <w:szCs w:val="28"/>
          <w:rtl w:val="true"/>
          <w:lang w:bidi="fa-IR"/>
        </w:rPr>
        <w:t>.</w:t>
      </w:r>
    </w:p>
    <w:p>
      <w:pPr>
        <w:pStyle w:val="Heading5"/>
        <w:numPr>
          <w:ilvl w:val="4"/>
          <w:numId w:val="1"/>
        </w:numPr>
        <w:rPr/>
      </w:pPr>
      <w:bookmarkStart w:id="390" w:name="__RefHeading___Toc14292618_1280447820"/>
      <w:bookmarkStart w:id="391" w:name="_Toc148"/>
      <w:bookmarkEnd w:id="390"/>
      <w:r>
        <w:rPr/>
        <w:t>6.1.4.5</w:t>
      </w:r>
      <w:r>
        <w:rPr>
          <w:rtl w:val="true"/>
        </w:rPr>
        <w:t>.</w:t>
      </w:r>
      <w:r>
        <w:rPr>
          <w:rtl w:val="true"/>
        </w:rPr>
        <w:t>تبلیغات جنگی و روانی</w:t>
      </w:r>
      <w:bookmarkEnd w:id="391"/>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عرصه نظامی،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تعیین مسئولان تبلیغات جنگی مانند عبدالله بن رواحه و زید بن حارثه، جنگ روانی منظمی را سازماندهی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مجموعه با به کارگیری شعارهای رزمی حساب شده، همزمان به تقویت روحیه سپاه اسلام و ایجاد رعب در دل دشمن می‌پرداخت</w:t>
      </w:r>
      <w:r>
        <w:rPr>
          <w:rFonts w:eastAsia="IRNazanin" w:cs="IRNazanin"/>
          <w:color w:val="111111"/>
          <w:sz w:val="28"/>
          <w:szCs w:val="28"/>
          <w:rtl w:val="true"/>
          <w:lang w:bidi="fa-IR"/>
        </w:rPr>
        <w:t xml:space="preserve">. </w:t>
      </w:r>
      <w:bookmarkStart w:id="392" w:name="pg18832_210984"/>
    </w:p>
    <w:p>
      <w:pPr>
        <w:pStyle w:val="BookText"/>
        <w:rPr/>
      </w:pPr>
      <w:bookmarkEnd w:id="392"/>
      <w:r>
        <w:rPr>
          <w:rFonts w:ascii="IRNazanin" w:hAnsi="IRNazanin" w:eastAsia="IRNazanin"/>
          <w:color w:val="111111"/>
          <w:sz w:val="28"/>
          <w:sz w:val="28"/>
          <w:szCs w:val="28"/>
          <w:rtl w:val="true"/>
          <w:lang w:bidi="fa-IR"/>
        </w:rPr>
        <w:t>بهره‌گیری از رجزخوانی در میدان نبرد توسط شخصیت‌هایی مانند امام علی</w:t>
      </w:r>
      <w:r>
        <w:rPr>
          <w:rStyle w:val="FootnoteAnchor"/>
          <w:rtl w:val="true"/>
        </w:rPr>
        <w:footnoteReference w:id="272"/>
      </w:r>
    </w:p>
    <w:p>
      <w:pPr>
        <w:pStyle w:val="BookText"/>
        <w:rPr/>
      </w:pPr>
      <w:r>
        <w:rPr>
          <w:rFonts w:ascii="Amiri" w:hAnsi="Amiri" w:eastAsia="Amiri" w:cs="Amiri"/>
          <w:color w:val="111111"/>
          <w:sz w:val="28"/>
          <w:sz w:val="28"/>
          <w:szCs w:val="28"/>
          <w:rtl w:val="true"/>
          <w:lang w:bidi="ar-SA"/>
        </w:rPr>
        <w:t>ایشان فریاد برآوردند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إِنِّی عَلِیٌّ فَاسْأَلُوا لِتُخْبَرُوا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ابْرُزُوا إِلَى الْوَغَى أَوْ أَدْبِرُوا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سَیْفِی حُسَامٌ وَ سِنَانِی</w:t>
      </w:r>
    </w:p>
    <w:p>
      <w:pPr>
        <w:pStyle w:val="BookText"/>
        <w:rPr/>
      </w:pPr>
      <w:r>
        <w:rPr>
          <w:rFonts w:ascii="IRNazanin" w:hAnsi="IRNazanin" w:eastAsia="IRNazanin"/>
          <w:color w:val="111111"/>
          <w:sz w:val="28"/>
          <w:sz w:val="28"/>
          <w:szCs w:val="28"/>
          <w:rtl w:val="true"/>
          <w:lang w:bidi="fa-IR"/>
        </w:rPr>
        <w:t>أَزْهَرُ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 النَّبِیُّ الطَّیِّبُ الْمُطَهَّرُ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حَمْزَةُ الْخَیْرِ وَ مِنَّا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لَهُ جَنَاحٌ فِی الْجِنَانِ أَخْضَرُ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 أَسَدُ اللَّهِ وَ فِیهِ مَفْخَرُ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وَ هَذَا وَ ابْنُ هِنْدٍ مُجْحَرُ وقعة صفین،</w:t>
      </w:r>
      <w:r>
        <w:rPr>
          <w:rFonts w:eastAsia="IRNazanin" w:cs="IRNazanin"/>
          <w:color w:val="111111"/>
          <w:sz w:val="28"/>
          <w:szCs w:val="28"/>
          <w:lang w:bidi="fa-IR"/>
        </w:rPr>
        <w:t>461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رجزخوانی امام، تنها یک چالش‌جویی نظامی نبود، بلکه بیانیه‌ای ایدئولوژیک بود که ریشه‌های حقانیت و بطلان را در تاریخ اسلام به تصویر می‌کشید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بر این تاکتیک‌ها می‌افزود</w:t>
      </w:r>
      <w:r>
        <w:rPr>
          <w:rFonts w:eastAsia="IRNazanin" w:cs="IRNazanin"/>
          <w:color w:val="111111"/>
          <w:sz w:val="28"/>
          <w:szCs w:val="28"/>
          <w:rtl w:val="true"/>
          <w:lang w:bidi="fa-IR"/>
        </w:rPr>
        <w:t>.</w:t>
      </w:r>
    </w:p>
    <w:p>
      <w:pPr>
        <w:pStyle w:val="Heading5"/>
        <w:numPr>
          <w:ilvl w:val="4"/>
          <w:numId w:val="1"/>
        </w:numPr>
        <w:rPr/>
      </w:pPr>
      <w:bookmarkStart w:id="393" w:name="__RefHeading___Toc14292620_1280447820"/>
      <w:bookmarkStart w:id="394" w:name="_Toc149"/>
      <w:bookmarkEnd w:id="393"/>
      <w:r>
        <w:rPr/>
        <w:t>6.1.4.6</w:t>
      </w:r>
      <w:r>
        <w:rPr>
          <w:rtl w:val="true"/>
        </w:rPr>
        <w:t>.</w:t>
      </w:r>
      <w:r>
        <w:rPr>
          <w:rtl w:val="true"/>
        </w:rPr>
        <w:t>شعارهای رزمی در جنگ‌های مهم</w:t>
      </w:r>
      <w:bookmarkEnd w:id="394"/>
    </w:p>
    <w:p>
      <w:pPr>
        <w:pStyle w:val="BookText"/>
        <w:rPr/>
      </w:pPr>
      <w:r>
        <w:rPr>
          <w:rFonts w:ascii="IRNazanin" w:hAnsi="IRNazanin" w:eastAsia="IRNazanin"/>
          <w:color w:val="111111"/>
          <w:sz w:val="28"/>
          <w:sz w:val="28"/>
          <w:szCs w:val="28"/>
          <w:rtl w:val="true"/>
          <w:lang w:bidi="fa-IR"/>
        </w:rPr>
        <w:t>در هر نبرد، شعارهای خاصی طراحی می‌شد که با روحیه و شرایط آن جنگ تناسب داشت</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جنگ‌های بدر و احد، 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نَصْرَ اللَّهِ اقْتَرِبْ اقْتَرِب؛ای یاری خدا نزدیک شو</w:t>
      </w:r>
      <w:r>
        <w:rPr>
          <w:rStyle w:val="FootnoteAnchor"/>
          <w:rtl w:val="true"/>
        </w:rPr>
        <w:footnoteReference w:id="27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بیانگر امید به نصرت الهی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خیبر، ندا دادن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 یَا عَلِیُّ آتِهِمْ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ائْتِهِمْ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عَل؛ای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بالا بر آنان بتاز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نقش تعیین‌کننده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تأکید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فتح مکه، 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نحن عباد الله حقاً حقاً؛ما بندگان خداییم به حقیقت</w:t>
      </w:r>
      <w:r>
        <w:rPr>
          <w:rFonts w:eastAsia="IRNazanin" w:cs="IRNazanin"/>
          <w:color w:val="111111"/>
          <w:sz w:val="28"/>
          <w:szCs w:val="28"/>
          <w:rtl w:val="true"/>
          <w:lang w:bidi="fa-IR"/>
        </w:rPr>
        <w:t>.</w:t>
      </w:r>
      <w:r>
        <w:rPr>
          <w:rStyle w:val="FootnoteAnchor"/>
          <w:rtl w:val="true"/>
        </w:rPr>
        <w:footnoteReference w:id="274"/>
      </w:r>
      <w:r>
        <w:rPr>
          <w:rFonts w:ascii="IRNazanin" w:hAnsi="IRNazanin" w:eastAsia="IRNazanin"/>
          <w:color w:val="111111"/>
          <w:sz w:val="28"/>
          <w:sz w:val="28"/>
          <w:szCs w:val="28"/>
          <w:rtl w:val="true"/>
          <w:lang w:bidi="fa-IR"/>
        </w:rPr>
        <w:t>نشان از توحید محوری سپاه اسلام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صفین، فریاد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نصر الله</w:t>
      </w:r>
      <w:r>
        <w:rPr>
          <w:rStyle w:val="FootnoteAnchor"/>
          <w:rtl w:val="true"/>
        </w:rPr>
        <w:footnoteReference w:id="275"/>
      </w:r>
      <w:r>
        <w:rPr>
          <w:rFonts w:ascii="IRNazanin" w:hAnsi="IRNazanin" w:eastAsia="IRNazanin"/>
          <w:color w:val="111111"/>
          <w:sz w:val="28"/>
          <w:sz w:val="28"/>
          <w:szCs w:val="28"/>
          <w:rtl w:val="true"/>
          <w:lang w:bidi="fa-IR"/>
        </w:rPr>
        <w:t>ای یاری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استمداد از قدرت الهی را نمایان می‌ساخت</w:t>
      </w:r>
      <w:r>
        <w:rPr>
          <w:rFonts w:eastAsia="IRNazanin" w:cs="IRNazanin"/>
          <w:color w:val="111111"/>
          <w:sz w:val="28"/>
          <w:szCs w:val="28"/>
          <w:rtl w:val="true"/>
          <w:lang w:bidi="fa-IR"/>
        </w:rPr>
        <w:t xml:space="preserve">. </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95" w:name="pg18832_210986"/>
      <w:bookmarkStart w:id="396" w:name="pg18832_210986"/>
      <w:bookmarkEnd w:id="396"/>
    </w:p>
    <w:p>
      <w:pPr>
        <w:pStyle w:val="Heading2"/>
        <w:numPr>
          <w:ilvl w:val="1"/>
          <w:numId w:val="1"/>
        </w:numPr>
        <w:rPr/>
      </w:pPr>
      <w:bookmarkStart w:id="397" w:name="pg18832_210986"/>
      <w:bookmarkStart w:id="398" w:name="__RefHeading___Toc14292622_1280447820"/>
      <w:bookmarkStart w:id="399" w:name="_Toc150"/>
      <w:bookmarkEnd w:id="397"/>
      <w:bookmarkEnd w:id="398"/>
      <w:r>
        <w:rPr>
          <w:rtl w:val="true"/>
        </w:rPr>
        <w:t>فصل هفتم</w:t>
      </w:r>
      <w:r>
        <w:rPr>
          <w:rtl w:val="true"/>
        </w:rPr>
        <w:t xml:space="preserve">: </w:t>
      </w:r>
      <w:r>
        <w:rPr>
          <w:rtl w:val="true"/>
        </w:rPr>
        <w:t>تبیین تفاوت های سیره نبوی و علوی</w:t>
      </w:r>
      <w:bookmarkEnd w:id="399"/>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00" w:name="__RefHeading___Toc14292624_1280447820"/>
      <w:bookmarkStart w:id="401" w:name="_Toc151"/>
      <w:bookmarkEnd w:id="400"/>
      <w:r>
        <w:rPr>
          <w:rtl w:val="true"/>
        </w:rPr>
        <w:t>اشاره</w:t>
      </w:r>
      <w:bookmarkStart w:id="402" w:name="pg18832_210987"/>
      <w:bookmarkEnd w:id="401"/>
    </w:p>
    <w:p>
      <w:pPr>
        <w:pStyle w:val="BookText"/>
        <w:rPr/>
      </w:pPr>
      <w:bookmarkEnd w:id="402"/>
      <w:r>
        <w:rPr>
          <w:rFonts w:ascii="IRNazanin" w:hAnsi="IRNazanin" w:eastAsia="IRNazanin"/>
          <w:color w:val="111111"/>
          <w:sz w:val="28"/>
          <w:sz w:val="28"/>
          <w:szCs w:val="28"/>
          <w:rtl w:val="true"/>
          <w:lang w:bidi="fa-IR"/>
        </w:rPr>
        <w:t xml:space="preserve">بررسی دقیق سیره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نشان می‌دهد که ایشان همواره در پی تطبیق کامل با سیره نبوی بودند، اما شرایط تاریخی و اجتماعی خاص دوران حکومت خویش، اجرای بی‌کموکاست سنت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موانع جدی روبرو کرده بود</w:t>
      </w:r>
      <w:r>
        <w:rPr>
          <w:rFonts w:eastAsia="IRNazanin" w:cs="IRNazanin"/>
          <w:color w:val="111111"/>
          <w:sz w:val="28"/>
          <w:szCs w:val="28"/>
          <w:rtl w:val="true"/>
          <w:lang w:bidi="fa-IR"/>
        </w:rPr>
        <w:t>.</w:t>
      </w:r>
    </w:p>
    <w:p>
      <w:pPr>
        <w:pStyle w:val="Heading3"/>
        <w:numPr>
          <w:ilvl w:val="2"/>
          <w:numId w:val="1"/>
        </w:numPr>
        <w:rPr/>
      </w:pPr>
      <w:bookmarkStart w:id="403" w:name="__RefHeading___Toc14292626_1280447820"/>
      <w:bookmarkStart w:id="404" w:name="_Toc152"/>
      <w:bookmarkEnd w:id="403"/>
      <w:r>
        <w:rPr/>
        <w:t>7.1</w:t>
      </w:r>
      <w:r>
        <w:rPr>
          <w:rtl w:val="true"/>
        </w:rPr>
        <w:t>.</w:t>
      </w:r>
      <w:r>
        <w:rPr>
          <w:rtl w:val="true"/>
        </w:rPr>
        <w:t>علل اصلی تفاوت‌ها در سیره علوی</w:t>
      </w:r>
      <w:bookmarkEnd w:id="404"/>
    </w:p>
    <w:p>
      <w:pPr>
        <w:pStyle w:val="Heading4"/>
        <w:numPr>
          <w:ilvl w:val="3"/>
          <w:numId w:val="1"/>
        </w:numPr>
        <w:rPr/>
      </w:pPr>
      <w:bookmarkStart w:id="405" w:name="__RefHeading___Toc14292628_1280447820"/>
      <w:bookmarkStart w:id="406" w:name="_Toc153"/>
      <w:bookmarkEnd w:id="405"/>
      <w:r>
        <w:rPr/>
        <w:t>7.1.1</w:t>
      </w:r>
      <w:r>
        <w:rPr>
          <w:rtl w:val="true"/>
        </w:rPr>
        <w:t xml:space="preserve">. </w:t>
      </w:r>
      <w:r>
        <w:rPr>
          <w:rtl w:val="true"/>
        </w:rPr>
        <w:t>دگرگونی جامعه اسلامی</w:t>
      </w:r>
      <w:bookmarkEnd w:id="406"/>
    </w:p>
    <w:p>
      <w:pPr>
        <w:pStyle w:val="BookText"/>
        <w:rPr/>
      </w:pPr>
      <w:r>
        <w:rPr>
          <w:rFonts w:ascii="IRNazanin" w:hAnsi="IRNazanin" w:eastAsia="IRNazanin"/>
          <w:color w:val="111111"/>
          <w:sz w:val="28"/>
          <w:sz w:val="28"/>
          <w:szCs w:val="28"/>
          <w:rtl w:val="true"/>
          <w:lang w:bidi="fa-IR"/>
        </w:rPr>
        <w:t xml:space="preserve">پس از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فاصله از رحلت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جامعه اسلامی دچار دگرگونی‌های عمیقی شده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نهادینه شدن بدعت‌های متعدد در باورها و اعمال مردم،ایجاد ذائقه فرهنگی جدید بر اساس سنت‌های جاهلی بازسازی شده و مقاومت عمومی در برابر بازگشت به سیره اصیل نبوی</w:t>
      </w:r>
      <w:r>
        <w:rPr>
          <w:rFonts w:eastAsia="IRNazanin" w:cs="IRNazanin"/>
          <w:color w:val="111111"/>
          <w:sz w:val="28"/>
          <w:szCs w:val="28"/>
          <w:rtl w:val="true"/>
          <w:lang w:bidi="fa-IR"/>
        </w:rPr>
        <w:t>.</w:t>
      </w:r>
      <w:r>
        <w:rPr>
          <w:rStyle w:val="FootnoteAnchor"/>
          <w:rtl w:val="true"/>
        </w:rPr>
        <w:footnoteReference w:id="276"/>
      </w:r>
    </w:p>
    <w:p>
      <w:pPr>
        <w:pStyle w:val="Heading4"/>
        <w:numPr>
          <w:ilvl w:val="3"/>
          <w:numId w:val="1"/>
        </w:numPr>
        <w:rPr/>
      </w:pPr>
      <w:bookmarkStart w:id="407" w:name="__RefHeading___Toc14292630_1280447820"/>
      <w:bookmarkStart w:id="408" w:name="_Toc154"/>
      <w:bookmarkEnd w:id="407"/>
      <w:r>
        <w:rPr/>
        <w:t>7.1.2</w:t>
      </w:r>
      <w:r>
        <w:rPr>
          <w:rtl w:val="true"/>
        </w:rPr>
        <w:t xml:space="preserve">. </w:t>
      </w:r>
      <w:r>
        <w:rPr>
          <w:rtl w:val="true"/>
        </w:rPr>
        <w:t>بدعت‌ها و چالش‌های اصلاح</w:t>
      </w:r>
      <w:bookmarkEnd w:id="408"/>
    </w:p>
    <w:p>
      <w:pPr>
        <w:pStyle w:val="BookText"/>
        <w:rPr/>
      </w:pP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حدیثی مشهور به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از بدعت‌های نهادینه‌شده در دوران پیش از حکومت خویش اشاره می‌فرمایند که از مهم‌ترین آنها می‌توان به این موارد 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تغییر در مقدار غسل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صاع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تحریف احکام حج تمتع، جواز مسح بر کفش، تحریم نبیذ، ممنوعیت متعه حج و ازدواج موقت، کاهش تکبیرهای نماز میت از پنج به چهار، خواندن آهسته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بسم‌الله الرحمن‌الرحیم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نماز، تغییر احکام طلاق بر خلاف دستور صریح قرآن، تحریف در احکام وضو و غسل، و اقامه‌ی نماز تراویح به صورت جماعت</w:t>
      </w:r>
      <w:r>
        <w:rPr>
          <w:rFonts w:eastAsia="IRNazanin" w:cs="IRNazanin"/>
          <w:color w:val="111111"/>
          <w:sz w:val="28"/>
          <w:szCs w:val="28"/>
          <w:rtl w:val="true"/>
          <w:lang w:bidi="fa-IR"/>
        </w:rPr>
        <w:t>.</w:t>
      </w:r>
      <w:r>
        <w:rPr>
          <w:rStyle w:val="FootnoteAnchor"/>
          <w:rtl w:val="true"/>
        </w:rPr>
        <w:footnoteReference w:id="277"/>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موارد نشان‌دهنده‌ی عمق تحریف در سنت نبوی و فاصله‌گیری از سیره‌ی اصیل اسلامی در آن دوره است</w:t>
      </w:r>
      <w:r>
        <w:rPr>
          <w:rFonts w:eastAsia="IRNazanin" w:cs="IRNazanin"/>
          <w:color w:val="111111"/>
          <w:sz w:val="28"/>
          <w:szCs w:val="28"/>
          <w:rtl w:val="true"/>
          <w:lang w:bidi="fa-IR"/>
        </w:rPr>
        <w:t xml:space="preserve">. </w:t>
      </w:r>
      <w:bookmarkStart w:id="409" w:name="pg18832_210988"/>
    </w:p>
    <w:p>
      <w:pPr>
        <w:pStyle w:val="Heading4"/>
        <w:numPr>
          <w:ilvl w:val="3"/>
          <w:numId w:val="1"/>
        </w:numPr>
        <w:rPr/>
      </w:pPr>
      <w:bookmarkStart w:id="410" w:name="__RefHeading___Toc14292632_1280447820"/>
      <w:bookmarkStart w:id="411" w:name="_Toc155"/>
      <w:bookmarkEnd w:id="409"/>
      <w:bookmarkEnd w:id="410"/>
      <w:r>
        <w:rPr/>
        <w:t>7.1.3</w:t>
      </w:r>
      <w:r>
        <w:rPr>
          <w:rtl w:val="true"/>
        </w:rPr>
        <w:t xml:space="preserve">. </w:t>
      </w:r>
      <w:r>
        <w:rPr>
          <w:rtl w:val="true"/>
        </w:rPr>
        <w:t>موانع اجرای اصلاحات</w:t>
      </w:r>
      <w:bookmarkEnd w:id="411"/>
    </w:p>
    <w:p>
      <w:pPr>
        <w:pStyle w:val="BookText"/>
        <w:rPr/>
      </w:pPr>
      <w:r>
        <w:rPr>
          <w:rFonts w:ascii="IRNazanin" w:hAnsi="IRNazanin" w:eastAsia="IRNazanin"/>
          <w:color w:val="111111"/>
          <w:sz w:val="28"/>
          <w:sz w:val="28"/>
          <w:szCs w:val="28"/>
          <w:rtl w:val="true"/>
          <w:lang w:bidi="fa-IR"/>
        </w:rPr>
        <w:t>هنگامی که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قصد اصلاح بدعت‌های نهادینه شده را داشتند، با واکنش‌های تندی از جمله همان لشکریان خودی مواجه شدند که با شعار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غُیِّرَتْ سُنَّةُ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اعتراض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وضعیت به حدی بحرانی بود که خطر شورش عمومی و سقوط حکومت اسلامی را تهدید می‌کرد و امام را با خطر انزوای سیاسی و نظامی روبرو می‌ساخت</w:t>
      </w:r>
      <w:r>
        <w:rPr>
          <w:rFonts w:eastAsia="IRNazanin" w:cs="IRNazanin"/>
          <w:color w:val="111111"/>
          <w:sz w:val="28"/>
          <w:szCs w:val="28"/>
          <w:rtl w:val="true"/>
          <w:lang w:bidi="fa-IR"/>
        </w:rPr>
        <w:t>.</w:t>
      </w:r>
      <w:r>
        <w:rPr>
          <w:rStyle w:val="FootnoteAnchor"/>
          <w:rtl w:val="true"/>
        </w:rPr>
        <w:footnoteReference w:id="278"/>
      </w:r>
    </w:p>
    <w:p>
      <w:pPr>
        <w:pStyle w:val="BookText"/>
        <w:rPr/>
      </w:pP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درک عمیق از شرایط پیچیده‌ی جامعه، راهبرد اصلاحی خویش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اصلاح فوری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اصلاح تدریجی و زیربنایی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تغییر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تحول راهبردی در سه محور اصلی صورت پذیرفت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عرصه اصلاحات، اولویت را بر حفظ حکومت اسلامی به عنوان بستر اصلی تغییرات قرار دادند و با درایت، از اصلاح برخی بدعت‌ها که موجب تفرقه‌افکنی می‌شد، چشم‌پوشی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حوزه تبلیغ، روش تذکر مستقیم را به شفاف‌سازی تدریجی تبدیل نموده و با تبیین فلسفه احکام و سنت اصیل نبوی، به تربیت نیروهای آگاهی پرداختند که حاملان سیره نبوی به نسل‌های آینده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بعد ساختاری نیز به بازسازی نظام اقتصادی بر پایه عدالت، احیای ارزش‌های اخلاقی در بدنه حکومت و ترمیم مبانی فکری و فرهنگی جامعه همت گماشتند</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تغییر راهبرد، نه عدول از اصول که نمایی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حکمت عملی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مدیریت بحران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سیره علوی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به درستی دریافتند که حفظ کیان اسلام در آن شرایط حساس، مستلزم انعطاف در روش‌ها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کوچک‌ترین سازش در اصول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bookmarkStart w:id="412" w:name="pg18832_210989"/>
    </w:p>
    <w:p>
      <w:pPr>
        <w:pStyle w:val="Heading3"/>
        <w:numPr>
          <w:ilvl w:val="2"/>
          <w:numId w:val="1"/>
        </w:numPr>
        <w:rPr/>
      </w:pPr>
      <w:bookmarkStart w:id="413" w:name="__RefHeading___Toc14292634_1280447820"/>
      <w:bookmarkStart w:id="414" w:name="_Toc156"/>
      <w:bookmarkEnd w:id="412"/>
      <w:bookmarkEnd w:id="413"/>
      <w:r>
        <w:rPr/>
        <w:t>7.2</w:t>
      </w:r>
      <w:r>
        <w:rPr>
          <w:rtl w:val="true"/>
        </w:rPr>
        <w:t>.</w:t>
      </w:r>
      <w:r>
        <w:rPr>
          <w:rtl w:val="true"/>
        </w:rPr>
        <w:t>علل توقف فتوحات در حکومت امام علی</w:t>
      </w:r>
      <w:r>
        <w:rPr>
          <w:rtl w:val="true"/>
        </w:rPr>
        <w:t>(</w:t>
      </w:r>
      <w:r>
        <w:rPr>
          <w:rtl w:val="true"/>
        </w:rPr>
        <w:t>علیه السلام</w:t>
      </w:r>
      <w:r>
        <w:rPr>
          <w:rtl w:val="true"/>
        </w:rPr>
        <w:t>)</w:t>
      </w:r>
      <w:bookmarkEnd w:id="414"/>
    </w:p>
    <w:p>
      <w:pPr>
        <w:pStyle w:val="BookText"/>
        <w:rPr/>
      </w:pPr>
      <w:r>
        <w:rPr>
          <w:rFonts w:ascii="IRNazanin" w:hAnsi="IRNazanin" w:eastAsia="IRNazanin"/>
          <w:color w:val="111111"/>
          <w:sz w:val="28"/>
          <w:sz w:val="28"/>
          <w:szCs w:val="28"/>
          <w:rtl w:val="true"/>
          <w:lang w:bidi="fa-IR"/>
        </w:rPr>
        <w:t>برخلاف دوران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فتوحات با هدف زدودن شرک و زمینه‌سازی برای گرایش به توحید صورت می‌گرفت، در دوره خلافت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توسعه قلمرو اسلامی متوقف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نه از ضعف حکومت علوی، بلکه ناشی از دو عامل اصلی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تغییر ماهیت فتوحات پس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رحلت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فتوحات به تدریج از اهداف اصیل خود فاصله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جنبه‌های مادی، غنایم و توسعه طلبی نظامی، جایگزین ترویج فرهنگ اسلامی و تعمیق معنویت در مناطق فتح شده گردید</w:t>
      </w:r>
      <w:r>
        <w:rPr>
          <w:rFonts w:eastAsia="IRNazanin" w:cs="IRNazanin"/>
          <w:color w:val="111111"/>
          <w:sz w:val="28"/>
          <w:szCs w:val="28"/>
          <w:rtl w:val="true"/>
          <w:lang w:bidi="fa-IR"/>
        </w:rPr>
        <w:t>.</w:t>
      </w:r>
      <w:r>
        <w:rPr>
          <w:rStyle w:val="FootnoteAnchor"/>
          <w:rtl w:val="true"/>
        </w:rPr>
        <w:footnoteReference w:id="279"/>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اولویت‌بندی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بحران داخلی</w:t>
      </w:r>
    </w:p>
    <w:p>
      <w:pPr>
        <w:pStyle w:val="BookText"/>
        <w:rPr/>
      </w:pPr>
      <w:r>
        <w:rPr>
          <w:rFonts w:ascii="IRNazanin" w:hAnsi="IRNazanin" w:eastAsia="IRNazanin"/>
          <w:color w:val="111111"/>
          <w:sz w:val="28"/>
          <w:sz w:val="28"/>
          <w:szCs w:val="28"/>
          <w:rtl w:val="true"/>
          <w:lang w:bidi="fa-IR"/>
        </w:rPr>
        <w:t>امام با سه چالش بزرگ داخلی روبرو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جنگ با ناکثین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پیمان‌شکنان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،مقابله با قاسطین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سپاه 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ورویارویی با مارقین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خوارج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درگیری‌ها که محصول سوءمدیریت‌های دوره‌های پیشین بود، تمام توان حکومت را به خود مصروف داشت</w:t>
      </w:r>
      <w:r>
        <w:rPr>
          <w:rFonts w:eastAsia="IRNazanin" w:cs="IRNazanin"/>
          <w:color w:val="111111"/>
          <w:sz w:val="28"/>
          <w:szCs w:val="28"/>
          <w:rtl w:val="true"/>
          <w:lang w:bidi="fa-IR"/>
        </w:rPr>
        <w:t>.</w:t>
      </w:r>
      <w:r>
        <w:rPr>
          <w:rStyle w:val="FootnoteAnchor"/>
          <w:rtl w:val="true"/>
        </w:rPr>
        <w:footnoteReference w:id="280"/>
      </w:r>
    </w:p>
    <w:p>
      <w:pPr>
        <w:pStyle w:val="BookText"/>
        <w:rPr/>
      </w:pPr>
      <w:r>
        <w:rPr>
          <w:rFonts w:ascii="IRNazanin" w:hAnsi="IRNazanin" w:eastAsia="IRNazanin"/>
          <w:color w:val="111111"/>
          <w:sz w:val="28"/>
          <w:sz w:val="28"/>
          <w:szCs w:val="28"/>
          <w:rtl w:val="true"/>
          <w:lang w:bidi="fa-IR"/>
        </w:rPr>
        <w:t>حکمت توقف فتوحات</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درایت دریافتند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توسعه قلمرو بدون تعمیق ایمان، نه تنها سودمند نیست بلکه خطرناک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اصلاح اخلاقی جامعه از توسعه جغرافیایی اولویت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ادامه فتوحات با همان روش پیشین، به اسلام ضربه می‌زد</w:t>
      </w:r>
      <w:r>
        <w:rPr>
          <w:rFonts w:eastAsia="IRNazanin" w:cs="IRNazanin"/>
          <w:color w:val="111111"/>
          <w:sz w:val="28"/>
          <w:szCs w:val="28"/>
          <w:rtl w:val="true"/>
          <w:lang w:bidi="fa-IR"/>
        </w:rPr>
        <w:t xml:space="preserve">. </w:t>
      </w:r>
      <w:bookmarkStart w:id="415" w:name="pg18832_210990"/>
    </w:p>
    <w:p>
      <w:pPr>
        <w:pStyle w:val="BookText"/>
        <w:rPr/>
      </w:pPr>
      <w:bookmarkEnd w:id="415"/>
      <w:r>
        <w:rPr>
          <w:rFonts w:ascii="IRNazanin" w:hAnsi="IRNazanin" w:eastAsia="IRNazanin"/>
          <w:color w:val="111111"/>
          <w:sz w:val="28"/>
          <w:sz w:val="28"/>
          <w:szCs w:val="28"/>
          <w:rtl w:val="true"/>
          <w:lang w:bidi="fa-IR"/>
        </w:rPr>
        <w:t>ایشان ترجیح دادند به جای کشورگشایی، به بازسازی بنیان‌های اخلاقی و اعتقادی جامعه بپردازند تا میراث اصیل اسلامی را از تحریف نجات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رویکرد در حقیقت ادامه‌دهنده همان سیره نبوی بود که کیفیت را بر کمیت ترجیح می‌داد</w:t>
      </w:r>
      <w:r>
        <w:rPr>
          <w:rFonts w:eastAsia="IRNazanin" w:cs="IRNazanin"/>
          <w:color w:val="111111"/>
          <w:sz w:val="28"/>
          <w:szCs w:val="28"/>
          <w:rtl w:val="true"/>
          <w:lang w:bidi="fa-IR"/>
        </w:rPr>
        <w:t>.</w:t>
      </w:r>
    </w:p>
    <w:p>
      <w:pPr>
        <w:pStyle w:val="Heading3"/>
        <w:numPr>
          <w:ilvl w:val="2"/>
          <w:numId w:val="1"/>
        </w:numPr>
        <w:rPr/>
      </w:pPr>
      <w:bookmarkStart w:id="416" w:name="__RefHeading___Toc14292636_1280447820"/>
      <w:bookmarkStart w:id="417" w:name="_Toc157"/>
      <w:bookmarkEnd w:id="416"/>
      <w:r>
        <w:rPr/>
        <w:t>7.3</w:t>
      </w:r>
      <w:r>
        <w:rPr>
          <w:rtl w:val="true"/>
        </w:rPr>
        <w:t>.</w:t>
      </w:r>
      <w:r>
        <w:rPr>
          <w:rtl w:val="true"/>
        </w:rPr>
        <w:t>سیره پیامبر و امام علی در مواجهه با خوارج</w:t>
      </w:r>
      <w:bookmarkEnd w:id="417"/>
    </w:p>
    <w:p>
      <w:pPr>
        <w:pStyle w:val="BookText"/>
        <w:rPr/>
      </w:pPr>
      <w:r>
        <w:rPr>
          <w:rFonts w:ascii="IRNazanin" w:hAnsi="IRNazanin" w:eastAsia="IRNazanin"/>
          <w:color w:val="111111"/>
          <w:sz w:val="28"/>
          <w:sz w:val="28"/>
          <w:szCs w:val="28"/>
          <w:rtl w:val="true"/>
          <w:lang w:bidi="fa-IR"/>
        </w:rPr>
        <w:t>بررسی تاریخی نشان می‌دهد که هم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برخورد با خوارج از یک استراتژی واحد پیروی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مدارای حداکثری تا هنگام تهدید امنیت جامعه اسلامی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سیره نبوی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پیشگیری و هشدار در دوران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اگرچه برخی رفتارهای نخستین خوارج مانند اعتراض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ذوالخویصره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تقسیم غنائم دیده می‌شد، اما این گروه هنوز به مرحله قیام مسلحانه نرسیده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با پیش‌بینی آینده، ضمن هشدار درباره خطر این گروه،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آنان را رها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این گروه خروج کردند، آنها را بکشید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نشان می‌دهد که اصل بر مدارا بود، اما آمادگی برای برخورد قاطع در صورت قیام مسلحانه نیز وجود داشت</w:t>
      </w:r>
      <w:r>
        <w:rPr>
          <w:rFonts w:eastAsia="IRNazanin" w:cs="IRNazanin"/>
          <w:color w:val="111111"/>
          <w:sz w:val="28"/>
          <w:szCs w:val="28"/>
          <w:rtl w:val="true"/>
          <w:lang w:bidi="fa-IR"/>
        </w:rPr>
        <w:t>.</w:t>
      </w:r>
      <w:r>
        <w:rPr>
          <w:rStyle w:val="FootnoteAnchor"/>
          <w:rtl w:val="true"/>
        </w:rPr>
        <w:footnoteReference w:id="281"/>
      </w:r>
    </w:p>
    <w:p>
      <w:pPr>
        <w:pStyle w:val="BookText"/>
        <w:rPr/>
      </w:pPr>
      <w:r>
        <w:rPr>
          <w:rFonts w:ascii="IRNazanin" w:hAnsi="IRNazanin" w:eastAsia="IRNazanin"/>
          <w:color w:val="111111"/>
          <w:sz w:val="28"/>
          <w:sz w:val="28"/>
          <w:szCs w:val="28"/>
          <w:rtl w:val="true"/>
          <w:lang w:bidi="fa-IR"/>
        </w:rPr>
        <w:t>سیره علوی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اتمام حجت و برخورد قاطع</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دقیقاً بر همین منوال عمل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شش ماه به ارشاد و گفت‌وگو با خوارج پرداختند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روشنگری‌های ایشان، دو سوم خوارج هدایت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 هنگامی به مقابله نظامی برخواست که خوارج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به قتل عام مسلمانان بی‌گناه زدند ،امنیت عمومی را به خطر انداختند وعلیه حکومت اسلامی شورش مسلحانه کردند</w:t>
      </w:r>
      <w:r>
        <w:rPr>
          <w:rFonts w:eastAsia="IRNazanin" w:cs="IRNazanin"/>
          <w:color w:val="111111"/>
          <w:sz w:val="28"/>
          <w:szCs w:val="28"/>
          <w:rtl w:val="true"/>
          <w:lang w:bidi="fa-IR"/>
        </w:rPr>
        <w:t xml:space="preserve">. </w:t>
      </w:r>
      <w:bookmarkStart w:id="418" w:name="pg18832_210991"/>
    </w:p>
    <w:p>
      <w:pPr>
        <w:pStyle w:val="BookText"/>
        <w:rPr/>
      </w:pPr>
      <w:bookmarkEnd w:id="418"/>
      <w:r>
        <w:rPr>
          <w:rFonts w:ascii="IRNazanin" w:hAnsi="IRNazanin" w:eastAsia="IRNazanin"/>
          <w:color w:val="111111"/>
          <w:sz w:val="28"/>
          <w:sz w:val="28"/>
          <w:szCs w:val="28"/>
          <w:rtl w:val="true"/>
          <w:lang w:bidi="fa-IR"/>
        </w:rPr>
        <w:t>نتیجه‌گیری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تفاوت در برخورد این دو بزرگوار، نه ناشی از تفاوت در اصول، بلکه ناشی از تفاوت در مرحله تکامل خطر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خوارج در مرحله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 کردند و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خوارج در مرحله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مسلحانه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دو بر اساس قاعده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مدارا تا مرز تهدید 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نمودند و این، نشان‌دهنده انطباق کامل سیره علوی با سیره نبوی است</w:t>
      </w:r>
      <w:r>
        <w:rPr>
          <w:rFonts w:eastAsia="IRNazanin" w:cs="IRNazanin"/>
          <w:color w:val="111111"/>
          <w:sz w:val="28"/>
          <w:szCs w:val="28"/>
          <w:rtl w:val="true"/>
          <w:lang w:bidi="fa-IR"/>
        </w:rPr>
        <w:t>.</w:t>
      </w:r>
    </w:p>
    <w:p>
      <w:pPr>
        <w:pStyle w:val="Heading3"/>
        <w:numPr>
          <w:ilvl w:val="2"/>
          <w:numId w:val="1"/>
        </w:numPr>
        <w:rPr/>
      </w:pPr>
      <w:bookmarkStart w:id="419" w:name="__RefHeading___Toc14292638_1280447820"/>
      <w:bookmarkStart w:id="420" w:name="_Toc158"/>
      <w:bookmarkEnd w:id="419"/>
      <w:r>
        <w:rPr/>
        <w:t>7.4</w:t>
      </w:r>
      <w:r>
        <w:rPr>
          <w:rtl w:val="true"/>
        </w:rPr>
        <w:t>.</w:t>
      </w:r>
      <w:r>
        <w:rPr>
          <w:rtl w:val="true"/>
        </w:rPr>
        <w:t>مقایسه دو رویکرد</w:t>
      </w:r>
      <w:r>
        <w:rPr>
          <w:rtl w:val="true"/>
        </w:rPr>
        <w:t xml:space="preserve">: </w:t>
      </w:r>
      <w:r>
        <w:rPr>
          <w:rtl w:val="true"/>
        </w:rPr>
        <w:t>فتح مکه و جنگ صفین</w:t>
      </w:r>
      <w:bookmarkEnd w:id="420"/>
    </w:p>
    <w:p>
      <w:pPr>
        <w:pStyle w:val="BookText"/>
        <w:rPr/>
      </w:pPr>
      <w:r>
        <w:rPr>
          <w:rFonts w:ascii="IRNazanin" w:hAnsi="IRNazanin" w:eastAsia="IRNazanin"/>
          <w:color w:val="111111"/>
          <w:sz w:val="28"/>
          <w:sz w:val="28"/>
          <w:szCs w:val="28"/>
          <w:rtl w:val="true"/>
          <w:lang w:bidi="fa-IR"/>
        </w:rPr>
        <w:t>مقایسه فتح مکه توسط پیامبر</w:t>
      </w:r>
    </w:p>
    <w:p>
      <w:pPr>
        <w:pStyle w:val="BookText"/>
        <w:rPr/>
      </w:pPr>
      <w:r>
        <w:rPr>
          <w:rFonts w:ascii="IRNazanin" w:hAnsi="IRNazanin" w:eastAsia="IRNazanin"/>
          <w:color w:val="111111"/>
          <w:sz w:val="28"/>
          <w:sz w:val="28"/>
          <w:szCs w:val="28"/>
          <w:rtl w:val="true"/>
          <w:lang w:bidi="fa-IR"/>
        </w:rPr>
        <w:t>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جنگ صفین در دوره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می‌دهد که هر دو رویداد بر اساس اصول یکسان اما در شرایط متفاوت صورت پذیرفته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زمینه‌های فتح مکه</w:t>
      </w:r>
    </w:p>
    <w:p>
      <w:pPr>
        <w:pStyle w:val="BookText"/>
        <w:rPr/>
      </w:pP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طراحی استراتژیک، مکه را بدون خونریزی فتح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موفقیت مرهون عوامل زیر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پیمان‌شکنی قریش در نقض صلح حدیبیه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برنامه‌ریزی دقیق برای غافلگیری کامل دشمن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حرکت با ده‌هزار نیروی نظامی برای ایجاد رعب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اعطای امان به مشرکان در صورت تسلیم</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حتی در این شرایط،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افراد خاصی مانند ابوسفیان، صفوان و عکرمه حکم اعدام صادر کردند، اما با اعلام اسلام ظاهری آنان، حکم متوقف شد</w:t>
      </w:r>
      <w:r>
        <w:rPr>
          <w:rFonts w:eastAsia="IRNazanin" w:cs="IRNazanin"/>
          <w:color w:val="111111"/>
          <w:sz w:val="28"/>
          <w:szCs w:val="28"/>
          <w:rtl w:val="true"/>
          <w:lang w:bidi="fa-IR"/>
        </w:rPr>
        <w:t>.</w:t>
      </w:r>
      <w:r>
        <w:rPr>
          <w:rStyle w:val="FootnoteAnchor"/>
          <w:rtl w:val="true"/>
        </w:rPr>
        <w:footnoteReference w:id="282"/>
      </w:r>
    </w:p>
    <w:p>
      <w:pPr>
        <w:pStyle w:val="BookText"/>
        <w:rPr/>
      </w:pPr>
      <w:r>
        <w:rPr>
          <w:rFonts w:ascii="IRNazanin" w:hAnsi="IRNazanin" w:eastAsia="IRNazanin"/>
          <w:color w:val="111111"/>
          <w:sz w:val="28"/>
          <w:sz w:val="28"/>
          <w:szCs w:val="28"/>
          <w:rtl w:val="true"/>
          <w:lang w:bidi="fa-IR"/>
        </w:rPr>
        <w:t>علل جنگ صفین</w:t>
      </w:r>
    </w:p>
    <w:p>
      <w:pPr>
        <w:pStyle w:val="BookText"/>
        <w:rPr/>
      </w:pPr>
      <w:r>
        <w:rPr>
          <w:rFonts w:ascii="IRNazanin" w:hAnsi="IRNazanin" w:eastAsia="IRNazanin"/>
          <w:color w:val="111111"/>
          <w:sz w:val="28"/>
          <w:sz w:val="28"/>
          <w:szCs w:val="28"/>
          <w:rtl w:val="true"/>
          <w:lang w:bidi="fa-IR"/>
        </w:rPr>
        <w:t>در مقابل،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چالش متفاوتی روبرو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عبارت است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معاویه که از دوران خلیفه دوم در شام حکومت می‌کرد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تشکیل حکومت مستقل با پایگاه قدرتمند نظامی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سرپیچی از دستور عزل و ادعای دروغین خونخواهی عثمان</w:t>
      </w:r>
      <w:r>
        <w:rPr>
          <w:rFonts w:eastAsia="IRNazanin" w:cs="IRNazanin"/>
          <w:color w:val="111111"/>
          <w:sz w:val="28"/>
          <w:szCs w:val="28"/>
          <w:rtl w:val="true"/>
          <w:lang w:bidi="fa-IR"/>
        </w:rPr>
        <w:t>.</w:t>
      </w:r>
      <w:r>
        <w:rPr>
          <w:rStyle w:val="FootnoteAnchor"/>
          <w:rtl w:val="true"/>
        </w:rPr>
        <w:footnoteReference w:id="283"/>
      </w:r>
    </w:p>
    <w:p>
      <w:pPr>
        <w:pStyle w:val="BookText"/>
        <w:rPr/>
      </w:pPr>
      <w:r>
        <w:rPr>
          <w:rFonts w:ascii="IRNazanin" w:hAnsi="IRNazanin" w:eastAsia="IRNazanin"/>
          <w:color w:val="111111"/>
          <w:sz w:val="28"/>
          <w:sz w:val="28"/>
          <w:szCs w:val="28"/>
          <w:rtl w:val="true"/>
          <w:lang w:bidi="fa-IR"/>
        </w:rPr>
        <w:t>بحث، از شرح جزئیات خودداری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مطالعه بیشتر در این زمینه، رجوع به منابع زیر توصیه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منتظری مقدم،روابط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معاویه، ص</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تاریخ مدینه دمشق، ج</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xml:space="preserve">؛ انساب الاشراف،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211</w:t>
      </w:r>
      <w:r>
        <w:rPr>
          <w:rFonts w:ascii="IRNazanin" w:hAnsi="IRNazanin" w:eastAsia="IRNazanin"/>
          <w:color w:val="111111"/>
          <w:sz w:val="28"/>
          <w:sz w:val="28"/>
          <w:szCs w:val="28"/>
          <w:rtl w:val="true"/>
          <w:lang w:bidi="fa-IR"/>
        </w:rPr>
        <w:t>؛ الفتوح،ج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375</w:t>
      </w:r>
      <w:r>
        <w:rPr>
          <w:rFonts w:ascii="IRNazanin" w:hAnsi="IRNazanin" w:eastAsia="IRNazanin"/>
          <w:color w:val="111111"/>
          <w:sz w:val="28"/>
          <w:sz w:val="28"/>
          <w:szCs w:val="28"/>
          <w:rtl w:val="true"/>
          <w:lang w:bidi="fa-IR"/>
        </w:rPr>
        <w:t xml:space="preserve">،ابن ابی الحدید،شرح نهج البلاغة،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تحلیل تطبیقی</w:t>
      </w:r>
    </w:p>
    <w:p>
      <w:pPr>
        <w:pStyle w:val="BookText"/>
        <w:rPr/>
      </w:pPr>
      <w:r>
        <w:rPr>
          <w:rFonts w:ascii="IRNazanin" w:hAnsi="IRNazanin" w:eastAsia="IRNazanin"/>
          <w:color w:val="111111"/>
          <w:sz w:val="28"/>
          <w:sz w:val="28"/>
          <w:szCs w:val="28"/>
          <w:rtl w:val="true"/>
          <w:lang w:bidi="fa-IR"/>
        </w:rPr>
        <w:t>هدف مشترک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دو رهبر به دنبال رفع موانع گسترش اسلام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شکستن اقتدار قریش در مکه بود و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درصدد مقابله با انحراف قدرت در شام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تفاوت در شرایط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غافلگیری استراتژیک، فرصت مقاومت را از دشمن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حکومت تثبیت‌شده معاویه روبرو بود که سال‌ها در شام حکمرانی کرده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شیوه برخورد</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اعلام عفو عمومی، زمینه تسلیم را فراهم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ارسال نامه‌های متعدد، راه دیپلماسی را تا انتها پیمود</w:t>
      </w:r>
      <w:r>
        <w:rPr>
          <w:rFonts w:eastAsia="IRNazanin" w:cs="IRNazanin"/>
          <w:color w:val="111111"/>
          <w:sz w:val="28"/>
          <w:szCs w:val="28"/>
          <w:rtl w:val="true"/>
          <w:lang w:bidi="fa-IR"/>
        </w:rPr>
        <w:t xml:space="preserve">. </w:t>
      </w:r>
      <w:bookmarkStart w:id="421" w:name="pg18832_210993"/>
    </w:p>
    <w:p>
      <w:pPr>
        <w:pStyle w:val="BookText"/>
        <w:rPr/>
      </w:pPr>
      <w:bookmarkEnd w:id="421"/>
      <w:r>
        <w:rPr>
          <w:rFonts w:ascii="IRNazanin" w:hAnsi="IRNazanin" w:eastAsia="IRNazanin"/>
          <w:color w:val="111111"/>
          <w:sz w:val="28"/>
          <w:sz w:val="28"/>
          <w:szCs w:val="28"/>
          <w:rtl w:val="true"/>
          <w:lang w:bidi="fa-IR"/>
        </w:rPr>
        <w:t>نتیجه‌گیری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تفاوت در نتایج این دو رویداد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 بدون خونریزی مکه در مقابل جنگ صفین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از تفاوت در اصول، که از تفاوت در شرایط و امکانات دو دوره ناشی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رهبر الهی، یک استراتژی را دنبال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مسالمت‌آمیزترین راه ممکن برای تحقق اهداف اسلامی</w:t>
      </w:r>
      <w:r>
        <w:rPr>
          <w:rFonts w:eastAsia="IRNazanin" w:cs="IRNazanin"/>
          <w:color w:val="111111"/>
          <w:sz w:val="28"/>
          <w:szCs w:val="28"/>
          <w:rtl w:val="true"/>
          <w:lang w:bidi="fa-IR"/>
        </w:rPr>
        <w:t>.</w:t>
      </w:r>
    </w:p>
    <w:p>
      <w:pPr>
        <w:pStyle w:val="Heading3"/>
        <w:numPr>
          <w:ilvl w:val="2"/>
          <w:numId w:val="1"/>
        </w:numPr>
        <w:rPr/>
      </w:pPr>
      <w:bookmarkStart w:id="422" w:name="__RefHeading___Toc14292640_1280447820"/>
      <w:bookmarkStart w:id="423" w:name="_Toc159"/>
      <w:bookmarkEnd w:id="422"/>
      <w:r>
        <w:rPr/>
        <w:t>7.5</w:t>
      </w:r>
      <w:r>
        <w:rPr>
          <w:rtl w:val="true"/>
        </w:rPr>
        <w:t>.</w:t>
      </w:r>
      <w:r>
        <w:rPr>
          <w:rtl w:val="true"/>
        </w:rPr>
        <w:t>عفو و عدالت</w:t>
      </w:r>
      <w:r>
        <w:rPr>
          <w:rtl w:val="true"/>
        </w:rPr>
        <w:t xml:space="preserve">: </w:t>
      </w:r>
      <w:r>
        <w:rPr>
          <w:rtl w:val="true"/>
        </w:rPr>
        <w:t>تحلیل تطبیقی سیره نظامی پیامبر</w:t>
      </w:r>
      <w:r>
        <w:rPr>
          <w:rtl w:val="true"/>
        </w:rPr>
        <w:t>(</w:t>
      </w:r>
      <w:r>
        <w:rPr>
          <w:rtl w:val="true"/>
        </w:rPr>
        <w:t>صلی الله علیه وآله</w:t>
      </w:r>
      <w:r>
        <w:rPr>
          <w:rtl w:val="true"/>
        </w:rPr>
        <w:t xml:space="preserve">) </w:t>
      </w:r>
      <w:r>
        <w:rPr>
          <w:rtl w:val="true"/>
        </w:rPr>
        <w:t>و امام علی</w:t>
      </w:r>
      <w:r>
        <w:rPr>
          <w:rtl w:val="true"/>
        </w:rPr>
        <w:t>(</w:t>
      </w:r>
      <w:r>
        <w:rPr>
          <w:rtl w:val="true"/>
        </w:rPr>
        <w:t>علیه السلام</w:t>
      </w:r>
      <w:r>
        <w:rPr>
          <w:rtl w:val="true"/>
        </w:rPr>
        <w:t>)</w:t>
      </w:r>
      <w:bookmarkEnd w:id="423"/>
    </w:p>
    <w:p>
      <w:pPr>
        <w:pStyle w:val="BookText"/>
        <w:rPr/>
      </w:pPr>
      <w:r>
        <w:rPr>
          <w:rFonts w:ascii="IRNazanin" w:hAnsi="IRNazanin" w:eastAsia="IRNazanin"/>
          <w:color w:val="111111"/>
          <w:sz w:val="28"/>
          <w:sz w:val="28"/>
          <w:szCs w:val="28"/>
          <w:rtl w:val="true"/>
          <w:lang w:bidi="fa-IR"/>
        </w:rPr>
        <w:t>بررسی سیره نظامی پیامبر</w:t>
      </w:r>
    </w:p>
    <w:p>
      <w:pPr>
        <w:pStyle w:val="BookText"/>
        <w:rPr/>
      </w:pPr>
      <w:r>
        <w:rPr>
          <w:rFonts w:ascii="IRNazanin" w:hAnsi="IRNazanin" w:eastAsia="IRNazanin"/>
          <w:color w:val="111111"/>
          <w:sz w:val="28"/>
          <w:sz w:val="28"/>
          <w:szCs w:val="28"/>
          <w:rtl w:val="true"/>
          <w:lang w:bidi="fa-IR"/>
        </w:rPr>
        <w:t>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فتح مکه و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جمل نشان می‌دهد که هر دو رهبر الهی، ترکیبی از عدالت و عطوفت را در برخورد با دشمنان به کار بستند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سیره نظامی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جمل</w:t>
      </w:r>
    </w:p>
    <w:p>
      <w:pPr>
        <w:pStyle w:val="BookText"/>
        <w:rPr/>
      </w:pP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پیروزی در جنگ جمل، رویکردی مبتنی بر عطوفت اسلامی در پیش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بازگرداندن تمام اموال به صاحبانشان، به استثنای سلاح‌های حکومتی </w:t>
      </w:r>
      <w:r>
        <w:rPr>
          <w:rStyle w:val="FootnoteAnchor"/>
          <w:rtl w:val="true"/>
        </w:rPr>
        <w:footnoteReference w:id="28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عفو عمومی مجروحان و اسیران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استناد به قاعده فقهی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یحل لمسلم من المسلم المتوفی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برخی اصحاب خواستار تقسیم اموال شورشیان شدند، امام پرسیدند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کدام یک از شما حاضر است عایشه را به سهم خود بگیرد</w:t>
      </w:r>
      <w:r>
        <w:rPr>
          <w:rStyle w:val="FootnoteAnchor"/>
          <w:rtl w:val="true"/>
        </w:rPr>
        <w:footnoteReference w:id="285"/>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به وضوح نشان می‌دهد که نبرد با مسلمانان شورشی، هرگز به معنای سلب حقوق اساسی آنان نیست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سیره نظامی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فتح مکه</w:t>
      </w:r>
    </w:p>
    <w:p>
      <w:pPr>
        <w:pStyle w:val="BookText"/>
        <w:rPr/>
      </w:pPr>
      <w:r>
        <w:rPr>
          <w:rFonts w:ascii="IRNazanin" w:hAnsi="IRNazanin" w:eastAsia="IRNazanin"/>
          <w:color w:val="111111"/>
          <w:sz w:val="28"/>
          <w:sz w:val="28"/>
          <w:szCs w:val="28"/>
          <w:rtl w:val="true"/>
          <w:lang w:bidi="fa-IR"/>
        </w:rPr>
        <w:t>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فتح مکه، بزرگ‌ترین دشمنان اسلام را مورد عفو عمومی قرار دادند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صدور فرمان عفو عمومی برای همه مشرکان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معافیت ابوسفیان و دیگر سران قریش از مجازات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عمل به قاعده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الإسلام یجب ما قبله؛اسلام، گناهان پیشین را محو می‌کند</w:t>
      </w:r>
      <w:r>
        <w:rPr>
          <w:rStyle w:val="FootnoteAnchor"/>
          <w:rtl w:val="true"/>
        </w:rPr>
        <w:footnoteReference w:id="2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عمل به قاعده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الإسلام یجب ما قبله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اسلام، گناهان پیشین را محو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تحلیل تطبیقی</w:t>
      </w:r>
    </w:p>
    <w:p>
      <w:pPr>
        <w:pStyle w:val="BookText"/>
        <w:rPr/>
      </w:pPr>
      <w:r>
        <w:rPr>
          <w:rFonts w:ascii="IRNazanin" w:hAnsi="IRNazanin" w:eastAsia="IRNazanin"/>
          <w:color w:val="111111"/>
          <w:sz w:val="28"/>
          <w:sz w:val="28"/>
          <w:szCs w:val="28"/>
          <w:rtl w:val="true"/>
          <w:lang w:bidi="fa-IR"/>
        </w:rPr>
        <w:t>اشتراکات اساسی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دو رهبر، اصل را بر عطوفت و گذشت قرار دادند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دو به قواعد فقهی اسلامی پایبند بودند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دو مصالح عمومی جامعه اسلامی را مد نظر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تفاوت‌های ظاهری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مشرکان روبرو بود، در حالی که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مسلمانان شورشی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شرایط تاریخی و اجتماعی دو دوره کاملاً متفاوت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اهداف استراتژیک دو نبرد با یکدیگر فرق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جمع‌بندی</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سیره نظامی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مواجهه با دشمنان، بر پایه اصول یکسان اما با توجه به شرایط متفاوت شکل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بر</w:t>
      </w:r>
      <w:r>
        <w:rPr>
          <w:rFonts w:eastAsia="IRNazanin" w:cs="IRNazanin"/>
          <w:color w:val="111111"/>
          <w:sz w:val="28"/>
          <w:szCs w:val="28"/>
          <w:rtl w:val="true"/>
          <w:lang w:bidi="fa-IR"/>
        </w:rPr>
        <w:t xml:space="preserve">: </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تقدم عطوفت بر خشونت،رعایت حقوق انسانی حتی در جنگ وپایبندی به احکام اسلامی تأکید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 در جزئیات، نه ناشی از تفاوت در اصول، که ناشی از تفاوت در شرایط و مصالح جامعه اسلامی در دو مقطع تاریخی بوده است</w:t>
      </w:r>
      <w:r>
        <w:rPr>
          <w:rFonts w:eastAsia="IRNazanin" w:cs="IRNazanin"/>
          <w:color w:val="111111"/>
          <w:sz w:val="28"/>
          <w:szCs w:val="28"/>
          <w:rtl w:val="true"/>
          <w:lang w:bidi="fa-IR"/>
        </w:rPr>
        <w:t xml:space="preserve">. </w:t>
      </w:r>
      <w:bookmarkStart w:id="424" w:name="pg18832_210996"/>
    </w:p>
    <w:p>
      <w:pPr>
        <w:pStyle w:val="Heading3"/>
        <w:numPr>
          <w:ilvl w:val="2"/>
          <w:numId w:val="1"/>
        </w:numPr>
        <w:rPr/>
      </w:pPr>
      <w:bookmarkStart w:id="425" w:name="__RefHeading___Toc14292642_1280447820"/>
      <w:bookmarkStart w:id="426" w:name="_Toc160"/>
      <w:bookmarkEnd w:id="424"/>
      <w:bookmarkEnd w:id="425"/>
      <w:r>
        <w:rPr>
          <w:rtl w:val="true"/>
        </w:rPr>
        <w:t>جمع بندی و دستآوردهای</w:t>
      </w:r>
      <w:bookmarkEnd w:id="426"/>
    </w:p>
    <w:p>
      <w:pPr>
        <w:pStyle w:val="BookText"/>
        <w:rPr/>
      </w:pP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تطبیقی سیره حکومتی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نتایج زیر منجر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تداوم خط مشی نبوی</w:t>
      </w:r>
    </w:p>
    <w:p>
      <w:pPr>
        <w:pStyle w:val="BookText"/>
        <w:rPr/>
      </w:pP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وجود فاصله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از رحلت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نهادینه شدن بدعت‌های متعدد، همواره در صدد اجرای کامل سیره نبوی در تمامی ابعاد حکومتی بودند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چالش‌های اجرایی</w:t>
      </w:r>
    </w:p>
    <w:p>
      <w:pPr>
        <w:pStyle w:val="BookText"/>
        <w:rPr/>
      </w:pPr>
      <w:r>
        <w:rPr>
          <w:rFonts w:ascii="IRNazanin" w:hAnsi="IRNazanin" w:eastAsia="IRNazanin"/>
          <w:color w:val="111111"/>
          <w:sz w:val="28"/>
          <w:sz w:val="28"/>
          <w:szCs w:val="28"/>
          <w:rtl w:val="true"/>
          <w:lang w:bidi="fa-IR"/>
        </w:rPr>
        <w:t>در مواردی، فضای عمومی جامعه که به سیره خلفا عادت کرده بود، مانع از اجرای کامل اصلاحات مورد نظر امام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موارد نشان‌دهنده تعارض بین اراده اصلاح‌گرایانه</w:t>
      </w:r>
    </w:p>
    <w:p>
      <w:pPr>
        <w:pStyle w:val="BookText"/>
        <w:rPr/>
      </w:pPr>
      <w:r>
        <w:rPr>
          <w:rFonts w:ascii="IRNazanin" w:hAnsi="IRNazanin" w:eastAsia="IRNazanin"/>
          <w:color w:val="111111"/>
          <w:sz w:val="28"/>
          <w:sz w:val="28"/>
          <w:szCs w:val="28"/>
          <w:rtl w:val="true"/>
          <w:lang w:bidi="fa-IR"/>
        </w:rPr>
        <w:t>امام و واقعیت‌های اجتماعی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سیره نظامی یکسان</w:t>
      </w:r>
    </w:p>
    <w:p>
      <w:pPr>
        <w:pStyle w:val="BookText"/>
        <w:rPr/>
      </w:pPr>
      <w:r>
        <w:rPr>
          <w:rFonts w:ascii="IRNazanin" w:hAnsi="IRNazanin" w:eastAsia="IRNazanin"/>
          <w:color w:val="111111"/>
          <w:sz w:val="28"/>
          <w:sz w:val="28"/>
          <w:szCs w:val="28"/>
          <w:rtl w:val="true"/>
          <w:lang w:bidi="fa-IR"/>
        </w:rPr>
        <w:t>برخورد امام با شورشیان جمل بر اساس احکام اسلامی صورت گرفت که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آزادی اسیران بدون دریافت فدیه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ممنوعیت جمع‌آوری غنایم</w:t>
      </w:r>
    </w:p>
    <w:p>
      <w:pPr>
        <w:pStyle w:val="BookText"/>
        <w:rPr/>
      </w:pPr>
      <w:r>
        <w:rPr>
          <w:rFonts w:ascii="IRNazanin" w:hAnsi="IRNazanin" w:eastAsia="IRNazanin"/>
          <w:color w:val="111111"/>
          <w:sz w:val="28"/>
          <w:sz w:val="28"/>
          <w:szCs w:val="28"/>
          <w:rtl w:val="true"/>
          <w:lang w:bidi="fa-IR"/>
        </w:rPr>
        <w:t>این رویکرد با سیره پیامبر در فتح مکه که با هدف حفظ حرمت شهر صورت گرفت، همسویی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عدالت اقتصادی</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اصل مساوات در تقسیم بیت‌المال از اصول مشترک هر دو حکومت بود، اگرچه در موارد خاص، بخشش‌های اضافی با مصالح اسلامی صورت می‌گرفت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نظم سازمانی</w:t>
      </w:r>
    </w:p>
    <w:p>
      <w:pPr>
        <w:pStyle w:val="BookText"/>
        <w:rPr/>
      </w:pPr>
      <w:r>
        <w:rPr>
          <w:rFonts w:ascii="IRNazanin" w:hAnsi="IRNazanin" w:eastAsia="IRNazanin"/>
          <w:color w:val="111111"/>
          <w:sz w:val="28"/>
          <w:sz w:val="28"/>
          <w:szCs w:val="28"/>
          <w:rtl w:val="true"/>
          <w:lang w:bidi="fa-IR"/>
        </w:rPr>
        <w:t>سازماندهی تشکیلاتی در هر دو دوره مشهود بود، چنانکه حتی در جنگ بدر با وجود شمار کم مسلمانان، آرایش منظم نظامی اجرا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وحدت فرهنگی</w:t>
      </w:r>
    </w:p>
    <w:p>
      <w:pPr>
        <w:pStyle w:val="BookText"/>
        <w:rPr/>
      </w:pPr>
      <w:r>
        <w:rPr>
          <w:rFonts w:ascii="IRNazanin" w:hAnsi="IRNazanin" w:eastAsia="IRNazanin"/>
          <w:color w:val="111111"/>
          <w:sz w:val="28"/>
          <w:sz w:val="28"/>
          <w:szCs w:val="28"/>
          <w:rtl w:val="true"/>
          <w:lang w:bidi="fa-IR"/>
        </w:rPr>
        <w:t>ایجاد همبستگی اجتماعی فراتر از مرزهای نژادی و طبقاتی، از محورهای مشترک سیاست‌گذاری فرهنگی هر دو حکومت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الگوی حکمرانی</w:t>
      </w:r>
    </w:p>
    <w:p>
      <w:pPr>
        <w:pStyle w:val="BookText"/>
        <w:rPr/>
      </w:pPr>
      <w:r>
        <w:rPr>
          <w:rFonts w:ascii="IRNazanin" w:hAnsi="IRNazanin" w:eastAsia="IRNazanin"/>
          <w:color w:val="111111"/>
          <w:sz w:val="28"/>
          <w:sz w:val="28"/>
          <w:szCs w:val="28"/>
          <w:rtl w:val="true"/>
          <w:lang w:bidi="fa-IR"/>
        </w:rPr>
        <w:t>این تطبیق، الگویی عملی از حکومت اسلامی را ارائه می‌دهد که می‌تواند در عصر غیبت به عنوان راهنما در زمینه‌های زیر مورد استفاده قرار گیرد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نظام اقتصادی عادلانه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مدیریت منابع مالی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برخورد با فتنه‌گران و فتنه‌زدگان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سیاست‌گذاری فرهنگی</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پژوهش نشان می‌دهد سیره علوی در اساس، تداوم و تکامل سیره نبوی در شرایط جدید تاریخی بود</w:t>
      </w:r>
      <w:r>
        <w:rPr>
          <w:rFonts w:eastAsia="IRNazanin" w:cs="IRNazanin"/>
          <w:color w:val="111111"/>
          <w:sz w:val="28"/>
          <w:szCs w:val="28"/>
          <w:rtl w:val="true"/>
          <w:lang w:bidi="fa-IR"/>
        </w:rPr>
        <w:t xml:space="preserve">. </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27" w:name="pg18832_211000"/>
      <w:bookmarkStart w:id="428" w:name="pg18832_211000"/>
      <w:bookmarkEnd w:id="428"/>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429" w:name="pg18832_211000"/>
      <w:bookmarkStart w:id="430" w:name="__RefHeading___Toc14292644_1280447820"/>
      <w:bookmarkStart w:id="431" w:name="_Toc161"/>
      <w:bookmarkEnd w:id="429"/>
      <w:bookmarkEnd w:id="430"/>
      <w:r>
        <w:rPr>
          <w:rtl w:val="true"/>
        </w:rPr>
        <w:t>منابع</w:t>
      </w:r>
      <w:bookmarkEnd w:id="431"/>
    </w:p>
    <w:p>
      <w:pPr>
        <w:pStyle w:val="BookText"/>
        <w:rPr/>
      </w:pPr>
      <w:r>
        <w:rPr>
          <w:rFonts w:ascii="IRNazanin" w:hAnsi="IRNazanin" w:eastAsia="IRNazanin"/>
          <w:color w:val="111111"/>
          <w:sz w:val="28"/>
          <w:sz w:val="28"/>
          <w:szCs w:val="28"/>
          <w:rtl w:val="true"/>
          <w:lang w:bidi="fa-IR"/>
        </w:rPr>
        <w:t>قرآن كریم</w:t>
      </w:r>
    </w:p>
    <w:p>
      <w:pPr>
        <w:pStyle w:val="BookText"/>
        <w:rPr/>
      </w:pP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 بن عبد البر؛ الاستیعاب فى معرفة الأصحاب، تحقیق على محمد البجاوى، بیروت، دار الجیل،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950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ابی الحدید معتزلی، شرح نهج البلاغه، چاپ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داراحیاء الکتب العربیه،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اثیر، عز الدین ابوالحسن علی بن محمد، الکامل فی التاریخ، 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 دارالاحیاء</w:t>
      </w:r>
    </w:p>
    <w:p>
      <w:pPr>
        <w:pStyle w:val="BookText"/>
        <w:rPr/>
      </w:pPr>
      <w:r>
        <w:rPr>
          <w:rFonts w:ascii="IRNazanin" w:hAnsi="IRNazanin" w:eastAsia="IRNazanin"/>
          <w:color w:val="111111"/>
          <w:sz w:val="28"/>
          <w:sz w:val="28"/>
          <w:szCs w:val="28"/>
          <w:rtl w:val="true"/>
          <w:lang w:bidi="fa-IR"/>
        </w:rPr>
        <w:t xml:space="preserve">التراث العربی، </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اثیر، عزالدین ابوالحسن علی بن محمد ، اسدالغابة فی معرفة الصحابه، تهران، مکتبة اسلامیه،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حنبل، احمد، مسند، 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دار صادر،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خلدون، تاریخ ابن خلدون، ترجمه عبدالمحمد آیتی، چاپ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 پژوهشگاه</w:t>
      </w:r>
    </w:p>
    <w:p>
      <w:pPr>
        <w:pStyle w:val="BookText"/>
        <w:rPr/>
      </w:pPr>
      <w:r>
        <w:rPr>
          <w:rFonts w:ascii="IRNazanin" w:hAnsi="IRNazanin" w:eastAsia="IRNazanin"/>
          <w:color w:val="111111"/>
          <w:sz w:val="28"/>
          <w:sz w:val="28"/>
          <w:szCs w:val="28"/>
          <w:rtl w:val="true"/>
          <w:lang w:bidi="fa-IR"/>
        </w:rPr>
        <w:t xml:space="preserve">علوم انسانی و مطالعات فرهنگی، </w:t>
      </w:r>
      <w:r>
        <w:rPr>
          <w:rFonts w:eastAsia="IRNazanin" w:cs="IRNazanin"/>
          <w:color w:val="111111"/>
          <w:sz w:val="28"/>
          <w:szCs w:val="28"/>
          <w:lang w:bidi="fa-IR"/>
        </w:rPr>
        <w:t>1375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شبَة، تاریخ المدینة المنوره، 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مدینة المنوره،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شهرآشوب، مناقب آل ابی طالب، چاپ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دارالاضواء،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عبدربّه اندلسی، العقد الفرید، چاپ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دارالکتاب العربی،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عساکر، تاریخ مدینة دمشق، 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دارالفکر، </w:t>
      </w:r>
      <w:r>
        <w:rPr>
          <w:rFonts w:eastAsia="IRNazanin" w:cs="IRNazanin"/>
          <w:color w:val="111111"/>
          <w:sz w:val="28"/>
          <w:szCs w:val="28"/>
          <w:lang w:bidi="fa-IR"/>
        </w:rPr>
        <w:t>1419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منظور افریقی، لسان العرب، چاپ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دارصادر،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ابواسحاق ابراهیم بن محمد ثقفی، الغارات، سلسله انتشارات انجمن آثار ملی،</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بلاذری، احمد بن یحیی، انساب الاشراف، 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دارالفکر،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جعفریان، رسول، تاریخ خلفاء، 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وزارت فرهنگ و ارشاد اسلامی، </w:t>
      </w:r>
      <w:r>
        <w:rPr>
          <w:rFonts w:eastAsia="IRNazanin" w:cs="IRNazanin"/>
          <w:color w:val="111111"/>
          <w:sz w:val="28"/>
          <w:szCs w:val="28"/>
          <w:lang w:bidi="fa-IR"/>
        </w:rPr>
        <w:t>1374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جعفریان، رسول، حیات فکری و سیاسی امامان شیعه، چاپ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انصاریان،</w:t>
      </w:r>
    </w:p>
    <w:p>
      <w:pPr>
        <w:pStyle w:val="BookText"/>
        <w:rPr/>
      </w:pPr>
      <w:r>
        <w:rPr>
          <w:rFonts w:ascii="IRNazanin" w:hAnsi="IRNazanin" w:eastAsia="IRNazanin"/>
          <w:color w:val="111111"/>
          <w:sz w:val="28"/>
          <w:sz w:val="28"/>
          <w:szCs w:val="28"/>
          <w:rtl w:val="true"/>
          <w:lang w:bidi="fa-IR"/>
        </w:rPr>
        <w:t xml:space="preserve">قم،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حاکم نیشابوری، المستدرک علی الصحیحین، همراه حاشیه ذهبی، چاپ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p>
    <w:p>
      <w:pPr>
        <w:pStyle w:val="BookText"/>
        <w:rPr/>
      </w:pPr>
      <w:r>
        <w:rPr>
          <w:rFonts w:ascii="IRNazanin" w:hAnsi="IRNazanin" w:eastAsia="IRNazanin"/>
          <w:color w:val="111111"/>
          <w:sz w:val="28"/>
          <w:sz w:val="28"/>
          <w:szCs w:val="28"/>
          <w:rtl w:val="true"/>
          <w:lang w:bidi="fa-IR"/>
        </w:rPr>
        <w:t xml:space="preserve">دارالمعرفه،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حرّانی، ابو محمد، تحف العقول، ترجمه صادق حسن زاده، انتشارات آل علی،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حلبی، ابوالصلاح، تقریب المعارف، تحقیق فارس تبریزیان، چاپ اول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 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دشتی، محمد، و محمدی، کاظم، المعجم المفهرس لالفاظ نهج البلاغه، چاپ هفدهم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جامعة مدرسین،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دینوری، احمد بن داود، الإخبار الطوال، 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انتشارات شریف رضی، </w:t>
      </w:r>
      <w:r>
        <w:rPr>
          <w:rFonts w:eastAsia="IRNazanin" w:cs="IRNazanin"/>
          <w:color w:val="111111"/>
          <w:sz w:val="28"/>
          <w:szCs w:val="28"/>
          <w:lang w:bidi="fa-IR"/>
        </w:rPr>
        <w:t>1375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ذاکری، علی اکبر، سیمای کارکزاران علی ابن ابی طالب امیرالمومنین، پژوهشکده باقر العلوم،</w:t>
      </w:r>
      <w:r>
        <w:rPr>
          <w:rFonts w:eastAsia="IRNazanin" w:cs="IRNazanin"/>
          <w:color w:val="111111"/>
          <w:sz w:val="28"/>
          <w:szCs w:val="28"/>
          <w:lang w:bidi="fa-IR"/>
        </w:rPr>
        <w:t>1387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ذهبی، شمس الدین محمد بن احمد، میزان الاعتدال، بیروت، دارالفکر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سبحانی، جعفر، فروغ ولایت، چاپ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صحیفه، </w:t>
      </w:r>
      <w:r>
        <w:rPr>
          <w:rFonts w:eastAsia="IRNazanin" w:cs="IRNazanin"/>
          <w:color w:val="111111"/>
          <w:sz w:val="28"/>
          <w:szCs w:val="28"/>
          <w:lang w:bidi="fa-IR"/>
        </w:rPr>
        <w:t>1371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السجستانی، سلیمان بن الا شعث، سنن ابی داود، بیروت، دارالفكر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سیوطی، جلال الدین، الدر المنثور، قم،</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صدوق، معانی الاخبار، تصحیح علی اكبر غفاری، بیروت، دارالتعارف للمطبوعات،</w:t>
      </w:r>
      <w:r>
        <w:rPr>
          <w:rFonts w:eastAsia="IRNazanin" w:cs="IRNazanin"/>
          <w:color w:val="111111"/>
          <w:sz w:val="28"/>
          <w:szCs w:val="28"/>
          <w:lang w:bidi="fa-IR"/>
        </w:rPr>
        <w:t>1399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شیخ صدوق؛ الأمالی، انتشارات کتابخانه اسلامیه،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شمسى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صدوق، علی بن حسین، علل الشرائع، 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مکتبة الداوری،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310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تاریخ الامم و الملوک، 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دارالکتب العلمیه، </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طوسی، ابوجعفر محمد بن الحسن، الأمالی، 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انوار الهدی،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عبد الرحمن بن خلدون، مقدمه ابن خلدون، ترجمه محمد پروین گنابادى، تهران، انتشارات علمى و فرهنگى، چ هشتم، </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عسقلانی، ابن حجر؛ الإصابة فى تمییز الصحابة، تحقیق عادل احمد عبد الموجود و على محمد معوض، بیروت، دارالکتب العلمیة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عنایت الله فاتحی نژاد، دایره المعارف بزرگ اسلامی، ج</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دایره المعارف اسلامی،</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328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كلینی، محمد ابن یعقوب، الكافی، دارالكتب الاسلامیه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کاتب واقدى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محمد بن سعد؛ طبقات الکبری، تحقیق محمد عبد القادر عطا، بیروت، دار الکتب العلمیة، ط الأولى، </w:t>
      </w:r>
      <w:r>
        <w:rPr>
          <w:rFonts w:eastAsia="IRNazanin" w:cs="IRNazanin"/>
          <w:color w:val="111111"/>
          <w:sz w:val="28"/>
          <w:szCs w:val="28"/>
          <w:lang w:bidi="fa-IR"/>
        </w:rPr>
        <w:t>1410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کتانی، عبدالحی، التراتیب الاداریه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نظام الحکومه النبویه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دارالکتاب العربی،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کرمی هرستانی، قاسمعلی، نهادهای حکومتی در گفتار و سیره امیرمومنان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انتشارات مشهور قم، چاپ اول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کوفى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ابن اعثم؛ الفتوح، ترجمه محمد بن احمد مستوفى هروى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تحقییق غلامرضا طباطبائى مجد، تهران، انتشارات و آموزش انقلاب اسلامى، </w:t>
      </w:r>
      <w:r>
        <w:rPr>
          <w:rFonts w:eastAsia="IRNazanin" w:cs="IRNazanin"/>
          <w:color w:val="111111"/>
          <w:sz w:val="28"/>
          <w:szCs w:val="28"/>
          <w:lang w:bidi="fa-IR"/>
        </w:rPr>
        <w:t>1372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مجلسی، محمد باقر، بحارالانوار، بیروت، مؤسسه الوفاء،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هه،</w:t>
      </w:r>
      <w:r>
        <w:rPr>
          <w:rFonts w:eastAsia="IRNazanin" w:cs="IRNazanin"/>
          <w:color w:val="111111"/>
          <w:sz w:val="28"/>
          <w:szCs w:val="28"/>
          <w:lang w:bidi="fa-IR"/>
        </w:rPr>
        <w:t>1982</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 ابن اسحاق بن یسار، سیرة ابن اسحاق، افست، مؤسسة اسماعلیان ، </w:t>
      </w:r>
      <w:r>
        <w:rPr>
          <w:rFonts w:eastAsia="IRNazanin" w:cs="IRNazanin"/>
          <w:color w:val="111111"/>
          <w:sz w:val="28"/>
          <w:szCs w:val="28"/>
          <w:lang w:bidi="fa-IR"/>
        </w:rPr>
        <w:t>1368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مسعودی، علی بن حسین، مروج الذهب، 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دارالکتب العلمیه،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مفید، محمد بن نعمان، الجمل و النصرة لسید العتره، چاپ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دفتر تبلیغات اسلامی، </w:t>
      </w:r>
      <w:r>
        <w:rPr>
          <w:rFonts w:eastAsia="IRNazanin" w:cs="IRNazanin"/>
          <w:color w:val="111111"/>
          <w:sz w:val="28"/>
          <w:szCs w:val="28"/>
          <w:lang w:bidi="fa-IR"/>
        </w:rPr>
        <w:t>1416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منقری، نصر بن مزاحم، وقعة صفین، چاپ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کتابخانه آیة الله مرعشی نجفی،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هلالی، سلیم بن قیس، تحقیق محمد باقر انصاری، چاپ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نشر الهادی، </w:t>
      </w:r>
      <w:r>
        <w:rPr>
          <w:rFonts w:eastAsia="IRNazanin" w:cs="IRNazanin"/>
          <w:color w:val="111111"/>
          <w:sz w:val="28"/>
          <w:szCs w:val="28"/>
          <w:lang w:bidi="fa-IR"/>
        </w:rPr>
        <w:t>1416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هندی، محمد تقی، كنزالعمال، مؤ سسه الرّساله،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یعقوبی، احمد بن ابی واضح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284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تاریخ یعقوبی، ترجمه ابراهیم آیتی، چاپ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 بنگاه ترجمه و نشر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تا</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50"/>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51"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 نامه سیاسی،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مفهوم حکومت از دیدگاه امام خمینی،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واژه شناسی اصطلاحات اصول فقه، ص</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فرهنگ نامه اصول فقه، ص</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الفصاحه 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1029</w:t>
      </w:r>
      <w:r>
        <w:rPr>
          <w:rFonts w:ascii="IRNazanin" w:hAnsi="IRNazanin" w:eastAsia="IRNazanin"/>
          <w:b w:val="false"/>
          <w:b w:val="false"/>
          <w:bCs w:val="false"/>
          <w:i w:val="false"/>
          <w:i w:val="false"/>
          <w:iCs w:val="false"/>
          <w:color w:val="333333"/>
          <w:sz w:val="20"/>
          <w:sz w:val="20"/>
          <w:szCs w:val="20"/>
          <w:rtl w:val="true"/>
        </w:rPr>
        <w:t xml:space="preserve">، ؛جامع الصغیر سیوطی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2945</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دولت الرسول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سیاسی اسلام، ص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تراتیب الاداریة،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تراتیب الادویه،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تراتیب الادویه،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فرقان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عبقریه الاسلام، العجلاتی،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الاسلام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عهد الخلفاء الراشدین،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عبقریه الاسلام،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عبقریه الاسلام،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سیاسی اسلام،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دولة الرسول، 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اسدالغابه،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دولة الرسول، 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فهرستی از فرمانداران در 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 به نقل از مناقب</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دولة الرسول، 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سیاسی اسلام،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تراتیب الاداریة،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سیاسی اسلام،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دولة الرسول، 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اخبارالقضاة،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الاحكام السلطانیه،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نظام الاداره والحكم فی الاسلام، ص </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تراتیب الاداریة،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النظم الاسلامیه، 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نظام الاداره والحكم فی الاسلام، ص </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تراتیب الادویة،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اسدالغابه،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ابی داود،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الاصابه،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نظام الحكم والاداره فی الاسلام، ص </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سیره ابن هشام،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اسدالغابه،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سیره ابن هشام،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اسدالغابه،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تراتیب الاداریة،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اسدالغابه،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سیره ابن هشام،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اسدالغابه،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تراتیب الاداریة،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اسدالغابه،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تراتیب الاداریة،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اسدالغابه،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تراتیب الاداریة،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اسدالغابه،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اسدالغابه،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تراتیب الاداریة،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اسدالغابه،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تراتیب الاداریة،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سیره ابن هشام،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المحبر، 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اسدالغابه،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سیره ابن هشام،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سیره ابن هشام،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سیره ابن هشام،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تراتیب الاداریة،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اسدالغابه،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تراتیب الاداریة،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المغازی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طبقات الکبری، ابن سعد،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اسد الغابه، ابن اثیر،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الاستیعاب، ابن عبد البر،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 الغابه،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577</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دولت الرسول،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سیاسی اسلام،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اسدالغابه،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سیاسی اسلام،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سیاسی اسلام،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سیره ابن هشام،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تراتیب الاداریة،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اسدالغابه،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 xml:space="preserve"> .</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دولة الرسول،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اسدالغابه،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دولة الرسول، 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سیره ابن هشام،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المغازی،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973</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نظام الحكم والاداره فی الاسلام، ص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اسدالغابه،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تراتیب الاداریة،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مسلمانان در بستر تاریخ،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دولة الرسول، 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 عن آل الرسول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الاصابة فی تمییز الصحابة،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xml:space="preserve">، البدایة و النهایة،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البدایة و النهایة،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عوالی اللئالی العزیزیة فی الأحادیث الدینیة،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فلا تطولن احتجابا عن رعیته فَاِنَّ احتِجابَ الوُ‌لاةِ عَنِ الرٍّ‌عِیَّةِ شُعبَةٌ مِنَ الضیقِ، وَ قِلَّةُ عِلمٍ بِالامُورِ نهج‌البلاغه</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1021</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انبیاء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لاتقاتلنّ احداَ حتی تدعوه الی الاسلام و أیم الله لان یهدی الله عزّوجلّ علی یدیك رجلاً خیر لك ممّا طلعت علیه الشمس وغربت الكافی،ج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لان یهدی الله بك رجلاً واحداً خیر من ان یكون لك حمر النعم؛ سپس آنان را به اسلام دعوت كن و از حق واجبی كه خداوند بر آنها دارد، آگاهشان ساز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خدا اگر خداوند به وسیلة تو تنها یك مرد از آنان را هدایت كند، برای تو بهتر از آن است كه شتران سرخ موی داشته باشی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بشارت المصطفی،ص</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الجمل، صص</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ابن عباس را به سوی آنان فرستاد و به او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بیعت مرا به ایشان متذكر شو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همان،صص،</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فروغ ولایت، ص</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جوزی،تکرة</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الجمل، ص</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الجمل، ص</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همان،ص</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البته خوارج در پاسخ دعوت امیرالمومنین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تو را شایسته رهبری و امامت نمی دانیم</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فروغ ولایت،ص</w:t>
      </w:r>
      <w:r>
        <w:rPr>
          <w:rFonts w:eastAsia="IRNazanin" w:cs="IRNazanin"/>
          <w:b w:val="false"/>
          <w:bCs w:val="false"/>
          <w:i w:val="false"/>
          <w:iCs w:val="false"/>
          <w:color w:val="333333"/>
          <w:sz w:val="20"/>
          <w:szCs w:val="20"/>
        </w:rPr>
        <w:t>648</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همان،ص</w:t>
      </w:r>
      <w:r>
        <w:rPr>
          <w:rFonts w:eastAsia="IRNazanin" w:cs="IRNazanin"/>
          <w:b w:val="false"/>
          <w:bCs w:val="false"/>
          <w:i w:val="false"/>
          <w:iCs w:val="false"/>
          <w:color w:val="333333"/>
          <w:sz w:val="20"/>
          <w:szCs w:val="20"/>
        </w:rPr>
        <w:t>650</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انساب الاشراف،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370</w:t>
      </w:r>
      <w:r>
        <w:rPr>
          <w:rFonts w:ascii="IRNazanin" w:hAnsi="IRNazanin" w:eastAsia="IRNazanin"/>
          <w:b w:val="false"/>
          <w:b w:val="false"/>
          <w:bCs w:val="false"/>
          <w:i w:val="false"/>
          <w:i w:val="false"/>
          <w:iCs w:val="false"/>
          <w:color w:val="333333"/>
          <w:sz w:val="20"/>
          <w:sz w:val="20"/>
          <w:szCs w:val="20"/>
          <w:rtl w:val="true"/>
        </w:rPr>
        <w:t>؛الفتوح،ج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اخبار الطوال، همان، ص</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الفتوح،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ابی الحدید، شرح نهج البلاغه،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 خ</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جنگ صفین نیز شاهد همین موضع هستیم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ایشان فرمودند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هرگز با دشمن جنگ نكنید تا آنان آغاز كنند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فراریان را نكشید، بر زخمیان متازید، هتك حرمت و عورت نكنید، از مثله كردن بپرهیزید، وارد خانه‌های آنان مشوید، برزنان حمله نكنید و به كسی دشنام ندهید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تذكرة الخواص، ص</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سخنی دیگر به نیروهای خود در جنگ صفیّن سفارش می کند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إذا وصلتم إلی رحال القوم فلا تهتكوا سترا و لا تدخلوا دارا و لا تأخذوا شیئاً من أموالهم و لا تهیجوا امرأةً و إن شتمن أعراضكم و سببن امرائكم و صلحائكم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الکامل،ج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آثار الحرب، ص</w:t>
      </w:r>
      <w:r>
        <w:rPr>
          <w:rFonts w:eastAsia="IRNazanin" w:cs="IRNazanin"/>
          <w:b w:val="false"/>
          <w:bCs w:val="false"/>
          <w:i w:val="false"/>
          <w:iCs w:val="false"/>
          <w:color w:val="333333"/>
          <w:sz w:val="20"/>
          <w:szCs w:val="20"/>
        </w:rPr>
        <w:t>477</w:t>
      </w:r>
      <w:r>
        <w:rPr>
          <w:rFonts w:ascii="IRNazanin" w:hAnsi="IRNazanin" w:eastAsia="IRNazanin"/>
          <w:b w:val="false"/>
          <w:b w:val="false"/>
          <w:bCs w:val="false"/>
          <w:i w:val="false"/>
          <w:i w:val="false"/>
          <w:iCs w:val="false"/>
          <w:color w:val="333333"/>
          <w:sz w:val="20"/>
          <w:sz w:val="20"/>
          <w:szCs w:val="20"/>
          <w:rtl w:val="true"/>
        </w:rPr>
        <w:t>؛ الأموال، ص</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فتوح البلدان، ص</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عقد الفرید،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 النبیّ صلّی الله علیه و آله و سلّم نهی عن قتل الوضعاء و العسفاء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المصنّف،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همان،ص</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الصحیح،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سیره ابن هشام،ج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واقدی،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برخی تعداد درختان قطع شده را شش عدد گفته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الخمیس،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461</w:t>
      </w:r>
      <w:r>
        <w:rPr>
          <w:rFonts w:ascii="IRNazanin" w:hAnsi="IRNazanin" w:eastAsia="IRNazanin"/>
          <w:b w:val="false"/>
          <w:b w:val="false"/>
          <w:bCs w:val="false"/>
          <w:i w:val="false"/>
          <w:i w:val="false"/>
          <w:iCs w:val="false"/>
          <w:color w:val="333333"/>
          <w:sz w:val="20"/>
          <w:sz w:val="20"/>
          <w:szCs w:val="20"/>
          <w:rtl w:val="true"/>
        </w:rPr>
        <w:t>؛ بحار الأنوار، ج</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شهر آشوب می نویسد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رسول خدا دستور بریدن چند نخل را 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اعتراض یهود این كار متوقف شد و قرار شد آنان كوچ كنند مناقب،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حیی بن اخطب به رسول خدا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پیام 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چرا درختان را قطع می‌کنی؟ به آنچه خواسته‌ای تن می‌دهیم و از شهر تو بیرون می‌رویم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اکنون فقط می‌توانید یک بار شتر همراه خود ببرید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 همه اموال خود 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سرانجام بنی نضیر به شرایط رسول خدا تن داد و حاضر شد با برجای گذاشتن اموال خود، از مدینه بیرون رود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المغازی،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بیهقی،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سنن أبی داود،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الاسناد، ص</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بحار الأنوار، ج</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أبی داود،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واقدی،المغازی،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912</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اثیر،الكامل،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سنن أبی داود،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وقعة صفّین، ص</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الاسناد، ص</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بحار الأنوار، ج</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نهج البلاغه،ص</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المغازی،ج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سیرة ابن هشام، ص</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المغازی،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الصحیح من سیره النبی الاعظم،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سیاسی اسلام،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وتفسیر المیزان،ج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571</w:t>
      </w:r>
      <w:r>
        <w:rPr>
          <w:rFonts w:ascii="IRNazanin" w:hAnsi="IRNazanin" w:eastAsia="IRNazanin"/>
          <w:b w:val="false"/>
          <w:b w:val="false"/>
          <w:bCs w:val="false"/>
          <w:i w:val="false"/>
          <w:i w:val="false"/>
          <w:iCs w:val="false"/>
          <w:color w:val="333333"/>
          <w:sz w:val="20"/>
          <w:sz w:val="20"/>
          <w:szCs w:val="20"/>
          <w:rtl w:val="true"/>
        </w:rPr>
        <w:t xml:space="preserve">؛ شرح نهج البلاغة،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318</w:t>
      </w:r>
      <w:r>
        <w:rPr>
          <w:rFonts w:ascii="IRNazanin" w:hAnsi="IRNazanin" w:eastAsia="IRNazanin"/>
          <w:b w:val="false"/>
          <w:b w:val="false"/>
          <w:bCs w:val="false"/>
          <w:i w:val="false"/>
          <w:i w:val="false"/>
          <w:iCs w:val="false"/>
          <w:color w:val="333333"/>
          <w:sz w:val="20"/>
          <w:sz w:val="20"/>
          <w:szCs w:val="20"/>
          <w:rtl w:val="true"/>
        </w:rPr>
        <w:t xml:space="preserve">؛ الكامل فی التاریخ،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364</w:t>
      </w:r>
      <w:r>
        <w:rPr>
          <w:rFonts w:ascii="IRNazanin" w:hAnsi="IRNazanin" w:eastAsia="IRNazanin"/>
          <w:b w:val="false"/>
          <w:b w:val="false"/>
          <w:bCs w:val="false"/>
          <w:i w:val="false"/>
          <w:i w:val="false"/>
          <w:iCs w:val="false"/>
          <w:color w:val="333333"/>
          <w:sz w:val="20"/>
          <w:sz w:val="20"/>
          <w:szCs w:val="20"/>
          <w:rtl w:val="true"/>
        </w:rPr>
        <w:t xml:space="preserve">؛ الإمامة والسیاسة،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xml:space="preserve">؛ وقعة صفّین،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الموازنة،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گاه همگی گفتند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خدا سوگند، قطره اى آب به عراقیان نخواهیم داد تا تشنه لب بمیریند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ینابیع المودّة،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450</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محمد محمدی ری شهری، دانش نامه امیر المومنین ؛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569</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أخبار الطوال، ص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386</w:t>
      </w:r>
      <w:r>
        <w:rPr>
          <w:rFonts w:ascii="IRNazanin" w:hAnsi="IRNazanin" w:eastAsia="IRNazanin"/>
          <w:b w:val="false"/>
          <w:b w:val="false"/>
          <w:bCs w:val="false"/>
          <w:i w:val="false"/>
          <w:i w:val="false"/>
          <w:iCs w:val="false"/>
          <w:color w:val="333333"/>
          <w:sz w:val="20"/>
          <w:sz w:val="20"/>
          <w:szCs w:val="20"/>
          <w:rtl w:val="true"/>
        </w:rPr>
        <w:t xml:space="preserve">؛ الفتوح،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الإمامة والسیاسة،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xml:space="preserve">؛ وقعة صفّین، 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الطبری،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سیره ابن هشام،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المغازی واقدی،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سیره ابن‌هشام،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واقدی،المغازی،ص</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همان،ص</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همان،ص</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فروغ ابدیت،ج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الاسناد،ص</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الفتوح،ج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البلاغة،ن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نورالثقلین،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تحقیقى</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هشام، زندگانى محمّد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هشام، السیرة النبویة،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المغازى،ج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المغازی،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1044</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الکشف والبیان،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السیرة النبویة، ص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طبقات الکبری،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390</w:t>
      </w:r>
      <w:r>
        <w:rPr>
          <w:rFonts w:ascii="IRNazanin" w:hAnsi="IRNazanin" w:eastAsia="IRNazanin"/>
          <w:b w:val="false"/>
          <w:b w:val="false"/>
          <w:bCs w:val="false"/>
          <w:i w:val="false"/>
          <w:i w:val="false"/>
          <w:iCs w:val="false"/>
          <w:color w:val="333333"/>
          <w:sz w:val="20"/>
          <w:sz w:val="20"/>
          <w:szCs w:val="20"/>
          <w:rtl w:val="true"/>
        </w:rPr>
        <w:t>؛ انساب الاشراف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حماسه حسینى،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سیاسى اسلام، ص </w:t>
      </w:r>
      <w:r>
        <w:rPr>
          <w:rFonts w:eastAsia="IRNazanin" w:cs="IRNazanin"/>
          <w:b w:val="false"/>
          <w:bCs w:val="false"/>
          <w:i w:val="false"/>
          <w:iCs w:val="false"/>
          <w:color w:val="333333"/>
          <w:sz w:val="20"/>
          <w:szCs w:val="20"/>
        </w:rPr>
        <w:t>650</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السیرة النبویة، ص </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 xml:space="preserve"> .</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373</w:t>
      </w:r>
      <w:r>
        <w:rPr>
          <w:rFonts w:ascii="IRNazanin" w:hAnsi="IRNazanin" w:eastAsia="IRNazanin"/>
          <w:b w:val="false"/>
          <w:b w:val="false"/>
          <w:bCs w:val="false"/>
          <w:i w:val="false"/>
          <w:i w:val="false"/>
          <w:iCs w:val="false"/>
          <w:color w:val="333333"/>
          <w:sz w:val="20"/>
          <w:sz w:val="20"/>
          <w:szCs w:val="20"/>
          <w:rtl w:val="true"/>
        </w:rPr>
        <w:t>؛ السیره النبویه،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اثیر،</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یعقوبی،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سیره خلفا، ص</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وقعة صفین، ص</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الفتوح،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ابی الحدید، شرح نهج البلاغه،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یعقوبی،ج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عبدالله بن عمر در هیچ کدام از جنگ‌های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شرکت نکرد و هنگام پیری از این مسأله ابراز پشیمانی می‌کرد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اسدالغابه،ج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الأخبار الطوال، ص</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البلاغه،ص</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الصوارم المُهرقة فی نقد الصواعق المُحرقة،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الجمل،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المنتظم،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1242</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279</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البلاغه،خ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البلاغه،نامه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غررالحکم،ص</w:t>
      </w:r>
      <w:r>
        <w:rPr>
          <w:rFonts w:eastAsia="IRNazanin" w:cs="IRNazanin"/>
          <w:b w:val="false"/>
          <w:bCs w:val="false"/>
          <w:i w:val="false"/>
          <w:iCs w:val="false"/>
          <w:color w:val="333333"/>
          <w:sz w:val="20"/>
          <w:szCs w:val="20"/>
        </w:rPr>
        <w:t>713</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الجمل،ص</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پژوهش و تحقیقی نو در سیره نبی اعظم، ص</w:t>
      </w:r>
      <w:r>
        <w:rPr>
          <w:rFonts w:eastAsia="IRNazanin" w:cs="IRNazanin"/>
          <w:b w:val="false"/>
          <w:bCs w:val="false"/>
          <w:i w:val="false"/>
          <w:iCs w:val="false"/>
          <w:color w:val="333333"/>
          <w:sz w:val="20"/>
          <w:szCs w:val="20"/>
        </w:rPr>
        <w:t>625</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اقتصاد صدر اسلام، صص،</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طبری،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اقتصاد صدر اسلام، صص</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السنن الکبری،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اقتصاد صدر اسلام، صص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المغازی،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 ص</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توضیح المسایل، ص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حائری، سیدکاظم، مصاحبه، فقه اهل بیت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وسایل الشیعه،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کتاب الزکاه</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السیره النبویه </w:t>
      </w:r>
      <w:r>
        <w:rPr>
          <w:rFonts w:eastAsia="IRNazanin" w:cs="IRNazanin"/>
          <w:b w:val="false"/>
          <w:bCs w:val="false"/>
          <w:i w:val="false"/>
          <w:iCs w:val="false"/>
          <w:color w:val="333333"/>
          <w:sz w:val="20"/>
          <w:szCs w:val="20"/>
        </w:rPr>
        <w:t>1377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اقتصاد صدر اسلام،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وسایل الشیعه،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طوسی، فخار، عدالت در گردآوری و هزینه سازی بیت المال، 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فتوح البلدان، ص</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السیرة النبویة،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540</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طوسی، فخار، عدالت در گردآوری و هزینه سازی بیت المال، 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الکافی،ج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مفردات الفاظ القرآن ، 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طوسی، فخار، عدالت در گردآوری و هزینه سازی بیت المال،ج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نوری همدانی، کتاب الخمس،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کتاب الخمس،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التنقیح الرائع لمختصر الشرائع،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مستمسک العروه الوثقی،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597</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موسوعة‌الامام‌علی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نهج</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اختصاص،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ابی الحدید،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 خطبه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ابی طالب،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الاموال،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؛الاموال،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الاحكام‌السلطانیه،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غررالحكم، ح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 xml:space="preserve"> .</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هر مبلغی فراتر از چهار هزار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گنج محسوب می‌شود، چه زکات آن پرداخت شده باشد یا نه؛ و مقادیر کمتر از آن، هزینه زندگی سالانه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تفسیر التبیان،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xml:space="preserve">؛ تفسیر الدر المنثور،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البلاغه ابن ابی الحدید،ج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الكامل،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سیره ابن اسحاق،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الكامل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،صص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المغازی، ص</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الكامل،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 الغابة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ذخائر العقبی،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نهج البلاغه،ص</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همان،ص</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همان،ص</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همان،ص</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الغدیر</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جنگ صفین، امیرالمؤمنین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شجاعتی کمنظیر، سوار بر مرکب خویش از صفوف سپاه جدا شدند و با رجزی آتشین، دشمن را به مبارزه طلبیدند</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الکافی،ج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؛کتاب سلیم بن قیس،ج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720</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یعقوبی،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ابن حبان،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385</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6937</w:t>
      </w:r>
      <w:r>
        <w:rPr>
          <w:rFonts w:ascii="IRNazanin" w:hAnsi="IRNazanin" w:eastAsia="IRNazanin"/>
          <w:b w:val="false"/>
          <w:b w:val="false"/>
          <w:bCs w:val="false"/>
          <w:i w:val="false"/>
          <w:i w:val="false"/>
          <w:iCs w:val="false"/>
          <w:color w:val="333333"/>
          <w:sz w:val="20"/>
          <w:sz w:val="20"/>
          <w:szCs w:val="20"/>
          <w:rtl w:val="true"/>
        </w:rPr>
        <w:t>؛ مستدرک حاکم،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مسند احمد،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w:t>
      </w:r>
      <w:r>
        <w:rPr>
          <w:rFonts w:eastAsia="IRNazanin" w:cs="IRNazanin"/>
          <w:b w:val="false"/>
          <w:bCs w:val="false"/>
          <w:i w:val="false"/>
          <w:iCs w:val="false"/>
          <w:color w:val="333333"/>
          <w:sz w:val="20"/>
          <w:szCs w:val="20"/>
        </w:rPr>
        <w:t>11258</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319</w:t>
      </w:r>
      <w:r>
        <w:rPr>
          <w:rFonts w:ascii="IRNazanin" w:hAnsi="IRNazanin" w:eastAsia="IRNazanin"/>
          <w:b w:val="false"/>
          <w:b w:val="false"/>
          <w:bCs w:val="false"/>
          <w:i w:val="false"/>
          <w:i w:val="false"/>
          <w:iCs w:val="false"/>
          <w:color w:val="333333"/>
          <w:sz w:val="20"/>
          <w:sz w:val="20"/>
          <w:szCs w:val="20"/>
          <w:rtl w:val="true"/>
        </w:rPr>
        <w:t>؛ مجمع البیان،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الكشاف،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تفسیر نمونه، 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بیهقی،السنن الکبری،ج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جلوگیری از طولانی‌شدن</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الطبری،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أَیُّكُمْ یَأْخُذُ أُمَّ الْمُؤْمِنِینَ فِی سَهْمِهِ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الاسناد،ص</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الوسایل،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image" Target="media/image2.jpeg"/><Relationship Id="rId151" Type="http://schemas.openxmlformats.org/officeDocument/2006/relationships/image" Target="media/image2.jpeg"/><Relationship Id="rId152" Type="http://schemas.openxmlformats.org/officeDocument/2006/relationships/footer" Target="footer145.xml"/><Relationship Id="rId153" Type="http://schemas.openxmlformats.org/officeDocument/2006/relationships/footnotes" Target="footnotes.xml"/><Relationship Id="rId154" Type="http://schemas.openxmlformats.org/officeDocument/2006/relationships/numbering" Target="numbering.xml"/><Relationship Id="rId155" Type="http://schemas.openxmlformats.org/officeDocument/2006/relationships/fontTable" Target="fontTable.xml"/><Relationship Id="rId156" Type="http://schemas.openxmlformats.org/officeDocument/2006/relationships/settings" Target="settings.xml"/><Relationship Id="rId157"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151</Pages>
  <Words>24683</Words>
  <Characters>106950</Characters>
  <CharactersWithSpaces>130447</CharactersWithSpaces>
  <Paragraphs>1305</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2026-08-25T18:17:25Z</dcterms:created>
  <dc:creator>ghaemiyeh.com</dc:creator>
  <dc:description/>
  <dc:language>en-US</dc:language>
  <cp:lastModifiedBy/>
  <dcterms:modified xsi:type="dcterms:W3CDTF">2026-08-25T21:47:29Z</dcterms:modified>
  <cp:revision>1</cp:revision>
  <dc:subject/>
  <dc:title>امامت در آینه نبوت بررسی تطبیقی سیره حکومت علی علیه السلام با پیامبر اکرم صلی الله علیه وآله</dc:title>
</cp:coreProperties>
</file>

<file path=docProps/custom.xml><?xml version="1.0" encoding="utf-8"?>
<Properties xmlns="http://schemas.openxmlformats.org/officeDocument/2006/custom-properties" xmlns:vt="http://schemas.openxmlformats.org/officeDocument/2006/docPropsVTypes"/>
</file>