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حکم أکل الطاووس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59994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4059996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059998_1280447820">
            <w:r>
              <w:rPr>
                <w:webHidden/>
                <w:rStyle w:val="IndexLink"/>
                <w:rtl w:val="true"/>
              </w:rPr>
              <w:t>الإهداء</w:t>
            </w:r>
            <w:r>
              <w:rPr>
                <w:rStyle w:val="IndexLink"/>
                <w:rtl w:val="true"/>
              </w:rPr>
              <w:t>:</w:t>
              <w:tab/>
            </w:r>
            <w:r>
              <w:rPr>
                <w:rStyle w:val="IndexLink"/>
              </w:rPr>
              <w:t>8</w:t>
            </w:r>
          </w:hyperlink>
        </w:p>
        <w:p>
          <w:pPr>
            <w:pStyle w:val="Contents2"/>
            <w:tabs>
              <w:tab w:val="clear" w:pos="8743"/>
              <w:tab w:val="right" w:pos="9026" w:leader="dot"/>
            </w:tabs>
            <w:rPr/>
          </w:pPr>
          <w:hyperlink w:anchor="__RefHeading___Toc14060000_1280447820">
            <w:r>
              <w:rPr>
                <w:webHidden/>
                <w:rStyle w:val="IndexLink"/>
                <w:rtl w:val="true"/>
              </w:rPr>
              <w:t>مقدمة المؤلف</w:t>
            </w:r>
            <w:r>
              <w:rPr>
                <w:rStyle w:val="IndexLink"/>
                <w:rtl w:val="true"/>
              </w:rPr>
              <w:tab/>
            </w:r>
            <w:r>
              <w:rPr>
                <w:rStyle w:val="IndexLink"/>
              </w:rPr>
              <w:t>12</w:t>
            </w:r>
          </w:hyperlink>
        </w:p>
        <w:p>
          <w:pPr>
            <w:pStyle w:val="Contents2"/>
            <w:tabs>
              <w:tab w:val="clear" w:pos="8743"/>
              <w:tab w:val="right" w:pos="9026" w:leader="dot"/>
            </w:tabs>
            <w:rPr/>
          </w:pPr>
          <w:hyperlink w:anchor="__RefHeading___Toc14060002_1280447820">
            <w:r>
              <w:rPr>
                <w:webHidden/>
                <w:rStyle w:val="IndexLink"/>
                <w:rtl w:val="true"/>
              </w:rPr>
              <w:t xml:space="preserve">الفصل الأول </w:t>
            </w:r>
            <w:r>
              <w:rPr>
                <w:rStyle w:val="IndexLink"/>
                <w:rtl w:val="true"/>
              </w:rPr>
              <w:t xml:space="preserve">: </w:t>
            </w:r>
            <w:r>
              <w:rPr>
                <w:rStyle w:val="IndexLink"/>
                <w:rtl w:val="true"/>
              </w:rPr>
              <w:t>التعريف بالطاووس</w:t>
            </w:r>
            <w:r>
              <w:rPr>
                <w:rStyle w:val="IndexLink"/>
                <w:rtl w:val="true"/>
              </w:rPr>
              <w:tab/>
            </w:r>
            <w:r>
              <w:rPr>
                <w:rStyle w:val="IndexLink"/>
              </w:rPr>
              <w:t>14</w:t>
            </w:r>
          </w:hyperlink>
        </w:p>
        <w:p>
          <w:pPr>
            <w:pStyle w:val="Contents2"/>
            <w:tabs>
              <w:tab w:val="clear" w:pos="8743"/>
              <w:tab w:val="right" w:pos="9026" w:leader="dot"/>
            </w:tabs>
            <w:rPr/>
          </w:pPr>
          <w:hyperlink w:anchor="__RefHeading___Toc14060004_1280447820">
            <w:r>
              <w:rPr>
                <w:webHidden/>
                <w:rStyle w:val="IndexLink"/>
                <w:rtl w:val="true"/>
              </w:rPr>
              <w:t xml:space="preserve">الفصل الثاني </w:t>
            </w:r>
            <w:r>
              <w:rPr>
                <w:rStyle w:val="IndexLink"/>
                <w:rtl w:val="true"/>
              </w:rPr>
              <w:t xml:space="preserve">: </w:t>
            </w:r>
            <w:r>
              <w:rPr>
                <w:rStyle w:val="IndexLink"/>
                <w:rtl w:val="true"/>
              </w:rPr>
              <w:t>في بيان حكم الطاووس</w:t>
            </w:r>
            <w:r>
              <w:rPr>
                <w:rStyle w:val="IndexLink"/>
                <w:rtl w:val="true"/>
              </w:rPr>
              <w:tab/>
            </w:r>
            <w:r>
              <w:rPr>
                <w:rStyle w:val="IndexLink"/>
              </w:rPr>
              <w:t>18</w:t>
            </w:r>
          </w:hyperlink>
        </w:p>
        <w:p>
          <w:pPr>
            <w:pStyle w:val="Contents2"/>
            <w:tabs>
              <w:tab w:val="clear" w:pos="8743"/>
              <w:tab w:val="right" w:pos="9026" w:leader="dot"/>
            </w:tabs>
            <w:rPr/>
          </w:pPr>
          <w:hyperlink w:anchor="__RefHeading___Toc14060006_1280447820">
            <w:r>
              <w:rPr>
                <w:webHidden/>
                <w:rStyle w:val="IndexLink"/>
                <w:rtl w:val="true"/>
              </w:rPr>
              <w:t>حكم أكل الطاووس</w:t>
            </w:r>
            <w:r>
              <w:rPr>
                <w:rStyle w:val="IndexLink"/>
                <w:rtl w:val="true"/>
              </w:rPr>
              <w:t>:</w:t>
              <w:tab/>
            </w:r>
            <w:r>
              <w:rPr>
                <w:rStyle w:val="IndexLink"/>
              </w:rPr>
              <w:t>20</w:t>
            </w:r>
          </w:hyperlink>
        </w:p>
        <w:p>
          <w:pPr>
            <w:pStyle w:val="Contents2"/>
            <w:tabs>
              <w:tab w:val="clear" w:pos="8743"/>
              <w:tab w:val="right" w:pos="9026" w:leader="dot"/>
            </w:tabs>
            <w:rPr/>
          </w:pPr>
          <w:hyperlink w:anchor="__RefHeading___Toc14060008_1280447820">
            <w:r>
              <w:rPr>
                <w:webHidden/>
                <w:rStyle w:val="IndexLink"/>
                <w:rtl w:val="true"/>
              </w:rPr>
              <w:t>الأصل المؤمن في المسألة</w:t>
            </w:r>
            <w:r>
              <w:rPr>
                <w:rStyle w:val="IndexLink"/>
                <w:rtl w:val="true"/>
              </w:rPr>
              <w:t>:</w:t>
              <w:tab/>
            </w:r>
            <w:r>
              <w:rPr>
                <w:rStyle w:val="IndexLink"/>
              </w:rPr>
              <w:t>21</w:t>
            </w:r>
          </w:hyperlink>
        </w:p>
        <w:p>
          <w:pPr>
            <w:pStyle w:val="Contents2"/>
            <w:tabs>
              <w:tab w:val="clear" w:pos="8743"/>
              <w:tab w:val="right" w:pos="9026" w:leader="dot"/>
            </w:tabs>
            <w:rPr/>
          </w:pPr>
          <w:hyperlink w:anchor="__RefHeading___Toc14060010_1280447820">
            <w:r>
              <w:rPr>
                <w:webHidden/>
                <w:rStyle w:val="IndexLink"/>
                <w:rtl w:val="true"/>
              </w:rPr>
              <w:t>توجيه الاستدلال بالرواية على المطلوب</w:t>
            </w:r>
            <w:r>
              <w:rPr>
                <w:rStyle w:val="IndexLink"/>
                <w:rtl w:val="true"/>
              </w:rPr>
              <w:t>:</w:t>
              <w:tab/>
            </w:r>
            <w:r>
              <w:rPr>
                <w:rStyle w:val="IndexLink"/>
              </w:rPr>
              <w:t>25</w:t>
            </w:r>
          </w:hyperlink>
        </w:p>
        <w:p>
          <w:pPr>
            <w:pStyle w:val="Contents2"/>
            <w:tabs>
              <w:tab w:val="clear" w:pos="8743"/>
              <w:tab w:val="right" w:pos="9026" w:leader="dot"/>
            </w:tabs>
            <w:rPr/>
          </w:pPr>
          <w:hyperlink w:anchor="__RefHeading___Toc14060012_1280447820">
            <w:r>
              <w:rPr>
                <w:webHidden/>
                <w:rStyle w:val="IndexLink"/>
                <w:rtl w:val="true"/>
              </w:rPr>
              <w:t>مقتضى التحقيق في المسألة</w:t>
            </w:r>
            <w:r>
              <w:rPr>
                <w:rStyle w:val="IndexLink"/>
                <w:rtl w:val="true"/>
              </w:rPr>
              <w:tab/>
            </w:r>
            <w:r>
              <w:rPr>
                <w:rStyle w:val="IndexLink"/>
              </w:rPr>
              <w:t>36</w:t>
            </w:r>
          </w:hyperlink>
        </w:p>
        <w:p>
          <w:pPr>
            <w:pStyle w:val="Contents2"/>
            <w:tabs>
              <w:tab w:val="clear" w:pos="8743"/>
              <w:tab w:val="right" w:pos="9026" w:leader="dot"/>
            </w:tabs>
            <w:rPr/>
          </w:pPr>
          <w:hyperlink w:anchor="__RefHeading___Toc14060014_1280447820">
            <w:r>
              <w:rPr>
                <w:webHidden/>
                <w:rStyle w:val="IndexLink"/>
                <w:rtl w:val="true"/>
              </w:rPr>
              <w:t>المقدمة الأولى</w:t>
            </w:r>
            <w:r>
              <w:rPr>
                <w:rStyle w:val="IndexLink"/>
                <w:rtl w:val="true"/>
              </w:rPr>
              <w:t xml:space="preserve">: </w:t>
            </w:r>
            <w:r>
              <w:rPr>
                <w:rStyle w:val="IndexLink"/>
                <w:rtl w:val="true"/>
              </w:rPr>
              <w:t>الوثوق والاطمئنان</w:t>
            </w:r>
            <w:r>
              <w:rPr>
                <w:rStyle w:val="IndexLink"/>
                <w:rtl w:val="true"/>
              </w:rPr>
              <w:t>.</w:t>
              <w:tab/>
            </w:r>
            <w:r>
              <w:rPr>
                <w:rStyle w:val="IndexLink"/>
              </w:rPr>
              <w:t>36</w:t>
            </w:r>
          </w:hyperlink>
        </w:p>
        <w:p>
          <w:pPr>
            <w:pStyle w:val="Contents2"/>
            <w:tabs>
              <w:tab w:val="clear" w:pos="8743"/>
              <w:tab w:val="right" w:pos="9026" w:leader="dot"/>
            </w:tabs>
            <w:rPr/>
          </w:pPr>
          <w:hyperlink w:anchor="__RefHeading___Toc14060016_1280447820">
            <w:r>
              <w:rPr>
                <w:webHidden/>
                <w:rStyle w:val="IndexLink"/>
                <w:rtl w:val="true"/>
              </w:rPr>
              <w:t>القرائن و أقسامها</w:t>
            </w:r>
            <w:r>
              <w:rPr>
                <w:rStyle w:val="IndexLink"/>
                <w:rtl w:val="true"/>
              </w:rPr>
              <w:tab/>
            </w:r>
            <w:r>
              <w:rPr>
                <w:rStyle w:val="IndexLink"/>
              </w:rPr>
              <w:t>36</w:t>
            </w:r>
          </w:hyperlink>
        </w:p>
        <w:p>
          <w:pPr>
            <w:pStyle w:val="Contents2"/>
            <w:tabs>
              <w:tab w:val="clear" w:pos="8743"/>
              <w:tab w:val="right" w:pos="9026" w:leader="dot"/>
            </w:tabs>
            <w:rPr/>
          </w:pPr>
          <w:hyperlink w:anchor="__RefHeading___Toc14060018_1280447820">
            <w:r>
              <w:rPr>
                <w:webHidden/>
                <w:rStyle w:val="IndexLink"/>
                <w:rtl w:val="true"/>
              </w:rPr>
              <w:t>المقدمة الثانية</w:t>
            </w:r>
            <w:r>
              <w:rPr>
                <w:rStyle w:val="IndexLink"/>
                <w:rtl w:val="true"/>
              </w:rPr>
              <w:t xml:space="preserve">: </w:t>
            </w:r>
            <w:r>
              <w:rPr>
                <w:rStyle w:val="IndexLink"/>
                <w:rtl w:val="true"/>
              </w:rPr>
              <w:t>الوثاقة</w:t>
            </w:r>
            <w:r>
              <w:rPr>
                <w:rStyle w:val="IndexLink"/>
                <w:rtl w:val="true"/>
              </w:rPr>
              <w:t>:</w:t>
              <w:tab/>
            </w:r>
            <w:r>
              <w:rPr>
                <w:rStyle w:val="IndexLink"/>
              </w:rPr>
              <w:t>38</w:t>
            </w:r>
          </w:hyperlink>
        </w:p>
        <w:p>
          <w:pPr>
            <w:pStyle w:val="Contents2"/>
            <w:tabs>
              <w:tab w:val="clear" w:pos="8743"/>
              <w:tab w:val="right" w:pos="9026" w:leader="dot"/>
            </w:tabs>
            <w:rPr/>
          </w:pPr>
          <w:hyperlink w:anchor="__RefHeading___Toc14060020_1280447820">
            <w:r>
              <w:rPr>
                <w:webHidden/>
                <w:rStyle w:val="IndexLink"/>
                <w:rtl w:val="true"/>
              </w:rPr>
              <w:t>الشهرة و أقسامها</w:t>
            </w:r>
            <w:r>
              <w:rPr>
                <w:rStyle w:val="IndexLink"/>
                <w:rtl w:val="true"/>
              </w:rPr>
              <w:tab/>
            </w:r>
            <w:r>
              <w:rPr>
                <w:rStyle w:val="IndexLink"/>
              </w:rPr>
              <w:t>39</w:t>
            </w:r>
          </w:hyperlink>
        </w:p>
        <w:p>
          <w:pPr>
            <w:pStyle w:val="Contents2"/>
            <w:tabs>
              <w:tab w:val="clear" w:pos="8743"/>
              <w:tab w:val="right" w:pos="9026" w:leader="dot"/>
            </w:tabs>
            <w:rPr/>
          </w:pPr>
          <w:hyperlink w:anchor="__RefHeading___Toc14060022_1280447820">
            <w:r>
              <w:rPr>
                <w:webHidden/>
                <w:rStyle w:val="IndexLink"/>
                <w:rtl w:val="true"/>
              </w:rPr>
              <w:t>الدليل على جابرية الشهرة العملية لضعف السند</w:t>
            </w:r>
            <w:r>
              <w:rPr>
                <w:rStyle w:val="IndexLink"/>
                <w:rtl w:val="true"/>
              </w:rPr>
              <w:t>:</w:t>
              <w:tab/>
            </w:r>
            <w:r>
              <w:rPr>
                <w:rStyle w:val="IndexLink"/>
              </w:rPr>
              <w:t>40</w:t>
            </w:r>
          </w:hyperlink>
        </w:p>
        <w:p>
          <w:pPr>
            <w:pStyle w:val="Contents2"/>
            <w:tabs>
              <w:tab w:val="clear" w:pos="8743"/>
              <w:tab w:val="right" w:pos="9026" w:leader="dot"/>
            </w:tabs>
            <w:rPr/>
          </w:pPr>
          <w:hyperlink w:anchor="__RefHeading___Toc14060024_1280447820">
            <w:r>
              <w:rPr>
                <w:webHidden/>
                <w:rStyle w:val="IndexLink"/>
                <w:rtl w:val="true"/>
              </w:rPr>
              <w:t>النتيجة</w:t>
            </w:r>
            <w:r>
              <w:rPr>
                <w:rStyle w:val="IndexLink"/>
                <w:rtl w:val="true"/>
              </w:rPr>
              <w:t>:</w:t>
              <w:tab/>
            </w:r>
            <w:r>
              <w:rPr>
                <w:rStyle w:val="IndexLink"/>
              </w:rPr>
              <w:t>41</w:t>
            </w:r>
          </w:hyperlink>
        </w:p>
        <w:p>
          <w:pPr>
            <w:pStyle w:val="Contents2"/>
            <w:tabs>
              <w:tab w:val="clear" w:pos="8743"/>
              <w:tab w:val="right" w:pos="9026" w:leader="dot"/>
            </w:tabs>
            <w:rPr/>
          </w:pPr>
          <w:hyperlink w:anchor="__RefHeading___Toc14060026_1280447820">
            <w:r>
              <w:rPr>
                <w:webHidden/>
                <w:rStyle w:val="IndexLink"/>
                <w:rtl w:val="true"/>
              </w:rPr>
              <w:t>القول بالحرمة ومن قال به من العلماء بحسب ما توفر لدي من مصادر</w:t>
            </w:r>
            <w:r>
              <w:rPr>
                <w:rStyle w:val="IndexLink"/>
                <w:rtl w:val="true"/>
              </w:rPr>
              <w:t>:</w:t>
              <w:tab/>
            </w:r>
            <w:r>
              <w:rPr>
                <w:rStyle w:val="IndexLink"/>
              </w:rPr>
              <w:t>41</w:t>
            </w:r>
          </w:hyperlink>
        </w:p>
        <w:p>
          <w:pPr>
            <w:pStyle w:val="Contents2"/>
            <w:tabs>
              <w:tab w:val="clear" w:pos="8743"/>
              <w:tab w:val="right" w:pos="9026" w:leader="dot"/>
            </w:tabs>
            <w:rPr/>
          </w:pPr>
          <w:hyperlink w:anchor="__RefHeading___Toc14060028_1280447820">
            <w:r>
              <w:rPr>
                <w:webHidden/>
                <w:rStyle w:val="IndexLink"/>
                <w:rtl w:val="true"/>
              </w:rPr>
              <w:t>القول بالحلية ومن قال به من العلماء بحسب ما توفر لدي من مصادر</w:t>
            </w:r>
            <w:r>
              <w:rPr>
                <w:rStyle w:val="IndexLink"/>
                <w:rtl w:val="true"/>
              </w:rPr>
              <w:t>:</w:t>
              <w:tab/>
            </w:r>
            <w:r>
              <w:rPr>
                <w:rStyle w:val="IndexLink"/>
              </w:rPr>
              <w:t>43</w:t>
            </w:r>
          </w:hyperlink>
        </w:p>
        <w:p>
          <w:pPr>
            <w:pStyle w:val="Contents2"/>
            <w:tabs>
              <w:tab w:val="clear" w:pos="8743"/>
              <w:tab w:val="right" w:pos="9026" w:leader="dot"/>
            </w:tabs>
            <w:rPr/>
          </w:pPr>
          <w:hyperlink w:anchor="__RefHeading___Toc14060030_1280447820">
            <w:r>
              <w:rPr>
                <w:webHidden/>
                <w:rStyle w:val="IndexLink"/>
                <w:rtl w:val="true"/>
              </w:rPr>
              <w:t>المصادر والمراجع</w:t>
            </w:r>
            <w:r>
              <w:rPr>
                <w:rStyle w:val="IndexLink"/>
                <w:rtl w:val="true"/>
              </w:rPr>
              <w:tab/>
            </w:r>
            <w:r>
              <w:rPr>
                <w:rStyle w:val="IndexLink"/>
              </w:rPr>
              <w:t>46</w:t>
            </w:r>
          </w:hyperlink>
        </w:p>
        <w:p>
          <w:pPr>
            <w:pStyle w:val="Contents2"/>
            <w:tabs>
              <w:tab w:val="clear" w:pos="8743"/>
              <w:tab w:val="right" w:pos="9026" w:leader="dot"/>
            </w:tabs>
            <w:rPr/>
          </w:pPr>
          <w:hyperlink w:anchor="__RefHeading___Toc14060032_1280447820">
            <w:r>
              <w:rPr>
                <w:webHidden/>
                <w:rStyle w:val="IndexLink"/>
                <w:rtl w:val="true"/>
              </w:rPr>
              <w:t>الفهرس</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19_204133"/>
      <w:bookmarkStart w:id="1" w:name="pg18719_204133"/>
      <w:bookmarkEnd w:id="1"/>
    </w:p>
    <w:p>
      <w:pPr>
        <w:pStyle w:val="Heading2"/>
        <w:numPr>
          <w:ilvl w:val="1"/>
          <w:numId w:val="1"/>
        </w:numPr>
        <w:rPr/>
      </w:pPr>
      <w:bookmarkStart w:id="2" w:name="pg18719_204133"/>
      <w:bookmarkStart w:id="3" w:name="__RefHeading___Toc1405999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رسالة في حکم أکل الطاووس</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علي غانم الشويلي</w:t>
      </w:r>
    </w:p>
    <w:p>
      <w:pPr>
        <w:pStyle w:val="BookText"/>
        <w:rPr/>
      </w:pPr>
      <w:r>
        <w:rPr>
          <w:rFonts w:ascii="Amiri" w:hAnsi="Amiri" w:eastAsia="Amiri" w:cs="Amiri"/>
          <w:color w:val="111111"/>
          <w:sz w:val="28"/>
          <w:sz w:val="28"/>
          <w:szCs w:val="28"/>
          <w:rtl w:val="true"/>
          <w:lang w:bidi="ar-SA"/>
        </w:rPr>
        <w:t>كلمات للطباعة و النشر و 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5999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18719_204137"/>
    </w:p>
    <w:p>
      <w:pPr>
        <w:pStyle w:val="Heading2"/>
        <w:numPr>
          <w:ilvl w:val="1"/>
          <w:numId w:val="1"/>
        </w:numPr>
        <w:rPr/>
      </w:pPr>
      <w:bookmarkStart w:id="8" w:name="__RefHeading___Toc14059998_1280447820"/>
      <w:bookmarkStart w:id="9" w:name="_Toc3"/>
      <w:bookmarkEnd w:id="7"/>
      <w:bookmarkEnd w:id="8"/>
      <w:r>
        <w:rPr>
          <w:rtl w:val="true"/>
        </w:rPr>
        <w:t>الإهداء</w:t>
      </w:r>
      <w:r>
        <w:rPr>
          <w:rtl w:val="true"/>
        </w:rPr>
        <w:t>:</w:t>
      </w:r>
      <w:bookmarkEnd w:id="9"/>
    </w:p>
    <w:p>
      <w:pPr>
        <w:pStyle w:val="BookText"/>
        <w:rPr/>
      </w:pPr>
      <w:r>
        <w:rPr>
          <w:rFonts w:ascii="IRNazanin" w:hAnsi="IRNazanin" w:eastAsia="IRNazanin"/>
          <w:color w:val="111111"/>
          <w:sz w:val="28"/>
          <w:sz w:val="28"/>
          <w:szCs w:val="28"/>
          <w:rtl w:val="true"/>
          <w:lang w:bidi="fa-IR"/>
        </w:rPr>
        <w:t xml:space="preserve">إلى الأملِ الموعود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أملِ السماءِ قبل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أملِ الأنبياء قبل الشعوب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سليلِ عليٍّ وفاطمة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الطالبِ بدماءِ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الإمام المهديِّ الحجّةِ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719_204141"/>
      <w:bookmarkStart w:id="11" w:name="pg18719_204141"/>
      <w:bookmarkEnd w:id="11"/>
    </w:p>
    <w:p>
      <w:pPr>
        <w:pStyle w:val="Heading2"/>
        <w:numPr>
          <w:ilvl w:val="1"/>
          <w:numId w:val="1"/>
        </w:numPr>
        <w:rPr/>
      </w:pPr>
      <w:bookmarkStart w:id="12" w:name="pg18719_204141"/>
      <w:bookmarkStart w:id="13" w:name="__RefHeading___Toc14060000_1280447820"/>
      <w:bookmarkStart w:id="14" w:name="_Toc4"/>
      <w:bookmarkEnd w:id="12"/>
      <w:bookmarkEnd w:id="13"/>
      <w:r>
        <w:rPr>
          <w:rtl w:val="true"/>
        </w:rPr>
        <w:t>مقدمة المؤلف</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ثقتي</w:t>
      </w:r>
    </w:p>
    <w:p>
      <w:pPr>
        <w:pStyle w:val="BookText"/>
        <w:rPr/>
      </w:pPr>
      <w:r>
        <w:rPr>
          <w:rFonts w:ascii="Amiri" w:hAnsi="Amiri" w:eastAsia="Amiri" w:cs="Amiri"/>
          <w:color w:val="111111"/>
          <w:sz w:val="28"/>
          <w:sz w:val="28"/>
          <w:szCs w:val="28"/>
          <w:rtl w:val="true"/>
          <w:lang w:bidi="ar-SA"/>
        </w:rPr>
        <w:t>الحمد لله رب العالمين بارئ الخلائق أجمعين وباعث الأنبياء والمرسلين الذي بعد فلا يرى وقرب فشهد النجوى تبارك وتعالى، ثم الصلاة والسلام على أشرف خلقه وبريته سيدنا ونبينا وحبيب قلوبنا وطبيب نفوسنا وشفيع ذنوبنا العبد المؤيد والرسول المسدد المصطفى الأمجد المحمود الأحمد حبيب إله العالمين أبي القاسم محمد صلى الله عليه وعلى أهل بيته الطيبين الطاهرين المعصومين 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رسالة مختصرة في بيان حكم أكل الطاووس، وأسأل الله تبارك وتعالى أن يكون هذا العمل خالصاً لوجهه الكريم، كما أرجو من الله عز وجل أن يكون ما كتبته نافعاً ومفيداً وأن يؤدي الغرض المنشود وعساه أن يسد فراغاً في مكتباتنا، وأخيراً أتوجه إلى العلي القدير في أن أكون قد وفقت في ما كتبت وإذا كان فيه شيء من النقص والخلل والتقصير فإن ذلك من طبيعة </w:t>
      </w:r>
    </w:p>
    <w:p>
      <w:pPr>
        <w:pStyle w:val="BookText"/>
        <w:rPr/>
      </w:pPr>
      <w:r>
        <w:rPr>
          <w:rFonts w:ascii="Amiri" w:hAnsi="Amiri" w:eastAsia="Amiri" w:cs="Amiri"/>
          <w:color w:val="111111"/>
          <w:sz w:val="28"/>
          <w:sz w:val="28"/>
          <w:szCs w:val="28"/>
          <w:rtl w:val="true"/>
          <w:lang w:bidi="ar-SA"/>
        </w:rPr>
        <w:t>عمل البشر؛ لأنَّ الكمال لله وحده والعصمة لأهلها، وآخر دعوانا أن الحمد لله ربِّ العالمين،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غانم الشويلي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النجف الأشرف حاضرة العلم والعلماء </w:t>
      </w:r>
      <w:bookmarkStart w:id="15" w:name="pg18719_20414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4060002_1280447820"/>
      <w:bookmarkStart w:id="17" w:name="_Toc5"/>
      <w:bookmarkEnd w:id="15"/>
      <w:bookmarkEnd w:id="16"/>
      <w:r>
        <w:rPr>
          <w:rtl w:val="true"/>
        </w:rPr>
        <w:t xml:space="preserve">الفصل الأول </w:t>
      </w:r>
      <w:r>
        <w:rPr>
          <w:rtl w:val="true"/>
        </w:rPr>
        <w:t xml:space="preserve">: </w:t>
      </w:r>
      <w:r>
        <w:rPr>
          <w:rtl w:val="true"/>
        </w:rPr>
        <w:t>التعريف بالطاووس</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الطاووس </w:t>
      </w:r>
      <w:r>
        <w:rPr>
          <w:rFonts w:eastAsia="Times New Roman" w:cs="Times New Roman" w:ascii="Times New Roman" w:hAnsi="Times New Roman"/>
          <w:color w:val="111111"/>
          <w:sz w:val="28"/>
          <w:szCs w:val="28"/>
          <w:lang w:val="en-US" w:bidi="en-US"/>
        </w:rPr>
        <w:t>Peacock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الطاووس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طوَاوِيسُ ، و أَطْوَاسٌ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الطَّاووسُ في اللغة على الأَرضِ المخضَرَّةُ ، والتي فيها كلُ ضَرْبِ من النَّبْتِ أَو الوَرْدِ، وأيضاً يطلق على الجميلُ من الناس ونحوهم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ولذا جاء في الأثر الشريف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rtl w:val="true"/>
          <w:lang w:bidi="ar-SA"/>
        </w:rPr>
        <w:t>»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لشدة جماله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والاسم العلمي للطاووس هو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pavo</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اسم نوع من الطيور تحت فصيلة التدرجية من رتبة الدجاجيات، وهي من أجمل الطيور فالذكر يمكنه نشر ريشه إلى الخلف في شكل مروحة جميلة طولها نحو خمس مرات طول جسم الطاووس</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8719_204147"/>
      <w:bookmarkStart w:id="19" w:name="pg18719_204147"/>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pg18719_204147"/>
      <w:bookmarkStart w:id="21" w:name="__RefHeading___Toc14060004_1280447820"/>
      <w:bookmarkStart w:id="22" w:name="_Toc6"/>
      <w:bookmarkEnd w:id="20"/>
      <w:bookmarkEnd w:id="21"/>
      <w:r>
        <w:rPr>
          <w:rtl w:val="true"/>
        </w:rPr>
        <w:t xml:space="preserve">الفصل الثاني </w:t>
      </w:r>
      <w:r>
        <w:rPr>
          <w:rtl w:val="true"/>
        </w:rPr>
        <w:t xml:space="preserve">: </w:t>
      </w:r>
      <w:r>
        <w:rPr>
          <w:rtl w:val="true"/>
        </w:rPr>
        <w:t>في بيان حكم الطاووس</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8719_204149"/>
      <w:bookmarkStart w:id="24" w:name="pg18719_204149"/>
      <w:bookmarkEnd w:id="24"/>
    </w:p>
    <w:p>
      <w:pPr>
        <w:pStyle w:val="BookText"/>
        <w:rPr/>
      </w:pPr>
      <w:bookmarkStart w:id="25" w:name="pg18719_204149"/>
      <w:bookmarkEnd w:id="25"/>
      <w:r>
        <w:rPr>
          <w:rFonts w:ascii="Amiri" w:hAnsi="Amiri" w:eastAsia="Amiri" w:cs="Amiri"/>
          <w:color w:val="111111"/>
          <w:sz w:val="28"/>
          <w:sz w:val="28"/>
          <w:szCs w:val="28"/>
          <w:rtl w:val="true"/>
          <w:lang w:bidi="ar-SA"/>
        </w:rPr>
        <w:t xml:space="preserve">ذكرت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أهمَ شيءٍ في منهجية الاستنباط المسألة المراد معرفة حكمها في أي قسم من أقسام الشبهات هي، هل هي من أقسام الشبهة الحكمية أم المفهومية أم المصداقية؟</w:t>
      </w:r>
    </w:p>
    <w:p>
      <w:pPr>
        <w:pStyle w:val="BookText"/>
        <w:rPr/>
      </w:pPr>
      <w:r>
        <w:rPr>
          <w:rFonts w:ascii="Amiri" w:hAnsi="Amiri" w:eastAsia="Amiri" w:cs="Amiri"/>
          <w:color w:val="111111"/>
          <w:sz w:val="28"/>
          <w:sz w:val="28"/>
          <w:szCs w:val="28"/>
          <w:rtl w:val="true"/>
          <w:lang w:bidi="ar-SA"/>
        </w:rPr>
        <w:t>فكما درسنا في علم المنطق مواجهة المشكل معرفة نوع المشكل، فكذلك الكلام في منهجية الاستنباط مواجهة الشبهة، معرفة وتشخيص نوع الشبهة؛ لأن تشخيص ومعرفة نوع الشبهة وفي أي قسم من أقسام الشبهات هي أمرٌ مهم جداً؛ لأن لكل شبهةٍ من الشبهات أسباب ولها طرق علاج لرفع تلك الشبهة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14060006_1280447820"/>
      <w:bookmarkStart w:id="27" w:name="_Toc7"/>
      <w:bookmarkEnd w:id="26"/>
      <w:r>
        <w:rPr>
          <w:rtl w:val="true"/>
        </w:rPr>
        <w:t>حكم أكل الطاووس</w:t>
      </w:r>
      <w:r>
        <w:rPr>
          <w:rtl w:val="true"/>
        </w:rPr>
        <w:t>:</w:t>
      </w:r>
      <w:bookmarkEnd w:id="27"/>
    </w:p>
    <w:p>
      <w:pPr>
        <w:pStyle w:val="BookText"/>
        <w:rPr/>
      </w:pPr>
      <w:r>
        <w:rPr>
          <w:rFonts w:ascii="Amiri" w:hAnsi="Amiri" w:eastAsia="Amiri" w:cs="Amiri"/>
          <w:color w:val="111111"/>
          <w:sz w:val="28"/>
          <w:sz w:val="28"/>
          <w:szCs w:val="28"/>
          <w:rtl w:val="true"/>
          <w:lang w:bidi="ar-SA"/>
        </w:rPr>
        <w:t>لمعرفة حكم أكل الطاووس علينا اتباع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تشخيص نوع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منهجية الاستنباط مواجهة الشبهة معرفة نوع الشبهة – أي تشخيصها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والشبهة هنا شبهة حكمية؛ وذلك لوضوح مفهوم ومصداق الطاووس، أما الأمر المشتبه والغير واضح هنا هو الحكم فما هو حكم الطاووس هل يجوز أكله أم 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معالجة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منهجية الاستنباط أبحث عن كاشف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أجد فأبحث عن كاشف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bookmarkStart w:id="28" w:name="pg18719_204150"/>
    </w:p>
    <w:p>
      <w:pPr>
        <w:pStyle w:val="BookText"/>
        <w:rPr/>
      </w:pPr>
      <w:bookmarkEnd w:id="28"/>
      <w:r>
        <w:rPr>
          <w:rFonts w:ascii="Amiri" w:hAnsi="Amiri" w:eastAsia="Amiri" w:cs="Amiri"/>
          <w:color w:val="111111"/>
          <w:sz w:val="28"/>
          <w:sz w:val="28"/>
          <w:szCs w:val="28"/>
          <w:rtl w:val="true"/>
          <w:lang w:bidi="ar-SA"/>
        </w:rPr>
        <w:t>فإن لم أجد أبحث عن أصل لفظي منقح من دليل عام فإن لم أجد أبحث عن أصل عملي</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4060008_1280447820"/>
      <w:bookmarkStart w:id="30" w:name="_Toc8"/>
      <w:bookmarkEnd w:id="29"/>
      <w:r>
        <w:rPr>
          <w:rtl w:val="true"/>
        </w:rPr>
        <w:t>الأصل المؤمن في المسألة</w:t>
      </w:r>
      <w:r>
        <w:rPr>
          <w:rtl w:val="true"/>
        </w:rPr>
        <w:t>:</w:t>
      </w:r>
      <w:bookmarkEnd w:id="30"/>
    </w:p>
    <w:p>
      <w:pPr>
        <w:pStyle w:val="BookText"/>
        <w:rPr/>
      </w:pPr>
      <w:r>
        <w:rPr>
          <w:rFonts w:ascii="Amiri" w:hAnsi="Amiri" w:eastAsia="Amiri" w:cs="Amiri"/>
          <w:color w:val="111111"/>
          <w:sz w:val="28"/>
          <w:sz w:val="28"/>
          <w:szCs w:val="28"/>
          <w:rtl w:val="true"/>
          <w:lang w:bidi="ar-SA"/>
        </w:rPr>
        <w:t>لا شك ولا ريب بأن الأصل المؤمن في هذه المسألة هو أصالة الحلية وجواز أكل الطاووس؛ وذلك للشك في التحريم إلا أن يدل دليل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وتعالى في محكم كتابه المجيد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سنان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لَكَ حَلَالٌ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البحث في تقويم</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مشيخة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فيه عن الحسن بن محبوب فقد رويته عن محمد بن موسى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الحميري وسعد ابن عبد الله عن أحمد بن محمد بن عيسى عن الحسن بن محبوب</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 لم </w:t>
      </w:r>
    </w:p>
    <w:p>
      <w:pPr>
        <w:pStyle w:val="BookText"/>
        <w:rPr/>
      </w:pPr>
      <w:r>
        <w:rPr>
          <w:rFonts w:ascii="IRNazanin" w:hAnsi="IRNazanin" w:eastAsia="IRNazanin"/>
          <w:color w:val="111111"/>
          <w:sz w:val="28"/>
          <w:sz w:val="28"/>
          <w:szCs w:val="28"/>
          <w:rtl w:val="true"/>
          <w:lang w:bidi="fa-IR"/>
        </w:rPr>
        <w:t xml:space="preserve">يروعنهم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عبد الله بن جعفر الحميري، روى عنه ابن بابويه</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أكثر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عنه، وادّعى السيد ابن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على وثاقته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السيد ابن طاووس تكشف على الأقل عن شهادة واحد من القدماء بوثاقة ذلك الشخص، وذلك يكفي في ثبوتالتوثيق</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القميين ووجههم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الطائفة وفقيهها ووجهها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جليل القدر، واسع الأخبار، كثير التصنيف، ثقة</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بهذا العنوان في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شيخ القميين ووجههم وفقيههم، غير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بعنوان أحمد بن محمد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الفقهاء الذين أجمع أصحابنا على تصحيح ما يصحّ عنهم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أصحابنا على تصحيح ما يصحّ عن هؤلاء وتصديقهم، وأقرّوا لهم بالفقه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ستّة نفر أُخردون الستّة نفر الذين ذكرناهم 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يونس بن عبد الرحمن، وصفوان بن يحيى بياع السابري، ومحمّد بن أبي عمير، وعبد الله بن المغيرة، والحسن بن محبوب، وأحمد بن محمّد بن أبي نصر</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جليل القدر، يعدّ في الأركان الأربعة في عصره</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ووثّقه في رجال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1" w:name="pg18719_204154"/>
    </w:p>
    <w:p>
      <w:pPr>
        <w:pStyle w:val="BookText"/>
        <w:rPr/>
      </w:pPr>
      <w:bookmarkEnd w:id="31"/>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من أصحابنا، جليل، لا يطعن عليه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الصلاة وغيرها، روى هذه الكتب عنه جماعات من أصحابنا لعظمه في الطائفة وثقته وجلالته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له كتاب رواه جماعة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تقويم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بملاحظة مجموع السند وتطبيق قواعد علمي الرجال والدراية عليه يعلم أن الرواية صحيحة السند؛ لأن جميع رواتها إمامية عدول يوجد عليهم نص بالوثاقة</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4060010_1280447820"/>
      <w:bookmarkStart w:id="33" w:name="_Toc9"/>
      <w:bookmarkEnd w:id="32"/>
      <w:r>
        <w:rPr>
          <w:rtl w:val="true"/>
        </w:rPr>
        <w:t>توجيه الاستدلال بالرواية على المطلوب</w:t>
      </w:r>
      <w:r>
        <w:rPr>
          <w:rtl w:val="true"/>
        </w:rPr>
        <w:t>:</w:t>
      </w:r>
      <w:bookmarkEnd w:id="33"/>
    </w:p>
    <w:p>
      <w:pPr>
        <w:pStyle w:val="BookText"/>
        <w:rPr/>
      </w:pPr>
      <w:r>
        <w:rPr>
          <w:rFonts w:ascii="Amiri" w:hAnsi="Amiri" w:eastAsia="Amiri" w:cs="Amiri"/>
          <w:color w:val="111111"/>
          <w:sz w:val="28"/>
          <w:sz w:val="28"/>
          <w:szCs w:val="28"/>
          <w:rtl w:val="true"/>
          <w:lang w:bidi="ar-SA"/>
        </w:rPr>
        <w:t>الرواية من حيث السند تامة ومن حيث الدلالة تدلّ على أنّ كلَّ شيْءٍ كان مشتبهاً به بين الحلّيّة والحرمة يحمل على الحلّيّة فالدلالة تامة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بعد ثبوت الأصل المؤمن وهو حلّيّة كل ما في الأرض، كان التحريم هو الذي يحتاج إلى دليل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فأبحث عن كواشف كآية قرآنية أو رواية كنص خاص على تحريم أكل الطاووس؛ لأن الجواز في 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فأجد روايات تدل على التحريم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جعفر</w:t>
      </w:r>
    </w:p>
    <w:p>
      <w:pPr>
        <w:pStyle w:val="BookText"/>
        <w:rPr/>
      </w:pPr>
      <w:r>
        <w:rPr>
          <w:rFonts w:ascii="Amiri" w:hAnsi="Amiri" w:eastAsia="Amiri" w:cs="Amiri"/>
          <w:color w:val="111111"/>
          <w:sz w:val="28"/>
          <w:sz w:val="28"/>
          <w:szCs w:val="28"/>
          <w:rtl w:val="true"/>
          <w:lang w:bidi="ar-SA"/>
        </w:rPr>
        <w:t xml:space="preserve">روى الشيخ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عِدَّةٍ مِنْ أَصْحَابِنَا عَنْ أَحْمَدَ بْنِ مُحَمَّدِ بْنِ خَالِدٍ عَنْ بَكْرِ بْنِ صَالِحٍ عَنْ سُلَيْمَانَ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الطَّاوُسُ لَا يَحِلُّ أَكْلُهُ وَلَا بَيْضُهُ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في تقويم رجال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في وقته بالرّي، ووجههم، وكان أوثق النّاس في الحديث وأثبتهم</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عارف بالأخبار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أيضا في رجاله في باب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القدر، عالم بالأخبار</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ذكرته في كتابي المشار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البرقي 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عبد الله بن أذينة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عبد الله بن أمية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وثاقة أحد رجال العدة ولنأخذ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في الحديث، ثبت، معتمد، صحيح المذهب</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نفسه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إبراهيم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جعفر بن إبراهيم الجعفري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أبوه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وكانا ثقتين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له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نتيجة تقويم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بملاحظة مجموع السند وتطبيق قواعد علمي الرجال والدراية عليه يعلم أن الرواية ضعيفة السند؛ لوقوع بكر بن صالح في السند وقد ضعف من قبل الشيخ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عَلِيِّ بْنِ الْحُسَيْنِ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مُسْلِمٍ أنه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لُحُومِ الْخَيْلِ وَ الدَّوَابِّ وَ الْبِغَالِ وَ الْحَمِيرِ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حَلَالٌ وَلَكِنَّ النَّاسَ يَعَافُونَهَا وَ إِنَّمَا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لُحُومِ الْحُمُرِ الْإِنْسِيَّةِ بِخَيْبَرَ لِئَلَّا تَفْنَى ظُهُورُهَا وَكَانَ ذَلِكَ نَهْيَ كَرَاهَةٍ لَا نَهْيَ تَحْرِيمٍ وَلَا بَأْسَ بِأَكْلِ لُحُومِ الْحُمُرِ الْوَحْشِيَّةِ وَ لَابَأْسَ بِأَكْلِ الْآمِصِ وَ هُوَ الْيَحَامِيرُ وَ لَا بَأْسَ بِأَلْبَانِ الْأُتُنِ وَ الشِّيرَازِ الْمُتَّخَذِ مِنْهَا وَ لَا يَجُوزُ أَكْلُ شَيْءٍ مِنَ الْمُسُوخِ وَ هِيَ الْقِرَدَةُ وَ الْخِنْزِيرُ وَ الْكَلْبُ وَ الْفِيلُ </w:t>
      </w:r>
    </w:p>
    <w:p>
      <w:pPr>
        <w:pStyle w:val="BookText"/>
        <w:rPr/>
      </w:pPr>
      <w:r>
        <w:rPr>
          <w:rFonts w:ascii="Amiri" w:hAnsi="Amiri" w:eastAsia="Amiri" w:cs="Amiri"/>
          <w:color w:val="111111"/>
          <w:sz w:val="28"/>
          <w:sz w:val="28"/>
          <w:szCs w:val="28"/>
          <w:rtl w:val="true"/>
          <w:lang w:bidi="ar-SA"/>
        </w:rPr>
        <w:t>وَالذِّئْبُ وَ الْفَأْرَةُ وَالْأَرْنَبُ وَالضَّبُّ وَالطَّاوُسُ وَالنَّعَامَةُ وَالدُّعْمُوصُ وَالْجِرِّيُّ وَالسَّرَطَانُ وَالسُّلَحْفَاةُ وَالْوَطْوَاطُ وَالْبَقْعَاءُ وَالثَّعْلَبُ وَالدُّبُّ وَالْيَرْبُوعُ وَالْقُنْفُذُ مُسُوخٌ لَا يَجُوزُ أَكْلُهَا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في تقويم رجال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مشيخة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فيه عن محمد بن مسلم الثقفي فقد رويته عن علي بن أحمد بن عبد الله بن أحمد بن أبي عبد الله عن أبيه عن جده أحمد بن أبي عبد الله البرقي عن أبيه محمد بن خالد عن العلا بن رزين عن محمد بن مسلم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الْحُسَيْنِ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وفقيهنا، ووجه الطائفة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القدر، يكنّى أبا جعفر، كان جليلاً حافظاً للأحاديث، بصيراً بالرجال، ناقداً للأخبار، لم يُر في القميين مثله في حفظه وكثرة علمه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 الله ابن أحمد بن 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مشايخ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في الفقيه والعيون والتوحيد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ابن أحمد بن 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جده أحمد بن أبي عبد الله البرقي، ذكره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المشيخة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النجاشي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نفسه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ضعيفاً في الحديث، وكان أديباً، حسن المعرفة بالأخبار وعلوم العرب</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وأعتقد أن سبب تضعيف الشيخ النجاشي لمحمد هو ما ذكره ابن الغضائري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يروي عن الضعفاء كثيراً، ويعتمد المراسيل</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وثقه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أبي الحسن </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ثقة، وجهاً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جليل القدر</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رباح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أصحابنا بالكوفة، فقيه ورع، صحب أبا جعفر وأبا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أوثق الناس</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تقويم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بملاحظة مجموع السند وتطبيق قواعد علمي الرجال والدراية عليه يعلم أن الرواية ضعيفة السند؛ لاشتمال السند على بعض الرواة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 الجعفري أنه من المسوخ</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عِدَّةٍ مِنْ أَصْحَابِنَا عَنْ أَحْمَدَ بْنِ مُحَمَّدِ بْنِ خَالِدٍ عَنْ بَكْرِ بْنِ صَالِحٍ عَنْ سُلَيْمَانَ </w:t>
      </w:r>
    </w:p>
    <w:p>
      <w:pPr>
        <w:pStyle w:val="BookText"/>
        <w:rPr/>
      </w:pPr>
      <w:r>
        <w:rPr>
          <w:rFonts w:ascii="Amiri" w:hAnsi="Amiri" w:eastAsia="Amiri" w:cs="Amiri"/>
          <w:color w:val="111111"/>
          <w:sz w:val="28"/>
          <w:sz w:val="28"/>
          <w:szCs w:val="28"/>
          <w:rtl w:val="true"/>
          <w:lang w:bidi="ar-SA"/>
        </w:rPr>
        <w:t xml:space="preserve">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الطَّاوُسُ مَسْخٌ كَانَ رَجُلًا جَمِيلًا فَكَابَرَ امْرَأَةَ رَجُلٍ مُؤْمِنٍ تُحِبُّهُ فَوَقَعَ بِهَا ثُمَّ رَاسَلَتْهُ بَعْدُ فَمَسَخَهُمَا اللَّهُ طَاوُسَيْنِ أُنْثَى وَ ذَكَراً فَلَا تَأْكُلْ لَحْمَهُ وَ لَا بَيْضَهُ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في تقويم رجال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الكلام حول تقويم رجال سند هذه الرواية في الرواية الأولى؛ لأنها مروية بنفس الاسناد وكانت نتيجة تقويم السند، هو القول بضعف الرواية؛ لوقوع بكر بن صالح في السند وقد ضعف من قبل الشيخ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ذلك في عدة 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الْحُسَيْنِ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إبراهيم عَنْ أَبِيهِ عَنْ عَمْرِو بْنِ عُثْمَانَ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أَكْلُ لَحْمِ الْفِيلِ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فَقُلْتُ لِمَ قَالَ لِأَنَّهُ مَثُلَةٌ وَ قَدْ حَرَّمَ اللَّهُ لُحُومَ الْأَمْسَاخِ وَ لَحْمَ مَا مُثِّلَ بِهِ فِي صُوَرِهَا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في تقويم رجال السند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تقويمه في سند الرواية الأولى وكانت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ثقة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أيضاً تقويمه في سند الرواية الأولى وكانت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ثقة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إسحاق القُمي، له كتب، أوّل من نشر حديثالكوفيين بقم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ذكروا أنه لقي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كتب</w:t>
      </w:r>
      <w:r>
        <w:rPr>
          <w:rFonts w:eastAsia="IRNazanin" w:cs="IRNazanin"/>
          <w:color w:val="111111"/>
          <w:sz w:val="28"/>
          <w:szCs w:val="28"/>
          <w:rtl w:val="true"/>
          <w:lang w:bidi="fa-IR"/>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ووثقه أيضاً السيد ابن طاووس، بل ادعى الا تّفاق بين الأصحاب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فيما سبق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بأن دعوى السيد ابن طاووس تكشف على الأقل عن شهادة واحد من القدماء بوثاقة ذلك الشخص، وذلك يكفي في ثبوت التوثيق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في المقام عدة قرائن تساعد على القول بوثاقته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شيخوخة الإجازة؛ لأن ابنه الشيخ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الرواية عنه، بل أكثر روايته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اسمه في أسانيد كتاب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اسمه أيضاً في أسانيد كتاب كامل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نقل حديث الكوفيين إلى مدينة قم المعروفة بتشددها، وأنها أخرجت بعض الرواة الثقات كالبرقي؛ لأنه يروي الروايات المرسلة والأخبار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المعاريف، ولم يرد في حقه 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رواياته </w:t>
      </w:r>
      <w:r>
        <w:rPr>
          <w:rFonts w:eastAsia="Amiri" w:cs="Amiri" w:ascii="Amiri" w:hAnsi="Amiri"/>
          <w:color w:val="111111"/>
          <w:sz w:val="28"/>
          <w:szCs w:val="28"/>
          <w:lang w:bidi="ar-SA"/>
        </w:rPr>
        <w:t>6414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ولا يوجد في الرواة مثله في كثرة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اتضح من مجموع ما ذكرناه من قرائن القول بوثاقته وكونه إمامي ثقة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اسمه في أسانيد كتاب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اسمه في أسانيد كتاب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تقويم السند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بملاحظة مجموع السند وتطبيق قواعد علمي الرجال والدراية عليه يعلم </w:t>
      </w:r>
    </w:p>
    <w:p>
      <w:pPr>
        <w:pStyle w:val="BookText"/>
        <w:rPr/>
      </w:pPr>
      <w:r>
        <w:rPr>
          <w:rFonts w:ascii="Amiri" w:hAnsi="Amiri" w:eastAsia="Amiri" w:cs="Amiri"/>
          <w:color w:val="111111"/>
          <w:sz w:val="28"/>
          <w:sz w:val="28"/>
          <w:szCs w:val="28"/>
          <w:rtl w:val="true"/>
          <w:lang w:bidi="ar-SA"/>
        </w:rPr>
        <w:t>أن الرواية صحيحة السند بناءً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إبراهيم عَنْ أَبِيهِ عَنِ ابْنِ مَحْبُوبٍ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اللَّهُ وَ رَسُولُهُ الْمُسُوخَ جَمِيعاً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في تقويم رجال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تقويمه في سند الرواية الأولى وكانت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ثقة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أيضاً تقويمه في سند الرواية الأولى وكانت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ثقة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تقويمه في سند الرواية السابقة وكانت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ثقة جليل بناءً على 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تقويمه في صحيحة عبد الله بن سنان الدالة على أصالة الحلية </w:t>
      </w:r>
      <w:bookmarkStart w:id="34" w:name="pg18719_204165"/>
    </w:p>
    <w:p>
      <w:pPr>
        <w:pStyle w:val="BookText"/>
        <w:rPr/>
      </w:pPr>
      <w:bookmarkEnd w:id="34"/>
      <w:r>
        <w:rPr>
          <w:rFonts w:ascii="Amiri" w:hAnsi="Amiri" w:eastAsia="Amiri" w:cs="Amiri"/>
          <w:color w:val="111111"/>
          <w:sz w:val="28"/>
          <w:sz w:val="28"/>
          <w:szCs w:val="28"/>
          <w:rtl w:val="true"/>
          <w:lang w:bidi="ar-SA"/>
        </w:rPr>
        <w:t>وكانت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ثقة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ونسبة الوقف إليه غير صحيح، وقع في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تقويم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بملاحظة مجموع السند وتطبيق قواعد علمي الرجال والدراية عليه يعلم أن الرواية صحيحة السند بناءً على التحقيق</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4060012_1280447820"/>
      <w:bookmarkStart w:id="36" w:name="_Toc10"/>
      <w:bookmarkEnd w:id="35"/>
      <w:r>
        <w:rPr>
          <w:rtl w:val="true"/>
        </w:rPr>
        <w:t>مقتضى التحقيق في المسألة</w:t>
      </w:r>
      <w:bookmarkEnd w:id="36"/>
    </w:p>
    <w:p>
      <w:pPr>
        <w:pStyle w:val="BookText"/>
        <w:rPr/>
      </w:pPr>
      <w:r>
        <w:rPr>
          <w:rFonts w:ascii="Amiri" w:hAnsi="Amiri" w:eastAsia="Amiri" w:cs="Amiri"/>
          <w:color w:val="111111"/>
          <w:sz w:val="28"/>
          <w:sz w:val="28"/>
          <w:szCs w:val="28"/>
          <w:rtl w:val="true"/>
          <w:lang w:bidi="ar-SA"/>
        </w:rPr>
        <w:t>والذي يقتضيه التحقيق في المقام للحكم والبت في هذه المسألة متوقف على ذكر عدة مقدمات للوصول إلى النتيجة وهي</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4060014_1280447820"/>
      <w:bookmarkStart w:id="38" w:name="_Toc11"/>
      <w:bookmarkEnd w:id="37"/>
      <w:r>
        <w:rPr>
          <w:rtl w:val="true"/>
        </w:rPr>
        <w:t>المقدمة الأولى</w:t>
      </w:r>
      <w:r>
        <w:rPr>
          <w:rtl w:val="true"/>
        </w:rPr>
        <w:t xml:space="preserve">: </w:t>
      </w:r>
      <w:r>
        <w:rPr>
          <w:rtl w:val="true"/>
        </w:rPr>
        <w:t>الوثوق والاطمئنان</w:t>
      </w:r>
      <w:r>
        <w:rPr>
          <w:rtl w:val="true"/>
        </w:rPr>
        <w:t>.</w:t>
      </w:r>
      <w:bookmarkEnd w:id="38"/>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الجابرية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انجبار ضعف الخبر بالشهرة العملية </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4060016_1280447820"/>
      <w:bookmarkStart w:id="40" w:name="_Toc12"/>
      <w:bookmarkEnd w:id="39"/>
      <w:r>
        <w:rPr>
          <w:rtl w:val="true"/>
        </w:rPr>
        <w:t>القرائن و أقسامها</w:t>
      </w:r>
      <w:bookmarkEnd w:id="4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والاطمئنان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الأخبار تكون حجة من باب القرائن التي تفيد صدورها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هذه القرائن الوثاقة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اعتبار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وتنقسم هذه القرائن إلى قسمين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أي اتفاق أو اصطلاح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لأدلة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لظاهر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للسنة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لإجماع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لإجماع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الخبر في أحد الأصول الأربعمائة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الخبر في أحد كتب أصحاب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الخبر في أحد الكتب التي عرضت على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ونالت رضاهم واستحسانهم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عبيد الله الحلبي المعروض 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يونس بن عبد الرحمن المعروض على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الخبر في أحد الكتب التي اشتهر الوثوق بها والاعتماد عليها في عهود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كتاب حريز بن عبد الله السجستاني وغيرها من القرائن التي ذكرها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كتابه الاستبصار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تكون بين أبناء المجتمع حيث قال </w:t>
      </w:r>
      <w:bookmarkStart w:id="41" w:name="pg18719_204167"/>
    </w:p>
    <w:p>
      <w:pPr>
        <w:pStyle w:val="BookText"/>
        <w:rPr/>
      </w:pPr>
      <w:bookmarkEnd w:id="41"/>
      <w:r>
        <w:rPr>
          <w:rFonts w:ascii="Amiri" w:hAnsi="Amiri" w:eastAsia="Amiri" w:cs="Amiri"/>
          <w:color w:val="111111"/>
          <w:sz w:val="28"/>
          <w:sz w:val="28"/>
          <w:szCs w:val="28"/>
          <w:rtl w:val="true"/>
          <w:lang w:bidi="ar-SA"/>
        </w:rPr>
        <w:t>صاحب المعالم رحمه الله بأنها كثيرة جداً لا حصر لها ومثل لها بموت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اخبر شخص بأن ابن الملك قد توفي فخرجت إلى الطريق فوجدت النياحة والسواد والعزاء، فأتأكد حينئذ من صحة الخبر لوجود القرينة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عند علماء الشيعة الإمامية أن الأخبار تكون حجة من باب الوثوق والاطمئنان المتولد من القرائن وأحد هذه القرائن أن يكون الخبر خبر ثقة</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14060018_1280447820"/>
      <w:bookmarkStart w:id="43" w:name="_Toc13"/>
      <w:bookmarkEnd w:id="42"/>
      <w:r>
        <w:rPr>
          <w:rtl w:val="true"/>
        </w:rPr>
        <w:t>المقدمة الثانية</w:t>
      </w:r>
      <w:r>
        <w:rPr>
          <w:rtl w:val="true"/>
        </w:rPr>
        <w:t xml:space="preserve">: </w:t>
      </w:r>
      <w:r>
        <w:rPr>
          <w:rtl w:val="true"/>
        </w:rPr>
        <w:t>الوثاقة</w:t>
      </w:r>
      <w:r>
        <w:rPr>
          <w:rtl w:val="true"/>
        </w:rPr>
        <w:t>:</w:t>
      </w:r>
      <w:bookmarkEnd w:id="43"/>
    </w:p>
    <w:p>
      <w:pPr>
        <w:pStyle w:val="BookText"/>
        <w:rPr/>
      </w:pPr>
      <w:r>
        <w:rPr>
          <w:rFonts w:ascii="Amiri" w:hAnsi="Amiri" w:eastAsia="Amiri" w:cs="Amiri"/>
          <w:color w:val="111111"/>
          <w:sz w:val="28"/>
          <w:sz w:val="28"/>
          <w:szCs w:val="28"/>
          <w:rtl w:val="true"/>
          <w:lang w:bidi="ar-SA"/>
        </w:rPr>
        <w:t>بمعنى أن الأخبار تكون حجة من باب اعتبار السند أي أن يكون السند إما صحيحاً أو موثقاً أو حسناً، وأما إذا كان السند ضعيفاً، فإنه يسقط عن الحجية والاعتبار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مقتضى التحقيق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 يقتضيه البحث والتحقيق في المقام أن هذه الأخبار وإن كانت ضعيفة من حيث السند، إلا أنّها مقرونةٌ ومحفوفةُ بما يفيد الاطمئنانُ بِصدُورِهَا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فتكون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الجابرية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 ضعف الخبر بالشهرة العملية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الخبر إذا كان ضعيفاً من حيث السند وقد عمل مشهور الفقهاء على طبق مضمونه فهل يعد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جابرة لذلك الضعف أم لا؟ </w:t>
      </w:r>
      <w:bookmarkStart w:id="44" w:name="pg18719_204168"/>
    </w:p>
    <w:p>
      <w:pPr>
        <w:pStyle w:val="BookText"/>
        <w:rPr/>
      </w:pPr>
      <w:bookmarkEnd w:id="44"/>
      <w:r>
        <w:rPr>
          <w:rFonts w:ascii="Amiri" w:hAnsi="Amiri" w:eastAsia="Amiri" w:cs="Amiri"/>
          <w:color w:val="111111"/>
          <w:sz w:val="28"/>
          <w:sz w:val="28"/>
          <w:szCs w:val="28"/>
          <w:rtl w:val="true"/>
          <w:lang w:bidi="ar-SA"/>
        </w:rPr>
        <w:t>والمسألة مهمة جداً، فبناءً على القول بتمامية هذا الكبرى فسوف يرتفع مستوى الكثير من الروايات الضعاف إلى مستوى الاعتبار والحجية</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4060020_1280447820"/>
      <w:bookmarkStart w:id="46" w:name="_Toc14"/>
      <w:bookmarkEnd w:id="45"/>
      <w:r>
        <w:rPr>
          <w:rtl w:val="true"/>
        </w:rPr>
        <w:t>الشهرة و أقسامها</w:t>
      </w:r>
      <w:bookmarkEnd w:id="46"/>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الشيوع أو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الحديث تطلق على الخبر الذي نقل من عدة رواة دون أن يبلغ حدَّ التواتر، وهذا خارج عن محل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الفقهاء تطلق على عدةِ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اشتهار الرواية بين الرواة والمحدّثين وكتب الحديث، على أن لا تبلغ حدّ التواتر، والمعروف أن هذه الشهرة غير معتبرة إلاّ في باب الترجيح بين الروايتين المتعارضتين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خذ ما اشتهر بين أصحابك، ودع الشاذ النادر</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اشتهار العمل برواية معينة بين الأصحاب، والمشهور أن هذه الشهرة تجبر ضعف الرواية، إلاّ أنّ بعض المتأخرين على خلاف ذلك كالسيد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اشتهار الفتوى من دون بلوغ حدّ الإجماع، وهي ما تسمّى في الاصطلاح بالمشهور، والأكثر بين المتأخرين عدم حجّيتها دون المتقدمين، نعم تصلح أن تكون مؤيداً</w:t>
      </w:r>
      <w:r>
        <w:rPr>
          <w:rFonts w:eastAsia="Amiri" w:cs="Amiri" w:ascii="Amiri" w:hAnsi="Amiri"/>
          <w:color w:val="111111"/>
          <w:sz w:val="28"/>
          <w:szCs w:val="28"/>
          <w:rtl w:val="true"/>
          <w:lang w:bidi="ar-SA"/>
        </w:rPr>
        <w:t xml:space="preserve">. </w:t>
      </w:r>
      <w:bookmarkStart w:id="47" w:name="pg18719_204169"/>
    </w:p>
    <w:p>
      <w:pPr>
        <w:pStyle w:val="BookText"/>
        <w:rPr/>
      </w:pPr>
      <w:bookmarkEnd w:id="47"/>
      <w:r>
        <w:rPr>
          <w:rFonts w:ascii="Amiri" w:hAnsi="Amiri" w:eastAsia="Amiri" w:cs="Amiri"/>
          <w:color w:val="111111"/>
          <w:sz w:val="28"/>
          <w:sz w:val="28"/>
          <w:szCs w:val="28"/>
          <w:rtl w:val="true"/>
          <w:lang w:bidi="ar-SA"/>
        </w:rPr>
        <w:t xml:space="preserve">إذا المتحصل من ذلك أنّ الشهرة التي ينجبر بها ضعف الخبر هي الشهرة العملية دون الروائية والفتوائية لا كما ذهب إليه الشيخ الأيرواني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 في القواعد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بقسميه الأول والثاني بأن الشهرة التي تجبر الخبر هي الشهرة الفتوائية دون الروائية والعملية</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القلم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اشتبه أيضاً الشيخ علي أكبر السيفي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مقياس الرواية في علم الدراية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 ضعف الخبر بالشهرة الفتوائية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14060022_1280447820"/>
      <w:bookmarkStart w:id="49" w:name="_Toc15"/>
      <w:bookmarkEnd w:id="48"/>
      <w:r>
        <w:rPr>
          <w:rtl w:val="true"/>
        </w:rPr>
        <w:t>الدليل على جابرية الشهرة العملية لضعف السند</w:t>
      </w:r>
      <w:r>
        <w:rPr>
          <w:rtl w:val="true"/>
        </w:rPr>
        <w:t>:</w:t>
      </w:r>
      <w:bookmarkEnd w:id="4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موافقة عمل مشهور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لمضمون الخبرفي الحقيقة يكون قرينة وأمارة على صدقه وهو مما يكفي في ثبوت الحجية لذلك الخبر؛ لأن قوله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المفهوم منه أنه مع التبين والتحقق من خبر الفاسق وانكشاف صدقه يكون الخبر </w:t>
      </w:r>
      <w:bookmarkStart w:id="50" w:name="pg18719_204170"/>
    </w:p>
    <w:p>
      <w:pPr>
        <w:pStyle w:val="BookText"/>
        <w:rPr/>
      </w:pPr>
      <w:bookmarkEnd w:id="50"/>
      <w:r>
        <w:rPr>
          <w:rFonts w:ascii="Amiri" w:hAnsi="Amiri" w:eastAsia="Amiri" w:cs="Amiri"/>
          <w:color w:val="111111"/>
          <w:sz w:val="28"/>
          <w:sz w:val="28"/>
          <w:szCs w:val="28"/>
          <w:rtl w:val="true"/>
          <w:lang w:bidi="ar-SA"/>
        </w:rPr>
        <w:t>حينئذٍ حجة ويجب العمل على طبقه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بمضمون خبر كاشف عن وجود قرائن توجب الاطمئنان بصدور تلك الرواية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بمضمون خبر كاشف عن توثيقهم لرواة ذلك الخبر فيكون حينئذٍ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يقتضيه البحث والتحقيق في المقام هو تمامية كبرى الجابرية الذي يترتب عليها انجبار هذه الأخبار الضعيفة بعمل مشهور القدماء من الأصحاب الذين استندوا إليها في فتواهم </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4060024_1280447820"/>
      <w:bookmarkStart w:id="52" w:name="_Toc16"/>
      <w:bookmarkEnd w:id="51"/>
      <w:r>
        <w:rPr>
          <w:rtl w:val="true"/>
        </w:rPr>
        <w:t>النتيجة</w:t>
      </w:r>
      <w:r>
        <w:rPr>
          <w:rtl w:val="true"/>
        </w:rPr>
        <w:t>:</w:t>
      </w:r>
      <w:bookmarkEnd w:id="52"/>
    </w:p>
    <w:p>
      <w:pPr>
        <w:pStyle w:val="BookText"/>
        <w:rPr/>
      </w:pPr>
      <w:r>
        <w:rPr>
          <w:rFonts w:ascii="Amiri" w:hAnsi="Amiri" w:eastAsia="Amiri" w:cs="Amiri"/>
          <w:color w:val="111111"/>
          <w:sz w:val="28"/>
          <w:sz w:val="28"/>
          <w:szCs w:val="28"/>
          <w:rtl w:val="true"/>
          <w:lang w:bidi="ar-SA"/>
        </w:rPr>
        <w:t>الحكم بحرمة أكل الطاووس</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4060026_1280447820"/>
      <w:bookmarkStart w:id="54" w:name="_Toc17"/>
      <w:bookmarkEnd w:id="53"/>
      <w:r>
        <w:rPr>
          <w:rtl w:val="true"/>
        </w:rPr>
        <w:t>القول بالحرمة ومن قال به من العلماء بحسب ما توفر لدي من مصادر</w:t>
      </w:r>
      <w:r>
        <w:rPr>
          <w:rtl w:val="true"/>
        </w:rPr>
        <w:t>:</w:t>
      </w:r>
      <w:bookmarkEnd w:id="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الحلي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الآبي</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55" w:name="pg18719_204172"/>
    </w:p>
    <w:p>
      <w:pPr>
        <w:pStyle w:val="BookText"/>
        <w:rPr/>
      </w:pPr>
      <w:bookmarkEnd w:id="55"/>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الطباطبائي</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النراقي</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14060028_1280447820"/>
      <w:bookmarkStart w:id="57" w:name="_Toc18"/>
      <w:bookmarkEnd w:id="56"/>
      <w:r>
        <w:rPr>
          <w:rtl w:val="true"/>
        </w:rPr>
        <w:t>القول بالحلية ومن قال به من العلماء بحسب ما توفر لدي من مصادر</w:t>
      </w:r>
      <w:r>
        <w:rPr>
          <w:rtl w:val="true"/>
        </w:rPr>
        <w:t>:</w:t>
      </w:r>
      <w:bookmarkEnd w:id="57"/>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مع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السيستاني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وفي محضر درسه وأبحاثه وكذلك عند أهل العلم أن مبناه في حجية الأخبار هو الوثاقة أي لابد أن يكون السند معتبراً أي إما أن يكون السندُ صحيحاً أو موثقاً أو حسناً، وإضافةً إلى هذا أن مبناه في الشهرة العملية أنها غير جابرة لضعف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وفق مبانيه يفتي بحلية أكل الطاووس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أفتى بخلاف مبناه بحرمة أكل الطاووس </w:t>
      </w:r>
    </w:p>
    <w:p>
      <w:pPr>
        <w:pStyle w:val="BookText"/>
        <w:rPr/>
      </w:pPr>
      <w:r>
        <w:rPr>
          <w:rFonts w:ascii="Amiri" w:hAnsi="Amiri" w:eastAsia="Amiri" w:cs="Amiri"/>
          <w:color w:val="111111"/>
          <w:sz w:val="28"/>
          <w:sz w:val="28"/>
          <w:szCs w:val="28"/>
          <w:rtl w:val="true"/>
          <w:lang w:bidi="ar-SA"/>
        </w:rPr>
        <w:t xml:space="preserve">وأما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عنه في كتبه وفي محضر درسه وأبحاثه وكذلك عند أهل العلم أن مبناه في حجية الأخبار هو أن يكون الخبر حجة من باب الوثوق والاطمئنان المتولد من القرائن، و إضافةً إلى هذا أن مبناه في الشهرة العملية أنها جابرة لضعف الخبر، وأيضاً عنده قول الرجالي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وفق مبانيه يفتي بحرمة أكل الطاووس، كما هو رأي المشهور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أفتى خلاف مبناه بحلية أكل الطاووس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تمام الكلام في بيان حكم أكل الطاووس والحمد لله رب العالمين والصلاة والسلام على نبينا الطاهر الأمين محمدٍ وآله الأئمة المعصومين، وقد وقع الفراغ من تأليف هذه الرسالة ليلة الأربعاء من شهر محرم الحرام من سنة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ﻫ من الهجرة النبوية على مهاجرها أفضل الصلاة والتحية حامداً مصلياً مسلماً مستغفراً وكان ذلك في حاضرة العلم والعلماء مدينة النجف الأشرف والحمد لله على عظيم منّه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غانم الشويلي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w:t>
      </w:r>
      <w:bookmarkStart w:id="58" w:name="pg18719_204175"/>
    </w:p>
    <w:p>
      <w:pPr>
        <w:pStyle w:val="Heading2"/>
        <w:numPr>
          <w:ilvl w:val="1"/>
          <w:numId w:val="1"/>
        </w:numPr>
        <w:rPr/>
      </w:pPr>
      <w:bookmarkStart w:id="59" w:name="__RefHeading___Toc14060030_1280447820"/>
      <w:bookmarkStart w:id="60" w:name="_Toc19"/>
      <w:bookmarkEnd w:id="58"/>
      <w:bookmarkEnd w:id="59"/>
      <w:r>
        <w:rPr>
          <w:rtl w:val="true"/>
        </w:rPr>
        <w:t>المصادر والمراجع</w:t>
      </w:r>
      <w:bookmarkEnd w:id="60"/>
    </w:p>
    <w:p>
      <w:pPr>
        <w:pStyle w:val="BookText"/>
        <w:rPr/>
      </w:pPr>
      <w:r>
        <w:rPr>
          <w:rFonts w:ascii="Amiri" w:hAnsi="Amiri" w:eastAsia="Amiri" w:cs="Amiri"/>
          <w:color w:val="111111"/>
          <w:sz w:val="28"/>
          <w:sz w:val="28"/>
          <w:szCs w:val="28"/>
          <w:rtl w:val="true"/>
          <w:lang w:bidi="ar-SA"/>
        </w:rPr>
        <w:t xml:space="preserve">إن خير ما ابتدئ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الشيخ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الاستنباط، الشيخ علي الشويلي، مؤلف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المتعلمين، العلامة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الاحكام، العلامة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للشرائع، يحيى بن سعيد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العلامة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تمهيدية في القواعد الرجالية، الشيخ الأيرواني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الغضائري ، الشيخ ابن الغضائري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 الشيخ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 الشيخ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في شرح اللمعة الدمشقية، الشهيد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رياض المسائل، السيد علي الطباطبائي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المحقق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عيون صحاح الأخبار في مناقب إمام الأبرار، الحافظ ابن بطريق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الآلي، ابن جمهور الاحسائي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الشيخ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 السيد ابن طاووس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الأحكام، العلامة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الشيخ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الرموز، الفاضل الآبي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الأحكام، المحقق السبزواري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الفاضل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الدمشقية، الشهيد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الشهيد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البارع، ابن فهد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الشيعة، المحقق النراقي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المحقق الأردبيلي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السيد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 السيد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مجمع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مقياس الرواية في علم الدراية، الشيخ علي أكبر السيفي المازندراني</w:t>
      </w:r>
      <w:r>
        <w:rPr>
          <w:rFonts w:eastAsia="Amiri" w:cs="Amiri" w:ascii="Amiri" w:hAnsi="Amiri"/>
          <w:color w:val="111111"/>
          <w:sz w:val="28"/>
          <w:szCs w:val="28"/>
          <w:rtl w:val="true"/>
          <w:lang w:bidi="ar-SA"/>
        </w:rPr>
        <w:t xml:space="preserve">. </w:t>
      </w:r>
      <w:bookmarkStart w:id="61" w:name="pg18719_204178"/>
    </w:p>
    <w:p>
      <w:pPr>
        <w:pStyle w:val="Heading2"/>
        <w:numPr>
          <w:ilvl w:val="1"/>
          <w:numId w:val="1"/>
        </w:numPr>
        <w:rPr/>
      </w:pPr>
      <w:bookmarkStart w:id="62" w:name="__RefHeading___Toc14060032_1280447820"/>
      <w:bookmarkStart w:id="63" w:name="_Toc20"/>
      <w:bookmarkEnd w:id="61"/>
      <w:bookmarkEnd w:id="62"/>
      <w:r>
        <w:rPr>
          <w:rtl w:val="true"/>
        </w:rPr>
        <w:t>الفهرس</w:t>
      </w:r>
      <w:bookmarkEnd w:id="63"/>
    </w:p>
    <w:p>
      <w:pPr>
        <w:pStyle w:val="BookText"/>
        <w:rPr/>
      </w:pPr>
      <w:r>
        <w:rPr>
          <w:rFonts w:ascii="IRNazanin" w:hAnsi="IRNazanin" w:eastAsia="IRNazanin"/>
          <w:color w:val="111111"/>
          <w:sz w:val="28"/>
          <w:sz w:val="28"/>
          <w:szCs w:val="28"/>
          <w:rtl w:val="true"/>
          <w:lang w:bidi="fa-IR"/>
        </w:rPr>
        <w:t>عکس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الاستنباط،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الدكتور الفضلي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الأصح استخدام كلمة تقييم بدل كلمة تقويم؛ لأن التقييم بيان وتقدير قيمة الشيء بخلاف كلمة تقويم التي تدل على تعديل المعوجّ، إلا أن الصحيح هو استخدام كلمة تقويم في بيان وتقدير قيمة الشيء بخلاف ما يراه الدكتور الفضلي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على ذلك قول مولانا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رواه الشيخ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الكافي عن عَلِيُّ بْنُ إِبْرَاهِيمَ عَنْ أَبِيهِ عَنِ النَّوْفَلِيِّ 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سُفْرَةٍ وُجِدَتْ فِي الطَّرِيقِ مَطْرُوحَةً كَثِيرلَحْمُهَا وَ خُبْزُهَا وَ بَيْضُهَا وَ جُبُنُّهَا وَفِيهَا سِكِّينٌ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مَا فِيهَا ثُمَّ يُؤْكَلُ لِأَنَّهُ يَفْسُدُ وَ لَيْسَ لَهُ بَقَاءٌ فَإِنْ جَاءَ طَالِبُهَا غَرِمُوا لَهُ الثَّمَنَ قِيلَ يَا أَمِيرَ الْمُؤْمِنِينَ لَا يُدْرَى سُفْرَةُ مُسْلِمٍ أَوْ سُفْرَةُ مَجُوسِيٍّ فَقَالَ هُمْ فِي سَعَةٍ حَتَّى يَعْلَمُوا،ينظر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الرواية من حيث السند معتبرة وبمصطلح علم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ومحل الشاهد من الرواية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يُقَوَّمُ مَا فِيهَا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مشيخة الفقيه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الفصل</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صلاة الظهر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أسماء مصنفي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أشتهر في الأواسط العلمية وطبع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مشيخة التهذيب،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تمهيدية في القواعد الرجالية، القسم الأول،ص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القسم الثاني،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مقياس الرواية في علم الدراية،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تحرير الاحكام،ج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قواعد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مسالك الأفهام،ج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مسألة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والأشربة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المعاملات، مسألة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image" Target="media/image4.jpeg"/><Relationship Id="rId54" Type="http://schemas.openxmlformats.org/officeDocument/2006/relationships/image" Target="media/image4.jpeg"/><Relationship Id="rId55" Type="http://schemas.openxmlformats.org/officeDocument/2006/relationships/footer" Target="footer46.xml"/><Relationship Id="rId56" Type="http://schemas.openxmlformats.org/officeDocument/2006/relationships/image" Target="media/image5.jpeg"/><Relationship Id="rId57" Type="http://schemas.openxmlformats.org/officeDocument/2006/relationships/image" Target="media/image5.jpeg"/><Relationship Id="rId58" Type="http://schemas.openxmlformats.org/officeDocument/2006/relationships/footer" Target="footer47.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48.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4420</Words>
  <Characters>20372</Characters>
  <CharactersWithSpaces>24458</CharactersWithSpaces>
  <Paragraphs>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2026-08-25T18:05:56Z</dcterms:created>
  <dc:creator>ghaemiyeh.com</dc:creator>
  <dc:description/>
  <dc:language>en-US</dc:language>
  <cp:lastModifiedBy/>
  <dcterms:modified xsi:type="dcterms:W3CDTF">2026-08-25T21:35:58Z</dcterms:modified>
  <cp:revision>1</cp:revision>
  <dc:subject/>
  <dc:title>رسالة فی حکم أکل الطاووس</dc:title>
</cp:coreProperties>
</file>

<file path=docProps/custom.xml><?xml version="1.0" encoding="utf-8"?>
<Properties xmlns="http://schemas.openxmlformats.org/officeDocument/2006/custom-properties" xmlns:vt="http://schemas.openxmlformats.org/officeDocument/2006/docPropsVTypes"/>
</file>