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الرسائل و المسائل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42228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642230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642232_1280447820">
            <w:r>
              <w:rPr>
                <w:webHidden/>
                <w:rStyle w:val="IndexLink"/>
                <w:rtl w:val="true"/>
              </w:rPr>
              <w:t>الفهرس الإجمالي</w:t>
            </w:r>
            <w:r>
              <w:rPr>
                <w:rStyle w:val="IndexLink"/>
                <w:rtl w:val="true"/>
              </w:rPr>
              <w:tab/>
            </w:r>
            <w:r>
              <w:rPr>
                <w:rStyle w:val="IndexLink"/>
              </w:rPr>
              <w:t>12</w:t>
            </w:r>
          </w:hyperlink>
        </w:p>
        <w:p>
          <w:pPr>
            <w:pStyle w:val="Contents2"/>
            <w:tabs>
              <w:tab w:val="clear" w:pos="8743"/>
              <w:tab w:val="right" w:pos="9026" w:leader="dot"/>
            </w:tabs>
            <w:rPr/>
          </w:pPr>
          <w:hyperlink w:anchor="__RefHeading___Toc7642234_1280447820">
            <w:r>
              <w:rPr>
                <w:webHidden/>
                <w:rStyle w:val="IndexLink"/>
                <w:rtl w:val="true"/>
              </w:rPr>
              <w:t>تتمة الرسائل و المسائل</w:t>
            </w:r>
            <w:r>
              <w:rPr>
                <w:rStyle w:val="IndexLink"/>
                <w:rtl w:val="true"/>
              </w:rPr>
              <w:tab/>
            </w:r>
            <w:r>
              <w:rPr>
                <w:rStyle w:val="IndexLink"/>
              </w:rPr>
              <w:t>14</w:t>
            </w:r>
          </w:hyperlink>
        </w:p>
        <w:p>
          <w:pPr>
            <w:pStyle w:val="Contents3"/>
            <w:tabs>
              <w:tab w:val="clear" w:pos="8459"/>
              <w:tab w:val="right" w:pos="9026" w:leader="dot"/>
            </w:tabs>
            <w:rPr/>
          </w:pPr>
          <w:hyperlink w:anchor="__RefHeading___Toc7642236_1280447820">
            <w:r>
              <w:rPr>
                <w:webHidden/>
                <w:rStyle w:val="IndexLink"/>
                <w:rtl w:val="true"/>
              </w:rPr>
              <w:t>ج</w:t>
            </w:r>
            <w:r>
              <w:rPr>
                <w:rStyle w:val="IndexLink"/>
                <w:rtl w:val="true"/>
              </w:rPr>
              <w:t xml:space="preserve">. </w:t>
            </w:r>
            <w:r>
              <w:rPr>
                <w:rStyle w:val="IndexLink"/>
                <w:rtl w:val="true"/>
              </w:rPr>
              <w:t>الرسائل الكلامية</w:t>
            </w:r>
            <w:r>
              <w:rPr>
                <w:rStyle w:val="IndexLink"/>
                <w:rtl w:val="true"/>
              </w:rPr>
              <w:tab/>
            </w:r>
            <w:r>
              <w:rPr>
                <w:rStyle w:val="IndexLink"/>
              </w:rPr>
              <w:t>14</w:t>
            </w:r>
          </w:hyperlink>
        </w:p>
        <w:p>
          <w:pPr>
            <w:pStyle w:val="Contents4"/>
            <w:tabs>
              <w:tab w:val="clear" w:pos="8176"/>
              <w:tab w:val="right" w:pos="9026" w:leader="dot"/>
            </w:tabs>
            <w:rPr/>
          </w:pPr>
          <w:hyperlink w:anchor="__RefHeading___Toc7642238_1280447820">
            <w:r>
              <w:rPr>
                <w:webHidden/>
                <w:rStyle w:val="IndexLink"/>
                <w:rtl w:val="true"/>
              </w:rPr>
              <w:t>(</w:t>
            </w:r>
            <w:r>
              <w:rPr>
                <w:rStyle w:val="IndexLink"/>
              </w:rPr>
              <w:t>26</w:t>
            </w:r>
            <w:r>
              <w:rPr>
                <w:rStyle w:val="IndexLink"/>
                <w:rtl w:val="true"/>
              </w:rPr>
              <w:t xml:space="preserve">) </w:t>
            </w:r>
            <w:r>
              <w:rPr>
                <w:rStyle w:val="IndexLink"/>
                <w:rtl w:val="true"/>
              </w:rPr>
              <w:t>جواباتُ المَسائلِ السَّلّاريّةِ‌</w:t>
            </w:r>
            <w:r>
              <w:rPr>
                <w:rStyle w:val="IndexLink"/>
                <w:rtl w:val="true"/>
              </w:rPr>
              <w:tab/>
            </w:r>
            <w:r>
              <w:rPr>
                <w:rStyle w:val="IndexLink"/>
              </w:rPr>
              <w:t>14</w:t>
            </w:r>
          </w:hyperlink>
        </w:p>
        <w:p>
          <w:pPr>
            <w:pStyle w:val="Contents5"/>
            <w:tabs>
              <w:tab w:val="clear" w:pos="7892"/>
              <w:tab w:val="right" w:pos="9026" w:leader="dot"/>
            </w:tabs>
            <w:rPr/>
          </w:pPr>
          <w:hyperlink w:anchor="__RefHeading___Toc7642240_1280447820">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7642242_1280447820">
            <w:r>
              <w:rPr>
                <w:webHidden/>
                <w:rStyle w:val="IndexLink"/>
                <w:rtl w:val="true"/>
              </w:rPr>
              <w:t>مقدّمة التحقيق</w:t>
            </w:r>
            <w:r>
              <w:rPr>
                <w:rStyle w:val="IndexLink"/>
                <w:rtl w:val="true"/>
              </w:rPr>
              <w:tab/>
            </w:r>
            <w:r>
              <w:rPr>
                <w:rStyle w:val="IndexLink"/>
              </w:rPr>
              <w:t>16</w:t>
            </w:r>
          </w:hyperlink>
        </w:p>
        <w:p>
          <w:pPr>
            <w:pStyle w:val="Contents6"/>
            <w:tabs>
              <w:tab w:val="clear" w:pos="7609"/>
              <w:tab w:val="right" w:pos="9026" w:leader="dot"/>
            </w:tabs>
            <w:rPr/>
          </w:pPr>
          <w:hyperlink w:anchor="__RefHeading___Toc7642244_1280447820">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7642246_1280447820">
            <w:r>
              <w:rPr>
                <w:webHidden/>
                <w:rStyle w:val="IndexLink"/>
                <w:rtl w:val="true"/>
              </w:rPr>
              <w:t>السائل</w:t>
            </w:r>
            <w:r>
              <w:rPr>
                <w:rStyle w:val="IndexLink"/>
                <w:rtl w:val="true"/>
              </w:rPr>
              <w:tab/>
            </w:r>
            <w:r>
              <w:rPr>
                <w:rStyle w:val="IndexLink"/>
              </w:rPr>
              <w:t>16</w:t>
            </w:r>
          </w:hyperlink>
        </w:p>
        <w:p>
          <w:pPr>
            <w:pStyle w:val="Contents6"/>
            <w:tabs>
              <w:tab w:val="clear" w:pos="7609"/>
              <w:tab w:val="right" w:pos="9026" w:leader="dot"/>
            </w:tabs>
            <w:rPr/>
          </w:pPr>
          <w:hyperlink w:anchor="__RefHeading___Toc7642248_1280447820">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7642250_1280447820">
            <w:r>
              <w:rPr>
                <w:webHidden/>
                <w:rStyle w:val="IndexLink"/>
                <w:rtl w:val="true"/>
              </w:rPr>
              <w:t>مشايخه</w:t>
            </w:r>
            <w:r>
              <w:rPr>
                <w:rStyle w:val="IndexLink"/>
                <w:rtl w:val="true"/>
              </w:rPr>
              <w:tab/>
            </w:r>
            <w:r>
              <w:rPr>
                <w:rStyle w:val="IndexLink"/>
              </w:rPr>
              <w:t>18</w:t>
            </w:r>
          </w:hyperlink>
        </w:p>
        <w:p>
          <w:pPr>
            <w:pStyle w:val="Contents6"/>
            <w:tabs>
              <w:tab w:val="clear" w:pos="7609"/>
              <w:tab w:val="right" w:pos="9026" w:leader="dot"/>
            </w:tabs>
            <w:rPr/>
          </w:pPr>
          <w:hyperlink w:anchor="__RefHeading___Toc7642252_1280447820">
            <w:r>
              <w:rPr>
                <w:webHidden/>
                <w:rStyle w:val="IndexLink"/>
                <w:rtl w:val="true"/>
              </w:rPr>
              <w:t>تلاميذه</w:t>
            </w:r>
            <w:r>
              <w:rPr>
                <w:rStyle w:val="IndexLink"/>
                <w:rtl w:val="true"/>
              </w:rPr>
              <w:tab/>
            </w:r>
            <w:r>
              <w:rPr>
                <w:rStyle w:val="IndexLink"/>
              </w:rPr>
              <w:t>19</w:t>
            </w:r>
          </w:hyperlink>
        </w:p>
        <w:p>
          <w:pPr>
            <w:pStyle w:val="Contents6"/>
            <w:tabs>
              <w:tab w:val="clear" w:pos="7609"/>
              <w:tab w:val="right" w:pos="9026" w:leader="dot"/>
            </w:tabs>
            <w:rPr/>
          </w:pPr>
          <w:hyperlink w:anchor="__RefHeading___Toc7642254_1280447820">
            <w:r>
              <w:rPr>
                <w:webHidden/>
                <w:rStyle w:val="IndexLink"/>
                <w:rtl w:val="true"/>
              </w:rPr>
              <w:t>مؤلّفاته</w:t>
            </w:r>
            <w:r>
              <w:rPr>
                <w:rStyle w:val="IndexLink"/>
                <w:rtl w:val="true"/>
              </w:rPr>
              <w:tab/>
            </w:r>
            <w:r>
              <w:rPr>
                <w:rStyle w:val="IndexLink"/>
              </w:rPr>
              <w:t>20</w:t>
            </w:r>
          </w:hyperlink>
        </w:p>
        <w:p>
          <w:pPr>
            <w:pStyle w:val="Contents6"/>
            <w:tabs>
              <w:tab w:val="clear" w:pos="7609"/>
              <w:tab w:val="right" w:pos="9026" w:leader="dot"/>
            </w:tabs>
            <w:rPr/>
          </w:pPr>
          <w:hyperlink w:anchor="__RefHeading___Toc7642256_1280447820">
            <w:r>
              <w:rPr>
                <w:webHidden/>
                <w:rStyle w:val="IndexLink"/>
                <w:rtl w:val="true"/>
              </w:rPr>
              <w:t>المسائل</w:t>
            </w:r>
            <w:r>
              <w:rPr>
                <w:rStyle w:val="IndexLink"/>
                <w:rtl w:val="true"/>
              </w:rPr>
              <w:tab/>
            </w:r>
            <w:r>
              <w:rPr>
                <w:rStyle w:val="IndexLink"/>
              </w:rPr>
              <w:t>20</w:t>
            </w:r>
          </w:hyperlink>
        </w:p>
        <w:p>
          <w:pPr>
            <w:pStyle w:val="Contents6"/>
            <w:tabs>
              <w:tab w:val="clear" w:pos="7609"/>
              <w:tab w:val="right" w:pos="9026" w:leader="dot"/>
            </w:tabs>
            <w:rPr/>
          </w:pPr>
          <w:hyperlink w:anchor="__RefHeading___Toc7642258_1280447820">
            <w:r>
              <w:rPr>
                <w:webHidden/>
                <w:rStyle w:val="IndexLink"/>
                <w:rtl w:val="true"/>
              </w:rPr>
              <w:t>محتوى المسائل</w:t>
            </w:r>
            <w:r>
              <w:rPr>
                <w:rStyle w:val="IndexLink"/>
                <w:rtl w:val="true"/>
              </w:rPr>
              <w:tab/>
            </w:r>
            <w:r>
              <w:rPr>
                <w:rStyle w:val="IndexLink"/>
              </w:rPr>
              <w:t>24</w:t>
            </w:r>
          </w:hyperlink>
        </w:p>
        <w:p>
          <w:pPr>
            <w:pStyle w:val="Contents6"/>
            <w:tabs>
              <w:tab w:val="clear" w:pos="7609"/>
              <w:tab w:val="right" w:pos="9026" w:leader="dot"/>
            </w:tabs>
            <w:rPr/>
          </w:pPr>
          <w:hyperlink w:anchor="__RefHeading___Toc7642260_1280447820">
            <w:r>
              <w:rPr>
                <w:webHidden/>
                <w:rStyle w:val="IndexLink"/>
                <w:rtl w:val="true"/>
              </w:rPr>
              <w:t>طبعات المسائل</w:t>
            </w:r>
            <w:r>
              <w:rPr>
                <w:rStyle w:val="IndexLink"/>
                <w:rtl w:val="true"/>
              </w:rPr>
              <w:tab/>
            </w:r>
            <w:r>
              <w:rPr>
                <w:rStyle w:val="IndexLink"/>
              </w:rPr>
              <w:t>53</w:t>
            </w:r>
          </w:hyperlink>
        </w:p>
        <w:p>
          <w:pPr>
            <w:pStyle w:val="Contents6"/>
            <w:tabs>
              <w:tab w:val="clear" w:pos="7609"/>
              <w:tab w:val="right" w:pos="9026" w:leader="dot"/>
            </w:tabs>
            <w:rPr/>
          </w:pPr>
          <w:hyperlink w:anchor="__RefHeading___Toc7642262_1280447820">
            <w:r>
              <w:rPr>
                <w:webHidden/>
                <w:rStyle w:val="IndexLink"/>
                <w:rtl w:val="true"/>
              </w:rPr>
              <w:t>مخطوطات الرسالة</w:t>
            </w:r>
            <w:r>
              <w:rPr>
                <w:rStyle w:val="IndexLink"/>
                <w:rtl w:val="true"/>
              </w:rPr>
              <w:tab/>
            </w:r>
            <w:r>
              <w:rPr>
                <w:rStyle w:val="IndexLink"/>
              </w:rPr>
              <w:t>53</w:t>
            </w:r>
          </w:hyperlink>
        </w:p>
        <w:p>
          <w:pPr>
            <w:pStyle w:val="Contents5"/>
            <w:tabs>
              <w:tab w:val="clear" w:pos="7892"/>
              <w:tab w:val="right" w:pos="9026" w:leader="dot"/>
            </w:tabs>
            <w:rPr/>
          </w:pPr>
          <w:hyperlink w:anchor="__RefHeading___Toc7642264_1280447820">
            <w:r>
              <w:rPr>
                <w:webHidden/>
                <w:rStyle w:val="IndexLink"/>
                <w:rtl w:val="true"/>
              </w:rPr>
              <w:t>جواباتُ‌ المَسائلِ السَّلّاريّةِ‌</w:t>
            </w:r>
            <w:r>
              <w:rPr>
                <w:rStyle w:val="IndexLink"/>
                <w:rtl w:val="true"/>
              </w:rPr>
              <w:tab/>
            </w:r>
            <w:r>
              <w:rPr>
                <w:rStyle w:val="IndexLink"/>
              </w:rPr>
              <w:t>56</w:t>
            </w:r>
          </w:hyperlink>
        </w:p>
        <w:p>
          <w:pPr>
            <w:pStyle w:val="Contents6"/>
            <w:tabs>
              <w:tab w:val="clear" w:pos="7609"/>
              <w:tab w:val="right" w:pos="9026" w:leader="dot"/>
            </w:tabs>
            <w:rPr/>
          </w:pPr>
          <w:hyperlink w:anchor="__RefHeading___Toc7642266_1280447820">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7642268_1280447820">
            <w:r>
              <w:rPr>
                <w:webHidden/>
                <w:rStyle w:val="IndexLink"/>
                <w:rtl w:val="true"/>
              </w:rPr>
              <w:t>المسألةُ الأُولىٰ في أنّ الجوهر جوهر في حال العدم</w:t>
            </w:r>
            <w:r>
              <w:rPr>
                <w:rStyle w:val="IndexLink"/>
                <w:rtl w:val="true"/>
              </w:rPr>
              <w:tab/>
            </w:r>
            <w:r>
              <w:rPr>
                <w:rStyle w:val="IndexLink"/>
              </w:rPr>
              <w:t>59</w:t>
            </w:r>
          </w:hyperlink>
        </w:p>
        <w:p>
          <w:pPr>
            <w:pStyle w:val="Contents6"/>
            <w:tabs>
              <w:tab w:val="clear" w:pos="7609"/>
              <w:tab w:val="right" w:pos="9026" w:leader="dot"/>
            </w:tabs>
            <w:rPr/>
          </w:pPr>
          <w:hyperlink w:anchor="__RefHeading___Toc7642270_1280447820">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7642272_1280447820">
            <w:r>
              <w:rPr>
                <w:webHidden/>
                <w:rStyle w:val="IndexLink"/>
                <w:rtl w:val="true"/>
              </w:rPr>
              <w:t>في بيان الدليل علىٰ أنّ الجوهر جوهر في حال العدم</w:t>
            </w:r>
            <w:r>
              <w:rPr>
                <w:rStyle w:val="IndexLink"/>
                <w:rtl w:val="true"/>
              </w:rPr>
              <w:tab/>
            </w:r>
            <w:r>
              <w:rPr>
                <w:rStyle w:val="IndexLink"/>
              </w:rPr>
              <w:t>61</w:t>
            </w:r>
          </w:hyperlink>
        </w:p>
        <w:p>
          <w:pPr>
            <w:pStyle w:val="Contents6"/>
            <w:tabs>
              <w:tab w:val="clear" w:pos="7609"/>
              <w:tab w:val="right" w:pos="9026" w:leader="dot"/>
            </w:tabs>
            <w:rPr/>
          </w:pPr>
          <w:hyperlink w:anchor="__RefHeading___Toc7642274_1280447820">
            <w:r>
              <w:rPr>
                <w:webHidden/>
                <w:rStyle w:val="IndexLink"/>
                <w:rtl w:val="true"/>
              </w:rPr>
              <w:t>في بيان الدليل علىٰ وجوب تحيُّز الجوهر عند وجوده</w:t>
            </w:r>
            <w:r>
              <w:rPr>
                <w:rStyle w:val="IndexLink"/>
                <w:rtl w:val="true"/>
              </w:rPr>
              <w:tab/>
            </w:r>
            <w:r>
              <w:rPr>
                <w:rStyle w:val="IndexLink"/>
              </w:rPr>
              <w:t>63</w:t>
            </w:r>
          </w:hyperlink>
        </w:p>
        <w:p>
          <w:pPr>
            <w:pStyle w:val="Contents6"/>
            <w:tabs>
              <w:tab w:val="clear" w:pos="7609"/>
              <w:tab w:val="right" w:pos="9026" w:leader="dot"/>
            </w:tabs>
            <w:rPr/>
          </w:pPr>
          <w:hyperlink w:anchor="__RefHeading___Toc7642276_1280447820">
            <w:r>
              <w:rPr>
                <w:webHidden/>
                <w:rStyle w:val="IndexLink"/>
                <w:rtl w:val="true"/>
              </w:rPr>
              <w:t>إبطال بعض الأدلّة التي أُقيمت لإثبات أنّ الجوهر جوهر في حال العدم</w:t>
            </w:r>
            <w:r>
              <w:rPr>
                <w:rStyle w:val="IndexLink"/>
                <w:rtl w:val="true"/>
              </w:rPr>
              <w:tab/>
            </w:r>
            <w:r>
              <w:rPr>
                <w:rStyle w:val="IndexLink"/>
              </w:rPr>
              <w:t>78</w:t>
            </w:r>
          </w:hyperlink>
        </w:p>
        <w:p>
          <w:pPr>
            <w:pStyle w:val="Contents6"/>
            <w:tabs>
              <w:tab w:val="clear" w:pos="7609"/>
              <w:tab w:val="right" w:pos="9026" w:leader="dot"/>
            </w:tabs>
            <w:rPr/>
          </w:pPr>
          <w:hyperlink w:anchor="__RefHeading___Toc7642278_1280447820">
            <w:r>
              <w:rPr>
                <w:webHidden/>
                <w:rStyle w:val="IndexLink"/>
                <w:rtl w:val="true"/>
              </w:rPr>
              <w:t>مناقشة بعض فقرات كلام السائل</w:t>
            </w:r>
            <w:r>
              <w:rPr>
                <w:rStyle w:val="IndexLink"/>
                <w:rtl w:val="true"/>
              </w:rPr>
              <w:tab/>
            </w:r>
            <w:r>
              <w:rPr>
                <w:rStyle w:val="IndexLink"/>
              </w:rPr>
              <w:t>82</w:t>
            </w:r>
          </w:hyperlink>
        </w:p>
        <w:p>
          <w:pPr>
            <w:pStyle w:val="Contents6"/>
            <w:tabs>
              <w:tab w:val="clear" w:pos="7609"/>
              <w:tab w:val="right" w:pos="9026" w:leader="dot"/>
            </w:tabs>
            <w:rPr/>
          </w:pPr>
          <w:hyperlink w:anchor="__RefHeading___Toc7642280_1280447820">
            <w:r>
              <w:rPr>
                <w:webHidden/>
                <w:rStyle w:val="IndexLink"/>
                <w:rtl w:val="true"/>
              </w:rPr>
              <w:t>المسألةُ الثانيةُ في أنّ القدرة توجب حالاً للجملة، دون المحلّ‌</w:t>
            </w:r>
            <w:r>
              <w:rPr>
                <w:rStyle w:val="IndexLink"/>
                <w:rtl w:val="true"/>
              </w:rPr>
              <w:tab/>
            </w:r>
            <w:r>
              <w:rPr>
                <w:rStyle w:val="IndexLink"/>
              </w:rPr>
              <w:t>86</w:t>
            </w:r>
          </w:hyperlink>
        </w:p>
        <w:p>
          <w:pPr>
            <w:pStyle w:val="Contents6"/>
            <w:tabs>
              <w:tab w:val="clear" w:pos="7609"/>
              <w:tab w:val="right" w:pos="9026" w:leader="dot"/>
            </w:tabs>
            <w:rPr/>
          </w:pPr>
          <w:hyperlink w:anchor="__RefHeading___Toc7642282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7642284_1280447820">
            <w:r>
              <w:rPr>
                <w:webHidden/>
                <w:rStyle w:val="IndexLink"/>
                <w:rtl w:val="true"/>
              </w:rPr>
              <w:t>مناقشة بعض فقرات كلام السائل</w:t>
            </w:r>
            <w:r>
              <w:rPr>
                <w:rStyle w:val="IndexLink"/>
                <w:rtl w:val="true"/>
              </w:rPr>
              <w:tab/>
            </w:r>
            <w:r>
              <w:rPr>
                <w:rStyle w:val="IndexLink"/>
              </w:rPr>
              <w:t>92</w:t>
            </w:r>
          </w:hyperlink>
        </w:p>
        <w:p>
          <w:pPr>
            <w:pStyle w:val="Contents6"/>
            <w:tabs>
              <w:tab w:val="clear" w:pos="7609"/>
              <w:tab w:val="right" w:pos="9026" w:leader="dot"/>
            </w:tabs>
            <w:rPr/>
          </w:pPr>
          <w:hyperlink w:anchor="__RefHeading___Toc7642286_1280447820">
            <w:r>
              <w:rPr>
                <w:webHidden/>
                <w:rStyle w:val="IndexLink"/>
                <w:rtl w:val="true"/>
              </w:rPr>
              <w:t>المسألةُ الثالثةُ في أنّ الحياة توجب حالاً للجملة دون المحلّ‌</w:t>
            </w:r>
            <w:r>
              <w:rPr>
                <w:rStyle w:val="IndexLink"/>
                <w:rtl w:val="true"/>
              </w:rPr>
              <w:tab/>
            </w:r>
            <w:r>
              <w:rPr>
                <w:rStyle w:val="IndexLink"/>
              </w:rPr>
              <w:t>96</w:t>
            </w:r>
          </w:hyperlink>
        </w:p>
        <w:p>
          <w:pPr>
            <w:pStyle w:val="Contents6"/>
            <w:tabs>
              <w:tab w:val="clear" w:pos="7609"/>
              <w:tab w:val="right" w:pos="9026" w:leader="dot"/>
            </w:tabs>
            <w:rPr/>
          </w:pPr>
          <w:hyperlink w:anchor="__RefHeading___Toc7642288_1280447820">
            <w:r>
              <w:rPr>
                <w:webHidden/>
                <w:rStyle w:val="IndexLink"/>
                <w:rtl w:val="true"/>
              </w:rPr>
              <w:t>المسألةُ الرابعةُ في بيان وجه اختصاص العرض بمحلّه</w:t>
            </w:r>
            <w:r>
              <w:rPr>
                <w:rStyle w:val="IndexLink"/>
                <w:rtl w:val="true"/>
              </w:rPr>
              <w:tab/>
            </w:r>
            <w:r>
              <w:rPr>
                <w:rStyle w:val="IndexLink"/>
              </w:rPr>
              <w:t>99</w:t>
            </w:r>
          </w:hyperlink>
        </w:p>
        <w:p>
          <w:pPr>
            <w:pStyle w:val="Contents6"/>
            <w:tabs>
              <w:tab w:val="clear" w:pos="7609"/>
              <w:tab w:val="right" w:pos="9026" w:leader="dot"/>
            </w:tabs>
            <w:rPr/>
          </w:pPr>
          <w:hyperlink w:anchor="__RefHeading___Toc7642290_1280447820">
            <w:r>
              <w:rPr>
                <w:webHidden/>
                <w:rStyle w:val="IndexLink"/>
                <w:rtl w:val="true"/>
              </w:rPr>
              <w:t>المسألةُ الخامسةُ‌ في بيان بطلان أحكام النجوم</w:t>
            </w:r>
            <w:r>
              <w:rPr>
                <w:rStyle w:val="IndexLink"/>
                <w:rtl w:val="true"/>
              </w:rPr>
              <w:tab/>
            </w:r>
            <w:r>
              <w:rPr>
                <w:rStyle w:val="IndexLink"/>
              </w:rPr>
              <w:t>104</w:t>
            </w:r>
          </w:hyperlink>
        </w:p>
        <w:p>
          <w:pPr>
            <w:pStyle w:val="Contents6"/>
            <w:tabs>
              <w:tab w:val="clear" w:pos="7609"/>
              <w:tab w:val="right" w:pos="9026" w:leader="dot"/>
            </w:tabs>
            <w:rPr/>
          </w:pPr>
          <w:hyperlink w:anchor="__RefHeading___Toc7642292_12804478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7642294_1280447820">
            <w:r>
              <w:rPr>
                <w:webHidden/>
                <w:rStyle w:val="IndexLink"/>
                <w:rtl w:val="true"/>
              </w:rPr>
              <w:t>في إبطال تأثير الكواكب في الأُمور الأرضيّة</w:t>
            </w:r>
            <w:r>
              <w:rPr>
                <w:rStyle w:val="IndexLink"/>
                <w:rtl w:val="true"/>
              </w:rPr>
              <w:tab/>
            </w:r>
            <w:r>
              <w:rPr>
                <w:rStyle w:val="IndexLink"/>
              </w:rPr>
              <w:t>105</w:t>
            </w:r>
          </w:hyperlink>
        </w:p>
        <w:p>
          <w:pPr>
            <w:pStyle w:val="Contents6"/>
            <w:tabs>
              <w:tab w:val="clear" w:pos="7609"/>
              <w:tab w:val="right" w:pos="9026" w:leader="dot"/>
            </w:tabs>
            <w:rPr/>
          </w:pPr>
          <w:hyperlink w:anchor="__RefHeading___Toc7642296_1280447820">
            <w:r>
              <w:rPr>
                <w:webHidden/>
                <w:rStyle w:val="IndexLink"/>
                <w:rtl w:val="true"/>
              </w:rPr>
              <w:t>استدلالات و بيانات حول عدم إصابة المنجّمين في أحكامهم</w:t>
            </w:r>
            <w:r>
              <w:rPr>
                <w:rStyle w:val="IndexLink"/>
                <w:rtl w:val="true"/>
              </w:rPr>
              <w:tab/>
            </w:r>
            <w:r>
              <w:rPr>
                <w:rStyle w:val="IndexLink"/>
              </w:rPr>
              <w:t>110</w:t>
            </w:r>
          </w:hyperlink>
        </w:p>
        <w:p>
          <w:pPr>
            <w:pStyle w:val="Contents6"/>
            <w:tabs>
              <w:tab w:val="clear" w:pos="7609"/>
              <w:tab w:val="right" w:pos="9026" w:leader="dot"/>
            </w:tabs>
            <w:rPr/>
          </w:pPr>
          <w:hyperlink w:anchor="__RefHeading___Toc7642298_1280447820">
            <w:r>
              <w:rPr>
                <w:webHidden/>
                <w:rStyle w:val="IndexLink"/>
                <w:rtl w:val="true"/>
              </w:rPr>
              <w:t>حكايات و مناظرات وقعت للمصنّف تتعلّق بعدم إصابة المنجّمين</w:t>
            </w:r>
            <w:r>
              <w:rPr>
                <w:rStyle w:val="IndexLink"/>
                <w:rtl w:val="true"/>
              </w:rPr>
              <w:tab/>
            </w:r>
            <w:r>
              <w:rPr>
                <w:rStyle w:val="IndexLink"/>
              </w:rPr>
              <w:t>111</w:t>
            </w:r>
          </w:hyperlink>
        </w:p>
        <w:p>
          <w:pPr>
            <w:pStyle w:val="Contents6"/>
            <w:tabs>
              <w:tab w:val="clear" w:pos="7609"/>
              <w:tab w:val="right" w:pos="9026" w:leader="dot"/>
            </w:tabs>
            <w:rPr/>
          </w:pPr>
          <w:hyperlink w:anchor="__RefHeading___Toc7642300_1280447820">
            <w:r>
              <w:rPr>
                <w:webHidden/>
                <w:rStyle w:val="IndexLink"/>
                <w:rtl w:val="true"/>
              </w:rPr>
              <w:t>أدلّة أُخرىٰ علىٰ بطلان أحكام النجوم</w:t>
            </w:r>
            <w:r>
              <w:rPr>
                <w:rStyle w:val="IndexLink"/>
                <w:rtl w:val="true"/>
              </w:rPr>
              <w:tab/>
            </w:r>
            <w:r>
              <w:rPr>
                <w:rStyle w:val="IndexLink"/>
              </w:rPr>
              <w:t>118</w:t>
            </w:r>
          </w:hyperlink>
        </w:p>
        <w:p>
          <w:pPr>
            <w:pStyle w:val="Contents6"/>
            <w:tabs>
              <w:tab w:val="clear" w:pos="7609"/>
              <w:tab w:val="right" w:pos="9026" w:leader="dot"/>
            </w:tabs>
            <w:rPr/>
          </w:pPr>
          <w:hyperlink w:anchor="__RefHeading___Toc7642302_1280447820">
            <w:r>
              <w:rPr>
                <w:webHidden/>
                <w:rStyle w:val="IndexLink"/>
                <w:rtl w:val="true"/>
              </w:rPr>
              <w:t>صحّة الإخبار عن الكسوفات، و فرقه مع سائر إخبارات المنجّمين</w:t>
            </w:r>
            <w:r>
              <w:rPr>
                <w:rStyle w:val="IndexLink"/>
                <w:rtl w:val="true"/>
              </w:rPr>
              <w:tab/>
            </w:r>
            <w:r>
              <w:rPr>
                <w:rStyle w:val="IndexLink"/>
              </w:rPr>
              <w:t>120</w:t>
            </w:r>
          </w:hyperlink>
        </w:p>
        <w:p>
          <w:pPr>
            <w:pStyle w:val="Contents6"/>
            <w:tabs>
              <w:tab w:val="clear" w:pos="7609"/>
              <w:tab w:val="right" w:pos="9026" w:leader="dot"/>
            </w:tabs>
            <w:rPr/>
          </w:pPr>
          <w:hyperlink w:anchor="__RefHeading___Toc7642304_1280447820">
            <w:r>
              <w:rPr>
                <w:webHidden/>
                <w:rStyle w:val="IndexLink"/>
                <w:rtl w:val="true"/>
              </w:rPr>
              <w:t>المسألةُ السادسةُ‌ في بيان حقيقة المنامات</w:t>
            </w:r>
            <w:r>
              <w:rPr>
                <w:rStyle w:val="IndexLink"/>
                <w:rtl w:val="true"/>
              </w:rPr>
              <w:tab/>
            </w:r>
            <w:r>
              <w:rPr>
                <w:rStyle w:val="IndexLink"/>
              </w:rPr>
              <w:t>121</w:t>
            </w:r>
          </w:hyperlink>
        </w:p>
        <w:p>
          <w:pPr>
            <w:pStyle w:val="Contents6"/>
            <w:tabs>
              <w:tab w:val="clear" w:pos="7609"/>
              <w:tab w:val="right" w:pos="9026" w:leader="dot"/>
            </w:tabs>
            <w:rPr/>
          </w:pPr>
          <w:hyperlink w:anchor="__RefHeading___Toc7642306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7642308_1280447820">
            <w:r>
              <w:rPr>
                <w:webHidden/>
                <w:rStyle w:val="IndexLink"/>
                <w:rtl w:val="true"/>
              </w:rPr>
              <w:t>حقيقة المنامات و فاعلها</w:t>
            </w:r>
            <w:r>
              <w:rPr>
                <w:rStyle w:val="IndexLink"/>
                <w:rtl w:val="true"/>
              </w:rPr>
              <w:tab/>
            </w:r>
            <w:r>
              <w:rPr>
                <w:rStyle w:val="IndexLink"/>
              </w:rPr>
              <w:t>122</w:t>
            </w:r>
          </w:hyperlink>
        </w:p>
        <w:p>
          <w:pPr>
            <w:pStyle w:val="Contents6"/>
            <w:tabs>
              <w:tab w:val="clear" w:pos="7609"/>
              <w:tab w:val="right" w:pos="9026" w:leader="dot"/>
            </w:tabs>
            <w:rPr/>
          </w:pPr>
          <w:hyperlink w:anchor="__RefHeading___Toc7642310_1280447820">
            <w:r>
              <w:rPr>
                <w:webHidden/>
                <w:rStyle w:val="IndexLink"/>
                <w:rtl w:val="true"/>
              </w:rPr>
              <w:t>إبطال القول بصحّة جميع المنامات</w:t>
            </w:r>
            <w:r>
              <w:rPr>
                <w:rStyle w:val="IndexLink"/>
                <w:rtl w:val="true"/>
              </w:rPr>
              <w:tab/>
            </w:r>
            <w:r>
              <w:rPr>
                <w:rStyle w:val="IndexLink"/>
              </w:rPr>
              <w:t>123</w:t>
            </w:r>
          </w:hyperlink>
        </w:p>
        <w:p>
          <w:pPr>
            <w:pStyle w:val="Contents6"/>
            <w:tabs>
              <w:tab w:val="clear" w:pos="7609"/>
              <w:tab w:val="right" w:pos="9026" w:leader="dot"/>
            </w:tabs>
            <w:rPr/>
          </w:pPr>
          <w:hyperlink w:anchor="__RefHeading___Toc7642312_1280447820">
            <w:r>
              <w:rPr>
                <w:webHidden/>
                <w:rStyle w:val="IndexLink"/>
                <w:rtl w:val="true"/>
              </w:rPr>
              <w:t>أقسام المنامات</w:t>
            </w:r>
            <w:r>
              <w:rPr>
                <w:rStyle w:val="IndexLink"/>
                <w:rtl w:val="true"/>
              </w:rPr>
              <w:tab/>
            </w:r>
            <w:r>
              <w:rPr>
                <w:rStyle w:val="IndexLink"/>
              </w:rPr>
              <w:t>124</w:t>
            </w:r>
          </w:hyperlink>
        </w:p>
        <w:p>
          <w:pPr>
            <w:pStyle w:val="Contents6"/>
            <w:tabs>
              <w:tab w:val="clear" w:pos="7609"/>
              <w:tab w:val="right" w:pos="9026" w:leader="dot"/>
            </w:tabs>
            <w:rPr/>
          </w:pPr>
          <w:hyperlink w:anchor="__RefHeading___Toc7642314_1280447820">
            <w:r>
              <w:rPr>
                <w:webHidden/>
                <w:rStyle w:val="IndexLink"/>
                <w:rtl w:val="true"/>
              </w:rPr>
              <w:t>في بيان سبب صحّة بعض المنامات</w:t>
            </w:r>
            <w:r>
              <w:rPr>
                <w:rStyle w:val="IndexLink"/>
                <w:rtl w:val="true"/>
              </w:rPr>
              <w:tab/>
            </w:r>
            <w:r>
              <w:rPr>
                <w:rStyle w:val="IndexLink"/>
              </w:rPr>
              <w:t>125</w:t>
            </w:r>
          </w:hyperlink>
        </w:p>
        <w:p>
          <w:pPr>
            <w:pStyle w:val="Contents6"/>
            <w:tabs>
              <w:tab w:val="clear" w:pos="7609"/>
              <w:tab w:val="right" w:pos="9026" w:leader="dot"/>
            </w:tabs>
            <w:rPr/>
          </w:pPr>
          <w:hyperlink w:anchor="__RefHeading___Toc7642316_1280447820">
            <w:r>
              <w:rPr>
                <w:webHidden/>
                <w:rStyle w:val="IndexLink"/>
                <w:rtl w:val="true"/>
              </w:rPr>
              <w:t>نفي تأثير المأكولات في حصول المنامات</w:t>
            </w:r>
            <w:r>
              <w:rPr>
                <w:rStyle w:val="IndexLink"/>
                <w:rtl w:val="true"/>
              </w:rPr>
              <w:tab/>
            </w:r>
            <w:r>
              <w:rPr>
                <w:rStyle w:val="IndexLink"/>
              </w:rPr>
              <w:t>126</w:t>
            </w:r>
          </w:hyperlink>
        </w:p>
        <w:p>
          <w:pPr>
            <w:pStyle w:val="Contents6"/>
            <w:tabs>
              <w:tab w:val="clear" w:pos="7609"/>
              <w:tab w:val="right" w:pos="9026" w:leader="dot"/>
            </w:tabs>
            <w:rPr/>
          </w:pPr>
          <w:hyperlink w:anchor="__RefHeading___Toc7642318_1280447820">
            <w:r>
              <w:rPr>
                <w:webHidden/>
                <w:rStyle w:val="IndexLink"/>
                <w:rtl w:val="true"/>
              </w:rPr>
              <w:t>في حقيقة منامات الأنبياء عليهم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7642320_1280447820">
            <w:r>
              <w:rPr>
                <w:webHidden/>
                <w:rStyle w:val="IndexLink"/>
                <w:rtl w:val="true"/>
              </w:rPr>
              <w:t>تأويل قوله صلى الله عليه و آله</w:t>
            </w:r>
            <w:r>
              <w:rPr>
                <w:rStyle w:val="IndexLink"/>
                <w:rtl w:val="true"/>
              </w:rPr>
              <w:t>: «</w:t>
            </w:r>
            <w:r>
              <w:rPr>
                <w:rStyle w:val="IndexLink"/>
                <w:rtl w:val="true"/>
              </w:rPr>
              <w:t>مَن رآني فقد رآني</w:t>
            </w:r>
            <w:r>
              <w:rPr>
                <w:rStyle w:val="IndexLink"/>
                <w:rtl w:val="true"/>
              </w:rPr>
              <w:t>»</w:t>
              <w:tab/>
            </w:r>
            <w:r>
              <w:rPr>
                <w:rStyle w:val="IndexLink"/>
              </w:rPr>
              <w:t>128</w:t>
            </w:r>
          </w:hyperlink>
        </w:p>
        <w:p>
          <w:pPr>
            <w:pStyle w:val="Contents6"/>
            <w:tabs>
              <w:tab w:val="clear" w:pos="7609"/>
              <w:tab w:val="right" w:pos="9026" w:leader="dot"/>
            </w:tabs>
            <w:rPr/>
          </w:pPr>
          <w:hyperlink w:anchor="__RefHeading___Toc7642322_1280447820">
            <w:r>
              <w:rPr>
                <w:webHidden/>
                <w:rStyle w:val="IndexLink"/>
                <w:rtl w:val="true"/>
              </w:rPr>
              <w:t>في نفي تفسير الفلاسفة للمنامات الصحيحة</w:t>
            </w:r>
            <w:r>
              <w:rPr>
                <w:rStyle w:val="IndexLink"/>
                <w:rtl w:val="true"/>
              </w:rPr>
              <w:tab/>
            </w:r>
            <w:r>
              <w:rPr>
                <w:rStyle w:val="IndexLink"/>
              </w:rPr>
              <w:t>130</w:t>
            </w:r>
          </w:hyperlink>
        </w:p>
        <w:p>
          <w:pPr>
            <w:pStyle w:val="Contents6"/>
            <w:tabs>
              <w:tab w:val="clear" w:pos="7609"/>
              <w:tab w:val="right" w:pos="9026" w:leader="dot"/>
            </w:tabs>
            <w:rPr/>
          </w:pPr>
          <w:hyperlink w:anchor="__RefHeading___Toc7642324_1280447820">
            <w:r>
              <w:rPr>
                <w:webHidden/>
                <w:rStyle w:val="IndexLink"/>
                <w:rtl w:val="true"/>
              </w:rPr>
              <w:t>في بيان سبب الإنزال في المنام</w:t>
            </w:r>
            <w:r>
              <w:rPr>
                <w:rStyle w:val="IndexLink"/>
                <w:rtl w:val="true"/>
              </w:rPr>
              <w:tab/>
            </w:r>
            <w:r>
              <w:rPr>
                <w:rStyle w:val="IndexLink"/>
              </w:rPr>
              <w:t>131</w:t>
            </w:r>
          </w:hyperlink>
        </w:p>
        <w:p>
          <w:pPr>
            <w:pStyle w:val="Contents6"/>
            <w:tabs>
              <w:tab w:val="clear" w:pos="7609"/>
              <w:tab w:val="right" w:pos="9026" w:leader="dot"/>
            </w:tabs>
            <w:rPr/>
          </w:pPr>
          <w:hyperlink w:anchor="__RefHeading___Toc7642326_1280447820">
            <w:r>
              <w:rPr>
                <w:webHidden/>
                <w:rStyle w:val="IndexLink"/>
                <w:rtl w:val="true"/>
              </w:rPr>
              <w:t>المسألةُ السابعةُ في توارد الأدلّة</w:t>
            </w:r>
            <w:r>
              <w:rPr>
                <w:rStyle w:val="IndexLink"/>
                <w:rtl w:val="true"/>
              </w:rPr>
              <w:tab/>
            </w:r>
            <w:r>
              <w:rPr>
                <w:rStyle w:val="IndexLink"/>
              </w:rPr>
              <w:t>132</w:t>
            </w:r>
          </w:hyperlink>
        </w:p>
        <w:p>
          <w:pPr>
            <w:pStyle w:val="Contents6"/>
            <w:tabs>
              <w:tab w:val="clear" w:pos="7609"/>
              <w:tab w:val="right" w:pos="9026" w:leader="dot"/>
            </w:tabs>
            <w:rPr/>
          </w:pPr>
          <w:hyperlink w:anchor="__RefHeading___Toc7642328_1280447820">
            <w:r>
              <w:rPr>
                <w:webHidden/>
                <w:rStyle w:val="IndexLink"/>
                <w:rtl w:val="true"/>
              </w:rPr>
              <w:t>المسألةُ الثامنةُ في نفي كون الإرادة مقارنة لكلّ جزء من أجزاء الخبر</w:t>
            </w:r>
            <w:r>
              <w:rPr>
                <w:rStyle w:val="IndexLink"/>
                <w:rtl w:val="true"/>
              </w:rPr>
              <w:tab/>
            </w:r>
            <w:r>
              <w:rPr>
                <w:rStyle w:val="IndexLink"/>
              </w:rPr>
              <w:t>140</w:t>
            </w:r>
          </w:hyperlink>
        </w:p>
        <w:p>
          <w:pPr>
            <w:pStyle w:val="Contents4"/>
            <w:tabs>
              <w:tab w:val="clear" w:pos="8176"/>
              <w:tab w:val="right" w:pos="9026" w:leader="dot"/>
            </w:tabs>
            <w:rPr/>
          </w:pPr>
          <w:hyperlink w:anchor="__RefHeading___Toc7642330_1280447820">
            <w:r>
              <w:rPr>
                <w:webHidden/>
                <w:rStyle w:val="IndexLink"/>
                <w:rtl w:val="true"/>
              </w:rPr>
              <w:t>(</w:t>
            </w:r>
            <w:r>
              <w:rPr>
                <w:rStyle w:val="IndexLink"/>
              </w:rPr>
              <w:t>27</w:t>
            </w:r>
            <w:r>
              <w:rPr>
                <w:rStyle w:val="IndexLink"/>
                <w:rtl w:val="true"/>
              </w:rPr>
              <w:t xml:space="preserve">) </w:t>
            </w:r>
            <w:r>
              <w:rPr>
                <w:rStyle w:val="IndexLink"/>
                <w:rtl w:val="true"/>
              </w:rPr>
              <w:t>جوابات المسائل الرازيّة</w:t>
            </w:r>
            <w:r>
              <w:rPr>
                <w:rStyle w:val="IndexLink"/>
                <w:rtl w:val="true"/>
              </w:rPr>
              <w:tab/>
            </w:r>
            <w:r>
              <w:rPr>
                <w:rStyle w:val="IndexLink"/>
              </w:rPr>
              <w:t>144</w:t>
            </w:r>
          </w:hyperlink>
        </w:p>
        <w:p>
          <w:pPr>
            <w:pStyle w:val="Contents5"/>
            <w:tabs>
              <w:tab w:val="clear" w:pos="7892"/>
              <w:tab w:val="right" w:pos="9026" w:leader="dot"/>
            </w:tabs>
            <w:rPr/>
          </w:pPr>
          <w:hyperlink w:anchor="__RefHeading___Toc7642332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7642334_1280447820">
            <w:r>
              <w:rPr>
                <w:webHidden/>
                <w:rStyle w:val="IndexLink"/>
                <w:rtl w:val="true"/>
              </w:rPr>
              <w:t>مقدّمة التحقيق</w:t>
            </w:r>
            <w:r>
              <w:rPr>
                <w:rStyle w:val="IndexLink"/>
                <w:rtl w:val="true"/>
              </w:rPr>
              <w:tab/>
            </w:r>
            <w:r>
              <w:rPr>
                <w:rStyle w:val="IndexLink"/>
              </w:rPr>
              <w:t>146</w:t>
            </w:r>
          </w:hyperlink>
        </w:p>
        <w:p>
          <w:pPr>
            <w:pStyle w:val="Contents6"/>
            <w:tabs>
              <w:tab w:val="clear" w:pos="7609"/>
              <w:tab w:val="right" w:pos="9026" w:leader="dot"/>
            </w:tabs>
            <w:rPr/>
          </w:pPr>
          <w:hyperlink w:anchor="__RefHeading___Toc7642336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7642338_1280447820">
            <w:r>
              <w:rPr>
                <w:webHidden/>
                <w:rStyle w:val="IndexLink"/>
                <w:rtl w:val="true"/>
              </w:rPr>
              <w:t>نسبتها إلى المؤلّف</w:t>
            </w:r>
            <w:r>
              <w:rPr>
                <w:rStyle w:val="IndexLink"/>
                <w:rtl w:val="true"/>
              </w:rPr>
              <w:tab/>
            </w:r>
            <w:r>
              <w:rPr>
                <w:rStyle w:val="IndexLink"/>
              </w:rPr>
              <w:t>146</w:t>
            </w:r>
          </w:hyperlink>
        </w:p>
        <w:p>
          <w:pPr>
            <w:pStyle w:val="Contents6"/>
            <w:tabs>
              <w:tab w:val="clear" w:pos="7609"/>
              <w:tab w:val="right" w:pos="9026" w:leader="dot"/>
            </w:tabs>
            <w:rPr/>
          </w:pPr>
          <w:hyperlink w:anchor="__RefHeading___Toc7642340_1280447820">
            <w:r>
              <w:rPr>
                <w:webHidden/>
                <w:rStyle w:val="IndexLink"/>
                <w:rtl w:val="true"/>
              </w:rPr>
              <w:t>محتوى الرسالة</w:t>
            </w:r>
            <w:r>
              <w:rPr>
                <w:rStyle w:val="IndexLink"/>
                <w:rtl w:val="true"/>
              </w:rPr>
              <w:tab/>
            </w:r>
            <w:r>
              <w:rPr>
                <w:rStyle w:val="IndexLink"/>
              </w:rPr>
              <w:t>147</w:t>
            </w:r>
          </w:hyperlink>
        </w:p>
        <w:p>
          <w:pPr>
            <w:pStyle w:val="Contents6"/>
            <w:tabs>
              <w:tab w:val="clear" w:pos="7609"/>
              <w:tab w:val="right" w:pos="9026" w:leader="dot"/>
            </w:tabs>
            <w:rPr/>
          </w:pPr>
          <w:hyperlink w:anchor="__RefHeading___Toc7642342_1280447820">
            <w:r>
              <w:rPr>
                <w:webHidden/>
                <w:rStyle w:val="IndexLink"/>
                <w:rtl w:val="true"/>
              </w:rPr>
              <w:t>مخطوطات الرسالة</w:t>
            </w:r>
            <w:r>
              <w:rPr>
                <w:rStyle w:val="IndexLink"/>
                <w:rtl w:val="true"/>
              </w:rPr>
              <w:tab/>
            </w:r>
            <w:r>
              <w:rPr>
                <w:rStyle w:val="IndexLink"/>
              </w:rPr>
              <w:t>165</w:t>
            </w:r>
          </w:hyperlink>
        </w:p>
        <w:p>
          <w:pPr>
            <w:pStyle w:val="Contents5"/>
            <w:tabs>
              <w:tab w:val="clear" w:pos="7892"/>
              <w:tab w:val="right" w:pos="9026" w:leader="dot"/>
            </w:tabs>
            <w:rPr/>
          </w:pPr>
          <w:hyperlink w:anchor="__RefHeading___Toc7642344_1280447820">
            <w:r>
              <w:rPr>
                <w:webHidden/>
                <w:rStyle w:val="IndexLink"/>
                <w:rtl w:val="true"/>
              </w:rPr>
              <w:t>جواباتُ المَسائلِ الرازيّةِ‌</w:t>
            </w:r>
            <w:r>
              <w:rPr>
                <w:rStyle w:val="IndexLink"/>
                <w:rtl w:val="true"/>
              </w:rPr>
              <w:tab/>
            </w:r>
            <w:r>
              <w:rPr>
                <w:rStyle w:val="IndexLink"/>
              </w:rPr>
              <w:t>168</w:t>
            </w:r>
          </w:hyperlink>
        </w:p>
        <w:p>
          <w:pPr>
            <w:pStyle w:val="Contents6"/>
            <w:tabs>
              <w:tab w:val="clear" w:pos="7609"/>
              <w:tab w:val="right" w:pos="9026" w:leader="dot"/>
            </w:tabs>
            <w:rPr/>
          </w:pPr>
          <w:hyperlink w:anchor="__RefHeading___Toc7642346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7642348_1280447820">
            <w:r>
              <w:rPr>
                <w:webHidden/>
                <w:rStyle w:val="IndexLink"/>
                <w:rtl w:val="true"/>
              </w:rPr>
              <w:t>المَسألةُ الأُولىٰ حُرمةُ الفُقّاعِ عندَ الإماميّةِ‌</w:t>
            </w:r>
            <w:r>
              <w:rPr>
                <w:rStyle w:val="IndexLink"/>
                <w:rtl w:val="true"/>
              </w:rPr>
              <w:tab/>
            </w:r>
            <w:r>
              <w:rPr>
                <w:rStyle w:val="IndexLink"/>
              </w:rPr>
              <w:t>168</w:t>
            </w:r>
          </w:hyperlink>
        </w:p>
        <w:p>
          <w:pPr>
            <w:pStyle w:val="Contents6"/>
            <w:tabs>
              <w:tab w:val="clear" w:pos="7609"/>
              <w:tab w:val="right" w:pos="9026" w:leader="dot"/>
            </w:tabs>
            <w:rPr/>
          </w:pPr>
          <w:hyperlink w:anchor="__RefHeading___Toc7642350_1280447820">
            <w:r>
              <w:rPr>
                <w:webHidden/>
                <w:rStyle w:val="IndexLink"/>
                <w:rtl w:val="true"/>
              </w:rPr>
              <w:t>المسألةُ الثانيةُ عِلمُ النبيِّ صلى الله عليه و آله بالكِتابةِ و القِراءةِ‌</w:t>
            </w:r>
            <w:r>
              <w:rPr>
                <w:rStyle w:val="IndexLink"/>
                <w:rtl w:val="true"/>
              </w:rPr>
              <w:tab/>
            </w:r>
            <w:r>
              <w:rPr>
                <w:rStyle w:val="IndexLink"/>
              </w:rPr>
              <w:t>176</w:t>
            </w:r>
          </w:hyperlink>
        </w:p>
        <w:p>
          <w:pPr>
            <w:pStyle w:val="Contents6"/>
            <w:tabs>
              <w:tab w:val="clear" w:pos="7609"/>
              <w:tab w:val="right" w:pos="9026" w:leader="dot"/>
            </w:tabs>
            <w:rPr/>
          </w:pPr>
          <w:hyperlink w:anchor="__RefHeading___Toc7642352_1280447820">
            <w:r>
              <w:rPr>
                <w:webHidden/>
                <w:rStyle w:val="IndexLink"/>
                <w:rtl w:val="true"/>
              </w:rPr>
              <w:t>المَسألةُ الثالثةُ تفضيلُ الأنبياءِ علَى المَلائكةِ‌</w:t>
            </w:r>
            <w:r>
              <w:rPr>
                <w:rStyle w:val="IndexLink"/>
                <w:rtl w:val="true"/>
              </w:rPr>
              <w:tab/>
            </w:r>
            <w:r>
              <w:rPr>
                <w:rStyle w:val="IndexLink"/>
              </w:rPr>
              <w:t>183</w:t>
            </w:r>
          </w:hyperlink>
        </w:p>
        <w:p>
          <w:pPr>
            <w:pStyle w:val="Contents6"/>
            <w:tabs>
              <w:tab w:val="clear" w:pos="7609"/>
              <w:tab w:val="right" w:pos="9026" w:leader="dot"/>
            </w:tabs>
            <w:rPr/>
          </w:pPr>
          <w:hyperlink w:anchor="__RefHeading___Toc7642354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7642356_1280447820">
            <w:r>
              <w:rPr>
                <w:webHidden/>
                <w:rStyle w:val="IndexLink"/>
                <w:rtl w:val="true"/>
              </w:rPr>
              <w:t>مناقشة ما استُدلّ به علىٰ تفضيل الملائكة على الأنبياء</w:t>
            </w:r>
            <w:r>
              <w:rPr>
                <w:rStyle w:val="IndexLink"/>
                <w:rtl w:val="true"/>
              </w:rPr>
              <w:tab/>
            </w:r>
            <w:r>
              <w:rPr>
                <w:rStyle w:val="IndexLink"/>
              </w:rPr>
              <w:t>185</w:t>
            </w:r>
          </w:hyperlink>
        </w:p>
        <w:p>
          <w:pPr>
            <w:pStyle w:val="Contents6"/>
            <w:tabs>
              <w:tab w:val="clear" w:pos="7609"/>
              <w:tab w:val="right" w:pos="9026" w:leader="dot"/>
            </w:tabs>
            <w:rPr/>
          </w:pPr>
          <w:hyperlink w:anchor="__RefHeading___Toc7642358_1280447820">
            <w:r>
              <w:rPr>
                <w:webHidden/>
                <w:rStyle w:val="IndexLink"/>
                <w:rtl w:val="true"/>
              </w:rPr>
              <w:t>المَسألةُ الرابعةُ الذَّرُّ و حقيقتُه</w:t>
            </w:r>
            <w:r>
              <w:rPr>
                <w:rStyle w:val="IndexLink"/>
                <w:rtl w:val="true"/>
              </w:rPr>
              <w:tab/>
            </w:r>
            <w:r>
              <w:rPr>
                <w:rStyle w:val="IndexLink"/>
              </w:rPr>
              <w:t>189</w:t>
            </w:r>
          </w:hyperlink>
        </w:p>
        <w:p>
          <w:pPr>
            <w:pStyle w:val="Contents6"/>
            <w:tabs>
              <w:tab w:val="clear" w:pos="7609"/>
              <w:tab w:val="right" w:pos="9026" w:leader="dot"/>
            </w:tabs>
            <w:rPr/>
          </w:pPr>
          <w:hyperlink w:anchor="__RefHeading___Toc7642360_1280447820">
            <w:r>
              <w:rPr>
                <w:webHidden/>
                <w:rStyle w:val="IndexLink"/>
                <w:rtl w:val="true"/>
              </w:rPr>
              <w:t>المَسألةُ الخامسةُ البَداءُ و حقيقتُه</w:t>
            </w:r>
            <w:r>
              <w:rPr>
                <w:rStyle w:val="IndexLink"/>
                <w:rtl w:val="true"/>
              </w:rPr>
              <w:tab/>
            </w:r>
            <w:r>
              <w:rPr>
                <w:rStyle w:val="IndexLink"/>
              </w:rPr>
              <w:t>193</w:t>
            </w:r>
          </w:hyperlink>
        </w:p>
        <w:p>
          <w:pPr>
            <w:pStyle w:val="Contents6"/>
            <w:tabs>
              <w:tab w:val="clear" w:pos="7609"/>
              <w:tab w:val="right" w:pos="9026" w:leader="dot"/>
            </w:tabs>
            <w:rPr/>
          </w:pPr>
          <w:hyperlink w:anchor="__RefHeading___Toc7642362_1280447820">
            <w:r>
              <w:rPr>
                <w:webHidden/>
                <w:rStyle w:val="IndexLink"/>
                <w:rtl w:val="true"/>
              </w:rPr>
              <w:t>المَسألةُ السادسةُ تحقيقٌ حَولَ قولِه عليه السلام</w:t>
            </w:r>
            <w:r>
              <w:rPr>
                <w:rStyle w:val="IndexLink"/>
                <w:rtl w:val="true"/>
              </w:rPr>
              <w:t>: «</w:t>
            </w:r>
            <w:r>
              <w:rPr>
                <w:rStyle w:val="IndexLink"/>
                <w:rtl w:val="true"/>
              </w:rPr>
              <w:t>نيّةُ المؤمِنِ خَيرٌ مِن عملِه</w:t>
            </w:r>
            <w:r>
              <w:rPr>
                <w:rStyle w:val="IndexLink"/>
                <w:rtl w:val="true"/>
              </w:rPr>
              <w:t>»</w:t>
              <w:tab/>
            </w:r>
            <w:r>
              <w:rPr>
                <w:rStyle w:val="IndexLink"/>
              </w:rPr>
              <w:t>199</w:t>
            </w:r>
          </w:hyperlink>
        </w:p>
        <w:p>
          <w:pPr>
            <w:pStyle w:val="Contents6"/>
            <w:tabs>
              <w:tab w:val="clear" w:pos="7609"/>
              <w:tab w:val="right" w:pos="9026" w:leader="dot"/>
            </w:tabs>
            <w:rPr/>
          </w:pPr>
          <w:hyperlink w:anchor="__RefHeading___Toc7642364_1280447820">
            <w:r>
              <w:rPr>
                <w:webHidden/>
                <w:rStyle w:val="IndexLink"/>
                <w:rtl w:val="true"/>
              </w:rPr>
              <w:t>المَسألةُ السابعةُ هَل تَقَعُ مِن الأنبياءِ الصغائرُ أو الكبائرُ؟</w:t>
            </w:r>
            <w:r>
              <w:rPr>
                <w:rStyle w:val="IndexLink"/>
                <w:rtl w:val="true"/>
              </w:rPr>
              <w:tab/>
            </w:r>
            <w:r>
              <w:rPr>
                <w:rStyle w:val="IndexLink"/>
              </w:rPr>
              <w:t>202</w:t>
            </w:r>
          </w:hyperlink>
        </w:p>
        <w:p>
          <w:pPr>
            <w:pStyle w:val="Contents6"/>
            <w:tabs>
              <w:tab w:val="clear" w:pos="7609"/>
              <w:tab w:val="right" w:pos="9026" w:leader="dot"/>
            </w:tabs>
            <w:rPr/>
          </w:pPr>
          <w:hyperlink w:anchor="__RefHeading___Toc7642366_1280447820">
            <w:r>
              <w:rPr>
                <w:webHidden/>
                <w:rStyle w:val="IndexLink"/>
                <w:rtl w:val="true"/>
              </w:rPr>
              <w:t>المسألةُ الثامنةُ حقيقةُ الرَّجعةِ‌</w:t>
            </w:r>
            <w:r>
              <w:rPr>
                <w:rStyle w:val="IndexLink"/>
                <w:rtl w:val="true"/>
              </w:rPr>
              <w:tab/>
            </w:r>
            <w:r>
              <w:rPr>
                <w:rStyle w:val="IndexLink"/>
              </w:rPr>
              <w:t>209</w:t>
            </w:r>
          </w:hyperlink>
        </w:p>
        <w:p>
          <w:pPr>
            <w:pStyle w:val="Contents6"/>
            <w:tabs>
              <w:tab w:val="clear" w:pos="7609"/>
              <w:tab w:val="right" w:pos="9026" w:leader="dot"/>
            </w:tabs>
            <w:rPr/>
          </w:pPr>
          <w:hyperlink w:anchor="__RefHeading___Toc7642368_1280447820">
            <w:r>
              <w:rPr>
                <w:webHidden/>
                <w:rStyle w:val="IndexLink"/>
                <w:rtl w:val="true"/>
              </w:rPr>
              <w:t>المَسألةُ التاسعةُ الطريقُ إلىٰ مَعرِفةِ اللّٰهِ تَعالىٰ‌</w:t>
            </w:r>
            <w:r>
              <w:rPr>
                <w:rStyle w:val="IndexLink"/>
                <w:rtl w:val="true"/>
              </w:rPr>
              <w:tab/>
            </w:r>
            <w:r>
              <w:rPr>
                <w:rStyle w:val="IndexLink"/>
              </w:rPr>
              <w:t>212</w:t>
            </w:r>
          </w:hyperlink>
        </w:p>
        <w:p>
          <w:pPr>
            <w:pStyle w:val="Contents6"/>
            <w:tabs>
              <w:tab w:val="clear" w:pos="7609"/>
              <w:tab w:val="right" w:pos="9026" w:leader="dot"/>
            </w:tabs>
            <w:rPr/>
          </w:pPr>
          <w:hyperlink w:anchor="__RefHeading___Toc7642370_1280447820">
            <w:r>
              <w:rPr>
                <w:webHidden/>
                <w:rStyle w:val="IndexLink"/>
                <w:rtl w:val="true"/>
              </w:rPr>
              <w:t>المَسألةُ العاشرةُ الوجهُ في حُسنِ أفعالِ اللّٰهِ تَعالىٰ‌</w:t>
            </w:r>
            <w:r>
              <w:rPr>
                <w:rStyle w:val="IndexLink"/>
                <w:rtl w:val="true"/>
              </w:rPr>
              <w:tab/>
            </w:r>
            <w:r>
              <w:rPr>
                <w:rStyle w:val="IndexLink"/>
              </w:rPr>
              <w:t>215</w:t>
            </w:r>
          </w:hyperlink>
        </w:p>
        <w:p>
          <w:pPr>
            <w:pStyle w:val="Contents6"/>
            <w:tabs>
              <w:tab w:val="clear" w:pos="7609"/>
              <w:tab w:val="right" w:pos="9026" w:leader="dot"/>
            </w:tabs>
            <w:rPr/>
          </w:pPr>
          <w:hyperlink w:anchor="__RefHeading___Toc7642372_1280447820">
            <w:r>
              <w:rPr>
                <w:webHidden/>
                <w:rStyle w:val="IndexLink"/>
                <w:rtl w:val="true"/>
              </w:rPr>
              <w:t>المَسألةُ الحاديةَ‌ عَشْرةَ‌ عدمُ وجوبِ خَلقِ الخَلقِ‌</w:t>
            </w:r>
            <w:r>
              <w:rPr>
                <w:rStyle w:val="IndexLink"/>
                <w:rtl w:val="true"/>
              </w:rPr>
              <w:tab/>
            </w:r>
            <w:r>
              <w:rPr>
                <w:rStyle w:val="IndexLink"/>
              </w:rPr>
              <w:t>216</w:t>
            </w:r>
          </w:hyperlink>
        </w:p>
        <w:p>
          <w:pPr>
            <w:pStyle w:val="Contents6"/>
            <w:tabs>
              <w:tab w:val="clear" w:pos="7609"/>
              <w:tab w:val="right" w:pos="9026" w:leader="dot"/>
            </w:tabs>
            <w:rPr/>
          </w:pPr>
          <w:hyperlink w:anchor="__RefHeading___Toc7642374_1280447820">
            <w:r>
              <w:rPr>
                <w:webHidden/>
                <w:rStyle w:val="IndexLink"/>
                <w:rtl w:val="true"/>
              </w:rPr>
              <w:t>المَسألةُ الثانيةَ‌ عَشْرةَ‌ حقيقةُ الروحِ‌</w:t>
            </w:r>
            <w:r>
              <w:rPr>
                <w:rStyle w:val="IndexLink"/>
                <w:rtl w:val="true"/>
              </w:rPr>
              <w:tab/>
            </w:r>
            <w:r>
              <w:rPr>
                <w:rStyle w:val="IndexLink"/>
              </w:rPr>
              <w:t>217</w:t>
            </w:r>
          </w:hyperlink>
        </w:p>
        <w:p>
          <w:pPr>
            <w:pStyle w:val="Contents6"/>
            <w:tabs>
              <w:tab w:val="clear" w:pos="7609"/>
              <w:tab w:val="right" w:pos="9026" w:leader="dot"/>
            </w:tabs>
            <w:rPr/>
          </w:pPr>
          <w:hyperlink w:anchor="__RefHeading___Toc7642376_1280447820">
            <w:r>
              <w:rPr>
                <w:webHidden/>
                <w:rStyle w:val="IndexLink"/>
                <w:rtl w:val="true"/>
              </w:rPr>
              <w:t>المَسألةُ الثالثةَ‌ عَشْرةَ‌ حُكمُ الزاني بذاتِ البَعلِ في تزويجِها</w:t>
            </w:r>
            <w:r>
              <w:rPr>
                <w:rStyle w:val="IndexLink"/>
                <w:rtl w:val="true"/>
              </w:rPr>
              <w:tab/>
            </w:r>
            <w:r>
              <w:rPr>
                <w:rStyle w:val="IndexLink"/>
              </w:rPr>
              <w:t>218</w:t>
            </w:r>
          </w:hyperlink>
        </w:p>
        <w:p>
          <w:pPr>
            <w:pStyle w:val="Contents6"/>
            <w:tabs>
              <w:tab w:val="clear" w:pos="7609"/>
              <w:tab w:val="right" w:pos="9026" w:leader="dot"/>
            </w:tabs>
            <w:rPr/>
          </w:pPr>
          <w:hyperlink w:anchor="__RefHeading___Toc7642378_1280447820">
            <w:r>
              <w:rPr>
                <w:webHidden/>
                <w:rStyle w:val="IndexLink"/>
                <w:rtl w:val="true"/>
              </w:rPr>
              <w:t>المَسألةُ الرابعةَ‌ عَشْرةَ‌ الإرجاءُ‌</w:t>
            </w:r>
            <w:r>
              <w:rPr>
                <w:rStyle w:val="IndexLink"/>
                <w:rtl w:val="true"/>
              </w:rPr>
              <w:tab/>
            </w:r>
            <w:r>
              <w:rPr>
                <w:rStyle w:val="IndexLink"/>
              </w:rPr>
              <w:t>219</w:t>
            </w:r>
          </w:hyperlink>
        </w:p>
        <w:p>
          <w:pPr>
            <w:pStyle w:val="Contents6"/>
            <w:tabs>
              <w:tab w:val="clear" w:pos="7609"/>
              <w:tab w:val="right" w:pos="9026" w:leader="dot"/>
            </w:tabs>
            <w:rPr/>
          </w:pPr>
          <w:hyperlink w:anchor="__RefHeading___Toc7642380_1280447820">
            <w:r>
              <w:rPr>
                <w:webHidden/>
                <w:rStyle w:val="IndexLink"/>
                <w:rtl w:val="true"/>
              </w:rPr>
              <w:t>المَسألةُ الخامسةَ‌ عَشْرةَ‌ دخولُ العَبدِ الجَنّةَ باستحقاقِه</w:t>
            </w:r>
            <w:r>
              <w:rPr>
                <w:rStyle w:val="IndexLink"/>
                <w:rtl w:val="true"/>
              </w:rPr>
              <w:tab/>
            </w:r>
            <w:r>
              <w:rPr>
                <w:rStyle w:val="IndexLink"/>
              </w:rPr>
              <w:t>221</w:t>
            </w:r>
          </w:hyperlink>
        </w:p>
        <w:p>
          <w:pPr>
            <w:pStyle w:val="Contents4"/>
            <w:tabs>
              <w:tab w:val="clear" w:pos="8176"/>
              <w:tab w:val="right" w:pos="9026" w:leader="dot"/>
            </w:tabs>
            <w:rPr/>
          </w:pPr>
          <w:hyperlink w:anchor="__RefHeading___Toc7642382_1280447820">
            <w:r>
              <w:rPr>
                <w:webHidden/>
                <w:rStyle w:val="IndexLink"/>
                <w:rtl w:val="true"/>
              </w:rPr>
              <w:t>(</w:t>
            </w:r>
            <w:r>
              <w:rPr>
                <w:rStyle w:val="IndexLink"/>
              </w:rPr>
              <w:t>28</w:t>
            </w:r>
            <w:r>
              <w:rPr>
                <w:rStyle w:val="IndexLink"/>
                <w:rtl w:val="true"/>
              </w:rPr>
              <w:t xml:space="preserve">) </w:t>
            </w:r>
            <w:r>
              <w:rPr>
                <w:rStyle w:val="IndexLink"/>
                <w:rtl w:val="true"/>
              </w:rPr>
              <w:t>جواب المسائل الواردة من طبرستان</w:t>
            </w:r>
            <w:r>
              <w:rPr>
                <w:rStyle w:val="IndexLink"/>
                <w:rtl w:val="true"/>
              </w:rPr>
              <w:tab/>
            </w:r>
            <w:r>
              <w:rPr>
                <w:rStyle w:val="IndexLink"/>
              </w:rPr>
              <w:t>222</w:t>
            </w:r>
          </w:hyperlink>
        </w:p>
        <w:p>
          <w:pPr>
            <w:pStyle w:val="Contents5"/>
            <w:tabs>
              <w:tab w:val="clear" w:pos="7892"/>
              <w:tab w:val="right" w:pos="9026" w:leader="dot"/>
            </w:tabs>
            <w:rPr/>
          </w:pPr>
          <w:hyperlink w:anchor="__RefHeading___Toc7642384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7642386_1280447820">
            <w:r>
              <w:rPr>
                <w:webHidden/>
                <w:rStyle w:val="IndexLink"/>
                <w:rtl w:val="true"/>
              </w:rPr>
              <w:t>مقدّمة التحقيق</w:t>
            </w:r>
            <w:r>
              <w:rPr>
                <w:rStyle w:val="IndexLink"/>
                <w:rtl w:val="true"/>
              </w:rPr>
              <w:tab/>
            </w:r>
            <w:r>
              <w:rPr>
                <w:rStyle w:val="IndexLink"/>
              </w:rPr>
              <w:t>224</w:t>
            </w:r>
          </w:hyperlink>
        </w:p>
        <w:p>
          <w:pPr>
            <w:pStyle w:val="Contents6"/>
            <w:tabs>
              <w:tab w:val="clear" w:pos="7609"/>
              <w:tab w:val="right" w:pos="9026" w:leader="dot"/>
            </w:tabs>
            <w:rPr/>
          </w:pPr>
          <w:hyperlink w:anchor="__RefHeading___Toc7642388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7642390_1280447820">
            <w:r>
              <w:rPr>
                <w:webHidden/>
                <w:rStyle w:val="IndexLink"/>
                <w:rtl w:val="true"/>
              </w:rPr>
              <w:t>نسبتها إلى المؤلّف</w:t>
            </w:r>
            <w:r>
              <w:rPr>
                <w:rStyle w:val="IndexLink"/>
                <w:rtl w:val="true"/>
              </w:rPr>
              <w:tab/>
            </w:r>
            <w:r>
              <w:rPr>
                <w:rStyle w:val="IndexLink"/>
              </w:rPr>
              <w:t>224</w:t>
            </w:r>
          </w:hyperlink>
        </w:p>
        <w:p>
          <w:pPr>
            <w:pStyle w:val="Contents6"/>
            <w:tabs>
              <w:tab w:val="clear" w:pos="7609"/>
              <w:tab w:val="right" w:pos="9026" w:leader="dot"/>
            </w:tabs>
            <w:rPr/>
          </w:pPr>
          <w:hyperlink w:anchor="__RefHeading___Toc7642392_1280447820">
            <w:r>
              <w:rPr>
                <w:webHidden/>
                <w:rStyle w:val="IndexLink"/>
                <w:rtl w:val="true"/>
              </w:rPr>
              <w:t>محتوى الرسالة</w:t>
            </w:r>
            <w:r>
              <w:rPr>
                <w:rStyle w:val="IndexLink"/>
                <w:rtl w:val="true"/>
              </w:rPr>
              <w:tab/>
            </w:r>
            <w:r>
              <w:rPr>
                <w:rStyle w:val="IndexLink"/>
              </w:rPr>
              <w:t>225</w:t>
            </w:r>
          </w:hyperlink>
        </w:p>
        <w:p>
          <w:pPr>
            <w:pStyle w:val="Contents6"/>
            <w:tabs>
              <w:tab w:val="clear" w:pos="7609"/>
              <w:tab w:val="right" w:pos="9026" w:leader="dot"/>
            </w:tabs>
            <w:rPr/>
          </w:pPr>
          <w:hyperlink w:anchor="__RefHeading___Toc7642394_1280447820">
            <w:r>
              <w:rPr>
                <w:webHidden/>
                <w:rStyle w:val="IndexLink"/>
                <w:rtl w:val="true"/>
              </w:rPr>
              <w:t>مخطوطات الرسالة</w:t>
            </w:r>
            <w:r>
              <w:rPr>
                <w:rStyle w:val="IndexLink"/>
                <w:rtl w:val="true"/>
              </w:rPr>
              <w:tab/>
            </w:r>
            <w:r>
              <w:rPr>
                <w:rStyle w:val="IndexLink"/>
              </w:rPr>
              <w:t>235</w:t>
            </w:r>
          </w:hyperlink>
        </w:p>
        <w:p>
          <w:pPr>
            <w:pStyle w:val="Contents5"/>
            <w:tabs>
              <w:tab w:val="clear" w:pos="7892"/>
              <w:tab w:val="right" w:pos="9026" w:leader="dot"/>
            </w:tabs>
            <w:rPr/>
          </w:pPr>
          <w:hyperlink w:anchor="__RefHeading___Toc7642396_1280447820">
            <w:r>
              <w:rPr>
                <w:webHidden/>
                <w:rStyle w:val="IndexLink"/>
                <w:rtl w:val="true"/>
              </w:rPr>
              <w:t>جوابُ المَسائلِ الواردةِ مِن طَبَرِستانَ‌</w:t>
            </w:r>
            <w:r>
              <w:rPr>
                <w:rStyle w:val="IndexLink"/>
                <w:rtl w:val="true"/>
              </w:rPr>
              <w:tab/>
            </w:r>
            <w:r>
              <w:rPr>
                <w:rStyle w:val="IndexLink"/>
              </w:rPr>
              <w:t>236</w:t>
            </w:r>
          </w:hyperlink>
        </w:p>
        <w:p>
          <w:pPr>
            <w:pStyle w:val="Contents6"/>
            <w:tabs>
              <w:tab w:val="clear" w:pos="7609"/>
              <w:tab w:val="right" w:pos="9026" w:leader="dot"/>
            </w:tabs>
            <w:rPr/>
          </w:pPr>
          <w:hyperlink w:anchor="__RefHeading___Toc7642398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7642400_1280447820">
            <w:r>
              <w:rPr>
                <w:webHidden/>
                <w:rStyle w:val="IndexLink"/>
                <w:rtl w:val="true"/>
              </w:rPr>
              <w:t>المَسألةُ الأُولىٰ نسبةُ أفعالِ العبادِ إلى اللّٰهِ تعالىٰ و إليهم</w:t>
            </w:r>
            <w:r>
              <w:rPr>
                <w:rStyle w:val="IndexLink"/>
                <w:rtl w:val="true"/>
              </w:rPr>
              <w:tab/>
            </w:r>
            <w:r>
              <w:rPr>
                <w:rStyle w:val="IndexLink"/>
              </w:rPr>
              <w:t>236</w:t>
            </w:r>
          </w:hyperlink>
        </w:p>
        <w:p>
          <w:pPr>
            <w:pStyle w:val="Contents6"/>
            <w:tabs>
              <w:tab w:val="clear" w:pos="7609"/>
              <w:tab w:val="right" w:pos="9026" w:leader="dot"/>
            </w:tabs>
            <w:rPr/>
          </w:pPr>
          <w:hyperlink w:anchor="__RefHeading___Toc7642402_1280447820">
            <w:r>
              <w:rPr>
                <w:webHidden/>
                <w:rStyle w:val="IndexLink"/>
                <w:rtl w:val="true"/>
              </w:rPr>
              <w:t>المَسألةُ الثانيةُ عَدَمُ إرادةِ اللّٰهِ تَعالَى المَعاصيَ و القَبائحَ‌</w:t>
            </w:r>
            <w:r>
              <w:rPr>
                <w:rStyle w:val="IndexLink"/>
                <w:rtl w:val="true"/>
              </w:rPr>
              <w:tab/>
            </w:r>
            <w:r>
              <w:rPr>
                <w:rStyle w:val="IndexLink"/>
              </w:rPr>
              <w:t>243</w:t>
            </w:r>
          </w:hyperlink>
        </w:p>
        <w:p>
          <w:pPr>
            <w:pStyle w:val="Contents6"/>
            <w:tabs>
              <w:tab w:val="clear" w:pos="7609"/>
              <w:tab w:val="right" w:pos="9026" w:leader="dot"/>
            </w:tabs>
            <w:rPr/>
          </w:pPr>
          <w:hyperlink w:anchor="__RefHeading___Toc7642404_1280447820">
            <w:r>
              <w:rPr>
                <w:webHidden/>
                <w:rStyle w:val="IndexLink"/>
                <w:rtl w:val="true"/>
              </w:rPr>
              <w:t>المَسألةُ الثالثةُ القولُ في الِاستطاعةِ‌</w:t>
            </w:r>
            <w:r>
              <w:rPr>
                <w:rStyle w:val="IndexLink"/>
                <w:rtl w:val="true"/>
              </w:rPr>
              <w:tab/>
            </w:r>
            <w:r>
              <w:rPr>
                <w:rStyle w:val="IndexLink"/>
              </w:rPr>
              <w:t>248</w:t>
            </w:r>
          </w:hyperlink>
        </w:p>
        <w:p>
          <w:pPr>
            <w:pStyle w:val="Contents6"/>
            <w:tabs>
              <w:tab w:val="clear" w:pos="7609"/>
              <w:tab w:val="right" w:pos="9026" w:leader="dot"/>
            </w:tabs>
            <w:rPr/>
          </w:pPr>
          <w:hyperlink w:anchor="__RefHeading___Toc7642406_1280447820">
            <w:r>
              <w:rPr>
                <w:webHidden/>
                <w:rStyle w:val="IndexLink"/>
                <w:rtl w:val="true"/>
              </w:rPr>
              <w:t>المَسألةُ الرابعةُ الوعيدُ و الشفاعةُ‌</w:t>
            </w:r>
            <w:r>
              <w:rPr>
                <w:rStyle w:val="IndexLink"/>
                <w:rtl w:val="true"/>
              </w:rPr>
              <w:tab/>
            </w:r>
            <w:r>
              <w:rPr>
                <w:rStyle w:val="IndexLink"/>
              </w:rPr>
              <w:t>251</w:t>
            </w:r>
          </w:hyperlink>
        </w:p>
        <w:p>
          <w:pPr>
            <w:pStyle w:val="Contents6"/>
            <w:tabs>
              <w:tab w:val="clear" w:pos="7609"/>
              <w:tab w:val="right" w:pos="9026" w:leader="dot"/>
            </w:tabs>
            <w:rPr/>
          </w:pPr>
          <w:hyperlink w:anchor="__RefHeading___Toc7642408_1280447820">
            <w:r>
              <w:rPr>
                <w:webHidden/>
                <w:rStyle w:val="IndexLink"/>
                <w:rtl w:val="true"/>
              </w:rPr>
              <w:t>المَسألةُ الخامسةُ القُرآنُ مُحدَثٌ غيرُ مخلوقٍ‌</w:t>
            </w:r>
            <w:r>
              <w:rPr>
                <w:rStyle w:val="IndexLink"/>
                <w:rtl w:val="true"/>
              </w:rPr>
              <w:tab/>
            </w:r>
            <w:r>
              <w:rPr>
                <w:rStyle w:val="IndexLink"/>
              </w:rPr>
              <w:t>258</w:t>
            </w:r>
          </w:hyperlink>
        </w:p>
        <w:p>
          <w:pPr>
            <w:pStyle w:val="Contents6"/>
            <w:tabs>
              <w:tab w:val="clear" w:pos="7609"/>
              <w:tab w:val="right" w:pos="9026" w:leader="dot"/>
            </w:tabs>
            <w:rPr/>
          </w:pPr>
          <w:hyperlink w:anchor="__RefHeading___Toc7642410_1280447820">
            <w:r>
              <w:rPr>
                <w:webHidden/>
                <w:rStyle w:val="IndexLink"/>
                <w:rtl w:val="true"/>
              </w:rPr>
              <w:t>المَسألةُ السادسةُ حُكمُ المُخالِفِ في الفُروعِ‌</w:t>
            </w:r>
            <w:r>
              <w:rPr>
                <w:rStyle w:val="IndexLink"/>
                <w:rtl w:val="true"/>
              </w:rPr>
              <w:tab/>
            </w:r>
            <w:r>
              <w:rPr>
                <w:rStyle w:val="IndexLink"/>
              </w:rPr>
              <w:t>261</w:t>
            </w:r>
          </w:hyperlink>
        </w:p>
        <w:p>
          <w:pPr>
            <w:pStyle w:val="Contents6"/>
            <w:tabs>
              <w:tab w:val="clear" w:pos="7609"/>
              <w:tab w:val="right" w:pos="9026" w:leader="dot"/>
            </w:tabs>
            <w:rPr/>
          </w:pPr>
          <w:hyperlink w:anchor="__RefHeading___Toc7642412_1280447820">
            <w:r>
              <w:rPr>
                <w:webHidden/>
                <w:rStyle w:val="IndexLink"/>
                <w:rtl w:val="true"/>
              </w:rPr>
              <w:t>المَسألةُ السابعةُ حُكمُ مُرتَكِبِ الكَبائرِ</w:t>
            </w:r>
            <w:r>
              <w:rPr>
                <w:rStyle w:val="IndexLink"/>
                <w:rtl w:val="true"/>
              </w:rPr>
              <w:tab/>
            </w:r>
            <w:r>
              <w:rPr>
                <w:rStyle w:val="IndexLink"/>
              </w:rPr>
              <w:t>263</w:t>
            </w:r>
          </w:hyperlink>
        </w:p>
        <w:p>
          <w:pPr>
            <w:pStyle w:val="Contents6"/>
            <w:tabs>
              <w:tab w:val="clear" w:pos="7609"/>
              <w:tab w:val="right" w:pos="9026" w:leader="dot"/>
            </w:tabs>
            <w:rPr/>
          </w:pPr>
          <w:hyperlink w:anchor="__RefHeading___Toc7642414_1280447820">
            <w:r>
              <w:rPr>
                <w:webHidden/>
                <w:rStyle w:val="IndexLink"/>
                <w:rtl w:val="true"/>
              </w:rPr>
              <w:t>المَسألةُ الثامنةُ اعتبارُ الرؤيةِ في الشُّهورِ</w:t>
            </w:r>
            <w:r>
              <w:rPr>
                <w:rStyle w:val="IndexLink"/>
                <w:rtl w:val="true"/>
              </w:rPr>
              <w:tab/>
            </w:r>
            <w:r>
              <w:rPr>
                <w:rStyle w:val="IndexLink"/>
              </w:rPr>
              <w:t>265</w:t>
            </w:r>
          </w:hyperlink>
        </w:p>
        <w:p>
          <w:pPr>
            <w:pStyle w:val="Contents6"/>
            <w:tabs>
              <w:tab w:val="clear" w:pos="7609"/>
              <w:tab w:val="right" w:pos="9026" w:leader="dot"/>
            </w:tabs>
            <w:rPr/>
          </w:pPr>
          <w:hyperlink w:anchor="__RefHeading___Toc7642416_1280447820">
            <w:r>
              <w:rPr>
                <w:webHidden/>
                <w:rStyle w:val="IndexLink"/>
                <w:rtl w:val="true"/>
              </w:rPr>
              <w:t>المَسألةُ التاسعةُ حُكمُ شُربِ الفُقّاعِ‌</w:t>
            </w:r>
            <w:r>
              <w:rPr>
                <w:rStyle w:val="IndexLink"/>
                <w:rtl w:val="true"/>
              </w:rPr>
              <w:tab/>
            </w:r>
            <w:r>
              <w:rPr>
                <w:rStyle w:val="IndexLink"/>
              </w:rPr>
              <w:t>269</w:t>
            </w:r>
          </w:hyperlink>
        </w:p>
        <w:p>
          <w:pPr>
            <w:pStyle w:val="Contents6"/>
            <w:tabs>
              <w:tab w:val="clear" w:pos="7609"/>
              <w:tab w:val="right" w:pos="9026" w:leader="dot"/>
            </w:tabs>
            <w:rPr/>
          </w:pPr>
          <w:hyperlink w:anchor="__RefHeading___Toc7642418_1280447820">
            <w:r>
              <w:rPr>
                <w:webHidden/>
                <w:rStyle w:val="IndexLink"/>
                <w:rtl w:val="true"/>
              </w:rPr>
              <w:t>المَسألةُ العاشِرةُ حُكمُ عبادةِ الكافرِ</w:t>
            </w:r>
            <w:r>
              <w:rPr>
                <w:rStyle w:val="IndexLink"/>
                <w:rtl w:val="true"/>
              </w:rPr>
              <w:tab/>
            </w:r>
            <w:r>
              <w:rPr>
                <w:rStyle w:val="IndexLink"/>
              </w:rPr>
              <w:t>271</w:t>
            </w:r>
          </w:hyperlink>
        </w:p>
        <w:p>
          <w:pPr>
            <w:pStyle w:val="Contents6"/>
            <w:tabs>
              <w:tab w:val="clear" w:pos="7609"/>
              <w:tab w:val="right" w:pos="9026" w:leader="dot"/>
            </w:tabs>
            <w:rPr/>
          </w:pPr>
          <w:hyperlink w:anchor="__RefHeading___Toc7642420_1280447820">
            <w:r>
              <w:rPr>
                <w:webHidden/>
                <w:rStyle w:val="IndexLink"/>
                <w:rtl w:val="true"/>
              </w:rPr>
              <w:t>المَسألةُ الحاديةَ عَشَرَ عَدَدُ أُصولِ الدينِ‌</w:t>
            </w:r>
            <w:r>
              <w:rPr>
                <w:rStyle w:val="IndexLink"/>
                <w:rtl w:val="true"/>
              </w:rPr>
              <w:tab/>
            </w:r>
            <w:r>
              <w:rPr>
                <w:rStyle w:val="IndexLink"/>
              </w:rPr>
              <w:t>274</w:t>
            </w:r>
          </w:hyperlink>
        </w:p>
        <w:p>
          <w:pPr>
            <w:pStyle w:val="Contents5"/>
            <w:tabs>
              <w:tab w:val="clear" w:pos="7892"/>
              <w:tab w:val="right" w:pos="9026" w:leader="dot"/>
            </w:tabs>
            <w:rPr/>
          </w:pPr>
          <w:hyperlink w:anchor="__RefHeading___Toc7642422_1280447820">
            <w:r>
              <w:rPr>
                <w:webHidden/>
                <w:rStyle w:val="IndexLink"/>
                <w:rtl w:val="true"/>
              </w:rPr>
              <w:t>خاتمة</w:t>
            </w:r>
            <w:r>
              <w:rPr>
                <w:rStyle w:val="IndexLink"/>
                <w:rtl w:val="true"/>
              </w:rPr>
              <w:tab/>
            </w:r>
            <w:r>
              <w:rPr>
                <w:rStyle w:val="IndexLink"/>
              </w:rPr>
              <w:t>275</w:t>
            </w:r>
          </w:hyperlink>
        </w:p>
        <w:p>
          <w:pPr>
            <w:pStyle w:val="Contents4"/>
            <w:tabs>
              <w:tab w:val="clear" w:pos="8176"/>
              <w:tab w:val="right" w:pos="9026" w:leader="dot"/>
            </w:tabs>
            <w:rPr/>
          </w:pPr>
          <w:hyperlink w:anchor="__RefHeading___Toc7642424_1280447820">
            <w:r>
              <w:rPr>
                <w:webHidden/>
                <w:rStyle w:val="IndexLink"/>
                <w:rtl w:val="true"/>
              </w:rPr>
              <w:t>(</w:t>
            </w:r>
            <w:r>
              <w:rPr>
                <w:rStyle w:val="IndexLink"/>
              </w:rPr>
              <w:t>29</w:t>
            </w:r>
            <w:r>
              <w:rPr>
                <w:rStyle w:val="IndexLink"/>
                <w:rtl w:val="true"/>
              </w:rPr>
              <w:t xml:space="preserve">) </w:t>
            </w:r>
            <w:r>
              <w:rPr>
                <w:rStyle w:val="IndexLink"/>
                <w:rtl w:val="true"/>
              </w:rPr>
              <w:t>جوابات المسائل النيليّات</w:t>
            </w:r>
            <w:r>
              <w:rPr>
                <w:rStyle w:val="IndexLink"/>
                <w:rtl w:val="true"/>
              </w:rPr>
              <w:tab/>
            </w:r>
            <w:r>
              <w:rPr>
                <w:rStyle w:val="IndexLink"/>
              </w:rPr>
              <w:t>278</w:t>
            </w:r>
          </w:hyperlink>
        </w:p>
        <w:p>
          <w:pPr>
            <w:pStyle w:val="Contents5"/>
            <w:tabs>
              <w:tab w:val="clear" w:pos="7892"/>
              <w:tab w:val="right" w:pos="9026" w:leader="dot"/>
            </w:tabs>
            <w:rPr/>
          </w:pPr>
          <w:hyperlink w:anchor="__RefHeading___Toc7642426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7642428_1280447820">
            <w:r>
              <w:rPr>
                <w:webHidden/>
                <w:rStyle w:val="IndexLink"/>
                <w:rtl w:val="true"/>
              </w:rPr>
              <w:t>مقدّمة التحقيق</w:t>
            </w:r>
            <w:r>
              <w:rPr>
                <w:rStyle w:val="IndexLink"/>
                <w:rtl w:val="true"/>
              </w:rPr>
              <w:tab/>
            </w:r>
            <w:r>
              <w:rPr>
                <w:rStyle w:val="IndexLink"/>
              </w:rPr>
              <w:t>280</w:t>
            </w:r>
          </w:hyperlink>
        </w:p>
        <w:p>
          <w:pPr>
            <w:pStyle w:val="Contents6"/>
            <w:tabs>
              <w:tab w:val="clear" w:pos="7609"/>
              <w:tab w:val="right" w:pos="9026" w:leader="dot"/>
            </w:tabs>
            <w:rPr/>
          </w:pPr>
          <w:hyperlink w:anchor="__RefHeading___Toc7642430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7642432_1280447820">
            <w:r>
              <w:rPr>
                <w:webHidden/>
                <w:rStyle w:val="IndexLink"/>
                <w:rtl w:val="true"/>
              </w:rPr>
              <w:t>نسبة الرسالة و عنوانها</w:t>
            </w:r>
            <w:r>
              <w:rPr>
                <w:rStyle w:val="IndexLink"/>
                <w:rtl w:val="true"/>
              </w:rPr>
              <w:tab/>
            </w:r>
            <w:r>
              <w:rPr>
                <w:rStyle w:val="IndexLink"/>
              </w:rPr>
              <w:t>280</w:t>
            </w:r>
          </w:hyperlink>
        </w:p>
        <w:p>
          <w:pPr>
            <w:pStyle w:val="Contents6"/>
            <w:tabs>
              <w:tab w:val="clear" w:pos="7609"/>
              <w:tab w:val="right" w:pos="9026" w:leader="dot"/>
            </w:tabs>
            <w:rPr/>
          </w:pPr>
          <w:hyperlink w:anchor="__RefHeading___Toc7642434_1280447820">
            <w:r>
              <w:rPr>
                <w:webHidden/>
                <w:rStyle w:val="IndexLink"/>
                <w:rtl w:val="true"/>
              </w:rPr>
              <w:t>محتوى الرسالة</w:t>
            </w:r>
            <w:r>
              <w:rPr>
                <w:rStyle w:val="IndexLink"/>
                <w:rtl w:val="true"/>
              </w:rPr>
              <w:t>:</w:t>
              <w:tab/>
            </w:r>
            <w:r>
              <w:rPr>
                <w:rStyle w:val="IndexLink"/>
              </w:rPr>
              <w:t>283</w:t>
            </w:r>
          </w:hyperlink>
        </w:p>
        <w:p>
          <w:pPr>
            <w:pStyle w:val="Contents6"/>
            <w:tabs>
              <w:tab w:val="clear" w:pos="7609"/>
              <w:tab w:val="right" w:pos="9026" w:leader="dot"/>
            </w:tabs>
            <w:rPr/>
          </w:pPr>
          <w:hyperlink w:anchor="__RefHeading___Toc7642436_1280447820">
            <w:r>
              <w:rPr>
                <w:webHidden/>
                <w:rStyle w:val="IndexLink"/>
                <w:rtl w:val="true"/>
              </w:rPr>
              <w:t>مخطوطات الرسالة</w:t>
            </w:r>
            <w:r>
              <w:rPr>
                <w:rStyle w:val="IndexLink"/>
                <w:rtl w:val="true"/>
              </w:rPr>
              <w:tab/>
            </w:r>
            <w:r>
              <w:rPr>
                <w:rStyle w:val="IndexLink"/>
              </w:rPr>
              <w:t>299</w:t>
            </w:r>
          </w:hyperlink>
        </w:p>
        <w:p>
          <w:pPr>
            <w:pStyle w:val="Contents5"/>
            <w:tabs>
              <w:tab w:val="clear" w:pos="7892"/>
              <w:tab w:val="right" w:pos="9026" w:leader="dot"/>
            </w:tabs>
            <w:rPr/>
          </w:pPr>
          <w:hyperlink w:anchor="__RefHeading___Toc7642438_1280447820">
            <w:r>
              <w:rPr>
                <w:webHidden/>
                <w:rStyle w:val="IndexLink"/>
                <w:rtl w:val="true"/>
              </w:rPr>
              <w:t>جواباتُ المَسائلِ النيليّاتِ‌</w:t>
            </w:r>
            <w:r>
              <w:rPr>
                <w:rStyle w:val="IndexLink"/>
                <w:rtl w:val="true"/>
              </w:rPr>
              <w:tab/>
            </w:r>
            <w:r>
              <w:rPr>
                <w:rStyle w:val="IndexLink"/>
              </w:rPr>
              <w:t>302</w:t>
            </w:r>
          </w:hyperlink>
        </w:p>
        <w:p>
          <w:pPr>
            <w:pStyle w:val="Contents6"/>
            <w:tabs>
              <w:tab w:val="clear" w:pos="7609"/>
              <w:tab w:val="right" w:pos="9026" w:leader="dot"/>
            </w:tabs>
            <w:rPr/>
          </w:pPr>
          <w:hyperlink w:anchor="__RefHeading___Toc7642440_128044782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7642442_1280447820">
            <w:r>
              <w:rPr>
                <w:webHidden/>
                <w:rStyle w:val="IndexLink"/>
                <w:rtl w:val="true"/>
              </w:rPr>
              <w:t>المَسألةُ السادسةُ‌ إحداثُ الحَشَراتِ و استحقاقُها للعِوَضِ‌</w:t>
            </w:r>
            <w:r>
              <w:rPr>
                <w:rStyle w:val="IndexLink"/>
                <w:rtl w:val="true"/>
              </w:rPr>
              <w:tab/>
            </w:r>
            <w:r>
              <w:rPr>
                <w:rStyle w:val="IndexLink"/>
              </w:rPr>
              <w:t>302</w:t>
            </w:r>
          </w:hyperlink>
        </w:p>
        <w:p>
          <w:pPr>
            <w:pStyle w:val="Contents6"/>
            <w:tabs>
              <w:tab w:val="clear" w:pos="7609"/>
              <w:tab w:val="right" w:pos="9026" w:leader="dot"/>
            </w:tabs>
            <w:rPr/>
          </w:pPr>
          <w:hyperlink w:anchor="__RefHeading___Toc7642444_1280447820">
            <w:r>
              <w:rPr>
                <w:webHidden/>
                <w:rStyle w:val="IndexLink"/>
                <w:rtl w:val="true"/>
              </w:rPr>
              <w:t>المسألةُ السابعةُ‌ ماهيّةُ الرعدِ و البَرقِ و الغَيمِ‌، و وجودُ جبالِ البَرَدِ</w:t>
            </w:r>
            <w:r>
              <w:rPr>
                <w:rStyle w:val="IndexLink"/>
                <w:rtl w:val="true"/>
              </w:rPr>
              <w:tab/>
            </w:r>
            <w:r>
              <w:rPr>
                <w:rStyle w:val="IndexLink"/>
              </w:rPr>
              <w:t>304</w:t>
            </w:r>
          </w:hyperlink>
        </w:p>
        <w:p>
          <w:pPr>
            <w:pStyle w:val="Contents6"/>
            <w:tabs>
              <w:tab w:val="clear" w:pos="7609"/>
              <w:tab w:val="right" w:pos="9026" w:leader="dot"/>
            </w:tabs>
            <w:rPr/>
          </w:pPr>
          <w:hyperlink w:anchor="__RefHeading___Toc7642446_1280447820">
            <w:r>
              <w:rPr>
                <w:webHidden/>
                <w:rStyle w:val="IndexLink"/>
                <w:rtl w:val="true"/>
              </w:rPr>
              <w:t>المسألةُ الثامنةُ‌ تَعقُّلُ عدمِ كَونِ الفاعلِ جسماً</w:t>
            </w:r>
            <w:r>
              <w:rPr>
                <w:rStyle w:val="IndexLink"/>
                <w:rtl w:val="true"/>
              </w:rPr>
              <w:tab/>
            </w:r>
            <w:r>
              <w:rPr>
                <w:rStyle w:val="IndexLink"/>
              </w:rPr>
              <w:t>305</w:t>
            </w:r>
          </w:hyperlink>
        </w:p>
        <w:p>
          <w:pPr>
            <w:pStyle w:val="Contents6"/>
            <w:tabs>
              <w:tab w:val="clear" w:pos="7609"/>
              <w:tab w:val="right" w:pos="9026" w:leader="dot"/>
            </w:tabs>
            <w:rPr/>
          </w:pPr>
          <w:hyperlink w:anchor="__RefHeading___Toc7642448_1280447820">
            <w:r>
              <w:rPr>
                <w:webHidden/>
                <w:rStyle w:val="IndexLink"/>
                <w:rtl w:val="true"/>
              </w:rPr>
              <w:t>المسألةُ التاسعةُ تَعقُّلُ مَن لا مِثلَ له و لا ضِدَّ</w:t>
            </w:r>
            <w:r>
              <w:rPr>
                <w:rStyle w:val="IndexLink"/>
                <w:rtl w:val="true"/>
              </w:rPr>
              <w:tab/>
            </w:r>
            <w:r>
              <w:rPr>
                <w:rStyle w:val="IndexLink"/>
              </w:rPr>
              <w:t>306</w:t>
            </w:r>
          </w:hyperlink>
        </w:p>
        <w:p>
          <w:pPr>
            <w:pStyle w:val="Contents6"/>
            <w:tabs>
              <w:tab w:val="clear" w:pos="7609"/>
              <w:tab w:val="right" w:pos="9026" w:leader="dot"/>
            </w:tabs>
            <w:rPr/>
          </w:pPr>
          <w:hyperlink w:anchor="__RefHeading___Toc7642450_1280447820">
            <w:r>
              <w:rPr>
                <w:webHidden/>
                <w:rStyle w:val="IndexLink"/>
                <w:rtl w:val="true"/>
              </w:rPr>
              <w:t>المسألةُ العاشرةُ تَعقُّلُ فاعلٍ مِن دونِ لمسٍ أو اتّصالٍ‌</w:t>
            </w:r>
            <w:r>
              <w:rPr>
                <w:rStyle w:val="IndexLink"/>
                <w:rtl w:val="true"/>
              </w:rPr>
              <w:tab/>
            </w:r>
            <w:r>
              <w:rPr>
                <w:rStyle w:val="IndexLink"/>
              </w:rPr>
              <w:t>307</w:t>
            </w:r>
          </w:hyperlink>
        </w:p>
        <w:p>
          <w:pPr>
            <w:pStyle w:val="Contents6"/>
            <w:tabs>
              <w:tab w:val="clear" w:pos="7609"/>
              <w:tab w:val="right" w:pos="9026" w:leader="dot"/>
            </w:tabs>
            <w:rPr/>
          </w:pPr>
          <w:hyperlink w:anchor="__RefHeading___Toc7642452_1280447820">
            <w:r>
              <w:rPr>
                <w:webHidden/>
                <w:rStyle w:val="IndexLink"/>
                <w:rtl w:val="true"/>
              </w:rPr>
              <w:t>المسألةُ الحاديةَ عَشَرَ استحالةُ كَونِ خالقِ الأجسامِ جسماً أقدَرَه اللّٰهُ علىٰ ذلكَ‌</w:t>
            </w:r>
            <w:r>
              <w:rPr>
                <w:rStyle w:val="IndexLink"/>
                <w:rtl w:val="true"/>
              </w:rPr>
              <w:tab/>
            </w:r>
            <w:r>
              <w:rPr>
                <w:rStyle w:val="IndexLink"/>
              </w:rPr>
              <w:t>308</w:t>
            </w:r>
          </w:hyperlink>
        </w:p>
        <w:p>
          <w:pPr>
            <w:pStyle w:val="Contents6"/>
            <w:tabs>
              <w:tab w:val="clear" w:pos="7609"/>
              <w:tab w:val="right" w:pos="9026" w:leader="dot"/>
            </w:tabs>
            <w:rPr/>
          </w:pPr>
          <w:hyperlink w:anchor="__RefHeading___Toc7642454_1280447820">
            <w:r>
              <w:rPr>
                <w:webHidden/>
                <w:rStyle w:val="IndexLink"/>
                <w:rtl w:val="true"/>
              </w:rPr>
              <w:t>المسألةُ الثانيةَ عَشَرَ استحالةُ إقدارِ اللّٰهِ تعالىٰ جسماً علَى اختراعِ الأجسامِ‌</w:t>
            </w:r>
            <w:r>
              <w:rPr>
                <w:rStyle w:val="IndexLink"/>
                <w:rtl w:val="true"/>
              </w:rPr>
              <w:tab/>
            </w:r>
            <w:r>
              <w:rPr>
                <w:rStyle w:val="IndexLink"/>
              </w:rPr>
              <w:t>309</w:t>
            </w:r>
          </w:hyperlink>
        </w:p>
        <w:p>
          <w:pPr>
            <w:pStyle w:val="Contents6"/>
            <w:tabs>
              <w:tab w:val="clear" w:pos="7609"/>
              <w:tab w:val="right" w:pos="9026" w:leader="dot"/>
            </w:tabs>
            <w:rPr/>
          </w:pPr>
          <w:hyperlink w:anchor="__RefHeading___Toc7642456_1280447820">
            <w:r>
              <w:rPr>
                <w:webHidden/>
                <w:rStyle w:val="IndexLink"/>
                <w:rtl w:val="true"/>
              </w:rPr>
              <w:t>المسألةُ الثالثةَ عَشَرَ إمكانُ صدورِ الخيرِ و الشرِّ من فاعلٍ واحدٍ</w:t>
            </w:r>
            <w:r>
              <w:rPr>
                <w:rStyle w:val="IndexLink"/>
                <w:rtl w:val="true"/>
              </w:rPr>
              <w:tab/>
            </w:r>
            <w:r>
              <w:rPr>
                <w:rStyle w:val="IndexLink"/>
              </w:rPr>
              <w:t>310</w:t>
            </w:r>
          </w:hyperlink>
        </w:p>
        <w:p>
          <w:pPr>
            <w:pStyle w:val="Contents6"/>
            <w:tabs>
              <w:tab w:val="clear" w:pos="7609"/>
              <w:tab w:val="right" w:pos="9026" w:leader="dot"/>
            </w:tabs>
            <w:rPr/>
          </w:pPr>
          <w:hyperlink w:anchor="__RefHeading___Toc7642458_1280447820">
            <w:r>
              <w:rPr>
                <w:webHidden/>
                <w:rStyle w:val="IndexLink"/>
                <w:rtl w:val="true"/>
              </w:rPr>
              <w:t>المسألةُ الرابعةَ عَشَرَ تَعقُّلُ كَونِ الخالقِ لا جسماً و لا عَرَضاً</w:t>
            </w:r>
            <w:r>
              <w:rPr>
                <w:rStyle w:val="IndexLink"/>
                <w:rtl w:val="true"/>
              </w:rPr>
              <w:tab/>
            </w:r>
            <w:r>
              <w:rPr>
                <w:rStyle w:val="IndexLink"/>
              </w:rPr>
              <w:t>311</w:t>
            </w:r>
          </w:hyperlink>
        </w:p>
        <w:p>
          <w:pPr>
            <w:pStyle w:val="Contents6"/>
            <w:tabs>
              <w:tab w:val="clear" w:pos="7609"/>
              <w:tab w:val="right" w:pos="9026" w:leader="dot"/>
            </w:tabs>
            <w:rPr/>
          </w:pPr>
          <w:hyperlink w:anchor="__RefHeading___Toc7642460_1280447820">
            <w:r>
              <w:rPr>
                <w:webHidden/>
                <w:rStyle w:val="IndexLink"/>
                <w:rtl w:val="true"/>
              </w:rPr>
              <w:t>المسألةُ الخامسةَ عَشَرَ تَعقُّلُ حُدوثِ شَيءٍ لا مِن شَيءٍ‌</w:t>
            </w:r>
            <w:r>
              <w:rPr>
                <w:rStyle w:val="IndexLink"/>
                <w:rtl w:val="true"/>
              </w:rPr>
              <w:tab/>
            </w:r>
            <w:r>
              <w:rPr>
                <w:rStyle w:val="IndexLink"/>
              </w:rPr>
              <w:t>312</w:t>
            </w:r>
          </w:hyperlink>
        </w:p>
        <w:p>
          <w:pPr>
            <w:pStyle w:val="Contents6"/>
            <w:tabs>
              <w:tab w:val="clear" w:pos="7609"/>
              <w:tab w:val="right" w:pos="9026" w:leader="dot"/>
            </w:tabs>
            <w:rPr/>
          </w:pPr>
          <w:hyperlink w:anchor="__RefHeading___Toc7642462_1280447820">
            <w:r>
              <w:rPr>
                <w:webHidden/>
                <w:rStyle w:val="IndexLink"/>
                <w:rtl w:val="true"/>
              </w:rPr>
              <w:t>المسألةُ السادسةَ عَشَرَ إشكالُ إحداثِ الطبائعِ للعالَمِ‌</w:t>
            </w:r>
            <w:r>
              <w:rPr>
                <w:rStyle w:val="IndexLink"/>
                <w:rtl w:val="true"/>
              </w:rPr>
              <w:tab/>
            </w:r>
            <w:r>
              <w:rPr>
                <w:rStyle w:val="IndexLink"/>
              </w:rPr>
              <w:t>313</w:t>
            </w:r>
          </w:hyperlink>
        </w:p>
        <w:p>
          <w:pPr>
            <w:pStyle w:val="Contents6"/>
            <w:tabs>
              <w:tab w:val="clear" w:pos="7609"/>
              <w:tab w:val="right" w:pos="9026" w:leader="dot"/>
            </w:tabs>
            <w:rPr/>
          </w:pPr>
          <w:hyperlink w:anchor="__RefHeading___Toc7642464_1280447820">
            <w:r>
              <w:rPr>
                <w:webHidden/>
                <w:rStyle w:val="IndexLink"/>
                <w:rtl w:val="true"/>
              </w:rPr>
              <w:t>المسألةُ السابعةَ عَشَرَ إنكارُ صفاتِ الطبائعِ‌</w:t>
            </w:r>
            <w:r>
              <w:rPr>
                <w:rStyle w:val="IndexLink"/>
                <w:rtl w:val="true"/>
              </w:rPr>
              <w:tab/>
            </w:r>
            <w:r>
              <w:rPr>
                <w:rStyle w:val="IndexLink"/>
              </w:rPr>
              <w:t>315</w:t>
            </w:r>
          </w:hyperlink>
        </w:p>
        <w:p>
          <w:pPr>
            <w:pStyle w:val="Contents6"/>
            <w:tabs>
              <w:tab w:val="clear" w:pos="7609"/>
              <w:tab w:val="right" w:pos="9026" w:leader="dot"/>
            </w:tabs>
            <w:rPr/>
          </w:pPr>
          <w:hyperlink w:anchor="__RefHeading___Toc7642466_1280447820">
            <w:r>
              <w:rPr>
                <w:webHidden/>
                <w:rStyle w:val="IndexLink"/>
                <w:rtl w:val="true"/>
              </w:rPr>
              <w:t>المسألةُ الثامنةَ عَشَرَ تَمثُّلُ جَبرَئيلَ في صورةِ دِحيةَ الكَلبيِّ‌</w:t>
            </w:r>
            <w:r>
              <w:rPr>
                <w:rStyle w:val="IndexLink"/>
                <w:rtl w:val="true"/>
              </w:rPr>
              <w:tab/>
            </w:r>
            <w:r>
              <w:rPr>
                <w:rStyle w:val="IndexLink"/>
              </w:rPr>
              <w:t>316</w:t>
            </w:r>
          </w:hyperlink>
        </w:p>
        <w:p>
          <w:pPr>
            <w:pStyle w:val="Contents6"/>
            <w:tabs>
              <w:tab w:val="clear" w:pos="7609"/>
              <w:tab w:val="right" w:pos="9026" w:leader="dot"/>
            </w:tabs>
            <w:rPr/>
          </w:pPr>
          <w:hyperlink w:anchor="__RefHeading___Toc7642468_1280447820">
            <w:r>
              <w:rPr>
                <w:webHidden/>
                <w:rStyle w:val="IndexLink"/>
                <w:rtl w:val="true"/>
              </w:rPr>
              <w:t xml:space="preserve">المسألةُ التاسعةَ عَشَرَ معنَى </w:t>
            </w:r>
            <w:r>
              <w:rPr>
                <w:rStyle w:val="IndexLink"/>
                <w:rtl w:val="true"/>
              </w:rPr>
              <w:t>«</w:t>
            </w:r>
            <w:r>
              <w:rPr>
                <w:rStyle w:val="IndexLink"/>
                <w:rtl w:val="true"/>
              </w:rPr>
              <w:t>الصفةِ‌</w:t>
            </w:r>
            <w:r>
              <w:rPr>
                <w:rStyle w:val="IndexLink"/>
                <w:rtl w:val="true"/>
              </w:rPr>
              <w:t xml:space="preserve">» </w:t>
            </w:r>
            <w:r>
              <w:rPr>
                <w:rStyle w:val="IndexLink"/>
                <w:rtl w:val="true"/>
              </w:rPr>
              <w:t>في القَديمِ تَعالىٰ‌</w:t>
            </w:r>
            <w:r>
              <w:rPr>
                <w:rStyle w:val="IndexLink"/>
                <w:rtl w:val="true"/>
              </w:rPr>
              <w:tab/>
            </w:r>
            <w:r>
              <w:rPr>
                <w:rStyle w:val="IndexLink"/>
              </w:rPr>
              <w:t>319</w:t>
            </w:r>
          </w:hyperlink>
        </w:p>
        <w:p>
          <w:pPr>
            <w:pStyle w:val="Contents6"/>
            <w:tabs>
              <w:tab w:val="clear" w:pos="7609"/>
              <w:tab w:val="right" w:pos="9026" w:leader="dot"/>
            </w:tabs>
            <w:rPr/>
          </w:pPr>
          <w:hyperlink w:anchor="__RefHeading___Toc7642470_1280447820">
            <w:r>
              <w:rPr>
                <w:webHidden/>
                <w:rStyle w:val="IndexLink"/>
                <w:rtl w:val="true"/>
              </w:rPr>
              <w:t>المسألةُ العِشرونَ كلامُ اللّٰهِ تَعالىٰ‌؛ كَيفَ يَكونُ؟</w:t>
            </w:r>
            <w:r>
              <w:rPr>
                <w:rStyle w:val="IndexLink"/>
                <w:rtl w:val="true"/>
              </w:rPr>
              <w:tab/>
            </w:r>
            <w:r>
              <w:rPr>
                <w:rStyle w:val="IndexLink"/>
              </w:rPr>
              <w:t>321</w:t>
            </w:r>
          </w:hyperlink>
        </w:p>
        <w:p>
          <w:pPr>
            <w:pStyle w:val="Contents6"/>
            <w:tabs>
              <w:tab w:val="clear" w:pos="7609"/>
              <w:tab w:val="right" w:pos="9026" w:leader="dot"/>
            </w:tabs>
            <w:rPr/>
          </w:pPr>
          <w:hyperlink w:anchor="__RefHeading___Toc7642472_1280447820">
            <w:r>
              <w:rPr>
                <w:webHidden/>
                <w:rStyle w:val="IndexLink"/>
                <w:rtl w:val="true"/>
              </w:rPr>
              <w:t xml:space="preserve">المسألةُ الحاديةُ و العِشرونَ حول </w:t>
            </w:r>
            <w:r>
              <w:rPr>
                <w:rStyle w:val="IndexLink"/>
                <w:rtl w:val="true"/>
              </w:rPr>
              <w:t>«</w:t>
            </w:r>
            <w:r>
              <w:rPr>
                <w:rStyle w:val="IndexLink"/>
                <w:rtl w:val="true"/>
              </w:rPr>
              <w:t>الكَعبةِ‌</w:t>
            </w:r>
            <w:r>
              <w:rPr>
                <w:rStyle w:val="IndexLink"/>
                <w:rtl w:val="true"/>
              </w:rPr>
              <w:t xml:space="preserve">» </w:t>
            </w:r>
            <w:r>
              <w:rPr>
                <w:rStyle w:val="IndexLink"/>
                <w:rtl w:val="true"/>
              </w:rPr>
              <w:t xml:space="preserve">و </w:t>
            </w:r>
            <w:r>
              <w:rPr>
                <w:rStyle w:val="IndexLink"/>
                <w:rtl w:val="true"/>
              </w:rPr>
              <w:t>«</w:t>
            </w:r>
            <w:r>
              <w:rPr>
                <w:rStyle w:val="IndexLink"/>
                <w:rtl w:val="true"/>
              </w:rPr>
              <w:t>الميثاقِ‌</w:t>
            </w:r>
            <w:r>
              <w:rPr>
                <w:rStyle w:val="IndexLink"/>
                <w:rtl w:val="true"/>
              </w:rPr>
              <w:t xml:space="preserve">» </w:t>
            </w:r>
            <w:r>
              <w:rPr>
                <w:rStyle w:val="IndexLink"/>
                <w:rtl w:val="true"/>
              </w:rPr>
              <w:t xml:space="preserve">و </w:t>
            </w:r>
            <w:r>
              <w:rPr>
                <w:rStyle w:val="IndexLink"/>
                <w:rtl w:val="true"/>
              </w:rPr>
              <w:t>«</w:t>
            </w:r>
            <w:r>
              <w:rPr>
                <w:rStyle w:val="IndexLink"/>
                <w:rtl w:val="true"/>
              </w:rPr>
              <w:t>العَقلِ‌</w:t>
            </w:r>
            <w:r>
              <w:rPr>
                <w:rStyle w:val="IndexLink"/>
                <w:rtl w:val="true"/>
              </w:rPr>
              <w:t xml:space="preserve">» </w:t>
            </w:r>
            <w:r>
              <w:rPr>
                <w:rStyle w:val="IndexLink"/>
                <w:rtl w:val="true"/>
              </w:rPr>
              <w:t xml:space="preserve">و </w:t>
            </w:r>
            <w:r>
              <w:rPr>
                <w:rStyle w:val="IndexLink"/>
                <w:rtl w:val="true"/>
              </w:rPr>
              <w:t>«</w:t>
            </w:r>
            <w:r>
              <w:rPr>
                <w:rStyle w:val="IndexLink"/>
                <w:rtl w:val="true"/>
              </w:rPr>
              <w:t>الروحِ‌</w:t>
            </w:r>
            <w:r>
              <w:rPr>
                <w:rStyle w:val="IndexLink"/>
                <w:rtl w:val="true"/>
              </w:rPr>
              <w:t>»</w:t>
              <w:tab/>
            </w:r>
            <w:r>
              <w:rPr>
                <w:rStyle w:val="IndexLink"/>
              </w:rPr>
              <w:t>322</w:t>
            </w:r>
          </w:hyperlink>
        </w:p>
        <w:p>
          <w:pPr>
            <w:pStyle w:val="Contents6"/>
            <w:tabs>
              <w:tab w:val="clear" w:pos="7609"/>
              <w:tab w:val="right" w:pos="9026" w:leader="dot"/>
            </w:tabs>
            <w:rPr/>
          </w:pPr>
          <w:hyperlink w:anchor="__RefHeading___Toc7642474_1280447820">
            <w:r>
              <w:rPr>
                <w:webHidden/>
                <w:rStyle w:val="IndexLink"/>
                <w:rtl w:val="true"/>
              </w:rPr>
              <w:t>المسألةُ الثانيةُ و العِشرونَ أوّلُ ما خَلَقَ اللّٰهُ تعالىٰ‌</w:t>
            </w:r>
            <w:r>
              <w:rPr>
                <w:rStyle w:val="IndexLink"/>
                <w:rtl w:val="true"/>
              </w:rPr>
              <w:tab/>
            </w:r>
            <w:r>
              <w:rPr>
                <w:rStyle w:val="IndexLink"/>
              </w:rPr>
              <w:t>329</w:t>
            </w:r>
          </w:hyperlink>
        </w:p>
        <w:p>
          <w:pPr>
            <w:pStyle w:val="Contents6"/>
            <w:tabs>
              <w:tab w:val="clear" w:pos="7609"/>
              <w:tab w:val="right" w:pos="9026" w:leader="dot"/>
            </w:tabs>
            <w:rPr/>
          </w:pPr>
          <w:hyperlink w:anchor="__RefHeading___Toc7642476_1280447820">
            <w:r>
              <w:rPr>
                <w:webHidden/>
                <w:rStyle w:val="IndexLink"/>
                <w:rtl w:val="true"/>
              </w:rPr>
              <w:t xml:space="preserve">المسألة الثالثةُ و العِشرونَ في </w:t>
            </w:r>
            <w:r>
              <w:rPr>
                <w:rStyle w:val="IndexLink"/>
                <w:rtl w:val="true"/>
              </w:rPr>
              <w:t>«</w:t>
            </w:r>
            <w:r>
              <w:rPr>
                <w:rStyle w:val="IndexLink"/>
                <w:rtl w:val="true"/>
              </w:rPr>
              <w:t>الفَراغِ‌</w:t>
            </w:r>
            <w:r>
              <w:rPr>
                <w:rStyle w:val="IndexLink"/>
                <w:rtl w:val="true"/>
              </w:rPr>
              <w:t xml:space="preserve">» </w:t>
            </w:r>
            <w:r>
              <w:rPr>
                <w:rStyle w:val="IndexLink"/>
                <w:rtl w:val="true"/>
              </w:rPr>
              <w:t>و نِهايتِه و عِلمِ الباري بها</w:t>
            </w:r>
            <w:r>
              <w:rPr>
                <w:rStyle w:val="IndexLink"/>
                <w:rtl w:val="true"/>
              </w:rPr>
              <w:tab/>
            </w:r>
            <w:r>
              <w:rPr>
                <w:rStyle w:val="IndexLink"/>
              </w:rPr>
              <w:t>330</w:t>
            </w:r>
          </w:hyperlink>
        </w:p>
        <w:p>
          <w:pPr>
            <w:pStyle w:val="Contents6"/>
            <w:tabs>
              <w:tab w:val="clear" w:pos="7609"/>
              <w:tab w:val="right" w:pos="9026" w:leader="dot"/>
            </w:tabs>
            <w:rPr/>
          </w:pPr>
          <w:hyperlink w:anchor="__RefHeading___Toc7642478_1280447820">
            <w:r>
              <w:rPr>
                <w:webHidden/>
                <w:rStyle w:val="IndexLink"/>
                <w:rtl w:val="true"/>
              </w:rPr>
              <w:t xml:space="preserve">المسألةُ الرابعةُ و العِشرونَ وجودُ </w:t>
            </w:r>
            <w:r>
              <w:rPr>
                <w:rStyle w:val="IndexLink"/>
                <w:rtl w:val="true"/>
              </w:rPr>
              <w:t>«</w:t>
            </w:r>
            <w:r>
              <w:rPr>
                <w:rStyle w:val="IndexLink"/>
                <w:rtl w:val="true"/>
              </w:rPr>
              <w:t>جابَرْقا</w:t>
            </w:r>
            <w:r>
              <w:rPr>
                <w:rStyle w:val="IndexLink"/>
                <w:rtl w:val="true"/>
              </w:rPr>
              <w:t xml:space="preserve">» </w:t>
            </w:r>
            <w:r>
              <w:rPr>
                <w:rStyle w:val="IndexLink"/>
                <w:rtl w:val="true"/>
              </w:rPr>
              <w:t xml:space="preserve">و </w:t>
            </w:r>
            <w:r>
              <w:rPr>
                <w:rStyle w:val="IndexLink"/>
                <w:rtl w:val="true"/>
              </w:rPr>
              <w:t>«</w:t>
            </w:r>
            <w:r>
              <w:rPr>
                <w:rStyle w:val="IndexLink"/>
                <w:rtl w:val="true"/>
              </w:rPr>
              <w:t>جابَرْسا</w:t>
            </w:r>
            <w:r>
              <w:rPr>
                <w:rStyle w:val="IndexLink"/>
                <w:rtl w:val="true"/>
              </w:rPr>
              <w:t xml:space="preserve">» </w:t>
            </w:r>
            <w:r>
              <w:rPr>
                <w:rStyle w:val="IndexLink"/>
                <w:rtl w:val="true"/>
              </w:rPr>
              <w:t>و حُكمُ أهلِها</w:t>
            </w:r>
            <w:r>
              <w:rPr>
                <w:rStyle w:val="IndexLink"/>
                <w:rtl w:val="true"/>
              </w:rPr>
              <w:tab/>
            </w:r>
            <w:r>
              <w:rPr>
                <w:rStyle w:val="IndexLink"/>
              </w:rPr>
              <w:t>332</w:t>
            </w:r>
          </w:hyperlink>
        </w:p>
        <w:p>
          <w:pPr>
            <w:pStyle w:val="Contents6"/>
            <w:tabs>
              <w:tab w:val="clear" w:pos="7609"/>
              <w:tab w:val="right" w:pos="9026" w:leader="dot"/>
            </w:tabs>
            <w:rPr/>
          </w:pPr>
          <w:hyperlink w:anchor="__RefHeading___Toc7642480_1280447820">
            <w:r>
              <w:rPr>
                <w:webHidden/>
                <w:rStyle w:val="IndexLink"/>
                <w:rtl w:val="true"/>
              </w:rPr>
              <w:t>المسألةُ الخامسةُ و العِشرونَ حُكمُ الأطفالِ يَومَ القيامةِ‌</w:t>
            </w:r>
            <w:r>
              <w:rPr>
                <w:rStyle w:val="IndexLink"/>
                <w:rtl w:val="true"/>
              </w:rPr>
              <w:tab/>
            </w:r>
            <w:r>
              <w:rPr>
                <w:rStyle w:val="IndexLink"/>
              </w:rPr>
              <w:t>333</w:t>
            </w:r>
          </w:hyperlink>
        </w:p>
        <w:p>
          <w:pPr>
            <w:pStyle w:val="Contents6"/>
            <w:tabs>
              <w:tab w:val="clear" w:pos="7609"/>
              <w:tab w:val="right" w:pos="9026" w:leader="dot"/>
            </w:tabs>
            <w:rPr/>
          </w:pPr>
          <w:hyperlink w:anchor="__RefHeading___Toc7642482_1280447820">
            <w:r>
              <w:rPr>
                <w:webHidden/>
                <w:rStyle w:val="IndexLink"/>
                <w:rtl w:val="true"/>
              </w:rPr>
              <w:t>الَمسألةُ السادسةُ و العِشرونَ عِقابُ مَن قاتَلَ إماماً عادلاً</w:t>
            </w:r>
            <w:r>
              <w:rPr>
                <w:rStyle w:val="IndexLink"/>
                <w:rtl w:val="true"/>
              </w:rPr>
              <w:tab/>
            </w:r>
            <w:r>
              <w:rPr>
                <w:rStyle w:val="IndexLink"/>
              </w:rPr>
              <w:t>334</w:t>
            </w:r>
          </w:hyperlink>
        </w:p>
        <w:p>
          <w:pPr>
            <w:pStyle w:val="Contents6"/>
            <w:tabs>
              <w:tab w:val="clear" w:pos="7609"/>
              <w:tab w:val="right" w:pos="9026" w:leader="dot"/>
            </w:tabs>
            <w:rPr/>
          </w:pPr>
          <w:hyperlink w:anchor="__RefHeading___Toc7642484_1280447820">
            <w:r>
              <w:rPr>
                <w:webHidden/>
                <w:rStyle w:val="IndexLink"/>
                <w:rtl w:val="true"/>
              </w:rPr>
              <w:t>المسألةُ السابعةُ و العِشرونَ حُكمُ المَلائكةِ و الجِنِّ بَعدَ انتهاءِ التكليفِ‌</w:t>
            </w:r>
            <w:r>
              <w:rPr>
                <w:rStyle w:val="IndexLink"/>
                <w:rtl w:val="true"/>
              </w:rPr>
              <w:tab/>
            </w:r>
            <w:r>
              <w:rPr>
                <w:rStyle w:val="IndexLink"/>
              </w:rPr>
              <w:t>335</w:t>
            </w:r>
          </w:hyperlink>
        </w:p>
        <w:p>
          <w:pPr>
            <w:pStyle w:val="Contents4"/>
            <w:tabs>
              <w:tab w:val="clear" w:pos="8176"/>
              <w:tab w:val="right" w:pos="9026" w:leader="dot"/>
            </w:tabs>
            <w:rPr/>
          </w:pPr>
          <w:hyperlink w:anchor="__RefHeading___Toc7642486_1280447820">
            <w:r>
              <w:rPr>
                <w:webHidden/>
                <w:rStyle w:val="IndexLink"/>
                <w:rtl w:val="true"/>
              </w:rPr>
              <w:t>(</w:t>
            </w:r>
            <w:r>
              <w:rPr>
                <w:rStyle w:val="IndexLink"/>
              </w:rPr>
              <w:t>30</w:t>
            </w:r>
            <w:r>
              <w:rPr>
                <w:rStyle w:val="IndexLink"/>
                <w:rtl w:val="true"/>
              </w:rPr>
              <w:t xml:space="preserve">) </w:t>
            </w:r>
            <w:r>
              <w:rPr>
                <w:rStyle w:val="IndexLink"/>
                <w:rtl w:val="true"/>
              </w:rPr>
              <w:t>مقدِّمة في الأُصول الاعتقاديّة</w:t>
            </w:r>
            <w:r>
              <w:rPr>
                <w:rStyle w:val="IndexLink"/>
                <w:rtl w:val="true"/>
              </w:rPr>
              <w:tab/>
            </w:r>
            <w:r>
              <w:rPr>
                <w:rStyle w:val="IndexLink"/>
              </w:rPr>
              <w:t>338</w:t>
            </w:r>
          </w:hyperlink>
        </w:p>
        <w:p>
          <w:pPr>
            <w:pStyle w:val="Contents5"/>
            <w:tabs>
              <w:tab w:val="clear" w:pos="7892"/>
              <w:tab w:val="right" w:pos="9026" w:leader="dot"/>
            </w:tabs>
            <w:rPr/>
          </w:pPr>
          <w:hyperlink w:anchor="__RefHeading___Toc7642488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7642490_1280447820">
            <w:r>
              <w:rPr>
                <w:webHidden/>
                <w:rStyle w:val="IndexLink"/>
                <w:rtl w:val="true"/>
              </w:rPr>
              <w:t>مقدّمة التحقيق</w:t>
            </w:r>
            <w:r>
              <w:rPr>
                <w:rStyle w:val="IndexLink"/>
                <w:rtl w:val="true"/>
              </w:rPr>
              <w:tab/>
            </w:r>
            <w:r>
              <w:rPr>
                <w:rStyle w:val="IndexLink"/>
              </w:rPr>
              <w:t>340</w:t>
            </w:r>
          </w:hyperlink>
        </w:p>
        <w:p>
          <w:pPr>
            <w:pStyle w:val="Contents6"/>
            <w:tabs>
              <w:tab w:val="clear" w:pos="7609"/>
              <w:tab w:val="right" w:pos="9026" w:leader="dot"/>
            </w:tabs>
            <w:rPr/>
          </w:pPr>
          <w:hyperlink w:anchor="__RefHeading___Toc7642492_1280447820">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7642494_1280447820">
            <w:r>
              <w:rPr>
                <w:webHidden/>
                <w:rStyle w:val="IndexLink"/>
                <w:rtl w:val="true"/>
              </w:rPr>
              <w:t>نسبتها إلى المؤلّف</w:t>
            </w:r>
            <w:r>
              <w:rPr>
                <w:rStyle w:val="IndexLink"/>
                <w:rtl w:val="true"/>
              </w:rPr>
              <w:tab/>
            </w:r>
            <w:r>
              <w:rPr>
                <w:rStyle w:val="IndexLink"/>
              </w:rPr>
              <w:t>341</w:t>
            </w:r>
          </w:hyperlink>
        </w:p>
        <w:p>
          <w:pPr>
            <w:pStyle w:val="Contents6"/>
            <w:tabs>
              <w:tab w:val="clear" w:pos="7609"/>
              <w:tab w:val="right" w:pos="9026" w:leader="dot"/>
            </w:tabs>
            <w:rPr/>
          </w:pPr>
          <w:hyperlink w:anchor="__RefHeading___Toc7642496_1280447820">
            <w:r>
              <w:rPr>
                <w:webHidden/>
                <w:rStyle w:val="IndexLink"/>
                <w:rtl w:val="true"/>
              </w:rPr>
              <w:t>مخطوطات الرسالة</w:t>
            </w:r>
            <w:r>
              <w:rPr>
                <w:rStyle w:val="IndexLink"/>
                <w:rtl w:val="true"/>
              </w:rPr>
              <w:tab/>
            </w:r>
            <w:r>
              <w:rPr>
                <w:rStyle w:val="IndexLink"/>
              </w:rPr>
              <w:t>342</w:t>
            </w:r>
          </w:hyperlink>
        </w:p>
        <w:p>
          <w:pPr>
            <w:pStyle w:val="Contents5"/>
            <w:tabs>
              <w:tab w:val="clear" w:pos="7892"/>
              <w:tab w:val="right" w:pos="9026" w:leader="dot"/>
            </w:tabs>
            <w:rPr/>
          </w:pPr>
          <w:hyperlink w:anchor="__RefHeading___Toc7642498_1280447820">
            <w:r>
              <w:rPr>
                <w:webHidden/>
                <w:rStyle w:val="IndexLink"/>
                <w:rtl w:val="true"/>
              </w:rPr>
              <w:t>مُقدِّمةٌ في الأُصولِ الاعتقاديّةِ‌</w:t>
            </w:r>
            <w:r>
              <w:rPr>
                <w:rStyle w:val="IndexLink"/>
                <w:rtl w:val="true"/>
              </w:rPr>
              <w:tab/>
            </w:r>
            <w:r>
              <w:rPr>
                <w:rStyle w:val="IndexLink"/>
              </w:rPr>
              <w:t>344</w:t>
            </w:r>
          </w:hyperlink>
        </w:p>
        <w:p>
          <w:pPr>
            <w:pStyle w:val="Contents6"/>
            <w:tabs>
              <w:tab w:val="clear" w:pos="7609"/>
              <w:tab w:val="right" w:pos="9026" w:leader="dot"/>
            </w:tabs>
            <w:rPr/>
          </w:pPr>
          <w:hyperlink w:anchor="__RefHeading___Toc7642500_128044782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7642502_1280447820">
            <w:r>
              <w:rPr>
                <w:webHidden/>
                <w:rStyle w:val="IndexLink"/>
                <w:rtl w:val="true"/>
              </w:rPr>
              <w:t>فَصلٌ في إثباتِ الصانعِ و صفاتِه</w:t>
            </w:r>
            <w:r>
              <w:rPr>
                <w:rStyle w:val="IndexLink"/>
                <w:rtl w:val="true"/>
              </w:rPr>
              <w:tab/>
            </w:r>
            <w:r>
              <w:rPr>
                <w:rStyle w:val="IndexLink"/>
              </w:rPr>
              <w:t>344</w:t>
            </w:r>
          </w:hyperlink>
        </w:p>
        <w:p>
          <w:pPr>
            <w:pStyle w:val="Contents6"/>
            <w:tabs>
              <w:tab w:val="clear" w:pos="7609"/>
              <w:tab w:val="right" w:pos="9026" w:leader="dot"/>
            </w:tabs>
            <w:rPr/>
          </w:pPr>
          <w:hyperlink w:anchor="__RefHeading___Toc7642504_1280447820">
            <w:r>
              <w:rPr>
                <w:webHidden/>
                <w:rStyle w:val="IndexLink"/>
                <w:rtl w:val="true"/>
              </w:rPr>
              <w:t>فَصلٌ في العَدلِ‌</w:t>
            </w:r>
            <w:r>
              <w:rPr>
                <w:rStyle w:val="IndexLink"/>
                <w:rtl w:val="true"/>
              </w:rPr>
              <w:tab/>
            </w:r>
            <w:r>
              <w:rPr>
                <w:rStyle w:val="IndexLink"/>
              </w:rPr>
              <w:t>346</w:t>
            </w:r>
          </w:hyperlink>
        </w:p>
        <w:p>
          <w:pPr>
            <w:pStyle w:val="Contents6"/>
            <w:tabs>
              <w:tab w:val="clear" w:pos="7609"/>
              <w:tab w:val="right" w:pos="9026" w:leader="dot"/>
            </w:tabs>
            <w:rPr/>
          </w:pPr>
          <w:hyperlink w:anchor="__RefHeading___Toc7642506_1280447820">
            <w:r>
              <w:rPr>
                <w:webHidden/>
                <w:rStyle w:val="IndexLink"/>
                <w:rtl w:val="true"/>
              </w:rPr>
              <w:t>فَصلٌ في النُّبوَّةِ‌</w:t>
            </w:r>
            <w:r>
              <w:rPr>
                <w:rStyle w:val="IndexLink"/>
                <w:rtl w:val="true"/>
              </w:rPr>
              <w:tab/>
            </w:r>
            <w:r>
              <w:rPr>
                <w:rStyle w:val="IndexLink"/>
              </w:rPr>
              <w:t>346</w:t>
            </w:r>
          </w:hyperlink>
        </w:p>
        <w:p>
          <w:pPr>
            <w:pStyle w:val="Contents6"/>
            <w:tabs>
              <w:tab w:val="clear" w:pos="7609"/>
              <w:tab w:val="right" w:pos="9026" w:leader="dot"/>
            </w:tabs>
            <w:rPr/>
          </w:pPr>
          <w:hyperlink w:anchor="__RefHeading___Toc7642508_1280447820">
            <w:r>
              <w:rPr>
                <w:webHidden/>
                <w:rStyle w:val="IndexLink"/>
                <w:rtl w:val="true"/>
              </w:rPr>
              <w:t>فَصلٌ في الإمامةِ‌</w:t>
            </w:r>
            <w:r>
              <w:rPr>
                <w:rStyle w:val="IndexLink"/>
                <w:rtl w:val="true"/>
              </w:rPr>
              <w:tab/>
            </w:r>
            <w:r>
              <w:rPr>
                <w:rStyle w:val="IndexLink"/>
              </w:rPr>
              <w:t>348</w:t>
            </w:r>
          </w:hyperlink>
        </w:p>
        <w:p>
          <w:pPr>
            <w:pStyle w:val="Contents6"/>
            <w:tabs>
              <w:tab w:val="clear" w:pos="7609"/>
              <w:tab w:val="right" w:pos="9026" w:leader="dot"/>
            </w:tabs>
            <w:rPr/>
          </w:pPr>
          <w:hyperlink w:anchor="__RefHeading___Toc7642510_1280447820">
            <w:r>
              <w:rPr>
                <w:webHidden/>
                <w:rStyle w:val="IndexLink"/>
                <w:rtl w:val="true"/>
              </w:rPr>
              <w:t>فَصلٌ في الوَعدِ و الوَعيدِ</w:t>
            </w:r>
            <w:r>
              <w:rPr>
                <w:rStyle w:val="IndexLink"/>
                <w:rtl w:val="true"/>
              </w:rPr>
              <w:tab/>
            </w:r>
            <w:r>
              <w:rPr>
                <w:rStyle w:val="IndexLink"/>
              </w:rPr>
              <w:t>349</w:t>
            </w:r>
          </w:hyperlink>
        </w:p>
        <w:p>
          <w:pPr>
            <w:pStyle w:val="Contents6"/>
            <w:tabs>
              <w:tab w:val="clear" w:pos="7609"/>
              <w:tab w:val="right" w:pos="9026" w:leader="dot"/>
            </w:tabs>
            <w:rPr/>
          </w:pPr>
          <w:hyperlink w:anchor="__RefHeading___Toc7642512_1280447820">
            <w:r>
              <w:rPr>
                <w:webHidden/>
                <w:rStyle w:val="IndexLink"/>
                <w:rtl w:val="true"/>
              </w:rPr>
              <w:t>فَصلٌ في الأمرِ بالمَعروفِ و النهيِ عنِ المُنكرِ</w:t>
            </w:r>
            <w:r>
              <w:rPr>
                <w:rStyle w:val="IndexLink"/>
                <w:rtl w:val="true"/>
              </w:rPr>
              <w:tab/>
            </w:r>
            <w:r>
              <w:rPr>
                <w:rStyle w:val="IndexLink"/>
              </w:rPr>
              <w:t>350</w:t>
            </w:r>
          </w:hyperlink>
        </w:p>
        <w:p>
          <w:pPr>
            <w:pStyle w:val="Contents6"/>
            <w:tabs>
              <w:tab w:val="clear" w:pos="7609"/>
              <w:tab w:val="right" w:pos="9026" w:leader="dot"/>
            </w:tabs>
            <w:rPr/>
          </w:pPr>
          <w:hyperlink w:anchor="__RefHeading___Toc7642514_1280447820">
            <w:r>
              <w:rPr>
                <w:webHidden/>
                <w:rStyle w:val="IndexLink"/>
                <w:rtl w:val="true"/>
              </w:rPr>
              <w:t>فَصلٌ في المَعادِ</w:t>
            </w:r>
            <w:r>
              <w:rPr>
                <w:rStyle w:val="IndexLink"/>
                <w:rtl w:val="true"/>
              </w:rPr>
              <w:tab/>
            </w:r>
            <w:r>
              <w:rPr>
                <w:rStyle w:val="IndexLink"/>
              </w:rPr>
              <w:t>350</w:t>
            </w:r>
          </w:hyperlink>
        </w:p>
        <w:p>
          <w:pPr>
            <w:pStyle w:val="Contents4"/>
            <w:tabs>
              <w:tab w:val="clear" w:pos="8176"/>
              <w:tab w:val="right" w:pos="9026" w:leader="dot"/>
            </w:tabs>
            <w:rPr/>
          </w:pPr>
          <w:hyperlink w:anchor="__RefHeading___Toc7642516_1280447820">
            <w:r>
              <w:rPr>
                <w:webHidden/>
                <w:rStyle w:val="IndexLink"/>
                <w:rtl w:val="true"/>
              </w:rPr>
              <w:t>(</w:t>
            </w:r>
            <w:r>
              <w:rPr>
                <w:rStyle w:val="IndexLink"/>
              </w:rPr>
              <w:t>31</w:t>
            </w:r>
            <w:r>
              <w:rPr>
                <w:rStyle w:val="IndexLink"/>
                <w:rtl w:val="true"/>
              </w:rPr>
              <w:t xml:space="preserve">) </w:t>
            </w:r>
            <w:r>
              <w:rPr>
                <w:rStyle w:val="IndexLink"/>
                <w:rtl w:val="true"/>
              </w:rPr>
              <w:t>مسألة في الإنسان</w:t>
            </w:r>
            <w:r>
              <w:rPr>
                <w:rStyle w:val="IndexLink"/>
                <w:rtl w:val="true"/>
              </w:rPr>
              <w:tab/>
            </w:r>
            <w:r>
              <w:rPr>
                <w:rStyle w:val="IndexLink"/>
              </w:rPr>
              <w:t>352</w:t>
            </w:r>
          </w:hyperlink>
        </w:p>
        <w:p>
          <w:pPr>
            <w:pStyle w:val="Contents5"/>
            <w:tabs>
              <w:tab w:val="clear" w:pos="7892"/>
              <w:tab w:val="right" w:pos="9026" w:leader="dot"/>
            </w:tabs>
            <w:rPr/>
          </w:pPr>
          <w:hyperlink w:anchor="__RefHeading___Toc7642518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7642520_1280447820">
            <w:r>
              <w:rPr>
                <w:webHidden/>
                <w:rStyle w:val="IndexLink"/>
                <w:rtl w:val="true"/>
              </w:rPr>
              <w:t>مقدّمة التحقيق</w:t>
            </w:r>
            <w:r>
              <w:rPr>
                <w:rStyle w:val="IndexLink"/>
                <w:rtl w:val="true"/>
              </w:rPr>
              <w:tab/>
            </w:r>
            <w:r>
              <w:rPr>
                <w:rStyle w:val="IndexLink"/>
              </w:rPr>
              <w:t>354</w:t>
            </w:r>
          </w:hyperlink>
        </w:p>
        <w:p>
          <w:pPr>
            <w:pStyle w:val="Contents6"/>
            <w:tabs>
              <w:tab w:val="clear" w:pos="7609"/>
              <w:tab w:val="right" w:pos="9026" w:leader="dot"/>
            </w:tabs>
            <w:rPr/>
          </w:pPr>
          <w:hyperlink w:anchor="__RefHeading___Toc7642522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7642524_1280447820">
            <w:r>
              <w:rPr>
                <w:webHidden/>
                <w:rStyle w:val="IndexLink"/>
                <w:rtl w:val="true"/>
              </w:rPr>
              <w:t>محتوى الرسالة</w:t>
            </w:r>
            <w:r>
              <w:rPr>
                <w:rStyle w:val="IndexLink"/>
                <w:rtl w:val="true"/>
              </w:rPr>
              <w:tab/>
            </w:r>
            <w:r>
              <w:rPr>
                <w:rStyle w:val="IndexLink"/>
              </w:rPr>
              <w:t>356</w:t>
            </w:r>
          </w:hyperlink>
        </w:p>
        <w:p>
          <w:pPr>
            <w:pStyle w:val="Contents6"/>
            <w:tabs>
              <w:tab w:val="clear" w:pos="7609"/>
              <w:tab w:val="right" w:pos="9026" w:leader="dot"/>
            </w:tabs>
            <w:rPr/>
          </w:pPr>
          <w:hyperlink w:anchor="__RefHeading___Toc7642526_1280447820">
            <w:r>
              <w:rPr>
                <w:webHidden/>
                <w:rStyle w:val="IndexLink"/>
                <w:rtl w:val="true"/>
              </w:rPr>
              <w:t>مخطوطات الرسالة</w:t>
            </w:r>
            <w:r>
              <w:rPr>
                <w:rStyle w:val="IndexLink"/>
                <w:rtl w:val="true"/>
              </w:rPr>
              <w:tab/>
            </w:r>
            <w:r>
              <w:rPr>
                <w:rStyle w:val="IndexLink"/>
              </w:rPr>
              <w:t>360</w:t>
            </w:r>
          </w:hyperlink>
        </w:p>
        <w:p>
          <w:pPr>
            <w:pStyle w:val="Contents5"/>
            <w:tabs>
              <w:tab w:val="clear" w:pos="7892"/>
              <w:tab w:val="right" w:pos="9026" w:leader="dot"/>
            </w:tabs>
            <w:rPr/>
          </w:pPr>
          <w:hyperlink w:anchor="__RefHeading___Toc7642528_1280447820">
            <w:r>
              <w:rPr>
                <w:webHidden/>
                <w:rStyle w:val="IndexLink"/>
                <w:rtl w:val="true"/>
              </w:rPr>
              <w:t>مسألةٌ في الإنسانِ‌</w:t>
            </w:r>
            <w:r>
              <w:rPr>
                <w:rStyle w:val="IndexLink"/>
                <w:rtl w:val="true"/>
              </w:rPr>
              <w:tab/>
            </w:r>
            <w:r>
              <w:rPr>
                <w:rStyle w:val="IndexLink"/>
              </w:rPr>
              <w:t>362</w:t>
            </w:r>
          </w:hyperlink>
        </w:p>
        <w:p>
          <w:pPr>
            <w:pStyle w:val="Contents6"/>
            <w:tabs>
              <w:tab w:val="clear" w:pos="7609"/>
              <w:tab w:val="right" w:pos="9026" w:leader="dot"/>
            </w:tabs>
            <w:rPr/>
          </w:pPr>
          <w:hyperlink w:anchor="__RefHeading___Toc7642530_1280447820">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7642532_1280447820">
            <w:r>
              <w:rPr>
                <w:webHidden/>
                <w:rStyle w:val="IndexLink"/>
                <w:rtl w:val="true"/>
              </w:rPr>
              <w:t>بيان الأقوال في حقيقة الإنسان</w:t>
            </w:r>
            <w:r>
              <w:rPr>
                <w:rStyle w:val="IndexLink"/>
                <w:rtl w:val="true"/>
              </w:rPr>
              <w:tab/>
            </w:r>
            <w:r>
              <w:rPr>
                <w:rStyle w:val="IndexLink"/>
              </w:rPr>
              <w:t>362</w:t>
            </w:r>
          </w:hyperlink>
        </w:p>
        <w:p>
          <w:pPr>
            <w:pStyle w:val="Contents6"/>
            <w:tabs>
              <w:tab w:val="clear" w:pos="7609"/>
              <w:tab w:val="right" w:pos="9026" w:leader="dot"/>
            </w:tabs>
            <w:rPr/>
          </w:pPr>
          <w:hyperlink w:anchor="__RefHeading___Toc7642534_1280447820">
            <w:r>
              <w:rPr>
                <w:webHidden/>
                <w:rStyle w:val="IndexLink"/>
                <w:rtl w:val="true"/>
              </w:rPr>
              <w:t>بيان القول المختار</w:t>
            </w:r>
            <w:r>
              <w:rPr>
                <w:rStyle w:val="IndexLink"/>
                <w:rtl w:val="true"/>
              </w:rPr>
              <w:tab/>
            </w:r>
            <w:r>
              <w:rPr>
                <w:rStyle w:val="IndexLink"/>
              </w:rPr>
              <w:t>364</w:t>
            </w:r>
          </w:hyperlink>
        </w:p>
        <w:p>
          <w:pPr>
            <w:pStyle w:val="Contents6"/>
            <w:tabs>
              <w:tab w:val="clear" w:pos="7609"/>
              <w:tab w:val="right" w:pos="9026" w:leader="dot"/>
            </w:tabs>
            <w:rPr/>
          </w:pPr>
          <w:hyperlink w:anchor="__RefHeading___Toc7642536_1280447820">
            <w:r>
              <w:rPr>
                <w:webHidden/>
                <w:rStyle w:val="IndexLink"/>
                <w:rtl w:val="true"/>
              </w:rPr>
              <w:t>مناقشة تعريف الفلاسفة للإنسان</w:t>
            </w:r>
            <w:r>
              <w:rPr>
                <w:rStyle w:val="IndexLink"/>
                <w:rtl w:val="true"/>
              </w:rPr>
              <w:tab/>
            </w:r>
            <w:r>
              <w:rPr>
                <w:rStyle w:val="IndexLink"/>
              </w:rPr>
              <w:t>365</w:t>
            </w:r>
          </w:hyperlink>
        </w:p>
        <w:p>
          <w:pPr>
            <w:pStyle w:val="Contents6"/>
            <w:tabs>
              <w:tab w:val="clear" w:pos="7609"/>
              <w:tab w:val="right" w:pos="9026" w:leader="dot"/>
            </w:tabs>
            <w:rPr/>
          </w:pPr>
          <w:hyperlink w:anchor="__RefHeading___Toc7642538_1280447820">
            <w:r>
              <w:rPr>
                <w:webHidden/>
                <w:rStyle w:val="IndexLink"/>
                <w:rtl w:val="true"/>
              </w:rPr>
              <w:t>أدلّة القول المختار في حقيقة الإنسان</w:t>
            </w:r>
            <w:r>
              <w:rPr>
                <w:rStyle w:val="IndexLink"/>
                <w:rtl w:val="true"/>
              </w:rPr>
              <w:tab/>
            </w:r>
            <w:r>
              <w:rPr>
                <w:rStyle w:val="IndexLink"/>
              </w:rPr>
              <w:t>368</w:t>
            </w:r>
          </w:hyperlink>
        </w:p>
        <w:p>
          <w:pPr>
            <w:pStyle w:val="Contents6"/>
            <w:tabs>
              <w:tab w:val="clear" w:pos="7609"/>
              <w:tab w:val="right" w:pos="9026" w:leader="dot"/>
            </w:tabs>
            <w:rPr/>
          </w:pPr>
          <w:hyperlink w:anchor="__RefHeading___Toc7642540_1280447820">
            <w:r>
              <w:rPr>
                <w:webHidden/>
                <w:rStyle w:val="IndexLink"/>
                <w:rtl w:val="true"/>
              </w:rPr>
              <w:t>مناقشة سائر الأقوال في حقيقة الإنسان</w:t>
            </w:r>
            <w:r>
              <w:rPr>
                <w:rStyle w:val="IndexLink"/>
                <w:rtl w:val="true"/>
              </w:rPr>
              <w:tab/>
            </w:r>
            <w:r>
              <w:rPr>
                <w:rStyle w:val="IndexLink"/>
              </w:rPr>
              <w:t>370</w:t>
            </w:r>
          </w:hyperlink>
        </w:p>
        <w:p>
          <w:pPr>
            <w:pStyle w:val="Contents6"/>
            <w:tabs>
              <w:tab w:val="clear" w:pos="7609"/>
              <w:tab w:val="right" w:pos="9026" w:leader="dot"/>
            </w:tabs>
            <w:rPr/>
          </w:pPr>
          <w:hyperlink w:anchor="__RefHeading___Toc7642542_1280447820">
            <w:r>
              <w:rPr>
                <w:webHidden/>
                <w:rStyle w:val="IndexLink"/>
                <w:rtl w:val="true"/>
              </w:rPr>
              <w:t>عودة إلى أدلّة القول المختار في حقيقة الإنسان</w:t>
            </w:r>
            <w:r>
              <w:rPr>
                <w:rStyle w:val="IndexLink"/>
                <w:rtl w:val="true"/>
              </w:rPr>
              <w:tab/>
            </w:r>
            <w:r>
              <w:rPr>
                <w:rStyle w:val="IndexLink"/>
              </w:rPr>
              <w:t>373</w:t>
            </w:r>
          </w:hyperlink>
        </w:p>
        <w:p>
          <w:pPr>
            <w:pStyle w:val="Contents6"/>
            <w:tabs>
              <w:tab w:val="clear" w:pos="7609"/>
              <w:tab w:val="right" w:pos="9026" w:leader="dot"/>
            </w:tabs>
            <w:rPr/>
          </w:pPr>
          <w:hyperlink w:anchor="__RefHeading___Toc7642544_1280447820">
            <w:r>
              <w:rPr>
                <w:webHidden/>
                <w:rStyle w:val="IndexLink"/>
                <w:rtl w:val="true"/>
              </w:rPr>
              <w:t>عودة لمناقشة الأقوال الأُخرىٰ في حقيقة الإنسان</w:t>
            </w:r>
            <w:r>
              <w:rPr>
                <w:rStyle w:val="IndexLink"/>
                <w:rtl w:val="true"/>
              </w:rPr>
              <w:tab/>
            </w:r>
            <w:r>
              <w:rPr>
                <w:rStyle w:val="IndexLink"/>
              </w:rPr>
              <w:t>375</w:t>
            </w:r>
          </w:hyperlink>
        </w:p>
        <w:p>
          <w:pPr>
            <w:pStyle w:val="Contents6"/>
            <w:tabs>
              <w:tab w:val="clear" w:pos="7609"/>
              <w:tab w:val="right" w:pos="9026" w:leader="dot"/>
            </w:tabs>
            <w:rPr/>
          </w:pPr>
          <w:hyperlink w:anchor="__RefHeading___Toc7642546_1280447820">
            <w:r>
              <w:rPr>
                <w:webHidden/>
                <w:rStyle w:val="IndexLink"/>
                <w:rtl w:val="true"/>
              </w:rPr>
              <w:t>مناقشة إشكالات القول المختار</w:t>
            </w:r>
            <w:r>
              <w:rPr>
                <w:rStyle w:val="IndexLink"/>
                <w:rtl w:val="true"/>
              </w:rPr>
              <w:tab/>
            </w:r>
            <w:r>
              <w:rPr>
                <w:rStyle w:val="IndexLink"/>
              </w:rPr>
              <w:t>377</w:t>
            </w:r>
          </w:hyperlink>
        </w:p>
        <w:p>
          <w:pPr>
            <w:pStyle w:val="Contents6"/>
            <w:tabs>
              <w:tab w:val="clear" w:pos="7609"/>
              <w:tab w:val="right" w:pos="9026" w:leader="dot"/>
            </w:tabs>
            <w:rPr/>
          </w:pPr>
          <w:hyperlink w:anchor="__RefHeading___Toc7642548_1280447820">
            <w:r>
              <w:rPr>
                <w:webHidden/>
                <w:rStyle w:val="IndexLink"/>
                <w:rtl w:val="true"/>
              </w:rPr>
              <w:t>الإشكال الثاني</w:t>
            </w:r>
            <w:r>
              <w:rPr>
                <w:rStyle w:val="IndexLink"/>
                <w:rtl w:val="true"/>
              </w:rPr>
              <w:tab/>
            </w:r>
            <w:r>
              <w:rPr>
                <w:rStyle w:val="IndexLink"/>
              </w:rPr>
              <w:t>379</w:t>
            </w:r>
          </w:hyperlink>
        </w:p>
        <w:p>
          <w:pPr>
            <w:pStyle w:val="Contents4"/>
            <w:tabs>
              <w:tab w:val="clear" w:pos="8176"/>
              <w:tab w:val="right" w:pos="9026" w:leader="dot"/>
            </w:tabs>
            <w:rPr/>
          </w:pPr>
          <w:hyperlink w:anchor="__RefHeading___Toc7642550_1280447820">
            <w:r>
              <w:rPr>
                <w:webHidden/>
                <w:rStyle w:val="IndexLink"/>
                <w:rtl w:val="true"/>
              </w:rPr>
              <w:t>(</w:t>
            </w:r>
            <w:r>
              <w:rPr>
                <w:rStyle w:val="IndexLink"/>
              </w:rPr>
              <w:t>32</w:t>
            </w:r>
            <w:r>
              <w:rPr>
                <w:rStyle w:val="IndexLink"/>
                <w:rtl w:val="true"/>
              </w:rPr>
              <w:t xml:space="preserve">) </w:t>
            </w:r>
            <w:r>
              <w:rPr>
                <w:rStyle w:val="IndexLink"/>
                <w:rtl w:val="true"/>
              </w:rPr>
              <w:t>مسألة في بيان حقيقة الحيّ الفعّال</w:t>
            </w:r>
            <w:r>
              <w:rPr>
                <w:rStyle w:val="IndexLink"/>
                <w:rtl w:val="true"/>
              </w:rPr>
              <w:tab/>
            </w:r>
            <w:r>
              <w:rPr>
                <w:rStyle w:val="IndexLink"/>
              </w:rPr>
              <w:t>380</w:t>
            </w:r>
          </w:hyperlink>
        </w:p>
        <w:p>
          <w:pPr>
            <w:pStyle w:val="Contents5"/>
            <w:tabs>
              <w:tab w:val="clear" w:pos="7892"/>
              <w:tab w:val="right" w:pos="9026" w:leader="dot"/>
            </w:tabs>
            <w:rPr/>
          </w:pPr>
          <w:hyperlink w:anchor="__RefHeading___Toc7642552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7642554_1280447820">
            <w:r>
              <w:rPr>
                <w:webHidden/>
                <w:rStyle w:val="IndexLink"/>
                <w:rtl w:val="true"/>
              </w:rPr>
              <w:t>مقدّمة التحقيق</w:t>
            </w:r>
            <w:r>
              <w:rPr>
                <w:rStyle w:val="IndexLink"/>
                <w:rtl w:val="true"/>
              </w:rPr>
              <w:tab/>
            </w:r>
            <w:r>
              <w:rPr>
                <w:rStyle w:val="IndexLink"/>
              </w:rPr>
              <w:t>382</w:t>
            </w:r>
          </w:hyperlink>
        </w:p>
        <w:p>
          <w:pPr>
            <w:pStyle w:val="Contents6"/>
            <w:tabs>
              <w:tab w:val="clear" w:pos="7609"/>
              <w:tab w:val="right" w:pos="9026" w:leader="dot"/>
            </w:tabs>
            <w:rPr/>
          </w:pPr>
          <w:hyperlink w:anchor="__RefHeading___Toc7642556_1280447820">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7642558_1280447820">
            <w:r>
              <w:rPr>
                <w:webHidden/>
                <w:rStyle w:val="IndexLink"/>
                <w:rtl w:val="true"/>
              </w:rPr>
              <w:t>نسبة الرسالة</w:t>
            </w:r>
            <w:r>
              <w:rPr>
                <w:rStyle w:val="IndexLink"/>
                <w:rtl w:val="true"/>
              </w:rPr>
              <w:tab/>
            </w:r>
            <w:r>
              <w:rPr>
                <w:rStyle w:val="IndexLink"/>
              </w:rPr>
              <w:t>382</w:t>
            </w:r>
          </w:hyperlink>
        </w:p>
        <w:p>
          <w:pPr>
            <w:pStyle w:val="Contents6"/>
            <w:tabs>
              <w:tab w:val="clear" w:pos="7609"/>
              <w:tab w:val="right" w:pos="9026" w:leader="dot"/>
            </w:tabs>
            <w:rPr/>
          </w:pPr>
          <w:hyperlink w:anchor="__RefHeading___Toc7642560_1280447820">
            <w:r>
              <w:rPr>
                <w:webHidden/>
                <w:rStyle w:val="IndexLink"/>
                <w:rtl w:val="true"/>
              </w:rPr>
              <w:t>محتوى الرسالة</w:t>
            </w:r>
            <w:r>
              <w:rPr>
                <w:rStyle w:val="IndexLink"/>
                <w:rtl w:val="true"/>
              </w:rPr>
              <w:tab/>
            </w:r>
            <w:r>
              <w:rPr>
                <w:rStyle w:val="IndexLink"/>
              </w:rPr>
              <w:t>383</w:t>
            </w:r>
          </w:hyperlink>
        </w:p>
        <w:p>
          <w:pPr>
            <w:pStyle w:val="Contents6"/>
            <w:tabs>
              <w:tab w:val="clear" w:pos="7609"/>
              <w:tab w:val="right" w:pos="9026" w:leader="dot"/>
            </w:tabs>
            <w:rPr/>
          </w:pPr>
          <w:hyperlink w:anchor="__RefHeading___Toc7642562_1280447820">
            <w:r>
              <w:rPr>
                <w:webHidden/>
                <w:rStyle w:val="IndexLink"/>
                <w:rtl w:val="true"/>
              </w:rPr>
              <w:t>مخطوطات الرسالة</w:t>
            </w:r>
            <w:r>
              <w:rPr>
                <w:rStyle w:val="IndexLink"/>
                <w:rtl w:val="true"/>
              </w:rPr>
              <w:tab/>
            </w:r>
            <w:r>
              <w:rPr>
                <w:rStyle w:val="IndexLink"/>
              </w:rPr>
              <w:t>384</w:t>
            </w:r>
          </w:hyperlink>
        </w:p>
        <w:p>
          <w:pPr>
            <w:pStyle w:val="Contents5"/>
            <w:tabs>
              <w:tab w:val="clear" w:pos="7892"/>
              <w:tab w:val="right" w:pos="9026" w:leader="dot"/>
            </w:tabs>
            <w:rPr/>
          </w:pPr>
          <w:hyperlink w:anchor="__RefHeading___Toc7642564_1280447820">
            <w:r>
              <w:rPr>
                <w:webHidden/>
                <w:rStyle w:val="IndexLink"/>
                <w:rtl w:val="true"/>
              </w:rPr>
              <w:t>مسألةٌ في بيانِ حَقيقةِ الحَيِّ الفَعّالِ‌</w:t>
            </w:r>
            <w:r>
              <w:rPr>
                <w:rStyle w:val="IndexLink"/>
                <w:rtl w:val="true"/>
              </w:rPr>
              <w:tab/>
            </w:r>
            <w:r>
              <w:rPr>
                <w:rStyle w:val="IndexLink"/>
              </w:rPr>
              <w:t>386</w:t>
            </w:r>
          </w:hyperlink>
        </w:p>
        <w:p>
          <w:pPr>
            <w:pStyle w:val="Contents6"/>
            <w:tabs>
              <w:tab w:val="clear" w:pos="7609"/>
              <w:tab w:val="right" w:pos="9026" w:leader="dot"/>
            </w:tabs>
            <w:rPr/>
          </w:pPr>
          <w:hyperlink w:anchor="__RefHeading___Toc7642566_1280447820">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7642568_1280447820">
            <w:r>
              <w:rPr>
                <w:webHidden/>
                <w:rStyle w:val="IndexLink"/>
                <w:rtl w:val="true"/>
              </w:rPr>
              <w:t>أدلّة القول المختار</w:t>
            </w:r>
            <w:r>
              <w:rPr>
                <w:rStyle w:val="IndexLink"/>
                <w:rtl w:val="true"/>
              </w:rPr>
              <w:tab/>
            </w:r>
            <w:r>
              <w:rPr>
                <w:rStyle w:val="IndexLink"/>
              </w:rPr>
              <w:t>390</w:t>
            </w:r>
          </w:hyperlink>
        </w:p>
        <w:p>
          <w:pPr>
            <w:pStyle w:val="Contents5"/>
            <w:tabs>
              <w:tab w:val="clear" w:pos="7892"/>
              <w:tab w:val="right" w:pos="9026" w:leader="dot"/>
            </w:tabs>
            <w:rPr/>
          </w:pPr>
          <w:hyperlink w:anchor="__RefHeading___Toc7642570_1280447820">
            <w:r>
              <w:rPr>
                <w:webHidden/>
                <w:rStyle w:val="IndexLink"/>
                <w:rtl w:val="true"/>
              </w:rPr>
              <w:t>مناقشة الأقوال الأُخرىٰ‌</w:t>
            </w:r>
            <w:r>
              <w:rPr>
                <w:rStyle w:val="IndexLink"/>
                <w:rtl w:val="true"/>
              </w:rPr>
              <w:tab/>
            </w:r>
            <w:r>
              <w:rPr>
                <w:rStyle w:val="IndexLink"/>
              </w:rPr>
              <w:t>393</w:t>
            </w:r>
          </w:hyperlink>
        </w:p>
        <w:p>
          <w:pPr>
            <w:pStyle w:val="Contents5"/>
            <w:tabs>
              <w:tab w:val="clear" w:pos="7892"/>
              <w:tab w:val="right" w:pos="9026" w:leader="dot"/>
            </w:tabs>
            <w:rPr/>
          </w:pPr>
          <w:hyperlink w:anchor="__RefHeading___Toc7642572_1280447820">
            <w:r>
              <w:rPr>
                <w:webHidden/>
                <w:rStyle w:val="IndexLink"/>
                <w:rtl w:val="true"/>
              </w:rPr>
              <w:t>جواب ما قد يرد علَى النظريّة المختارة من إشكالات</w:t>
            </w:r>
            <w:r>
              <w:rPr>
                <w:rStyle w:val="IndexLink"/>
                <w:rtl w:val="true"/>
              </w:rPr>
              <w:tab/>
            </w:r>
            <w:r>
              <w:rPr>
                <w:rStyle w:val="IndexLink"/>
              </w:rPr>
              <w:t>398</w:t>
            </w:r>
          </w:hyperlink>
        </w:p>
        <w:p>
          <w:pPr>
            <w:pStyle w:val="Contents4"/>
            <w:tabs>
              <w:tab w:val="clear" w:pos="8176"/>
              <w:tab w:val="right" w:pos="9026" w:leader="dot"/>
            </w:tabs>
            <w:rPr/>
          </w:pPr>
          <w:hyperlink w:anchor="__RefHeading___Toc7642574_1280447820">
            <w:r>
              <w:rPr>
                <w:webHidden/>
                <w:rStyle w:val="IndexLink"/>
                <w:rtl w:val="true"/>
              </w:rPr>
              <w:t>(</w:t>
            </w:r>
            <w:r>
              <w:rPr>
                <w:rStyle w:val="IndexLink"/>
              </w:rPr>
              <w:t>33</w:t>
            </w:r>
            <w:r>
              <w:rPr>
                <w:rStyle w:val="IndexLink"/>
                <w:rtl w:val="true"/>
              </w:rPr>
              <w:t xml:space="preserve">) </w:t>
            </w:r>
            <w:r>
              <w:rPr>
                <w:rStyle w:val="IndexLink"/>
                <w:rtl w:val="true"/>
              </w:rPr>
              <w:t>مسألة حول قدم العالم</w:t>
            </w:r>
            <w:r>
              <w:rPr>
                <w:rStyle w:val="IndexLink"/>
                <w:rtl w:val="true"/>
              </w:rPr>
              <w:tab/>
            </w:r>
            <w:r>
              <w:rPr>
                <w:rStyle w:val="IndexLink"/>
              </w:rPr>
              <w:t>402</w:t>
            </w:r>
          </w:hyperlink>
        </w:p>
        <w:p>
          <w:pPr>
            <w:pStyle w:val="Contents5"/>
            <w:tabs>
              <w:tab w:val="clear" w:pos="7892"/>
              <w:tab w:val="right" w:pos="9026" w:leader="dot"/>
            </w:tabs>
            <w:rPr/>
          </w:pPr>
          <w:hyperlink w:anchor="__RefHeading___Toc7642576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7642578_1280447820">
            <w:r>
              <w:rPr>
                <w:webHidden/>
                <w:rStyle w:val="IndexLink"/>
                <w:rtl w:val="true"/>
              </w:rPr>
              <w:t>مقدّمة التحقيق</w:t>
            </w:r>
            <w:r>
              <w:rPr>
                <w:rStyle w:val="IndexLink"/>
                <w:rtl w:val="true"/>
              </w:rPr>
              <w:tab/>
            </w:r>
            <w:r>
              <w:rPr>
                <w:rStyle w:val="IndexLink"/>
              </w:rPr>
              <w:t>404</w:t>
            </w:r>
          </w:hyperlink>
        </w:p>
        <w:p>
          <w:pPr>
            <w:pStyle w:val="Contents6"/>
            <w:tabs>
              <w:tab w:val="clear" w:pos="7609"/>
              <w:tab w:val="right" w:pos="9026" w:leader="dot"/>
            </w:tabs>
            <w:rPr/>
          </w:pPr>
          <w:hyperlink w:anchor="__RefHeading___Toc7642580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7642582_1280447820">
            <w:r>
              <w:rPr>
                <w:webHidden/>
                <w:rStyle w:val="IndexLink"/>
                <w:rtl w:val="true"/>
              </w:rPr>
              <w:t>هذه الرسالة</w:t>
            </w:r>
            <w:r>
              <w:rPr>
                <w:rStyle w:val="IndexLink"/>
                <w:rtl w:val="true"/>
              </w:rPr>
              <w:tab/>
            </w:r>
            <w:r>
              <w:rPr>
                <w:rStyle w:val="IndexLink"/>
              </w:rPr>
              <w:t>408</w:t>
            </w:r>
          </w:hyperlink>
        </w:p>
        <w:p>
          <w:pPr>
            <w:pStyle w:val="Contents6"/>
            <w:tabs>
              <w:tab w:val="clear" w:pos="7609"/>
              <w:tab w:val="right" w:pos="9026" w:leader="dot"/>
            </w:tabs>
            <w:rPr/>
          </w:pPr>
          <w:hyperlink w:anchor="__RefHeading___Toc7642584_1280447820">
            <w:r>
              <w:rPr>
                <w:webHidden/>
                <w:rStyle w:val="IndexLink"/>
                <w:rtl w:val="true"/>
              </w:rPr>
              <w:t>عنوان الرسالة و نسبتها إلى المؤلّف</w:t>
            </w:r>
            <w:r>
              <w:rPr>
                <w:rStyle w:val="IndexLink"/>
                <w:rtl w:val="true"/>
              </w:rPr>
              <w:tab/>
            </w:r>
            <w:r>
              <w:rPr>
                <w:rStyle w:val="IndexLink"/>
              </w:rPr>
              <w:t>409</w:t>
            </w:r>
          </w:hyperlink>
        </w:p>
        <w:p>
          <w:pPr>
            <w:pStyle w:val="Contents6"/>
            <w:tabs>
              <w:tab w:val="clear" w:pos="7609"/>
              <w:tab w:val="right" w:pos="9026" w:leader="dot"/>
            </w:tabs>
            <w:rPr/>
          </w:pPr>
          <w:hyperlink w:anchor="__RefHeading___Toc7642586_1280447820">
            <w:r>
              <w:rPr>
                <w:webHidden/>
                <w:rStyle w:val="IndexLink"/>
                <w:rtl w:val="true"/>
              </w:rPr>
              <w:t>محتوى الرسالة</w:t>
            </w:r>
            <w:r>
              <w:rPr>
                <w:rStyle w:val="IndexLink"/>
                <w:rtl w:val="true"/>
              </w:rPr>
              <w:tab/>
            </w:r>
            <w:r>
              <w:rPr>
                <w:rStyle w:val="IndexLink"/>
              </w:rPr>
              <w:t>410</w:t>
            </w:r>
          </w:hyperlink>
        </w:p>
        <w:p>
          <w:pPr>
            <w:pStyle w:val="Contents6"/>
            <w:tabs>
              <w:tab w:val="clear" w:pos="7609"/>
              <w:tab w:val="right" w:pos="9026" w:leader="dot"/>
            </w:tabs>
            <w:rPr/>
          </w:pPr>
          <w:hyperlink w:anchor="__RefHeading___Toc7642588_1280447820">
            <w:r>
              <w:rPr>
                <w:webHidden/>
                <w:rStyle w:val="IndexLink"/>
                <w:rtl w:val="true"/>
              </w:rPr>
              <w:t>مخطوطات الرسالة</w:t>
            </w:r>
            <w:r>
              <w:rPr>
                <w:rStyle w:val="IndexLink"/>
                <w:rtl w:val="true"/>
              </w:rPr>
              <w:tab/>
            </w:r>
            <w:r>
              <w:rPr>
                <w:rStyle w:val="IndexLink"/>
              </w:rPr>
              <w:t>413</w:t>
            </w:r>
          </w:hyperlink>
        </w:p>
        <w:p>
          <w:pPr>
            <w:pStyle w:val="Contents5"/>
            <w:tabs>
              <w:tab w:val="clear" w:pos="7892"/>
              <w:tab w:val="right" w:pos="9026" w:leader="dot"/>
            </w:tabs>
            <w:rPr/>
          </w:pPr>
          <w:hyperlink w:anchor="__RefHeading___Toc7642590_1280447820">
            <w:r>
              <w:rPr>
                <w:webHidden/>
                <w:rStyle w:val="IndexLink"/>
                <w:rtl w:val="true"/>
              </w:rPr>
              <w:t>مَسألةٌ حَولَ قِدَمِ العالَمِ‌</w:t>
            </w:r>
            <w:r>
              <w:rPr>
                <w:rStyle w:val="IndexLink"/>
                <w:rtl w:val="true"/>
              </w:rPr>
              <w:tab/>
            </w:r>
            <w:r>
              <w:rPr>
                <w:rStyle w:val="IndexLink"/>
              </w:rPr>
              <w:t>414</w:t>
            </w:r>
          </w:hyperlink>
        </w:p>
        <w:p>
          <w:pPr>
            <w:pStyle w:val="Contents6"/>
            <w:tabs>
              <w:tab w:val="clear" w:pos="7609"/>
              <w:tab w:val="right" w:pos="9026" w:leader="dot"/>
            </w:tabs>
            <w:rPr/>
          </w:pPr>
          <w:hyperlink w:anchor="__RefHeading___Toc7642592_1280447820">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7642594_1280447820">
            <w:r>
              <w:rPr>
                <w:webHidden/>
                <w:rStyle w:val="IndexLink"/>
                <w:rtl w:val="true"/>
              </w:rPr>
              <w:t xml:space="preserve">قالَ المُحقِّقُ الكَراجكيُّ‌ </w:t>
            </w:r>
            <w:r>
              <w:rPr>
                <w:rStyle w:val="IndexLink"/>
                <w:rtl w:val="true"/>
              </w:rPr>
              <w:t>:</w:t>
              <w:tab/>
            </w:r>
            <w:r>
              <w:rPr>
                <w:rStyle w:val="IndexLink"/>
              </w:rPr>
              <w:t>414</w:t>
            </w:r>
          </w:hyperlink>
        </w:p>
        <w:p>
          <w:pPr>
            <w:pStyle w:val="Contents6"/>
            <w:tabs>
              <w:tab w:val="clear" w:pos="7609"/>
              <w:tab w:val="right" w:pos="9026" w:leader="dot"/>
            </w:tabs>
            <w:rPr/>
          </w:pPr>
          <w:hyperlink w:anchor="__RefHeading___Toc7642596_1280447820">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7642598_1280447820">
            <w:r>
              <w:rPr>
                <w:webHidden/>
                <w:rStyle w:val="IndexLink"/>
                <w:rtl w:val="true"/>
              </w:rPr>
              <w:t>الشُّبهَةُ‌</w:t>
            </w:r>
            <w:r>
              <w:rPr>
                <w:rStyle w:val="IndexLink"/>
                <w:rtl w:val="true"/>
              </w:rPr>
              <w:t>:</w:t>
              <w:tab/>
            </w:r>
            <w:r>
              <w:rPr>
                <w:rStyle w:val="IndexLink"/>
              </w:rPr>
              <w:t>416</w:t>
            </w:r>
          </w:hyperlink>
        </w:p>
        <w:p>
          <w:pPr>
            <w:pStyle w:val="Contents6"/>
            <w:tabs>
              <w:tab w:val="clear" w:pos="7609"/>
              <w:tab w:val="right" w:pos="9026" w:leader="dot"/>
            </w:tabs>
            <w:rPr/>
          </w:pPr>
          <w:hyperlink w:anchor="__RefHeading___Toc7642600_1280447820">
            <w:r>
              <w:rPr>
                <w:webHidden/>
                <w:rStyle w:val="IndexLink"/>
                <w:rtl w:val="true"/>
              </w:rPr>
              <w:t>الجَوابُ‌</w:t>
            </w:r>
            <w:r>
              <w:rPr>
                <w:rStyle w:val="IndexLink"/>
                <w:rtl w:val="true"/>
              </w:rPr>
              <w:t>:</w:t>
              <w:tab/>
            </w:r>
            <w:r>
              <w:rPr>
                <w:rStyle w:val="IndexLink"/>
              </w:rPr>
              <w:t>417</w:t>
            </w:r>
          </w:hyperlink>
        </w:p>
        <w:p>
          <w:pPr>
            <w:pStyle w:val="Contents4"/>
            <w:tabs>
              <w:tab w:val="clear" w:pos="8176"/>
              <w:tab w:val="right" w:pos="9026" w:leader="dot"/>
            </w:tabs>
            <w:rPr/>
          </w:pPr>
          <w:hyperlink w:anchor="__RefHeading___Toc7642602_1280447820">
            <w:r>
              <w:rPr>
                <w:webHidden/>
                <w:rStyle w:val="IndexLink"/>
                <w:rtl w:val="true"/>
              </w:rPr>
              <w:t>(</w:t>
            </w:r>
            <w:r>
              <w:rPr>
                <w:rStyle w:val="IndexLink"/>
              </w:rPr>
              <w:t>34</w:t>
            </w:r>
            <w:r>
              <w:rPr>
                <w:rStyle w:val="IndexLink"/>
                <w:rtl w:val="true"/>
              </w:rPr>
              <w:t xml:space="preserve">) </w:t>
            </w:r>
            <w:r>
              <w:rPr>
                <w:rStyle w:val="IndexLink"/>
                <w:rtl w:val="true"/>
              </w:rPr>
              <w:t>مسألة في خلق الأفعال</w:t>
            </w:r>
            <w:r>
              <w:rPr>
                <w:rStyle w:val="IndexLink"/>
                <w:rtl w:val="true"/>
              </w:rPr>
              <w:tab/>
            </w:r>
            <w:r>
              <w:rPr>
                <w:rStyle w:val="IndexLink"/>
              </w:rPr>
              <w:t>422</w:t>
            </w:r>
          </w:hyperlink>
        </w:p>
        <w:p>
          <w:pPr>
            <w:pStyle w:val="Contents5"/>
            <w:tabs>
              <w:tab w:val="clear" w:pos="7892"/>
              <w:tab w:val="right" w:pos="9026" w:leader="dot"/>
            </w:tabs>
            <w:rPr/>
          </w:pPr>
          <w:hyperlink w:anchor="__RefHeading___Toc7642604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7642606_1280447820">
            <w:r>
              <w:rPr>
                <w:webHidden/>
                <w:rStyle w:val="IndexLink"/>
                <w:rtl w:val="true"/>
              </w:rPr>
              <w:t>مقدّمة التحقيق</w:t>
            </w:r>
            <w:r>
              <w:rPr>
                <w:rStyle w:val="IndexLink"/>
                <w:rtl w:val="true"/>
              </w:rPr>
              <w:tab/>
            </w:r>
            <w:r>
              <w:rPr>
                <w:rStyle w:val="IndexLink"/>
              </w:rPr>
              <w:t>424</w:t>
            </w:r>
          </w:hyperlink>
        </w:p>
        <w:p>
          <w:pPr>
            <w:pStyle w:val="Contents6"/>
            <w:tabs>
              <w:tab w:val="clear" w:pos="7609"/>
              <w:tab w:val="right" w:pos="9026" w:leader="dot"/>
            </w:tabs>
            <w:rPr/>
          </w:pPr>
          <w:hyperlink w:anchor="__RefHeading___Toc7642608_128044782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7642610_1280447820">
            <w:r>
              <w:rPr>
                <w:webHidden/>
                <w:rStyle w:val="IndexLink"/>
                <w:rtl w:val="true"/>
              </w:rPr>
              <w:t>محتوى الرسالة</w:t>
            </w:r>
            <w:r>
              <w:rPr>
                <w:rStyle w:val="IndexLink"/>
                <w:rtl w:val="true"/>
              </w:rPr>
              <w:tab/>
            </w:r>
            <w:r>
              <w:rPr>
                <w:rStyle w:val="IndexLink"/>
              </w:rPr>
              <w:t>425</w:t>
            </w:r>
          </w:hyperlink>
        </w:p>
        <w:p>
          <w:pPr>
            <w:pStyle w:val="Contents6"/>
            <w:tabs>
              <w:tab w:val="clear" w:pos="7609"/>
              <w:tab w:val="right" w:pos="9026" w:leader="dot"/>
            </w:tabs>
            <w:rPr/>
          </w:pPr>
          <w:hyperlink w:anchor="__RefHeading___Toc7642612_1280447820">
            <w:r>
              <w:rPr>
                <w:webHidden/>
                <w:rStyle w:val="IndexLink"/>
                <w:rtl w:val="true"/>
              </w:rPr>
              <w:t>مخطوطات الرسالة</w:t>
            </w:r>
            <w:r>
              <w:rPr>
                <w:rStyle w:val="IndexLink"/>
                <w:rtl w:val="true"/>
              </w:rPr>
              <w:tab/>
            </w:r>
            <w:r>
              <w:rPr>
                <w:rStyle w:val="IndexLink"/>
              </w:rPr>
              <w:t>430</w:t>
            </w:r>
          </w:hyperlink>
        </w:p>
        <w:p>
          <w:pPr>
            <w:pStyle w:val="Contents5"/>
            <w:tabs>
              <w:tab w:val="clear" w:pos="7892"/>
              <w:tab w:val="right" w:pos="9026" w:leader="dot"/>
            </w:tabs>
            <w:rPr/>
          </w:pPr>
          <w:hyperlink w:anchor="__RefHeading___Toc7642614_1280447820">
            <w:r>
              <w:rPr>
                <w:webHidden/>
                <w:rStyle w:val="IndexLink"/>
                <w:rtl w:val="true"/>
              </w:rPr>
              <w:t>مسألةٌ في خَلقِ الأفعالِ‌</w:t>
            </w:r>
            <w:r>
              <w:rPr>
                <w:rStyle w:val="IndexLink"/>
                <w:rtl w:val="true"/>
              </w:rPr>
              <w:tab/>
            </w:r>
            <w:r>
              <w:rPr>
                <w:rStyle w:val="IndexLink"/>
              </w:rPr>
              <w:t>432</w:t>
            </w:r>
          </w:hyperlink>
        </w:p>
        <w:p>
          <w:pPr>
            <w:pStyle w:val="Contents6"/>
            <w:tabs>
              <w:tab w:val="clear" w:pos="7609"/>
              <w:tab w:val="right" w:pos="9026" w:leader="dot"/>
            </w:tabs>
            <w:rPr/>
          </w:pPr>
          <w:hyperlink w:anchor="__RefHeading___Toc7642616_1280447820">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7642618_1280447820">
            <w:r>
              <w:rPr>
                <w:webHidden/>
                <w:rStyle w:val="IndexLink"/>
                <w:rtl w:val="true"/>
              </w:rPr>
              <w:t>أدلّة اختيار الإنسان</w:t>
            </w:r>
            <w:r>
              <w:rPr>
                <w:rStyle w:val="IndexLink"/>
                <w:rtl w:val="true"/>
              </w:rPr>
              <w:tab/>
            </w:r>
            <w:r>
              <w:rPr>
                <w:rStyle w:val="IndexLink"/>
              </w:rPr>
              <w:t>433</w:t>
            </w:r>
          </w:hyperlink>
        </w:p>
        <w:p>
          <w:pPr>
            <w:pStyle w:val="Contents6"/>
            <w:tabs>
              <w:tab w:val="clear" w:pos="7609"/>
              <w:tab w:val="right" w:pos="9026" w:leader="dot"/>
            </w:tabs>
            <w:rPr/>
          </w:pPr>
          <w:hyperlink w:anchor="__RefHeading___Toc7642620_1280447820">
            <w:r>
              <w:rPr>
                <w:webHidden/>
                <w:rStyle w:val="IndexLink"/>
                <w:rtl w:val="true"/>
              </w:rPr>
              <w:t>الدليل الأوّل</w:t>
            </w:r>
            <w:r>
              <w:rPr>
                <w:rStyle w:val="IndexLink"/>
                <w:rtl w:val="true"/>
              </w:rPr>
              <w:tab/>
            </w:r>
            <w:r>
              <w:rPr>
                <w:rStyle w:val="IndexLink"/>
              </w:rPr>
              <w:t>433</w:t>
            </w:r>
          </w:hyperlink>
        </w:p>
        <w:p>
          <w:pPr>
            <w:pStyle w:val="Contents6"/>
            <w:tabs>
              <w:tab w:val="clear" w:pos="7609"/>
              <w:tab w:val="right" w:pos="9026" w:leader="dot"/>
            </w:tabs>
            <w:rPr/>
          </w:pPr>
          <w:hyperlink w:anchor="__RefHeading___Toc7642622_1280447820">
            <w:r>
              <w:rPr>
                <w:webHidden/>
                <w:rStyle w:val="IndexLink"/>
                <w:rtl w:val="true"/>
              </w:rPr>
              <w:t>الدليل الثاني</w:t>
            </w:r>
            <w:r>
              <w:rPr>
                <w:rStyle w:val="IndexLink"/>
                <w:rtl w:val="true"/>
              </w:rPr>
              <w:tab/>
            </w:r>
            <w:r>
              <w:rPr>
                <w:rStyle w:val="IndexLink"/>
              </w:rPr>
              <w:t>434</w:t>
            </w:r>
          </w:hyperlink>
        </w:p>
        <w:p>
          <w:pPr>
            <w:pStyle w:val="Contents6"/>
            <w:tabs>
              <w:tab w:val="clear" w:pos="7609"/>
              <w:tab w:val="right" w:pos="9026" w:leader="dot"/>
            </w:tabs>
            <w:rPr/>
          </w:pPr>
          <w:hyperlink w:anchor="__RefHeading___Toc7642624_1280447820">
            <w:r>
              <w:rPr>
                <w:webHidden/>
                <w:rStyle w:val="IndexLink"/>
                <w:rtl w:val="true"/>
              </w:rPr>
              <w:t>الدليل الثالث</w:t>
            </w:r>
            <w:r>
              <w:rPr>
                <w:rStyle w:val="IndexLink"/>
                <w:rtl w:val="true"/>
              </w:rPr>
              <w:tab/>
            </w:r>
            <w:r>
              <w:rPr>
                <w:rStyle w:val="IndexLink"/>
              </w:rPr>
              <w:t>434</w:t>
            </w:r>
          </w:hyperlink>
        </w:p>
        <w:p>
          <w:pPr>
            <w:pStyle w:val="Contents6"/>
            <w:tabs>
              <w:tab w:val="clear" w:pos="7609"/>
              <w:tab w:val="right" w:pos="9026" w:leader="dot"/>
            </w:tabs>
            <w:rPr/>
          </w:pPr>
          <w:hyperlink w:anchor="__RefHeading___Toc7642626_1280447820">
            <w:r>
              <w:rPr>
                <w:webHidden/>
                <w:rStyle w:val="IndexLink"/>
                <w:rtl w:val="true"/>
              </w:rPr>
              <w:t>أدلّة بطلان الجبر</w:t>
            </w:r>
            <w:r>
              <w:rPr>
                <w:rStyle w:val="IndexLink"/>
                <w:rtl w:val="true"/>
              </w:rPr>
              <w:tab/>
            </w:r>
            <w:r>
              <w:rPr>
                <w:rStyle w:val="IndexLink"/>
              </w:rPr>
              <w:t>435</w:t>
            </w:r>
          </w:hyperlink>
        </w:p>
        <w:p>
          <w:pPr>
            <w:pStyle w:val="Contents6"/>
            <w:tabs>
              <w:tab w:val="clear" w:pos="7609"/>
              <w:tab w:val="right" w:pos="9026" w:leader="dot"/>
            </w:tabs>
            <w:rPr/>
          </w:pPr>
          <w:hyperlink w:anchor="__RefHeading___Toc7642628_1280447820">
            <w:r>
              <w:rPr>
                <w:webHidden/>
                <w:rStyle w:val="IndexLink"/>
                <w:rtl w:val="true"/>
              </w:rPr>
              <w:t>الدليل الأوّل</w:t>
            </w:r>
            <w:r>
              <w:rPr>
                <w:rStyle w:val="IndexLink"/>
                <w:rtl w:val="true"/>
              </w:rPr>
              <w:tab/>
            </w:r>
            <w:r>
              <w:rPr>
                <w:rStyle w:val="IndexLink"/>
              </w:rPr>
              <w:t>435</w:t>
            </w:r>
          </w:hyperlink>
        </w:p>
        <w:p>
          <w:pPr>
            <w:pStyle w:val="Contents6"/>
            <w:tabs>
              <w:tab w:val="clear" w:pos="7609"/>
              <w:tab w:val="right" w:pos="9026" w:leader="dot"/>
            </w:tabs>
            <w:rPr/>
          </w:pPr>
          <w:hyperlink w:anchor="__RefHeading___Toc7642630_1280447820">
            <w:r>
              <w:rPr>
                <w:webHidden/>
                <w:rStyle w:val="IndexLink"/>
                <w:rtl w:val="true"/>
              </w:rPr>
              <w:t>الدليل الثاني</w:t>
            </w:r>
            <w:r>
              <w:rPr>
                <w:rStyle w:val="IndexLink"/>
                <w:rtl w:val="true"/>
              </w:rPr>
              <w:tab/>
            </w:r>
            <w:r>
              <w:rPr>
                <w:rStyle w:val="IndexLink"/>
              </w:rPr>
              <w:t>436</w:t>
            </w:r>
          </w:hyperlink>
        </w:p>
        <w:p>
          <w:pPr>
            <w:pStyle w:val="Contents6"/>
            <w:tabs>
              <w:tab w:val="clear" w:pos="7609"/>
              <w:tab w:val="right" w:pos="9026" w:leader="dot"/>
            </w:tabs>
            <w:rPr/>
          </w:pPr>
          <w:hyperlink w:anchor="__RefHeading___Toc7642632_1280447820">
            <w:r>
              <w:rPr>
                <w:webHidden/>
                <w:rStyle w:val="IndexLink"/>
                <w:rtl w:val="true"/>
              </w:rPr>
              <w:t>الدليل الثالث</w:t>
            </w:r>
            <w:r>
              <w:rPr>
                <w:rStyle w:val="IndexLink"/>
                <w:rtl w:val="true"/>
              </w:rPr>
              <w:tab/>
            </w:r>
            <w:r>
              <w:rPr>
                <w:rStyle w:val="IndexLink"/>
              </w:rPr>
              <w:t>436</w:t>
            </w:r>
          </w:hyperlink>
        </w:p>
        <w:p>
          <w:pPr>
            <w:pStyle w:val="Contents6"/>
            <w:tabs>
              <w:tab w:val="clear" w:pos="7609"/>
              <w:tab w:val="right" w:pos="9026" w:leader="dot"/>
            </w:tabs>
            <w:rPr/>
          </w:pPr>
          <w:hyperlink w:anchor="__RefHeading___Toc7642634_1280447820">
            <w:r>
              <w:rPr>
                <w:webHidden/>
                <w:rStyle w:val="IndexLink"/>
                <w:rtl w:val="true"/>
              </w:rPr>
              <w:t>الدليل الرابع</w:t>
            </w:r>
            <w:r>
              <w:rPr>
                <w:rStyle w:val="IndexLink"/>
                <w:rtl w:val="true"/>
              </w:rPr>
              <w:tab/>
            </w:r>
            <w:r>
              <w:rPr>
                <w:rStyle w:val="IndexLink"/>
              </w:rPr>
              <w:t>437</w:t>
            </w:r>
          </w:hyperlink>
        </w:p>
        <w:p>
          <w:pPr>
            <w:pStyle w:val="Contents6"/>
            <w:tabs>
              <w:tab w:val="clear" w:pos="7609"/>
              <w:tab w:val="right" w:pos="9026" w:leader="dot"/>
            </w:tabs>
            <w:rPr/>
          </w:pPr>
          <w:hyperlink w:anchor="__RefHeading___Toc7642636_1280447820">
            <w:r>
              <w:rPr>
                <w:webHidden/>
                <w:rStyle w:val="IndexLink"/>
                <w:rtl w:val="true"/>
              </w:rPr>
              <w:t>الأدلّة القرآنيّة على الاختيار و بطلان الجبر</w:t>
            </w:r>
            <w:r>
              <w:rPr>
                <w:rStyle w:val="IndexLink"/>
                <w:rtl w:val="true"/>
              </w:rPr>
              <w:tab/>
            </w:r>
            <w:r>
              <w:rPr>
                <w:rStyle w:val="IndexLink"/>
              </w:rPr>
              <w:t>438</w:t>
            </w:r>
          </w:hyperlink>
        </w:p>
        <w:p>
          <w:pPr>
            <w:pStyle w:val="Contents6"/>
            <w:tabs>
              <w:tab w:val="clear" w:pos="7609"/>
              <w:tab w:val="right" w:pos="9026" w:leader="dot"/>
            </w:tabs>
            <w:rPr/>
          </w:pPr>
          <w:hyperlink w:anchor="__RefHeading___Toc7642638_1280447820">
            <w:r>
              <w:rPr>
                <w:webHidden/>
                <w:rStyle w:val="IndexLink"/>
                <w:rtl w:val="true"/>
              </w:rPr>
              <w:t xml:space="preserve">تحقيق معنى </w:t>
            </w:r>
            <w:r>
              <w:rPr>
                <w:rStyle w:val="IndexLink"/>
                <w:rtl w:val="true"/>
              </w:rPr>
              <w:t>«</w:t>
            </w:r>
            <w:r>
              <w:rPr>
                <w:rStyle w:val="IndexLink"/>
                <w:rtl w:val="true"/>
              </w:rPr>
              <w:t>القضاء</w:t>
            </w:r>
            <w:r>
              <w:rPr>
                <w:rStyle w:val="IndexLink"/>
                <w:rtl w:val="true"/>
              </w:rPr>
              <w:t>»</w:t>
              <w:tab/>
            </w:r>
            <w:r>
              <w:rPr>
                <w:rStyle w:val="IndexLink"/>
              </w:rPr>
              <w:t>441</w:t>
            </w:r>
          </w:hyperlink>
        </w:p>
        <w:p>
          <w:pPr>
            <w:pStyle w:val="Contents4"/>
            <w:tabs>
              <w:tab w:val="clear" w:pos="8176"/>
              <w:tab w:val="right" w:pos="9026" w:leader="dot"/>
            </w:tabs>
            <w:rPr/>
          </w:pPr>
          <w:hyperlink w:anchor="__RefHeading___Toc7642640_1280447820">
            <w:r>
              <w:rPr>
                <w:webHidden/>
                <w:rStyle w:val="IndexLink"/>
                <w:rtl w:val="true"/>
              </w:rPr>
              <w:t>(</w:t>
            </w:r>
            <w:r>
              <w:rPr>
                <w:rStyle w:val="IndexLink"/>
              </w:rPr>
              <w:t>35</w:t>
            </w:r>
            <w:r>
              <w:rPr>
                <w:rStyle w:val="IndexLink"/>
                <w:rtl w:val="true"/>
              </w:rPr>
              <w:t xml:space="preserve">) </w:t>
            </w:r>
            <w:r>
              <w:rPr>
                <w:rStyle w:val="IndexLink"/>
                <w:rtl w:val="true"/>
              </w:rPr>
              <w:t>نقد النيسابوري في تقسيمه للأعراض</w:t>
            </w:r>
            <w:r>
              <w:rPr>
                <w:rStyle w:val="IndexLink"/>
                <w:rtl w:val="true"/>
              </w:rPr>
              <w:tab/>
            </w:r>
            <w:r>
              <w:rPr>
                <w:rStyle w:val="IndexLink"/>
              </w:rPr>
              <w:t>444</w:t>
            </w:r>
          </w:hyperlink>
        </w:p>
        <w:p>
          <w:pPr>
            <w:pStyle w:val="Contents5"/>
            <w:tabs>
              <w:tab w:val="clear" w:pos="7892"/>
              <w:tab w:val="right" w:pos="9026" w:leader="dot"/>
            </w:tabs>
            <w:rPr/>
          </w:pPr>
          <w:hyperlink w:anchor="__RefHeading___Toc7642642_1280447820">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7642644_1280447820">
            <w:r>
              <w:rPr>
                <w:webHidden/>
                <w:rStyle w:val="IndexLink"/>
                <w:rtl w:val="true"/>
              </w:rPr>
              <w:t>مقدّمة التحقيق</w:t>
            </w:r>
            <w:r>
              <w:rPr>
                <w:rStyle w:val="IndexLink"/>
                <w:rtl w:val="true"/>
              </w:rPr>
              <w:tab/>
            </w:r>
            <w:r>
              <w:rPr>
                <w:rStyle w:val="IndexLink"/>
              </w:rPr>
              <w:t>446</w:t>
            </w:r>
          </w:hyperlink>
        </w:p>
        <w:p>
          <w:pPr>
            <w:pStyle w:val="Contents6"/>
            <w:tabs>
              <w:tab w:val="clear" w:pos="7609"/>
              <w:tab w:val="right" w:pos="9026" w:leader="dot"/>
            </w:tabs>
            <w:rPr/>
          </w:pPr>
          <w:hyperlink w:anchor="__RefHeading___Toc7642646_1280447820">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7642648_1280447820">
            <w:r>
              <w:rPr>
                <w:webHidden/>
                <w:rStyle w:val="IndexLink"/>
                <w:rtl w:val="true"/>
              </w:rPr>
              <w:t>محتوى الرسالة</w:t>
            </w:r>
            <w:r>
              <w:rPr>
                <w:rStyle w:val="IndexLink"/>
                <w:rtl w:val="true"/>
              </w:rPr>
              <w:tab/>
            </w:r>
            <w:r>
              <w:rPr>
                <w:rStyle w:val="IndexLink"/>
              </w:rPr>
              <w:t>448</w:t>
            </w:r>
          </w:hyperlink>
        </w:p>
        <w:p>
          <w:pPr>
            <w:pStyle w:val="Contents6"/>
            <w:tabs>
              <w:tab w:val="clear" w:pos="7609"/>
              <w:tab w:val="right" w:pos="9026" w:leader="dot"/>
            </w:tabs>
            <w:rPr/>
          </w:pPr>
          <w:hyperlink w:anchor="__RefHeading___Toc7642650_1280447820">
            <w:r>
              <w:rPr>
                <w:webHidden/>
                <w:rStyle w:val="IndexLink"/>
                <w:rtl w:val="true"/>
              </w:rPr>
              <w:t>عنوان الرسالة و نسبتها إلى المؤلّف</w:t>
            </w:r>
            <w:r>
              <w:rPr>
                <w:rStyle w:val="IndexLink"/>
                <w:rtl w:val="true"/>
              </w:rPr>
              <w:tab/>
            </w:r>
            <w:r>
              <w:rPr>
                <w:rStyle w:val="IndexLink"/>
              </w:rPr>
              <w:t>451</w:t>
            </w:r>
          </w:hyperlink>
        </w:p>
        <w:p>
          <w:pPr>
            <w:pStyle w:val="Contents6"/>
            <w:tabs>
              <w:tab w:val="clear" w:pos="7609"/>
              <w:tab w:val="right" w:pos="9026" w:leader="dot"/>
            </w:tabs>
            <w:rPr/>
          </w:pPr>
          <w:hyperlink w:anchor="__RefHeading___Toc7642652_1280447820">
            <w:r>
              <w:rPr>
                <w:webHidden/>
                <w:rStyle w:val="IndexLink"/>
                <w:rtl w:val="true"/>
              </w:rPr>
              <w:t>مخطوطات الرسالة</w:t>
            </w:r>
            <w:r>
              <w:rPr>
                <w:rStyle w:val="IndexLink"/>
                <w:rtl w:val="true"/>
              </w:rPr>
              <w:tab/>
            </w:r>
            <w:r>
              <w:rPr>
                <w:rStyle w:val="IndexLink"/>
              </w:rPr>
              <w:t>451</w:t>
            </w:r>
          </w:hyperlink>
        </w:p>
        <w:p>
          <w:pPr>
            <w:pStyle w:val="Contents5"/>
            <w:tabs>
              <w:tab w:val="clear" w:pos="7892"/>
              <w:tab w:val="right" w:pos="9026" w:leader="dot"/>
            </w:tabs>
            <w:rPr/>
          </w:pPr>
          <w:hyperlink w:anchor="__RefHeading___Toc7642654_1280447820">
            <w:r>
              <w:rPr>
                <w:webHidden/>
                <w:rStyle w:val="IndexLink"/>
                <w:rtl w:val="true"/>
              </w:rPr>
              <w:t>نَقدُ النَّيسابوريِّ في تقسيمِه للأعراضِ‌</w:t>
            </w:r>
            <w:r>
              <w:rPr>
                <w:rStyle w:val="IndexLink"/>
                <w:rtl w:val="true"/>
              </w:rPr>
              <w:tab/>
            </w:r>
            <w:r>
              <w:rPr>
                <w:rStyle w:val="IndexLink"/>
              </w:rPr>
              <w:t>454</w:t>
            </w:r>
          </w:hyperlink>
        </w:p>
        <w:p>
          <w:pPr>
            <w:pStyle w:val="Contents6"/>
            <w:tabs>
              <w:tab w:val="clear" w:pos="7609"/>
              <w:tab w:val="right" w:pos="9026" w:leader="dot"/>
            </w:tabs>
            <w:rPr/>
          </w:pPr>
          <w:hyperlink w:anchor="__RefHeading___Toc7642656_1280447820">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7642658_1280447820">
            <w:r>
              <w:rPr>
                <w:webHidden/>
                <w:rStyle w:val="IndexLink"/>
                <w:rtl w:val="true"/>
              </w:rPr>
              <w:t>تقسيماتُ الأعراضِ‌</w:t>
            </w:r>
            <w:r>
              <w:rPr>
                <w:rStyle w:val="IndexLink"/>
                <w:rtl w:val="true"/>
              </w:rPr>
              <w:tab/>
            </w:r>
            <w:r>
              <w:rPr>
                <w:rStyle w:val="IndexLink"/>
              </w:rPr>
              <w:t>455</w:t>
            </w:r>
          </w:hyperlink>
        </w:p>
        <w:p>
          <w:pPr>
            <w:pStyle w:val="Contents6"/>
            <w:tabs>
              <w:tab w:val="clear" w:pos="7609"/>
              <w:tab w:val="right" w:pos="9026" w:leader="dot"/>
            </w:tabs>
            <w:rPr/>
          </w:pPr>
          <w:hyperlink w:anchor="__RefHeading___Toc7642660_1280447820">
            <w:r>
              <w:rPr>
                <w:webHidden/>
                <w:rStyle w:val="IndexLink"/>
                <w:rtl w:val="true"/>
              </w:rPr>
              <w:t>التقسيم الأوّل</w:t>
            </w:r>
            <w:r>
              <w:rPr>
                <w:rStyle w:val="IndexLink"/>
                <w:rtl w:val="true"/>
              </w:rPr>
              <w:tab/>
            </w:r>
            <w:r>
              <w:rPr>
                <w:rStyle w:val="IndexLink"/>
              </w:rPr>
              <w:t>455</w:t>
            </w:r>
          </w:hyperlink>
        </w:p>
        <w:p>
          <w:pPr>
            <w:pStyle w:val="Contents6"/>
            <w:tabs>
              <w:tab w:val="clear" w:pos="7609"/>
              <w:tab w:val="right" w:pos="9026" w:leader="dot"/>
            </w:tabs>
            <w:rPr/>
          </w:pPr>
          <w:hyperlink w:anchor="__RefHeading___Toc7642662_1280447820">
            <w:r>
              <w:rPr>
                <w:webHidden/>
                <w:rStyle w:val="IndexLink"/>
                <w:rtl w:val="true"/>
              </w:rPr>
              <w:t>التقسيم الثاني</w:t>
            </w:r>
            <w:r>
              <w:rPr>
                <w:rStyle w:val="IndexLink"/>
                <w:rtl w:val="true"/>
              </w:rPr>
              <w:tab/>
            </w:r>
            <w:r>
              <w:rPr>
                <w:rStyle w:val="IndexLink"/>
              </w:rPr>
              <w:t>457</w:t>
            </w:r>
          </w:hyperlink>
        </w:p>
        <w:p>
          <w:pPr>
            <w:pStyle w:val="Contents6"/>
            <w:tabs>
              <w:tab w:val="clear" w:pos="7609"/>
              <w:tab w:val="right" w:pos="9026" w:leader="dot"/>
            </w:tabs>
            <w:rPr/>
          </w:pPr>
          <w:hyperlink w:anchor="__RefHeading___Toc7642664_1280447820">
            <w:r>
              <w:rPr>
                <w:webHidden/>
                <w:rStyle w:val="IndexLink"/>
                <w:rtl w:val="true"/>
              </w:rPr>
              <w:t>التقسيم الثالث</w:t>
            </w:r>
            <w:r>
              <w:rPr>
                <w:rStyle w:val="IndexLink"/>
                <w:rtl w:val="true"/>
              </w:rPr>
              <w:tab/>
            </w:r>
            <w:r>
              <w:rPr>
                <w:rStyle w:val="IndexLink"/>
              </w:rPr>
              <w:t>457</w:t>
            </w:r>
          </w:hyperlink>
        </w:p>
        <w:p>
          <w:pPr>
            <w:pStyle w:val="Contents6"/>
            <w:tabs>
              <w:tab w:val="clear" w:pos="7609"/>
              <w:tab w:val="right" w:pos="9026" w:leader="dot"/>
            </w:tabs>
            <w:rPr/>
          </w:pPr>
          <w:hyperlink w:anchor="__RefHeading___Toc7642666_1280447820">
            <w:r>
              <w:rPr>
                <w:webHidden/>
                <w:rStyle w:val="IndexLink"/>
                <w:rtl w:val="true"/>
              </w:rPr>
              <w:t>التقسيم الرابع</w:t>
            </w:r>
            <w:r>
              <w:rPr>
                <w:rStyle w:val="IndexLink"/>
                <w:rtl w:val="true"/>
              </w:rPr>
              <w:tab/>
            </w:r>
            <w:r>
              <w:rPr>
                <w:rStyle w:val="IndexLink"/>
              </w:rPr>
              <w:t>458</w:t>
            </w:r>
          </w:hyperlink>
        </w:p>
        <w:p>
          <w:pPr>
            <w:pStyle w:val="Contents6"/>
            <w:tabs>
              <w:tab w:val="clear" w:pos="7609"/>
              <w:tab w:val="right" w:pos="9026" w:leader="dot"/>
            </w:tabs>
            <w:rPr/>
          </w:pPr>
          <w:hyperlink w:anchor="__RefHeading___Toc7642668_1280447820">
            <w:r>
              <w:rPr>
                <w:webHidden/>
                <w:rStyle w:val="IndexLink"/>
                <w:rtl w:val="true"/>
              </w:rPr>
              <w:t>التقسيم الخامس</w:t>
            </w:r>
            <w:r>
              <w:rPr>
                <w:rStyle w:val="IndexLink"/>
                <w:rtl w:val="true"/>
              </w:rPr>
              <w:tab/>
            </w:r>
            <w:r>
              <w:rPr>
                <w:rStyle w:val="IndexLink"/>
              </w:rPr>
              <w:t>458</w:t>
            </w:r>
          </w:hyperlink>
        </w:p>
        <w:p>
          <w:pPr>
            <w:pStyle w:val="Contents6"/>
            <w:tabs>
              <w:tab w:val="clear" w:pos="7609"/>
              <w:tab w:val="right" w:pos="9026" w:leader="dot"/>
            </w:tabs>
            <w:rPr/>
          </w:pPr>
          <w:hyperlink w:anchor="__RefHeading___Toc7642670_1280447820">
            <w:r>
              <w:rPr>
                <w:webHidden/>
                <w:rStyle w:val="IndexLink"/>
                <w:rtl w:val="true"/>
              </w:rPr>
              <w:t>التقسيم السادس</w:t>
            </w:r>
            <w:r>
              <w:rPr>
                <w:rStyle w:val="IndexLink"/>
                <w:rtl w:val="true"/>
              </w:rPr>
              <w:tab/>
            </w:r>
            <w:r>
              <w:rPr>
                <w:rStyle w:val="IndexLink"/>
              </w:rPr>
              <w:t>461</w:t>
            </w:r>
          </w:hyperlink>
        </w:p>
        <w:p>
          <w:pPr>
            <w:pStyle w:val="Contents6"/>
            <w:tabs>
              <w:tab w:val="clear" w:pos="7609"/>
              <w:tab w:val="right" w:pos="9026" w:leader="dot"/>
            </w:tabs>
            <w:rPr/>
          </w:pPr>
          <w:hyperlink w:anchor="__RefHeading___Toc7642672_1280447820">
            <w:r>
              <w:rPr>
                <w:webHidden/>
                <w:rStyle w:val="IndexLink"/>
                <w:rtl w:val="true"/>
              </w:rPr>
              <w:t>مواردُ إخلالِ النَّيسابوريِّ في تقسيمِ الأعراضِ‌</w:t>
            </w:r>
            <w:r>
              <w:rPr>
                <w:rStyle w:val="IndexLink"/>
                <w:rtl w:val="true"/>
              </w:rPr>
              <w:tab/>
            </w:r>
            <w:r>
              <w:rPr>
                <w:rStyle w:val="IndexLink"/>
              </w:rPr>
              <w:t>463</w:t>
            </w:r>
          </w:hyperlink>
        </w:p>
        <w:p>
          <w:pPr>
            <w:pStyle w:val="Contents4"/>
            <w:tabs>
              <w:tab w:val="clear" w:pos="8176"/>
              <w:tab w:val="right" w:pos="9026" w:leader="dot"/>
            </w:tabs>
            <w:rPr/>
          </w:pPr>
          <w:hyperlink w:anchor="__RefHeading___Toc7642674_1280447820">
            <w:r>
              <w:rPr>
                <w:webHidden/>
                <w:rStyle w:val="IndexLink"/>
                <w:rtl w:val="true"/>
              </w:rPr>
              <w:t>(</w:t>
            </w:r>
            <w:r>
              <w:rPr>
                <w:rStyle w:val="IndexLink"/>
              </w:rPr>
              <w:t>36</w:t>
            </w:r>
            <w:r>
              <w:rPr>
                <w:rStyle w:val="IndexLink"/>
                <w:rtl w:val="true"/>
              </w:rPr>
              <w:t xml:space="preserve">) </w:t>
            </w:r>
            <w:r>
              <w:rPr>
                <w:rStyle w:val="IndexLink"/>
                <w:rtl w:val="true"/>
              </w:rPr>
              <w:t>مسألة في الكلام في حقيقة الجوهر</w:t>
            </w:r>
            <w:r>
              <w:rPr>
                <w:rStyle w:val="IndexLink"/>
                <w:rtl w:val="true"/>
              </w:rPr>
              <w:tab/>
            </w:r>
            <w:r>
              <w:rPr>
                <w:rStyle w:val="IndexLink"/>
              </w:rPr>
              <w:t>468</w:t>
            </w:r>
          </w:hyperlink>
        </w:p>
        <w:p>
          <w:pPr>
            <w:pStyle w:val="Contents5"/>
            <w:tabs>
              <w:tab w:val="clear" w:pos="7892"/>
              <w:tab w:val="right" w:pos="9026" w:leader="dot"/>
            </w:tabs>
            <w:rPr/>
          </w:pPr>
          <w:hyperlink w:anchor="__RefHeading___Toc7642676_1280447820">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7642678_1280447820">
            <w:r>
              <w:rPr>
                <w:webHidden/>
                <w:rStyle w:val="IndexLink"/>
                <w:rtl w:val="true"/>
              </w:rPr>
              <w:t>مقدّمة التحقيق</w:t>
            </w:r>
            <w:r>
              <w:rPr>
                <w:rStyle w:val="IndexLink"/>
                <w:rtl w:val="true"/>
              </w:rPr>
              <w:tab/>
            </w:r>
            <w:r>
              <w:rPr>
                <w:rStyle w:val="IndexLink"/>
              </w:rPr>
              <w:t>470</w:t>
            </w:r>
          </w:hyperlink>
        </w:p>
        <w:p>
          <w:pPr>
            <w:pStyle w:val="Contents6"/>
            <w:tabs>
              <w:tab w:val="clear" w:pos="7609"/>
              <w:tab w:val="right" w:pos="9026" w:leader="dot"/>
            </w:tabs>
            <w:rPr/>
          </w:pPr>
          <w:hyperlink w:anchor="__RefHeading___Toc7642680_1280447820">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7642682_1280447820">
            <w:r>
              <w:rPr>
                <w:webHidden/>
                <w:rStyle w:val="IndexLink"/>
                <w:rtl w:val="true"/>
              </w:rPr>
              <w:t>حقيقة الرسالة و نسبتها إلى المؤلّف</w:t>
            </w:r>
            <w:r>
              <w:rPr>
                <w:rStyle w:val="IndexLink"/>
                <w:rtl w:val="true"/>
              </w:rPr>
              <w:tab/>
            </w:r>
            <w:r>
              <w:rPr>
                <w:rStyle w:val="IndexLink"/>
              </w:rPr>
              <w:t>472</w:t>
            </w:r>
          </w:hyperlink>
        </w:p>
        <w:p>
          <w:pPr>
            <w:pStyle w:val="Contents6"/>
            <w:tabs>
              <w:tab w:val="clear" w:pos="7609"/>
              <w:tab w:val="right" w:pos="9026" w:leader="dot"/>
            </w:tabs>
            <w:rPr/>
          </w:pPr>
          <w:hyperlink w:anchor="__RefHeading___Toc7642684_1280447820">
            <w:r>
              <w:rPr>
                <w:webHidden/>
                <w:rStyle w:val="IndexLink"/>
                <w:rtl w:val="true"/>
              </w:rPr>
              <w:t>مخطوطات الرسالة</w:t>
            </w:r>
            <w:r>
              <w:rPr>
                <w:rStyle w:val="IndexLink"/>
                <w:rtl w:val="true"/>
              </w:rPr>
              <w:tab/>
            </w:r>
            <w:r>
              <w:rPr>
                <w:rStyle w:val="IndexLink"/>
              </w:rPr>
              <w:t>473</w:t>
            </w:r>
          </w:hyperlink>
        </w:p>
        <w:p>
          <w:pPr>
            <w:pStyle w:val="Contents5"/>
            <w:tabs>
              <w:tab w:val="clear" w:pos="7892"/>
              <w:tab w:val="right" w:pos="9026" w:leader="dot"/>
            </w:tabs>
            <w:rPr/>
          </w:pPr>
          <w:hyperlink w:anchor="__RefHeading___Toc7642686_1280447820">
            <w:r>
              <w:rPr>
                <w:webHidden/>
                <w:rStyle w:val="IndexLink"/>
                <w:rtl w:val="true"/>
              </w:rPr>
              <w:t>مسألةٌ في الكلامِ في حَقيقةِ الجَوهرِ</w:t>
            </w:r>
            <w:r>
              <w:rPr>
                <w:rStyle w:val="IndexLink"/>
                <w:rtl w:val="true"/>
              </w:rPr>
              <w:tab/>
            </w:r>
            <w:r>
              <w:rPr>
                <w:rStyle w:val="IndexLink"/>
              </w:rPr>
              <w:t>474</w:t>
            </w:r>
          </w:hyperlink>
        </w:p>
        <w:p>
          <w:pPr>
            <w:pStyle w:val="Contents4"/>
            <w:tabs>
              <w:tab w:val="clear" w:pos="8176"/>
              <w:tab w:val="right" w:pos="9026" w:leader="dot"/>
            </w:tabs>
            <w:rPr/>
          </w:pPr>
          <w:hyperlink w:anchor="__RefHeading___Toc7642688_1280447820">
            <w:r>
              <w:rPr>
                <w:webHidden/>
                <w:rStyle w:val="IndexLink"/>
                <w:rtl w:val="true"/>
              </w:rPr>
              <w:t>(</w:t>
            </w:r>
            <w:r>
              <w:rPr>
                <w:rStyle w:val="IndexLink"/>
              </w:rPr>
              <w:t>37</w:t>
            </w:r>
            <w:r>
              <w:rPr>
                <w:rStyle w:val="IndexLink"/>
                <w:rtl w:val="true"/>
              </w:rPr>
              <w:t xml:space="preserve">) </w:t>
            </w:r>
            <w:r>
              <w:rPr>
                <w:rStyle w:val="IndexLink"/>
                <w:rtl w:val="true"/>
              </w:rPr>
              <w:t>مسألة في إبطال قول</w:t>
            </w:r>
            <w:r>
              <w:rPr>
                <w:rStyle w:val="IndexLink"/>
                <w:rtl w:val="true"/>
              </w:rPr>
              <w:t>: «</w:t>
            </w:r>
            <w:r>
              <w:rPr>
                <w:rStyle w:val="IndexLink"/>
                <w:rtl w:val="true"/>
              </w:rPr>
              <w:t>إنّ الشيء شيء لنفسه</w:t>
            </w:r>
            <w:r>
              <w:rPr>
                <w:rStyle w:val="IndexLink"/>
                <w:rtl w:val="true"/>
              </w:rPr>
              <w:t>»</w:t>
              <w:tab/>
            </w:r>
            <w:r>
              <w:rPr>
                <w:rStyle w:val="IndexLink"/>
              </w:rPr>
              <w:t>476</w:t>
            </w:r>
          </w:hyperlink>
        </w:p>
        <w:p>
          <w:pPr>
            <w:pStyle w:val="Contents5"/>
            <w:tabs>
              <w:tab w:val="clear" w:pos="7892"/>
              <w:tab w:val="right" w:pos="9026" w:leader="dot"/>
            </w:tabs>
            <w:rPr/>
          </w:pPr>
          <w:hyperlink w:anchor="__RefHeading___Toc7642690_1280447820">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7642692_1280447820">
            <w:r>
              <w:rPr>
                <w:webHidden/>
                <w:rStyle w:val="IndexLink"/>
                <w:rtl w:val="true"/>
              </w:rPr>
              <w:t>مقدّمة التحقيق</w:t>
            </w:r>
            <w:r>
              <w:rPr>
                <w:rStyle w:val="IndexLink"/>
                <w:rtl w:val="true"/>
              </w:rPr>
              <w:tab/>
            </w:r>
            <w:r>
              <w:rPr>
                <w:rStyle w:val="IndexLink"/>
              </w:rPr>
              <w:t>478</w:t>
            </w:r>
          </w:hyperlink>
        </w:p>
        <w:p>
          <w:pPr>
            <w:pStyle w:val="Contents6"/>
            <w:tabs>
              <w:tab w:val="clear" w:pos="7609"/>
              <w:tab w:val="right" w:pos="9026" w:leader="dot"/>
            </w:tabs>
            <w:rPr/>
          </w:pPr>
          <w:hyperlink w:anchor="__RefHeading___Toc7642694_1280447820">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7642696_1280447820">
            <w:r>
              <w:rPr>
                <w:webHidden/>
                <w:rStyle w:val="IndexLink"/>
                <w:rtl w:val="true"/>
              </w:rPr>
              <w:t>عنوان الرسالة و نسبتها إلى المؤلّف</w:t>
            </w:r>
            <w:r>
              <w:rPr>
                <w:rStyle w:val="IndexLink"/>
                <w:rtl w:val="true"/>
              </w:rPr>
              <w:tab/>
            </w:r>
            <w:r>
              <w:rPr>
                <w:rStyle w:val="IndexLink"/>
              </w:rPr>
              <w:t>479</w:t>
            </w:r>
          </w:hyperlink>
        </w:p>
        <w:p>
          <w:pPr>
            <w:pStyle w:val="Contents6"/>
            <w:tabs>
              <w:tab w:val="clear" w:pos="7609"/>
              <w:tab w:val="right" w:pos="9026" w:leader="dot"/>
            </w:tabs>
            <w:rPr/>
          </w:pPr>
          <w:hyperlink w:anchor="__RefHeading___Toc7642698_1280447820">
            <w:r>
              <w:rPr>
                <w:webHidden/>
                <w:rStyle w:val="IndexLink"/>
                <w:rtl w:val="true"/>
              </w:rPr>
              <w:t>مخطوطات الرسالة</w:t>
            </w:r>
            <w:r>
              <w:rPr>
                <w:rStyle w:val="IndexLink"/>
                <w:rtl w:val="true"/>
              </w:rPr>
              <w:tab/>
            </w:r>
            <w:r>
              <w:rPr>
                <w:rStyle w:val="IndexLink"/>
              </w:rPr>
              <w:t>479</w:t>
            </w:r>
          </w:hyperlink>
        </w:p>
        <w:p>
          <w:pPr>
            <w:pStyle w:val="Contents5"/>
            <w:tabs>
              <w:tab w:val="clear" w:pos="7892"/>
              <w:tab w:val="right" w:pos="9026" w:leader="dot"/>
            </w:tabs>
            <w:rPr/>
          </w:pPr>
          <w:hyperlink w:anchor="__RefHeading___Toc7642700_1280447820">
            <w:r>
              <w:rPr>
                <w:webHidden/>
                <w:rStyle w:val="IndexLink"/>
                <w:rtl w:val="true"/>
              </w:rPr>
              <w:t>مسألةٌ في إبطالِ قولِ‌</w:t>
            </w:r>
            <w:r>
              <w:rPr>
                <w:rStyle w:val="IndexLink"/>
                <w:rtl w:val="true"/>
              </w:rPr>
              <w:t>: «</w:t>
            </w:r>
            <w:r>
              <w:rPr>
                <w:rStyle w:val="IndexLink"/>
                <w:rtl w:val="true"/>
              </w:rPr>
              <w:t>إنّ الشيءَ شَيءٌ لنفسِه</w:t>
            </w:r>
            <w:r>
              <w:rPr>
                <w:rStyle w:val="IndexLink"/>
                <w:rtl w:val="true"/>
              </w:rPr>
              <w:t>»</w:t>
              <w:tab/>
            </w:r>
            <w:r>
              <w:rPr>
                <w:rStyle w:val="IndexLink"/>
              </w:rPr>
              <w:t>482</w:t>
            </w:r>
          </w:hyperlink>
        </w:p>
        <w:p>
          <w:pPr>
            <w:pStyle w:val="Contents2"/>
            <w:tabs>
              <w:tab w:val="clear" w:pos="8743"/>
              <w:tab w:val="right" w:pos="9026" w:leader="dot"/>
            </w:tabs>
            <w:rPr/>
          </w:pPr>
          <w:hyperlink w:anchor="__RefHeading___Toc7642702_1280447820">
            <w:r>
              <w:rPr>
                <w:webHidden/>
                <w:rStyle w:val="IndexLink"/>
                <w:rtl w:val="true"/>
              </w:rPr>
              <w:t>فهرس المطالب</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5_223647"/>
      <w:bookmarkStart w:id="1" w:name="pg16415_223647"/>
      <w:bookmarkEnd w:id="1"/>
    </w:p>
    <w:p>
      <w:pPr>
        <w:pStyle w:val="Heading2"/>
        <w:numPr>
          <w:ilvl w:val="1"/>
          <w:numId w:val="1"/>
        </w:numPr>
        <w:rPr/>
      </w:pPr>
      <w:bookmarkStart w:id="2" w:name="pg16415_223647"/>
      <w:bookmarkStart w:id="3" w:name="__RefHeading___Toc764222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المرتضی‌علی‌بن‌الحسین الموسوی،علم‌الهدی؛ تحقیق عدة من‌المحققین، محمدحسین الدرایتی، حب‌الله النجفی، حمید الاحمدی‌الجلفای؛ اعداد مرکز الموترات‌العلمیة والبحوث‌الحرة، التابع لموسسة دارالحدیث؛ تقدیم حیدر 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رضا الاستادی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مرکز همایش‌های علمی و پژوهش‌های آزاد،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0503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موتمرالدولی‌الذکری الفیه‌الشریف‌المرتضی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الرسایل القرآنیه والحدیثیه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الرسائل‌الاصولیه والمنتزعه والمنسوبه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 -- 11th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نجفی،حب‌الله،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حسن‌بیاتی، حیدر،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هزاره سید مرتضی علم‌الهدی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7273186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4223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الرسائل و المسائل</w:t>
      </w:r>
    </w:p>
    <w:p>
      <w:pPr>
        <w:pStyle w:val="BookText"/>
        <w:rPr/>
      </w:pPr>
      <w:r>
        <w:rPr>
          <w:rFonts w:ascii="Amiri" w:hAnsi="Amiri" w:eastAsia="Amiri" w:cs="Amiri"/>
          <w:color w:val="111111"/>
          <w:sz w:val="28"/>
          <w:sz w:val="28"/>
          <w:szCs w:val="28"/>
          <w:rtl w:val="true"/>
          <w:lang w:bidi="ar-SA"/>
        </w:rPr>
        <w:t>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عدّة من المحقّقين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15_223651"/>
      <w:bookmarkStart w:id="8" w:name="pg16415_223651"/>
      <w:bookmarkEnd w:id="8"/>
    </w:p>
    <w:p>
      <w:pPr>
        <w:pStyle w:val="Heading2"/>
        <w:numPr>
          <w:ilvl w:val="1"/>
          <w:numId w:val="1"/>
        </w:numPr>
        <w:rPr/>
      </w:pPr>
      <w:bookmarkStart w:id="9" w:name="pg16415_223651"/>
      <w:bookmarkStart w:id="10" w:name="__RefHeading___Toc7642232_128044782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السلّاريّة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الواردة من طبرستان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النيليّات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الأُصول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بيان حقيقة الحيّ الفعّال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حول قدم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خلق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النيسابوري في تقسيمه للأعراض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الكلام في حقيقة الجوهر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شيء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15_223653"/>
      <w:bookmarkStart w:id="13" w:name="pg16415_223653"/>
      <w:bookmarkEnd w:id="13"/>
    </w:p>
    <w:p>
      <w:pPr>
        <w:pStyle w:val="Heading2"/>
        <w:numPr>
          <w:ilvl w:val="1"/>
          <w:numId w:val="1"/>
        </w:numPr>
        <w:rPr/>
      </w:pPr>
      <w:bookmarkStart w:id="14" w:name="pg16415_223653"/>
      <w:bookmarkStart w:id="15" w:name="__RefHeading___Toc7642234_1280447820"/>
      <w:bookmarkStart w:id="16" w:name="_Toc4"/>
      <w:bookmarkEnd w:id="14"/>
      <w:bookmarkEnd w:id="15"/>
      <w:r>
        <w:rPr>
          <w:rtl w:val="true"/>
        </w:rPr>
        <w:t>تتمة الرسائل و المسائل</w:t>
      </w:r>
      <w:bookmarkEnd w:id="16"/>
    </w:p>
    <w:p>
      <w:pPr>
        <w:pStyle w:val="Heading3"/>
        <w:numPr>
          <w:ilvl w:val="2"/>
          <w:numId w:val="1"/>
        </w:numPr>
        <w:rPr/>
      </w:pPr>
      <w:bookmarkStart w:id="17" w:name="__RefHeading___Toc7642236_1280447820"/>
      <w:bookmarkStart w:id="18" w:name="_Toc5"/>
      <w:bookmarkEnd w:id="17"/>
      <w:r>
        <w:rPr>
          <w:rtl w:val="true"/>
        </w:rPr>
        <w:t>ج</w:t>
      </w:r>
      <w:r>
        <w:rPr>
          <w:rtl w:val="true"/>
        </w:rPr>
        <w:t xml:space="preserve">. </w:t>
      </w:r>
      <w:r>
        <w:rPr>
          <w:rtl w:val="true"/>
        </w:rPr>
        <w:t>الرسائل الكلامية</w:t>
      </w:r>
      <w:bookmarkEnd w:id="18"/>
    </w:p>
    <w:p>
      <w:pPr>
        <w:pStyle w:val="Heading4"/>
        <w:numPr>
          <w:ilvl w:val="3"/>
          <w:numId w:val="1"/>
        </w:numPr>
        <w:rPr/>
      </w:pPr>
      <w:bookmarkStart w:id="19" w:name="__RefHeading___Toc7642238_1280447820"/>
      <w:bookmarkStart w:id="20" w:name="_Toc6"/>
      <w:bookmarkEnd w:id="19"/>
      <w:r>
        <w:rPr>
          <w:rtl w:val="true"/>
        </w:rPr>
        <w:t>(</w:t>
      </w:r>
      <w:r>
        <w:rPr/>
        <w:t>26</w:t>
      </w:r>
      <w:r>
        <w:rPr>
          <w:rtl w:val="true"/>
        </w:rPr>
        <w:t xml:space="preserve">) </w:t>
      </w:r>
      <w:r>
        <w:rPr>
          <w:rtl w:val="true"/>
        </w:rPr>
        <w:t>جواباتُ المَسائلِ السَّلّاريّةِ‌</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 w:name="__RefHeading___Toc7642240_1280447820"/>
      <w:bookmarkStart w:id="22" w:name="_Toc7"/>
      <w:bookmarkEnd w:id="21"/>
      <w:r>
        <w:rPr>
          <w:rtl w:val="true"/>
        </w:rPr>
        <w:t>اشارة</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415_223655"/>
      <w:bookmarkStart w:id="24" w:name="pg16415_223655"/>
      <w:bookmarkEnd w:id="24"/>
    </w:p>
    <w:p>
      <w:pPr>
        <w:pStyle w:val="Heading5"/>
        <w:numPr>
          <w:ilvl w:val="4"/>
          <w:numId w:val="1"/>
        </w:numPr>
        <w:rPr/>
      </w:pPr>
      <w:bookmarkStart w:id="25" w:name="pg16415_223655"/>
      <w:bookmarkStart w:id="26" w:name="__RefHeading___Toc7642242_1280447820"/>
      <w:bookmarkStart w:id="27" w:name="_Toc8"/>
      <w:bookmarkEnd w:id="25"/>
      <w:bookmarkEnd w:id="26"/>
      <w:r>
        <w:rPr>
          <w:rtl w:val="true"/>
        </w:rPr>
        <w:t>مقدّمة التحقيق</w:t>
      </w:r>
      <w:bookmarkEnd w:id="27"/>
    </w:p>
    <w:p>
      <w:pPr>
        <w:pStyle w:val="Heading6"/>
        <w:numPr>
          <w:ilvl w:val="5"/>
          <w:numId w:val="1"/>
        </w:numPr>
        <w:rPr/>
      </w:pPr>
      <w:bookmarkStart w:id="28" w:name="__RefHeading___Toc7642244_1280447820"/>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من المسائل التي وجّهت إلى الشريف المرتضى للإجابة عليها هي المسائل السلّاريّة التي قدّمها إليه تلميذه النابِه الشيخ سلّار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فقد وجّه إليه ثمانيَ مسائل مهمّة في مختلف المجالات الكلاميّة، و يعتبر بعضها من مسائل الكلام المعقدة للغاية، و هي تعكس جانباً من آخر ما وصل إليه علم الكلام من تطوّر و عمق في عصر الشريف المرتضى، كما تعكس عمق فكر السائل و المجيب معاً، فهما عَلَمان من أعلام الإماميّة، و من كبار رجال عصرهما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 هذه المسائل من الأهميّة بحيث أنّ كلّ من ينوي القيام ببحث حول موضوع مرتبط بإحدى هذه المسائل فلا غنى له عن مراجعتها و الانتفاع منها، فإنّه يمكن اعتبارها بمثابة مصدر أُمّ في المسائل الكلاميّة التي تعرّضت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نقوم فيما يلي باستعراض أهمّ الجوانب المتعلّقة بهذه المسائل</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7642246_1280447820"/>
      <w:bookmarkStart w:id="31" w:name="_Toc10"/>
      <w:bookmarkEnd w:id="30"/>
      <w:r>
        <w:rPr>
          <w:rtl w:val="true"/>
        </w:rPr>
        <w:t>السائل</w:t>
      </w:r>
      <w:bookmarkEnd w:id="31"/>
    </w:p>
    <w:p>
      <w:pPr>
        <w:pStyle w:val="Heading6"/>
        <w:numPr>
          <w:ilvl w:val="5"/>
          <w:numId w:val="1"/>
        </w:numPr>
        <w:rPr/>
      </w:pPr>
      <w:bookmarkStart w:id="32" w:name="__RefHeading___Toc7642248_1280447820"/>
      <w:bookmarkStart w:id="33" w:name="_Toc11"/>
      <w:bookmarkEnd w:id="32"/>
      <w:r>
        <w:rPr>
          <w:rtl w:val="true"/>
        </w:rPr>
        <w:t>اشارة</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الشيخ أبو يعلى حمزة بن عبد العزيز الديلمي الطبرستاني المعروف بسلّار</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سالار، بمعنى الرئيس و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نعرف عن تفاصيل حياته الشيء الكثير، سوى أنّه ممّا لا شكّ فيه أنّه يعتبر من كبار علماء الإماميّة في مجال الفقه </w:t>
      </w:r>
    </w:p>
    <w:p>
      <w:pPr>
        <w:pStyle w:val="BookText"/>
        <w:rPr/>
      </w:pPr>
      <w:r>
        <w:rPr>
          <w:rFonts w:ascii="Amiri" w:hAnsi="Amiri" w:eastAsia="Amiri" w:cs="Amiri"/>
          <w:color w:val="111111"/>
          <w:sz w:val="28"/>
          <w:sz w:val="28"/>
          <w:szCs w:val="28"/>
          <w:rtl w:val="true"/>
          <w:lang w:bidi="ar-SA"/>
        </w:rPr>
        <w:t>و الكلام و غيرها، و قد مدحه الشريف المرتضى في مقدّمة جوابه على مسائله و وصفه بالأُستاذ،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وقفتُ على ما أنفذه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و سأل بيان جوابها، و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يده من مسائله إلّا على نكتة و موضع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ثقة، عين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اقتصرتُ في ذكر أقوال الأصحاب على المشايخ الأعيان الذين هم قدوة الإماميّة و رؤساء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منهم الشيخ سلّار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عنه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سلّار بن عبد العزيز الديلمي، أبو يعلى قدّس اللّٰه روحه، شيخنا المتقدّم في الفقه و الأدب و غيرهما، كان ثقة وجهاً، له المُقنع في المذهب، و التقريب في أُصول الفقه، و المراسم في الفقه، و الردّ على أبي الحسن البصري في نقض الشافي، و التذكرة في حقيقة الجوهر، قرأ على المفيد رحمه اللّٰه و على السيّد المرتضى رحمه اللّٰه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عنه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سلّار بن عبد العزيز الديلمي، أبو يعلى، فقيه جليل معظّم مصنّف، من تلامذة المفيد و السيّد المرتضى، من تصانيفه كتاب الأبواب و الفصول في الفقه، و الرسالة التي سمّاها المراسم و غير ذلك، قدّس اللّٰه سره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عنه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التي عدّد فيها أسماء </w:t>
      </w:r>
      <w:bookmarkStart w:id="34" w:name="pg16415_223657"/>
    </w:p>
    <w:p>
      <w:pPr>
        <w:pStyle w:val="BookText"/>
        <w:rPr/>
      </w:pPr>
      <w:bookmarkEnd w:id="34"/>
      <w:r>
        <w:rPr>
          <w:rFonts w:ascii="Amiri" w:hAnsi="Amiri" w:eastAsia="Amiri" w:cs="Amiri"/>
          <w:color w:val="111111"/>
          <w:sz w:val="28"/>
          <w:sz w:val="28"/>
          <w:szCs w:val="28"/>
          <w:rtl w:val="true"/>
          <w:lang w:bidi="ar-SA"/>
        </w:rPr>
        <w:t>تلامذة الشريف المرتضى، و جعله في أول القائمة، و قال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سلّار بن عبد العزيز، و كان من طبرستان، و كان ربما يدرّس نيابة عن السيّد، و كان فاضلاً في علم الفقه و الكلام و غير ذلك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أُشير في هذه الكلمات إلى فضل سلّار و مكانته العلميّة في مجال الفقه و الكلام، ولكن أضاف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تخصّصاً آخر قد يكون خفيّاً على الكثيرين، و هو تخصّصه في مجال الأدب و النحو، فقد سمّاه عند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سلّار بن عبد العزيز، أبو يعلى النحوي، صاحب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أنّ أبا الكرم المبارك بن الفاخر النحوي قرأ على يديه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خصّص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لسلّار ترجمة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في طبقات اللغويين و النحاة</w:t>
      </w:r>
      <w:r>
        <w:rPr>
          <w:rStyle w:val="FootnoteAnchor"/>
          <w:rtl w:val="true"/>
        </w:rPr>
        <w:footnoteReference w:id="10"/>
      </w:r>
      <w:r>
        <w:rPr>
          <w:rFonts w:ascii="Amiri" w:hAnsi="Amiri" w:eastAsia="Amiri" w:cs="Amiri"/>
          <w:color w:val="111111"/>
          <w:sz w:val="28"/>
          <w:sz w:val="28"/>
          <w:szCs w:val="28"/>
          <w:rtl w:val="true"/>
          <w:lang w:bidi="ar-SA"/>
        </w:rPr>
        <w:t>، و بهذا اتّضح لنا جانب آخر من جوانب شخصية سلّار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بالذكر أنّ البعض أشار إلى تتلمذ أبي الفتح عثمان ابن جنّي النحوي المشهور على يد سلّار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ولكن يبدو أنّه خطأ نشأ من التباس الأُستاذ بالتلميذ، فإنّ ابن جنّي يقع في طبقة أساتذة سلّار و قد توفّي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2"/>
      </w:r>
      <w:r>
        <w:rPr>
          <w:rFonts w:ascii="Amiri" w:hAnsi="Amiri" w:eastAsia="Amiri" w:cs="Amiri"/>
          <w:color w:val="111111"/>
          <w:sz w:val="28"/>
          <w:sz w:val="28"/>
          <w:szCs w:val="28"/>
          <w:rtl w:val="true"/>
          <w:lang w:bidi="ar-SA"/>
        </w:rPr>
        <w:t>و بذلك يبدو أنّ العكس هو الصحيح، و أنّ سلّاراً هو الذي تتلمذ على يد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ارتباط سلّار بابن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هو في مجال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الجانب النحوي من شخصيّة سلّار العلميّة</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7642250_1280447820"/>
      <w:bookmarkStart w:id="36" w:name="_Toc12"/>
      <w:bookmarkEnd w:id="35"/>
      <w:r>
        <w:rPr>
          <w:rtl w:val="true"/>
        </w:rPr>
        <w:t>مشايخه</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bookmarkStart w:id="37" w:name="pg16415_223658"/>
    </w:p>
    <w:p>
      <w:pPr>
        <w:pStyle w:val="BookText"/>
        <w:rPr/>
      </w:pPr>
      <w:bookmarkEnd w:id="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سلّار من خواصّ تلامذة الشريف المرتضى، و قد تقدّم في كلام الشهيد الأوّل عنه أنّه كان ربما ينوب عنه في التدريس، كما يقال أنّ الشريف المرتضى أمره بنقض نقض الشافي الذي ألّفه أبو الحسين البصري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بذلك</w:t>
      </w:r>
      <w:r>
        <w:rPr>
          <w:rStyle w:val="FootnoteAnchor"/>
          <w:rtl w:val="true"/>
        </w:rPr>
        <w:footnoteReference w:id="13"/>
      </w:r>
      <w:r>
        <w:rPr>
          <w:rFonts w:ascii="Amiri" w:hAnsi="Amiri" w:eastAsia="Amiri" w:cs="Amiri"/>
          <w:color w:val="111111"/>
          <w:sz w:val="28"/>
          <w:sz w:val="28"/>
          <w:szCs w:val="28"/>
          <w:rtl w:val="true"/>
          <w:lang w:bidi="ar-SA"/>
        </w:rPr>
        <w:t>، كما كان سلّار ممّن شارك في تغسيل الشريف المرتضى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احتملنا قبل قليل أن يكون ابن جنّي من أساتذة سلّار</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7642252_1280447820"/>
      <w:bookmarkStart w:id="39" w:name="_Toc13"/>
      <w:bookmarkEnd w:id="38"/>
      <w:r>
        <w:rPr>
          <w:rtl w:val="true"/>
        </w:rPr>
        <w:t>تلاميذه</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الحسن بن الحسين 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الصلاح تقي الدين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سلّار إذا استفتي من حلب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عندكم التقي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الحسين بن علي بن بابويه المعروف بحسكا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الداعي بن زيد بن علي بن الحسين الأفطسي الحسيني الآوي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الطوسي ولد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الكرم المبارك بن فاخر النحوي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المفيد أبو محمّد عبد الرحمن بن أحمد بن الحسين النيسابوري الخزاعي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 عبد الجبّار بن عبد اللّٰه المقري الرازي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0" w:name="pg16415_223659"/>
    </w:p>
    <w:p>
      <w:pPr>
        <w:pStyle w:val="Heading6"/>
        <w:numPr>
          <w:ilvl w:val="5"/>
          <w:numId w:val="1"/>
        </w:numPr>
        <w:rPr/>
      </w:pPr>
      <w:bookmarkStart w:id="41" w:name="__RefHeading___Toc7642254_1280447820"/>
      <w:bookmarkStart w:id="42" w:name="_Toc14"/>
      <w:bookmarkEnd w:id="40"/>
      <w:bookmarkEnd w:id="41"/>
      <w:r>
        <w:rPr>
          <w:rtl w:val="true"/>
        </w:rPr>
        <w:t>مؤلّفاته</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المراسم العلويّة في الأحكام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في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الردّ على أبي الحسين البصري في نقض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حقيقة الجوهر و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الأبواب و الفصول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السلّاريّة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الأسئلة التي سألها من الشريف المرتضى، و هذه هي المسائل الماثلة بين يدي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ودفن في قرية خسروآباد من قرى تبريز في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
      </w:r>
    </w:p>
    <w:p>
      <w:pPr>
        <w:pStyle w:val="Heading6"/>
        <w:numPr>
          <w:ilvl w:val="5"/>
          <w:numId w:val="1"/>
        </w:numPr>
        <w:rPr/>
      </w:pPr>
      <w:bookmarkStart w:id="43" w:name="__RefHeading___Toc7642256_1280447820"/>
      <w:bookmarkStart w:id="44" w:name="_Toc15"/>
      <w:bookmarkEnd w:id="43"/>
      <w:r>
        <w:rPr>
          <w:rtl w:val="true"/>
        </w:rPr>
        <w:t>المسائل</w:t>
      </w:r>
      <w:bookmarkEnd w:id="44"/>
    </w:p>
    <w:p>
      <w:pPr>
        <w:pStyle w:val="BookText"/>
        <w:rPr/>
      </w:pPr>
      <w:r>
        <w:rPr>
          <w:rFonts w:ascii="Amiri" w:hAnsi="Amiri" w:eastAsia="Amiri" w:cs="Amiri"/>
          <w:color w:val="111111"/>
          <w:sz w:val="28"/>
          <w:sz w:val="28"/>
          <w:szCs w:val="28"/>
          <w:rtl w:val="true"/>
          <w:lang w:bidi="ar-SA"/>
        </w:rPr>
        <w:t>لقد وجّه سلّار هذه المسائل إلى الشريف المرتضى في أثناء تتلمذه على يديه في بغداد، و فضّل أن يقدّمها مكتوبة بدلاً من أن يطرحها شفهيّاً في الدرس، فقد قال في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الخادم و إن كان متمكّناً من إيراد ذلك في المجلس الأشرف و أخذ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جرت به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سائل الإنعام بالوقوف على هذه المسائل، و إيضاح ما أشكل منها؛ ليعمّ النفع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الأسئلة و الأجوبة بغداديّة، و قد تمّ إعدادها في هذه المدينة العريقة في الثلث الأوّل من القرن الخامس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المسائل تعكس مدى العمق الفكري الذي كان يتمتّع به سلّار في مجال </w:t>
      </w:r>
    </w:p>
    <w:p>
      <w:pPr>
        <w:pStyle w:val="BookText"/>
        <w:rPr/>
      </w:pPr>
      <w:r>
        <w:rPr>
          <w:rFonts w:ascii="Amiri" w:hAnsi="Amiri" w:eastAsia="Amiri" w:cs="Amiri"/>
          <w:color w:val="111111"/>
          <w:sz w:val="28"/>
          <w:sz w:val="28"/>
          <w:szCs w:val="28"/>
          <w:rtl w:val="true"/>
          <w:lang w:bidi="ar-SA"/>
        </w:rPr>
        <w:t>علم الكلام، فالمعروف عن سلّار أنّه فقيه، و ذلك من خلال كتابه المراسم، ولكن هذه المسائل تقدم لنا جانباً آخر من شخصيّته، و هو الجانب الكلامي، فأكثر مسائله التي وجّهها هنا تتعرّض لمسائل من لطيف الكلام، و هي مسائل عميقة و معقدة، و يحتاج التعمّق فيها إلى عقليّة فريدة وذكاء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يؤسف له أنّ هذه المسائل لا تعكس لنا رأي سلّار في المسائل التي طرحها بصورة واضحة، فهو قد طرحها بصورة أسئلة و إشكالات على آراء كان يتبنّاها الشريف المرتضى، و قد حاول أن يقوي تلك الإشكالات و يفصّلها، ولكن هذا لا يدلّ على إيمانه بتلك الإشكالات و قبوله بها، فلعلّه طرحها ليجد الجواب عليها، و ليخرج من الحيرة التي ربما كانت تسبّبها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لم يذكر المسائل السلّاريّة لا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أمر مستغرب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ذكرها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مظاهر الاهتمام بهذه المسائل أمرُ الشريف المرتضى بإضافة المسألة الخامسة و السادسة منها، و اللتين تدوران حول المنجّمين و المنامات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تكملة الأمالي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عبارات المسألة الخامسة </w:t>
      </w:r>
    </w:p>
    <w:p>
      <w:pPr>
        <w:pStyle w:val="BookText"/>
        <w:rPr/>
      </w:pPr>
      <w:r>
        <w:rPr>
          <w:rFonts w:ascii="Amiri" w:hAnsi="Amiri" w:eastAsia="Amiri" w:cs="Amiri"/>
          <w:color w:val="111111"/>
          <w:sz w:val="28"/>
          <w:sz w:val="28"/>
          <w:szCs w:val="28"/>
          <w:rtl w:val="true"/>
          <w:lang w:bidi="ar-SA"/>
        </w:rPr>
        <w:t>المتعلّقة بالردّ على المنجّمين، و قام بمناقشة جزء منها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ما طرحه الشريف المرتضى في المسألة السادسة التي يدور موضوعها حول المنامات، و قام فخر المحقّقين بمناقشته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كانت هذه المسائل عند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مقطعاً من مقدّمة الشريف المرتضى عليها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الذين أشاروا إلى المسألة الخامسة أو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أنّهما منقولتان في تكملة الأمالي، فلا يمكن الجزم بأنّ المسائل السلّاريّة كانت عندهم، فلعلّهم نقلوا هاتين المسألتين من تكملة الأمالي، كما صرّح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عند نقله لهما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الغريب أنّ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السلّاريّة في كتابه ثلاث مرّات</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 لعلّ ذلك لاعتبارات مختلفة، فمرّة باعتبار أنّ المسائل من تأليف سلّار، و أُخرى باعتبار أنّ الأجوبة من تأليف الشريف المرتضى، فصارت تأليفين لشخصين، و أمّا المرّة الثالثة فلا نعلم الوجه في ذكرها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بسبب صعوبة أكثر مطالب المسائل السلّاريّة تعرّضت هذه المسائل لمحاولة تفكيكها، و استنساخ بعضها بصورة مستقلّة، من دون الإشارة أحياناً إلى أنّها جزء من المسائل السلّاريّة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وصل الأمر إلى استنساخ جواب إحدى هذه المسائل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المسألة السابعة التي يدور موضوعها حول بحث توارد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حذف سؤال سلّار، بحيث صارت المسألة تبدأ بجواب الشريف المرتضى و أخذت تبدو كأنّها رسالة مستقلة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يدلّ على صحّة 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ذكر ابن شهر آشوب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تقدّم من وجود مسألتين منها في ضمن تكملة الأمالي التي لا شكّ في نسبة ما فيها إلى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سيأتي بعد قليل من إشارة الشريف المرتضى إليها في المسائل الطرابلسيات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لقد صرّح سلّار في مقدّمة كلامه باسم الشريف المرتضى ودعا له بالبقاء، و هي قرينة داخليّة مهمّة تدلّ على تصحيح النسبة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تاريخ كتابة المسائل فلا علم لنا به على وجه الدقّة، ولكن يمكن تخمينه من خلال إشارة الشريف المرتضى إليها في المسألة السادسة عشرة من الطرابلسيات الثالثة،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كنّا أملينا منذ سُنَيَّات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 الأُخرى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سُنَينات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سئلنا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جواب مسائل سُئلنا عنها، مسألةً استوفينا فيها الكلام على المنجّمين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 هذه إشارة إلى المسألة الخامسة من السلّاريّة التي تطرّق فيها بالتفصيل للكلام على المنجّمين، و قد أرسلت الطرابلسيات الثالثة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8"/>
      </w:r>
      <w:r>
        <w:rPr>
          <w:rFonts w:ascii="Amiri" w:hAnsi="Amiri" w:eastAsia="Amiri" w:cs="Amiri"/>
          <w:color w:val="111111"/>
          <w:sz w:val="28"/>
          <w:sz w:val="28"/>
          <w:szCs w:val="28"/>
          <w:rtl w:val="true"/>
          <w:lang w:bidi="ar-SA"/>
        </w:rPr>
        <w:t xml:space="preserve">و هذا يعني أنّ السلّاريّة قد أرسلت قبل هذا التاريخ بعدّة سنوات، و أمّا وفقاً للنسخة التي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تكون السلّاريّة قد أرسلت بسنتين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أكثر من ذلك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5" w:name="pg16415_223663"/>
    </w:p>
    <w:p>
      <w:pPr>
        <w:pStyle w:val="Heading6"/>
        <w:numPr>
          <w:ilvl w:val="5"/>
          <w:numId w:val="1"/>
        </w:numPr>
        <w:rPr/>
      </w:pPr>
      <w:bookmarkStart w:id="46" w:name="__RefHeading___Toc7642258_1280447820"/>
      <w:bookmarkStart w:id="47" w:name="_Toc16"/>
      <w:bookmarkEnd w:id="45"/>
      <w:bookmarkEnd w:id="46"/>
      <w:r>
        <w:rPr>
          <w:rtl w:val="true"/>
        </w:rPr>
        <w:t>محتوى المسائل</w:t>
      </w:r>
      <w:bookmarkEnd w:id="47"/>
    </w:p>
    <w:p>
      <w:pPr>
        <w:pStyle w:val="BookText"/>
        <w:rPr/>
      </w:pPr>
      <w:r>
        <w:rPr>
          <w:rFonts w:ascii="Amiri" w:hAnsi="Amiri" w:eastAsia="Amiri" w:cs="Amiri"/>
          <w:color w:val="111111"/>
          <w:sz w:val="28"/>
          <w:sz w:val="28"/>
          <w:szCs w:val="28"/>
          <w:rtl w:val="true"/>
          <w:lang w:bidi="ar-SA"/>
        </w:rPr>
        <w:t>نحاول هنا بيان محتوى المسائل السلّاريّة، و توضيح أهمّ مطالبها، مع التركيز على المطالب المعقدة، و محاولة فكّ مَغاليقها بقدر المستطاع، 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الجوهرَ جوهرٌ في حال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هذه المسألة من المسائل التي وقعت محلاًّ للنزاع في تاريخ الكلام، فقد ذهب الجبّائيان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عبد 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معتزلة البصرة إلى أنّ الجوهر جوهر في حال العدم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الجوهر في حال عدمه يكون على صفة تقتضي أن يكونَ متحيّزاً و يشغلَ حيّزاً من الفراغ عندما يوجد في الخارج، و لا يكون ذلك مُعطى له من قِبَل الفاعل، فالفاعل لا يعطي إلّاالوجود للجوهر و لا يعطيه الجوهريّة، فالفاعل لا يجعل الجوهر جوهراً، بل يوجده و حسب</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النظريّة غير خاصّة بالجوهر، بل تشمل الأعراض أيضاً؛ فالسواد لا يصير سواداً بالفاعل، بل يكون كذلك بذاته و في حال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الشريف المرتضى إلى ذلك، و تبنّاه في أكثر من رسالة</w:t>
      </w:r>
      <w:r>
        <w:rPr>
          <w:rStyle w:val="FootnoteAnchor"/>
          <w:rtl w:val="true"/>
        </w:rPr>
        <w:footnoteReference w:id="31"/>
      </w:r>
      <w:r>
        <w:rPr>
          <w:rFonts w:ascii="Amiri" w:hAnsi="Amiri" w:eastAsia="Amiri" w:cs="Amiri"/>
          <w:color w:val="111111"/>
          <w:sz w:val="28"/>
          <w:sz w:val="28"/>
          <w:szCs w:val="28"/>
          <w:rtl w:val="true"/>
          <w:lang w:bidi="ar-SA"/>
        </w:rPr>
        <w:t>، و تعرّض إليه بصورة مفصّلة في هذه المسألة من السلّاريّة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أبو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المعدوم شيء فقط، و هو ليس بجسم و لا جوهر و لا عرض و لا غير ذلك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أنكر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فقد رفض أن يكون المعدوم شيئاً </w:t>
      </w:r>
    </w:p>
    <w:p>
      <w:pPr>
        <w:pStyle w:val="BookText"/>
        <w:rPr/>
      </w:pPr>
      <w:r>
        <w:rPr>
          <w:rFonts w:ascii="Amiri" w:hAnsi="Amiri" w:eastAsia="Amiri" w:cs="Amiri"/>
          <w:color w:val="111111"/>
          <w:sz w:val="28"/>
          <w:sz w:val="28"/>
          <w:szCs w:val="28"/>
          <w:rtl w:val="true"/>
          <w:lang w:bidi="ar-SA"/>
        </w:rPr>
        <w:t>أو جسماً جوهراً أو عرضاً أو أيّ شيء غير ذلك، فهو برأيه نفي محض</w:t>
      </w:r>
      <w:r>
        <w:rPr>
          <w:rStyle w:val="FootnoteAnchor"/>
          <w:rtl w:val="true"/>
        </w:rPr>
        <w:footnoteReference w:id="33"/>
      </w:r>
      <w:r>
        <w:rPr>
          <w:rFonts w:ascii="Amiri" w:hAnsi="Amiri" w:eastAsia="Amiri" w:cs="Amiri"/>
          <w:color w:val="111111"/>
          <w:sz w:val="28"/>
          <w:sz w:val="28"/>
          <w:szCs w:val="28"/>
          <w:rtl w:val="true"/>
          <w:lang w:bidi="ar-SA"/>
        </w:rPr>
        <w:t xml:space="preserve">، و تابعه على ذلك المحقّق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نفاه ابن البطريق</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الشريف المرتضى في هذه المسألة من السلّاريّة على ما ذهب إليه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في هذا الدليل بياناً واضحاً و يسيراً،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الجوهر دون غيره إذا وجد كان متحيّزاً، فلابدّ من أن يكون مختصّاً بصفة تقتضي له ذلك، و هي غير موجودة في غيره،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هذه الصفة متحقّقة في حال العدم وقبل وجوده، بحيث يجب أن يتحقّق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وجود الجوهر و من دون انتظار، بخلاف ما لو كانت هذه الصفة معطاة من الفاعل، فإنّه سوف يوجِد ذات الجوهر أوّلاً ثمّ يعطيه صفة الجوهريّة و هي التحيّز، و في هذا توجد حالة انتظار و إن كانت عقليّة، بينما إذا كانت الصفة المقتضية للتحيّز متحقّقة في العدم لم يكن هناك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الصفة ملازمة لذات الجوهر حتّى في حال عدمه، و هو المطلوب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إشكال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يقتضي أن يكون المعدوم معلوماً و مشاراً إليه و هو في حال العدم، بينما المعدوم لا يمكن فيه ذلك، فالجواب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المعدوم </w:t>
      </w:r>
    </w:p>
    <w:p>
      <w:pPr>
        <w:pStyle w:val="BookText"/>
        <w:rPr/>
      </w:pPr>
      <w:r>
        <w:rPr>
          <w:rFonts w:ascii="Amiri" w:hAnsi="Amiri" w:eastAsia="Amiri" w:cs="Amiri"/>
          <w:color w:val="111111"/>
          <w:sz w:val="28"/>
          <w:sz w:val="28"/>
          <w:szCs w:val="28"/>
          <w:rtl w:val="true"/>
          <w:lang w:bidi="ar-SA"/>
        </w:rPr>
        <w:t>معلوم، فنحن نعلم بالصوت بعد انقطاعه و إن لم نكن ندركه بحاسّة السمع، كما نعلم بالبعث و النشور و كلّها أُمور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بأنّه ما المانع من أن يوجَد الجوهر غيرَ متحيّز ثمّ يعطيه الفاعل صفة التحيّز؟ فأجاب عليه الشريف المرتضى من خلال بيان مفصّل نفى فيه كلّ الاحتمالات الممكنة و التي يمكن أن يكون الجوهر قد حصل على تحيّزه من خلالها، فلم يبق إلّااحتمال أن يكون قد حصل على ذلك لذاته،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اعتبار هذا البيان دليلاً ثانياً على ما ذهب إليه الشريف المرتضى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تحيّز الجوهر إمّا أن يكون لوجوده أو لحدوثه، و هذان مشتركان بين الجوهر و غيره، بينما التحيّز خاصّ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لحدوثه على وجه معيّن، ولكن لا يوجد وجه في حدوثه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الجوهر عليه كان متحيّزاً، و إذا لم يقع عليه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هناك وجه لحدوثه لم يمتنع أن يحدث على وجه آخر، فلا يكون 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لو كان كذلك، لجاز أن يحدث في نفس الوقت على الوجه الذي يقتضي تحيّزه، و على وجه آخر يقتضي أن يتّصف بصفة أُخرى كالسواد؛ لأنّه لا تنافي بين التحيّز و السواد، بل التنافي بين التحيّز و عدم التحيّز، فيلزم أن يكون جوهراً سواداً في آن واحد، لكنّه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انعدام الجوهر يمنع من تحيّزه، فكيف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لعدم معنى، لكن العدم لا يخصِّص شيئاً، بينما التحيّز خاصّ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المعدوم لا يؤثّر في غيره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لوجود معنى، لكن هذا المعنى لا يوجِب تحيّز الجوهر إلّاإذا كان مختصّاً به، و هذا الاختصاص إمّا بأن يحلّ في الجوهر أو يجاوره، و في كلا الحالتين لابدّ أن يكون الجوهر متحيّزاً قبل ذلك، و إلّالم يمكن أن يحلّ فيه المعنى أو يجاوره، و بذلك يلزم </w:t>
      </w:r>
    </w:p>
    <w:p>
      <w:pPr>
        <w:pStyle w:val="BookText"/>
        <w:rPr/>
      </w:pPr>
      <w:r>
        <w:rPr>
          <w:rFonts w:ascii="Amiri" w:hAnsi="Amiri" w:eastAsia="Amiri" w:cs="Amiri"/>
          <w:color w:val="111111"/>
          <w:sz w:val="28"/>
          <w:sz w:val="28"/>
          <w:szCs w:val="28"/>
          <w:rtl w:val="true"/>
          <w:lang w:bidi="ar-SA"/>
        </w:rPr>
        <w:t>أن يكون الجوهر متحيّزاً قبل تحيّزه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ننقل الكلام إلى هذا المعنى، فهو لابدّ أن يمتلك صفة تقتضي أن يوجِب التحيّز للجوهر، و هذه الصفة إن كانت لمعنى آخر لزم التسلسل، و إن كانت لذات المعنى فليكن الجوهر أيضاً متحيّزاً لذاته، و لا حاجة لفرض معنى اقتضى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 كذلك لزم أن تكون كلّ الماهيّات تستحقّ ما تختصّ به بسبب معنى، و يلزم جواز أن تمتلك الذات الواحدة معنيين يقتضيان صفتين؛ لعدم التنافي بين الصفتين، فيكون الشيء متحيّزاً و سواداً،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يلزم عدم امتناع تزايد المعاني فيزداد التحيّز، و يزداد حجم الجوهر من دون أن تنضمّ إليه جواهر أُخرى، و 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بالفاعل و هو أهمّ احتمال مقابل للنظريّة المختارة، لكن هذا يستلزم جواز أن يجمع الفاعل بين التحيّز و السواد في ذات واحدة؛ لأنّه بحسب الفرض متعلّق بفعله، و الفاعل مختار في أفعاله، ولكن هذا باطل؛ لأنّه لو فرضنا وجود البياض في هذه الحالة، فإمّا أن ينتفي التحيّز و السواد معاً، و هو باطل؛ لأنّ البياض لا ينافي التحيّز فلا ينفيه، و إمّا أن يبقيا معاً، و هو باطل؛ لأنّ البياض ينافي السواد فلا يجتمع معه، و إمّا أن ينتفي السواد دون التحيّز، و هو باطل؛ لأنّه يقتضي أن تكون الذات الواحدة موجودة و معدومة، فقد فرضنا أنّ الفاعل فعل التحيّز و السواد في ذات واحدة، فلا يمكن أن تفقد جزءاً من ذاتها دون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صحّ من الفاعل أن يفعل التحيّز لجاز أن يفعل الكونَ في جهة مثلاً، و بما أنّه يمكننا فعل الكون في جهة لذا أمكننا أيضاً أن نفعل التحيّز، و هو باطل، فنحن عاجزون عن إعطاء صفة التحيّز للجوهر، بل هو أمر خاصّ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بما أنّه لا اختصاص للمقدورات بفاعل دون آخر، فلو تمكّن فاعل من فعل التحيّز في الجوهر لَكُنّا نحن أيضاً قادرين على فعل ذلك، و هو واضح البطلان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لنفسه أو لِمَا هو عليه في نفسه، وعلى كلا الفرضين يثبت المطلوب، و هو أنّ‌ </w:t>
      </w:r>
    </w:p>
    <w:p>
      <w:pPr>
        <w:pStyle w:val="BookText"/>
        <w:rPr/>
      </w:pPr>
      <w:r>
        <w:rPr>
          <w:rFonts w:ascii="Amiri" w:hAnsi="Amiri" w:eastAsia="Amiri" w:cs="Amiri"/>
          <w:color w:val="111111"/>
          <w:sz w:val="28"/>
          <w:sz w:val="28"/>
          <w:szCs w:val="28"/>
          <w:rtl w:val="true"/>
          <w:lang w:bidi="ar-SA"/>
        </w:rPr>
        <w:t>الصفة المقتضية للتحيّز ملازمة لذات الجوهر، سواء في حال عدمه أو وجوده، و أنّه يجب له التحيّز حين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الشريف المرتضى بعد ذلك دليلين أُقيما على النظريّة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ذاتين لا تخلوان إمّا أن تكونا متماثلتين، بمعنى أن تكون كلّ واحدة منهما تسدّ مسدّ الأُخرى لصفة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مختلفتين، بمعنى أنّ إحداهما لا تسدّ مسدّ الأُخرى لصفة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فالمماثلة و المخالفة ترجعان إلى صفة في الذات، و حينئذ إذا ثبت أنّ الجوهر المعدوم مخالف للأعراض، و بما أنّ المخالفة تكون بواسطة صفة من الصفات، ثبت أنّ الجوهر يمتلك صفة تقتضي تحيّزه متى وجد، و بهذه الصفة يخالف الأعراض التي لا تمتلك هذه الصفة، أو تمتلك صفة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مجرّد دعوى بلا دليل، فإنّ من ينفي كلّ صفة عن المعدوم لا يسلّم لكم عدم خلوّه من أن يكون مماثلاً أو مخالفاً لغيره، و لا يسلّم ما فسّرتم به التماثل و التخالف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تختصّ الجواهر بصفة تقتضي تحيّزها عند وجودها، لما أمكن العلم بها على نحو التفصيل، و قد علمنا أنّ اللّٰه تعالى يعلم بالجواهر في حال عدمها على نحو التفصيل، و يميّز بعضها عن بعض، فلابدّ أن تختصّ بتلك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 غير مسلّمة، فأنتم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يعلم أجزاء السواد الموجودة على نحو التفصيل، مع أنّ هذه الأجزاء لا يمتلك كلّ واحد منها صفة خاصّة به ليست للجزء الآخر، فيجوز أن يعلم بذاتين معدومتين على نحو التفصيل و إن لم تختصّ إحداهما بصفة ليست للأُخرى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بيّن الشريف المرتضى نظريّته و استدلّ عليها وناقش بعض الأدلّة الباطلة، رجع إلى الأسئلة أو الإشكالات التي قدّمها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تركّزت على السؤال </w:t>
      </w:r>
    </w:p>
    <w:p>
      <w:pPr>
        <w:pStyle w:val="BookText"/>
        <w:rPr/>
      </w:pPr>
      <w:r>
        <w:rPr>
          <w:rFonts w:ascii="Amiri" w:hAnsi="Amiri" w:eastAsia="Amiri" w:cs="Amiri"/>
          <w:color w:val="111111"/>
          <w:sz w:val="28"/>
          <w:sz w:val="28"/>
          <w:szCs w:val="28"/>
          <w:rtl w:val="true"/>
          <w:lang w:bidi="ar-SA"/>
        </w:rPr>
        <w:t xml:space="preserve">عن المانع من أن يكون الجوهر جوهراً بالفاعل، و الذي يترتّب عليه أن لا يكون جوهراً في حال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قام بالإجابة عليها، و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سلّار في البداية إشكالاً لمن أنكر أن يكون الجوهر جوهراً بالفاعل، و هو أنّه يلزم منه أن يصير الشيء الواحد جوهراً سواداً؛ لعدم وجود تضادّ بين الجوهرية و السواد أو ما شابه ذلك ممّا يمنع اجتماعهما، فإذا صحّ ذلك و طرأ البياض فإنّه ينفي السواد؛ لاستحالة اجتماعهما، لكنّه لا ينفي الجوهر، فيلزم أن تكون الذات الواحدة موجودة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فأشكل سلّار بأنّ جَعْل الفاعل الذات الواحدة جوهراً سواداً مستحيل من الأساس؛ لأنّه يستلزم أن تكون تلك الذات متحيّزة و غير متحيّزة في آن واحد، و هو مستحيل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يمكن إيراد هذا الإشكال لردّ القول بأنّ الجوهر متحيّز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الشريف المرتضى بأنّ العلم بتحيّز الجوهر و عدم تحيّز السواد متوقّف على العلم بأنّ السواد و التحيّز لم يكونا بالفاعل، و إنّما هما من مقتضيات ذات الجوهر و ذات السواد، فإذا لم يثبت ذلك و جوّزنا أن يكون السوادُ و تحيّزُ الجوهر بواسطة الفاعل فسوف لن نقطع بكون السواد غير متحيّز و بكون الجوهر متحيّزاً، لأنّ هذا سيكون أمراً راجعاً إلى الفاعل المختار، إن شاء فعله، و إن لم يشأ لم يفعله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سلّار إشكالاً نقضيّاً على الإشكال الذي ذكره أعلاه، و هو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الفعل و قُبحه يكون بالفاعل، و مع ذلك لا تجوّزون أن يكون الفعل الواحد حسناً و قبيحاً في آن واحد، مع عدم وجود تضادّ أو ما شابهه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الأمر كذلك في كون الشيء جوهراً سواداً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الشريف المرتضى بأنّ الحُسن و القُبح و إن لم يكن بينهما تضادّ ولكنّهما لا يمكن أنّ يجتمعا؛ لأنّ الحَسَن تكون كلّ وجوه القبح منتفية عنه، و القبيح يكون فيه وجه من وجوه القُبح كحدّ أدنى، فإذا كان الشيء حسناً و قبيحاً لزم نفي ما </w:t>
      </w:r>
    </w:p>
    <w:p>
      <w:pPr>
        <w:pStyle w:val="BookText"/>
        <w:rPr/>
      </w:pPr>
      <w:r>
        <w:rPr>
          <w:rFonts w:ascii="Amiri" w:hAnsi="Amiri" w:eastAsia="Amiri" w:cs="Amiri"/>
          <w:color w:val="111111"/>
          <w:sz w:val="28"/>
          <w:sz w:val="28"/>
          <w:szCs w:val="28"/>
          <w:rtl w:val="true"/>
          <w:lang w:bidi="ar-SA"/>
        </w:rPr>
        <w:t>أثبتناه بعينه، و هو أشدّ في الاستحالة من التضادّ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سلّار إشكالاً نقضيّاً آخر مشابهاً للسابق، و هو أنّ الخبر و الأمر يكونان بإرادة الفاعل، و لا تضادّ بين الإرادتين، ولكن مع ذلك لا يمكن لكلام واحد أن يكون خبراً و أمراً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الشريف المرتضى بأنّه لا مانع من ذلك، فيمكن أن يكون الكلام الواحد خبراً و أمراً؛ لأنّه لا تضادّ بينهما، و ليس فيهما إثبات للمَنفي كما تقدّم في اجتماع الحَسَن 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نتكلم بكلام و نقصد به الخبر فيكون خبراً، أو نقصد به الأمر فيكون أمراً، ولكن هذا يعتبر أمراً غريباً في اللغة العربيّة، ففي هذه اللغة لكلٍّ من الخبر و الأمر صيغة تختلف عن الأُخرى، فلو جُمع بينهما في صيغة واحد لكان المتكلّم كأنّه لم يتكلّم بالعربيّة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سلّار على الإشكال الذي ذكره أعلاه، و الذي دلّ على استلزام أن تكون الذات موجودة و معدومة فيما لو جعل الفاعلُ الذاتَ جوهراً سواداً و طرأ البياض، و إشكاله هو أنّ معنى جعل الذات جوهراً سواداً هو أن يَجعل الذاتين ذاتاً واحدة، و حينئذ إذا طرأ البياض نَفى تلك الذاتَ فصارت معدومة، و لم يبق شيء موجوداً حتّى يقال إنّ طروء البياض يستلزم أن تكون الذات موجودة و معدومة كما تقدّم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معنى جعل الذات جوهراً سواداً جعلُ الذات الواحدة على صفتين، فهذا المعنى و إن لم يكن مراداً للمستدلّ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 هو المتصوَّر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يرد عليه أنّه عند طروء البياض سوف تنتفي الذات و تنتفي الصفات تبعاً لها، فلا يلزم بقاء شيء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تكون الذات موجودة و معدومة، بل سوف ينعدم كلّ شيء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الشريف المرتضى بأنّ الوجه في لزوم أن تكون الذات التي صارت جوهراً سواداً بالفاعل أن تكون موجودة معدومة بطروء البياض هو أنّ جَعْلها </w:t>
      </w:r>
    </w:p>
    <w:p>
      <w:pPr>
        <w:pStyle w:val="BookText"/>
        <w:rPr/>
      </w:pPr>
      <w:r>
        <w:rPr>
          <w:rFonts w:ascii="Amiri" w:hAnsi="Amiri" w:eastAsia="Amiri" w:cs="Amiri"/>
          <w:color w:val="111111"/>
          <w:sz w:val="28"/>
          <w:sz w:val="28"/>
          <w:szCs w:val="28"/>
          <w:rtl w:val="true"/>
          <w:lang w:bidi="ar-SA"/>
        </w:rPr>
        <w:t>جوهراً سواداً يقتضي بقاءها واستمرارها على حالها ما لم يطرأ مانع، فإذا طرأ البياض منع من بقاء السواد و لم يَمنع من بقاء التحيّز و الجوهريّة، فصار في الذات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يقتضي البقاء، و الآخر يقتضي الانتفاء؛ فصارت لأجل ذلك موجودة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القدرة توجب حالاً للجملة دون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الأبحاث الكلاميّة التي وقعت محلاًّ للخلاف بين المتكلّمين هو أنّ القدرة عندما تحلّ في جزء من أجزاء زيد، كاليد أو الرجل، فإنّها توجِب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ما هو الذي يستحقّ هذه الصفة‌؟ هل 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زيد ككلّ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كلّ جزء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اليد و الرجل، أي المحلّ الذي حلّت فيه القدرة‌؟ فالبحث يدور حول أنّه هل القدرة توجب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صفة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لمحلّ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الشريف المرتضى إلى أنّ القدرة توجب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للجملة، دون المحلّ و إن كانت القدرة تحلّ في المحلّ‌، و استدلّ عليه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و ذمّ‌، و أمر و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ترجع إلى الجملة دون الأجزاء، فالذي يَضرب شخصاً بيده لا يُوجَّه اللوم و الذمّ إلى يده بل إليه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يجوّز توجيه الذمّ إلى الجزءِ مخالفٌ لبديهة العقل؛ فالعقلاء يفرّقون بين تعليق الذمّ بجزء كاليد، و بين تعليقه بمجموعة أجزاء مضموم بعضها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فيقبّحون الأوّل و يحسّنون الثاني، و لا يجوز أن يحسَّن الثاني إلّابأن يكون مجموع تلك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تقع بحسب القصد و العلم و الإدراك، و هي متعلّقة بالجملة، فيجب أن يكون ما تقتضيه متعلّقاً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الشريف المرتضى هذا الدليل إلى القيل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أن يفعل إلّاإذا كانت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p>
    <w:p>
      <w:pPr>
        <w:pStyle w:val="BookText"/>
        <w:rPr/>
      </w:pP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جهلنا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حاجة القادر في فعله إلى وجود قدرة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يعني أن نشكّ في كون الجملة هي القادر دون المحلّ‌، فإنّ هذا حكم بديهي،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القادر الذي هو الجملة لا يفعل في غيره من الأجسام إلّابسبب، فكيف يفعل في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سبب‌؟ و هذا يدلّ على أنّ الجملة غيرالقادر بل القادر هو الأجزاء و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يلزم من كلامكم أن يقدر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و إن لم تكن هناك قدرة في المحلّ‌، فكونه قادراً كافٍ لصدور الفعل، و إن لم تكن هناك قدرة في المحلّ‌، و بما أنّ هذا باطل، فيلزم أن لا تكون الجملة هي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على ذلك بما تقدم آنفاً، و هو أنّ عدم العلم بسبب شيء لا يدعو إلى ترك ما ثبت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عاد للجواب على إشكالات سلّار، و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سلّار في البداية دليلاً على أنّ القدرة توجب الحالَ للمحلّ لا للجملة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ما ذهب إليه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أنّها لو أوجبت الحالَ للجملة للزم أن يَفعل بيده مَن توجد في قلبه قدرة، من دون أن تكون في يده قدرة؛ لأنّه إذا كان وجود القدرة في المحلّ يوجب الحالَ للجملة كلّها، يلزم منه أن تكون الجملة قادرة على كلّ الأفعال بوجود قدرة في جزء واحد منها، ولكن بما أنّه لا يجوز الفعل باليد من دون أن تكون فيها قدرة دلّ ذلك على أنّ القادر هو اليد لا الجملة، و هذا خلافاً للعلم مثلاً، فعلى الرغم من وجود العلم في القلب إلّاأنّ العالِم يستطيع أن يفعل بيده أفعالاً محكمة و منظّمة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طرح إشكالاً على هذا الدليل، و هو أنّ سبب عدم صحّة الفعل باليد إلّاعند </w:t>
      </w:r>
    </w:p>
    <w:p>
      <w:pPr>
        <w:pStyle w:val="BookText"/>
        <w:rPr/>
      </w:pPr>
      <w:r>
        <w:rPr>
          <w:rFonts w:ascii="Amiri" w:hAnsi="Amiri" w:eastAsia="Amiri" w:cs="Amiri"/>
          <w:color w:val="111111"/>
          <w:sz w:val="28"/>
          <w:sz w:val="28"/>
          <w:szCs w:val="28"/>
          <w:rtl w:val="true"/>
          <w:lang w:bidi="ar-SA"/>
        </w:rPr>
        <w:t>وجود القدرة فيها راجع إلى طبيعة القدرة، فإنّ من أحكامها أنّ مقتضاها لا يتحقّق إلّا إذا كانت موجودة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عليه بأنّ هذا نفس كلامنا،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توجب الحالَ للمحلّ‌،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لا يتحقّق مقتضاها إلّاإذا كانت موجودة في المحلّ‌، فهو إقرار بما نقول لكن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الشريف المرتضى بأنّ الإقرار بما تقولون إنّما يتحقّق بأن ننفي الحالَ عن الجملة و نثبتها للمحلّ‌، و نحن لم نقل بذلك،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الفعل من دون أن تكون قدرة في المحلّ‌، و هذا لا يعني إثبات الحال للمحلّ أيضاً، و ليس إقراراً بما تقولون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أولى من كلامكم، فنحن نثبت إيجاب القدرةِ الحالَ لما به يصحّ الفعل و هو المحلّ‌، و أنتم تثبتونه لما لا يصحّ به الفعل و هو الجملة، فإن فعل الضرب لا يصحّ بكلّ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بخصوص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الشريف المرتضى بأنّ صفة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تضاف إلى ما يصحّ منه الفعل لا إلى ما يصحّ به الفعل، و هو الآلة، فإنّ الآلة لا توصف بأنّها قادرة؛ و لا إشكال في وصف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قادر؛ لأنه يصحّ منه الفعل، و إن كان لا يصحّ به الفعل، فهو ليس آلة في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سلّار إشكالاً نقضيّاً، و هو إذا كانت القدرة في المحلّ توجب الحالَ للجملة، لزم أن يكون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 من الجسم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 من الجسم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معلوم البطلان، فلكي يتّصف الجسم كلّه بالسواد لابدّ أن تتّصف جميع أجزائه بالسواد أيضاً، و هكذا الكون، فإنّ الجسم لا يكون في جهة إلّاإذا كانت كلّ أجزائه في 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السواد فهو أساساً لا يوجب حالاً لا للمحلّ و لا للجملة، و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المحلّ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السواد حالّ فيه لا أنّه موصوف بالسواديّة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الكون في جهة فنحن نوافق على أنّه يوجب الحالَ للمحلّ لا للجملة؛ لأنّ أحكامه موجودة في محلّه و لا تتعدّى إلى الجملة، فإنّه لو تحرّكت اليد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متحرّك</w:t>
      </w:r>
      <w:r>
        <w:rPr>
          <w:rStyle w:val="FootnoteAnchor"/>
          <w:rtl w:val="true"/>
        </w:rPr>
        <w:footnoteReference w:id="37"/>
      </w:r>
      <w:r>
        <w:rPr>
          <w:rFonts w:ascii="Amiri" w:hAnsi="Amiri" w:eastAsia="Amiri" w:cs="Amiri"/>
          <w:color w:val="111111"/>
          <w:sz w:val="28"/>
          <w:sz w:val="28"/>
          <w:szCs w:val="28"/>
          <w:rtl w:val="true"/>
          <w:lang w:bidi="ar-SA"/>
        </w:rPr>
        <w:t>، بينما إذا قدرت اليد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فالكون يختلف عن القدرة التي هي محلّ كلامنا، فلا يصحّ النقض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سلّار على إشكال قد يتوجّه إلى ما ذكره، و هو أنّ إيجاب القدرة الحالَ للمحلّ يوجب أن يكون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الجسم الواحد بعدد القدرات الموجودة في أجزاء هذا الجسم، و أن لا يتصرّف هؤلاء القادرون بإرادة واحدة، بل تفعل هذه اليد ما يخالف فعل اليد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على هذا الإشكال بأنّه إن أُريد أنّ كلّ جزء له حكم الجملة و هو كونه قادراً، فهو الذي كنّا نصرّ عليه منذ البداية، لكن هذا لا يوجب أن تكون هناك إرادة واحدة، فإنّ الإرادة غير القدرة، فالإرادة توجب الحالَ للجملة، و تكون الجملة هي المريدة، فتكون كلّ الأجزاء فاعلة بإرادة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أنّه يلزم تسمية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قادرون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يرجع إلى اللغة العربيّة، فلو سمّاها العرب بذلك لسمّيناها نحن 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التفرقة بين الإرادة و القدرة فباطل، فإنّه لا فرق بينهما، فإمّا أن يوجِبا الحالَ للمحلّ معاً أو للجملة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تسمية العرب فغير مهمّة في المقام، و إنّما الكلام في المضمون، و 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سلّار إشكالاً نقضيّاً على القائلين بإيجاب القدرة الحالَ‌</w:t>
      </w:r>
    </w:p>
    <w:p>
      <w:pPr>
        <w:pStyle w:val="BookText"/>
        <w:rPr/>
      </w:pPr>
      <w:r>
        <w:rPr>
          <w:rFonts w:ascii="Amiri" w:hAnsi="Amiri" w:eastAsia="Amiri" w:cs="Amiri"/>
          <w:color w:val="111111"/>
          <w:sz w:val="28"/>
          <w:sz w:val="28"/>
          <w:szCs w:val="28"/>
          <w:rtl w:val="true"/>
          <w:lang w:bidi="ar-SA"/>
        </w:rPr>
        <w:t>للجملة، و هو أنّكم قبلتم بأنّ الكون في جهة يوجب الحالَ للمحلّ دون الجملة، فيلزمكم ما أوردتموه آنفاً علينا، و هو تسمية الجملة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كائنون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الشريف المرتضى بالموافقة إجمالاً على ذلك، ولكن لم يوافق على أن تسمّى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كائنون كثيرون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هذا الجمع خاصّ في العربيّة بالعقلاء، و المَحالّ ليس كلّها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وافق على تسميتها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ذوات كثيرة كائنة في جهة، و 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الحياة توجب حالاً للجملة، دون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تشبه في روحها المسألة السابقة، و الكلام فيها واحد، فعلى الرغم من حلول الحياة في المحلّ لكن 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الحيّ هو الجملة، أي الحيّ هو زيد لا اليد مثلاً، فإنّ من مقتضيات الاتّصاف بصفة الحيّ أن يكون هذا الحيّ عالماً و قادراً و مريداً، و هذه الأحكام راجعة إلى الجملة لا المحلّ‌، فاليد لا توصف بأنّها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عالم و لا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الإشكالات التي طرحها سلّار على لسان القائلين بأنّ الحياة في المحلّ توجب حالاً للمحلّ لا للجملة،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يعتبر هذا أهمّ إشكال، و هو أنّ من مقتضيات الحياة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الإدراكات الحسيّة، و هي السمع و البصر و الذوق و اللمس و الشمّ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 الحياة لما حصل الإدراك، و لولا أن تكون الحياة موجودة في المحلّ لما حصل الإدراك، فلو لم تكن حياةٌ في العين لما أمكن الإبصار، و وجود الحياة في المحلّ كشرطٍ للإدراك يدلّ على أنّه لابدّ أنّ يكون المحلّ حيّاً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الشريف المرتضى على ذلك بأنّ الحيّ هو الجملة لا المحلّ‌، و أمّا توقّف الإدراك على وجود حياة في المحلّ فهو لأمر خاصّ قد لا نعرفه يرجع إلى طبيعة الحياة، و هو لا يقتضي أن يصبح المحلّ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توجد فيها حياة ولكن لا </w:t>
      </w:r>
    </w:p>
    <w:p>
      <w:pPr>
        <w:pStyle w:val="BookText"/>
        <w:rPr/>
      </w:pP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فالحيّ هو مجموع أجزاء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بخصوصها، و إنّما العين جزء من الأجزاء التي يتكوّن منها الحيّ‌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إنّ الحياة توجب حالاً للجملة لا للمحلّ‌، فهذا يعني أنّه إذا حلّت الحياةُ في الشَّعر مثلاً فسوف لن يُضاف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جديد، أي سوف لن تصير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بحلول الحياة في الشَّعر؛ لأنّها كانت قد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بحلول الحياة في اليد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الشريف المرتضى بأنّ هناك فائدة لحلول الحياة في المحلّ الجديد كالشَّعر، و هي أن يصير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الجملة، أي يصير من جملة الحيّ‌، فإنّ مجرّد اتّصال الشَّعر بالحيّ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يجعله جزءاً منه، و إنّما يصير جزءاً منه في حالِ ما لو حلّت فيه الحياة، فإذا حلّت فيه الحياة صار جزءاً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أوجب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للجملة، و إن كانت الجملة قد وجب لها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بحلول الحياة في جزء سابق كاليد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اختصاص العَرَض بمحلّه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سلّار عن وجه الإشكال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 يختصّ بمحلّه بواسطة الفاعل، أي أنّ الفاعل هو الذي يفعل العرض في هذا المحلّ و يخصّصه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الفاعل عادة يكون عالماً و قاصداً لفعله، لذلك قد يَرِد على ما ذلك أنّ الفاعلَ غيرَ القاصد كالنائم و الساهي يمكنه فعل العرض و تخصيصه بمحلّه، مثل أن يحرّك شيئاً فيفعل فيه كوناً في جهة، و يكون هذا الكون خاصّاً بمحلّه، و لذلك لم يَعتبر صاحبُ القول السابق الدالّ على تخصيص للعرض بمحلّه بواسطة الفاعل، أن يكون الفاعل قاصداً؛ و ذلك لكي يشمل غيرَ القاصد كالنائم و الساهي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هذه المسألة لا تؤثّر على مباحث أُصول الدين اكتفى الشريف المرتضى في الإجابة على المقدار الذي تَوَصّل إليه فكرُه، و أجّل البحث إلى فرصة أُخرى فيما </w:t>
      </w:r>
    </w:p>
    <w:p>
      <w:pPr>
        <w:pStyle w:val="BookText"/>
        <w:rPr/>
      </w:pPr>
      <w:r>
        <w:rPr>
          <w:rFonts w:ascii="Amiri" w:hAnsi="Amiri" w:eastAsia="Amiri" w:cs="Amiri"/>
          <w:color w:val="111111"/>
          <w:sz w:val="28"/>
          <w:sz w:val="28"/>
          <w:szCs w:val="28"/>
          <w:rtl w:val="true"/>
          <w:lang w:bidi="ar-SA"/>
        </w:rPr>
        <w:t>لو طرأ على ذهنه أمر جديد، و يبدو أنّه لم يتوصّل في بعض وجوه هذه المسألة إلى نتيجة 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 لا يخلو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يمكن أن يوجد في محلّ آخر غير الذي وجد فيه، و إمّا أن لا يمكن ذلك في حقّه بحيث يستحيل وجوده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الوجه الثاني إذا سُئل عن وجه اختصاص هذا العرض بمحلّه و استحالة وجوده في غيره، فالجواب أنّه لا يوجد سبب لذلك؛ فالقول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العرض يختصّ بمحلّه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إثباتاً و هو وجوده في محلّه و نفياً و هو عدم وجوده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الإثبات فعلّته الفاعل كما هو واضح، و أمّا النفي و العدم فلا يمكن تعليله و إسناده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علّة افترضناها لذلك الاختصاص كانت باطلة، فإن كانت العلّة هي نفس و ذات العرض، اقتضى ذلك تماثل الأعراض التي تحلّ في هذا المحلّ‌،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علّة ذلك أيَّ علّة أُخرى لجاز زوالها، و عند زوالها يجوز أن يحلّ ذلك العرض في غير محلّه، و قد فرضنا 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العلّة هي الفاعل، فالفاعل مختار في فعل العرض في محلّه أو غيره، و قد فرضنا استحالة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فرض اختصاص العرض في محلّه واستحالة وجوده في محلّ آخر لا توجد علّة يمكن تعليل ذلك بها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الأوّل، و هو اختصاص العرض بمحلّه مع جواز وجوده في محلّ آخر، فالكلام في وجه اختصاصه بمحلّه صعب مستصعب، و قد ذكر البعض أنّ وجه اختصاصه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العرض يقتضي ذلك، ولكن يرد عليه أنّه غير لازم؛ لإمكان أن يكون اختصاص العرض راجعاً إلى الفاعل القادر، خاصّة و أنّ هذا الاختصاص تابع للحدوث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يحصل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للبقاء، و كلّ ما يتبع الحدوث يمكن </w:t>
      </w:r>
    </w:p>
    <w:p>
      <w:pPr>
        <w:pStyle w:val="BookText"/>
        <w:rPr/>
      </w:pPr>
      <w:r>
        <w:rPr>
          <w:rFonts w:ascii="Amiri" w:hAnsi="Amiri" w:eastAsia="Amiri" w:cs="Amiri"/>
          <w:color w:val="111111"/>
          <w:sz w:val="28"/>
          <w:sz w:val="28"/>
          <w:szCs w:val="28"/>
          <w:rtl w:val="true"/>
          <w:lang w:bidi="ar-SA"/>
        </w:rPr>
        <w:t>إسناده إلى الفاعل، خلافاً للبقاء فإنّه غير مستند إلى الفاعل عند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صحّ هذا، يرد عليه النقض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صحّ إسناد اختصاص العرض بمحلّه إلى الفاعل، صحّ إسناد اختصاصه بالوقت إلى الفاعل أيضاً، مع أنّ الوقت باقٍ و مستمرّ، و الباقي لا يُسنَد إلى الفاعل عند المتكلّمين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الشريف المرتضى بأنّ الأفعال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يبقى إلّاوقتاً واحداً كالصوت و الإرادة، و هذا لا يستند اختصاصه بالوقت إلى الفاعل المختار؛ لاستحالة وجوده أكثر من وقت واحد، فلا يكون الفاعل المختار مختاراً في تخصيص الفعل بهذا الوقت دون وقت آخر، و هذا لا يعني أنّ الفاعل غير مُحدِث للفعل، بل هو فاعل له؛ لأنّه مختار في إحداثه أو عدم إحداثه، ولكن الكلام في تخصيصه بهذا الوقت دون غيره، فهو مختار في إحداثه لكنّه غير مختار في تخصيصه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الآخر من الأفعال يبقى أكثر من وقت واحد، و هذا القسم لا يستند إلى الفاعل المحدَث إلّافي وقت واحد دون باقي الأوقات؛ و ذلك لأنّ هذا الفاعل الحادث يفعل بقدرة زائدة على ذاته، و طبيعةُ هذه القدرة تقتضي أن لا توجد الأشياء بها إلّافي وقت واحد، و ذلك خلافاً للفاعل القديم تعالى القادر لنفسه، فإنّه يستطيع تقديم أفعاله و تأخيرها عن وقت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سيكون النقض المتقدّم وارداً على الناقض نفسِه في أفعاله تعالى، و لا يرد عليه في أفعال المحدَثين؛ لما تقدّم من أنّ الحادث القادر بقدرة زائدة لا يقدر إلّا على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صياغة النقض السابق بالصورة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أن يكون تخصيصُ الفاعل المحدَث العرضَ بمحلّه مع جواز وجوده في محلّ آخر، مثلَ فعل الفاعل القديم تعالى في وقت مع جواز وجوده في وقت آخر؟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إشكال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وجود العرض في محلّ آخر جاز انتقاله إليه، و هو يعارض اختصاصه بمحلّه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الحالتين أنّ اختصاصه بمحلّه الأوّل يكون بالفاعل، بينما انتقاله إلى محلّ آخر لا يكون كذلك؛ لأنّ الفاعل لا يُنسَب إليه إلّا ما كان في حال الحدوث دون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يبدو أنّ المسألة لم تكن منقّحة بالكامل عند الشريف المرتضى، و لذلك اكتفى بهذا المقدار من الجواب، كما أشار إلى ذلك في نهاية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بطلان أحكام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سلّار في هذه المسألة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صحّة ما ينسبه المنجّمون من تأثيرات للنجوم في الأُمور التي تحصل على كوكب الأرض، و ذكر تبريرَين لكلامهم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الكواكب تؤثّر في الأُمور الأرضيّة كما تؤثّر الشمس في سُمرة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اللّٰه تعالى قد أجرى العادة على أن يؤثّر في الأُمور الأرضيّة عند طلوع كوكب أو انتقاله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إصابة المنجّمين في إخباراتهم، فالذي يقال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حادسون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كيف يكون ذلك مع إصابتهم في أكثر أقوالهم‌؟ حتّى إنّهم يصيبون دائماً في تعيين وقت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الإخبار عن الكسوف و الإخبار عن تأثيرات الكواكب في الأُمور الأرضيّة‌؟</w:t>
      </w:r>
    </w:p>
    <w:p>
      <w:pPr>
        <w:pStyle w:val="BookText"/>
        <w:rPr/>
      </w:pPr>
      <w:r>
        <w:rPr>
          <w:rFonts w:ascii="Amiri" w:hAnsi="Amiri" w:eastAsia="Amiri" w:cs="Amiri"/>
          <w:color w:val="111111"/>
          <w:sz w:val="28"/>
          <w:sz w:val="28"/>
          <w:szCs w:val="28"/>
          <w:rtl w:val="true"/>
          <w:lang w:bidi="ar-SA"/>
        </w:rPr>
        <w:t>و أجاب الشريف المرتضى بكلام مفصّل و بيّن رأيه حول النجوم، و قسّم جوابه إلى قسمين وفقاً للسؤال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البداية أنّ المنجّمين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تفعل بطبعها في الأُمور الأرضيّة، و لم يقل منهم أحد إنّ عادة اللّٰه تعالى جرت بأن يفعل في الأرض أفعالاً عند حركة الكواكب، و الذي يقول بذلك إنّما يريد التظاهر بذلك أمام الآخرين لإبعاد التهمة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بذكر أدلّة على إبطال تأثير الكواكب في الأُمور الأرضيّة،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تفعل بطبعها، مع أنّ الطبائع لا وجود لها، و القول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الفاعل لابدّ أن يكون حيّاً قادراً، ولكنّ الكواكب ليست كذلك؛ و ذلك لأنّ الحياة تزول بالحرارة الشديدة كحرارة النار، 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أحد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تمتلك من الحرارة أضعاف ما للنار الأرضيّة من الحرارة، فلا يمكن أن تكون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الإجماع دلّ على أنّ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عبارة عن كرة مصمتة ممتلئة تحتوي في داخلها على كواكب الشمس و القمر و سائر الكواكب، و تكون الأرض في مركزها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كواكب ليست حيّة، بل هي مسخّرة و مدبّرة، و ما لم يكن الشيء حيّاً لا يكون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الكواكب حيّة و فاعلة، فهي تكون فاعلة في الأرضيات بالتوليد؛ لأنّها أجسام، و الجسم لا يفعل في غيره بالاختراع، و إنّما يفعل فيه بالتوليد، و التوليد متوقّف على وجود اتّصال مادّي بين الفاعل و الفعل، مع أنّه لا اتّصال بين الكواكب و الأُمور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يقال إنّه هو الواسطة بين النجوم و الأُمور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يمكن أن يكون واسطة في الأفعال الشديدة و حمل الأثقال، و لو كان واسطة لكان ينبغي أن نشعر به؛ فتأثير الهواء يكون محسوساً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أُموراً لا يجوز أن تُفعل بآلة مادّية و لا تتولّد عن سبب كالإرادات و الاعتقادات و سائر الأُمور النفسيّة و العقليّة، فكيف تمكّنت الكواكب من التأثير فيها؟</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الكواكب مؤثّرة فينا و مدبّرة لنا لسقط الأمر و النهي و المدح و الذمّ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الأنبياء عليهم السلام الإخبار عن الغيوب، فلو كانت معرفة المغيّبات ممكنة من خلال معرفة أحكام النجوم، لَما كان إخبار الأنبياء عليهم السلام معجزة و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بإجماع المسلمين على بطلان أحكام النجوم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w:t>
      </w:r>
    </w:p>
    <w:p>
      <w:pPr>
        <w:pStyle w:val="BookText"/>
        <w:rPr/>
      </w:pPr>
      <w:r>
        <w:rPr>
          <w:rFonts w:ascii="Amiri" w:hAnsi="Amiri" w:eastAsia="Amiri" w:cs="Amiri"/>
          <w:color w:val="111111"/>
          <w:sz w:val="28"/>
          <w:sz w:val="28"/>
          <w:szCs w:val="28"/>
          <w:rtl w:val="true"/>
          <w:lang w:bidi="ar-SA"/>
        </w:rPr>
        <w:t>هذان الدليلان في آخر الجواب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الشريف المرتضى في الأثناء إلى ما ذكره سلّار من تبريرات لقول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تأثير الكواكب كتأثير الشمس في سُمرة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 الشمس ليست مؤثّرة في السمرة، و إنّما المؤثّر هو اللّٰه تعالى الذي جرت عادته على جعل البشرة سمراء عند تعرّضها للشمس، بينما ليس تأثير الكواكب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تأثير الكواكب من خلال عادة اللّٰه تعالى التي جرت على الفعل عند حركة الكواكب، فأشار إلى ما ذكره في بداية الجواب من أنّ أحداً من المنجّمين لم يقل ذلك، و إنّما قد يتظاهر به البعض لتحسين صورته أمام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نمنع أن تجري عادة اللّٰه تعالى بذلك، ولكن ما الدليل على وقوع هذه العادة، فالسمع لا يدلّ عليه، و أمّا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التجربة دلّت على وقوع أحداث بصورة دائمة عند حركة الكواكب، فلابدّ أن تكون هذه الأحداث مستندة إلى اللّٰه تعالى، و بما أنّه تعالى ليس موجَباً بل مختار، فيجب أن تكون عادته اقتضت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ذلك؛ لأنّها ليست مطّردة، فخطأ المنجّمين أكثر من إصابتهم، و بذلك لا يمكن إثبات العادة الإلهيّة من خلال التجربة، و بذلك لا يبقى أيّ طريق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الشريف المرتضى في هذا القسم من الجواب إلى إصابة المنجّمين في إخباراتهم، فرفض ما قد يدّعى من إصابتهم الدائمة، فإنّ أحكامهم مختلطة، قد تصيب و قد تخطئ، و قد بيّن ذلك من خلال استدلالات و حكايات جرت له حول هذه المسألة، و بيانها كما يلي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طالع فلان، ثمّ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سيَعمل وفق ما يَخرج به طالعُه </w:t>
      </w:r>
    </w:p>
    <w:p>
      <w:pPr>
        <w:pStyle w:val="BookText"/>
        <w:rPr/>
      </w:pPr>
      <w:r>
        <w:rPr>
          <w:rFonts w:ascii="Amiri" w:hAnsi="Amiri" w:eastAsia="Amiri" w:cs="Amiri"/>
          <w:color w:val="111111"/>
          <w:sz w:val="28"/>
          <w:sz w:val="28"/>
          <w:szCs w:val="28"/>
          <w:rtl w:val="true"/>
          <w:lang w:bidi="ar-SA"/>
        </w:rPr>
        <w:t>أو لا؟ فإن أخبروا بالإيجاب أو النفي، عَمِل صاحبُ الطالع بخلاف ما أخبروا به، و هذا الأمر يُثبت خطأهم قطعاً و لا يمكنهم الفرار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حاولوا التملّص من ذلك بأن اشترطوا أن يَكتب صاحبُ الطالع ما يريد أن يفعله أو يخبر غيره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الشرط باطل؛ فإنّه لو كان النظر في النجوم يدلّ على ما سيحدث، فلا فرق بين أن يُكتب ذلك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الشريف المرتضى حكاية له مع شخص أشار فيها إلى عدم إيمانه المطلق بأحكام النجوم، و عدم اهتمامه بها، و استشهد على عدم إصابة المنجّمين بمثال، و هو أنّه لو فرضنا طريقاً فيه آبار متقاربة بحيث يحتاج الماشي إلى الانتباه الشديد كي لا يسقط في إحداها، و في الماشين عميان و بصراء، فهل يجوز أن يتساوى الخطر الذي يهدّد العميان مع الذي يهدّد البصراء؟ بالطبع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البصراء مثال للمنجّمين، و العميان مثال لغير المنجمين ممّن لا يحسن التنجيم او لا يهتمّ به، و مثال الآبار الأخطار التي تهدّد الإنسان في حياته، فإذا كان المنجّمون على حقّ و كانوا يعرفون ما يجري في المستقبل، لكان يجب أن يتّقوا الأخطار قبل وقوعها، بينما نراهم يواجهون نفس الأخطار التي تواجه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شاهدنا مجموعة من الناس ممّن لهم القدرة على التنبّؤ و الإخبار عن 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يصيبون في إخباراتهم مع عدم امتلاكهم أيّ معرفة بعلم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حكاية عن شخص من هؤلاء الزرّاقين كان يعرف بالشعراني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أجاب عن سؤال سلّار حول معرفة الفرق بين الإخبار عن الكسوف و الإخبار عن تأثيرات الكواكب في الأُمور الأرضيّة،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الكسوف يعتمد على حسابات دقيقة معروفة، و على أُصول صحيحة و قواعد سديدة، بينما أحكام النجوم و معرفة الخير و الشرّ فليس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الفرق وجودُ الإصابة الدائمة في معرفة الكسوف و عدم ذلك في أحكام النجوم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المنامات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سلّار عدة أسئلة يدور موضوعها حول المنامات،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المنامات صحيحة أم باطلة‌؟ و مَن الذي يفعلها؟ و ما هو جنسها؟ وما هو وجه صحّتها في أكثر الأحيان‌؟ و ما هو سبب الإنزال عند مشاهدة حالة الجماع في المنام‌؟</w:t>
      </w:r>
    </w:p>
    <w:p>
      <w:pPr>
        <w:pStyle w:val="BookText"/>
        <w:rPr/>
      </w:pPr>
      <w:r>
        <w:rPr>
          <w:rFonts w:ascii="Amiri" w:hAnsi="Amiri" w:eastAsia="Amiri" w:cs="Amiri"/>
          <w:color w:val="111111"/>
          <w:sz w:val="28"/>
          <w:sz w:val="28"/>
          <w:szCs w:val="28"/>
          <w:rtl w:val="true"/>
          <w:lang w:bidi="ar-SA"/>
        </w:rPr>
        <w:t>و أجاب الشريف المرتضى عن ذلك، و قد احتوى جوابه على بيان مجموعة من آرائه الكلاميّة، ممّا جعل هذه المسألة من المسائل الكلاميّة المهمّة مع كونها بحسب الظاهر بعيدة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البداية تعرّض لبيان حقيقة النائم، فذكر أنّ النائم غيرُ كامل العقل؛ و ذلك باعتبار أنّ العقل عنده عبارة عن مجموعة من العلوم التي تجتمع عند المكلّف</w:t>
      </w:r>
      <w:r>
        <w:rPr>
          <w:rStyle w:val="FootnoteAnchor"/>
          <w:rtl w:val="true"/>
        </w:rPr>
        <w:footnoteReference w:id="38"/>
      </w:r>
      <w:r>
        <w:rPr>
          <w:rFonts w:ascii="Amiri" w:hAnsi="Amiri" w:eastAsia="Amiri" w:cs="Amiri"/>
          <w:color w:val="111111"/>
          <w:sz w:val="28"/>
          <w:sz w:val="28"/>
          <w:szCs w:val="28"/>
          <w:rtl w:val="true"/>
          <w:lang w:bidi="ar-SA"/>
        </w:rPr>
        <w:t>، فإذا كملت صار الإنسان كامل العقل و مكلّفاً، و إذا نقصت صار ناقص العقل و خرج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النائم بسبب كونه في حكم الساهي، و السهوُ ينفي العلوم، فلذلك نراه يعتقد في أثناء نومه اعتقادات و تصوّرات باطلة لا وجود لها في الخارج، فصار غير كامل العقل و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حقيقة عقل النائم، و أمّا حقيقة النائم نفسه فسوف يأتي بعد قليل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كلّ حيّ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هذا الجسم المُشاهَد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حقيقة المنامات فهي مجموعة اعتقادات لا علوم، و الاعتقادات أعمّ من العلوم، فهي تشمل الظنّ و الجهل و التقليد إضافة إلى العلم</w:t>
      </w:r>
      <w:r>
        <w:rPr>
          <w:rStyle w:val="FootnoteAnchor"/>
          <w:rtl w:val="true"/>
        </w:rPr>
        <w:footnoteReference w:id="39"/>
      </w:r>
      <w:r>
        <w:rPr>
          <w:rFonts w:ascii="Amiri" w:hAnsi="Amiri" w:eastAsia="Amiri" w:cs="Amiri"/>
          <w:color w:val="111111"/>
          <w:sz w:val="28"/>
          <w:sz w:val="28"/>
          <w:szCs w:val="28"/>
          <w:rtl w:val="true"/>
          <w:lang w:bidi="ar-SA"/>
        </w:rPr>
        <w:t xml:space="preserve">، و بما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يقتضي سكون النفس</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عند النائم، لذلك صار ما عند النائم عبارة عن اعتقاداتٍ من الأنواع الأُخرى غير العلم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الفاعل لهذه الاعتقادات التي تحدث في أثناء النوم فهو النائم نفسه؛ لأنّ كلّ‌ </w:t>
      </w:r>
    </w:p>
    <w:p>
      <w:pPr>
        <w:pStyle w:val="BookText"/>
        <w:rPr/>
      </w:pPr>
      <w:r>
        <w:rPr>
          <w:rFonts w:ascii="Amiri" w:hAnsi="Amiri" w:eastAsia="Amiri" w:cs="Amiri"/>
          <w:color w:val="111111"/>
          <w:sz w:val="28"/>
          <w:sz w:val="28"/>
          <w:szCs w:val="28"/>
          <w:rtl w:val="true"/>
          <w:lang w:bidi="ar-SA"/>
        </w:rPr>
        <w:t xml:space="preserve">ما كان غيرَه من الفاعلين لا يصحّ أن تصدر منه هذه الاعتقادات؛ لأنّه إمّا محدَث أو قديم، و المحدَثون من الأحياء الفاعلين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كالبشر و الملائكة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على إيجاد الاعتقادات في غيرهم، سواء كان ذلك الغير نائماً أم يقظاً، لا ابتداء و اختراعاً و لا بنحو التوليد؛ لأنّهم أجسام، فإنّ حقيقة الحيّ الفعّال هو أنّه جسم</w:t>
      </w:r>
      <w:r>
        <w:rPr>
          <w:rStyle w:val="FootnoteAnchor"/>
          <w:rtl w:val="true"/>
        </w:rPr>
        <w:footnoteReference w:id="41"/>
      </w:r>
      <w:r>
        <w:rPr>
          <w:rFonts w:ascii="Amiri" w:hAnsi="Amiri" w:eastAsia="Amiri" w:cs="Amiri"/>
          <w:color w:val="111111"/>
          <w:sz w:val="28"/>
          <w:sz w:val="28"/>
          <w:szCs w:val="28"/>
          <w:rtl w:val="true"/>
          <w:lang w:bidi="ar-SA"/>
        </w:rPr>
        <w:t xml:space="preserve">، و الجسم لا يقدر على أن يفعل الاعتقادات في جسم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فالنائم جسمٌ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لا تولّداً؛ لأنّ التولّد يحصل بواسطة الاعتماد</w:t>
      </w:r>
      <w:r>
        <w:rPr>
          <w:rStyle w:val="FootnoteAnchor"/>
          <w:rtl w:val="true"/>
        </w:rPr>
        <w:footnoteReference w:id="42"/>
      </w:r>
      <w:r>
        <w:rPr>
          <w:rFonts w:ascii="Amiri" w:hAnsi="Amiri" w:eastAsia="Amiri" w:cs="Amiri"/>
          <w:color w:val="111111"/>
          <w:sz w:val="28"/>
          <w:sz w:val="28"/>
          <w:szCs w:val="28"/>
          <w:rtl w:val="true"/>
          <w:lang w:bidi="ar-SA"/>
        </w:rPr>
        <w:t>، و الجسم لا يؤثّر في جسم آخر إلّابواسطة الاعتماد، فالذي يريد ضرب وجه شخص آخر يجب أن يوجِد اعتماداً بين يدِه و وجهِ ذلك الشخص، أي أن يوجِد نوعاً من الدفع بينهما؛ كما أنّ اليد إذا أرادت أن ترمي حجراً فلن تتمكّن من ذلك من دون أن يكون بينهما اعتماد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يمكن ما ذكرناه من أن يوجِد جسمٌ اعتقاداتٍ في جسم آخر؛ لأنّه ذكرنا الآن أنّ الجسم لا يفعل في غيره إلّابواسطة الاعتماد و الدفع، و الاعتماد لا يمكن أن يوجِد اعتقاداً و تصوّراً في قلب شخص آخر، و لهذا إذا وضعنا يدنا على قلب شخص آخر و اعتمدنا عليه مدّة طويلة فسوف لن نتمكّن من إيجاد اعتقاد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القديم تعالى فهو قادر على أن يوجِد الاعتقادات في النائم؛ لأنّه تعالى قادر لنفسه و يستطيع أن يخترع الاعتقادات في الإنسان ابتداء و من دون حاجة إلى توسّط الاعتماد و الدفع و الاتّصال المادّي، ولكنّ مع ذلك فإنّ اللّٰه تعالى لا يفعل تلك الاعتقادات في النائم؛ لأنّ أكثرها جهالات و غير مطابقة للواقع، و فعل الجهالات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إلّاأن يكون الفاعل للاعتقادات في المنام هو النائم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صحّة المنامات و بطلانها، فقد تقدّم الآن أنّ أكثرها جهالات، ولكن مع ذلك أخذ الشريف المرتضى بتفصيل البحث حول هذا الموضوع، فذكر ما حكي عن المتكلّم صالح قُبَّة من تصحيح جميع المنامات و اعتبارها مطابقة للواقع، و اعتبرها دعوى مخالفة للبداهة، و إذا كان اليقظان يرى المجذاف و القلم منكسرَين في الماء و هما ليسا كذلك، فلماذا لا يجوز للنائم أن يرى منامات باطلة، و هو في حال النوم أقرب إلى النقص منه إلى الكمال‌؟</w:t>
      </w:r>
    </w:p>
    <w:p>
      <w:pPr>
        <w:pStyle w:val="BookText"/>
        <w:rPr/>
      </w:pPr>
      <w:r>
        <w:rPr>
          <w:rFonts w:ascii="Amiri" w:hAnsi="Amiri" w:eastAsia="Amiri" w:cs="Amiri"/>
          <w:color w:val="111111"/>
          <w:sz w:val="28"/>
          <w:sz w:val="28"/>
          <w:szCs w:val="28"/>
          <w:rtl w:val="true"/>
          <w:lang w:bidi="ar-SA"/>
        </w:rPr>
        <w:t>ثمّ قسّم المنامات من حيث سببها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منامات تحصل من دون سبب، فهي تكون من فعل النائم ابتداء، أي من دون داعٍ 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منامات تحصل من وسوسة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الشيطان حيّ فعّال، و كلّ حيّ فعّال فحقيقته أنّه جسم، و الجسم لا يوجِد الاعتقاد في جسم آخر كما تقدّم، لذلك حاول الشريف المرتضى بيان طريق لنفوذ الشيطان إلى باطن النائم، فكان هذا الطريق أن يوجِد الشيطان صوتاً و كلاماً خفيّاً يسمعه النائم فيتصوّر و يعتقد أنّه يرى مضمونه</w:t>
      </w:r>
      <w:r>
        <w:rPr>
          <w:rStyle w:val="FootnoteAnchor"/>
          <w:rtl w:val="true"/>
        </w:rPr>
        <w:footnoteReference w:id="43"/>
      </w:r>
      <w:r>
        <w:rPr>
          <w:rFonts w:ascii="Amiri" w:hAnsi="Amiri" w:eastAsia="Amiri" w:cs="Amiri"/>
          <w:color w:val="111111"/>
          <w:sz w:val="28"/>
          <w:sz w:val="28"/>
          <w:szCs w:val="28"/>
          <w:rtl w:val="true"/>
          <w:lang w:bidi="ar-SA"/>
        </w:rPr>
        <w:t>، كما قد يسمع النائم كلام شخص جالس إلى جانبه فيتصوّر أنّ ما يسمعه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وسوسة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منامات تحصل من خلال كلام أيضاً، لكنّ الموجِد لهذا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يسمّى بحسب الاصطلاح الكلامي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الصورة هو اللّٰه تعالى أو أحد الملائكة، فيعتقد النائم أنه يرى مضمونه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المنامات الصالحة تحمل على هذا المعنى، و الباطلة تحمل على وسوسة الشيطان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مطابقة بعض المنامات للواقع فيمكن حمله على الاتّفاق و الصدفة، و إذا لم </w:t>
      </w:r>
    </w:p>
    <w:p>
      <w:pPr>
        <w:pStyle w:val="BookText"/>
        <w:rPr/>
      </w:pPr>
      <w:r>
        <w:rPr>
          <w:rFonts w:ascii="Amiri" w:hAnsi="Amiri" w:eastAsia="Amiri" w:cs="Amiri"/>
          <w:color w:val="111111"/>
          <w:sz w:val="28"/>
          <w:sz w:val="28"/>
          <w:szCs w:val="28"/>
          <w:rtl w:val="true"/>
          <w:lang w:bidi="ar-SA"/>
        </w:rPr>
        <w:t>يمكن حمله على ذلك لشدّة مطابقته لتفاصيل كثيرة من الواقع أو لتكرّر مطابقته مثلاً، فيمكن حينئذ أن تكون هذه المطابقة ناشئة من إيجاد اللّٰه تعالى كلاماً في سمع النائم يحتوي على مضمون مطابق للواقع فيتصوّر النائم و يعتقد أنّه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المناشئ الأُخرى كالطبائع أو المأكولات، فقد نفى أبو علي الجبّائي أن تكون الطبائع منشأ للمنامات؛ لكونها غير مؤثّرة أساساً، و الشريف المرتضى وافق على ذلك فقد كان يرى بطلان نظريّة الطبائع و تأثيراتها</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المأكولات فقد جوّز الجبّائي تأثيرها في المنامات، لكن الشريف المرتضى رفض ذلك باعتبار أنّ المأكولات أجسام و لا يمكنها أن تفعل في غيرها، فإذا نفينا أن يكون تأثيرها من خلال طباعها، كانت تلك التأثيرات من فعل اللّٰه تعالى، أي أن تكون عادة اللّٰه تعالى جرت بأن يفعل مناماً عند أكل بعض المأكولات، ولكن هذا يؤدّي إلى نسبة التخيّلات الباطلة إلى اللّٰه تعالى،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منامات الأنبياء عليهم السلام فالروايات الواردة في صحّتها أخبار آحاد لا يمكن التعويل عليها، و يمكن العثور على وجه في تصحيح مناماتهم، و هو أن يوحي اللّٰه تعالى للنبيّ أنّه سوف يريه مناماً في وقت معيّن، و أنّه يجب أن يعمل بمضمونه، فإذا رأى المنام قطع على صحّته، لا لمجرّد كونه مناماً 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يمكن حمل رؤية إبراهيم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 فإنّ الشيطان لا يتمثّل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خبر واحد ضعيف، و لا يدلّ على صحّة كلّ منام يُرى فيه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هذا الخبر على رؤية اليقظان للنبيّ صلّى اللّٰه عليه و آله في حياته، و أنّه إخبارٌ عن أنّ من يراه في اليقظة فقد رآه حقيقة و لم يرَ شيطاناً تلبّس بصورة النبيّ‌، فهو بهذا يريد أن </w:t>
      </w:r>
    </w:p>
    <w:p>
      <w:pPr>
        <w:pStyle w:val="BookText"/>
        <w:rPr/>
      </w:pPr>
      <w:r>
        <w:rPr>
          <w:rFonts w:ascii="Amiri" w:hAnsi="Amiri" w:eastAsia="Amiri" w:cs="Amiri"/>
          <w:color w:val="111111"/>
          <w:sz w:val="28"/>
          <w:sz w:val="28"/>
          <w:szCs w:val="28"/>
          <w:rtl w:val="true"/>
          <w:lang w:bidi="ar-SA"/>
        </w:rPr>
        <w:t>ينفي ما قد يتناقله البعض من أنّ الشيطان قد يتلبّس أحياناً بصورة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التأويل أقرب إلى الصواب؛ لكونه صلّى اللّٰه عليه و آله يفترض نفسَه مرئيّاً و غيرَه رائياً له، و هذا الأمر يتحقّق في حال اليقظة، خلافاً للمنام فإنّه لا رائي على الحقيقة و لا مرئي، و إنّما هي تصوّرات 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ردّ الشريف المرتضى تفسير الفلاسفة للمنامات الصحيحة حيث قالوا إنّ النفس اطّلعت إلى عالمها فأشرفت على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هذا القول؛ لأنّ كلامهم غير مفهوم و لا مضبوط، فما هي حقيقة النفس‌؟ و ما معنى اطلاعها إلى عالمها؟ و ما هو عالم النفس‌؟ و لِمَ يجب أن تَعرف الكائناتِ عند حصول هذا الاطلاع‌؟</w:t>
      </w:r>
    </w:p>
    <w:p>
      <w:pPr>
        <w:pStyle w:val="BookText"/>
        <w:rPr/>
      </w:pPr>
      <w:r>
        <w:rPr>
          <w:rFonts w:ascii="Amiri" w:hAnsi="Amiri" w:eastAsia="Amiri" w:cs="Amiri"/>
          <w:color w:val="111111"/>
          <w:sz w:val="28"/>
          <w:sz w:val="28"/>
          <w:szCs w:val="28"/>
          <w:rtl w:val="true"/>
          <w:lang w:bidi="ar-SA"/>
        </w:rPr>
        <w:t>و أمّا السؤال الأخير الذي سأل عنه سلّار حول المنامات و المتعلّق بسبب حصول الإنزال في النوم عند رؤية حالة الجماع، فأجاب الشريف المرتضى بأنّ الجواب عن ذلك يتّضح عند بيان وجه الإنزال في حال اليقظة، فالرأي الصحيح في ذلك أنّ عادة اللّٰه تعالى جرت بأن يُنزِل الماء عند الحركة المخصوصة في حال اليقظة، و على هذا لا يمتنع أن يجري اللّٰه تعالى عادته بأن يُنزِل الماء من النائم عند مشاهدته و اعتقاده في المنام أنّه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توارد الادلّة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بحث النظر من الأبحاث الكلاميّة المهمّة، فبعد أن يُثبت المتكلّمُ قدرة الإنسان و استطاعته و اختياره، يبدأ بالحديث عن التكاليف العلميّة و العمليّة التي كُلّف بها، فمن دون الاختيار لا معنى للحديث عن التكليف؛ لقبح تكليف العاجز أو المجبَر، و من تلك التكاليف التي كُلّف بها الإنسان التكليفُ بالنظر و الاستدلال على وجود اللّٰه تعالى و صفاته و سائر المسائل العقائديّة، و لذلك طُرح بحث النظر بصورة مفصّلة بين المتكلّمين، و تحدّثوا عن تعريفه و شروطه و سائر خصوصيّاته، و ذكروا أنّ من شروطه الشكّ في المدلول؛ فإنّ الغرض من النظر تحصيل العلم </w:t>
      </w:r>
    </w:p>
    <w:p>
      <w:pPr>
        <w:pStyle w:val="BookText"/>
        <w:rPr/>
      </w:pPr>
      <w:r>
        <w:rPr>
          <w:rFonts w:ascii="Amiri" w:hAnsi="Amiri" w:eastAsia="Amiri" w:cs="Amiri"/>
          <w:color w:val="111111"/>
          <w:sz w:val="28"/>
          <w:sz w:val="28"/>
          <w:szCs w:val="28"/>
          <w:rtl w:val="true"/>
          <w:lang w:bidi="ar-SA"/>
        </w:rPr>
        <w:t>بالمدلول، فإذا كان المدلول معلوماً يكون النظر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وجود هذا الشرط في النظر طرح سلّار في هذه المسألة إشكالاً متعلّقاً بمسألة سمّيت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 الشريف المرتضى الإجابة عليه، و هو إذا كان لمدلول واحد دليلان أو أكثر، و أقمنا الدليل الأوّل، و حصل لنا بسببه العلمُ بالمدلول و زال عنّا الشكّ‌، فحينئذ فسوف لن نستطيع النظر في الدليل الثاني؛ لعدم تحقّق شرطه، و هو الشكّ في المدلول؛ فإنّ الشكّ قد زال بالدليل الأوّل، و ارتفع شرط صحّة النظر، فكيف يمكن النظر في الدليل الثاني‌؟</w:t>
      </w:r>
    </w:p>
    <w:p>
      <w:pPr>
        <w:pStyle w:val="BookText"/>
        <w:rPr/>
      </w:pPr>
      <w:r>
        <w:rPr>
          <w:rFonts w:ascii="Amiri" w:hAnsi="Amiri" w:eastAsia="Amiri" w:cs="Amiri"/>
          <w:color w:val="111111"/>
          <w:sz w:val="28"/>
          <w:sz w:val="28"/>
          <w:szCs w:val="28"/>
          <w:rtl w:val="true"/>
          <w:lang w:bidi="ar-SA"/>
        </w:rPr>
        <w:t>و ضرب لهذه المسألة مثالاً،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المستدلّ على حدوث الأجسام دليلاً و هو دليل حدوث الأعراض</w:t>
      </w:r>
      <w:r>
        <w:rPr>
          <w:rStyle w:val="FootnoteAnchor"/>
          <w:rtl w:val="true"/>
        </w:rPr>
        <w:footnoteReference w:id="45"/>
      </w:r>
      <w:r>
        <w:rPr>
          <w:rFonts w:ascii="Amiri" w:hAnsi="Amiri" w:eastAsia="Amiri" w:cs="Amiri"/>
          <w:color w:val="111111"/>
          <w:sz w:val="28"/>
          <w:sz w:val="28"/>
          <w:szCs w:val="28"/>
          <w:rtl w:val="true"/>
          <w:lang w:bidi="ar-SA"/>
        </w:rPr>
        <w:t>، فسوف لن يتمكّن من إقامة الدليل الثاني على حدوث الأجسام المبني على أنّ المعرفة الحسّية المسمّاة بالإدراك لا تتناول إلّاأخصّ أوصاف المُدرَك</w:t>
      </w:r>
      <w:r>
        <w:rPr>
          <w:rStyle w:val="FootnoteAnchor"/>
          <w:rtl w:val="true"/>
        </w:rPr>
        <w:footnoteReference w:id="46"/>
      </w:r>
      <w:r>
        <w:rPr>
          <w:rFonts w:ascii="Amiri" w:hAnsi="Amiri" w:eastAsia="Amiri" w:cs="Amiri"/>
          <w:color w:val="111111"/>
          <w:sz w:val="28"/>
          <w:sz w:val="28"/>
          <w:szCs w:val="28"/>
          <w:rtl w:val="true"/>
          <w:lang w:bidi="ar-SA"/>
        </w:rPr>
        <w:t xml:space="preserve">، و لا يمكنه النظر فيه مع أنّنا نعلم أنّ بعض مقدّمات هذا الدليل بديهيّة للغاية،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إذا لم يكن قديماً كان حادثاً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إشكالاً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المتكلّمون عن سبب ترادف الأدلّة و ذِكر أكثر من دليل على مسألة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أنّه إذا بدأنا بأيّ دليل أحببنا لوصلنا إلى العلم، فهناك متّسع لنا في اختيار أيّ دليل للوصول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يقولون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نعلم الدليل دليلاً إلّاإذا أنتج العلم، ولكن بعد إقامة أوّل دليل كيف نعلم أنّ باقي الأدلّة أدلّة مع أنّها سوف لن تنتج فينا العلم؛ لكونه قد </w:t>
      </w:r>
    </w:p>
    <w:p>
      <w:pPr>
        <w:pStyle w:val="BookText"/>
        <w:rPr/>
      </w:pPr>
      <w:r>
        <w:rPr>
          <w:rFonts w:ascii="Amiri" w:hAnsi="Amiri" w:eastAsia="Amiri" w:cs="Amiri"/>
          <w:color w:val="111111"/>
          <w:sz w:val="28"/>
          <w:sz w:val="28"/>
          <w:szCs w:val="28"/>
          <w:rtl w:val="true"/>
          <w:lang w:bidi="ar-SA"/>
        </w:rPr>
        <w:t>حصل سلفاً بواسطة الدليل الأوّل‌؟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نعلم بأنّها أدلّة إذا نظر غيرُنا فيها لأوّل مرّة، فسوف يحصل عنده العلم، و بذلك نعلم أنّها أدلّة؛ لأنّها أنتجت العلم في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للعلم بحصول العلم لغيرنا، فهو من الأُمور الباطنة</w:t>
      </w:r>
      <w:r>
        <w:rPr>
          <w:rStyle w:val="FootnoteAnchor"/>
          <w:rtl w:val="true"/>
        </w:rPr>
        <w:footnoteReference w:id="47"/>
      </w:r>
      <w:r>
        <w:rPr>
          <w:rFonts w:ascii="Amiri" w:hAnsi="Amiri" w:eastAsia="Amiri" w:cs="Amiri"/>
          <w:color w:val="111111"/>
          <w:sz w:val="28"/>
          <w:sz w:val="28"/>
          <w:szCs w:val="28"/>
          <w:rtl w:val="true"/>
          <w:lang w:bidi="ar-SA"/>
        </w:rPr>
        <w:t>، فيبطل 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على هذا الإشكال، فبدأ بعرض الإشكال من جديد و بشيء من التفصيل، و قوّى في جوابه أن يكون الدليل الثاني مفيداً للعلم أيضاً كالدليل الأوّل، و ذلك من خلال النظر في مقدّمات الدليل الثاني، فإنّ الذي ينظر في مقدّمات دليلٍ صحيحٍ يصير مضطّراً إلى الإيمان بصحّة النتيجة، فمن يعلم مثلاً بأنّ هذا الفعل ظلم، سوف يضطرّ إلى الحكم بقبحه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رجعنا إلى الإشكال المطروح في السؤال، و هو كيف يحصل له العلم بواسطة الدليل الثاني مع أنّه كان قد حصل له العلم من خلال الدليل الأوّل‌؟ فالجواب أنّه لا يَنظر في الدليل الثاني منذ البداية، بل ينظر في مقدّماته واحدة واحدة، و إذا نظر في المقدّمة الأُولى مثلاً كان يجب أن يكون شاكّاً فيها قبل ذلك، و هذا لا يتنافى مع علمه بمفاد الدليل الأوّل؛ لأنّ مفاد هذا الدليل يختلف عن مفاد هذه المقدّمة؛ و هكذا إذا استمرّ و نظر في باقي المقدّمات من الدليل الثاني بعد شكّه في مفادها واحدة واحدة، ثمّ وصل إلى العلم بمفادها، فإذا اجتمع العلم بالمقدّمات كلّها حصل عنده علم بمفاد الدليل الثاني تلقائيّاً و اضطراراً، فقد ذكرنا أنّ من ينظر في مقدّمات دليلٍ صحيحٍ يصير مضطرّاً إلى الإيمان بصحّة النتيجة، و بذلك يرتفع الإشكال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في الأثناء إلى فائدة، و هي أنّ سبب ما يقال من أنّ النظر لا يجتمع مع العلم بمفاد الدليل، و أنّه لابدّ من سبق الشكّ في ذلك، هو أنّ النظر لا يتعلّق بمدلولٍ‌ </w:t>
      </w:r>
    </w:p>
    <w:p>
      <w:pPr>
        <w:pStyle w:val="BookText"/>
        <w:rPr/>
      </w:pPr>
      <w:r>
        <w:rPr>
          <w:rFonts w:ascii="Amiri" w:hAnsi="Amiri" w:eastAsia="Amiri" w:cs="Amiri"/>
          <w:color w:val="111111"/>
          <w:sz w:val="28"/>
          <w:sz w:val="28"/>
          <w:szCs w:val="28"/>
          <w:rtl w:val="true"/>
          <w:lang w:bidi="ar-SA"/>
        </w:rPr>
        <w:t>موصوفٍ بصفةٍ ثابتةٍ فيه، بل يتعلّق بمدلول لا يُعلم هل تلك الصفة ثابتة فيه أو منتفية عنه‌؟ أي يكون هناك ترديد و شكّ في اتّصاف المدلول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بعد ذلك إلى الإشكال السابق، فاستدلّ على إفادة الدليل الثاني للعلم بدليل آخر، و هو أنّه لو لم يكن مفيداً للعلم للزم أنّه لو أقام المستدلّ الدليل الأوّل، ثمّ أقام بعده الدليل الثاني، ثمّ حصل له بعد ذلك شكّ في الدليل الأوّل، للزم أن يرتفع علمه بالنتيجة؛ لأنّ الدليل الأوّل قد ارتفع بالشكّ‌، و الثاني قد افترضناه لا يفيد العلم، ولكنّنا نعلم بالبداهة أنّه لا يزول علمه في هذه الحالة، و هو يدلّ على أنّ الدليل الثاني قد أفاد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للإشكال الآخر الذي طرحه سلّار، و هو كيف نعلم أنّ الدليل الثاني دليل حقّاً؟ ففي حالة وجود دليل واحد يمكن معرفة كونه دليلاً أو لا من خلال حصول العلم و عدم حصوله، ولكن مع وجود دليلين و إقامة الأوّل، لا يمكن أن نميز هل الدليل الثاني دليل حقّاً أو لا؛ لأنّه لو كان دليلاً لم يحصل العلم بعده؛ لأنّ العلم كان حاصلاً قبل ذلك بالدليل الأوّل، سواء كان الدليل الثاني دليلاً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بأنّه إذا نظر المستدلّ نظرة من الخارج إلى الدليل و تأمل في مقدّماته و وجدها صحيحة و وجد ترتيبها يؤدّي إلى النتيجة، فسوف يحصل عنده يقين بأنّه متى اجتمعت هذه المقدّمات فسوف يحصل العلم لا محالة، أي يعلم أنّ هذا الدليل بمقدّماته يقتضي العلم في حدّ ذاته، و إن لم يتميّز لنا ذلك بسبب حصول العلم مسبقاً بواسطة الدليل الأوّل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في النهاية إلى جواب البعض عن الإشكال الأخير، حيث أجاب ذلك البعض بأنّ النظر في الدليل الثاني لا يفيد العلم بالمدلول؛ لحصوله بواسطة الدليل الأوّل، بل يفيد أنّ الدليل الثاني دليل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عليه الشريف المرتضى بأنّه لا معنى لهذا الكلام فإنّك تذهب إلى أنّ معرفة أنّ الدليل دليل متفرّعة على حصول </w:t>
      </w:r>
    </w:p>
    <w:p>
      <w:pPr>
        <w:pStyle w:val="BookText"/>
        <w:rPr/>
      </w:pPr>
      <w:r>
        <w:rPr>
          <w:rFonts w:ascii="Amiri" w:hAnsi="Amiri" w:eastAsia="Amiri" w:cs="Amiri"/>
          <w:color w:val="111111"/>
          <w:sz w:val="28"/>
          <w:sz w:val="28"/>
          <w:szCs w:val="28"/>
          <w:rtl w:val="true"/>
          <w:lang w:bidi="ar-SA"/>
        </w:rPr>
        <w:t>العلم بالمدلول، و على هذا إذا لم يحصل العلم بالمدلول سوف لن يحصل العلم بأنّ الدليل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ما يقال من أنّ العلم بأنّ الدليل دليل هو علم بالمدلول، فيه تسامح؛ فإنّهما قد ينفكّان عن بعضهما البعض، فقد يَعرف المدلول من لا يعرف أنّ ذلك الدليل دليل عليه،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يَجهل بأنّه دليل من يعرف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بأنّ الدليل دليل يجب أن يقارنه العلم بالمدلول، وفقاً للتوضيح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كون الإرادة مقارِنة لكلّ جزء من أجزاء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سلّار عن الخبر، و أنّه ما المانع من أن يقارن كلَّ جزء منه إرادةٌ لكونه جزءاً من الخبر؟ فهذا أفضل من القول بأنّ إرادة واحدة قارنت أوّل جزء منه و أثّرت في الخبر كلّه؛ لأنّه يلزم إمّا أن تؤثّر الإرادة في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أثّرت فيما بعد الجزء الأوّل قبل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الموجود مع كونها معدومة؛ لأنّها تقارن الجزء الأوّل من الخبر ثمّ تنعدم، فتؤثّر في باقي الأجزاء في حال عدمها؛ ولكن إذا قلنا بمقارنة إرادةٍ لكلّ جزء من الخبر لم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هذا أن يكون كلّ جزء خبراً،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الخبر أن تكون له أجزاء، فإنّ الجزء الواحد لا يفيد معنى الخبر، و لذلك لا يمكن أن يكون كلّ جزء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التزمنا بقولكم من أنّ إرادة واحدة تؤثّر في الخبر، و لم يؤدِّ ذلك إلى كون كلّ جزء خبراً، فليكن كلامنا المبني على وجود إرادات لا يؤدّي إلى ذلك 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الشريف المرتضى بأنّ المؤثّر في كون الخبر خبراً و الأمر أمراً هو حال المريد، و ليس الإرادة الزائدة على الذات، و لذلك إذا كان المريد مريداً لنفسه لا لإرادة زائدة لأثّر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أيضاً على ذلك أنّ الخبر لم يكن خبراً لوجوده أو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غيره في ذلك، كالأمر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لجنسه و صورته و 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الخبر، كذلك يَحتمل غيرَه، كما لو كان المتكلّم حاكياً لكلام غيره، فإنّه لا يقصد حينئذ الإخبار</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إلّاأن يكون المقتضي للخبر كون المتكلّم مريداً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المريد لا يؤثّر في الخبر إلّامع وجود مصاحبة بينهما أو ما شابه ذلك،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يصاحب المريد كلّ أجزاء الخبر بنحو المجموع؛ لأنّه يقتضي أن يكون كلّ جزء خبراً، مع أنّ الجزء لا يفيد معنى الخبر؛ كما لا يمكن أن يصاحب المريد آخِرَ جزء من الخبر؛ لاستلزامه أن لا تكون الأجزاء السابقة أخباراً؛ فلم يبق إلا أن يصاحب أوّلَ الأجزاء و يؤثّر في الجميع؛ لتعلّق أجزاء الخبر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بقي احتمال آخر، و هو الاحتمال المذكور في السؤال، و هو أن يصاحب المريدُ كلَّ جزء جزء من الخبر بنحو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أنّه إذا كان المقصود أنّ المريد يؤثّر في جعل كلّ جزء خبراً، فهو باطل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المقصود أنّه يؤثّر في كلّ جزء بجعله جزءاً من الخبر و من جملته، فحينئذ سوف لن تبقى حالٌ للمريد تجعل كلَّ الخبر خبراً، ولا توجد هناك إشارة إلى حال خاصّة تجعل الخبر خبراً، فبقي الخبر بلا مؤثّر، و هو باطل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أجزاء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صفة و لا حكماً لهذا الجزء، فلا حاجة له إلى مقتض أو مؤثّر، بينما كون الخبر خبراً يُعتبر صفة لابدّ لها من مؤثّر، و قد تقدّم أنّ المؤثّر هو كون المريد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وجود الخبر أو حدوثه أو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يؤثّر في كون الخبر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كون جزئه من جملته؛ لعدم كونه صفة، فلا حاجة له إلى مؤثّر كما تقدّم، و إنّما يؤثّر حالُ المريد في الأجزاء فيما لو قارن أوّلَ جزء منها</w:t>
      </w:r>
      <w:r>
        <w:rPr>
          <w:rFonts w:eastAsia="Amiri" w:cs="Amiri" w:ascii="Amiri" w:hAnsi="Amiri"/>
          <w:color w:val="111111"/>
          <w:sz w:val="28"/>
          <w:szCs w:val="28"/>
          <w:rtl w:val="true"/>
          <w:lang w:bidi="ar-SA"/>
        </w:rPr>
        <w:t xml:space="preserve">. </w:t>
      </w:r>
      <w:bookmarkStart w:id="48" w:name="pg16415_223692"/>
    </w:p>
    <w:p>
      <w:pPr>
        <w:pStyle w:val="Heading6"/>
        <w:numPr>
          <w:ilvl w:val="5"/>
          <w:numId w:val="1"/>
        </w:numPr>
        <w:rPr/>
      </w:pPr>
      <w:bookmarkStart w:id="49" w:name="__RefHeading___Toc7642260_1280447820"/>
      <w:bookmarkStart w:id="50" w:name="_Toc17"/>
      <w:bookmarkEnd w:id="48"/>
      <w:bookmarkEnd w:id="49"/>
      <w:r>
        <w:rPr>
          <w:rtl w:val="true"/>
        </w:rPr>
        <w:t>طبعات المسائل</w:t>
      </w:r>
      <w:bookmarkEnd w:id="50"/>
    </w:p>
    <w:p>
      <w:pPr>
        <w:pStyle w:val="BookText"/>
        <w:rPr/>
      </w:pPr>
      <w:r>
        <w:rPr>
          <w:rFonts w:ascii="Amiri" w:hAnsi="Amiri" w:eastAsia="Amiri" w:cs="Amiri"/>
          <w:color w:val="111111"/>
          <w:sz w:val="28"/>
          <w:sz w:val="28"/>
          <w:szCs w:val="28"/>
          <w:rtl w:val="true"/>
          <w:lang w:bidi="ar-SA"/>
        </w:rPr>
        <w:t xml:space="preserve">تقدّم أنّ المسائل السلّاريّة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تعقيد أكثر مسائلها أو لأسباب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إلى محاولة تفكيكها و استنساخ بعض مسائلها، و خاصّة المسألتين الخامسة و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المنجّمين، و في المنامات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توارد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مع إهمال استنساخ باقي المسائل، و قد أثّر ذلك على نشر المسائل، فلم تنشر المسائل السلّاريّة كلّها إلّافي وقت قريب جدّاً، بينما نشرت المسائل المشار إليها بصورة مستقلّة قبل سنوات بعيدة، و توضيح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المسألتان الخامسة و السادسة مع تكملة الأمالي في طهران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القاهرة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محمّد أبو الفضل إبراهيم؛ كما طبعتا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إضافة إلى طباعتهما في ضمن بحار الأنوار،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طبعت المسألة السادسة في ضمن مسائل المرتضى،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طبعت المسألة السابعة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طبع نصّ المسائل السلّاريّة بصورة كاملة لأوّل مرّة 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العدد الثاني من مجلّة دراسات شيعية نقدية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Shii Studies Review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الصادرة باللغة الإنجليزية،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بتحقيق الدكتور حسن الأنصاري و البروفسورة زابينه اشميتكه، مع مقدّمة باللغة الإنجليزية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7642262_1280447820"/>
      <w:bookmarkStart w:id="52" w:name="_Toc18"/>
      <w:bookmarkEnd w:id="51"/>
      <w:r>
        <w:rPr>
          <w:rtl w:val="true"/>
        </w:rPr>
        <w:t>مخطوطات الرسالة</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برلين، المرقّمة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نسخها محمّد بن الحسن بن محمّد جعفر المؤدّب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بالخطّ النسخيّ‌، و قابلها مع نسخة مقروءة على الشيخ رشيد الدين عليّ بن زيرك الواعظ القمّي في سنة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1080/3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الخميني رحمه اللّٰه بقائن، المرقّمة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و توجد بصورة ميكروفيلم في مكتبة مركز إحياء التراث الإسلامي بقمّ‌، و تحمل الرقم </w:t>
      </w:r>
      <w:r>
        <w:rPr>
          <w:rFonts w:eastAsia="Amiri" w:cs="Amiri" w:ascii="Amiri" w:hAnsi="Amiri"/>
          <w:color w:val="111111"/>
          <w:sz w:val="28"/>
          <w:szCs w:val="28"/>
          <w:lang w:bidi="ar-SA"/>
        </w:rPr>
        <w:t>1690/5</w:t>
      </w:r>
      <w:r>
        <w:rPr>
          <w:rFonts w:ascii="Amiri" w:hAnsi="Amiri" w:eastAsia="Amiri" w:cs="Amiri"/>
          <w:color w:val="111111"/>
          <w:sz w:val="28"/>
          <w:sz w:val="28"/>
          <w:szCs w:val="28"/>
          <w:rtl w:val="true"/>
          <w:lang w:bidi="ar-SA"/>
        </w:rPr>
        <w:t xml:space="preserve">، 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الملك بطهران، المرقّمة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المرقّمة </w:t>
      </w:r>
      <w:r>
        <w:rPr>
          <w:rFonts w:eastAsia="Amiri" w:cs="Amiri" w:ascii="Amiri" w:hAnsi="Amiri"/>
          <w:color w:val="111111"/>
          <w:sz w:val="28"/>
          <w:szCs w:val="28"/>
          <w:lang w:bidi="ar-SA"/>
        </w:rPr>
        <w:t>432/2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6415_223695"/>
      <w:bookmarkStart w:id="54" w:name="pg16415_223695"/>
      <w:bookmarkEnd w:id="54"/>
    </w:p>
    <w:p>
      <w:pPr>
        <w:pStyle w:val="Heading5"/>
        <w:numPr>
          <w:ilvl w:val="4"/>
          <w:numId w:val="1"/>
        </w:numPr>
        <w:rPr/>
      </w:pPr>
      <w:bookmarkStart w:id="55" w:name="pg16415_223695"/>
      <w:bookmarkStart w:id="56" w:name="__RefHeading___Toc7642264_1280447820"/>
      <w:bookmarkStart w:id="57" w:name="_Toc19"/>
      <w:bookmarkEnd w:id="55"/>
      <w:bookmarkEnd w:id="56"/>
      <w:r>
        <w:rPr>
          <w:rtl w:val="true"/>
        </w:rPr>
        <w:t>جواباتُ‌ المَسائلِ السَّلّاريّةِ‌</w:t>
      </w:r>
      <w:bookmarkEnd w:id="57"/>
    </w:p>
    <w:p>
      <w:pPr>
        <w:pStyle w:val="Heading6"/>
        <w:numPr>
          <w:ilvl w:val="5"/>
          <w:numId w:val="1"/>
        </w:numPr>
        <w:rPr/>
      </w:pPr>
      <w:bookmarkStart w:id="58" w:name="__RefHeading___Toc7642266_1280447820"/>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جواباتُ‌</w:t>
      </w:r>
      <w:r>
        <w:rPr>
          <w:rStyle w:val="FootnoteAnchor"/>
          <w:rtl w:val="true"/>
        </w:rPr>
        <w:footnoteReference w:id="49"/>
      </w:r>
      <w:r>
        <w:rPr>
          <w:rFonts w:ascii="Amiri" w:hAnsi="Amiri" w:eastAsia="Amiri" w:cs="Amiri"/>
          <w:color w:val="111111"/>
          <w:sz w:val="28"/>
          <w:sz w:val="28"/>
          <w:szCs w:val="28"/>
          <w:rtl w:val="true"/>
          <w:lang w:bidi="ar-SA"/>
        </w:rPr>
        <w:t>المَسائلِ السَّلّاريّةِ‌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الشريفُ‌، السيِّدُ</w:t>
      </w:r>
      <w:r>
        <w:rPr>
          <w:rStyle w:val="FootnoteAnchor"/>
          <w:rtl w:val="true"/>
        </w:rPr>
        <w:footnoteReference w:id="52"/>
      </w:r>
      <w:r>
        <w:rPr>
          <w:rFonts w:ascii="Amiri" w:hAnsi="Amiri" w:eastAsia="Amiri" w:cs="Amiri"/>
          <w:color w:val="111111"/>
          <w:sz w:val="28"/>
          <w:sz w:val="28"/>
          <w:szCs w:val="28"/>
          <w:rtl w:val="true"/>
          <w:lang w:bidi="ar-SA"/>
        </w:rPr>
        <w:t xml:space="preserve">الأجَلُّ الأَوحَدُ المُرتَضىٰ‌، ذو المَجدَينِ‌،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w:t>
      </w:r>
      <w:r>
        <w:rPr>
          <w:rStyle w:val="FootnoteAnchor"/>
          <w:rtl w:val="true"/>
        </w:rPr>
        <w:footnoteReference w:id="53"/>
      </w:r>
      <w:r>
        <w:rPr>
          <w:rFonts w:ascii="Amiri" w:hAnsi="Amiri" w:eastAsia="Amiri" w:cs="Amiri"/>
          <w:color w:val="111111"/>
          <w:sz w:val="28"/>
          <w:sz w:val="28"/>
          <w:szCs w:val="28"/>
          <w:rtl w:val="true"/>
          <w:lang w:bidi="ar-SA"/>
        </w:rPr>
        <w:t xml:space="preserve">علىٰ ما أنفَذَه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عِزَّه</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و سَألَ‌</w:t>
      </w:r>
      <w:r>
        <w:rPr>
          <w:rStyle w:val="FootnoteAnchor"/>
          <w:rtl w:val="true"/>
        </w:rPr>
        <w:footnoteReference w:id="55"/>
      </w:r>
      <w:r>
        <w:rPr>
          <w:rFonts w:ascii="Amiri" w:hAnsi="Amiri" w:eastAsia="Amiri" w:cs="Amiri"/>
          <w:color w:val="111111"/>
          <w:sz w:val="28"/>
          <w:sz w:val="28"/>
          <w:szCs w:val="28"/>
          <w:rtl w:val="true"/>
          <w:lang w:bidi="ar-SA"/>
        </w:rPr>
        <w:t>بيانَ جوابِها</w:t>
      </w:r>
      <w:r>
        <w:rPr>
          <w:rStyle w:val="FootnoteAnchor"/>
          <w:rtl w:val="true"/>
        </w:rPr>
        <w:footnoteReference w:id="56"/>
      </w:r>
      <w:r>
        <w:rPr>
          <w:rFonts w:ascii="Amiri" w:hAnsi="Amiri" w:eastAsia="Amiri" w:cs="Amiri"/>
          <w:color w:val="111111"/>
          <w:sz w:val="28"/>
          <w:sz w:val="28"/>
          <w:szCs w:val="28"/>
          <w:rtl w:val="true"/>
          <w:lang w:bidi="ar-SA"/>
        </w:rPr>
        <w:t>فوَجَدتُه</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تأييدَه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يَدَه مِن </w:t>
      </w:r>
    </w:p>
    <w:p>
      <w:pPr>
        <w:pStyle w:val="BookText"/>
        <w:rPr/>
      </w:pPr>
      <w:r>
        <w:rPr>
          <w:rFonts w:ascii="Amiri" w:hAnsi="Amiri" w:eastAsia="Amiri" w:cs="Amiri"/>
          <w:color w:val="111111"/>
          <w:sz w:val="28"/>
          <w:sz w:val="28"/>
          <w:szCs w:val="28"/>
          <w:rtl w:val="true"/>
          <w:lang w:bidi="ar-SA"/>
        </w:rPr>
        <w:t>مَسائلِه إلّاعلىٰ نُكتةٍ و مَوضِعِ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أُجيبُ‌</w:t>
      </w:r>
      <w:r>
        <w:rPr>
          <w:rStyle w:val="FootnoteAnchor"/>
          <w:rtl w:val="true"/>
        </w:rPr>
        <w:footnoteReference w:id="59"/>
      </w:r>
      <w:r>
        <w:rPr>
          <w:rFonts w:ascii="Amiri" w:hAnsi="Amiri" w:eastAsia="Amiri" w:cs="Amiri"/>
          <w:color w:val="111111"/>
          <w:sz w:val="28"/>
          <w:sz w:val="28"/>
          <w:szCs w:val="28"/>
          <w:rtl w:val="true"/>
          <w:lang w:bidi="ar-SA"/>
        </w:rPr>
        <w:t>عن المَسائلِ‌، مُعتَمِداً الاختصارَ و الإيجازَ، مِن غَيرِ</w:t>
      </w:r>
      <w:r>
        <w:rPr>
          <w:rStyle w:val="FootnoteAnchor"/>
          <w:rtl w:val="true"/>
        </w:rPr>
        <w:footnoteReference w:id="60"/>
      </w:r>
      <w:r>
        <w:rPr>
          <w:rFonts w:ascii="IRNazanin" w:hAnsi="IRNazanin" w:eastAsia="IRNazanin"/>
          <w:color w:val="111111"/>
          <w:sz w:val="28"/>
          <w:sz w:val="28"/>
          <w:szCs w:val="28"/>
          <w:rtl w:val="true"/>
          <w:lang w:bidi="fa-IR"/>
        </w:rPr>
        <w:t>إخلالٍ معهما</w:t>
      </w:r>
      <w:r>
        <w:rPr>
          <w:rStyle w:val="FootnoteAnchor"/>
          <w:rtl w:val="true"/>
        </w:rPr>
        <w:footnoteReference w:id="61"/>
      </w:r>
      <w:r>
        <w:rPr>
          <w:rFonts w:ascii="Amiri" w:hAnsi="Amiri" w:eastAsia="Amiri" w:cs="Amiri"/>
          <w:color w:val="111111"/>
          <w:sz w:val="28"/>
          <w:sz w:val="28"/>
          <w:szCs w:val="28"/>
          <w:rtl w:val="true"/>
          <w:lang w:bidi="ar-SA"/>
        </w:rPr>
        <w:t>ببيانِ حُجّةٍ أو دَفعِ شُبهةٍ‌؛ و مِن اللّٰهِ أستَمِدُّ المَعونةَ و التوفيقَ و التسديدَ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اِبتَدأَ المَسائلَ بأن</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نِعَمُ اللّٰهِ تَعالىٰ علَى الخَلقِ بدَوامِ بقاءِ سيّدِنا الشريفِ‌، السيِّدِ</w:t>
      </w:r>
      <w:r>
        <w:rPr>
          <w:rStyle w:val="FootnoteAnchor"/>
          <w:rtl w:val="true"/>
        </w:rPr>
        <w:footnoteReference w:id="64"/>
      </w:r>
      <w:r>
        <w:rPr>
          <w:rFonts w:ascii="Amiri" w:hAnsi="Amiri" w:eastAsia="Amiri" w:cs="Amiri"/>
          <w:color w:val="111111"/>
          <w:sz w:val="28"/>
          <w:sz w:val="28"/>
          <w:szCs w:val="28"/>
          <w:rtl w:val="true"/>
          <w:lang w:bidi="ar-SA"/>
        </w:rPr>
        <w:t xml:space="preserve">الأجَلِّ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و أدامَ عُلُوَّه و سُمُوَّه و بَسطَتَه، و كَبَتَ أعداءَه و حَسَدَتَه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فالألسُنُ تَقصُرُ عن أداءِ شُكرِها، و المُنَنُ‌</w:t>
      </w:r>
      <w:r>
        <w:rPr>
          <w:rStyle w:val="FootnoteAnchor"/>
          <w:rtl w:val="true"/>
        </w:rPr>
        <w:footnoteReference w:id="65"/>
      </w:r>
      <w:r>
        <w:rPr>
          <w:rFonts w:ascii="Amiri" w:hAnsi="Amiri" w:eastAsia="Amiri" w:cs="Amiri"/>
          <w:color w:val="111111"/>
          <w:sz w:val="28"/>
          <w:sz w:val="28"/>
          <w:szCs w:val="28"/>
          <w:rtl w:val="true"/>
          <w:lang w:bidi="ar-SA"/>
        </w:rPr>
        <w:t>تَضعُفُ عن تَعاطي نَشرِها؛ فلا أزالَ اللّٰهُ عَنّا و عن الإسلامِ ظِلَّه، و حَرَسَ أيّامَه مِن الغِيَرِ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فمَن كانَ له سَبيلٌ إلىٰ إلقاءِ ما يَعرِضُ له، و</w:t>
      </w:r>
      <w:r>
        <w:rPr>
          <w:rStyle w:val="FootnoteAnchor"/>
          <w:rtl w:val="true"/>
        </w:rPr>
        <w:footnoteReference w:id="66"/>
      </w:r>
      <w:r>
        <w:rPr>
          <w:rFonts w:ascii="Amiri" w:hAnsi="Amiri" w:eastAsia="Amiri" w:cs="Amiri"/>
          <w:color w:val="111111"/>
          <w:sz w:val="28"/>
          <w:sz w:val="28"/>
          <w:szCs w:val="28"/>
          <w:rtl w:val="true"/>
          <w:lang w:bidi="ar-SA"/>
        </w:rPr>
        <w:t>يَعتَلِجُ في صَدرِه مِن الشُّبَهِ‌</w:t>
      </w:r>
      <w:r>
        <w:rPr>
          <w:rStyle w:val="FootnoteAnchor"/>
          <w:rtl w:val="true"/>
        </w:rPr>
        <w:footnoteReference w:id="67"/>
      </w:r>
      <w:r>
        <w:rPr>
          <w:rFonts w:ascii="Amiri" w:hAnsi="Amiri" w:eastAsia="Amiri" w:cs="Amiri"/>
          <w:color w:val="111111"/>
          <w:sz w:val="28"/>
          <w:sz w:val="28"/>
          <w:szCs w:val="28"/>
          <w:rtl w:val="true"/>
          <w:lang w:bidi="ar-SA"/>
        </w:rPr>
        <w:t>، إلَى الخاطرِ الشريفِ‌، و استمدادِ الهُدىٰ مِن جهتِه، فلا معنىٰ لإقامتِه علىٰ ظِلِّها</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الغايةُ اقتباسُ نورِ اللّٰهِ سُبحانَه، ليَقِفَ علَى الطريقِ النهجِ‌، و السبيلِ‌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الواضحةِ‌، و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الخادمُ‌، و إن كانَ مُتمكِّناً مِن إيرادِ ذلكَ في المَجلِسِ الأشرَفِ‌، و أَخذِ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جَرَت به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سائلٌ الإنعامَ بالوقوفِ علىٰ هذه المَسائلِ‌، و إيضاحِ ما أشكَلَ منها؛ ليَعُمَّ‌</w:t>
      </w:r>
      <w:r>
        <w:rPr>
          <w:rStyle w:val="FootnoteAnchor"/>
          <w:rtl w:val="true"/>
        </w:rPr>
        <w:footnoteReference w:id="69"/>
      </w:r>
      <w:r>
        <w:rPr>
          <w:rFonts w:ascii="Amiri" w:hAnsi="Amiri" w:eastAsia="Amiri" w:cs="Amiri"/>
          <w:color w:val="111111"/>
          <w:sz w:val="28"/>
          <w:sz w:val="28"/>
          <w:szCs w:val="28"/>
          <w:rtl w:val="true"/>
          <w:lang w:bidi="ar-SA"/>
        </w:rPr>
        <w:t>النفعُ بها، فيَحصُلَ بذلكَ المُبتَغىٰ بمجموعِه، مِن الوقوفِ علَى الحَقِّ‌، و عمومِ النفعِ للمؤمنينَ كافّةً‌، و التنويهِ بِاسمِ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لرأيِ سيّدِنا الشريفِ‌، 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قُدرتَه</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عُلُوُّه؛ إن شاءَ اللّٰهُ‌</w:t>
      </w:r>
      <w:r>
        <w:rPr>
          <w:rFonts w:eastAsia="Amiri" w:cs="Amiri" w:ascii="Amiri" w:hAnsi="Amiri"/>
          <w:color w:val="111111"/>
          <w:sz w:val="28"/>
          <w:szCs w:val="28"/>
          <w:rtl w:val="true"/>
          <w:lang w:bidi="ar-SA"/>
        </w:rPr>
        <w:t>.</w:t>
      </w:r>
      <w:r>
        <w:rPr>
          <w:rStyle w:val="FootnoteAnchor"/>
          <w:rtl w:val="true"/>
        </w:rPr>
        <w:footnoteReference w:id="71"/>
      </w:r>
      <w:bookmarkStart w:id="60" w:name="pg16415_223698"/>
    </w:p>
    <w:p>
      <w:pPr>
        <w:pStyle w:val="Heading6"/>
        <w:numPr>
          <w:ilvl w:val="5"/>
          <w:numId w:val="1"/>
        </w:numPr>
        <w:rPr/>
      </w:pPr>
      <w:bookmarkStart w:id="61" w:name="__RefHeading___Toc7642268_1280447820"/>
      <w:bookmarkStart w:id="62" w:name="_Toc21"/>
      <w:bookmarkEnd w:id="60"/>
      <w:bookmarkEnd w:id="61"/>
      <w:r>
        <w:rPr>
          <w:rtl w:val="true"/>
        </w:rPr>
        <w:t>المسألةُ الأُولىٰ في أنّ الجوهر جوهر في حال العدم</w:t>
      </w:r>
      <w:bookmarkEnd w:id="62"/>
    </w:p>
    <w:p>
      <w:pPr>
        <w:pStyle w:val="Heading6"/>
        <w:numPr>
          <w:ilvl w:val="5"/>
          <w:numId w:val="1"/>
        </w:numPr>
        <w:rPr/>
      </w:pPr>
      <w:bookmarkStart w:id="63" w:name="__RefHeading___Toc7642270_128044782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ما المانعُ مِن كَونِ الجَوهرِ جَوهراً بالفاعلِ‌، و جوازِ بَينونتِه</w:t>
      </w:r>
      <w:r>
        <w:rPr>
          <w:rStyle w:val="FootnoteAnchor"/>
          <w:rtl w:val="true"/>
        </w:rPr>
        <w:footnoteReference w:id="72"/>
      </w:r>
      <w:r>
        <w:rPr>
          <w:rFonts w:ascii="Amiri" w:hAnsi="Amiri" w:eastAsia="Amiri" w:cs="Amiri"/>
          <w:color w:val="111111"/>
          <w:sz w:val="28"/>
          <w:sz w:val="28"/>
          <w:szCs w:val="28"/>
          <w:rtl w:val="true"/>
          <w:lang w:bidi="ar-SA"/>
        </w:rPr>
        <w:t>ممّا بانَ منه بكَونِه جَوهراً و إن كانَ بالفاعلِ؟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Style w:val="FootnoteAnchor"/>
          <w:rtl w:val="true"/>
        </w:rPr>
        <w:footnoteReference w:id="73"/>
      </w:r>
      <w:r>
        <w:rPr>
          <w:rFonts w:ascii="Amiri" w:hAnsi="Amiri" w:eastAsia="Amiri" w:cs="Amiri"/>
          <w:color w:val="111111"/>
          <w:sz w:val="28"/>
          <w:sz w:val="28"/>
          <w:szCs w:val="28"/>
          <w:rtl w:val="true"/>
          <w:lang w:bidi="ar-SA"/>
        </w:rPr>
        <w:t>جَوهراً بالفاعلِ‌، لَصَحَّ‌</w:t>
      </w:r>
      <w:r>
        <w:rPr>
          <w:rStyle w:val="FootnoteAnchor"/>
          <w:rtl w:val="true"/>
        </w:rPr>
        <w:footnoteReference w:id="74"/>
      </w:r>
      <w:r>
        <w:rPr>
          <w:rFonts w:ascii="Amiri" w:hAnsi="Amiri" w:eastAsia="Amiri" w:cs="Amiri"/>
          <w:color w:val="111111"/>
          <w:sz w:val="28"/>
          <w:sz w:val="28"/>
          <w:szCs w:val="28"/>
          <w:rtl w:val="true"/>
          <w:lang w:bidi="ar-SA"/>
        </w:rPr>
        <w:t>أن يَجعَلَه الفاعلُ جَوهراً سَواداً؛ لأنّه لا مانعَ مِن ذلكَ‌، مِن تَضادٍّ و لا 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ذلكَ و طَرَأَ البياضُ‌، فلا يَخلو مِن</w:t>
      </w:r>
      <w:r>
        <w:rPr>
          <w:rStyle w:val="FootnoteAnchor"/>
          <w:rtl w:val="true"/>
        </w:rPr>
        <w:footnoteReference w:id="75"/>
      </w:r>
      <w:r>
        <w:rPr>
          <w:rFonts w:ascii="IRNazanin" w:hAnsi="IRNazanin" w:eastAsia="IRNazanin"/>
          <w:color w:val="111111"/>
          <w:sz w:val="28"/>
          <w:sz w:val="28"/>
          <w:szCs w:val="28"/>
          <w:rtl w:val="true"/>
          <w:lang w:bidi="fa-IR"/>
        </w:rPr>
        <w:t>أن</w:t>
      </w:r>
      <w:r>
        <w:rPr>
          <w:rStyle w:val="FootnoteAnchor"/>
          <w:rtl w:val="true"/>
        </w:rPr>
        <w:footnoteReference w:id="76"/>
      </w:r>
      <w:r>
        <w:rPr>
          <w:rFonts w:ascii="Amiri" w:hAnsi="Amiri" w:eastAsia="Amiri" w:cs="Amiri"/>
          <w:color w:val="111111"/>
          <w:sz w:val="28"/>
          <w:sz w:val="28"/>
          <w:szCs w:val="28"/>
          <w:rtl w:val="true"/>
          <w:lang w:bidi="ar-SA"/>
        </w:rPr>
        <w:t>يَنفيَ‌</w:t>
      </w:r>
      <w:r>
        <w:rPr>
          <w:rStyle w:val="FootnoteAnchor"/>
          <w:rtl w:val="true"/>
        </w:rPr>
        <w:footnoteReference w:id="77"/>
      </w:r>
      <w:r>
        <w:rPr>
          <w:rFonts w:ascii="Amiri" w:hAnsi="Amiri" w:eastAsia="Amiri" w:cs="Amiri"/>
          <w:color w:val="111111"/>
          <w:sz w:val="28"/>
          <w:sz w:val="28"/>
          <w:szCs w:val="28"/>
          <w:rtl w:val="true"/>
          <w:lang w:bidi="ar-SA"/>
        </w:rPr>
        <w:t>السوادَ، أو</w:t>
      </w:r>
      <w:r>
        <w:rPr>
          <w:rStyle w:val="FootnoteAnchor"/>
          <w:rtl w:val="true"/>
        </w:rPr>
        <w:footnoteReference w:id="78"/>
      </w:r>
      <w:r>
        <w:rPr>
          <w:rFonts w:ascii="Amiri" w:hAnsi="Amiri" w:eastAsia="Amiri" w:cs="Amiri"/>
          <w:color w:val="111111"/>
          <w:sz w:val="28"/>
          <w:sz w:val="28"/>
          <w:szCs w:val="28"/>
          <w:rtl w:val="true"/>
          <w:lang w:bidi="ar-SA"/>
        </w:rPr>
        <w:t>لا يَنفيَه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نَفاه 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يَنتَفيَ بالسوادِ، أو</w:t>
      </w:r>
      <w:r>
        <w:rPr>
          <w:rStyle w:val="FootnoteAnchor"/>
          <w:rtl w:val="true"/>
        </w:rPr>
        <w:footnoteReference w:id="79"/>
      </w:r>
      <w:r>
        <w:rPr>
          <w:rFonts w:ascii="Amiri" w:hAnsi="Amiri" w:eastAsia="Amiri" w:cs="Amiri"/>
          <w:color w:val="111111"/>
          <w:sz w:val="28"/>
          <w:sz w:val="28"/>
          <w:szCs w:val="28"/>
          <w:rtl w:val="true"/>
          <w:lang w:bidi="ar-SA"/>
        </w:rPr>
        <w:t>لا يَنتَفيَ‌</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قد عَلِمنا أ نّه لا بُدَّ مِن نَفيِ السوادِ بالبياضِ‌</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لِاستحالةِ اجتماعِ الصفتَينِ‌، و لا يَجوزُ نَفيُ البياضِ للجَوهرِ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ذلكَ إلىٰ كَونِ هذه الذاتِ معدومةً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 الجَوهرَ جَوهراً سَواداً مُستَحيلٌ‌</w:t>
      </w:r>
      <w:r>
        <w:rPr>
          <w:rStyle w:val="FootnoteAnchor"/>
          <w:rtl w:val="true"/>
        </w:rPr>
        <w:footnoteReference w:id="82"/>
      </w:r>
      <w:r>
        <w:rPr>
          <w:rFonts w:ascii="Amiri" w:hAnsi="Amiri" w:eastAsia="Amiri" w:cs="Amiri"/>
          <w:color w:val="111111"/>
          <w:sz w:val="28"/>
          <w:sz w:val="28"/>
          <w:szCs w:val="28"/>
          <w:rtl w:val="true"/>
          <w:lang w:bidi="ar-SA"/>
        </w:rPr>
        <w:t>لأنّه إذا جَعَلَه جَوهراً فهو مُتَحيِّزٌ، و إذا جَعَلَه سَواداً فهو غَيرُ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إلىٰ كَونِ الذاتِ الواحدةِ مُتَحيِّزةً و</w:t>
      </w:r>
      <w:r>
        <w:rPr>
          <w:rStyle w:val="FootnoteAnchor"/>
          <w:rtl w:val="true"/>
        </w:rPr>
        <w:footnoteReference w:id="83"/>
      </w:r>
      <w:r>
        <w:rPr>
          <w:rFonts w:ascii="Amiri" w:hAnsi="Amiri" w:eastAsia="Amiri" w:cs="Amiri"/>
          <w:color w:val="111111"/>
          <w:sz w:val="28"/>
          <w:sz w:val="28"/>
          <w:szCs w:val="28"/>
          <w:rtl w:val="true"/>
          <w:lang w:bidi="ar-SA"/>
        </w:rPr>
        <w:t>غَيرَ مُتَحيِّزةٍ في حالٍ واحدةٍ‌</w:t>
      </w:r>
      <w:r>
        <w:rPr>
          <w:rStyle w:val="FootnoteAnchor"/>
          <w:rtl w:val="true"/>
        </w:rPr>
        <w:footnoteReference w:id="84"/>
      </w:r>
      <w:r>
        <w:rPr>
          <w:rFonts w:ascii="Amiri" w:hAnsi="Amiri" w:eastAsia="Amiri" w:cs="Amiri"/>
          <w:color w:val="111111"/>
          <w:sz w:val="28"/>
          <w:sz w:val="28"/>
          <w:szCs w:val="28"/>
          <w:rtl w:val="true"/>
          <w:lang w:bidi="ar-SA"/>
        </w:rPr>
        <w:t>و هذا يَجري مَجرَى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يُمكِنُ‌ هذا القائلَ أن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عندَكم أنّ كَونَ الفعلِ حَسَناً و</w:t>
      </w:r>
      <w:r>
        <w:rPr>
          <w:rStyle w:val="FootnoteAnchor"/>
          <w:rtl w:val="true"/>
        </w:rPr>
        <w:footnoteReference w:id="85"/>
      </w:r>
      <w:r>
        <w:rPr>
          <w:rFonts w:ascii="Amiri" w:hAnsi="Amiri" w:eastAsia="Amiri" w:cs="Amiri"/>
          <w:color w:val="111111"/>
          <w:sz w:val="28"/>
          <w:sz w:val="28"/>
          <w:szCs w:val="28"/>
          <w:rtl w:val="true"/>
          <w:lang w:bidi="ar-SA"/>
        </w:rPr>
        <w:t>قَبيحاً بالفاعلِ‌، و مع ذلكَ فلا يُمكِنُ كَونُ الفعلِ الواحدِ حَسَناً و</w:t>
      </w:r>
      <w:r>
        <w:rPr>
          <w:rStyle w:val="FootnoteAnchor"/>
          <w:rtl w:val="true"/>
        </w:rPr>
        <w:footnoteReference w:id="86"/>
      </w:r>
      <w:r>
        <w:rPr>
          <w:rFonts w:ascii="Amiri" w:hAnsi="Amiri" w:eastAsia="Amiri" w:cs="Amiri"/>
          <w:color w:val="111111"/>
          <w:sz w:val="28"/>
          <w:sz w:val="28"/>
          <w:szCs w:val="28"/>
          <w:rtl w:val="true"/>
          <w:lang w:bidi="ar-SA"/>
        </w:rPr>
        <w:t>قَبيحاً؛ و لا تَضادَّ هُناكَ و لا 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أيضاً الخبرُ و الأمرُ إنّما كانا خبراً و</w:t>
      </w:r>
      <w:r>
        <w:rPr>
          <w:rStyle w:val="FootnoteAnchor"/>
          <w:rtl w:val="true"/>
        </w:rPr>
        <w:footnoteReference w:id="87"/>
      </w:r>
      <w:r>
        <w:rPr>
          <w:rFonts w:ascii="Amiri" w:hAnsi="Amiri" w:eastAsia="Amiri" w:cs="Amiri"/>
          <w:color w:val="111111"/>
          <w:sz w:val="28"/>
          <w:sz w:val="28"/>
          <w:szCs w:val="28"/>
          <w:rtl w:val="true"/>
          <w:lang w:bidi="ar-SA"/>
        </w:rPr>
        <w:t>أمراً بالإرادةِ‌، و لا تَضادَّ بَينَ الإرادتَينِ‌</w:t>
      </w:r>
      <w:r>
        <w:rPr>
          <w:rStyle w:val="FootnoteAnchor"/>
          <w:rtl w:val="true"/>
        </w:rPr>
        <w:footnoteReference w:id="88"/>
      </w:r>
      <w:r>
        <w:rPr>
          <w:rFonts w:ascii="Amiri" w:hAnsi="Amiri" w:eastAsia="Amiri" w:cs="Amiri"/>
          <w:color w:val="111111"/>
          <w:sz w:val="28"/>
          <w:sz w:val="28"/>
          <w:szCs w:val="28"/>
          <w:rtl w:val="true"/>
          <w:lang w:bidi="ar-SA"/>
        </w:rPr>
        <w:t>و لا ما يَجري مَجراه؛ و مع ذلكَ لا يُمكِنُ جَعلُ الصيغةِ‌</w:t>
      </w:r>
      <w:r>
        <w:rPr>
          <w:rStyle w:val="FootnoteAnchor"/>
          <w:rtl w:val="true"/>
        </w:rPr>
        <w:footnoteReference w:id="89"/>
      </w:r>
      <w:r>
        <w:rPr>
          <w:rFonts w:ascii="Amiri" w:hAnsi="Amiri" w:eastAsia="Amiri" w:cs="Amiri"/>
          <w:color w:val="111111"/>
          <w:sz w:val="28"/>
          <w:sz w:val="28"/>
          <w:szCs w:val="28"/>
          <w:rtl w:val="true"/>
          <w:lang w:bidi="ar-SA"/>
        </w:rPr>
        <w:t>الواحدةِ خبراً و أمراً في حالٍ واحدةٍ‌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 نّه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صحّةَ جَعلِه جَوهراً سَواداً؛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90"/>
      </w:r>
      <w:r>
        <w:rPr>
          <w:rFonts w:ascii="Amiri" w:hAnsi="Amiri" w:eastAsia="Amiri" w:cs="Amiri"/>
          <w:color w:val="111111"/>
          <w:sz w:val="28"/>
          <w:sz w:val="28"/>
          <w:szCs w:val="28"/>
          <w:rtl w:val="true"/>
          <w:lang w:bidi="ar-SA"/>
        </w:rPr>
        <w:t>يَجعَلَ الذاتَينِ ذاتاً واحدةً‌، و لَيسَ معناه أن يَجعَلَ ذاتاً علىٰ 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91"/>
      </w:r>
      <w:bookmarkStart w:id="65" w:name="pg16415_223700"/>
    </w:p>
    <w:p>
      <w:pPr>
        <w:pStyle w:val="BookText"/>
        <w:rPr/>
      </w:pPr>
      <w:bookmarkEnd w:id="65"/>
      <w:r>
        <w:rPr>
          <w:rFonts w:ascii="Amiri" w:hAnsi="Amiri" w:eastAsia="Amiri" w:cs="Amiri"/>
          <w:color w:val="111111"/>
          <w:sz w:val="28"/>
          <w:sz w:val="28"/>
          <w:szCs w:val="28"/>
          <w:rtl w:val="true"/>
          <w:lang w:bidi="ar-SA"/>
        </w:rPr>
        <w:t>كانَ المُرادُ الأوّلَ‌، فإنّه إذا طَرَأَ البياضُ فنَفَى الذاتَ‌، فأيُّ شَيءٍ يُتصوَّرُ موجوداً بَعدَ ذلكَ؟ و إن كانَ المُرادُ الثانيَ‌، فإنّه إذا</w:t>
      </w:r>
      <w:r>
        <w:rPr>
          <w:rStyle w:val="FootnoteAnchor"/>
          <w:rtl w:val="true"/>
        </w:rPr>
        <w:footnoteReference w:id="92"/>
      </w:r>
      <w:r>
        <w:rPr>
          <w:rFonts w:ascii="Amiri" w:hAnsi="Amiri" w:eastAsia="Amiri" w:cs="Amiri"/>
          <w:color w:val="111111"/>
          <w:sz w:val="28"/>
          <w:sz w:val="28"/>
          <w:szCs w:val="28"/>
          <w:rtl w:val="true"/>
          <w:lang w:bidi="ar-SA"/>
        </w:rPr>
        <w:t>انتَفَت الذاتُ فالصفاتُ تَبَعٌ لها، كَما تَنتَفي</w:t>
      </w:r>
      <w:r>
        <w:rPr>
          <w:rStyle w:val="FootnoteAnchor"/>
          <w:rtl w:val="true"/>
        </w:rPr>
        <w:footnoteReference w:id="93"/>
      </w:r>
      <w:r>
        <w:rPr>
          <w:rFonts w:ascii="Amiri" w:hAnsi="Amiri" w:eastAsia="Amiri" w:cs="Amiri"/>
          <w:color w:val="111111"/>
          <w:sz w:val="28"/>
          <w:sz w:val="28"/>
          <w:szCs w:val="28"/>
          <w:rtl w:val="true"/>
          <w:lang w:bidi="ar-SA"/>
        </w:rPr>
        <w:t>صفاتُ الحَيِّ عندَ انتفاءِ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مُرادُهم هذا؛ غَيرَ أنّ هذا هو المُتصوَّرُ</w:t>
      </w:r>
      <w:r>
        <w:rPr>
          <w:rStyle w:val="FootnoteAnchor"/>
          <w:rtl w:val="true"/>
        </w:rPr>
        <w:footnoteReference w:id="94"/>
      </w:r>
      <w:r>
        <w:rPr>
          <w:rFonts w:ascii="IRNazanin" w:hAnsi="IRNazanin" w:eastAsia="IRNazanin"/>
          <w:color w:val="111111"/>
          <w:sz w:val="28"/>
          <w:sz w:val="28"/>
          <w:szCs w:val="28"/>
          <w:rtl w:val="true"/>
          <w:lang w:bidi="fa-IR"/>
        </w:rPr>
        <w:t>لا</w:t>
      </w:r>
      <w:r>
        <w:rPr>
          <w:rStyle w:val="FootnoteAnchor"/>
          <w:rtl w:val="true"/>
        </w:rPr>
        <w:footnoteReference w:id="95"/>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فليُنعِمْ ببيانِ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7642272_1280447820"/>
      <w:bookmarkStart w:id="67" w:name="_Toc23"/>
      <w:bookmarkEnd w:id="66"/>
      <w:r>
        <w:rPr>
          <w:rtl w:val="true"/>
        </w:rPr>
        <w:t>في بيان الدليل علىٰ أنّ الجوهر جوهر في حال العدم</w:t>
      </w:r>
      <w:bookmarkEnd w:id="67"/>
    </w:p>
    <w:p>
      <w:pPr>
        <w:pStyle w:val="BookText"/>
        <w:rPr/>
      </w:pPr>
      <w:r>
        <w:rPr>
          <w:rFonts w:ascii="Amiri" w:hAnsi="Amiri" w:eastAsia="Amiri" w:cs="Amiri"/>
          <w:color w:val="111111"/>
          <w:sz w:val="28"/>
          <w:sz w:val="28"/>
          <w:szCs w:val="28"/>
          <w:rtl w:val="true"/>
          <w:lang w:bidi="ar-SA"/>
        </w:rPr>
        <w:t xml:space="preserve">اِعلَمْ أنّ الجَوهرَ لا بُدَّ مِن أن يَكونَ في حالِ عدمِه علىٰ صفةٍ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جنسٍ مِن الأجناسِ لا بُدَّ مِن كَونِه و هو معدومٌ علىٰ صفةٍ تَقتَضي</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تَتجدَّدُ له عند الوجودِ؛ مِن تَعلُّقٍ بغَيرِه إن كانَ ممّا يَتعلَّقُ‌، أو غَيرِ ذلكَ مِن الصفاتِ‌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الجَوهرَ قد ثَبَتَ تَحيُّزُه عندَ وجودِه، و أنّ التحيُّزَ يَجِبُ له بشَرطِ الوجودِ</w:t>
      </w:r>
      <w:r>
        <w:rPr>
          <w:rStyle w:val="FootnoteAnchor"/>
          <w:rtl w:val="true"/>
        </w:rPr>
        <w:footnoteReference w:id="97"/>
      </w:r>
      <w:r>
        <w:rPr>
          <w:rFonts w:ascii="Amiri" w:hAnsi="Amiri" w:eastAsia="Amiri" w:cs="Amiri"/>
          <w:color w:val="111111"/>
          <w:sz w:val="28"/>
          <w:sz w:val="28"/>
          <w:szCs w:val="28"/>
          <w:rtl w:val="true"/>
          <w:lang w:bidi="ar-SA"/>
        </w:rPr>
        <w:t>، دونَ غَيرِه مِن الأجناسِ‌؛ فلا بُدَّ مِن كَونِه في الحالِ علىٰ صفةٍ تَقتَضي</w:t>
      </w:r>
      <w:r>
        <w:rPr>
          <w:rStyle w:val="FootnoteAnchor"/>
          <w:rtl w:val="true"/>
        </w:rPr>
        <w:footnoteReference w:id="98"/>
      </w:r>
      <w:r>
        <w:rPr>
          <w:rFonts w:ascii="Amiri" w:hAnsi="Amiri" w:eastAsia="Amiri" w:cs="Amiri"/>
          <w:color w:val="111111"/>
          <w:sz w:val="28"/>
          <w:sz w:val="28"/>
          <w:szCs w:val="28"/>
          <w:rtl w:val="true"/>
          <w:lang w:bidi="ar-SA"/>
        </w:rPr>
        <w:t>هذا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جَرىٰ مَجرىٰ ذاتَينِ يَصِحُّ مِن إحداهما </w:t>
      </w:r>
    </w:p>
    <w:p>
      <w:pPr>
        <w:pStyle w:val="BookText"/>
        <w:rPr/>
      </w:pPr>
      <w:r>
        <w:rPr>
          <w:rFonts w:ascii="Amiri" w:hAnsi="Amiri" w:eastAsia="Amiri" w:cs="Amiri"/>
          <w:color w:val="111111"/>
          <w:sz w:val="28"/>
          <w:sz w:val="28"/>
          <w:szCs w:val="28"/>
          <w:rtl w:val="true"/>
          <w:lang w:bidi="ar-SA"/>
        </w:rPr>
        <w:t>الفعلُ و لا يَصِحُّ مِن الأُخرىٰ‌، في أ نّه لا بُدَّ مِن اختصاصِ مَن صَحَّ الفعلُ منها</w:t>
      </w:r>
      <w:r>
        <w:rPr>
          <w:rStyle w:val="FootnoteAnchor"/>
          <w:rtl w:val="true"/>
        </w:rPr>
        <w:footnoteReference w:id="99"/>
      </w:r>
      <w:r>
        <w:rPr>
          <w:rFonts w:ascii="Amiri" w:hAnsi="Amiri" w:eastAsia="Amiri" w:cs="Amiri"/>
          <w:color w:val="111111"/>
          <w:sz w:val="28"/>
          <w:sz w:val="28"/>
          <w:szCs w:val="28"/>
          <w:rtl w:val="true"/>
          <w:lang w:bidi="ar-SA"/>
        </w:rPr>
        <w:t>بصفةٍ لَيسَت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تَكونَ هذه الصفةُ مُنتَظَرةً و الحُكمُ حاصلٌ في الحالِ‌</w:t>
      </w:r>
      <w:r>
        <w:rPr>
          <w:rStyle w:val="FootnoteAnchor"/>
          <w:rtl w:val="true"/>
        </w:rPr>
        <w:footnoteReference w:id="100"/>
      </w:r>
      <w:r>
        <w:rPr>
          <w:rFonts w:ascii="Amiri" w:hAnsi="Amiri" w:eastAsia="Amiri" w:cs="Amiri"/>
          <w:color w:val="111111"/>
          <w:sz w:val="28"/>
          <w:sz w:val="28"/>
          <w:szCs w:val="28"/>
          <w:rtl w:val="true"/>
          <w:lang w:bidi="ar-SA"/>
        </w:rPr>
        <w:t>فبانَ أ نّه لا بُدَّ في حالِ العدمِ‌</w:t>
      </w:r>
      <w:r>
        <w:rPr>
          <w:rStyle w:val="FootnoteAnchor"/>
          <w:rtl w:val="true"/>
        </w:rPr>
        <w:footnoteReference w:id="101"/>
      </w:r>
      <w:r>
        <w:rPr>
          <w:rFonts w:ascii="Amiri" w:hAnsi="Amiri" w:eastAsia="Amiri" w:cs="Amiri"/>
          <w:color w:val="111111"/>
          <w:sz w:val="28"/>
          <w:sz w:val="28"/>
          <w:szCs w:val="28"/>
          <w:rtl w:val="true"/>
          <w:lang w:bidi="ar-SA"/>
        </w:rPr>
        <w:t>مِن حصولِ‌</w:t>
      </w:r>
      <w:r>
        <w:rPr>
          <w:rStyle w:val="FootnoteAnchor"/>
          <w:rtl w:val="true"/>
        </w:rPr>
        <w:footnoteReference w:id="102"/>
      </w:r>
      <w:r>
        <w:rPr>
          <w:rFonts w:ascii="Amiri" w:hAnsi="Amiri" w:eastAsia="Amiri" w:cs="Amiri"/>
          <w:color w:val="111111"/>
          <w:sz w:val="28"/>
          <w:sz w:val="28"/>
          <w:szCs w:val="28"/>
          <w:rtl w:val="true"/>
          <w:lang w:bidi="ar-SA"/>
        </w:rPr>
        <w:t>صفةٍ تَقتَضي</w:t>
      </w:r>
      <w:r>
        <w:rPr>
          <w:rStyle w:val="FootnoteAnchor"/>
          <w:rtl w:val="true"/>
        </w:rPr>
        <w:footnoteReference w:id="103"/>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كُلُّه</w:t>
      </w:r>
      <w:r>
        <w:rPr>
          <w:rStyle w:val="FootnoteAnchor"/>
          <w:rtl w:val="true"/>
        </w:rPr>
        <w:footnoteReference w:id="104"/>
      </w:r>
      <w:r>
        <w:rPr>
          <w:rFonts w:ascii="Amiri" w:hAnsi="Amiri" w:eastAsia="Amiri" w:cs="Amiri"/>
          <w:color w:val="111111"/>
          <w:sz w:val="28"/>
          <w:sz w:val="28"/>
          <w:szCs w:val="28"/>
          <w:rtl w:val="true"/>
          <w:lang w:bidi="ar-SA"/>
        </w:rPr>
        <w:t>مَبنيٌّ على ما أنتم له</w:t>
      </w:r>
      <w:r>
        <w:rPr>
          <w:rStyle w:val="FootnoteAnchor"/>
          <w:rtl w:val="true"/>
        </w:rPr>
        <w:footnoteReference w:id="105"/>
      </w:r>
      <w:r>
        <w:rPr>
          <w:rFonts w:ascii="Amiri" w:hAnsi="Amiri" w:eastAsia="Amiri" w:cs="Amiri"/>
          <w:color w:val="111111"/>
          <w:sz w:val="28"/>
          <w:sz w:val="28"/>
          <w:szCs w:val="28"/>
          <w:rtl w:val="true"/>
          <w:lang w:bidi="ar-SA"/>
        </w:rPr>
        <w:t>مُدَّعونَ‌، و هو غَيرُ</w:t>
      </w:r>
      <w:r>
        <w:rPr>
          <w:rStyle w:val="FootnoteAnchor"/>
          <w:rtl w:val="true"/>
        </w:rPr>
        <w:footnoteReference w:id="106"/>
      </w:r>
      <w:r>
        <w:rPr>
          <w:rFonts w:ascii="Amiri" w:hAnsi="Amiri" w:eastAsia="Amiri" w:cs="Amiri"/>
          <w:color w:val="111111"/>
          <w:sz w:val="28"/>
          <w:sz w:val="28"/>
          <w:szCs w:val="28"/>
          <w:rtl w:val="true"/>
          <w:lang w:bidi="ar-SA"/>
        </w:rPr>
        <w:t>مُسلَّمٍ لكم؛ لأنّكم أشَرتم إلَى الجَوهرِ قَبلَ وجودِه فقُلتم</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مُتَحيِّزاً متىٰ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المعدومُ لَيسَ بمعلومٍ‌، و لا مُشارٍ إليه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سُلِّمَ أ نّه معلومٌ للّٰه تَعالىٰ‌، فما الدليلُ علىٰ‌</w:t>
      </w:r>
      <w:r>
        <w:rPr>
          <w:rStyle w:val="FootnoteAnchor"/>
          <w:rtl w:val="true"/>
        </w:rPr>
        <w:footnoteReference w:id="108"/>
      </w:r>
      <w:r>
        <w:rPr>
          <w:rFonts w:ascii="Amiri" w:hAnsi="Amiri" w:eastAsia="Amiri" w:cs="Amiri"/>
          <w:color w:val="111111"/>
          <w:sz w:val="28"/>
          <w:sz w:val="28"/>
          <w:szCs w:val="28"/>
          <w:rtl w:val="true"/>
          <w:lang w:bidi="ar-SA"/>
        </w:rPr>
        <w:t>أ نّه يَتحيَّزُ</w:t>
      </w:r>
      <w:r>
        <w:rPr>
          <w:rStyle w:val="FootnoteAnchor"/>
          <w:rtl w:val="true"/>
        </w:rPr>
        <w:footnoteReference w:id="109"/>
      </w:r>
      <w:r>
        <w:rPr>
          <w:rFonts w:ascii="Amiri" w:hAnsi="Amiri" w:eastAsia="Amiri" w:cs="Amiri"/>
          <w:color w:val="111111"/>
          <w:sz w:val="28"/>
          <w:sz w:val="28"/>
          <w:szCs w:val="28"/>
          <w:rtl w:val="true"/>
          <w:lang w:bidi="ar-SA"/>
        </w:rPr>
        <w:t>متىٰ وُجِدَ، و</w:t>
      </w:r>
      <w:r>
        <w:rPr>
          <w:rStyle w:val="FootnoteAnchor"/>
          <w:rtl w:val="true"/>
        </w:rPr>
        <w:footnoteReference w:id="110"/>
      </w:r>
      <w:r>
        <w:rPr>
          <w:rFonts w:ascii="Amiri" w:hAnsi="Amiri" w:eastAsia="Amiri" w:cs="Amiri"/>
          <w:color w:val="111111"/>
          <w:sz w:val="28"/>
          <w:sz w:val="28"/>
          <w:szCs w:val="28"/>
          <w:rtl w:val="true"/>
          <w:lang w:bidi="ar-SA"/>
        </w:rPr>
        <w:t>قد كانَ يَجوزُ أن يوجِدَه فلا</w:t>
      </w:r>
      <w:r>
        <w:rPr>
          <w:rStyle w:val="FootnoteAnchor"/>
          <w:rtl w:val="true"/>
        </w:rPr>
        <w:footnoteReference w:id="111"/>
      </w:r>
      <w:r>
        <w:rPr>
          <w:rFonts w:ascii="Amiri" w:hAnsi="Amiri" w:eastAsia="Amiri" w:cs="Amiri"/>
          <w:color w:val="111111"/>
          <w:sz w:val="28"/>
          <w:sz w:val="28"/>
          <w:szCs w:val="28"/>
          <w:rtl w:val="true"/>
          <w:lang w:bidi="ar-SA"/>
        </w:rPr>
        <w:t>يَكونَ مُتحيِّزاً؛ لأنّه عندَ مُخالِفِكم يَتحيَّزُ</w:t>
      </w:r>
      <w:r>
        <w:rPr>
          <w:rStyle w:val="FootnoteAnchor"/>
          <w:rtl w:val="true"/>
        </w:rPr>
        <w:footnoteReference w:id="112"/>
      </w:r>
      <w:r>
        <w:rPr>
          <w:rFonts w:ascii="Amiri" w:hAnsi="Amiri" w:eastAsia="Amiri" w:cs="Amiri"/>
          <w:color w:val="111111"/>
          <w:sz w:val="28"/>
          <w:sz w:val="28"/>
          <w:szCs w:val="28"/>
          <w:rtl w:val="true"/>
          <w:lang w:bidi="ar-SA"/>
        </w:rPr>
        <w:t xml:space="preserve">بالفاعلِ‌، </w:t>
      </w:r>
      <w:bookmarkStart w:id="68" w:name="pg16415_223702"/>
    </w:p>
    <w:p>
      <w:pPr>
        <w:pStyle w:val="BookText"/>
        <w:rPr/>
      </w:pPr>
      <w:bookmarkEnd w:id="68"/>
      <w:r>
        <w:rPr>
          <w:rFonts w:ascii="Amiri" w:hAnsi="Amiri" w:eastAsia="Amiri" w:cs="Amiri"/>
          <w:color w:val="111111"/>
          <w:sz w:val="28"/>
          <w:sz w:val="28"/>
          <w:szCs w:val="28"/>
          <w:rtl w:val="true"/>
          <w:lang w:bidi="ar-SA"/>
        </w:rPr>
        <w:t>و كذلكَ سائرُ الأجناسِ إنّما تَكونُ‌</w:t>
      </w:r>
      <w:r>
        <w:rPr>
          <w:rStyle w:val="FootnoteAnchor"/>
          <w:rtl w:val="true"/>
        </w:rPr>
        <w:footnoteReference w:id="113"/>
      </w:r>
      <w:r>
        <w:rPr>
          <w:rFonts w:ascii="Amiri" w:hAnsi="Amiri" w:eastAsia="Amiri" w:cs="Amiri"/>
          <w:color w:val="111111"/>
          <w:sz w:val="28"/>
          <w:sz w:val="28"/>
          <w:szCs w:val="28"/>
          <w:rtl w:val="true"/>
          <w:lang w:bidi="ar-SA"/>
        </w:rPr>
        <w:t>علىٰ ما هي عليه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المعدومَ يَصِحُّ العِلمُ به، و أنّ عدمَه لا يَمنَعُ مِن تَناوُلِ العِلمِ له بالأدلّةِ الصحيحةِ‌؛ و قد بيّنّا ذلكَ في مَواضعَ كَثيرةٍ مِن كُتُبِنا</w:t>
      </w:r>
      <w:r>
        <w:rPr>
          <w:rStyle w:val="FootnoteAnchor"/>
          <w:rtl w:val="true"/>
        </w:rPr>
        <w:footnoteReference w:id="114"/>
      </w:r>
      <w:r>
        <w:rPr>
          <w:rFonts w:ascii="Amiri" w:hAnsi="Amiri" w:eastAsia="Amiri" w:cs="Amiri"/>
          <w:color w:val="111111"/>
          <w:sz w:val="28"/>
          <w:sz w:val="28"/>
          <w:szCs w:val="28"/>
          <w:rtl w:val="true"/>
          <w:lang w:bidi="ar-SA"/>
        </w:rPr>
        <w:t>، و استَقصَيناه، و أَبطَلنا الشُّبَهَ‌</w:t>
      </w:r>
      <w:r>
        <w:rPr>
          <w:rStyle w:val="FootnoteAnchor"/>
          <w:rtl w:val="true"/>
        </w:rPr>
        <w:footnoteReference w:id="115"/>
      </w:r>
      <w:r>
        <w:rPr>
          <w:rFonts w:ascii="Amiri" w:hAnsi="Amiri" w:eastAsia="Amiri" w:cs="Amiri"/>
          <w:color w:val="111111"/>
          <w:sz w:val="28"/>
          <w:sz w:val="28"/>
          <w:szCs w:val="28"/>
          <w:rtl w:val="true"/>
          <w:lang w:bidi="ar-SA"/>
        </w:rPr>
        <w:t>العارضةَ فيه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نَحنُ نَعلَمُ ضَرورةً أنّ الصوتَ بَعدَ عدمِه نَعلَمُه و إن كُنّا لا نُدرِكُه في</w:t>
      </w:r>
      <w:r>
        <w:rPr>
          <w:rStyle w:val="FootnoteAnchor"/>
          <w:rtl w:val="true"/>
        </w:rPr>
        <w:footnoteReference w:id="117"/>
      </w:r>
      <w:r>
        <w:rPr>
          <w:rFonts w:ascii="Amiri" w:hAnsi="Amiri" w:eastAsia="Amiri" w:cs="Amiri"/>
          <w:color w:val="111111"/>
          <w:sz w:val="28"/>
          <w:sz w:val="28"/>
          <w:szCs w:val="28"/>
          <w:rtl w:val="true"/>
          <w:lang w:bidi="ar-SA"/>
        </w:rPr>
        <w:t>الحالِ‌، و أنّا نَعلَمُ كلامَ غَيرِنا و إن</w:t>
      </w:r>
      <w:r>
        <w:rPr>
          <w:rStyle w:val="FootnoteAnchor"/>
          <w:rtl w:val="true"/>
        </w:rPr>
        <w:footnoteReference w:id="118"/>
      </w:r>
      <w:r>
        <w:rPr>
          <w:rFonts w:ascii="Amiri" w:hAnsi="Amiri" w:eastAsia="Amiri" w:cs="Amiri"/>
          <w:color w:val="111111"/>
          <w:sz w:val="28"/>
          <w:sz w:val="28"/>
          <w:szCs w:val="28"/>
          <w:rtl w:val="true"/>
          <w:lang w:bidi="ar-SA"/>
        </w:rPr>
        <w:t>مضىٰ و تَقضّىٰ‌، و ما</w:t>
      </w:r>
      <w:r>
        <w:rPr>
          <w:rStyle w:val="FootnoteAnchor"/>
          <w:rtl w:val="true"/>
        </w:rPr>
        <w:footnoteReference w:id="119"/>
      </w:r>
      <w:r>
        <w:rPr>
          <w:rFonts w:ascii="Amiri" w:hAnsi="Amiri" w:eastAsia="Amiri" w:cs="Amiri"/>
          <w:color w:val="111111"/>
          <w:sz w:val="28"/>
          <w:sz w:val="28"/>
          <w:szCs w:val="28"/>
          <w:rtl w:val="true"/>
          <w:lang w:bidi="ar-SA"/>
        </w:rPr>
        <w:t>فَعَلنا</w:t>
      </w:r>
      <w:r>
        <w:rPr>
          <w:rStyle w:val="FootnoteAnchor"/>
          <w:rtl w:val="true"/>
        </w:rPr>
        <w:footnoteReference w:id="120"/>
      </w:r>
      <w:r>
        <w:rPr>
          <w:rFonts w:ascii="Amiri" w:hAnsi="Amiri" w:eastAsia="Amiri" w:cs="Amiri"/>
          <w:color w:val="111111"/>
          <w:sz w:val="28"/>
          <w:sz w:val="28"/>
          <w:szCs w:val="28"/>
          <w:rtl w:val="true"/>
          <w:lang w:bidi="ar-SA"/>
        </w:rPr>
        <w:t>بالأمسِ‌، و نَعلَمُ أيضاً البَعثَ و النشورَ و القيامةَ و الجَنّةَ و النارَ؛ و كُلُّ ذلكَ معدومٌ‌، و لَم يَمنَعْ عدمُه مِن تَعلُّقِ العِلمِ به</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7642274_1280447820"/>
      <w:bookmarkStart w:id="70" w:name="_Toc24"/>
      <w:bookmarkEnd w:id="69"/>
      <w:r>
        <w:rPr>
          <w:rtl w:val="true"/>
        </w:rPr>
        <w:t>في بيان الدليل علىٰ وجوب تحيُّز الجوهر عند وجوده</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يَدُلُّ علىٰ أنّ ما وُجِدَ مُتَحيِّزاً لا يَجوزُ أن يوجَدَ و هو غَيرُ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تَحيُّزَه الحاصلَ له</w:t>
      </w:r>
      <w:r>
        <w:rPr>
          <w:rStyle w:val="FootnoteAnchor"/>
          <w:rtl w:val="true"/>
        </w:rPr>
        <w:footnoteReference w:id="121"/>
      </w:r>
      <w:r>
        <w:rPr>
          <w:rFonts w:ascii="Amiri" w:hAnsi="Amiri" w:eastAsia="Amiri" w:cs="Amiri"/>
          <w:color w:val="111111"/>
          <w:sz w:val="28"/>
          <w:sz w:val="28"/>
          <w:szCs w:val="28"/>
          <w:rtl w:val="true"/>
          <w:lang w:bidi="ar-SA"/>
        </w:rPr>
        <w:t>بَعدَ أن لَم يَكُن حاصلاً لا يَخلو مِن أن يَكونَ إنّما حَصَلَ لوجودِه، أو لحُدوثِه</w:t>
      </w:r>
      <w:r>
        <w:rPr>
          <w:rStyle w:val="FootnoteAnchor"/>
          <w:rtl w:val="true"/>
        </w:rPr>
        <w:footnoteReference w:id="122"/>
      </w:r>
      <w:r>
        <w:rPr>
          <w:rFonts w:ascii="Amiri" w:hAnsi="Amiri" w:eastAsia="Amiri" w:cs="Amiri"/>
          <w:color w:val="111111"/>
          <w:sz w:val="28"/>
          <w:sz w:val="28"/>
          <w:szCs w:val="28"/>
          <w:rtl w:val="true"/>
          <w:lang w:bidi="ar-SA"/>
        </w:rPr>
        <w:t>، أو لحُدوثِه علىٰ وَجهٍ‌</w:t>
      </w:r>
      <w:r>
        <w:rPr>
          <w:rStyle w:val="FootnoteAnchor"/>
          <w:rtl w:val="true"/>
        </w:rPr>
        <w:footnoteReference w:id="123"/>
      </w:r>
      <w:r>
        <w:rPr>
          <w:rFonts w:ascii="Amiri" w:hAnsi="Amiri" w:eastAsia="Amiri" w:cs="Amiri"/>
          <w:color w:val="111111"/>
          <w:sz w:val="28"/>
          <w:sz w:val="28"/>
          <w:szCs w:val="28"/>
          <w:rtl w:val="true"/>
          <w:lang w:bidi="ar-SA"/>
        </w:rPr>
        <w:t xml:space="preserve">، أو لعدمِه، أو لعدمِ معنىً‌، </w:t>
      </w:r>
    </w:p>
    <w:p>
      <w:pPr>
        <w:pStyle w:val="BookText"/>
        <w:rPr/>
      </w:pPr>
      <w:r>
        <w:rPr>
          <w:rFonts w:ascii="Amiri" w:hAnsi="Amiri" w:eastAsia="Amiri" w:cs="Amiri"/>
          <w:color w:val="111111"/>
          <w:sz w:val="28"/>
          <w:sz w:val="28"/>
          <w:szCs w:val="28"/>
          <w:rtl w:val="true"/>
          <w:lang w:bidi="ar-SA"/>
        </w:rPr>
        <w:t>أو لوجودِ معنىً‌، أو بالفاعلِ‌، أو لنَفسِه، أو لِما هو عليه في نَفسِه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مُتَحيِّزاً لوجودِه؛ لأنّ ذلكَ يوجِبُ أن يَكونَ‌</w:t>
      </w:r>
      <w:r>
        <w:rPr>
          <w:rStyle w:val="FootnoteAnchor"/>
          <w:rtl w:val="true"/>
        </w:rPr>
        <w:footnoteReference w:id="125"/>
      </w:r>
      <w:r>
        <w:rPr>
          <w:rFonts w:ascii="Amiri" w:hAnsi="Amiri" w:eastAsia="Amiri" w:cs="Amiri"/>
          <w:color w:val="111111"/>
          <w:sz w:val="28"/>
          <w:sz w:val="28"/>
          <w:szCs w:val="28"/>
          <w:rtl w:val="true"/>
          <w:lang w:bidi="ar-SA"/>
        </w:rPr>
        <w:t>كُلُّ‌</w:t>
      </w:r>
      <w:r>
        <w:rPr>
          <w:rStyle w:val="FootnoteAnchor"/>
          <w:rtl w:val="true"/>
        </w:rPr>
        <w:footnoteReference w:id="126"/>
      </w:r>
      <w:r>
        <w:rPr>
          <w:rFonts w:ascii="Amiri" w:hAnsi="Amiri" w:eastAsia="Amiri" w:cs="Amiri"/>
          <w:color w:val="111111"/>
          <w:sz w:val="28"/>
          <w:sz w:val="28"/>
          <w:szCs w:val="28"/>
          <w:rtl w:val="true"/>
          <w:lang w:bidi="ar-SA"/>
        </w:rPr>
        <w:t>ما شارَكَه في الوجودِ</w:t>
      </w:r>
      <w:r>
        <w:rPr>
          <w:rStyle w:val="FootnoteAnchor"/>
          <w:rtl w:val="true"/>
        </w:rPr>
        <w:footnoteReference w:id="127"/>
      </w:r>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ذلكَ يَبطُلُ‌</w:t>
      </w:r>
      <w:r>
        <w:rPr>
          <w:rStyle w:val="FootnoteAnchor"/>
          <w:rtl w:val="true"/>
        </w:rPr>
        <w:footnoteReference w:id="128"/>
      </w:r>
      <w:r>
        <w:rPr>
          <w:rFonts w:ascii="Amiri" w:hAnsi="Amiri" w:eastAsia="Amiri" w:cs="Amiri"/>
          <w:color w:val="111111"/>
          <w:sz w:val="28"/>
          <w:sz w:val="28"/>
          <w:szCs w:val="28"/>
          <w:rtl w:val="true"/>
          <w:lang w:bidi="ar-SA"/>
        </w:rPr>
        <w:t>أن يَكونَ مُتَحيِّزاً لحُدوثِه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Style w:val="FootnoteAnchor"/>
          <w:rtl w:val="true"/>
        </w:rPr>
        <w:footnoteReference w:id="129"/>
      </w:r>
      <w:r>
        <w:rPr>
          <w:rFonts w:ascii="Amiri" w:hAnsi="Amiri" w:eastAsia="Amiri" w:cs="Amiri"/>
          <w:color w:val="111111"/>
          <w:sz w:val="28"/>
          <w:sz w:val="28"/>
          <w:szCs w:val="28"/>
          <w:rtl w:val="true"/>
          <w:lang w:bidi="ar-SA"/>
        </w:rPr>
        <w:t>حُدوثُه علىٰ وَجهٍ‌، فالذي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وَجهَ يُشارُ إليه مِن وُجوهِ‌</w:t>
      </w:r>
      <w:r>
        <w:rPr>
          <w:rStyle w:val="FootnoteAnchor"/>
          <w:rtl w:val="true"/>
        </w:rPr>
        <w:footnoteReference w:id="130"/>
      </w:r>
      <w:r>
        <w:rPr>
          <w:rFonts w:ascii="Amiri" w:hAnsi="Amiri" w:eastAsia="Amiri" w:cs="Amiri"/>
          <w:color w:val="111111"/>
          <w:sz w:val="28"/>
          <w:sz w:val="28"/>
          <w:szCs w:val="28"/>
          <w:rtl w:val="true"/>
          <w:lang w:bidi="ar-SA"/>
        </w:rPr>
        <w:t>الحُدوثِ يَقتَضي</w:t>
      </w:r>
      <w:r>
        <w:rPr>
          <w:rStyle w:val="FootnoteAnchor"/>
          <w:rtl w:val="true"/>
        </w:rPr>
        <w:footnoteReference w:id="131"/>
      </w:r>
      <w:r>
        <w:rPr>
          <w:rFonts w:ascii="Amiri" w:hAnsi="Amiri" w:eastAsia="Amiri" w:cs="Amiri"/>
          <w:color w:val="111111"/>
          <w:sz w:val="28"/>
          <w:sz w:val="28"/>
          <w:szCs w:val="28"/>
          <w:rtl w:val="true"/>
          <w:lang w:bidi="ar-SA"/>
        </w:rPr>
        <w:t>كَونَه بهذه</w:t>
      </w:r>
      <w:r>
        <w:rPr>
          <w:rStyle w:val="FootnoteAnchor"/>
          <w:rtl w:val="true"/>
        </w:rPr>
        <w:footnoteReference w:id="132"/>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كانَ لا يَمتَنِعُ حُدوثُه علىٰ وَجهٍ آخَرَ، فلا يَكونُ مُتَحيِّزاً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لا بُدَّ مِن أن يَتميَّزَ في الوجودِ بصفةٍ فيَجِبُ أن يَكونَ متىٰ وُجِدَ علىٰ وَجهٍ‌</w:t>
      </w:r>
      <w:r>
        <w:rPr>
          <w:rStyle w:val="FootnoteAnchor"/>
          <w:rtl w:val="true"/>
        </w:rPr>
        <w:footnoteReference w:id="133"/>
      </w:r>
      <w:r>
        <w:rPr>
          <w:rFonts w:ascii="Amiri" w:hAnsi="Amiri" w:eastAsia="Amiri" w:cs="Amiri"/>
          <w:color w:val="111111"/>
          <w:sz w:val="28"/>
          <w:sz w:val="28"/>
          <w:szCs w:val="28"/>
          <w:rtl w:val="true"/>
          <w:lang w:bidi="ar-SA"/>
        </w:rPr>
        <w:t xml:space="preserve">و لَم يَكُن مُتَحيِّزاً أن يَكونَ بصفةِ جنسٍ آخَرَ، و إذا لَم يَمتَنِعْ حُدوثُه علَى الوجهِ الذي يَقتَضي كَونَه مُتَحيِّزاً و علَى الوجهِ الذي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جنسٍ‌ </w:t>
      </w:r>
    </w:p>
    <w:p>
      <w:pPr>
        <w:pStyle w:val="BookText"/>
        <w:rPr/>
      </w:pPr>
      <w:r>
        <w:rPr>
          <w:rFonts w:ascii="Amiri" w:hAnsi="Amiri" w:eastAsia="Amiri" w:cs="Amiri"/>
          <w:color w:val="111111"/>
          <w:sz w:val="28"/>
          <w:sz w:val="28"/>
          <w:szCs w:val="28"/>
          <w:rtl w:val="true"/>
          <w:lang w:bidi="ar-SA"/>
        </w:rPr>
        <w:t>آخَرَ</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التنافي بَينَ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أن يَكونَ علَى الصفتَينِ معاً؛ لحُدوثِه علَى الوجهَينِ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سنُبيِّنُ فيما يأتي مِن كلامِنا أنّ المُتَحيِّزَ لا يَجوزُ أن يَكونَ بصفةِ جنسَينِ‌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35"/>
      </w:r>
      <w:r>
        <w:rPr>
          <w:rFonts w:ascii="Amiri" w:hAnsi="Amiri" w:eastAsia="Amiri" w:cs="Amiri"/>
          <w:color w:val="111111"/>
          <w:sz w:val="28"/>
          <w:sz w:val="28"/>
          <w:szCs w:val="28"/>
          <w:rtl w:val="true"/>
          <w:lang w:bidi="ar-SA"/>
        </w:rPr>
        <w:t>لا يَجوزُ أن يَكونَ مُتَحيِّزاً لعدمِه؛ لأنّ العدمَ يُحيلُ التحيُّزَ، فكَيفَ يوجِبُه‌؟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مُتَحيِّزاً لعدمِ معنىً‌؛ لأنّ المعدومَ لا يُخصِّصُ‌</w:t>
      </w:r>
      <w:r>
        <w:rPr>
          <w:rStyle w:val="FootnoteAnchor"/>
          <w:rtl w:val="true"/>
        </w:rPr>
        <w:footnoteReference w:id="136"/>
      </w:r>
      <w:r>
        <w:rPr>
          <w:rFonts w:ascii="Amiri" w:hAnsi="Amiri" w:eastAsia="Amiri" w:cs="Amiri"/>
          <w:color w:val="111111"/>
          <w:sz w:val="28"/>
          <w:sz w:val="28"/>
          <w:szCs w:val="28"/>
          <w:rtl w:val="true"/>
          <w:lang w:bidi="ar-SA"/>
        </w:rPr>
        <w:t>، و هذا حُكمٌ مُتَخصِّصٌ‌</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أيضاً فقَد عَلِمنا أنّ الجَوهرَ لا يَجوزُ أن يَكونَ في جهةٍ مِن الجهاتِ لعدمِ معنىً‌؛ و العِلّةُ‌</w:t>
      </w:r>
      <w:r>
        <w:rPr>
          <w:rStyle w:val="FootnoteAnchor"/>
          <w:rtl w:val="true"/>
        </w:rPr>
        <w:footnoteReference w:id="138"/>
      </w:r>
      <w:r>
        <w:rPr>
          <w:rFonts w:ascii="Amiri" w:hAnsi="Amiri" w:eastAsia="Amiri" w:cs="Amiri"/>
          <w:color w:val="111111"/>
          <w:sz w:val="28"/>
          <w:sz w:val="28"/>
          <w:szCs w:val="28"/>
          <w:rtl w:val="true"/>
          <w:lang w:bidi="ar-SA"/>
        </w:rPr>
        <w:t>في ذلكَ أنّ المعدومَ لا يؤثِّرُ في غيرِه و يَكونُ به علىٰ صفةٍ مِن الصفاتِ‌، و هذا قائمٌ في التحيُّزِ</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مُتَحيِّزاً لوجودِ معنىً‌؛ لأنّ ذلكَ المعنىٰ إذا كانَ موجِباً له صفةً فلا بُدَّ مِن اختصاصِه به، و الاختصاصُ بَينَهما لا بُدَّ مِن أن يَكونَ إمّا بالحُلولِ أو المُجاوَرةِ‌</w:t>
      </w:r>
      <w:r>
        <w:rPr>
          <w:rStyle w:val="FootnoteAnchor"/>
          <w:rtl w:val="true"/>
        </w:rPr>
        <w:footnoteReference w:id="140"/>
      </w:r>
      <w:r>
        <w:rPr>
          <w:rFonts w:ascii="Amiri" w:hAnsi="Amiri" w:eastAsia="Amiri" w:cs="Amiri"/>
          <w:color w:val="111111"/>
          <w:sz w:val="28"/>
          <w:sz w:val="28"/>
          <w:szCs w:val="28"/>
          <w:rtl w:val="true"/>
          <w:lang w:bidi="ar-SA"/>
        </w:rPr>
        <w:t>، و كُلُّ واحدٍ مِن الأمرَينِ يوجِبُ تَقدُّمَ التحيُّزِ</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فلَو</w:t>
      </w:r>
      <w:r>
        <w:rPr>
          <w:rStyle w:val="FootnoteAnchor"/>
          <w:rtl w:val="true"/>
        </w:rPr>
        <w:footnoteReference w:id="141"/>
      </w:r>
      <w:r>
        <w:rPr>
          <w:rFonts w:ascii="Amiri" w:hAnsi="Amiri" w:eastAsia="Amiri" w:cs="Amiri"/>
          <w:color w:val="111111"/>
          <w:sz w:val="28"/>
          <w:sz w:val="28"/>
          <w:szCs w:val="28"/>
          <w:rtl w:val="true"/>
          <w:lang w:bidi="ar-SA"/>
        </w:rPr>
        <w:t xml:space="preserve">كانَ مُتَحيِّزاً لمعنىً‌، لَكانَ القولُ في ذلكَ المعنىٰ كالقولِ فيه؛ لأنّ‌ </w:t>
      </w:r>
    </w:p>
    <w:p>
      <w:pPr>
        <w:pStyle w:val="BookText"/>
        <w:rPr/>
      </w:pPr>
      <w:r>
        <w:rPr>
          <w:rFonts w:ascii="Amiri" w:hAnsi="Amiri" w:eastAsia="Amiri" w:cs="Amiri"/>
          <w:color w:val="111111"/>
          <w:sz w:val="28"/>
          <w:sz w:val="28"/>
          <w:szCs w:val="28"/>
          <w:rtl w:val="true"/>
          <w:lang w:bidi="ar-SA"/>
        </w:rPr>
        <w:t>ذلكَ المعنىٰ لا بُدَّ مِن أن يَستَحِقَّ صفةً تَقتَضي إيجابَه</w:t>
      </w:r>
      <w:r>
        <w:rPr>
          <w:rStyle w:val="FootnoteAnchor"/>
          <w:rtl w:val="true"/>
        </w:rPr>
        <w:footnoteReference w:id="142"/>
      </w:r>
      <w:r>
        <w:rPr>
          <w:rFonts w:ascii="Amiri" w:hAnsi="Amiri" w:eastAsia="Amiri" w:cs="Amiri"/>
          <w:color w:val="111111"/>
          <w:sz w:val="28"/>
          <w:sz w:val="28"/>
          <w:szCs w:val="28"/>
          <w:rtl w:val="true"/>
          <w:lang w:bidi="ar-SA"/>
        </w:rPr>
        <w:t>تَحيُّزَ الجَوهرِ، فلا يَخلو مِن أن يَكونَ استَحَقَّها لمعنىً أيضاً أو لنَفسِه؛ فإن كانَ الأوّلَ أدّىٰ إلىٰ إحداثِ ما لا نِهايةَ له مِن المَعاني، و إن كانَ الثانيَ فيَجِبُ أيضاً</w:t>
      </w:r>
      <w:r>
        <w:rPr>
          <w:rStyle w:val="FootnoteAnchor"/>
          <w:rtl w:val="true"/>
        </w:rPr>
        <w:footnoteReference w:id="143"/>
      </w:r>
      <w:r>
        <w:rPr>
          <w:rFonts w:ascii="Amiri" w:hAnsi="Amiri" w:eastAsia="Amiri" w:cs="Amiri"/>
          <w:color w:val="111111"/>
          <w:sz w:val="28"/>
          <w:sz w:val="28"/>
          <w:szCs w:val="28"/>
          <w:rtl w:val="true"/>
          <w:lang w:bidi="ar-SA"/>
        </w:rPr>
        <w:t>أن يَكونَ التحيُّزُ مُستَحَقّاً علىٰ هذا الوجهِ‌؛ لأنّ كَيفيّةَ الاستحقاقِ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فلَو كانَ مُتَحيِّزاً لمعنىً لَوَجَبَ أن يَكونَ كُلُّ جنسٍ مِن الأجناسِ لمعنىً‌؛ لأنّ كَيفيّةَ استحقاقِ ذلكَ كُلِّه واحدةٌ‌، و هذا يَقتَضي جوازَ كَونِ الذاتِ الواحدةِ بصفةِ المُتَحيِّزِ</w:t>
      </w:r>
      <w:r>
        <w:rPr>
          <w:rStyle w:val="FootnoteAnchor"/>
          <w:rtl w:val="true"/>
        </w:rPr>
        <w:footnoteReference w:id="144"/>
      </w:r>
      <w:r>
        <w:rPr>
          <w:rFonts w:ascii="Amiri" w:hAnsi="Amiri" w:eastAsia="Amiri" w:cs="Amiri"/>
          <w:color w:val="111111"/>
          <w:sz w:val="28"/>
          <w:sz w:val="28"/>
          <w:szCs w:val="28"/>
          <w:rtl w:val="true"/>
          <w:lang w:bidi="ar-SA"/>
        </w:rPr>
        <w:t>و السوادِ؛ لحصولِ‌</w:t>
      </w:r>
      <w:r>
        <w:rPr>
          <w:rStyle w:val="FootnoteAnchor"/>
          <w:rtl w:val="true"/>
        </w:rPr>
        <w:footnoteReference w:id="145"/>
      </w:r>
      <w:r>
        <w:rPr>
          <w:rFonts w:ascii="Amiri" w:hAnsi="Amiri" w:eastAsia="Amiri" w:cs="Amiri"/>
          <w:color w:val="111111"/>
          <w:sz w:val="28"/>
          <w:sz w:val="28"/>
          <w:szCs w:val="28"/>
          <w:rtl w:val="true"/>
          <w:lang w:bidi="ar-SA"/>
        </w:rPr>
        <w:t>المعنيَينِ الموجِبَينِ لهاتَينِ الصفتَينِ‌؛ لأنّه لا 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سنُبيِّنُ بُطلانَ ذلكَ بعَونِ اللّٰهِ‌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أيضاً فلَو كانَ مُتَحيِّزاً لمعنىً‌، لَم يَمتَنِعْ أن تَتزايَدَ</w:t>
      </w:r>
      <w:r>
        <w:rPr>
          <w:rStyle w:val="FootnoteAnchor"/>
          <w:rtl w:val="true"/>
        </w:rPr>
        <w:footnoteReference w:id="147"/>
      </w:r>
      <w:r>
        <w:rPr>
          <w:rFonts w:ascii="Amiri" w:hAnsi="Amiri" w:eastAsia="Amiri" w:cs="Amiri"/>
          <w:color w:val="111111"/>
          <w:sz w:val="28"/>
          <w:sz w:val="28"/>
          <w:szCs w:val="28"/>
          <w:rtl w:val="true"/>
          <w:lang w:bidi="ar-SA"/>
        </w:rPr>
        <w:t>المَعاني الموجِبةُ لتَحيُّزِه فيَتزايَدَ هذا الحُكمُ‌، و هذا يؤَدّي إلىٰ أن يَتزايَدَ حَجمُ الجَوهرِ و جُثّتُه مِن غَيرِ انضمامِ جَواهرَ إليه، و قد عُلِمَ ضَرورةً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يَدُلُّ علىٰ أ نّه لا يَجوزُ أن يَكونَ مُتَحيِّزاً بالفاعلِ‌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جازَ ذلكَ لَم يَمتَنِعْ أن يَجمَعَ‌</w:t>
      </w:r>
      <w:r>
        <w:rPr>
          <w:rStyle w:val="FootnoteAnchor"/>
          <w:rtl w:val="true"/>
        </w:rPr>
        <w:footnoteReference w:id="148"/>
      </w:r>
      <w:r>
        <w:rPr>
          <w:rFonts w:ascii="Amiri" w:hAnsi="Amiri" w:eastAsia="Amiri" w:cs="Amiri"/>
          <w:color w:val="111111"/>
          <w:sz w:val="28"/>
          <w:sz w:val="28"/>
          <w:szCs w:val="28"/>
          <w:rtl w:val="true"/>
          <w:lang w:bidi="ar-SA"/>
        </w:rPr>
        <w:t>الفاعلُ بَينَ كَونِه مُتَحيِّزاً و</w:t>
      </w:r>
      <w:r>
        <w:rPr>
          <w:rStyle w:val="FootnoteAnchor"/>
          <w:rtl w:val="true"/>
        </w:rPr>
        <w:footnoteReference w:id="149"/>
      </w:r>
      <w:r>
        <w:rPr>
          <w:rFonts w:ascii="Amiri" w:hAnsi="Amiri" w:eastAsia="Amiri" w:cs="Amiri"/>
          <w:color w:val="111111"/>
          <w:sz w:val="28"/>
          <w:sz w:val="28"/>
          <w:szCs w:val="28"/>
          <w:rtl w:val="true"/>
          <w:lang w:bidi="ar-SA"/>
        </w:rPr>
        <w:t xml:space="preserve">سَواداً؛ لأنّ‌ </w:t>
      </w:r>
    </w:p>
    <w:p>
      <w:pPr>
        <w:pStyle w:val="BookText"/>
        <w:rPr/>
      </w:pPr>
      <w:r>
        <w:rPr>
          <w:rFonts w:ascii="Amiri" w:hAnsi="Amiri" w:eastAsia="Amiri" w:cs="Amiri"/>
          <w:color w:val="111111"/>
          <w:sz w:val="28"/>
          <w:sz w:val="28"/>
          <w:szCs w:val="28"/>
          <w:rtl w:val="true"/>
          <w:lang w:bidi="ar-SA"/>
        </w:rPr>
        <w:t>ما يَكونُ بالفاعلِ‌، له التصرُّفُ فيه</w:t>
      </w:r>
      <w:r>
        <w:rPr>
          <w:rStyle w:val="FootnoteAnchor"/>
          <w:rtl w:val="true"/>
        </w:rPr>
        <w:footnoteReference w:id="150"/>
      </w:r>
      <w:r>
        <w:rPr>
          <w:rFonts w:ascii="Amiri" w:hAnsi="Amiri" w:eastAsia="Amiri" w:cs="Amiri"/>
          <w:color w:val="111111"/>
          <w:sz w:val="28"/>
          <w:sz w:val="28"/>
          <w:szCs w:val="28"/>
          <w:rtl w:val="true"/>
          <w:lang w:bidi="ar-SA"/>
        </w:rPr>
        <w:t xml:space="preserve">بحَسَبِ اختيارِه، و لا تَنافيَ بَينَ 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وُجِدَ</w:t>
      </w:r>
      <w:r>
        <w:rPr>
          <w:rStyle w:val="FootnoteAnchor"/>
          <w:rtl w:val="true"/>
        </w:rPr>
        <w:footnoteReference w:id="151"/>
      </w:r>
      <w:r>
        <w:rPr>
          <w:rFonts w:ascii="Amiri" w:hAnsi="Amiri" w:eastAsia="Amiri" w:cs="Amiri"/>
          <w:color w:val="111111"/>
          <w:sz w:val="28"/>
          <w:sz w:val="28"/>
          <w:szCs w:val="28"/>
          <w:rtl w:val="true"/>
          <w:lang w:bidi="ar-SA"/>
        </w:rPr>
        <w:t>وَجَبَ كَونُه مُتَحيِّزاً، و لَم يَتمكَّنِ الفاعلُ مِن جَعلِه بخِلافِ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قائلُ ذلكَ مُسَلِّماً للمعنىٰ‌، و مُخالِفاً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اجتَمَعَ في الذاتِ الواحدةِ أن تَكونَ بصفةِ التحيُّزِ و السوادِ، و قَدَّرنا وجودَ البياضِ‌، لَم تَخلُ الحالُ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الذاتُ التي فَرَضنا فيها أنّها بصفةِ التحيُّزِ و السوادِ تَنتَفي</w:t>
      </w:r>
      <w:r>
        <w:rPr>
          <w:rStyle w:val="FootnoteAnchor"/>
          <w:rtl w:val="true"/>
        </w:rPr>
        <w:footnoteReference w:id="152"/>
      </w:r>
      <w:r>
        <w:rPr>
          <w:rFonts w:ascii="Amiri" w:hAnsi="Amiri" w:eastAsia="Amiri" w:cs="Amiri"/>
          <w:color w:val="111111"/>
          <w:sz w:val="28"/>
          <w:sz w:val="28"/>
          <w:szCs w:val="28"/>
          <w:rtl w:val="true"/>
          <w:lang w:bidi="ar-SA"/>
        </w:rPr>
        <w:t>مِن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باطلٌ‌؛ لأنّه يؤَدّي إلىٰ أنّ البياضَ يُنافي التحيُّزَ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تَنتَفي مِن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البياضَ لا يَنفي السوادَ، و أ نّه يَجتَمِعُ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تَنتَفي مِن حَيثُ كانَت سَواداً، و لا تَنتَفي مِن حَيثُ كانَت مُتَحيِّزةً‌</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كَونَها</w:t>
      </w:r>
      <w:r>
        <w:rPr>
          <w:rStyle w:val="FootnoteAnchor"/>
          <w:rtl w:val="true"/>
        </w:rPr>
        <w:footnoteReference w:id="154"/>
      </w:r>
      <w:r>
        <w:rPr>
          <w:rFonts w:ascii="Amiri" w:hAnsi="Amiri" w:eastAsia="Amiri" w:cs="Amiri"/>
          <w:color w:val="111111"/>
          <w:sz w:val="28"/>
          <w:sz w:val="28"/>
          <w:szCs w:val="28"/>
          <w:rtl w:val="true"/>
          <w:lang w:bidi="ar-SA"/>
        </w:rPr>
        <w:t>موجودةً معدومةً في حالٍ‌</w:t>
      </w:r>
      <w:r>
        <w:rPr>
          <w:rStyle w:val="FootnoteAnchor"/>
          <w:rtl w:val="true"/>
        </w:rPr>
        <w:footnoteReference w:id="155"/>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إذا كانَت واحدةً‌، و انتَفَت لأجلِ التضادِّ بَينَها</w:t>
      </w:r>
      <w:r>
        <w:rPr>
          <w:rStyle w:val="FootnoteAnchor"/>
          <w:rtl w:val="true"/>
        </w:rPr>
        <w:footnoteReference w:id="156"/>
      </w:r>
      <w:r>
        <w:rPr>
          <w:rFonts w:ascii="Amiri" w:hAnsi="Amiri" w:eastAsia="Amiri" w:cs="Amiri"/>
          <w:color w:val="111111"/>
          <w:sz w:val="28"/>
          <w:sz w:val="28"/>
          <w:szCs w:val="28"/>
          <w:rtl w:val="true"/>
          <w:lang w:bidi="ar-SA"/>
        </w:rPr>
        <w:t>و بَينَ ما يَطرأُ عليها، وَجَبَ انتفاؤها مِن كُلِّ وَجهٍ كانَت عليه، و يَكونُ انتفاءُ الصفةِ التي لا تَضادَّ بَينَها</w:t>
      </w:r>
      <w:r>
        <w:rPr>
          <w:rStyle w:val="FootnoteAnchor"/>
          <w:rtl w:val="true"/>
        </w:rPr>
        <w:footnoteReference w:id="157"/>
      </w:r>
      <w:r>
        <w:rPr>
          <w:rFonts w:ascii="Amiri" w:hAnsi="Amiri" w:eastAsia="Amiri" w:cs="Amiri"/>
          <w:color w:val="111111"/>
          <w:sz w:val="28"/>
          <w:sz w:val="28"/>
          <w:szCs w:val="28"/>
          <w:rtl w:val="true"/>
          <w:lang w:bidi="ar-SA"/>
        </w:rPr>
        <w:t>و بَينَ صفةِ الطارىِ علىٰ سَبيلِ‌</w:t>
      </w:r>
      <w:r>
        <w:rPr>
          <w:rStyle w:val="FootnoteAnchor"/>
          <w:rtl w:val="true"/>
        </w:rPr>
        <w:footnoteReference w:id="158"/>
      </w:r>
      <w:r>
        <w:rPr>
          <w:rFonts w:ascii="Amiri" w:hAnsi="Amiri" w:eastAsia="Amiri" w:cs="Amiri"/>
          <w:color w:val="111111"/>
          <w:sz w:val="28"/>
          <w:sz w:val="28"/>
          <w:szCs w:val="28"/>
          <w:rtl w:val="true"/>
          <w:lang w:bidi="ar-SA"/>
        </w:rPr>
        <w:t>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ذلكَ مَجرَى انتفاءِ العِلمِ عندَ وجودِ </w:t>
      </w:r>
    </w:p>
    <w:p>
      <w:pPr>
        <w:pStyle w:val="BookText"/>
        <w:rPr/>
      </w:pPr>
      <w:r>
        <w:rPr>
          <w:rFonts w:ascii="Amiri" w:hAnsi="Amiri" w:eastAsia="Amiri" w:cs="Amiri"/>
          <w:color w:val="111111"/>
          <w:sz w:val="28"/>
          <w:sz w:val="28"/>
          <w:szCs w:val="28"/>
          <w:rtl w:val="true"/>
          <w:lang w:bidi="ar-SA"/>
        </w:rPr>
        <w:t>الموتِ‌</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عندَ عدمِ الجَوهرِ؛ في أنّهما يَنتَفيانِ تَبَعاً، لا للتضادِّ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انتفاءُ الذاتِ الباقيةِ إلّاللتضادِّ؛ إمّا بواسطةٍ‌، أو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العِلمِ عندَ انتفاءِ الحياةِ مِن حَيثُ كانَ العِلمُ يَحتاجُ إلَى الحياةِ في وجودِه، فانتفاؤه</w:t>
      </w:r>
      <w:r>
        <w:rPr>
          <w:rStyle w:val="FootnoteAnchor"/>
          <w:rtl w:val="true"/>
        </w:rPr>
        <w:footnoteReference w:id="160"/>
      </w:r>
      <w:r>
        <w:rPr>
          <w:rFonts w:ascii="Amiri" w:hAnsi="Amiri" w:eastAsia="Amiri" w:cs="Amiri"/>
          <w:color w:val="111111"/>
          <w:sz w:val="28"/>
          <w:sz w:val="28"/>
          <w:szCs w:val="28"/>
          <w:rtl w:val="true"/>
          <w:lang w:bidi="ar-SA"/>
        </w:rPr>
        <w:t>واجبٌ مع انتفاءِ الحياةِ‌؛ و كذلكَ القولُ في الكَونِ و انتفائه عندَ انتفاءِ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يُفارِقُ ما نَحنُ فيه مِن</w:t>
      </w:r>
      <w:r>
        <w:rPr>
          <w:rStyle w:val="FootnoteAnchor"/>
          <w:rtl w:val="true"/>
        </w:rPr>
        <w:footnoteReference w:id="161"/>
      </w:r>
      <w:r>
        <w:rPr>
          <w:rFonts w:ascii="Amiri" w:hAnsi="Amiri" w:eastAsia="Amiri" w:cs="Amiri"/>
          <w:color w:val="111111"/>
          <w:sz w:val="28"/>
          <w:sz w:val="28"/>
          <w:szCs w:val="28"/>
          <w:rtl w:val="true"/>
          <w:lang w:bidi="ar-SA"/>
        </w:rPr>
        <w:t>الذاتِ الواحدةِ إذا فَرَضنا أنّها مُتَحيِّزةٌ سَوادٌ</w:t>
      </w:r>
      <w:r>
        <w:rPr>
          <w:rStyle w:val="FootnoteAnchor"/>
          <w:rtl w:val="true"/>
        </w:rPr>
        <w:footnoteReference w:id="162"/>
      </w:r>
      <w:r>
        <w:rPr>
          <w:rFonts w:ascii="Amiri" w:hAnsi="Amiri" w:eastAsia="Amiri" w:cs="Amiri"/>
          <w:color w:val="111111"/>
          <w:sz w:val="28"/>
          <w:sz w:val="28"/>
          <w:szCs w:val="28"/>
          <w:rtl w:val="true"/>
          <w:lang w:bidi="ar-SA"/>
        </w:rPr>
        <w:t>في أنّ كَونَها علىٰ إحدَى الصفتَينِ لا يَحتاجُ‌</w:t>
      </w:r>
      <w:r>
        <w:rPr>
          <w:rStyle w:val="FootnoteAnchor"/>
          <w:rtl w:val="true"/>
        </w:rPr>
        <w:footnoteReference w:id="163"/>
      </w:r>
      <w:r>
        <w:rPr>
          <w:rFonts w:ascii="Amiri" w:hAnsi="Amiri" w:eastAsia="Amiri" w:cs="Amiri"/>
          <w:color w:val="111111"/>
          <w:sz w:val="28"/>
          <w:sz w:val="28"/>
          <w:szCs w:val="28"/>
          <w:rtl w:val="true"/>
          <w:lang w:bidi="ar-SA"/>
        </w:rPr>
        <w:t>إلىٰ كَونِها علَى الأُخرىٰ‌؛ لجوازِ أن تَكونَ‌</w:t>
      </w:r>
      <w:r>
        <w:rPr>
          <w:rStyle w:val="FootnoteAnchor"/>
          <w:rtl w:val="true"/>
        </w:rPr>
        <w:footnoteReference w:id="164"/>
      </w:r>
      <w:r>
        <w:rPr>
          <w:rFonts w:ascii="Amiri" w:hAnsi="Amiri" w:eastAsia="Amiri" w:cs="Amiri"/>
          <w:color w:val="111111"/>
          <w:sz w:val="28"/>
          <w:sz w:val="28"/>
          <w:szCs w:val="28"/>
          <w:rtl w:val="true"/>
          <w:lang w:bidi="ar-SA"/>
        </w:rPr>
        <w:t>سَواداً مِن غَيرِ أن تَكونَ مُتَحيِّزةً‌، و أن تَكونَ مُتَحيِّزةً مِن غَيرِ أن تَكونَ سَواداً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إن كانَ علىٰ ما ذَكَرتم مِن أنّ إحدَى الصفتَينِ لا تَحتاجُ إلَى الأُخرىٰ كحاجةِ العِلمِ إلَى الحياةِ‌، فإنّ كَونَها مُتَحيِّزةً سَواداً يَحتاجُ‌</w:t>
      </w:r>
      <w:r>
        <w:rPr>
          <w:rStyle w:val="FootnoteAnchor"/>
          <w:rtl w:val="true"/>
        </w:rPr>
        <w:footnoteReference w:id="165"/>
      </w:r>
      <w:r>
        <w:rPr>
          <w:rFonts w:ascii="Amiri" w:hAnsi="Amiri" w:eastAsia="Amiri" w:cs="Amiri"/>
          <w:color w:val="111111"/>
          <w:sz w:val="28"/>
          <w:sz w:val="28"/>
          <w:szCs w:val="28"/>
          <w:rtl w:val="true"/>
          <w:lang w:bidi="ar-SA"/>
        </w:rPr>
        <w:t>إلىٰ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طَرأَ ضِدُّ السوادِ فانتَفَت الذاتُ مِن حَيثُ كانَت سَواداً و</w:t>
      </w:r>
      <w:r>
        <w:rPr>
          <w:rStyle w:val="FootnoteAnchor"/>
          <w:rtl w:val="true"/>
        </w:rPr>
        <w:footnoteReference w:id="166"/>
      </w:r>
      <w:r>
        <w:rPr>
          <w:rFonts w:ascii="Amiri" w:hAnsi="Amiri" w:eastAsia="Amiri" w:cs="Amiri"/>
          <w:color w:val="111111"/>
          <w:sz w:val="28"/>
          <w:sz w:val="28"/>
          <w:szCs w:val="28"/>
          <w:rtl w:val="true"/>
          <w:lang w:bidi="ar-SA"/>
        </w:rPr>
        <w:t>خَرَجَت عن الوجودِ، وَجَبَ خروجُها عن التحيُّزِ أيضاً؛ لانتفاءِ الوجودِ الذي</w:t>
      </w:r>
      <w:r>
        <w:rPr>
          <w:rStyle w:val="FootnoteAnchor"/>
          <w:rtl w:val="true"/>
        </w:rPr>
        <w:footnoteReference w:id="167"/>
      </w:r>
      <w:r>
        <w:rPr>
          <w:rFonts w:ascii="Amiri" w:hAnsi="Amiri" w:eastAsia="Amiri" w:cs="Amiri"/>
          <w:color w:val="111111"/>
          <w:sz w:val="28"/>
          <w:sz w:val="28"/>
          <w:szCs w:val="28"/>
          <w:rtl w:val="true"/>
          <w:lang w:bidi="ar-SA"/>
        </w:rPr>
        <w:t>تَحتاجُ‌</w:t>
      </w:r>
      <w:r>
        <w:rPr>
          <w:rStyle w:val="FootnoteAnchor"/>
          <w:rtl w:val="true"/>
        </w:rPr>
        <w:footnoteReference w:id="168"/>
      </w:r>
      <w:r>
        <w:rPr>
          <w:rFonts w:ascii="Amiri" w:hAnsi="Amiri" w:eastAsia="Amiri" w:cs="Amiri"/>
          <w:color w:val="111111"/>
          <w:sz w:val="28"/>
          <w:sz w:val="28"/>
          <w:szCs w:val="28"/>
          <w:rtl w:val="true"/>
          <w:lang w:bidi="ar-SA"/>
        </w:rPr>
        <w:t>إليه كِلا الصفتَينِ‌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إذا فَرَضنا كَونَها علىٰ هاتَينِ الصفتَينِ‌، فهي مِن حَيثُ كانَت علىٰ كُلِّ واحدةٍ منهما يَصِحُّ بقاؤها و استمرارُ الصفةِ لها إلىٰ أن يَطرأَ ما يُنافي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طَرأ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حَصَلَ ما يُنافي السوادَ و يُضادُّه، دونَ ما يُنافي التحيُّزَ؛ فقَد حَصَلَ في هذه الذاتِ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يَقتَضي الانتفاءَ‌، و الآخَرُ يَقتَضي</w:t>
      </w:r>
      <w:r>
        <w:rPr>
          <w:rStyle w:val="FootnoteAnchor"/>
          <w:rtl w:val="true"/>
        </w:rPr>
        <w:footnoteReference w:id="169"/>
      </w:r>
      <w:r>
        <w:rPr>
          <w:rFonts w:ascii="Amiri" w:hAnsi="Amiri" w:eastAsia="Amiri" w:cs="Amiri"/>
          <w:color w:val="111111"/>
          <w:sz w:val="28"/>
          <w:sz w:val="28"/>
          <w:szCs w:val="28"/>
          <w:rtl w:val="true"/>
          <w:lang w:bidi="ar-SA"/>
        </w:rPr>
        <w:t>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تَكونَ موجودةً معدومةً‌؛ لأنّها لَيسَ بأن تَنتَفيَ لأجلِ الموجِبِ للانتفاءِ بأَولىٰ مِن أن تَستَمِرَّ</w:t>
      </w:r>
      <w:r>
        <w:rPr>
          <w:rStyle w:val="FootnoteAnchor"/>
          <w:rtl w:val="true"/>
        </w:rPr>
        <w:footnoteReference w:id="170"/>
      </w:r>
      <w:r>
        <w:rPr>
          <w:rFonts w:ascii="Amiri" w:hAnsi="Amiri" w:eastAsia="Amiri" w:cs="Amiri"/>
          <w:color w:val="111111"/>
          <w:sz w:val="28"/>
          <w:sz w:val="28"/>
          <w:szCs w:val="28"/>
          <w:rtl w:val="true"/>
          <w:lang w:bidi="ar-SA"/>
        </w:rPr>
        <w:t>لأجلِ الوجهِ المُقتَضي للاستمرارِ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171"/>
      </w:r>
      <w:r>
        <w:rPr>
          <w:rFonts w:ascii="Amiri" w:hAnsi="Amiri" w:eastAsia="Amiri" w:cs="Amiri"/>
          <w:color w:val="111111"/>
          <w:sz w:val="28"/>
          <w:sz w:val="28"/>
          <w:szCs w:val="28"/>
          <w:rtl w:val="true"/>
          <w:lang w:bidi="ar-SA"/>
        </w:rPr>
        <w:t>كانَت بِالانتفاءِ أَولىٰ؟ لأنّ الوجهَ المُقتَضيَ للانتفاءِ طارٍ</w:t>
      </w:r>
      <w:r>
        <w:rPr>
          <w:rStyle w:val="FootnoteAnchor"/>
          <w:rtl w:val="true"/>
        </w:rPr>
        <w:footnoteReference w:id="172"/>
      </w:r>
      <w:r>
        <w:rPr>
          <w:rFonts w:ascii="Amiri" w:hAnsi="Amiri" w:eastAsia="Amiri" w:cs="Amiri"/>
          <w:color w:val="111111"/>
          <w:sz w:val="28"/>
          <w:sz w:val="28"/>
          <w:szCs w:val="28"/>
          <w:rtl w:val="true"/>
          <w:lang w:bidi="ar-SA"/>
        </w:rPr>
        <w:t>، و ما يَقتَضي الاستمرارَ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الطاري أَولىٰ بالتأثيرِ مِن الباقي</w:t>
      </w:r>
      <w:r>
        <w:rPr>
          <w:rStyle w:val="FootnoteAnchor"/>
          <w:rtl w:val="true"/>
        </w:rPr>
        <w:footnoteReference w:id="173"/>
      </w:r>
      <w:r>
        <w:rPr>
          <w:rFonts w:ascii="Amiri" w:hAnsi="Amiri" w:eastAsia="Amiri" w:cs="Amiri"/>
          <w:color w:val="111111"/>
          <w:sz w:val="28"/>
          <w:sz w:val="28"/>
          <w:szCs w:val="28"/>
          <w:rtl w:val="true"/>
          <w:lang w:bidi="ar-SA"/>
        </w:rPr>
        <w:t>كَما</w:t>
      </w:r>
      <w:r>
        <w:rPr>
          <w:rStyle w:val="FootnoteAnchor"/>
          <w:rtl w:val="true"/>
        </w:rPr>
        <w:footnoteReference w:id="174"/>
      </w:r>
      <w:r>
        <w:rPr>
          <w:rFonts w:ascii="Amiri" w:hAnsi="Amiri" w:eastAsia="Amiri" w:cs="Amiri"/>
          <w:color w:val="111111"/>
          <w:sz w:val="28"/>
          <w:sz w:val="28"/>
          <w:szCs w:val="28"/>
          <w:rtl w:val="true"/>
          <w:lang w:bidi="ar-SA"/>
        </w:rPr>
        <w:t>تَقولونَ في انتفاءِ الضدِّ بضِدِّه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يُرجَّحُ‌</w:t>
      </w:r>
      <w:r>
        <w:rPr>
          <w:rStyle w:val="FootnoteAnchor"/>
          <w:rtl w:val="true"/>
        </w:rPr>
        <w:footnoteReference w:id="175"/>
      </w:r>
      <w:r>
        <w:rPr>
          <w:rFonts w:ascii="Amiri" w:hAnsi="Amiri" w:eastAsia="Amiri" w:cs="Amiri"/>
          <w:color w:val="111111"/>
          <w:sz w:val="28"/>
          <w:sz w:val="28"/>
          <w:szCs w:val="28"/>
          <w:rtl w:val="true"/>
          <w:lang w:bidi="ar-SA"/>
        </w:rPr>
        <w:t>الطروُّ علَى البقاءِ في التأثيرِ في المَوضِعِ الذي تُقابِلُ‌</w:t>
      </w:r>
      <w:r>
        <w:rPr>
          <w:rStyle w:val="FootnoteAnchor"/>
          <w:rtl w:val="true"/>
        </w:rPr>
        <w:footnoteReference w:id="176"/>
      </w:r>
      <w:r>
        <w:rPr>
          <w:rFonts w:ascii="Amiri" w:hAnsi="Amiri" w:eastAsia="Amiri" w:cs="Amiri"/>
          <w:color w:val="111111"/>
          <w:sz w:val="28"/>
          <w:sz w:val="28"/>
          <w:szCs w:val="28"/>
          <w:rtl w:val="true"/>
          <w:lang w:bidi="ar-SA"/>
        </w:rPr>
        <w:t>فيه صفةُ كُلِّ واحدٍ مِن الضدَّينِ لصفةِ‌</w:t>
      </w:r>
      <w:r>
        <w:rPr>
          <w:rStyle w:val="FootnoteAnchor"/>
          <w:rtl w:val="true"/>
        </w:rPr>
        <w:footnoteReference w:id="177"/>
      </w:r>
      <w:r>
        <w:rPr>
          <w:rFonts w:ascii="Amiri" w:hAnsi="Amiri" w:eastAsia="Amiri" w:cs="Amiri"/>
          <w:color w:val="111111"/>
          <w:sz w:val="28"/>
          <w:sz w:val="28"/>
          <w:szCs w:val="28"/>
          <w:rtl w:val="true"/>
          <w:lang w:bidi="ar-SA"/>
        </w:rPr>
        <w:t>صاحبِه، و يَترجَّحُ‌</w:t>
      </w:r>
      <w:r>
        <w:rPr>
          <w:rStyle w:val="FootnoteAnchor"/>
          <w:rtl w:val="true"/>
        </w:rPr>
        <w:footnoteReference w:id="178"/>
      </w:r>
      <w:r>
        <w:rPr>
          <w:rFonts w:ascii="Amiri" w:hAnsi="Amiri" w:eastAsia="Amiri" w:cs="Amiri"/>
          <w:color w:val="111111"/>
          <w:sz w:val="28"/>
          <w:sz w:val="28"/>
          <w:szCs w:val="28"/>
          <w:rtl w:val="true"/>
          <w:lang w:bidi="ar-SA"/>
        </w:rPr>
        <w:t xml:space="preserve">حُكمُ الطروِّ، فيَكونُ بالوجودِ </w:t>
      </w:r>
    </w:p>
    <w:p>
      <w:pPr>
        <w:pStyle w:val="BookText"/>
        <w:rPr/>
      </w:pP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بخِلافِ ذلكَ‌؛ لأنّ الذاتَ إذا كانَت مُتَحيِّزةً سَواداً، ففيها وَجهانِ يَقتَضي كُلُّ واحدٍ منهما استمرارَ وجودِها، و البياضُ الطاري الذي فَرَضناه إنّما قابَلَ إحدَى</w:t>
      </w:r>
      <w:r>
        <w:rPr>
          <w:rStyle w:val="FootnoteAnchor"/>
          <w:rtl w:val="true"/>
        </w:rPr>
        <w:footnoteReference w:id="179"/>
      </w:r>
      <w:r>
        <w:rPr>
          <w:rFonts w:ascii="Amiri" w:hAnsi="Amiri" w:eastAsia="Amiri" w:cs="Amiri"/>
          <w:color w:val="111111"/>
          <w:sz w:val="28"/>
          <w:sz w:val="28"/>
          <w:szCs w:val="28"/>
          <w:rtl w:val="true"/>
          <w:lang w:bidi="ar-SA"/>
        </w:rPr>
        <w:t>الصفتَينِ دونَ الأُخرىٰ‌؛ و إنّما كانَ يَجِبُ أن</w:t>
      </w:r>
      <w:r>
        <w:rPr>
          <w:rStyle w:val="FootnoteAnchor"/>
          <w:rtl w:val="true"/>
        </w:rPr>
        <w:footnoteReference w:id="180"/>
      </w:r>
      <w:r>
        <w:rPr>
          <w:rFonts w:ascii="Amiri" w:hAnsi="Amiri" w:eastAsia="Amiri" w:cs="Amiri"/>
          <w:color w:val="111111"/>
          <w:sz w:val="28"/>
          <w:sz w:val="28"/>
          <w:szCs w:val="28"/>
          <w:rtl w:val="true"/>
          <w:lang w:bidi="ar-SA"/>
        </w:rPr>
        <w:t>يَترجَّحَ طُروُّه لَو لَم تَكُن هذه الذاتُ ممّا يَقتَضي استمرارَ</w:t>
      </w:r>
      <w:r>
        <w:rPr>
          <w:rStyle w:val="FootnoteAnchor"/>
          <w:rtl w:val="true"/>
        </w:rPr>
        <w:footnoteReference w:id="181"/>
      </w:r>
      <w:r>
        <w:rPr>
          <w:rFonts w:ascii="Amiri" w:hAnsi="Amiri" w:eastAsia="Amiri" w:cs="Amiri"/>
          <w:color w:val="111111"/>
          <w:sz w:val="28"/>
          <w:sz w:val="28"/>
          <w:szCs w:val="28"/>
          <w:rtl w:val="true"/>
          <w:lang w:bidi="ar-SA"/>
        </w:rPr>
        <w:t>وجودِها إلّاهذا الوجهُ الواحدُ الذي قابَلَه بصفتِه، و تَرجَّحَ‌</w:t>
      </w:r>
      <w:r>
        <w:rPr>
          <w:rStyle w:val="FootnoteAnchor"/>
          <w:rtl w:val="true"/>
        </w:rPr>
        <w:footnoteReference w:id="182"/>
      </w:r>
      <w:r>
        <w:rPr>
          <w:rFonts w:ascii="Amiri" w:hAnsi="Amiri" w:eastAsia="Amiri" w:cs="Amiri"/>
          <w:color w:val="111111"/>
          <w:sz w:val="28"/>
          <w:sz w:val="28"/>
          <w:szCs w:val="28"/>
          <w:rtl w:val="true"/>
          <w:lang w:bidi="ar-SA"/>
        </w:rPr>
        <w:t>عليه بطُروِّه؛ فأمّا إذا كانَ هُناكَ وَجهٌ آخَرُ لا مُقابَلةَ بَينَه و بَينَ هذا</w:t>
      </w:r>
      <w:r>
        <w:rPr>
          <w:rStyle w:val="FootnoteAnchor"/>
          <w:rtl w:val="true"/>
        </w:rPr>
        <w:footnoteReference w:id="183"/>
      </w:r>
      <w:r>
        <w:rPr>
          <w:rFonts w:ascii="Amiri" w:hAnsi="Amiri" w:eastAsia="Amiri" w:cs="Amiri"/>
          <w:color w:val="111111"/>
          <w:sz w:val="28"/>
          <w:sz w:val="28"/>
          <w:szCs w:val="28"/>
          <w:rtl w:val="true"/>
          <w:lang w:bidi="ar-SA"/>
        </w:rPr>
        <w:t>الضدِّ، فكَيفَ يَنتَفي به مع عدمِ التضادِّ و المُنافاةِ؟ و أيُّ‌</w:t>
      </w:r>
      <w:r>
        <w:rPr>
          <w:rStyle w:val="FootnoteAnchor"/>
          <w:rtl w:val="true"/>
        </w:rPr>
        <w:footnoteReference w:id="184"/>
      </w:r>
      <w:r>
        <w:rPr>
          <w:rFonts w:ascii="Amiri" w:hAnsi="Amiri" w:eastAsia="Amiri" w:cs="Amiri"/>
          <w:color w:val="111111"/>
          <w:sz w:val="28"/>
          <w:sz w:val="28"/>
          <w:szCs w:val="28"/>
          <w:rtl w:val="true"/>
          <w:lang w:bidi="ar-SA"/>
        </w:rPr>
        <w:t>تأثيرٍ و ترجيحٍ للطروِّ و لا مُقابَلةَ بَينَهما و لا تَضادَّ فيُرجَّحَ بالطروِّ؟</w:t>
      </w:r>
    </w:p>
    <w:p>
      <w:pPr>
        <w:pStyle w:val="BookText"/>
        <w:rPr/>
      </w:pPr>
      <w:r>
        <w:rPr>
          <w:rFonts w:ascii="Amiri" w:hAnsi="Amiri" w:eastAsia="Amiri" w:cs="Amiri"/>
          <w:color w:val="111111"/>
          <w:sz w:val="28"/>
          <w:sz w:val="28"/>
          <w:szCs w:val="28"/>
          <w:rtl w:val="true"/>
          <w:lang w:bidi="ar-SA"/>
        </w:rPr>
        <w:t>و لَيسَ لأحَدٍ أن يَمنَعَ مِن كَونِ الذاتِ الواحدةِ علَى الصفتَينِ لِما يؤَدّي إليه مِن الفَسادِ</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يَجوزُ التمسُّكُ بالأصلِ المؤَدّي إلىٰ أمرٍ مِن الأُمورِ، ثُمَّ الامتناعُ مِن القولِ المؤَدّي إليه؛ بَل يَجِبُ إذا امتَنَعنا مِن فاسدٍ أن نَمتَنِعَ مِن مُقتَضيهِ و المؤَدّي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جازَت هذه الطريقةُ لَجاز لقائلٍ أن يَذهَبَ إلىٰ أنّ قُدَرَنا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تَتعلَّقُ‌</w:t>
      </w:r>
      <w:r>
        <w:rPr>
          <w:rStyle w:val="FootnoteAnchor"/>
          <w:rtl w:val="true"/>
        </w:rPr>
        <w:footnoteReference w:id="187"/>
      </w:r>
      <w:r>
        <w:rPr>
          <w:rFonts w:ascii="Amiri" w:hAnsi="Amiri" w:eastAsia="Amiri" w:cs="Amiri"/>
          <w:color w:val="111111"/>
          <w:sz w:val="28"/>
          <w:sz w:val="28"/>
          <w:szCs w:val="28"/>
          <w:rtl w:val="true"/>
          <w:lang w:bidi="ar-SA"/>
        </w:rPr>
        <w:t>بالجواهرِ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لا يَقَعُ مِنّا فِعلُها لِما يؤَدّي إليه مِن اجتماعِ جَوهرَينِ في حَيِّزٍ واحدٍ إن فَعَلناها مُباشَرةً‌، أو امتلاءِ الظروفِ الفارغةِ‌</w:t>
      </w:r>
      <w:r>
        <w:rPr>
          <w:rStyle w:val="FootnoteAnchor"/>
          <w:rtl w:val="true"/>
        </w:rPr>
        <w:footnoteReference w:id="188"/>
      </w:r>
      <w:r>
        <w:rPr>
          <w:rFonts w:ascii="Amiri" w:hAnsi="Amiri" w:eastAsia="Amiri" w:cs="Amiri"/>
          <w:color w:val="111111"/>
          <w:sz w:val="28"/>
          <w:sz w:val="28"/>
          <w:szCs w:val="28"/>
          <w:rtl w:val="true"/>
          <w:lang w:bidi="ar-SA"/>
        </w:rPr>
        <w:t>إذا واصَلنا</w:t>
      </w:r>
      <w:r>
        <w:rPr>
          <w:rStyle w:val="FootnoteAnchor"/>
          <w:rtl w:val="true"/>
        </w:rPr>
        <w:footnoteReference w:id="189"/>
      </w:r>
      <w:r>
        <w:rPr>
          <w:rFonts w:ascii="Amiri" w:hAnsi="Amiri" w:eastAsia="Amiri" w:cs="Amiri"/>
          <w:color w:val="111111"/>
          <w:sz w:val="28"/>
          <w:sz w:val="28"/>
          <w:szCs w:val="28"/>
          <w:rtl w:val="true"/>
          <w:lang w:bidi="ar-SA"/>
        </w:rPr>
        <w:t>الاعتمادَ فيها إن فَعَلناها علىٰ سَبيلِ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مُتَمسِّكاً مع هذا الامتناعِ بالقولِ المؤَدّي إليه، و هو أنّ القُدَرَ</w:t>
      </w:r>
      <w:r>
        <w:rPr>
          <w:rStyle w:val="FootnoteAnchor"/>
          <w:rtl w:val="true"/>
        </w:rPr>
        <w:footnoteReference w:id="190"/>
      </w:r>
      <w:r>
        <w:rPr>
          <w:rFonts w:ascii="Amiri" w:hAnsi="Amiri" w:eastAsia="Amiri" w:cs="Amiri"/>
          <w:color w:val="111111"/>
          <w:sz w:val="28"/>
          <w:sz w:val="28"/>
          <w:szCs w:val="28"/>
          <w:rtl w:val="true"/>
          <w:lang w:bidi="ar-SA"/>
        </w:rPr>
        <w:t>مُتَعلِّقةٌ بالجَواهرِ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تَمتَنِعونَ‌</w:t>
      </w:r>
      <w:r>
        <w:rPr>
          <w:rStyle w:val="FootnoteAnchor"/>
          <w:rtl w:val="true"/>
        </w:rPr>
        <w:footnoteReference w:id="191"/>
      </w:r>
      <w:r>
        <w:rPr>
          <w:rFonts w:ascii="Amiri" w:hAnsi="Amiri" w:eastAsia="Amiri" w:cs="Amiri"/>
          <w:color w:val="111111"/>
          <w:sz w:val="28"/>
          <w:sz w:val="28"/>
          <w:szCs w:val="28"/>
          <w:rtl w:val="true"/>
          <w:lang w:bidi="ar-SA"/>
        </w:rPr>
        <w:t>مِن وجودِ الحياةِ في مَوضِعِ الاتّصالِ بَينَ زَيدٍ و عَمرٍو؛ لِما يؤَدّي إليه مِن فَسادٍ</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عِبتُم مِثلَه‌؟</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نَمتَنِعْ‌</w:t>
      </w:r>
      <w:r>
        <w:rPr>
          <w:rStyle w:val="FootnoteAnchor"/>
          <w:rtl w:val="true"/>
        </w:rPr>
        <w:footnoteReference w:id="193"/>
      </w:r>
      <w:r>
        <w:rPr>
          <w:rFonts w:ascii="Amiri" w:hAnsi="Amiri" w:eastAsia="Amiri" w:cs="Amiri"/>
          <w:color w:val="111111"/>
          <w:sz w:val="28"/>
          <w:sz w:val="28"/>
          <w:szCs w:val="28"/>
          <w:rtl w:val="true"/>
          <w:lang w:bidi="ar-SA"/>
        </w:rPr>
        <w:t>مِن وجودِ الحياةِ بحَيثُ الاتّصالِ لِما يؤَدّي إليه مِن الفَسادِ؛ بَل لوجهٍ صحيحٍ ثابتٍ‌، وهو أنّ كَونَ‌</w:t>
      </w:r>
      <w:r>
        <w:rPr>
          <w:rStyle w:val="FootnoteAnchor"/>
          <w:rtl w:val="true"/>
        </w:rPr>
        <w:footnoteReference w:id="194"/>
      </w:r>
      <w:r>
        <w:rPr>
          <w:rFonts w:ascii="Amiri" w:hAnsi="Amiri" w:eastAsia="Amiri" w:cs="Amiri"/>
          <w:color w:val="111111"/>
          <w:sz w:val="28"/>
          <w:sz w:val="28"/>
          <w:szCs w:val="28"/>
          <w:rtl w:val="true"/>
          <w:lang w:bidi="ar-SA"/>
        </w:rPr>
        <w:t>العضوِ الواحدِ بعضاً لحَيَّينِ في حُكمِ المُتَنافي؛ لأنّ مِن شأنِ ما يَكونُ بعضاً لزَيدٍ أن لا يَكونَ بعضاً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معقولٌ لا يُمكِنُ أن يُشارَ إلىٰ مِثلِه في المَنعِ مِن كَونِ الجوهرِ سَواداً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نُشيرُ إلىٰ حُكمٍ يوجِبُ التنافيَ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الذاتِ سَواداً يَقتَضي أن تَنتَفيَ‌</w:t>
      </w:r>
      <w:r>
        <w:rPr>
          <w:rStyle w:val="FootnoteAnchor"/>
          <w:rtl w:val="true"/>
        </w:rPr>
        <w:footnoteReference w:id="195"/>
      </w:r>
      <w:r>
        <w:rPr>
          <w:rFonts w:ascii="Amiri" w:hAnsi="Amiri" w:eastAsia="Amiri" w:cs="Amiri"/>
          <w:color w:val="111111"/>
          <w:sz w:val="28"/>
          <w:sz w:val="28"/>
          <w:szCs w:val="28"/>
          <w:rtl w:val="true"/>
          <w:lang w:bidi="ar-SA"/>
        </w:rPr>
        <w:t>بالبياضِ‌، و كَونَها مُتَحيِّزةً يَقتَضي أن لا تَنتَفيَ‌</w:t>
      </w:r>
      <w:r>
        <w:rPr>
          <w:rStyle w:val="FootnoteAnchor"/>
          <w:rtl w:val="true"/>
        </w:rPr>
        <w:footnoteReference w:id="196"/>
      </w:r>
      <w:r>
        <w:rPr>
          <w:rFonts w:ascii="Amiri" w:hAnsi="Amiri" w:eastAsia="Amiri" w:cs="Amiri"/>
          <w:color w:val="111111"/>
          <w:sz w:val="28"/>
          <w:sz w:val="28"/>
          <w:szCs w:val="28"/>
          <w:rtl w:val="true"/>
          <w:lang w:bidi="ar-SA"/>
        </w:rPr>
        <w:t>به؛ و هذانِ حُكمانِ مُتَنافيانِ‌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المُتَحيِّزِ مُتَحيِّزاً لَيسَ بمُقتَضٍ‌</w:t>
      </w:r>
      <w:r>
        <w:rPr>
          <w:rStyle w:val="FootnoteAnchor"/>
          <w:rtl w:val="true"/>
        </w:rPr>
        <w:footnoteReference w:id="197"/>
      </w:r>
      <w:r>
        <w:rPr>
          <w:rFonts w:ascii="Amiri" w:hAnsi="Amiri" w:eastAsia="Amiri" w:cs="Amiri"/>
          <w:color w:val="111111"/>
          <w:sz w:val="28"/>
          <w:sz w:val="28"/>
          <w:szCs w:val="28"/>
          <w:rtl w:val="true"/>
          <w:lang w:bidi="ar-SA"/>
        </w:rPr>
        <w:t>أن لا يَنتَفيَ بالبياضِ‌؛ لأنّ التنافيَ إذا كانَ مقصوراً علىٰ أمرٍ، فالذي له لا يقعُ التنافي زَوالُ ذلكَ الأمرِ؛ سَواءٌ حَصَلَت صفةٌ أُخرىٰ أَم لَم تَحصُلْ‌</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نَفَينا أن يَكونَ للعاجزِ بكَونِه عاجزاً حالٌ‌؛ لأنّ صحّةَ الفعلِ إذا اقتَضاها كَونُ القادرِ قادراً، فبخُروجِه مِن هذه الصفةِ يَتعذَّرُ</w:t>
      </w:r>
      <w:r>
        <w:rPr>
          <w:rStyle w:val="FootnoteAnchor"/>
          <w:rtl w:val="true"/>
        </w:rPr>
        <w:footnoteReference w:id="199"/>
      </w:r>
      <w:r>
        <w:rPr>
          <w:rFonts w:ascii="Amiri" w:hAnsi="Amiri" w:eastAsia="Amiri" w:cs="Amiri"/>
          <w:color w:val="111111"/>
          <w:sz w:val="28"/>
          <w:sz w:val="28"/>
          <w:szCs w:val="28"/>
          <w:rtl w:val="true"/>
          <w:lang w:bidi="ar-SA"/>
        </w:rPr>
        <w:t>الفعلُ‌؛ حَصَلَت صفةٌ أُخرىٰ أَم</w:t>
      </w:r>
      <w:r>
        <w:rPr>
          <w:rStyle w:val="FootnoteAnchor"/>
          <w:rtl w:val="true"/>
        </w:rPr>
        <w:footnoteReference w:id="200"/>
      </w:r>
      <w:r>
        <w:rPr>
          <w:rFonts w:ascii="Amiri" w:hAnsi="Amiri" w:eastAsia="Amiri" w:cs="Amiri"/>
          <w:color w:val="111111"/>
          <w:sz w:val="28"/>
          <w:sz w:val="28"/>
          <w:szCs w:val="28"/>
          <w:rtl w:val="true"/>
          <w:lang w:bidi="ar-SA"/>
        </w:rPr>
        <w:t>لَم تَحصُلْ‌، فإثباتُه علىٰ صفةٍ لأَجلِ تَعذُّرِ الفعلِ إثباتُ‌</w:t>
      </w:r>
      <w:r>
        <w:rPr>
          <w:rStyle w:val="FootnoteAnchor"/>
          <w:rtl w:val="true"/>
        </w:rPr>
        <w:footnoteReference w:id="201"/>
      </w:r>
      <w:r>
        <w:rPr>
          <w:rFonts w:ascii="Amiri" w:hAnsi="Amiri" w:eastAsia="Amiri" w:cs="Amiri"/>
          <w:color w:val="111111"/>
          <w:sz w:val="28"/>
          <w:sz w:val="28"/>
          <w:szCs w:val="28"/>
          <w:rtl w:val="true"/>
          <w:lang w:bidi="ar-SA"/>
        </w:rPr>
        <w:t>صفةٍ لا 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البياضُ إنّما يَنفي ما يُخالِفُه</w:t>
      </w:r>
      <w:r>
        <w:rPr>
          <w:rStyle w:val="FootnoteAnchor"/>
          <w:rtl w:val="true"/>
        </w:rPr>
        <w:footnoteReference w:id="202"/>
      </w:r>
      <w:r>
        <w:rPr>
          <w:rFonts w:ascii="Amiri" w:hAnsi="Amiri" w:eastAsia="Amiri" w:cs="Amiri"/>
          <w:color w:val="111111"/>
          <w:sz w:val="28"/>
          <w:sz w:val="28"/>
          <w:szCs w:val="28"/>
          <w:rtl w:val="true"/>
          <w:lang w:bidi="ar-SA"/>
        </w:rPr>
        <w:t>مِن الألوانِ‌، فخروجُ الذاتِ مِن أن تَكونَ لَوناً يُخالِفُ البياضَ يَكفي في عدمِ المُنافاةِ للبياضِ‌؛ فلا حَظَّ للتحيُّزِ في الحُكمِ المُشارِ إليه، و هو أن لا يَنتَفيَ بالبياضِ‌</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04"/>
      </w:r>
      <w:r>
        <w:rPr>
          <w:rFonts w:ascii="Amiri" w:hAnsi="Amiri" w:eastAsia="Amiri" w:cs="Amiri"/>
          <w:color w:val="111111"/>
          <w:sz w:val="28"/>
          <w:sz w:val="28"/>
          <w:szCs w:val="28"/>
          <w:rtl w:val="true"/>
          <w:lang w:bidi="ar-SA"/>
        </w:rPr>
        <w:t>كانَ كُلُّ حُكمٍ عَقَلناه في العدمِ يَجِبُ أن يَكونَ له مُقتَضٍ ثابتٌ‌</w:t>
      </w:r>
      <w:r>
        <w:rPr>
          <w:rStyle w:val="FootnoteAnchor"/>
          <w:rtl w:val="true"/>
        </w:rPr>
        <w:footnoteReference w:id="205"/>
      </w:r>
      <w:r>
        <w:rPr>
          <w:rFonts w:ascii="Amiri" w:hAnsi="Amiri" w:eastAsia="Amiri" w:cs="Amiri"/>
          <w:color w:val="111111"/>
          <w:sz w:val="28"/>
          <w:sz w:val="28"/>
          <w:szCs w:val="28"/>
          <w:rtl w:val="true"/>
          <w:lang w:bidi="ar-SA"/>
        </w:rPr>
        <w:t>في الحالِ‌، فهذا يوجِبُ عليكم أن تَقولوا</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الجواهرَ المعدومةَ التي بها يَدخُلُ زَيدٌ في أن يَكونَ شَخصاً بعَينِه، إنّما</w:t>
      </w:r>
      <w:r>
        <w:rPr>
          <w:rStyle w:val="FootnoteAnchor"/>
          <w:rtl w:val="true"/>
        </w:rPr>
        <w:footnoteReference w:id="207"/>
      </w:r>
      <w:r>
        <w:rPr>
          <w:rFonts w:ascii="Amiri" w:hAnsi="Amiri" w:eastAsia="Amiri" w:cs="Amiri"/>
          <w:color w:val="111111"/>
          <w:sz w:val="28"/>
          <w:sz w:val="28"/>
          <w:szCs w:val="28"/>
          <w:rtl w:val="true"/>
          <w:lang w:bidi="ar-SA"/>
        </w:rPr>
        <w:t xml:space="preserve">اختَصَّت به، و لَم يَجُز </w:t>
      </w:r>
    </w:p>
    <w:p>
      <w:pPr>
        <w:pStyle w:val="BookText"/>
        <w:rPr/>
      </w:pPr>
      <w:r>
        <w:rPr>
          <w:rFonts w:ascii="Amiri" w:hAnsi="Amiri" w:eastAsia="Amiri" w:cs="Amiri"/>
          <w:color w:val="111111"/>
          <w:sz w:val="28"/>
          <w:sz w:val="28"/>
          <w:szCs w:val="28"/>
          <w:rtl w:val="true"/>
          <w:lang w:bidi="ar-SA"/>
        </w:rPr>
        <w:t>أن تَكونَ‌</w:t>
      </w:r>
      <w:r>
        <w:rPr>
          <w:rStyle w:val="FootnoteAnchor"/>
          <w:rtl w:val="true"/>
        </w:rPr>
        <w:footnoteReference w:id="208"/>
      </w:r>
      <w:r>
        <w:rPr>
          <w:rFonts w:ascii="Amiri" w:hAnsi="Amiri" w:eastAsia="Amiri" w:cs="Amiri"/>
          <w:color w:val="111111"/>
          <w:sz w:val="28"/>
          <w:sz w:val="28"/>
          <w:szCs w:val="28"/>
          <w:rtl w:val="true"/>
          <w:lang w:bidi="ar-SA"/>
        </w:rPr>
        <w:t>مِن جُملةِ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معقولٌ قد اختَصَّ في حالِ العدمِ بمُقتَضٍ‌</w:t>
      </w:r>
      <w:r>
        <w:rPr>
          <w:rStyle w:val="FootnoteAnchor"/>
          <w:rtl w:val="true"/>
        </w:rPr>
        <w:footnoteReference w:id="209"/>
      </w:r>
      <w:r>
        <w:rPr>
          <w:rFonts w:ascii="Amiri" w:hAnsi="Amiri" w:eastAsia="Amiri" w:cs="Amiri"/>
          <w:color w:val="111111"/>
          <w:sz w:val="28"/>
          <w:sz w:val="28"/>
          <w:szCs w:val="28"/>
          <w:rtl w:val="true"/>
          <w:lang w:bidi="ar-SA"/>
        </w:rPr>
        <w:t>لذلكَ‌، و أنتم لا تُشيرونَ إلىٰ مُقتَضٍ لهذا الحُكمِ البتّةَ‌؛ فألّا جازَ لنا في الذاتِ التي مِن شأنِها إذا وُجِدَت أن يَجِبَ تَحَيُّزُها، أن نَنفيَ‌</w:t>
      </w:r>
      <w:r>
        <w:rPr>
          <w:rStyle w:val="FootnoteAnchor"/>
          <w:rtl w:val="true"/>
        </w:rPr>
        <w:footnoteReference w:id="210"/>
      </w:r>
      <w:r>
        <w:rPr>
          <w:rFonts w:ascii="Amiri" w:hAnsi="Amiri" w:eastAsia="Amiri" w:cs="Amiri"/>
          <w:color w:val="111111"/>
          <w:sz w:val="28"/>
          <w:sz w:val="28"/>
          <w:szCs w:val="28"/>
          <w:rtl w:val="true"/>
          <w:lang w:bidi="ar-SA"/>
        </w:rPr>
        <w:t>مُقتَضياً لهذا الحُكمِ فيها</w:t>
      </w:r>
      <w:r>
        <w:rPr>
          <w:rStyle w:val="FootnoteAnchor"/>
          <w:rtl w:val="true"/>
        </w:rPr>
        <w:footnoteReference w:id="211"/>
      </w:r>
      <w:r>
        <w:rPr>
          <w:rFonts w:ascii="IRNazanin" w:hAnsi="IRNazanin" w:eastAsia="IRNazanin"/>
          <w:color w:val="111111"/>
          <w:sz w:val="28"/>
          <w:sz w:val="28"/>
          <w:szCs w:val="28"/>
          <w:rtl w:val="true"/>
          <w:lang w:bidi="fa-IR"/>
        </w:rPr>
        <w:t>؟</w:t>
      </w:r>
      <w:r>
        <w:rPr>
          <w:rStyle w:val="FootnoteAnchor"/>
          <w:rtl w:val="true"/>
        </w:rPr>
        <w:footnoteReference w:id="21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متىٰ عَلَّلناه</w:t>
      </w:r>
      <w:r>
        <w:rPr>
          <w:rStyle w:val="FootnoteAnchor"/>
          <w:rtl w:val="true"/>
        </w:rPr>
        <w:footnoteReference w:id="213"/>
      </w:r>
      <w:r>
        <w:rPr>
          <w:rFonts w:ascii="Amiri" w:hAnsi="Amiri" w:eastAsia="Amiri" w:cs="Amiri"/>
          <w:color w:val="111111"/>
          <w:sz w:val="28"/>
          <w:sz w:val="28"/>
          <w:szCs w:val="28"/>
          <w:rtl w:val="true"/>
          <w:lang w:bidi="ar-SA"/>
        </w:rPr>
        <w:t>لَم يُمكِنْ‌</w:t>
      </w:r>
      <w:r>
        <w:rPr>
          <w:rStyle w:val="FootnoteAnchor"/>
          <w:rtl w:val="true"/>
        </w:rPr>
        <w:footnoteReference w:id="214"/>
      </w:r>
      <w:r>
        <w:rPr>
          <w:rFonts w:ascii="Amiri" w:hAnsi="Amiri" w:eastAsia="Amiri" w:cs="Amiri"/>
          <w:color w:val="111111"/>
          <w:sz w:val="28"/>
          <w:sz w:val="28"/>
          <w:szCs w:val="28"/>
          <w:rtl w:val="true"/>
          <w:lang w:bidi="ar-SA"/>
        </w:rPr>
        <w:t>إسنادُه إلىٰ عِلّةٍ صحيحةٍ‌، فيَجِبُ الامتناعُ مِن تعليلهِ‌؛ والأُصولُ كُلُّها شاهدةٌ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اختصاصَ بعضِ الجواهرِ بحَيٍّ دونَ آخَرَ ممّا لا يُمكِنُ تعليلُه؛ لأنّا إن عَلَّلناه بالنفسِ‌</w:t>
      </w:r>
      <w:r>
        <w:rPr>
          <w:rStyle w:val="FootnoteAnchor"/>
          <w:rtl w:val="true"/>
        </w:rPr>
        <w:footnoteReference w:id="215"/>
      </w:r>
      <w:r>
        <w:rPr>
          <w:rFonts w:ascii="Amiri" w:hAnsi="Amiri" w:eastAsia="Amiri" w:cs="Amiri"/>
          <w:color w:val="111111"/>
          <w:sz w:val="28"/>
          <w:sz w:val="28"/>
          <w:szCs w:val="28"/>
          <w:rtl w:val="true"/>
          <w:lang w:bidi="ar-SA"/>
        </w:rPr>
        <w:t>وَجَبَ أن يَشيعَ هذا الحُكمُ في جنسِ‌</w:t>
      </w:r>
      <w:r>
        <w:rPr>
          <w:rStyle w:val="FootnoteAnchor"/>
          <w:rtl w:val="true"/>
        </w:rPr>
        <w:footnoteReference w:id="216"/>
      </w:r>
      <w:r>
        <w:rPr>
          <w:rFonts w:ascii="Amiri" w:hAnsi="Amiri" w:eastAsia="Amiri" w:cs="Amiri"/>
          <w:color w:val="111111"/>
          <w:sz w:val="28"/>
          <w:sz w:val="28"/>
          <w:szCs w:val="28"/>
          <w:rtl w:val="true"/>
          <w:lang w:bidi="ar-SA"/>
        </w:rPr>
        <w:t>الجواهرِ؛ و معلومٌ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عَلَّلناه بعِلّةٍ فالجواهرُ المعدومةُ‌</w:t>
      </w:r>
      <w:r>
        <w:rPr>
          <w:rStyle w:val="FootnoteAnchor"/>
          <w:rtl w:val="true"/>
        </w:rPr>
        <w:footnoteReference w:id="217"/>
      </w:r>
      <w:r>
        <w:rPr>
          <w:rFonts w:ascii="Amiri" w:hAnsi="Amiri" w:eastAsia="Amiri" w:cs="Amiri"/>
          <w:color w:val="111111"/>
          <w:sz w:val="28"/>
          <w:sz w:val="28"/>
          <w:szCs w:val="28"/>
          <w:rtl w:val="true"/>
          <w:lang w:bidi="ar-SA"/>
        </w:rPr>
        <w:t>لا يَجوزُ أن تُعَلَّلَ أحكامُها</w:t>
      </w:r>
      <w:r>
        <w:rPr>
          <w:rStyle w:val="FootnoteAnchor"/>
          <w:rtl w:val="true"/>
        </w:rPr>
        <w:footnoteReference w:id="218"/>
      </w:r>
      <w:r>
        <w:rPr>
          <w:rFonts w:ascii="Amiri" w:hAnsi="Amiri" w:eastAsia="Amiri" w:cs="Amiri"/>
          <w:color w:val="111111"/>
          <w:sz w:val="28"/>
          <w:sz w:val="28"/>
          <w:szCs w:val="28"/>
          <w:rtl w:val="true"/>
          <w:lang w:bidi="ar-SA"/>
        </w:rPr>
        <w:t>في حالِ العدمِ بعِلّةٍ‌؛ لأنّ مِن شأنِ العِلّةِ أن تَختَصَّ بالمُعلَّلِ‌، و إنّما تَختَصُّ الجَوهرَ</w:t>
      </w:r>
      <w:r>
        <w:rPr>
          <w:rStyle w:val="FootnoteAnchor"/>
          <w:rtl w:val="true"/>
        </w:rPr>
        <w:footnoteReference w:id="219"/>
      </w:r>
      <w:r>
        <w:rPr>
          <w:rFonts w:ascii="Amiri" w:hAnsi="Amiri" w:eastAsia="Amiri" w:cs="Amiri"/>
          <w:color w:val="111111"/>
          <w:sz w:val="28"/>
          <w:sz w:val="28"/>
          <w:szCs w:val="28"/>
          <w:rtl w:val="true"/>
          <w:lang w:bidi="ar-SA"/>
        </w:rPr>
        <w:t xml:space="preserve">بأن توجَدَ فيه، و المعدومُ‌ </w:t>
      </w:r>
    </w:p>
    <w:p>
      <w:pPr>
        <w:pStyle w:val="BookText"/>
        <w:rPr/>
      </w:pPr>
      <w:r>
        <w:rPr>
          <w:rFonts w:ascii="Amiri" w:hAnsi="Amiri" w:eastAsia="Amiri" w:cs="Amiri"/>
          <w:color w:val="111111"/>
          <w:sz w:val="28"/>
          <w:sz w:val="28"/>
          <w:szCs w:val="28"/>
          <w:rtl w:val="true"/>
          <w:lang w:bidi="ar-SA"/>
        </w:rPr>
        <w:t>لا يَجوزُ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عَلَّلناه</w:t>
      </w:r>
      <w:r>
        <w:rPr>
          <w:rStyle w:val="FootnoteAnchor"/>
          <w:rtl w:val="true"/>
        </w:rPr>
        <w:footnoteReference w:id="220"/>
      </w:r>
      <w:r>
        <w:rPr>
          <w:rFonts w:ascii="Amiri" w:hAnsi="Amiri" w:eastAsia="Amiri" w:cs="Amiri"/>
          <w:color w:val="111111"/>
          <w:sz w:val="28"/>
          <w:sz w:val="28"/>
          <w:szCs w:val="28"/>
          <w:rtl w:val="true"/>
          <w:lang w:bidi="ar-SA"/>
        </w:rPr>
        <w:t>بالفاعلِ فهو أيضاً باطلٌ‌؛ لأنّ تأثيرَ الفاعلِ‌</w:t>
      </w:r>
      <w:r>
        <w:rPr>
          <w:rStyle w:val="FootnoteAnchor"/>
          <w:rtl w:val="true"/>
        </w:rPr>
        <w:footnoteReference w:id="221"/>
      </w:r>
      <w:r>
        <w:rPr>
          <w:rFonts w:ascii="Amiri" w:hAnsi="Amiri" w:eastAsia="Amiri" w:cs="Amiri"/>
          <w:color w:val="111111"/>
          <w:sz w:val="28"/>
          <w:sz w:val="28"/>
          <w:szCs w:val="28"/>
          <w:rtl w:val="true"/>
          <w:lang w:bidi="ar-SA"/>
        </w:rPr>
        <w:t>إنّما يَكونُ فيما حَدَثَ‌، دونَ ما العدمُ مُستَمِرٌّ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تعليلُ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ما أشَرنا إليه مِن وجوبِ تَحيُّزِ الجَوهرِ متىٰ وُجِدَ؛ لأنّ تعليلَ هذا الحُكمِ مُمكِنٌ بصفةِ الذاتِ‌؛ لأنّه شائعٌ في جنسِ‌</w:t>
      </w:r>
      <w:r>
        <w:rPr>
          <w:rStyle w:val="FootnoteAnchor"/>
          <w:rtl w:val="true"/>
        </w:rPr>
        <w:footnoteReference w:id="222"/>
      </w:r>
      <w:r>
        <w:rPr>
          <w:rFonts w:ascii="Amiri" w:hAnsi="Amiri" w:eastAsia="Amiri" w:cs="Amiri"/>
          <w:color w:val="111111"/>
          <w:sz w:val="28"/>
          <w:sz w:val="28"/>
          <w:szCs w:val="28"/>
          <w:rtl w:val="true"/>
          <w:lang w:bidi="ar-SA"/>
        </w:rPr>
        <w:t>الجواهِر، وكُلُّ حُكمٍ عَقَلناه فالأصلُ فيه التعليلُ إلّالمانعٍ‌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يُمكِنُ أن يُستَدَلَّ به علىٰ أنّ كَونَ المُتَحيِّزِ مُتَحيِّزاً</w:t>
      </w:r>
      <w:r>
        <w:rPr>
          <w:rStyle w:val="FootnoteAnchor"/>
          <w:rtl w:val="true"/>
        </w:rPr>
        <w:footnoteReference w:id="223"/>
      </w:r>
      <w:r>
        <w:rPr>
          <w:rFonts w:ascii="Amiri" w:hAnsi="Amiri" w:eastAsia="Amiri" w:cs="Amiri"/>
          <w:color w:val="111111"/>
          <w:sz w:val="28"/>
          <w:sz w:val="28"/>
          <w:szCs w:val="28"/>
          <w:rtl w:val="true"/>
          <w:lang w:bidi="ar-SA"/>
        </w:rPr>
        <w:t>لا يَكونُ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 بالفاعلِ لَجازَ أن يَجعَلَه بصفةِ جنسٍ آخَرَ، مِن كَونٍ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أن تَكونَ‌</w:t>
      </w:r>
      <w:r>
        <w:rPr>
          <w:rStyle w:val="FootnoteAnchor"/>
          <w:rtl w:val="true"/>
        </w:rPr>
        <w:footnoteReference w:id="224"/>
      </w:r>
      <w:r>
        <w:rPr>
          <w:rFonts w:ascii="Amiri" w:hAnsi="Amiri" w:eastAsia="Amiri" w:cs="Amiri"/>
          <w:color w:val="111111"/>
          <w:sz w:val="28"/>
          <w:sz w:val="28"/>
          <w:szCs w:val="28"/>
          <w:rtl w:val="true"/>
          <w:lang w:bidi="ar-SA"/>
        </w:rPr>
        <w:t>الذاتُ بصفةِ التحيُّزِ و الكَونِ لَصَحَّ فيما نَقدِرُ</w:t>
      </w:r>
      <w:r>
        <w:rPr>
          <w:rStyle w:val="FootnoteAnchor"/>
          <w:rtl w:val="true"/>
        </w:rPr>
        <w:footnoteReference w:id="225"/>
      </w:r>
      <w:r>
        <w:rPr>
          <w:rFonts w:ascii="Amiri" w:hAnsi="Amiri" w:eastAsia="Amiri" w:cs="Amiri"/>
          <w:color w:val="111111"/>
          <w:sz w:val="28"/>
          <w:sz w:val="28"/>
          <w:szCs w:val="28"/>
          <w:rtl w:val="true"/>
          <w:lang w:bidi="ar-SA"/>
        </w:rPr>
        <w:t>عليه مِن الأكوانِ أن يَكونَ بهاتَينِ الصفتَينِ‌؛ فكانَ يَصِحُّ مِن أحَدِنا أن يَجعَلَ مقدورَه مِن الكَونِ بصفةِ التحيُّزِ؛ لأنّه لا تَنافيَ بَينَ الصفتَينِ‌، علىٰ ما قَدَّمناه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أحَدَنا لا يَقدِرُ علىٰ تحصيلِ ذاتٍ مِن الذواتِ بصفةِ التحيُّزِ، و إن قَدَرَ علىٰ ذلكَ القَديمُ سُبحانَه</w:t>
      </w:r>
      <w:r>
        <w:rPr>
          <w:rStyle w:val="FootnoteAnchor"/>
          <w:rtl w:val="true"/>
        </w:rPr>
        <w:footnoteReference w:id="226"/>
      </w:r>
      <w:r>
        <w:rPr>
          <w:rFonts w:ascii="Amiri" w:hAnsi="Amiri" w:eastAsia="Amiri" w:cs="Amiri"/>
          <w:color w:val="111111"/>
          <w:sz w:val="28"/>
          <w:sz w:val="28"/>
          <w:szCs w:val="28"/>
          <w:rtl w:val="true"/>
          <w:lang w:bidi="ar-SA"/>
        </w:rPr>
        <w:t>كَما أنّه تَعالىٰ‌</w:t>
      </w:r>
      <w:r>
        <w:rPr>
          <w:rStyle w:val="FootnoteAnchor"/>
          <w:rtl w:val="true"/>
        </w:rPr>
        <w:footnoteReference w:id="227"/>
      </w:r>
      <w:r>
        <w:rPr>
          <w:rFonts w:ascii="Amiri" w:hAnsi="Amiri" w:eastAsia="Amiri" w:cs="Amiri"/>
          <w:color w:val="111111"/>
          <w:sz w:val="28"/>
          <w:sz w:val="28"/>
          <w:szCs w:val="28"/>
          <w:rtl w:val="true"/>
          <w:lang w:bidi="ar-SA"/>
        </w:rPr>
        <w:t xml:space="preserve">عندَكم قادرٌ علىٰ‌ </w:t>
      </w:r>
    </w:p>
    <w:p>
      <w:pPr>
        <w:pStyle w:val="BookText"/>
        <w:rPr/>
      </w:pPr>
      <w:r>
        <w:rPr>
          <w:rFonts w:ascii="Amiri" w:hAnsi="Amiri" w:eastAsia="Amiri" w:cs="Amiri"/>
          <w:color w:val="111111"/>
          <w:sz w:val="28"/>
          <w:sz w:val="28"/>
          <w:szCs w:val="28"/>
          <w:rtl w:val="true"/>
          <w:lang w:bidi="ar-SA"/>
        </w:rPr>
        <w:t>إيجادِ جنسِ الجواهرِ</w:t>
      </w:r>
      <w:r>
        <w:rPr>
          <w:rStyle w:val="FootnoteAnchor"/>
          <w:rtl w:val="true"/>
        </w:rPr>
        <w:footnoteReference w:id="228"/>
      </w:r>
      <w:r>
        <w:rPr>
          <w:rFonts w:ascii="Amiri" w:hAnsi="Amiri" w:eastAsia="Amiri" w:cs="Amiri"/>
          <w:color w:val="111111"/>
          <w:sz w:val="28"/>
          <w:sz w:val="28"/>
          <w:szCs w:val="28"/>
          <w:rtl w:val="true"/>
          <w:lang w:bidi="ar-SA"/>
        </w:rPr>
        <w:t>و إن لَم نَكُن</w:t>
      </w:r>
      <w:r>
        <w:rPr>
          <w:rStyle w:val="FootnoteAnchor"/>
          <w:rtl w:val="true"/>
        </w:rPr>
        <w:footnoteReference w:id="229"/>
      </w:r>
      <w:r>
        <w:rPr>
          <w:rFonts w:ascii="Amiri" w:hAnsi="Amiri" w:eastAsia="Amiri" w:cs="Amiri"/>
          <w:color w:val="111111"/>
          <w:sz w:val="28"/>
          <w:sz w:val="28"/>
          <w:szCs w:val="28"/>
          <w:rtl w:val="true"/>
          <w:lang w:bidi="ar-SA"/>
        </w:rPr>
        <w:t>قادرينَ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شأنِ الصفاتِ التي تَكونُ بالفاعلِ أن لا يَقَعَ بَينَ الفاعلِينَ فيها</w:t>
      </w:r>
      <w:r>
        <w:rPr>
          <w:rStyle w:val="FootnoteAnchor"/>
          <w:rtl w:val="true"/>
        </w:rPr>
        <w:footnoteReference w:id="230"/>
      </w:r>
      <w:r>
        <w:rPr>
          <w:rFonts w:ascii="Amiri" w:hAnsi="Amiri" w:eastAsia="Amiri" w:cs="Amiri"/>
          <w:color w:val="111111"/>
          <w:sz w:val="28"/>
          <w:sz w:val="28"/>
          <w:szCs w:val="28"/>
          <w:rtl w:val="true"/>
          <w:lang w:bidi="ar-SA"/>
        </w:rPr>
        <w:t>اختصاصٌ‌، فمَن قَدَرَ علىٰ بعضِها قَدَرَ علىٰ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كلامَ أحَدِنا لمّا صَحَّ أن يَكونَ خبراً و أمراً و علىٰ سائرِ ضروبِ الكلامِ‌، وَجَبَ فيمن قَدَرَ علىٰ‌</w:t>
      </w:r>
      <w:r>
        <w:rPr>
          <w:rStyle w:val="FootnoteAnchor"/>
          <w:rtl w:val="true"/>
        </w:rPr>
        <w:footnoteReference w:id="231"/>
      </w:r>
      <w:r>
        <w:rPr>
          <w:rFonts w:ascii="Amiri" w:hAnsi="Amiri" w:eastAsia="Amiri" w:cs="Amiri"/>
          <w:color w:val="111111"/>
          <w:sz w:val="28"/>
          <w:sz w:val="28"/>
          <w:szCs w:val="28"/>
          <w:rtl w:val="true"/>
          <w:lang w:bidi="ar-SA"/>
        </w:rPr>
        <w:t>أن يَجعَلَه علىٰ بعضِ هذه</w:t>
      </w:r>
      <w:r>
        <w:rPr>
          <w:rStyle w:val="FootnoteAnchor"/>
          <w:rtl w:val="true"/>
        </w:rPr>
        <w:footnoteReference w:id="232"/>
      </w:r>
      <w:r>
        <w:rPr>
          <w:rFonts w:ascii="Amiri" w:hAnsi="Amiri" w:eastAsia="Amiri" w:cs="Amiri"/>
          <w:color w:val="111111"/>
          <w:sz w:val="28"/>
          <w:sz w:val="28"/>
          <w:szCs w:val="28"/>
          <w:rtl w:val="true"/>
          <w:lang w:bidi="ar-SA"/>
        </w:rPr>
        <w:t>الصفاتِ أن يَكونَ قادراً علىٰ جَعلِه علىٰ سائرِها؟ و إذا كانَ الكَونُ إنّما يَكونُ علىٰ هذه الصفةِ بالفاعلِ‌، و هو ممّا يَصِحُّ أن يَكونَ مُتَحيِّزاً بالفاعلِ أيضاً، فيَجِبُ فيمن قَدَرَ علىٰ أن يَجعَلَه كَوناً أن يَجعَلَه مُتَحيِّزاً؛ لعدمِ الاختصاصِ بَينَ صفاتِ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الأكوانَ مِن فِعلِ اللّٰهِ تَعالىٰ يَصِحُّ أن تَكونَ بصفةِ التحيُّزِ</w:t>
      </w:r>
      <w:r>
        <w:rPr>
          <w:rStyle w:val="FootnoteAnchor"/>
          <w:rtl w:val="true"/>
        </w:rPr>
        <w:footnoteReference w:id="233"/>
      </w:r>
      <w:r>
        <w:rPr>
          <w:rFonts w:ascii="Amiri" w:hAnsi="Amiri" w:eastAsia="Amiri" w:cs="Amiri"/>
          <w:color w:val="111111"/>
          <w:sz w:val="28"/>
          <w:sz w:val="28"/>
          <w:szCs w:val="28"/>
          <w:rtl w:val="true"/>
          <w:lang w:bidi="ar-SA"/>
        </w:rPr>
        <w:t>، دونَ الأكوانِ التي في مقدورِنا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نَقدِرُ مِن الأكوانِ علىٰ أنواعِ و</w:t>
      </w:r>
      <w:r>
        <w:rPr>
          <w:rStyle w:val="FootnoteAnchor"/>
          <w:rtl w:val="true"/>
        </w:rPr>
        <w:footnoteReference w:id="234"/>
      </w:r>
      <w:r>
        <w:rPr>
          <w:rFonts w:ascii="Amiri" w:hAnsi="Amiri" w:eastAsia="Amiri" w:cs="Amiri"/>
          <w:color w:val="111111"/>
          <w:sz w:val="28"/>
          <w:sz w:val="28"/>
          <w:szCs w:val="28"/>
          <w:rtl w:val="true"/>
          <w:lang w:bidi="ar-SA"/>
        </w:rPr>
        <w:t xml:space="preserve">أجناسِ ما يَقدِرُ القَديمُ تَعالىٰ عليه مِن ذلكَ‌، و مُحالٌ أن يَصِحَّ فيما يَقدِرُ تَعالىٰ عليه مِن الأكوانِ أن يَحصُلَ علىٰ صفةٍ لا يَصِحُّ فيما نَقدِرُ عليه منها أن تَكونَ علىٰ تلكَ الصفةِ‌؛ لأنّ ما يَجوزُ علَى الجنسِ و النوعِ مِن هذه الصفاتِ لا يَتخصَّصُ‌، كَما لَم يَتخصَّصْ ما يَكونُ عليه جنسُ‌ </w:t>
      </w:r>
    </w:p>
    <w:p>
      <w:pPr>
        <w:pStyle w:val="BookText"/>
        <w:rPr/>
      </w:pPr>
      <w:r>
        <w:rPr>
          <w:rFonts w:ascii="Amiri" w:hAnsi="Amiri" w:eastAsia="Amiri" w:cs="Amiri"/>
          <w:color w:val="111111"/>
          <w:sz w:val="28"/>
          <w:sz w:val="28"/>
          <w:szCs w:val="28"/>
          <w:rtl w:val="true"/>
          <w:lang w:bidi="ar-SA"/>
        </w:rPr>
        <w:t xml:space="preserve">الصوتِ و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w:t>
      </w:r>
      <w:r>
        <w:rPr>
          <w:rStyle w:val="FootnoteAnchor"/>
          <w:rtl w:val="true"/>
        </w:rPr>
        <w:footnoteReference w:id="235"/>
      </w:r>
      <w:r>
        <w:rPr>
          <w:rFonts w:ascii="Amiri" w:hAnsi="Amiri" w:eastAsia="Amiri" w:cs="Amiri"/>
          <w:color w:val="111111"/>
          <w:sz w:val="28"/>
          <w:sz w:val="28"/>
          <w:szCs w:val="28"/>
          <w:rtl w:val="true"/>
          <w:lang w:bidi="ar-SA"/>
        </w:rPr>
        <w:t>عليه مِن الصفاتِ المُستَنِدةِ‌</w:t>
      </w:r>
      <w:r>
        <w:rPr>
          <w:rStyle w:val="FootnoteAnchor"/>
          <w:rtl w:val="true"/>
        </w:rPr>
        <w:footnoteReference w:id="236"/>
      </w:r>
      <w:r>
        <w:rPr>
          <w:rFonts w:ascii="Amiri" w:hAnsi="Amiri" w:eastAsia="Amiri" w:cs="Amiri"/>
          <w:color w:val="111111"/>
          <w:sz w:val="28"/>
          <w:sz w:val="28"/>
          <w:szCs w:val="28"/>
          <w:rtl w:val="true"/>
          <w:lang w:bidi="ar-SA"/>
        </w:rPr>
        <w:t>إلَى الفاعلِ‌، ككَونِه</w:t>
      </w:r>
      <w:r>
        <w:rPr>
          <w:rStyle w:val="FootnoteAnchor"/>
          <w:rtl w:val="true"/>
        </w:rPr>
        <w:footnoteReference w:id="237"/>
      </w:r>
      <w:r>
        <w:rPr>
          <w:rFonts w:ascii="Amiri" w:hAnsi="Amiri" w:eastAsia="Amiri" w:cs="Amiri"/>
          <w:color w:val="111111"/>
          <w:sz w:val="28"/>
          <w:sz w:val="28"/>
          <w:szCs w:val="28"/>
          <w:rtl w:val="true"/>
          <w:lang w:bidi="ar-SA"/>
        </w:rPr>
        <w:t xml:space="preserve">خبراً و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بقَديمٍ دونَ مُحدَثٍ‌، و قادرٍ دونَ 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الاختصاصَ فيما تَحصُلُ‌</w:t>
      </w:r>
      <w:r>
        <w:rPr>
          <w:rStyle w:val="FootnoteAnchor"/>
          <w:rtl w:val="true"/>
        </w:rPr>
        <w:footnoteReference w:id="238"/>
      </w:r>
      <w:r>
        <w:rPr>
          <w:rFonts w:ascii="Amiri" w:hAnsi="Amiri" w:eastAsia="Amiri" w:cs="Amiri"/>
          <w:color w:val="111111"/>
          <w:sz w:val="28"/>
          <w:sz w:val="28"/>
          <w:szCs w:val="28"/>
          <w:rtl w:val="true"/>
          <w:lang w:bidi="ar-SA"/>
        </w:rPr>
        <w:t>عليه المقدوراتُ بالفاعلِ مُرتَفِعٌ‌، و إن جازَ الاختصاصُ في الأجناسِ و الأعيانِ‌؛ فلَو صَحَّ في قادرٍ مِن القادرِينَ أن يَجعَلَ مقدورَه مُتَحيِّزاً، لَصَحَّ ذلكَ مِنّا في مقدورِنا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يُفرَّقَ بَينَ الخبرِ و الأمرِ و التحيُّزِ بأنّ صفاتِ الكلامِ كُلَّها</w:t>
      </w:r>
      <w:r>
        <w:rPr>
          <w:rStyle w:val="FootnoteAnchor"/>
          <w:rtl w:val="true"/>
        </w:rPr>
        <w:footnoteReference w:id="239"/>
      </w:r>
      <w:r>
        <w:rPr>
          <w:rFonts w:ascii="Amiri" w:hAnsi="Amiri" w:eastAsia="Amiri" w:cs="Amiri"/>
          <w:color w:val="111111"/>
          <w:sz w:val="28"/>
          <w:sz w:val="28"/>
          <w:szCs w:val="28"/>
          <w:rtl w:val="true"/>
          <w:lang w:bidi="ar-SA"/>
        </w:rPr>
        <w:t>تَدخُلُ في مقدورِنا، ولَيسَ كذلكَ التحيُّزُ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w:t>
      </w:r>
      <w:r>
        <w:rPr>
          <w:rStyle w:val="FootnoteAnchor"/>
          <w:rtl w:val="true"/>
        </w:rPr>
        <w:footnoteReference w:id="240"/>
      </w:r>
      <w:r>
        <w:rPr>
          <w:rFonts w:ascii="Amiri" w:hAnsi="Amiri" w:eastAsia="Amiri" w:cs="Amiri"/>
          <w:color w:val="111111"/>
          <w:sz w:val="28"/>
          <w:sz w:val="28"/>
          <w:szCs w:val="28"/>
          <w:rtl w:val="true"/>
          <w:lang w:bidi="ar-SA"/>
        </w:rPr>
        <w:t>أنّ ما يَتعلَّقُ بالفاعلِ لا يَختَصُّ لأجلِ تَعلُّقِه به</w:t>
      </w:r>
      <w:r>
        <w:rPr>
          <w:rStyle w:val="FootnoteAnchor"/>
          <w:rtl w:val="true"/>
        </w:rPr>
        <w:footnoteReference w:id="241"/>
      </w:r>
      <w:r>
        <w:rPr>
          <w:rFonts w:ascii="Amiri" w:hAnsi="Amiri" w:eastAsia="Amiri" w:cs="Amiri"/>
          <w:color w:val="111111"/>
          <w:sz w:val="28"/>
          <w:sz w:val="28"/>
          <w:szCs w:val="28"/>
          <w:rtl w:val="true"/>
          <w:lang w:bidi="ar-SA"/>
        </w:rPr>
        <w:t>فلَو صَحَّ في بعضِ الفاعِلينَ جَعلُ ذاتٍ بصفةِ التحيُّزِ، لَصَحَّ ذلكَ مِن كُلِّ قادرٍ، كَما قُلناه في الخبرِ و الأمرِ</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بَعدَ ما أبطَلناه مِن الأقسامِ إلّاأن يَكونَ التحيُّزُ راجعاً إلىٰ نَفسِ الجَوهرِ بِلا واسطةٍ‌، أو يَكونَ راجعاً إلىٰ‌</w:t>
      </w:r>
      <w:r>
        <w:rPr>
          <w:rStyle w:val="FootnoteAnchor"/>
          <w:rtl w:val="true"/>
        </w:rPr>
        <w:footnoteReference w:id="243"/>
      </w:r>
      <w:r>
        <w:rPr>
          <w:rFonts w:ascii="Amiri" w:hAnsi="Amiri" w:eastAsia="Amiri" w:cs="Amiri"/>
          <w:color w:val="111111"/>
          <w:sz w:val="28"/>
          <w:sz w:val="28"/>
          <w:szCs w:val="28"/>
          <w:rtl w:val="true"/>
          <w:lang w:bidi="ar-SA"/>
        </w:rPr>
        <w:t>ما هو عليه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الأمرَينِ كانَ‌ </w:t>
      </w:r>
    </w:p>
    <w:p>
      <w:pPr>
        <w:pStyle w:val="BookText"/>
        <w:rPr/>
      </w:pPr>
      <w:r>
        <w:rPr>
          <w:rFonts w:ascii="Amiri" w:hAnsi="Amiri" w:eastAsia="Amiri" w:cs="Amiri"/>
          <w:color w:val="111111"/>
          <w:sz w:val="28"/>
          <w:sz w:val="28"/>
          <w:szCs w:val="28"/>
          <w:rtl w:val="true"/>
          <w:lang w:bidi="ar-SA"/>
        </w:rPr>
        <w:t>فقَد ثَبَتَ ما أرَدناه و بَنَينا الكلامَ عليه، مِن وجوبِ تَحيُّزِ الجَوهرِ مع الوجودِ، و أنّه لا يَجوزُ أن يَكونَ علىٰ خِلافِ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أَوجَبَ كَونَه مُتَحيِّزاً مع الوجودِ</w:t>
      </w:r>
      <w:r>
        <w:rPr>
          <w:rStyle w:val="FootnoteAnchor"/>
          <w:rtl w:val="true"/>
        </w:rPr>
        <w:footnoteReference w:id="244"/>
      </w:r>
      <w:r>
        <w:rPr>
          <w:rFonts w:ascii="Amiri" w:hAnsi="Amiri" w:eastAsia="Amiri" w:cs="Amiri"/>
          <w:color w:val="111111"/>
          <w:sz w:val="28"/>
          <w:sz w:val="28"/>
          <w:szCs w:val="28"/>
          <w:rtl w:val="true"/>
          <w:lang w:bidi="ar-SA"/>
        </w:rPr>
        <w:t>لا يَجوزُ أن يَكونَ ممّا يَحصُلُ للجَوهرِ في حالِ وجودِه؛ لأنّه كانَ لا يَنفَصِلُ مِن التحيُّزِ</w:t>
      </w:r>
      <w:r>
        <w:rPr>
          <w:rStyle w:val="FootnoteAnchor"/>
          <w:rtl w:val="true"/>
        </w:rPr>
        <w:footnoteReference w:id="245"/>
      </w:r>
      <w:r>
        <w:rPr>
          <w:rFonts w:ascii="IRNazanin" w:hAnsi="IRNazanin" w:eastAsia="IRNazanin"/>
          <w:color w:val="111111"/>
          <w:sz w:val="28"/>
          <w:sz w:val="28"/>
          <w:szCs w:val="28"/>
          <w:rtl w:val="true"/>
          <w:lang w:bidi="fa-IR"/>
        </w:rPr>
        <w:t>، فلا</w:t>
      </w:r>
      <w:r>
        <w:rPr>
          <w:rStyle w:val="FootnoteAnchor"/>
          <w:rtl w:val="true"/>
        </w:rPr>
        <w:footnoteReference w:id="246"/>
      </w:r>
      <w:r>
        <w:rPr>
          <w:rFonts w:ascii="Amiri" w:hAnsi="Amiri" w:eastAsia="Amiri" w:cs="Amiri"/>
          <w:color w:val="111111"/>
          <w:sz w:val="28"/>
          <w:sz w:val="28"/>
          <w:szCs w:val="28"/>
          <w:rtl w:val="true"/>
          <w:lang w:bidi="ar-SA"/>
        </w:rPr>
        <w:t>تَكونُ تلكَ الصفةُ بأن تَقتَضيَ‌</w:t>
      </w:r>
      <w:r>
        <w:rPr>
          <w:rStyle w:val="FootnoteAnchor"/>
          <w:rtl w:val="true"/>
        </w:rPr>
        <w:footnoteReference w:id="247"/>
      </w:r>
      <w:r>
        <w:rPr>
          <w:rFonts w:ascii="Amiri" w:hAnsi="Amiri" w:eastAsia="Amiri" w:cs="Amiri"/>
          <w:color w:val="111111"/>
          <w:sz w:val="28"/>
          <w:sz w:val="28"/>
          <w:szCs w:val="28"/>
          <w:rtl w:val="true"/>
          <w:lang w:bidi="ar-SA"/>
        </w:rPr>
        <w:t>التحيُّزَ بأَولىٰ مِن أن يَكونَ التحيُّزُ يَقتَضيها؛ لاقترانِهما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فإذا عَلِمنا وجوبَ تَحيُّزِ الجَوهرِ متىٰ وُجِدَ، و</w:t>
      </w:r>
      <w:r>
        <w:rPr>
          <w:rStyle w:val="FootnoteAnchor"/>
          <w:rtl w:val="true"/>
        </w:rPr>
        <w:footnoteReference w:id="248"/>
      </w:r>
      <w:r>
        <w:rPr>
          <w:rFonts w:ascii="Amiri" w:hAnsi="Amiri" w:eastAsia="Amiri" w:cs="Amiri"/>
          <w:color w:val="111111"/>
          <w:sz w:val="28"/>
          <w:sz w:val="28"/>
          <w:szCs w:val="28"/>
          <w:rtl w:val="true"/>
          <w:lang w:bidi="ar-SA"/>
        </w:rPr>
        <w:t>مُفارَقتَه</w:t>
      </w:r>
      <w:r>
        <w:rPr>
          <w:rStyle w:val="FootnoteAnchor"/>
          <w:rtl w:val="true"/>
        </w:rPr>
        <w:footnoteReference w:id="249"/>
      </w:r>
      <w:r>
        <w:rPr>
          <w:rFonts w:ascii="Amiri" w:hAnsi="Amiri" w:eastAsia="Amiri" w:cs="Amiri"/>
          <w:color w:val="111111"/>
          <w:sz w:val="28"/>
          <w:sz w:val="28"/>
          <w:szCs w:val="28"/>
          <w:rtl w:val="true"/>
          <w:lang w:bidi="ar-SA"/>
        </w:rPr>
        <w:t>لسائرِ الأجناسِ في هذا الحُكمِ‌، و قد عَلِمنا أنّ هذا الحُكمَ الذي هو وجوبُ التحيُّزِ</w:t>
      </w:r>
      <w:r>
        <w:rPr>
          <w:rStyle w:val="FootnoteAnchor"/>
          <w:rtl w:val="true"/>
        </w:rPr>
        <w:footnoteReference w:id="250"/>
      </w:r>
      <w:r>
        <w:rPr>
          <w:rFonts w:ascii="Amiri" w:hAnsi="Amiri" w:eastAsia="Amiri" w:cs="Amiri"/>
          <w:color w:val="111111"/>
          <w:sz w:val="28"/>
          <w:sz w:val="28"/>
          <w:szCs w:val="28"/>
          <w:rtl w:val="true"/>
          <w:lang w:bidi="ar-SA"/>
        </w:rPr>
        <w:t>حاصلٌ له في حالِ‌</w:t>
      </w:r>
      <w:r>
        <w:rPr>
          <w:rStyle w:val="FootnoteAnchor"/>
          <w:rtl w:val="true"/>
        </w:rPr>
        <w:footnoteReference w:id="251"/>
      </w:r>
      <w:r>
        <w:rPr>
          <w:rFonts w:ascii="Amiri" w:hAnsi="Amiri" w:eastAsia="Amiri" w:cs="Amiri"/>
          <w:color w:val="111111"/>
          <w:sz w:val="28"/>
          <w:sz w:val="28"/>
          <w:szCs w:val="28"/>
          <w:rtl w:val="true"/>
          <w:lang w:bidi="ar-SA"/>
        </w:rPr>
        <w:t>العدمِ‌، فيَجِبُ أن يَكونَ مُقتَضيهِ أيضاً حاصلاً في هذه الحالِ‌؛ لأنّ الحُكمَ لا يَجوزُ أن يَجِبَ‌</w:t>
      </w:r>
      <w:r>
        <w:rPr>
          <w:rStyle w:val="FootnoteAnchor"/>
          <w:rtl w:val="true"/>
        </w:rPr>
        <w:footnoteReference w:id="252"/>
      </w:r>
      <w:r>
        <w:rPr>
          <w:rFonts w:ascii="Amiri" w:hAnsi="Amiri" w:eastAsia="Amiri" w:cs="Amiri"/>
          <w:color w:val="111111"/>
          <w:sz w:val="28"/>
          <w:sz w:val="28"/>
          <w:szCs w:val="28"/>
          <w:rtl w:val="true"/>
          <w:lang w:bidi="ar-SA"/>
        </w:rPr>
        <w:t>في حالٍ و</w:t>
      </w:r>
      <w:r>
        <w:rPr>
          <w:rStyle w:val="FootnoteAnchor"/>
          <w:rtl w:val="true"/>
        </w:rPr>
        <w:footnoteReference w:id="253"/>
      </w:r>
      <w:r>
        <w:rPr>
          <w:rFonts w:ascii="Amiri" w:hAnsi="Amiri" w:eastAsia="Amiri" w:cs="Amiri"/>
          <w:color w:val="111111"/>
          <w:sz w:val="28"/>
          <w:sz w:val="28"/>
          <w:szCs w:val="28"/>
          <w:rtl w:val="true"/>
          <w:lang w:bidi="ar-SA"/>
        </w:rPr>
        <w:t>المؤثِّرُ فيه مُنتَظَرٌ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 الجَوهرُ عندَكم بهذه الصفةِ في العدمِ‌، دونَ سائرِ الذواتِ‌؛ فيَجِبُ أن تَقتَضيَها 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 الصفةِ الثانيةِ كالقولِ في الصفةِ الأُولىٰ‌</w:t>
      </w:r>
      <w:r>
        <w:rPr>
          <w:rFonts w:eastAsia="Amiri" w:cs="Amiri" w:ascii="Amiri" w:hAnsi="Amiri"/>
          <w:color w:val="111111"/>
          <w:sz w:val="28"/>
          <w:szCs w:val="28"/>
          <w:rtl w:val="true"/>
          <w:lang w:bidi="ar-SA"/>
        </w:rPr>
        <w:t xml:space="preserve">. </w:t>
      </w:r>
      <w:bookmarkStart w:id="71" w:name="pg16415_223717"/>
    </w:p>
    <w:p>
      <w:pPr>
        <w:pStyle w:val="BookText"/>
        <w:rPr/>
      </w:pPr>
      <w:bookmarkEnd w:id="71"/>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يَقتَضي ما يَستَنِدُ إليه، و صفةُ الذاتِ مُقتَضَى الذاتِ‌، و ذلكَ يُغني عن صفةٍ أُخرىٰ تَستَنِدُ</w:t>
      </w:r>
      <w:r>
        <w:rPr>
          <w:rStyle w:val="FootnoteAnchor"/>
          <w:rtl w:val="true"/>
        </w:rPr>
        <w:footnoteReference w:id="254"/>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7642276_1280447820"/>
      <w:bookmarkStart w:id="73" w:name="_Toc25"/>
      <w:bookmarkEnd w:id="72"/>
      <w:r>
        <w:rPr>
          <w:rtl w:val="true"/>
        </w:rPr>
        <w:t>إبطال بعض الأدلّة التي أُقيمت لإثبات أنّ الجوهر جوهر في حال العدم</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يُستَدَلَّ علىٰ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كُلِّ جنسٍ‌، مِن جَوهرٍ و غَيرِه، مِن صفةٍ يَكونُ عليها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يَمضي</w:t>
      </w:r>
      <w:r>
        <w:rPr>
          <w:rStyle w:val="FootnoteAnchor"/>
          <w:rtl w:val="true"/>
        </w:rPr>
        <w:footnoteReference w:id="255"/>
      </w:r>
      <w:r>
        <w:rPr>
          <w:rFonts w:ascii="Amiri" w:hAnsi="Amiri" w:eastAsia="Amiri" w:cs="Amiri"/>
          <w:color w:val="111111"/>
          <w:sz w:val="28"/>
          <w:sz w:val="28"/>
          <w:szCs w:val="28"/>
          <w:rtl w:val="true"/>
          <w:lang w:bidi="ar-SA"/>
        </w:rPr>
        <w:t>كَثيراً في الكُتُبِ‌</w:t>
      </w:r>
      <w:r>
        <w:rPr>
          <w:rStyle w:val="FootnoteAnchor"/>
          <w:rtl w:val="true"/>
        </w:rPr>
        <w:footnoteReference w:id="256"/>
      </w:r>
      <w:r>
        <w:rPr>
          <w:rFonts w:ascii="Amiri" w:hAnsi="Amiri" w:eastAsia="Amiri" w:cs="Amiri"/>
          <w:color w:val="111111"/>
          <w:sz w:val="28"/>
          <w:sz w:val="28"/>
          <w:szCs w:val="28"/>
          <w:rtl w:val="true"/>
          <w:lang w:bidi="ar-SA"/>
        </w:rPr>
        <w:t>مِن أنّ‌</w:t>
      </w:r>
      <w:r>
        <w:rPr>
          <w:rStyle w:val="FootnoteAnchor"/>
          <w:rtl w:val="true"/>
        </w:rPr>
        <w:footnoteReference w:id="257"/>
      </w:r>
      <w:r>
        <w:rPr>
          <w:rFonts w:ascii="Amiri" w:hAnsi="Amiri" w:eastAsia="Amiri" w:cs="Amiri"/>
          <w:color w:val="111111"/>
          <w:sz w:val="28"/>
          <w:sz w:val="28"/>
          <w:szCs w:val="28"/>
          <w:rtl w:val="true"/>
          <w:lang w:bidi="ar-SA"/>
        </w:rPr>
        <w:t>الذاتَينِ لا بُدَّ مِن أن يَكونا مُختَلِفتَينِ أو مُتَماثِلتَينِ‌، و أنّ تَعاقُبَ ذلكَ عليهما واجبٌ‌؛ لأنّه إمّا أن تَكونَ كُلُّ واحدةٍ منهما تَسُدُّ مَسَدَّ الأُخرىٰ فيما يَرجِعُ إلىٰ ذاتِها</w:t>
      </w:r>
      <w:r>
        <w:rPr>
          <w:rStyle w:val="FootnoteAnchor"/>
          <w:rtl w:val="true"/>
        </w:rPr>
        <w:footnoteReference w:id="258"/>
      </w:r>
      <w:r>
        <w:rPr>
          <w:rFonts w:ascii="Amiri" w:hAnsi="Amiri" w:eastAsia="Amiri" w:cs="Amiri"/>
          <w:color w:val="111111"/>
          <w:sz w:val="28"/>
          <w:sz w:val="28"/>
          <w:szCs w:val="28"/>
          <w:rtl w:val="true"/>
          <w:lang w:bidi="ar-SA"/>
        </w:rPr>
        <w:t>، أو لا تَسُدُّ</w:t>
      </w:r>
      <w:r>
        <w:rPr>
          <w:rStyle w:val="FootnoteAnchor"/>
          <w:rtl w:val="true"/>
        </w:rPr>
        <w:footnoteReference w:id="259"/>
      </w:r>
      <w:r>
        <w:rPr>
          <w:rFonts w:ascii="Amiri" w:hAnsi="Amiri" w:eastAsia="Amiri" w:cs="Amiri"/>
          <w:color w:val="111111"/>
          <w:sz w:val="28"/>
          <w:sz w:val="28"/>
          <w:szCs w:val="28"/>
          <w:rtl w:val="true"/>
          <w:lang w:bidi="ar-SA"/>
        </w:rPr>
        <w:t>مَسَدَّها في ذلكَ‌، و المُماثَلةُ مُستَفادةٌ مِن القِسمِ الأوّلِ‌، و المُخالَفةُ‌</w:t>
      </w:r>
      <w:r>
        <w:rPr>
          <w:rStyle w:val="FootnoteAnchor"/>
          <w:rtl w:val="true"/>
        </w:rPr>
        <w:footnoteReference w:id="260"/>
      </w:r>
      <w:r>
        <w:rPr>
          <w:rFonts w:ascii="Amiri" w:hAnsi="Amiri" w:eastAsia="Amiri" w:cs="Amiri"/>
          <w:color w:val="111111"/>
          <w:sz w:val="28"/>
          <w:sz w:val="28"/>
          <w:szCs w:val="28"/>
          <w:rtl w:val="true"/>
          <w:lang w:bidi="ar-SA"/>
        </w:rPr>
        <w:t>مُستَفادةٌ مِن القِسمِ الثاني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أنّ الجَوهرَ المعدومَ مَثَلاً</w:t>
      </w:r>
      <w:r>
        <w:rPr>
          <w:rStyle w:val="FootnoteAnchor"/>
          <w:rtl w:val="true"/>
        </w:rPr>
        <w:footnoteReference w:id="261"/>
      </w:r>
      <w:r>
        <w:rPr>
          <w:rFonts w:ascii="Amiri" w:hAnsi="Amiri" w:eastAsia="Amiri" w:cs="Amiri"/>
          <w:color w:val="111111"/>
          <w:sz w:val="28"/>
          <w:sz w:val="28"/>
          <w:szCs w:val="28"/>
          <w:rtl w:val="true"/>
          <w:lang w:bidi="ar-SA"/>
        </w:rPr>
        <w:t xml:space="preserve">يُخالِفُ الأعراضَ في حالِ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 الذي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أنّ المُخالَفةَ لا بُدَّ مِن</w:t>
      </w:r>
      <w:r>
        <w:rPr>
          <w:rStyle w:val="FootnoteAnchor"/>
          <w:rtl w:val="true"/>
        </w:rPr>
        <w:footnoteReference w:id="262"/>
      </w:r>
      <w:r>
        <w:rPr>
          <w:rFonts w:ascii="Amiri" w:hAnsi="Amiri" w:eastAsia="Amiri" w:cs="Amiri"/>
          <w:color w:val="111111"/>
          <w:sz w:val="28"/>
          <w:sz w:val="28"/>
          <w:szCs w:val="28"/>
          <w:rtl w:val="true"/>
          <w:lang w:bidi="ar-SA"/>
        </w:rPr>
        <w:t>أن تَكونَ بصفةٍ‌</w:t>
      </w:r>
      <w:r>
        <w:rPr>
          <w:rStyle w:val="FootnoteAnchor"/>
          <w:rtl w:val="true"/>
        </w:rPr>
        <w:footnoteReference w:id="263"/>
      </w:r>
      <w:r>
        <w:rPr>
          <w:rFonts w:ascii="Amiri" w:hAnsi="Amiri" w:eastAsia="Amiri" w:cs="Amiri"/>
          <w:color w:val="111111"/>
          <w:sz w:val="28"/>
          <w:sz w:val="28"/>
          <w:szCs w:val="28"/>
          <w:rtl w:val="true"/>
          <w:lang w:bidi="ar-SA"/>
        </w:rPr>
        <w:t>مِن الصفاتِ‌، فلا بُدَّ في المعدومِ مِن أن يَكونَ علىٰ صفةٍ يُخالِفُ بها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الدليلُ علىٰ أنّ الذاتَ إنّما تُخالِفُ غَيرَها بصفةٍ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يَصِحُّ أن تُخالِفَها</w:t>
      </w:r>
      <w:r>
        <w:rPr>
          <w:rStyle w:val="FootnoteAnchor"/>
          <w:rtl w:val="true"/>
        </w:rPr>
        <w:footnoteReference w:id="265"/>
      </w:r>
      <w:r>
        <w:rPr>
          <w:rFonts w:ascii="Amiri" w:hAnsi="Amiri" w:eastAsia="Amiri" w:cs="Amiri"/>
          <w:color w:val="111111"/>
          <w:sz w:val="28"/>
          <w:sz w:val="28"/>
          <w:szCs w:val="28"/>
          <w:rtl w:val="true"/>
          <w:lang w:bidi="ar-SA"/>
        </w:rPr>
        <w:t>بكَونِها ذاتاً؛ لأنّ في الذواتِ مُشتَبِهاً و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تَصِحُّ‌</w:t>
      </w:r>
      <w:r>
        <w:rPr>
          <w:rStyle w:val="FootnoteAnchor"/>
          <w:rtl w:val="true"/>
        </w:rPr>
        <w:footnoteReference w:id="266"/>
      </w:r>
      <w:r>
        <w:rPr>
          <w:rFonts w:ascii="Amiri" w:hAnsi="Amiri" w:eastAsia="Amiri" w:cs="Amiri"/>
          <w:color w:val="111111"/>
          <w:sz w:val="28"/>
          <w:sz w:val="28"/>
          <w:szCs w:val="28"/>
          <w:rtl w:val="true"/>
          <w:lang w:bidi="ar-SA"/>
        </w:rPr>
        <w:t>المُخالَفةُ بعِلّةٍ مِن العِلَلِ أو بجَعلِ الجاعلِ‌؛ لأنّ ذلكَ مُنتَظَرٌ في المعدومِ‌</w:t>
      </w:r>
      <w:r>
        <w:rPr>
          <w:rStyle w:val="FootnoteAnchor"/>
          <w:rtl w:val="true"/>
        </w:rPr>
        <w:footnoteReference w:id="267"/>
      </w:r>
      <w:r>
        <w:rPr>
          <w:rFonts w:ascii="Amiri" w:hAnsi="Amiri" w:eastAsia="Amiri" w:cs="Amiri"/>
          <w:color w:val="111111"/>
          <w:sz w:val="28"/>
          <w:sz w:val="28"/>
          <w:szCs w:val="28"/>
          <w:rtl w:val="true"/>
          <w:lang w:bidi="ar-SA"/>
        </w:rPr>
        <w:t>، و المُخالَفةُ حاصلةٌ في الحالِ‌</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 نّه لا بُدَّ مِن كَونِ المعدومِ علىٰ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يُفسِدُ</w:t>
      </w:r>
      <w:r>
        <w:rPr>
          <w:rStyle w:val="FootnoteAnchor"/>
          <w:rtl w:val="true"/>
        </w:rPr>
        <w:footnoteReference w:id="269"/>
      </w:r>
      <w:r>
        <w:rPr>
          <w:rFonts w:ascii="Amiri" w:hAnsi="Amiri" w:eastAsia="Amiri" w:cs="Amiri"/>
          <w:color w:val="111111"/>
          <w:sz w:val="28"/>
          <w:sz w:val="28"/>
          <w:szCs w:val="28"/>
          <w:rtl w:val="true"/>
          <w:lang w:bidi="ar-SA"/>
        </w:rPr>
        <w:t>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مَبنيّةٌ‌</w:t>
      </w:r>
      <w:r>
        <w:rPr>
          <w:rStyle w:val="FootnoteAnchor"/>
          <w:rtl w:val="true"/>
        </w:rPr>
        <w:footnoteReference w:id="270"/>
      </w:r>
      <w:r>
        <w:rPr>
          <w:rFonts w:ascii="Amiri" w:hAnsi="Amiri" w:eastAsia="Amiri" w:cs="Amiri"/>
          <w:color w:val="111111"/>
          <w:sz w:val="28"/>
          <w:sz w:val="28"/>
          <w:szCs w:val="28"/>
          <w:rtl w:val="true"/>
          <w:lang w:bidi="ar-SA"/>
        </w:rPr>
        <w:t xml:space="preserve">علىٰ مَحضِ الدعوىٰ‌، و هي أنّ المعدومَ لا يَخلو مِن أن يَكونَ مُماثِلاً أو مُخالِفاً؛ و إذا فَسَّروا المُماثِلَ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سَدَّ مَسَدَّ غَيرِه فيما يَرجِعُ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يُسلِّمُ‌</w:t>
      </w:r>
      <w:r>
        <w:rPr>
          <w:rStyle w:val="FootnoteAnchor"/>
          <w:rtl w:val="true"/>
        </w:rPr>
        <w:footnoteReference w:id="271"/>
      </w:r>
      <w:r>
        <w:rPr>
          <w:rFonts w:ascii="Amiri" w:hAnsi="Amiri" w:eastAsia="Amiri" w:cs="Amiri"/>
          <w:color w:val="111111"/>
          <w:sz w:val="28"/>
          <w:sz w:val="28"/>
          <w:szCs w:val="28"/>
          <w:rtl w:val="true"/>
          <w:lang w:bidi="ar-SA"/>
        </w:rPr>
        <w:t>لهُم في المعدومِ أ نّه علىٰ صفةٍ تَرجِعُ إلىٰ ذاتِه‌؟ و مَن نَفىٰ عن المعدومِ كُلَّ الصفاتِ و عَرّاه منها، معلومٌ أ نّه لا يُوافِقُ علىٰ ذلكَ و لا يُسلِّمُه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بعضَ مَن نَصَرَ هذا الدليلَ يُجيبُ عن هذا الاعتراضِ الذي ذَكرناه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 صفةَ الذاتِ لا يَختَصُّ بها إلّاالموجودُ، لَجازَ أن نَقولَ في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 إمّا أن يَسُدَّ مَسَدَّه فيها، أو لا يَكونَ كذلكَ‌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نافعٍ‌؛ لأنّ المُخالِفَ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 لا يَسُدُّ مَسَدَّ الموجودِ في صفةِ الذاتِ التي يَختَصُّ بها الموجودُ؛ لأنّ نَفيَ صفةِ‌</w:t>
      </w:r>
      <w:r>
        <w:rPr>
          <w:rStyle w:val="FootnoteAnchor"/>
          <w:rtl w:val="true"/>
        </w:rPr>
        <w:footnoteReference w:id="272"/>
      </w:r>
      <w:r>
        <w:rPr>
          <w:rFonts w:ascii="Amiri" w:hAnsi="Amiri" w:eastAsia="Amiri" w:cs="Amiri"/>
          <w:color w:val="111111"/>
          <w:sz w:val="28"/>
          <w:sz w:val="28"/>
          <w:szCs w:val="28"/>
          <w:rtl w:val="true"/>
          <w:lang w:bidi="ar-SA"/>
        </w:rPr>
        <w:t>الذاتِ لا يُنافي العدمَ‌</w:t>
      </w:r>
      <w:r>
        <w:rPr>
          <w:rStyle w:val="FootnoteAnchor"/>
          <w:rtl w:val="true"/>
        </w:rPr>
        <w:footnoteReference w:id="273"/>
      </w:r>
      <w:r>
        <w:rPr>
          <w:rFonts w:ascii="Amiri" w:hAnsi="Amiri" w:eastAsia="Amiri" w:cs="Amiri"/>
          <w:color w:val="111111"/>
          <w:sz w:val="28"/>
          <w:sz w:val="28"/>
          <w:szCs w:val="28"/>
          <w:rtl w:val="true"/>
          <w:lang w:bidi="ar-SA"/>
        </w:rPr>
        <w:t xml:space="preserve">، و إنّما </w:t>
      </w:r>
    </w:p>
    <w:p>
      <w:pPr>
        <w:pStyle w:val="BookText"/>
        <w:rPr/>
      </w:pPr>
      <w:r>
        <w:rPr>
          <w:rFonts w:ascii="Amiri" w:hAnsi="Amiri" w:eastAsia="Amiri" w:cs="Amiri"/>
          <w:color w:val="111111"/>
          <w:sz w:val="28"/>
          <w:sz w:val="28"/>
          <w:szCs w:val="28"/>
          <w:rtl w:val="true"/>
          <w:lang w:bidi="ar-SA"/>
        </w:rPr>
        <w:t>يُنافيهِ ثُبوتُ الصفاتِ‌</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أرَدتُم بالمُخالِفِ ما لَيسَ علىٰ هذه الصفةِ‌، فالمعدومُ مُخالِفٌ لِما اختَصَّ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عُدتم إلىٰ أنّ الخِلافَ لا يَكونُ إلّابصفةٍ اختَصَّ بها المُخالِفُ‌</w:t>
      </w:r>
      <w:r>
        <w:rPr>
          <w:rStyle w:val="FootnoteAnchor"/>
          <w:rtl w:val="true"/>
        </w:rPr>
        <w:footnoteReference w:id="275"/>
      </w:r>
      <w:r>
        <w:rPr>
          <w:rFonts w:ascii="Amiri" w:hAnsi="Amiri" w:eastAsia="Amiri" w:cs="Amiri"/>
          <w:color w:val="111111"/>
          <w:sz w:val="28"/>
          <w:sz w:val="28"/>
          <w:szCs w:val="28"/>
          <w:rtl w:val="true"/>
          <w:lang w:bidi="ar-SA"/>
        </w:rPr>
        <w:t>، نازَعناكم في 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خِلافَ هذا؛ لأنّكم تَحُدّونَ‌</w:t>
      </w:r>
      <w:r>
        <w:rPr>
          <w:rStyle w:val="FootnoteAnchor"/>
          <w:rtl w:val="true"/>
        </w:rPr>
        <w:footnoteReference w:id="276"/>
      </w:r>
      <w:r>
        <w:rPr>
          <w:rFonts w:ascii="Amiri" w:hAnsi="Amiri" w:eastAsia="Amiri" w:cs="Amiri"/>
          <w:color w:val="111111"/>
          <w:sz w:val="28"/>
          <w:sz w:val="28"/>
          <w:szCs w:val="28"/>
          <w:rtl w:val="true"/>
          <w:lang w:bidi="ar-SA"/>
        </w:rPr>
        <w:t>المُماثِلَ بأنّه ما سَدَّ</w:t>
      </w:r>
      <w:r>
        <w:rPr>
          <w:rStyle w:val="FootnoteAnchor"/>
          <w:rtl w:val="true"/>
        </w:rPr>
        <w:footnoteReference w:id="277"/>
      </w:r>
      <w:r>
        <w:rPr>
          <w:rFonts w:ascii="Amiri" w:hAnsi="Amiri" w:eastAsia="Amiri" w:cs="Amiri"/>
          <w:color w:val="111111"/>
          <w:sz w:val="28"/>
          <w:sz w:val="28"/>
          <w:szCs w:val="28"/>
          <w:rtl w:val="true"/>
          <w:lang w:bidi="ar-SA"/>
        </w:rPr>
        <w:t>مَسَدَّ غَيرِه فيما يَرجِعُ إلىٰ ذاتِه، و تَحُدّونَ‌</w:t>
      </w:r>
      <w:r>
        <w:rPr>
          <w:rStyle w:val="FootnoteAnchor"/>
          <w:rtl w:val="true"/>
        </w:rPr>
        <w:footnoteReference w:id="278"/>
      </w:r>
      <w:r>
        <w:rPr>
          <w:rFonts w:ascii="Amiri" w:hAnsi="Amiri" w:eastAsia="Amiri" w:cs="Amiri"/>
          <w:color w:val="111111"/>
          <w:sz w:val="28"/>
          <w:sz w:val="28"/>
          <w:szCs w:val="28"/>
          <w:rtl w:val="true"/>
          <w:lang w:bidi="ar-SA"/>
        </w:rPr>
        <w:t>المُخالِفَ بأنّه ما لَيسَ له هذه الصفةُ‌؛ فمِن أينَ بَعدَ هذا أ نّه مع نَفيِ اختصاصِه</w:t>
      </w:r>
      <w:r>
        <w:rPr>
          <w:rStyle w:val="FootnoteAnchor"/>
          <w:rtl w:val="true"/>
        </w:rPr>
        <w:footnoteReference w:id="279"/>
      </w:r>
      <w:r>
        <w:rPr>
          <w:rFonts w:ascii="Amiri" w:hAnsi="Amiri" w:eastAsia="Amiri" w:cs="Amiri"/>
          <w:color w:val="111111"/>
          <w:sz w:val="28"/>
          <w:sz w:val="28"/>
          <w:szCs w:val="28"/>
          <w:rtl w:val="true"/>
          <w:lang w:bidi="ar-SA"/>
        </w:rPr>
        <w:t>بتلكَ الصفةِ لا بُدَّ مِن أن يَكونَ علىٰ صفةٍ أُخرىٰ‌، و يَكفي في كَونِه مُخالِفاً نَفيُ اختصاصِه بما يَقتَضي التماثُلَ؟</w:t>
      </w:r>
    </w:p>
    <w:p>
      <w:pPr>
        <w:pStyle w:val="BookText"/>
        <w:rPr/>
      </w:pPr>
      <w:r>
        <w:rPr>
          <w:rFonts w:ascii="Amiri" w:hAnsi="Amiri" w:eastAsia="Amiri" w:cs="Amiri"/>
          <w:color w:val="111111"/>
          <w:sz w:val="28"/>
          <w:sz w:val="28"/>
          <w:szCs w:val="28"/>
          <w:rtl w:val="true"/>
          <w:lang w:bidi="ar-SA"/>
        </w:rPr>
        <w:t>و رُبَّما نُصِرَت</w:t>
      </w:r>
      <w:r>
        <w:rPr>
          <w:rStyle w:val="FootnoteAnchor"/>
          <w:rtl w:val="true"/>
        </w:rPr>
        <w:footnoteReference w:id="280"/>
      </w:r>
      <w:r>
        <w:rPr>
          <w:rFonts w:ascii="Amiri" w:hAnsi="Amiri" w:eastAsia="Amiri" w:cs="Amiri"/>
          <w:color w:val="111111"/>
          <w:sz w:val="28"/>
          <w:sz w:val="28"/>
          <w:szCs w:val="28"/>
          <w:rtl w:val="true"/>
          <w:lang w:bidi="ar-SA"/>
        </w:rPr>
        <w:t>هذه الطريقةُ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 لا يَخلو مِن أن يَسُدَّ مَسَدَّ غَيرِه فيما يَرجِعُ إلَى الذاتِ متىٰ حَصَلَ موجوداً،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يُمكِنُ دَفعُنا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لا يَكفي؛ لأنّ المُخالِفَ في هذه المسألةِ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 في حالِ عدمِه لَيسَ علىٰ صفةٍ مِن الصفاتِ‌، فإذا قَدَّرنا وجودَه فإنّما يَحصُلُ مِن الصفاتِ علىٰ ما يَجعَلُه الفاعلُ عليه؛ فإن جَعَلَه بصفةِ جنسٍ مخصوصٍ كانَ سادّاً مَسَدَّه متىٰ وُجِدَ، و إن جَعَلَه بصفةِ جنسٍ آخَرَ فعلىٰ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عُدِلَ‌ إلىٰ أن يُدَّعىٰ أنّ المعدومَ لا يَجوزُ أن يَكونَ علىٰ هذه الصفاتِ‌</w:t>
      </w:r>
      <w:r>
        <w:rPr>
          <w:rStyle w:val="FootnoteAnchor"/>
          <w:rtl w:val="true"/>
        </w:rPr>
        <w:footnoteReference w:id="281"/>
      </w:r>
      <w:r>
        <w:rPr>
          <w:rFonts w:ascii="Amiri" w:hAnsi="Amiri" w:eastAsia="Amiri" w:cs="Amiri"/>
          <w:color w:val="111111"/>
          <w:sz w:val="28"/>
          <w:sz w:val="28"/>
          <w:szCs w:val="28"/>
          <w:rtl w:val="true"/>
          <w:lang w:bidi="ar-SA"/>
        </w:rPr>
        <w:t xml:space="preserve">التي تَستَنِدُ إلَى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التحيُّزِ و ما أشبَهَه</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بالفاعلِ‌، و أنّ مِن الواجبِ إذا اختَصَّ في الوجودِ ببعضِ هذه الصفاتِ أن يَختَصَّ بها متىٰ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انتقالٌ إلىٰ الطريقةِ التي تَقدَّمَ‌</w:t>
      </w:r>
      <w:r>
        <w:rPr>
          <w:rStyle w:val="FootnoteAnchor"/>
          <w:rtl w:val="true"/>
        </w:rPr>
        <w:footnoteReference w:id="283"/>
      </w:r>
      <w:r>
        <w:rPr>
          <w:rFonts w:ascii="Amiri" w:hAnsi="Amiri" w:eastAsia="Amiri" w:cs="Amiri"/>
          <w:color w:val="111111"/>
          <w:sz w:val="28"/>
          <w:sz w:val="28"/>
          <w:szCs w:val="28"/>
          <w:rtl w:val="true"/>
          <w:lang w:bidi="ar-SA"/>
        </w:rPr>
        <w:t>بيانُنا لها و كلامُنا</w:t>
      </w:r>
      <w:r>
        <w:rPr>
          <w:rStyle w:val="FootnoteAnchor"/>
          <w:rtl w:val="true"/>
        </w:rPr>
        <w:footnoteReference w:id="284"/>
      </w:r>
      <w:r>
        <w:rPr>
          <w:rFonts w:ascii="Amiri" w:hAnsi="Amiri" w:eastAsia="Amiri" w:cs="Amiri"/>
          <w:color w:val="111111"/>
          <w:sz w:val="28"/>
          <w:sz w:val="28"/>
          <w:szCs w:val="28"/>
          <w:rtl w:val="true"/>
          <w:lang w:bidi="ar-SA"/>
        </w:rPr>
        <w:t>عليها، و بيّنّا فيها</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الجَوهرَ إذا وَجَبَ تَحيُّزُه عندَ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حُكمٌ ثابتٌ له في العدمِ دونَ سائرِ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مُقتَضٍ حاصلٍ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طَعَنّا</w:t>
      </w:r>
      <w:r>
        <w:rPr>
          <w:rStyle w:val="FootnoteAnchor"/>
          <w:rtl w:val="true"/>
        </w:rPr>
        <w:footnoteReference w:id="286"/>
      </w:r>
      <w:r>
        <w:rPr>
          <w:rFonts w:ascii="Amiri" w:hAnsi="Amiri" w:eastAsia="Amiri" w:cs="Amiri"/>
          <w:color w:val="111111"/>
          <w:sz w:val="28"/>
          <w:sz w:val="28"/>
          <w:szCs w:val="28"/>
          <w:rtl w:val="true"/>
          <w:lang w:bidi="ar-SA"/>
        </w:rPr>
        <w:t>علىٰ ما يُخالِفُ 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المعدومَ لا بُدَّ مِن اختصاصِه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 نّه لَو لَم يَختَصَّ بذلكَ لَما صَحَّ العِلمُ به علىٰ سَبيلِ التفصيلِ‌، و قد عَلِمنا أ نّه تَعالىٰ يَعلَمُ المعدوماتِ كُلَّها علىٰ سَبيلِ التفصيلِ و يُميِّزُ بعضَها مِن بعضٍ‌، و لَولا هذه الجُملةُ‌</w:t>
      </w:r>
      <w:r>
        <w:rPr>
          <w:rStyle w:val="FootnoteAnchor"/>
          <w:rtl w:val="true"/>
        </w:rPr>
        <w:footnoteReference w:id="287"/>
      </w:r>
      <w:r>
        <w:rPr>
          <w:rFonts w:ascii="Amiri" w:hAnsi="Amiri" w:eastAsia="Amiri" w:cs="Amiri"/>
          <w:color w:val="111111"/>
          <w:sz w:val="28"/>
          <w:sz w:val="28"/>
          <w:szCs w:val="28"/>
          <w:rtl w:val="true"/>
          <w:lang w:bidi="ar-SA"/>
        </w:rPr>
        <w:t>لَما صَحَّ منه تَعالىٰ أن يُعيدَ الجواهرَ بَعدَ الفَناءِ‌</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أيضاً يَفسُدُ، و طريقتُه هذه</w:t>
      </w:r>
      <w:r>
        <w:rPr>
          <w:rStyle w:val="FootnoteAnchor"/>
          <w:rtl w:val="true"/>
        </w:rPr>
        <w:footnoteReference w:id="289"/>
      </w:r>
      <w:r>
        <w:rPr>
          <w:rFonts w:ascii="Amiri" w:hAnsi="Amiri" w:eastAsia="Amiri" w:cs="Amiri"/>
          <w:color w:val="111111"/>
          <w:sz w:val="28"/>
          <w:sz w:val="28"/>
          <w:szCs w:val="28"/>
          <w:rtl w:val="true"/>
          <w:lang w:bidi="ar-SA"/>
        </w:rPr>
        <w:t>مُعتَرَضةٌ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w:t>
      </w:r>
      <w:r>
        <w:rPr>
          <w:rStyle w:val="FootnoteAnchor"/>
          <w:rtl w:val="true"/>
        </w:rPr>
        <w:footnoteReference w:id="290"/>
      </w:r>
      <w:r>
        <w:rPr>
          <w:rFonts w:ascii="Amiri" w:hAnsi="Amiri" w:eastAsia="Amiri" w:cs="Amiri"/>
          <w:color w:val="111111"/>
          <w:sz w:val="28"/>
          <w:sz w:val="28"/>
          <w:szCs w:val="28"/>
          <w:rtl w:val="true"/>
          <w:lang w:bidi="ar-SA"/>
        </w:rPr>
        <w:t xml:space="preserve">أنّ العِلمَ‌ </w:t>
      </w:r>
      <w:bookmarkStart w:id="74" w:name="pg16415_223721"/>
    </w:p>
    <w:p>
      <w:pPr>
        <w:pStyle w:val="BookText"/>
        <w:rPr/>
      </w:pPr>
      <w:bookmarkEnd w:id="74"/>
      <w:r>
        <w:rPr>
          <w:rFonts w:ascii="Amiri" w:hAnsi="Amiri" w:eastAsia="Amiri" w:cs="Amiri"/>
          <w:color w:val="111111"/>
          <w:sz w:val="28"/>
          <w:sz w:val="28"/>
          <w:szCs w:val="28"/>
          <w:rtl w:val="true"/>
          <w:lang w:bidi="ar-SA"/>
        </w:rPr>
        <w:t>علىٰ سَبيلِ التفصيلِ يَقتَضي إثباتَ المعلومِ علىٰ صفةٍ لَيسَ المعلومُ الآخَرُ المُتَميِّزُ</w:t>
      </w:r>
      <w:r>
        <w:rPr>
          <w:rStyle w:val="FootnoteAnchor"/>
          <w:rtl w:val="true"/>
        </w:rPr>
        <w:footnoteReference w:id="291"/>
      </w:r>
      <w:r>
        <w:rPr>
          <w:rFonts w:ascii="Amiri" w:hAnsi="Amiri" w:eastAsia="Amiri" w:cs="Amiri"/>
          <w:color w:val="111111"/>
          <w:sz w:val="28"/>
          <w:sz w:val="28"/>
          <w:szCs w:val="28"/>
          <w:rtl w:val="true"/>
          <w:lang w:bidi="ar-SA"/>
        </w:rPr>
        <w:t>منه عليها؟ أَوَ لَيسَ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يَعلَمُ أجزاءَ السوادِ المُختَصّةَ متىٰ وُجِدَت بمَحلٍّ بعَينِه علىٰ سَبيلِ التفصيلِ‌، و إن كانَ لا صفةَ لبعضِ هذه الأجزاءِ‌</w:t>
      </w:r>
      <w:r>
        <w:rPr>
          <w:rStyle w:val="FootnoteAnchor"/>
          <w:rtl w:val="true"/>
        </w:rPr>
        <w:footnoteReference w:id="292"/>
      </w:r>
      <w:r>
        <w:rPr>
          <w:rFonts w:ascii="Amiri" w:hAnsi="Amiri" w:eastAsia="Amiri" w:cs="Amiri"/>
          <w:color w:val="111111"/>
          <w:sz w:val="28"/>
          <w:sz w:val="28"/>
          <w:szCs w:val="28"/>
          <w:rtl w:val="true"/>
          <w:lang w:bidi="ar-SA"/>
        </w:rPr>
        <w:t>تَختَصُّ بها في حالِ العدمِ إلّاو هي حاصلةٌ لباقي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w:t>
      </w:r>
      <w:r>
        <w:rPr>
          <w:rStyle w:val="FootnoteAnchor"/>
          <w:rtl w:val="true"/>
        </w:rPr>
        <w:footnoteReference w:id="293"/>
      </w:r>
      <w:r>
        <w:rPr>
          <w:rFonts w:ascii="Amiri" w:hAnsi="Amiri" w:eastAsia="Amiri" w:cs="Amiri"/>
          <w:color w:val="111111"/>
          <w:sz w:val="28"/>
          <w:sz w:val="28"/>
          <w:szCs w:val="28"/>
          <w:rtl w:val="true"/>
          <w:lang w:bidi="ar-SA"/>
        </w:rPr>
        <w:t>جازَ أن يُفصَلَ بَينَ ذاتَينِ لا صفةَ لإحداهما إلّاو هي للأُخرىٰ‌، جازَ أن يُفصَلَ بَينَ ذاتَينِ في حالِ العدمِ و إن كانَ لا صفةَ في تلكَ الحالِ لكُلِّ واحدةٍ منهما</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7642278_1280447820"/>
      <w:bookmarkStart w:id="76" w:name="_Toc26"/>
      <w:bookmarkEnd w:id="75"/>
      <w:r>
        <w:rPr>
          <w:rtl w:val="true"/>
        </w:rPr>
        <w:t>مناقشة بعض فقرات كلام السائل</w:t>
      </w:r>
      <w:bookmarkEnd w:id="76"/>
    </w:p>
    <w:p>
      <w:pPr>
        <w:pStyle w:val="BookText"/>
        <w:rPr/>
      </w:pPr>
      <w:r>
        <w:rPr>
          <w:rFonts w:ascii="Amiri" w:hAnsi="Amiri" w:eastAsia="Amiri" w:cs="Amiri"/>
          <w:color w:val="111111"/>
          <w:sz w:val="28"/>
          <w:sz w:val="28"/>
          <w:szCs w:val="28"/>
          <w:rtl w:val="true"/>
          <w:lang w:bidi="ar-SA"/>
        </w:rPr>
        <w:t>فأمّا ما مضىٰ‌ في أثناءِ السؤالِ‌، مِن تَنافي كَونِ الذاتِ الواحدةِ سَواداً مُتَحيِّزةً‌؛ مِن حَيثُ كانَ مِن شأنِ السوادِ أن يَكونَ غَيرَ مُتَحيِّزٍ</w:t>
      </w:r>
      <w:r>
        <w:rPr>
          <w:rStyle w:val="FootnoteAnchor"/>
          <w:rtl w:val="true"/>
        </w:rPr>
        <w:footnoteReference w:id="294"/>
      </w:r>
      <w:r>
        <w:rPr>
          <w:rFonts w:ascii="IRNazanin" w:hAnsi="IRNazanin" w:eastAsia="IRNazanin"/>
          <w:color w:val="111111"/>
          <w:sz w:val="28"/>
          <w:sz w:val="28"/>
          <w:szCs w:val="28"/>
          <w:rtl w:val="true"/>
          <w:lang w:bidi="fa-IR"/>
        </w:rPr>
        <w:t>، و</w:t>
      </w:r>
      <w:r>
        <w:rPr>
          <w:rStyle w:val="FootnoteAnchor"/>
          <w:rtl w:val="true"/>
        </w:rPr>
        <w:footnoteReference w:id="295"/>
      </w:r>
      <w:r>
        <w:rPr>
          <w:rFonts w:ascii="Amiri" w:hAnsi="Amiri" w:eastAsia="Amiri" w:cs="Amiri"/>
          <w:color w:val="111111"/>
          <w:sz w:val="28"/>
          <w:sz w:val="28"/>
          <w:szCs w:val="28"/>
          <w:rtl w:val="true"/>
          <w:lang w:bidi="ar-SA"/>
        </w:rPr>
        <w:t>ما مِن شأنِه أن يَكونَ غَيرَ مُتَحيِّزٍ كَيفَ يُجعَلُ مُتَحيِّزاً؟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بصَحيحٍ‌؛ لأنّ السوادَ إنّما يَجِبُ أن يَكونَ غَيرَ مُتَحيِّزٍ إذا عَلِمنا بدَليلٍ قاطعٍ أ نّه لَم يَكُن سَواداً بالفاعلِ و لا المُتَحيِّزَ يَكونُ مُتَحيِّزاً بالفاعلِ‌</w:t>
      </w:r>
      <w:r>
        <w:rPr>
          <w:rStyle w:val="FootnoteAnchor"/>
          <w:rtl w:val="true"/>
        </w:rPr>
        <w:footnoteReference w:id="296"/>
      </w:r>
      <w:r>
        <w:rPr>
          <w:rFonts w:ascii="IRNazanin" w:hAnsi="IRNazanin" w:eastAsia="IRNazanin"/>
          <w:color w:val="111111"/>
          <w:sz w:val="28"/>
          <w:sz w:val="28"/>
          <w:szCs w:val="28"/>
          <w:rtl w:val="true"/>
          <w:lang w:bidi="fa-IR"/>
        </w:rPr>
        <w:t>، و</w:t>
      </w:r>
      <w:r>
        <w:rPr>
          <w:rStyle w:val="FootnoteAnchor"/>
          <w:rtl w:val="true"/>
        </w:rPr>
        <w:footnoteReference w:id="297"/>
      </w:r>
      <w:r>
        <w:rPr>
          <w:rFonts w:ascii="Amiri" w:hAnsi="Amiri" w:eastAsia="Amiri" w:cs="Amiri"/>
          <w:color w:val="111111"/>
          <w:sz w:val="28"/>
          <w:sz w:val="28"/>
          <w:szCs w:val="28"/>
          <w:rtl w:val="true"/>
          <w:lang w:bidi="ar-SA"/>
        </w:rPr>
        <w:t>أنّ السوادَ إنّما يَكونُ كذلكَ لذاتِه و كذلكَ المُتَحيِّزُ إنّما يَكونُ مُتَحيّزاً لِما يَرجِعُ إلىٰ ذاتِه؛ فتُثمِرُ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لنا هذه المُقدِّماتُ أنّ السوادَ يَجِبُ أن يَكونَ غَيرَ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يَتقدَّمِ العِلمُ بذلكَ‌، و جَوَّزنا كَونَه سَواداً أو مُتَحيِّزاً بالفاعلِ‌، فلَيسَ يُعلَمُ‌</w:t>
      </w:r>
      <w:r>
        <w:rPr>
          <w:rStyle w:val="FootnoteAnchor"/>
          <w:rtl w:val="true"/>
        </w:rPr>
        <w:footnoteReference w:id="299"/>
      </w:r>
      <w:r>
        <w:rPr>
          <w:rFonts w:ascii="Amiri" w:hAnsi="Amiri" w:eastAsia="Amiri" w:cs="Amiri"/>
          <w:color w:val="111111"/>
          <w:sz w:val="28"/>
          <w:sz w:val="28"/>
          <w:szCs w:val="28"/>
          <w:rtl w:val="true"/>
          <w:lang w:bidi="ar-SA"/>
        </w:rPr>
        <w:t>أنّ مِن شأنِ السوادِ أن يَكونَ غَيرَ مُتَحيِّزٍ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مضىٰ أيضاً في خِلالِ الكلامِ‌، مِن المُعارَضةِ بأنّ الفعلَ الواحدَ لا يَكونُ حَسَناً قَبيحاً بالفاعلِ‌، مع ارتفاعِ التضادِّ بَينَ الحَسَنِ و القَبيحِ‌؛ ليَكونَ ذلكَ طَعناً علينا فيما أَوجَبناه مِن جوازِ جَعلِ الفاعلِ الذاتَ الواحدةَ سَواداً مُتَحيِّزةً‌؛ لنَفيِ‌</w:t>
      </w:r>
      <w:r>
        <w:rPr>
          <w:rStyle w:val="FootnoteAnchor"/>
          <w:rtl w:val="true"/>
        </w:rPr>
        <w:footnoteReference w:id="300"/>
      </w:r>
      <w:r>
        <w:rPr>
          <w:rFonts w:ascii="Amiri" w:hAnsi="Amiri" w:eastAsia="Amiri" w:cs="Amiri"/>
          <w:color w:val="111111"/>
          <w:sz w:val="28"/>
          <w:sz w:val="28"/>
          <w:szCs w:val="28"/>
          <w:rtl w:val="true"/>
          <w:lang w:bidi="ar-SA"/>
        </w:rPr>
        <w:t>التضادِّ بَينَ التحيُّزِ و السوادِ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أيضاً غَيرُ صحيحٍ‌؛ لأنّ الحَسَنَ و القَبيحَ و إن لَم يَكُن بَينَهما تَضادٌّ، فالحَسَنُ لا يَكونُ حَسَناً</w:t>
      </w:r>
      <w:r>
        <w:rPr>
          <w:rStyle w:val="FootnoteAnchor"/>
          <w:rtl w:val="true"/>
        </w:rPr>
        <w:footnoteReference w:id="302"/>
      </w:r>
      <w:r>
        <w:rPr>
          <w:rFonts w:ascii="Amiri" w:hAnsi="Amiri" w:eastAsia="Amiri" w:cs="Amiri"/>
          <w:color w:val="111111"/>
          <w:sz w:val="28"/>
          <w:sz w:val="28"/>
          <w:szCs w:val="28"/>
          <w:rtl w:val="true"/>
          <w:lang w:bidi="ar-SA"/>
        </w:rPr>
        <w:t>إلّاو قد انتَفَت عنه وجوهُ القُبحِ كُلُّها، و القَبيحُ لا يَكونُ قَبيحاً إلّاو فيه وَجهٌ مِن وجوهِ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الشيءُ حَسَناً قَبيحاً، فقَد أثبَتنا ما نَفَيناه بعَينِه؛ لأنّا إذا جَعَلناه حَسَناً فقَد نَفَينا عنه وجوهَ القُبحِ‌، و إذا جَعَلناه مع ذلكَ قَبيحاً فقَد أثبَتنا وَجهاً مِن وجوهِ القُبحِ‌؛ و هذا إثباتٌ للمَنفيِّ‌</w:t>
      </w:r>
      <w:r>
        <w:rPr>
          <w:rStyle w:val="FootnoteAnchor"/>
          <w:rtl w:val="true"/>
        </w:rPr>
        <w:footnoteReference w:id="303"/>
      </w:r>
      <w:r>
        <w:rPr>
          <w:rFonts w:ascii="Amiri" w:hAnsi="Amiri" w:eastAsia="Amiri" w:cs="Amiri"/>
          <w:color w:val="111111"/>
          <w:sz w:val="28"/>
          <w:sz w:val="28"/>
          <w:szCs w:val="28"/>
          <w:rtl w:val="true"/>
          <w:lang w:bidi="ar-SA"/>
        </w:rPr>
        <w:t>بعَينِه، و هو آكَدُ في الاستحالةِ مِن التضادِّ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مضىٰ أيضاً في خِلالِ الكلامِ‌، مِن المُعارَضةِ بالخبرِ و الأمرِ، و جَعلِ بعضِ الكلامِ بصِفتِهما</w:t>
      </w:r>
      <w:r>
        <w:rPr>
          <w:rStyle w:val="FootnoteAnchor"/>
          <w:rtl w:val="true"/>
        </w:rPr>
        <w:footnoteReference w:id="304"/>
      </w:r>
      <w:r>
        <w:rPr>
          <w:rFonts w:ascii="Amiri" w:hAnsi="Amiri" w:eastAsia="Amiri" w:cs="Amiri"/>
          <w:color w:val="111111"/>
          <w:sz w:val="28"/>
          <w:sz w:val="28"/>
          <w:szCs w:val="28"/>
          <w:rtl w:val="true"/>
          <w:lang w:bidi="ar-SA"/>
        </w:rPr>
        <w:t>معاً في حالةٍ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غَيرُ مُمتَنِعٍ‌؛ لأنّه لا تَضادَّ بَينَ كَونِ الكلامِ خبراً و أمراً، و لا ما يَجري مَجرَى التضادِّ، و لا إثباتَ للمَنفيِّ بعَينِه كَما قُلنا في الحَسَنِ و القَبيحِ‌</w:t>
      </w:r>
      <w:r>
        <w:rPr>
          <w:rStyle w:val="FootnoteAnchor"/>
          <w:rtl w:val="true"/>
        </w:rPr>
        <w:footnoteReference w:id="305"/>
      </w:r>
      <w:r>
        <w:rPr>
          <w:rFonts w:ascii="Amiri" w:hAnsi="Amiri" w:eastAsia="Amiri" w:cs="Amiri"/>
          <w:color w:val="111111"/>
          <w:sz w:val="28"/>
          <w:sz w:val="28"/>
          <w:szCs w:val="28"/>
          <w:rtl w:val="true"/>
          <w:lang w:bidi="ar-SA"/>
        </w:rPr>
        <w:t>و لَيسَ بمُمتَنِعٍ‌</w:t>
      </w:r>
      <w:r>
        <w:rPr>
          <w:rStyle w:val="FootnoteAnchor"/>
          <w:rtl w:val="true"/>
        </w:rPr>
        <w:footnoteReference w:id="306"/>
      </w:r>
      <w:r>
        <w:rPr>
          <w:rFonts w:ascii="Amiri" w:hAnsi="Amiri" w:eastAsia="Amiri" w:cs="Amiri"/>
          <w:color w:val="111111"/>
          <w:sz w:val="28"/>
          <w:sz w:val="28"/>
          <w:szCs w:val="28"/>
          <w:rtl w:val="true"/>
          <w:lang w:bidi="ar-SA"/>
        </w:rPr>
        <w:t>أن يَتكلَّمَ أحَدُنا بكلامٍ يَقصِدُ به إلىٰ ما يَكونُ به الخبرُ خبراً فيَكونُ خبراً، و إلىٰ ما به يَكونُ الأمرُ أمراً فيَكونُ أمراً؛ و إنّما يَفحُشُ ذلكَ لأنّ صيغةَ الأمرِ في اللغةِ العَرَبيّةِ تُخالِفُ‌</w:t>
      </w:r>
      <w:r>
        <w:rPr>
          <w:rStyle w:val="FootnoteAnchor"/>
          <w:rtl w:val="true"/>
        </w:rPr>
        <w:footnoteReference w:id="307"/>
      </w:r>
      <w:r>
        <w:rPr>
          <w:rFonts w:ascii="Amiri" w:hAnsi="Amiri" w:eastAsia="Amiri" w:cs="Amiri"/>
          <w:color w:val="111111"/>
          <w:sz w:val="28"/>
          <w:sz w:val="28"/>
          <w:szCs w:val="28"/>
          <w:rtl w:val="true"/>
          <w:lang w:bidi="ar-SA"/>
        </w:rPr>
        <w:t>صيغةَ الخبرِ</w:t>
      </w:r>
      <w:r>
        <w:rPr>
          <w:rStyle w:val="FootnoteAnchor"/>
          <w:rtl w:val="true"/>
        </w:rPr>
        <w:footnoteReference w:id="308"/>
      </w:r>
      <w:r>
        <w:rPr>
          <w:rFonts w:ascii="Amiri" w:hAnsi="Amiri" w:eastAsia="Amiri" w:cs="Amiri"/>
          <w:color w:val="111111"/>
          <w:sz w:val="28"/>
          <w:sz w:val="28"/>
          <w:szCs w:val="28"/>
          <w:rtl w:val="true"/>
          <w:lang w:bidi="ar-SA"/>
        </w:rPr>
        <w:t>، فمَن جَمَعَ بَينَهما في صيغةٍ‌</w:t>
      </w:r>
      <w:r>
        <w:rPr>
          <w:rStyle w:val="FootnoteAnchor"/>
          <w:rtl w:val="true"/>
        </w:rPr>
        <w:footnoteReference w:id="309"/>
      </w:r>
      <w:r>
        <w:rPr>
          <w:rFonts w:ascii="Amiri" w:hAnsi="Amiri" w:eastAsia="Amiri" w:cs="Amiri"/>
          <w:color w:val="111111"/>
          <w:sz w:val="28"/>
          <w:sz w:val="28"/>
          <w:szCs w:val="28"/>
          <w:rtl w:val="true"/>
          <w:lang w:bidi="ar-SA"/>
        </w:rPr>
        <w:t>واحدةٍ فكأنّه غَيرُ مُتكلِّمٍ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خُتِمَ به الكلامُ‌، مِن أنّ الذاتَ إذا كانَت واحدةً‌، و قَدَّرنا انتفاءَها، وَجَبَ انتفاءُ الصفاتِ أجمَعَ‌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بيّنّا في صَدرِ كلامِنا ما تَزولُ به الشبهةُ‌</w:t>
      </w:r>
      <w:r>
        <w:rPr>
          <w:rStyle w:val="FootnoteAnchor"/>
          <w:rtl w:val="true"/>
        </w:rPr>
        <w:footnoteReference w:id="310"/>
      </w:r>
      <w:r>
        <w:rPr>
          <w:rFonts w:ascii="Amiri" w:hAnsi="Amiri" w:eastAsia="Amiri" w:cs="Amiri"/>
          <w:color w:val="111111"/>
          <w:sz w:val="28"/>
          <w:sz w:val="28"/>
          <w:szCs w:val="28"/>
          <w:rtl w:val="true"/>
          <w:lang w:bidi="ar-SA"/>
        </w:rPr>
        <w:t>، و استَوفَيناه،</w:t>
      </w:r>
      <w:r>
        <w:rPr>
          <w:rStyle w:val="FootnoteAnchor"/>
          <w:rtl w:val="true"/>
        </w:rPr>
        <w:footnoteReference w:id="311"/>
      </w:r>
      <w:r>
        <w:rPr>
          <w:rFonts w:ascii="Amiri" w:hAnsi="Amiri" w:eastAsia="Amiri" w:cs="Amiri"/>
          <w:color w:val="111111"/>
          <w:sz w:val="28"/>
          <w:sz w:val="28"/>
          <w:szCs w:val="28"/>
          <w:rtl w:val="true"/>
          <w:lang w:bidi="ar-SA"/>
        </w:rPr>
        <w:t>و قُلنا</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إذا فَرَضنا كَونَها بصِفةِ السوادِ و التحيُّزِ، فقَد فَرَضنا كَونَها</w:t>
      </w:r>
      <w:r>
        <w:rPr>
          <w:rStyle w:val="FootnoteAnchor"/>
          <w:rtl w:val="true"/>
        </w:rPr>
        <w:footnoteReference w:id="313"/>
      </w:r>
      <w:r>
        <w:rPr>
          <w:rFonts w:ascii="Amiri" w:hAnsi="Amiri" w:eastAsia="Amiri" w:cs="Amiri"/>
          <w:color w:val="111111"/>
          <w:sz w:val="28"/>
          <w:sz w:val="28"/>
          <w:szCs w:val="28"/>
          <w:rtl w:val="true"/>
          <w:lang w:bidi="ar-SA"/>
        </w:rPr>
        <w:t>علىٰ ما يَجِبُ استمرارُه إلىٰ أن يَطرأَ ما يُنافيهِ‌، و أنّه متىٰ لَم يَطرأْ ما يُنافيهِ فالاستمرارُ واجبٌ‌؛ فإذا فَرَضنا حدوثَ بياضٍ‌، فإنّما حَدَثَ‌</w:t>
      </w:r>
      <w:r>
        <w:rPr>
          <w:rStyle w:val="FootnoteAnchor"/>
          <w:rtl w:val="true"/>
        </w:rPr>
        <w:footnoteReference w:id="314"/>
      </w:r>
      <w:r>
        <w:rPr>
          <w:rFonts w:ascii="Amiri" w:hAnsi="Amiri" w:eastAsia="Amiri" w:cs="Amiri"/>
          <w:color w:val="111111"/>
          <w:sz w:val="28"/>
          <w:sz w:val="28"/>
          <w:szCs w:val="28"/>
          <w:rtl w:val="true"/>
          <w:lang w:bidi="ar-SA"/>
        </w:rPr>
        <w:t xml:space="preserve">ما يُنافي السوادَ دونَ ما يُنافي التحيُّزَ، فللذاتِ و </w:t>
      </w:r>
    </w:p>
    <w:p>
      <w:pPr>
        <w:pStyle w:val="BookText"/>
        <w:rPr/>
      </w:pPr>
      <w:r>
        <w:rPr>
          <w:rFonts w:ascii="Amiri" w:hAnsi="Amiri" w:eastAsia="Amiri" w:cs="Amiri"/>
          <w:color w:val="111111"/>
          <w:sz w:val="28"/>
          <w:sz w:val="28"/>
          <w:szCs w:val="28"/>
          <w:rtl w:val="true"/>
          <w:lang w:bidi="ar-SA"/>
        </w:rPr>
        <w:t>حالُها</w:t>
      </w:r>
      <w:r>
        <w:rPr>
          <w:rStyle w:val="FootnoteAnchor"/>
          <w:rtl w:val="true"/>
        </w:rPr>
        <w:footnoteReference w:id="315"/>
      </w:r>
      <w:r>
        <w:rPr>
          <w:rFonts w:ascii="Amiri" w:hAnsi="Amiri" w:eastAsia="Amiri" w:cs="Amiri"/>
          <w:color w:val="111111"/>
          <w:sz w:val="28"/>
          <w:sz w:val="28"/>
          <w:szCs w:val="28"/>
          <w:rtl w:val="true"/>
          <w:lang w:bidi="ar-SA"/>
        </w:rPr>
        <w:t>هذه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يَقتَضي الانتفاءَ وهي حالُ كَونِها سَواداً، و الوجهُ الآخَرُ يَقتَضي الاستمرارَ و هي حالُ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هي بأن تَنتَفيَ بأَولىٰ مِن أن تَستَمِرَّ</w:t>
      </w:r>
      <w:r>
        <w:rPr>
          <w:rStyle w:val="FootnoteAnchor"/>
          <w:rtl w:val="true"/>
        </w:rPr>
        <w:footnoteReference w:id="316"/>
      </w:r>
      <w:r>
        <w:rPr>
          <w:rFonts w:ascii="Amiri" w:hAnsi="Amiri" w:eastAsia="Amiri" w:cs="Amiri"/>
          <w:color w:val="111111"/>
          <w:sz w:val="28"/>
          <w:sz w:val="28"/>
          <w:szCs w:val="28"/>
          <w:rtl w:val="true"/>
          <w:lang w:bidi="ar-SA"/>
        </w:rPr>
        <w:t>لثُبوتِ وَجهَي</w:t>
      </w:r>
      <w:r>
        <w:rPr>
          <w:rStyle w:val="FootnoteAnchor"/>
          <w:rtl w:val="true"/>
        </w:rPr>
        <w:footnoteReference w:id="317"/>
      </w:r>
      <w:r>
        <w:rPr>
          <w:rFonts w:ascii="Amiri" w:hAnsi="Amiri" w:eastAsia="Amiri" w:cs="Amiri"/>
          <w:color w:val="111111"/>
          <w:sz w:val="28"/>
          <w:sz w:val="28"/>
          <w:szCs w:val="28"/>
          <w:rtl w:val="true"/>
          <w:lang w:bidi="ar-SA"/>
        </w:rPr>
        <w:t>الانتفاءِ و الاستمرارِ، فلهذا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يَجِبُ أن تَكونَ موجودةً معدومةً‌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 لِمَن تأمَّلَه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77" w:name="pg16415_223725"/>
    </w:p>
    <w:p>
      <w:pPr>
        <w:pStyle w:val="Heading6"/>
        <w:numPr>
          <w:ilvl w:val="5"/>
          <w:numId w:val="1"/>
        </w:numPr>
        <w:rPr/>
      </w:pPr>
      <w:bookmarkStart w:id="78" w:name="__RefHeading___Toc7642280_1280447820"/>
      <w:bookmarkStart w:id="79" w:name="_Toc27"/>
      <w:bookmarkEnd w:id="77"/>
      <w:bookmarkEnd w:id="78"/>
      <w:r>
        <w:rPr>
          <w:rtl w:val="true"/>
        </w:rPr>
        <w:t>المسألةُ الثانيةُ في أنّ القدرة توجب حالاً للجملة، دون المحلّ‌</w:t>
      </w:r>
      <w:bookmarkEnd w:id="79"/>
    </w:p>
    <w:p>
      <w:pPr>
        <w:pStyle w:val="Heading6"/>
        <w:numPr>
          <w:ilvl w:val="5"/>
          <w:numId w:val="1"/>
        </w:numPr>
        <w:rPr/>
      </w:pPr>
      <w:bookmarkStart w:id="80" w:name="__RefHeading___Toc7642282_1280447820"/>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المسألةُ الثانيةُ في أنّ القدرة توجب حالاً للجملة، دون المحلّ‌</w:t>
      </w:r>
      <w:r>
        <w:rPr>
          <w:rStyle w:val="FootnoteAnchor"/>
          <w:rtl w:val="true"/>
        </w:rPr>
        <w:footnoteReference w:id="3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جوابُ مَن زَعَمَ أنّ القُدرةَ توجِبُ حالاً للمَحلِّ دونَ الجُملةِ؟ و يَستَدِلُّ علىٰ 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القُدرةُ توجِبُ حالاً للجُملةِ‌، لَوَجَبَ أن يَصِحَّ الفعلُ بالأطرافِ ممّن في قَلبِه أو في بعضِ جسدِه قُدرةٌ واحدةٌ‌؛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حالاً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في غَيرِ مَحلِّه مِن الجُملةِ كتأثيرِه في مَحلِّه، و إذا</w:t>
      </w:r>
      <w:r>
        <w:rPr>
          <w:rStyle w:val="FootnoteAnchor"/>
          <w:rtl w:val="true"/>
        </w:rPr>
        <w:footnoteReference w:id="320"/>
      </w:r>
      <w:r>
        <w:rPr>
          <w:rFonts w:ascii="Amiri" w:hAnsi="Amiri" w:eastAsia="Amiri" w:cs="Amiri"/>
          <w:color w:val="111111"/>
          <w:sz w:val="28"/>
          <w:sz w:val="28"/>
          <w:szCs w:val="28"/>
          <w:rtl w:val="true"/>
          <w:lang w:bidi="ar-SA"/>
        </w:rPr>
        <w:t>كانَ تأثيرُها صحّةَ الفعلِ وَجَبَ أن يَصِحَّ الفعلُ علَى الحَدِّ الذي ذَكَرناه؛ فلمّا وَجَدتُ وقوفَ صحّةِ الفعلِ‌</w:t>
      </w:r>
      <w:r>
        <w:rPr>
          <w:rStyle w:val="FootnoteAnchor"/>
          <w:rtl w:val="true"/>
        </w:rPr>
        <w:footnoteReference w:id="321"/>
      </w:r>
      <w:r>
        <w:rPr>
          <w:rFonts w:ascii="Amiri" w:hAnsi="Amiri" w:eastAsia="Amiri" w:cs="Amiri"/>
          <w:color w:val="111111"/>
          <w:sz w:val="28"/>
          <w:sz w:val="28"/>
          <w:szCs w:val="28"/>
          <w:rtl w:val="true"/>
          <w:lang w:bidi="ar-SA"/>
        </w:rPr>
        <w:t>بالأطرافِ علىٰ وجودِ القُدرةِ فيها حتّىٰ لا يَصِحُّ فعلٌ بجُزءٍ لَيسَ فيه قُدرةٌ‌، قَطَعتُ علىٰ أنّ‌</w:t>
      </w:r>
      <w:r>
        <w:rPr>
          <w:rStyle w:val="FootnoteAnchor"/>
          <w:rtl w:val="true"/>
        </w:rPr>
        <w:footnoteReference w:id="322"/>
      </w:r>
      <w:r>
        <w:rPr>
          <w:rFonts w:ascii="Amiri" w:hAnsi="Amiri" w:eastAsia="Amiri" w:cs="Amiri"/>
          <w:color w:val="111111"/>
          <w:sz w:val="28"/>
          <w:sz w:val="28"/>
          <w:szCs w:val="28"/>
          <w:rtl w:val="true"/>
          <w:lang w:bidi="ar-SA"/>
        </w:rPr>
        <w:t>تأثيرَها الحالَ للمَحلِّ لا للجُملةِ‌؛ ألا تَرىٰ أنّ العالِمَ يَصِحُّ منه المُحكَمُ‌</w:t>
      </w:r>
      <w:r>
        <w:rPr>
          <w:rStyle w:val="FootnoteAnchor"/>
          <w:rtl w:val="true"/>
        </w:rPr>
        <w:footnoteReference w:id="323"/>
      </w:r>
      <w:r>
        <w:rPr>
          <w:rFonts w:ascii="Amiri" w:hAnsi="Amiri" w:eastAsia="Amiri" w:cs="Amiri"/>
          <w:color w:val="111111"/>
          <w:sz w:val="28"/>
          <w:sz w:val="28"/>
          <w:szCs w:val="28"/>
          <w:rtl w:val="true"/>
          <w:lang w:bidi="ar-SA"/>
        </w:rPr>
        <w:t>بأطرافِه و إن وُجِدَ العِلمُ‌</w:t>
      </w:r>
      <w:r>
        <w:rPr>
          <w:rStyle w:val="FootnoteAnchor"/>
          <w:rtl w:val="true"/>
        </w:rPr>
        <w:footnoteReference w:id="324"/>
      </w:r>
      <w:r>
        <w:rPr>
          <w:rFonts w:ascii="Amiri" w:hAnsi="Amiri" w:eastAsia="Amiri" w:cs="Amiri"/>
          <w:color w:val="111111"/>
          <w:sz w:val="28"/>
          <w:sz w:val="28"/>
          <w:szCs w:val="28"/>
          <w:rtl w:val="true"/>
          <w:lang w:bidi="ar-SA"/>
        </w:rPr>
        <w:t xml:space="preserve">في قَلبِه‌؟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كذلكَ في القُدرةِ لأنّ مِن أحكامِ القُدرةِ أن لا يَصِحَّ الابتداءُ بها إلّافي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إقرارٌ بما ذَكرناه مِن إيجابِها الحالَ للمَحلِّ‌، غَيرَ أنّكم عَبَّرتم بخِلافِ عبارتِنا؛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الفعلُ بالأطرافِ و إن كانَ في القَلبِ قُدرةٌ‌؛ لأنّ القُدرةَ ما</w:t>
      </w:r>
      <w:r>
        <w:rPr>
          <w:rStyle w:val="FootnoteAnchor"/>
          <w:rtl w:val="true"/>
        </w:rPr>
        <w:footnoteReference w:id="325"/>
      </w:r>
      <w:r>
        <w:rPr>
          <w:rFonts w:ascii="Amiri" w:hAnsi="Amiri" w:eastAsia="Amiri" w:cs="Amiri"/>
          <w:color w:val="111111"/>
          <w:sz w:val="28"/>
          <w:sz w:val="28"/>
          <w:szCs w:val="28"/>
          <w:rtl w:val="true"/>
          <w:lang w:bidi="ar-SA"/>
        </w:rPr>
        <w:t>أوجَبَت حالاً للأطرافِ‌</w:t>
      </w:r>
      <w:r>
        <w:rPr>
          <w:rStyle w:val="FootnoteAnchor"/>
          <w:rtl w:val="true"/>
        </w:rPr>
        <w:footnoteReference w:id="326"/>
      </w:r>
      <w:r>
        <w:rPr>
          <w:rFonts w:ascii="Amiri" w:hAnsi="Amiri" w:eastAsia="Amiri" w:cs="Amiri"/>
          <w:color w:val="111111"/>
          <w:sz w:val="28"/>
          <w:sz w:val="28"/>
          <w:szCs w:val="28"/>
          <w:rtl w:val="true"/>
          <w:lang w:bidi="ar-SA"/>
        </w:rPr>
        <w:t>و أوجَبَت للمَحلِّ الذي حَلَّت</w:t>
      </w:r>
      <w:r>
        <w:rPr>
          <w:rStyle w:val="FootnoteAnchor"/>
          <w:rtl w:val="true"/>
        </w:rPr>
        <w:footnoteReference w:id="327"/>
      </w:r>
      <w:r>
        <w:rPr>
          <w:rFonts w:ascii="Amiri" w:hAnsi="Amiri" w:eastAsia="Amiri" w:cs="Amiri"/>
          <w:color w:val="111111"/>
          <w:sz w:val="28"/>
          <w:sz w:val="28"/>
          <w:szCs w:val="28"/>
          <w:rtl w:val="true"/>
          <w:lang w:bidi="ar-SA"/>
        </w:rPr>
        <w:t>فيه، و أنتم تُثبِتونَ هذا الحُكمَ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لا يَصِحُّ الابتداءُ بها إلّافي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ذَكرناه أَولىٰ‌؛ لأنّا نُثبِتُ إيجابَ القُدرةِ حالاً لِما</w:t>
      </w:r>
      <w:r>
        <w:rPr>
          <w:rStyle w:val="FootnoteAnchor"/>
          <w:rtl w:val="true"/>
        </w:rPr>
        <w:footnoteReference w:id="328"/>
      </w:r>
      <w:r>
        <w:rPr>
          <w:rFonts w:ascii="Amiri" w:hAnsi="Amiri" w:eastAsia="Amiri" w:cs="Amiri"/>
          <w:color w:val="111111"/>
          <w:sz w:val="28"/>
          <w:sz w:val="28"/>
          <w:szCs w:val="28"/>
          <w:rtl w:val="true"/>
          <w:lang w:bidi="ar-SA"/>
        </w:rPr>
        <w:t>يَصِحُّ به الفعلُ‌، و أنتم تَجعَلونَ القُدرةَ مُوجِبةً حالاً لِما لا يَصِحُّ 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جازَ هذا لَيَجوزنَّ‌</w:t>
      </w:r>
      <w:r>
        <w:rPr>
          <w:rStyle w:val="FootnoteAnchor"/>
          <w:rtl w:val="true"/>
        </w:rPr>
        <w:footnoteReference w:id="329"/>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الأكوانَ توجِبُ الحالَ للجُملةِ‌، و السوادُ أيضاً؛ لكِن لا تَكونُ الجُملةُ كائناً بجُزءٍ واحدٍ مِن الكَونِ‌</w:t>
      </w:r>
      <w:r>
        <w:rPr>
          <w:rStyle w:val="FootnoteAnchor"/>
          <w:rtl w:val="true"/>
        </w:rPr>
        <w:footnoteReference w:id="330"/>
      </w:r>
      <w:r>
        <w:rPr>
          <w:rFonts w:ascii="Amiri" w:hAnsi="Amiri" w:eastAsia="Amiri" w:cs="Amiri"/>
          <w:color w:val="111111"/>
          <w:sz w:val="28"/>
          <w:sz w:val="28"/>
          <w:szCs w:val="28"/>
          <w:rtl w:val="true"/>
          <w:lang w:bidi="ar-SA"/>
        </w:rPr>
        <w:t>، و لا سَواداً بجُزءٍ واحدٍ مِن السوادِ؛ بَل إذا حَصَلَ في كُلِّ جُزءٍ جُزءٍ‌</w:t>
      </w:r>
      <w:r>
        <w:rPr>
          <w:rStyle w:val="FootnoteAnchor"/>
          <w:rtl w:val="true"/>
        </w:rPr>
        <w:footnoteReference w:id="331"/>
      </w:r>
      <w:r>
        <w:rPr>
          <w:rFonts w:ascii="Amiri" w:hAnsi="Amiri" w:eastAsia="Amiri" w:cs="Amiri"/>
          <w:color w:val="111111"/>
          <w:sz w:val="28"/>
          <w:sz w:val="28"/>
          <w:szCs w:val="28"/>
          <w:rtl w:val="true"/>
          <w:lang w:bidi="ar-SA"/>
        </w:rPr>
        <w:t>مِن الكَونِ و السوادِ، ظَهَرَ الحُكمانِ‌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القُدرةِ موجِبةً للمَحلِّ حالاً يوجِبُ أن يَكونَ الواحدُ مِنّا قادِرينَ جماعةً‌،</w:t>
      </w:r>
      <w:r>
        <w:rPr>
          <w:rStyle w:val="FootnoteAnchor"/>
          <w:rtl w:val="true"/>
        </w:rPr>
        <w:footnoteReference w:id="332"/>
      </w:r>
      <w:r>
        <w:rPr>
          <w:rFonts w:ascii="Amiri" w:hAnsi="Amiri" w:eastAsia="Amiri" w:cs="Amiri"/>
          <w:color w:val="111111"/>
          <w:sz w:val="28"/>
          <w:sz w:val="28"/>
          <w:szCs w:val="28"/>
          <w:rtl w:val="true"/>
          <w:lang w:bidi="ar-SA"/>
        </w:rPr>
        <w:t>و أن لا نَتصرَّفَ‌</w:t>
      </w:r>
      <w:r>
        <w:rPr>
          <w:rStyle w:val="FootnoteAnchor"/>
          <w:rtl w:val="true"/>
        </w:rPr>
        <w:footnoteReference w:id="333"/>
      </w:r>
      <w:r>
        <w:rPr>
          <w:rFonts w:ascii="Amiri" w:hAnsi="Amiri" w:eastAsia="Amiri" w:cs="Amiri"/>
          <w:color w:val="111111"/>
          <w:sz w:val="28"/>
          <w:sz w:val="28"/>
          <w:szCs w:val="28"/>
          <w:rtl w:val="true"/>
          <w:lang w:bidi="ar-SA"/>
        </w:rPr>
        <w:t>بإرادةٍ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334"/>
      </w:r>
      <w:r>
        <w:rPr>
          <w:rFonts w:ascii="Amiri" w:hAnsi="Amiri" w:eastAsia="Amiri" w:cs="Amiri"/>
          <w:color w:val="111111"/>
          <w:sz w:val="28"/>
          <w:sz w:val="28"/>
          <w:szCs w:val="28"/>
          <w:rtl w:val="true"/>
          <w:lang w:bidi="ar-SA"/>
        </w:rPr>
        <w:t>أرَدتم أنّ كُلَّ جُزءٍ مِن الجُملةِ له مِن الحُكمِ ما هو</w:t>
      </w:r>
      <w:r>
        <w:rPr>
          <w:rStyle w:val="FootnoteAnchor"/>
          <w:rtl w:val="true"/>
        </w:rPr>
        <w:footnoteReference w:id="335"/>
      </w:r>
      <w:r>
        <w:rPr>
          <w:rFonts w:ascii="Amiri" w:hAnsi="Amiri" w:eastAsia="Amiri" w:cs="Amiri"/>
          <w:color w:val="111111"/>
          <w:sz w:val="28"/>
          <w:sz w:val="28"/>
          <w:szCs w:val="28"/>
          <w:rtl w:val="true"/>
          <w:lang w:bidi="ar-SA"/>
        </w:rPr>
        <w:t>للجُملةِ‌، فهذا مُسَلَّمٌ‌، و لا يَجِبُ أن لا نَتصرَّفَ‌</w:t>
      </w:r>
      <w:r>
        <w:rPr>
          <w:rStyle w:val="FootnoteAnchor"/>
          <w:rtl w:val="true"/>
        </w:rPr>
        <w:footnoteReference w:id="336"/>
      </w:r>
      <w:r>
        <w:rPr>
          <w:rFonts w:ascii="Amiri" w:hAnsi="Amiri" w:eastAsia="Amiri" w:cs="Amiri"/>
          <w:color w:val="111111"/>
          <w:sz w:val="28"/>
          <w:sz w:val="28"/>
          <w:szCs w:val="28"/>
          <w:rtl w:val="true"/>
          <w:lang w:bidi="ar-SA"/>
        </w:rPr>
        <w:t>بإرادةٍ واحدةٍ‌</w:t>
      </w:r>
      <w:r>
        <w:rPr>
          <w:rStyle w:val="FootnoteAnchor"/>
          <w:rtl w:val="true"/>
        </w:rPr>
        <w:footnoteReference w:id="337"/>
      </w:r>
      <w:r>
        <w:rPr>
          <w:rFonts w:ascii="Amiri" w:hAnsi="Amiri" w:eastAsia="Amiri" w:cs="Amiri"/>
          <w:color w:val="111111"/>
          <w:sz w:val="28"/>
          <w:sz w:val="28"/>
          <w:szCs w:val="28"/>
          <w:rtl w:val="true"/>
          <w:lang w:bidi="ar-SA"/>
        </w:rPr>
        <w:t>لأنّ الإرادةَ توجِبُ لجُملةِ الأجزاءِ الحالَ‌، فنَتصرَّفُ‌</w:t>
      </w:r>
      <w:r>
        <w:rPr>
          <w:rStyle w:val="FootnoteAnchor"/>
          <w:rtl w:val="true"/>
        </w:rPr>
        <w:footnoteReference w:id="338"/>
      </w:r>
      <w:r>
        <w:rPr>
          <w:rFonts w:ascii="Amiri" w:hAnsi="Amiri" w:eastAsia="Amiri" w:cs="Amiri"/>
          <w:color w:val="111111"/>
          <w:sz w:val="28"/>
          <w:sz w:val="28"/>
          <w:szCs w:val="28"/>
          <w:rtl w:val="true"/>
          <w:lang w:bidi="ar-SA"/>
        </w:rPr>
        <w:t>علىٰ حَدٍّ واحدٍ؛ لأنّ كُلَّ جُزءٍ حُكمُه حُكمُ الآخَرِ في كَونِه مِن الجُملةِ التي صَيَّرَتها الإرادةُ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أرَدتُم تسميةَ الجُملةِ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سَمَّتها العَرَبُ لَسَمَّيناها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يوجِبُ عليكم أن تُسَمّوا الجُملةَ الكائنةَ‌</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كائنينَ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طريقَ إثباتِ القادرِ قادراً، يوجِبُ أنّ القادرَ هو جُملةُ الحَيِّ‌، دونَ أجزائه و أبعاضِه؛ لأنّا إنّما تَوصَّلنا إلىٰ إثباتِ‌</w:t>
      </w:r>
      <w:r>
        <w:rPr>
          <w:rStyle w:val="FootnoteAnchor"/>
          <w:rtl w:val="true"/>
        </w:rPr>
        <w:footnoteReference w:id="340"/>
      </w:r>
      <w:r>
        <w:rPr>
          <w:rFonts w:ascii="Amiri" w:hAnsi="Amiri" w:eastAsia="Amiri" w:cs="Amiri"/>
          <w:color w:val="111111"/>
          <w:sz w:val="28"/>
          <w:sz w:val="28"/>
          <w:szCs w:val="28"/>
          <w:rtl w:val="true"/>
          <w:lang w:bidi="ar-SA"/>
        </w:rPr>
        <w:t xml:space="preserve">هذه الحالِ له بصحّةِ الفعلِ‌، مِن حَيثُ وَجَدنا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Style w:val="FootnoteAnchor"/>
          <w:rtl w:val="true"/>
        </w:rPr>
        <w:footnoteReference w:id="341"/>
      </w:r>
      <w:r>
        <w:rPr>
          <w:rFonts w:ascii="Amiri" w:hAnsi="Amiri" w:eastAsia="Amiri" w:cs="Amiri"/>
          <w:color w:val="111111"/>
          <w:sz w:val="28"/>
          <w:sz w:val="28"/>
          <w:szCs w:val="28"/>
          <w:rtl w:val="true"/>
          <w:lang w:bidi="ar-SA"/>
        </w:rPr>
        <w:t xml:space="preserve">هو صحّةُ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حَيٌّ دونَ حَيٍّ‌</w:t>
      </w:r>
      <w:r>
        <w:rPr>
          <w:rStyle w:val="FootnoteAnchor"/>
          <w:rtl w:val="true"/>
        </w:rPr>
        <w:footnoteReference w:id="342"/>
      </w:r>
      <w:r>
        <w:rPr>
          <w:rFonts w:ascii="Amiri" w:hAnsi="Amiri" w:eastAsia="Amiri" w:cs="Amiri"/>
          <w:color w:val="111111"/>
          <w:sz w:val="28"/>
          <w:sz w:val="28"/>
          <w:szCs w:val="28"/>
          <w:rtl w:val="true"/>
          <w:lang w:bidi="ar-SA"/>
        </w:rPr>
        <w:t>آخَرَ، فعَلِمنا أنّ أحَدَهما لَم يَختَصَّ بهذا الحُكمِ دونَ صاحبِه إلّابُمقتَضٍ له يَرجِعُ إلىٰ مَن صَحَّ الفعلُ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عَلِمنا أنّ الفعلَ إنّما صَحَّ مِن الجُملةِ دونَ أبعاضِها؛ بدَلالةِ أنّ أحكامَ الفعلِ كُلَّها تَرجِعُ إلَى الجُملةِ دونَ الأبعاضِ مِن مَدحٍ و ذَمٍّ و أمرٍ و نَهيٍ‌، و لا </w:t>
      </w:r>
    </w:p>
    <w:p>
      <w:pPr>
        <w:pStyle w:val="BookText"/>
        <w:rPr/>
      </w:pPr>
      <w:r>
        <w:rPr>
          <w:rFonts w:ascii="Amiri" w:hAnsi="Amiri" w:eastAsia="Amiri" w:cs="Amiri"/>
          <w:color w:val="111111"/>
          <w:sz w:val="28"/>
          <w:sz w:val="28"/>
          <w:szCs w:val="28"/>
          <w:rtl w:val="true"/>
          <w:lang w:bidi="ar-SA"/>
        </w:rPr>
        <w:t>شُبهةَ علىٰ عاقلٍ في أنّ المأمورَ المنهيَّ الممدوحَ المذمومَ هو الجُملةُ دونَ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أحَدَنا لَو لَطَمَ غَيرَنا و</w:t>
      </w:r>
      <w:r>
        <w:rPr>
          <w:rStyle w:val="FootnoteAnchor"/>
          <w:rtl w:val="true"/>
        </w:rPr>
        <w:footnoteReference w:id="343"/>
      </w:r>
      <w:r>
        <w:rPr>
          <w:rFonts w:ascii="Amiri" w:hAnsi="Amiri" w:eastAsia="Amiri" w:cs="Amiri"/>
          <w:color w:val="111111"/>
          <w:sz w:val="28"/>
          <w:sz w:val="28"/>
          <w:szCs w:val="28"/>
          <w:rtl w:val="true"/>
          <w:lang w:bidi="ar-SA"/>
        </w:rPr>
        <w:t>بَخَصَ عَينَه</w:t>
      </w:r>
      <w:r>
        <w:rPr>
          <w:rStyle w:val="FootnoteAnchor"/>
          <w:rtl w:val="true"/>
        </w:rPr>
        <w:footnoteReference w:id="344"/>
      </w:r>
      <w:r>
        <w:rPr>
          <w:rFonts w:ascii="Amiri" w:hAnsi="Amiri" w:eastAsia="Amiri" w:cs="Amiri"/>
          <w:color w:val="111111"/>
          <w:sz w:val="28"/>
          <w:sz w:val="28"/>
          <w:szCs w:val="28"/>
          <w:rtl w:val="true"/>
          <w:lang w:bidi="ar-SA"/>
        </w:rPr>
        <w:t>، لَما وَجَّهَ‌</w:t>
      </w:r>
      <w:r>
        <w:rPr>
          <w:rStyle w:val="FootnoteAnchor"/>
          <w:rtl w:val="true"/>
        </w:rPr>
        <w:footnoteReference w:id="345"/>
      </w:r>
      <w:r>
        <w:rPr>
          <w:rFonts w:ascii="Amiri" w:hAnsi="Amiri" w:eastAsia="Amiri" w:cs="Amiri"/>
          <w:color w:val="111111"/>
          <w:sz w:val="28"/>
          <w:sz w:val="28"/>
          <w:szCs w:val="28"/>
          <w:rtl w:val="true"/>
          <w:lang w:bidi="ar-SA"/>
        </w:rPr>
        <w:t>العقلاءُ ذَمَّهم</w:t>
      </w:r>
      <w:r>
        <w:rPr>
          <w:rStyle w:val="FootnoteAnchor"/>
          <w:rtl w:val="true"/>
        </w:rPr>
        <w:footnoteReference w:id="346"/>
      </w:r>
      <w:r>
        <w:rPr>
          <w:rFonts w:ascii="Amiri" w:hAnsi="Amiri" w:eastAsia="Amiri" w:cs="Amiri"/>
          <w:color w:val="111111"/>
          <w:sz w:val="28"/>
          <w:sz w:val="28"/>
          <w:szCs w:val="28"/>
          <w:rtl w:val="true"/>
          <w:lang w:bidi="ar-SA"/>
        </w:rPr>
        <w:t>علىٰ هذه الإساءةِ إلَى الإصبَعِ أو اليَدِ المُباشِرتَينِ للفعلِ‌، بَل إلىٰ جُملةِ الفاعلِ؟ فثَبَتَ‌</w:t>
      </w:r>
      <w:r>
        <w:rPr>
          <w:rStyle w:val="FootnoteAnchor"/>
          <w:rtl w:val="true"/>
        </w:rPr>
        <w:footnoteReference w:id="347"/>
      </w:r>
      <w:r>
        <w:rPr>
          <w:rFonts w:ascii="Amiri" w:hAnsi="Amiri" w:eastAsia="Amiri" w:cs="Amiri"/>
          <w:color w:val="111111"/>
          <w:sz w:val="28"/>
          <w:sz w:val="28"/>
          <w:szCs w:val="28"/>
          <w:rtl w:val="true"/>
          <w:lang w:bidi="ar-SA"/>
        </w:rPr>
        <w:t>بهذا الكلامِ أنّ حالَ القادرِ</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تَوصَّلنا إليها بهذه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راجعةً إلىٰ مَن تَتعلَّقُ هذه الأحكامُ به، و هو الجملةُ‌، دونَ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أيضاً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تَقَعُ بحَسَبِ الدواعي و القَصدِ و العِلمِ و الإدراكِ‌، و معلومٌ أنّ سائرَ ما ذَكرناه إنّما يَتعلَّقُ بالجُملةِ دون الأجزاءِ‌؛ فيَجِبُ أن تَكونَ الأفعالُ الواقعةُ بحَسَبِ هذه الأحوالِ راجعةً إلَى الجُملةِ دونَ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الناسِ مَن ارتَكَبَ أنّ الأحكامَ التي أشَرتم إليها تَرجِعُ‌</w:t>
      </w:r>
      <w:r>
        <w:rPr>
          <w:rStyle w:val="FootnoteAnchor"/>
          <w:rtl w:val="true"/>
        </w:rPr>
        <w:footnoteReference w:id="349"/>
      </w:r>
      <w:r>
        <w:rPr>
          <w:rFonts w:ascii="Amiri" w:hAnsi="Amiri" w:eastAsia="Amiri" w:cs="Amiri"/>
          <w:color w:val="111111"/>
          <w:sz w:val="28"/>
          <w:sz w:val="28"/>
          <w:szCs w:val="28"/>
          <w:rtl w:val="true"/>
          <w:lang w:bidi="ar-SA"/>
        </w:rPr>
        <w:t>إلَى الأجزاءِ‌، و أجازَ</w:t>
      </w:r>
      <w:r>
        <w:rPr>
          <w:rStyle w:val="FootnoteAnchor"/>
          <w:rtl w:val="true"/>
        </w:rPr>
        <w:footnoteReference w:id="350"/>
      </w:r>
      <w:r>
        <w:rPr>
          <w:rFonts w:ascii="Amiri" w:hAnsi="Amiri" w:eastAsia="Amiri" w:cs="Amiri"/>
          <w:color w:val="111111"/>
          <w:sz w:val="28"/>
          <w:sz w:val="28"/>
          <w:szCs w:val="28"/>
          <w:rtl w:val="true"/>
          <w:lang w:bidi="ar-SA"/>
        </w:rPr>
        <w:t>في الجُزءِ الواحدِ أن يَكونَ ممدوحاً مذموماً؟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w:t>
      </w:r>
      <w:r>
        <w:rPr>
          <w:rStyle w:val="FootnoteAnchor"/>
          <w:rtl w:val="true"/>
        </w:rPr>
        <w:footnoteReference w:id="351"/>
      </w:r>
      <w:r>
        <w:rPr>
          <w:rFonts w:ascii="Amiri" w:hAnsi="Amiri" w:eastAsia="Amiri" w:cs="Amiri"/>
          <w:color w:val="111111"/>
          <w:sz w:val="28"/>
          <w:sz w:val="28"/>
          <w:szCs w:val="28"/>
          <w:rtl w:val="true"/>
          <w:lang w:bidi="ar-SA"/>
        </w:rPr>
        <w:t>بخِلافٍ يَعلَمُ العقلاءُ كُلُّهم ضَرورةً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كُلُّ عاقلٍ قُبحَ تعليقِ ذَمٍّ أو مَدحٍ و أمرٍ أو نَهيٍ‌</w:t>
      </w:r>
      <w:r>
        <w:rPr>
          <w:rStyle w:val="FootnoteAnchor"/>
          <w:rtl w:val="true"/>
        </w:rPr>
        <w:footnoteReference w:id="352"/>
      </w:r>
      <w:r>
        <w:rPr>
          <w:rFonts w:ascii="Amiri" w:hAnsi="Amiri" w:eastAsia="Amiri" w:cs="Amiri"/>
          <w:color w:val="111111"/>
          <w:sz w:val="28"/>
          <w:sz w:val="28"/>
          <w:szCs w:val="28"/>
          <w:rtl w:val="true"/>
          <w:lang w:bidi="ar-SA"/>
        </w:rPr>
        <w:t xml:space="preserve">بجُزءٍ واحدٍ مِن أجزاءِ هذه الجُملةِ‌؛ بَل بعُضوٍ </w:t>
      </w:r>
    </w:p>
    <w:p>
      <w:pPr>
        <w:pStyle w:val="BookText"/>
        <w:rPr/>
      </w:pPr>
      <w:r>
        <w:rPr>
          <w:rFonts w:ascii="Amiri" w:hAnsi="Amiri" w:eastAsia="Amiri" w:cs="Amiri"/>
          <w:color w:val="111111"/>
          <w:sz w:val="28"/>
          <w:sz w:val="28"/>
          <w:szCs w:val="28"/>
          <w:rtl w:val="true"/>
          <w:lang w:bidi="ar-SA"/>
        </w:rPr>
        <w:t>واحدٍ مِن 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كُلُّ عاقلٍ بَينَ كَونِه علىٰ هذه الصفةِ‌، و بَينَ أن يَكونَ مضموماً إليه و مُلتَصِقاً به جماعةُ أحياءٍ قادرينَ‌؛ و هذا الفَرقُ لا يَتِمُّ إلّابأن تَكونَ‌</w:t>
      </w:r>
      <w:r>
        <w:rPr>
          <w:rStyle w:val="FootnoteAnchor"/>
          <w:rtl w:val="true"/>
        </w:rPr>
        <w:footnoteReference w:id="353"/>
      </w:r>
      <w:r>
        <w:rPr>
          <w:rFonts w:ascii="Amiri" w:hAnsi="Amiri" w:eastAsia="Amiri" w:cs="Amiri"/>
          <w:color w:val="111111"/>
          <w:sz w:val="28"/>
          <w:sz w:val="28"/>
          <w:szCs w:val="28"/>
          <w:rtl w:val="true"/>
          <w:lang w:bidi="ar-SA"/>
        </w:rPr>
        <w:t>الجُملةُ كُلُّها حَيّاً واحداً، و قادراً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مَحلُّ القُدرةِ قادراً، و كذلكَ مَحلُّ الحياةِ حَيّاً، لَم يَكُن ما عَلِمنا ضَرورةً ثُبوتَه، مِن حُصولِ الفَرقِ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أُلزِمَ‌ قَديماً مَن أجازَ ذلكَ أن يُجوِّزَ كَونَ بعضِ أجزاءِ الإنسانِ علىٰ مَذهبٍ و البعضِ الآخَرِ علىٰ خِلافِه حتّىٰ يَكونَ بعضٌ مُجبِراً و بعضٌ عَدليّاً، و بعضٌ مؤمِناً و آخَرُ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يَقَعَ بَينَ الأبعاضِ تَدافُعٌ و تَمانُعٌ‌، إمّا باختلافِ الدواعي أو</w:t>
      </w:r>
      <w:r>
        <w:rPr>
          <w:rStyle w:val="FootnoteAnchor"/>
          <w:rtl w:val="true"/>
        </w:rPr>
        <w:footnoteReference w:id="354"/>
      </w:r>
      <w:r>
        <w:rPr>
          <w:rFonts w:ascii="Amiri" w:hAnsi="Amiri" w:eastAsia="Amiri" w:cs="Amiri"/>
          <w:color w:val="111111"/>
          <w:sz w:val="28"/>
          <w:sz w:val="28"/>
          <w:szCs w:val="28"/>
          <w:rtl w:val="true"/>
          <w:lang w:bidi="ar-SA"/>
        </w:rPr>
        <w:t>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لازمٌ‌؛ لأنّ حُكمَ هذه الأبعاضِ في أنّ كُلَّ جُزءٍ منها حَيٌّ قادرٌ مُستَقِلٌّ‌</w:t>
      </w:r>
      <w:r>
        <w:rPr>
          <w:rStyle w:val="FootnoteAnchor"/>
          <w:rtl w:val="true"/>
        </w:rPr>
        <w:footnoteReference w:id="355"/>
      </w:r>
      <w:r>
        <w:rPr>
          <w:rFonts w:ascii="Amiri" w:hAnsi="Amiri" w:eastAsia="Amiri" w:cs="Amiri"/>
          <w:color w:val="111111"/>
          <w:sz w:val="28"/>
          <w:sz w:val="28"/>
          <w:szCs w:val="28"/>
          <w:rtl w:val="true"/>
          <w:lang w:bidi="ar-SA"/>
        </w:rPr>
        <w:t>بنَفسِه، حُكمُ زَيدٍ مع</w:t>
      </w:r>
      <w:r>
        <w:rPr>
          <w:rStyle w:val="FootnoteAnchor"/>
          <w:rtl w:val="true"/>
        </w:rPr>
        <w:footnoteReference w:id="356"/>
      </w:r>
      <w:r>
        <w:rPr>
          <w:rFonts w:ascii="Amiri" w:hAnsi="Amiri" w:eastAsia="Amiri" w:cs="Amiri"/>
          <w:color w:val="111111"/>
          <w:sz w:val="28"/>
          <w:sz w:val="28"/>
          <w:szCs w:val="28"/>
          <w:rtl w:val="true"/>
          <w:lang w:bidi="ar-SA"/>
        </w:rPr>
        <w:t>عَمرٍو؛ و المُمانَعةُ و المُدافَعةُ و الاختلافُ في الاعتقادِ</w:t>
      </w:r>
      <w:r>
        <w:rPr>
          <w:rStyle w:val="FootnoteAnchor"/>
          <w:rtl w:val="true"/>
        </w:rPr>
        <w:footnoteReference w:id="357"/>
      </w:r>
      <w:r>
        <w:rPr>
          <w:rFonts w:ascii="Amiri" w:hAnsi="Amiri" w:eastAsia="Amiri" w:cs="Amiri"/>
          <w:color w:val="111111"/>
          <w:sz w:val="28"/>
          <w:sz w:val="28"/>
          <w:szCs w:val="28"/>
          <w:rtl w:val="true"/>
          <w:lang w:bidi="ar-SA"/>
        </w:rPr>
        <w:t>و التديُّنِ غَيرُ مُنكَرٍ في زَيدٍ و عَمرٍو، فكذلكَ‌</w:t>
      </w:r>
      <w:r>
        <w:rPr>
          <w:rStyle w:val="FootnoteAnchor"/>
          <w:rtl w:val="true"/>
        </w:rPr>
        <w:footnoteReference w:id="358"/>
      </w:r>
      <w:r>
        <w:rPr>
          <w:rFonts w:ascii="Amiri" w:hAnsi="Amiri" w:eastAsia="Amiri" w:cs="Amiri"/>
          <w:color w:val="111111"/>
          <w:sz w:val="28"/>
          <w:sz w:val="28"/>
          <w:szCs w:val="28"/>
          <w:rtl w:val="true"/>
          <w:lang w:bidi="ar-SA"/>
        </w:rPr>
        <w:t>فيما جَرىٰ مجراهما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يَجِبُ‌، إذا لَم نَعلَمِ‌</w:t>
      </w:r>
      <w:r>
        <w:rPr>
          <w:rStyle w:val="FootnoteAnchor"/>
          <w:rtl w:val="true"/>
        </w:rPr>
        <w:footnoteReference w:id="359"/>
      </w:r>
      <w:r>
        <w:rPr>
          <w:rFonts w:ascii="Amiri" w:hAnsi="Amiri" w:eastAsia="Amiri" w:cs="Amiri"/>
          <w:color w:val="111111"/>
          <w:sz w:val="28"/>
          <w:sz w:val="28"/>
          <w:szCs w:val="28"/>
          <w:rtl w:val="true"/>
          <w:lang w:bidi="ar-SA"/>
        </w:rPr>
        <w:t>العِلّةَ التي مِن أجلِها لَم يَصِحَّ أن يَفعَلَ الحَيُّ مِنّا في مَحالِّه، مِن غَيرِ أن يَكونَ في كُلِّ مَحلٍّ قُدرةٌ‌، و اشتَبَهَ الوجهُ فيه، وقُطِعَ عليه، أو تُوقِّفَ في تعيينهِ‌، أن نَرجِعَ‌</w:t>
      </w:r>
      <w:r>
        <w:rPr>
          <w:rStyle w:val="FootnoteAnchor"/>
          <w:rtl w:val="true"/>
        </w:rPr>
        <w:footnoteReference w:id="360"/>
      </w:r>
      <w:r>
        <w:rPr>
          <w:rFonts w:ascii="Amiri" w:hAnsi="Amiri" w:eastAsia="Amiri" w:cs="Amiri"/>
          <w:color w:val="111111"/>
          <w:sz w:val="28"/>
          <w:sz w:val="28"/>
          <w:szCs w:val="28"/>
          <w:rtl w:val="true"/>
          <w:lang w:bidi="ar-SA"/>
        </w:rPr>
        <w:t xml:space="preserve">عمّا عَلِمناه و تَبيّنّاه علَى الضرورةِ‌، مِن أنّ الحَيَّ‌ </w:t>
      </w:r>
    </w:p>
    <w:p>
      <w:pPr>
        <w:pStyle w:val="BookText"/>
        <w:rPr/>
      </w:pPr>
      <w:r>
        <w:rPr>
          <w:rFonts w:ascii="Amiri" w:hAnsi="Amiri" w:eastAsia="Amiri" w:cs="Amiri"/>
          <w:color w:val="111111"/>
          <w:sz w:val="28"/>
          <w:sz w:val="28"/>
          <w:szCs w:val="28"/>
          <w:rtl w:val="true"/>
          <w:lang w:bidi="ar-SA"/>
        </w:rPr>
        <w:t>القادرَ هو الجُملةُ‌، دونَ الأجزاءِ‌؛ فإنّ اشتباهَ ما يَجوزُ أن يَشتَبِهَ مِثلُه لا يَجِبُ له الرجوعُ عمّا قَطَعنا علىٰ عِلمِه و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قائلاً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القادرُ قادراً و هو لا يَصِحُّ أن يَفعَلَ فيما نَأىٰ عنه مِن الأجسامِ إلّابسببٍ‌، و يَفعَلَ في أبعاضِه</w:t>
      </w:r>
      <w:r>
        <w:rPr>
          <w:rStyle w:val="FootnoteAnchor"/>
          <w:rtl w:val="true"/>
        </w:rPr>
        <w:footnoteReference w:id="361"/>
      </w:r>
      <w:r>
        <w:rPr>
          <w:rFonts w:ascii="Amiri" w:hAnsi="Amiri" w:eastAsia="Amiri" w:cs="Amiri"/>
          <w:color w:val="111111"/>
          <w:sz w:val="28"/>
          <w:sz w:val="28"/>
          <w:szCs w:val="28"/>
          <w:rtl w:val="true"/>
          <w:lang w:bidi="ar-SA"/>
        </w:rPr>
        <w:t>بغَيرِ سببٍ‌</w:t>
      </w:r>
      <w:r>
        <w:rPr>
          <w:rStyle w:val="FootnoteAnchor"/>
          <w:rtl w:val="true"/>
        </w:rPr>
        <w:footnoteReference w:id="362"/>
      </w:r>
      <w:r>
        <w:rPr>
          <w:rFonts w:ascii="Amiri" w:hAnsi="Amiri" w:eastAsia="Amiri" w:cs="Amiri"/>
          <w:color w:val="111111"/>
          <w:sz w:val="28"/>
          <w:sz w:val="28"/>
          <w:szCs w:val="28"/>
          <w:rtl w:val="true"/>
          <w:lang w:bidi="ar-SA"/>
        </w:rPr>
        <w:t>؟ و تَوصَّلَ بهذا الطعنِ إلَى القَدحِ في كَونِه قادراً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لا نُجيبُه</w:t>
      </w:r>
      <w:r>
        <w:rPr>
          <w:rStyle w:val="FootnoteAnchor"/>
          <w:rtl w:val="true"/>
        </w:rPr>
        <w:footnoteReference w:id="363"/>
      </w:r>
      <w:r>
        <w:rPr>
          <w:rFonts w:ascii="Amiri" w:hAnsi="Amiri" w:eastAsia="Amiri" w:cs="Amiri"/>
          <w:color w:val="111111"/>
          <w:sz w:val="28"/>
          <w:sz w:val="28"/>
          <w:szCs w:val="28"/>
          <w:rtl w:val="true"/>
          <w:lang w:bidi="ar-SA"/>
        </w:rPr>
        <w:t>إلّابمِثلِ ما أَجَبنا به</w:t>
      </w:r>
      <w:r>
        <w:rPr>
          <w:rStyle w:val="FootnoteAnchor"/>
          <w:rtl w:val="true"/>
        </w:rPr>
        <w:footnoteReference w:id="364"/>
      </w:r>
      <w:r>
        <w:rPr>
          <w:rFonts w:ascii="Amiri" w:hAnsi="Amiri" w:eastAsia="Amiri" w:cs="Amiri"/>
          <w:color w:val="111111"/>
          <w:sz w:val="28"/>
          <w:sz w:val="28"/>
          <w:szCs w:val="28"/>
          <w:rtl w:val="true"/>
          <w:lang w:bidi="ar-SA"/>
        </w:rPr>
        <w:t>مَن أَلزَمَنا أن يَفعَلَ‌</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بعضٍ و إن لَم تَكُن</w:t>
      </w:r>
      <w:r>
        <w:rPr>
          <w:rStyle w:val="FootnoteAnchor"/>
          <w:rtl w:val="true"/>
        </w:rPr>
        <w:footnoteReference w:id="366"/>
      </w:r>
      <w:r>
        <w:rPr>
          <w:rFonts w:ascii="Amiri" w:hAnsi="Amiri" w:eastAsia="Amiri" w:cs="Amiri"/>
          <w:color w:val="111111"/>
          <w:sz w:val="28"/>
          <w:sz w:val="28"/>
          <w:szCs w:val="28"/>
          <w:rtl w:val="true"/>
          <w:lang w:bidi="ar-SA"/>
        </w:rPr>
        <w:t>فيه قُدرةٌ‌، و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المعلومِ المقطوعِ عليه للجَهلِ بعِلّةِ حُكمٍ مِن الأحكامِ يَشتَبِهُ مِثلُها،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هذا و ذاكَ‌</w:t>
      </w:r>
      <w:r>
        <w:rPr>
          <w:rStyle w:val="FootnoteAnchor"/>
          <w:rtl w:val="true"/>
        </w:rPr>
        <w:footnoteReference w:id="367"/>
      </w:r>
      <w:r>
        <w:rPr>
          <w:rFonts w:ascii="Amiri" w:hAnsi="Amiri" w:eastAsia="Amiri" w:cs="Amiri"/>
          <w:color w:val="111111"/>
          <w:sz w:val="28"/>
          <w:sz w:val="28"/>
          <w:szCs w:val="28"/>
          <w:rtl w:val="true"/>
          <w:lang w:bidi="ar-SA"/>
        </w:rPr>
        <w:t>جميعاً هي أنّ هذا مِن حُكمِ القُدرةِ الراجعِ إلىٰ نَوعِها؛ لأنّ الدليلَ قد دَلَّ علىٰ أنّ مِن شأنِ صحّةِ الفعلِ بالقُدرةِ أن يَكونَ‌</w:t>
      </w:r>
      <w:r>
        <w:rPr>
          <w:rStyle w:val="FootnoteAnchor"/>
          <w:rtl w:val="true"/>
        </w:rPr>
        <w:footnoteReference w:id="368"/>
      </w:r>
      <w:r>
        <w:rPr>
          <w:rFonts w:ascii="Amiri" w:hAnsi="Amiri" w:eastAsia="Amiri" w:cs="Amiri"/>
          <w:color w:val="111111"/>
          <w:sz w:val="28"/>
          <w:sz w:val="28"/>
          <w:szCs w:val="28"/>
          <w:rtl w:val="true"/>
          <w:lang w:bidi="ar-SA"/>
        </w:rPr>
        <w:t>الفعلُ أو سببُه مُبتَدأً بها في مَحلِّها؛ فلهذا لا يَصِحُّ أن نَفعَلَ‌</w:t>
      </w:r>
      <w:r>
        <w:rPr>
          <w:rStyle w:val="FootnoteAnchor"/>
          <w:rtl w:val="true"/>
        </w:rPr>
        <w:footnoteReference w:id="369"/>
      </w:r>
      <w:r>
        <w:rPr>
          <w:rFonts w:ascii="Amiri" w:hAnsi="Amiri" w:eastAsia="Amiri" w:cs="Amiri"/>
          <w:color w:val="111111"/>
          <w:sz w:val="28"/>
          <w:sz w:val="28"/>
          <w:szCs w:val="28"/>
          <w:rtl w:val="true"/>
          <w:lang w:bidi="ar-SA"/>
        </w:rPr>
        <w:t>في غَيرِنا إلّابسببٍ‌، و في أبعاضِنا إلّابقُدرةٍ تَكونُ في ذلكَ البعضِ‌</w:t>
      </w:r>
      <w:r>
        <w:rPr>
          <w:rFonts w:eastAsia="Amiri" w:cs="Amiri" w:ascii="Amiri" w:hAnsi="Amiri"/>
          <w:color w:val="111111"/>
          <w:sz w:val="28"/>
          <w:szCs w:val="28"/>
          <w:rtl w:val="true"/>
          <w:lang w:bidi="ar-SA"/>
        </w:rPr>
        <w:t>.</w:t>
      </w:r>
      <w:r>
        <w:rPr>
          <w:rStyle w:val="FootnoteAnchor"/>
          <w:rtl w:val="true"/>
        </w:rPr>
        <w:footnoteReference w:id="370"/>
      </w:r>
      <w:bookmarkStart w:id="82" w:name="pg16415_223731"/>
    </w:p>
    <w:p>
      <w:pPr>
        <w:pStyle w:val="BookText"/>
        <w:rPr/>
      </w:pPr>
      <w:bookmarkEnd w:id="82"/>
      <w:r>
        <w:rPr>
          <w:rFonts w:ascii="Amiri" w:hAnsi="Amiri" w:eastAsia="Amiri" w:cs="Amiri"/>
          <w:color w:val="111111"/>
          <w:sz w:val="28"/>
          <w:sz w:val="28"/>
          <w:szCs w:val="28"/>
          <w:rtl w:val="true"/>
          <w:lang w:bidi="ar-SA"/>
        </w:rPr>
        <w:t>و ما يَرجِعُ إلىٰ حُكمِ القُدرةِ‌</w:t>
      </w:r>
      <w:r>
        <w:rPr>
          <w:rStyle w:val="FootnoteAnchor"/>
          <w:rtl w:val="true"/>
        </w:rPr>
        <w:footnoteReference w:id="371"/>
      </w:r>
      <w:r>
        <w:rPr>
          <w:rFonts w:ascii="Amiri" w:hAnsi="Amiri" w:eastAsia="Amiri" w:cs="Amiri"/>
          <w:color w:val="111111"/>
          <w:sz w:val="28"/>
          <w:sz w:val="28"/>
          <w:szCs w:val="28"/>
          <w:rtl w:val="true"/>
          <w:lang w:bidi="ar-SA"/>
        </w:rPr>
        <w:t>لا يَجِبُ أن يَكونَ عامّاً لكُلِّ‌</w:t>
      </w:r>
      <w:r>
        <w:rPr>
          <w:rStyle w:val="FootnoteAnchor"/>
          <w:rtl w:val="true"/>
        </w:rPr>
        <w:footnoteReference w:id="372"/>
      </w:r>
      <w:r>
        <w:rPr>
          <w:rFonts w:ascii="Amiri" w:hAnsi="Amiri" w:eastAsia="Amiri" w:cs="Amiri"/>
          <w:color w:val="111111"/>
          <w:sz w:val="28"/>
          <w:sz w:val="28"/>
          <w:szCs w:val="28"/>
          <w:rtl w:val="true"/>
          <w:lang w:bidi="ar-SA"/>
        </w:rPr>
        <w:t>قادرٍ و إن لَم يَكُن قادراً بقُدرةٍ‌؛ و لهذا جازَ أن يَبتَدئَ اللّٰهُ تَعالَى الأفعالَ في المَحالِّ كُلِّها؛ وُجِدَت القُدرةُ فيها، أو عُدِمَت عنها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7642284_1280447820"/>
      <w:bookmarkStart w:id="84" w:name="_Toc29"/>
      <w:bookmarkEnd w:id="83"/>
      <w:r>
        <w:rPr>
          <w:rtl w:val="true"/>
        </w:rPr>
        <w:t>مناقشة بعض فقرات كلام السائل</w:t>
      </w:r>
      <w:bookmarkEnd w:id="84"/>
    </w:p>
    <w:p>
      <w:pPr>
        <w:pStyle w:val="BookText"/>
        <w:rPr/>
      </w:pPr>
      <w:r>
        <w:rPr>
          <w:rFonts w:ascii="Amiri" w:hAnsi="Amiri" w:eastAsia="Amiri" w:cs="Amiri"/>
          <w:color w:val="111111"/>
          <w:sz w:val="28"/>
          <w:sz w:val="28"/>
          <w:szCs w:val="28"/>
          <w:rtl w:val="true"/>
          <w:lang w:bidi="ar-SA"/>
        </w:rPr>
        <w:t>و هذا الكلامُ الذي أَورَدناه</w:t>
      </w:r>
      <w:r>
        <w:rPr>
          <w:rStyle w:val="FootnoteAnchor"/>
          <w:rtl w:val="true"/>
        </w:rPr>
        <w:footnoteReference w:id="374"/>
      </w:r>
      <w:r>
        <w:rPr>
          <w:rFonts w:ascii="Amiri" w:hAnsi="Amiri" w:eastAsia="Amiri" w:cs="Amiri"/>
          <w:color w:val="111111"/>
          <w:sz w:val="28"/>
          <w:sz w:val="28"/>
          <w:szCs w:val="28"/>
          <w:rtl w:val="true"/>
          <w:lang w:bidi="ar-SA"/>
        </w:rPr>
        <w:t>يَنكَشِفُ معه جوابُ المسألةِ‌، و تَسقُطُ به</w:t>
      </w:r>
      <w:r>
        <w:rPr>
          <w:rStyle w:val="FootnoteAnchor"/>
          <w:rtl w:val="true"/>
        </w:rPr>
        <w:footnoteReference w:id="375"/>
      </w:r>
      <w:r>
        <w:rPr>
          <w:rFonts w:ascii="Amiri" w:hAnsi="Amiri" w:eastAsia="Amiri" w:cs="Amiri"/>
          <w:color w:val="111111"/>
          <w:sz w:val="28"/>
          <w:sz w:val="28"/>
          <w:szCs w:val="28"/>
          <w:rtl w:val="true"/>
          <w:lang w:bidi="ar-SA"/>
        </w:rPr>
        <w:t>كُلُّ شُبهةٍ فيها مع التأمُّلِ‌؛ غَيرَ أنّا نُشيرُ إلىٰ تعيينِ‌</w:t>
      </w:r>
      <w:r>
        <w:rPr>
          <w:rStyle w:val="FootnoteAnchor"/>
          <w:rtl w:val="true"/>
        </w:rPr>
        <w:footnoteReference w:id="376"/>
      </w:r>
      <w:r>
        <w:rPr>
          <w:rFonts w:ascii="Amiri" w:hAnsi="Amiri" w:eastAsia="Amiri" w:cs="Amiri"/>
          <w:color w:val="111111"/>
          <w:sz w:val="28"/>
          <w:sz w:val="28"/>
          <w:szCs w:val="28"/>
          <w:rtl w:val="true"/>
          <w:lang w:bidi="ar-SA"/>
        </w:rPr>
        <w:t>الكلامِ علىٰ فُصولِ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أحكامِ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بإيجابِ القُدرةِ الحالَ للمَحلِّ دونَ الجُملةِ‌، و إنّما غَيَّرتم</w:t>
      </w:r>
      <w:r>
        <w:rPr>
          <w:rStyle w:val="FootnoteAnchor"/>
          <w:rtl w:val="true"/>
        </w:rPr>
        <w:footnoteReference w:id="377"/>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فباطلٌ‌؛ لأنّ الإقرارَ بما أرادَه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تُنفَى</w:t>
      </w:r>
      <w:r>
        <w:rPr>
          <w:rStyle w:val="FootnoteAnchor"/>
          <w:rtl w:val="true"/>
        </w:rPr>
        <w:footnoteReference w:id="378"/>
      </w:r>
      <w:r>
        <w:rPr>
          <w:rFonts w:ascii="Amiri" w:hAnsi="Amiri" w:eastAsia="Amiri" w:cs="Amiri"/>
          <w:color w:val="111111"/>
          <w:sz w:val="28"/>
          <w:sz w:val="28"/>
          <w:szCs w:val="28"/>
          <w:rtl w:val="true"/>
          <w:lang w:bidi="ar-SA"/>
        </w:rPr>
        <w:t>الحالُ التي اقتَضَتها صحّةُ الفعلِ عن جُملةِ الحَيِّ‌، و نُثبِتَها</w:t>
      </w:r>
      <w:r>
        <w:rPr>
          <w:rStyle w:val="FootnoteAnchor"/>
          <w:rtl w:val="true"/>
        </w:rPr>
        <w:footnoteReference w:id="379"/>
      </w:r>
      <w:r>
        <w:rPr>
          <w:rFonts w:ascii="Amiri" w:hAnsi="Amiri" w:eastAsia="Amiri" w:cs="Amiri"/>
          <w:color w:val="111111"/>
          <w:sz w:val="28"/>
          <w:sz w:val="28"/>
          <w:szCs w:val="28"/>
          <w:rtl w:val="true"/>
          <w:lang w:bidi="ar-SA"/>
        </w:rPr>
        <w:t>للجُزءِ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w:t>
      </w:r>
      <w:r>
        <w:rPr>
          <w:rStyle w:val="FootnoteAnchor"/>
          <w:rtl w:val="true"/>
        </w:rPr>
        <w:footnoteReference w:id="380"/>
      </w:r>
      <w:r>
        <w:rPr>
          <w:rFonts w:ascii="Amiri" w:hAnsi="Amiri" w:eastAsia="Amiri" w:cs="Amiri"/>
          <w:color w:val="111111"/>
          <w:sz w:val="28"/>
          <w:sz w:val="28"/>
          <w:szCs w:val="28"/>
          <w:rtl w:val="true"/>
          <w:lang w:bidi="ar-SA"/>
        </w:rPr>
        <w:t xml:space="preserve">جَرىٰ‌؛ بَل أَثبَتنا الحالَ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هي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للجُملةِ 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استَدعَته صحّةُ الفعلِ‌، و مَنَعنا مِن أن 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المَحلِّ ابتداءً مِن غَيرِ أن يَكونَ قَدَرَ 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يَعودُ إلىٰ نَوعِ القُدرةِ‌، كَما مَنَعنا أن يَفعَلَ في غَيرِه ابتداءً و إن كانَ قادراً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نُثبِتُ إيجابَ القُدرةِ حالاً لِما يَصِحُّ به الفعلُ‌، و أنتم تَجعَلونَ القُدرةَ موجِبةً حالاً لِما لا يَصِحُّ به الفعلُ‌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صحيحٍ‌؛ لأنّ الحالَ إنّما يَجِبُ إضافتُها إلىٰ مَن يَصِحُّ منه الفعلُ‌، لا ما يَصِحُّ به الفعلُ‌؛ لأنّ الآلاتِ يَصِحُّ بها الفعلُ و لا حَظَّ لها في حالِ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علىٰ هذا أن تَكونَ مَحالُّ الفعلِ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تَعدَّت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حالُ القادرِ؛ لأنّ الفعلَ حالٌّ بها و موجودٌ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مضىٰ في السؤالِ‌، مِن أنّ جوازَ ما ذَهَبتم إليه يؤَدّي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الأكوانَ توجِبُ الحالَ للجُملةِ‌، و كذلكَ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الفَسادِ؛ لأنّ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حالاً لجُملةٍ و لا مَحلٍّ‌، و معنىٰ وَصفِنا للمَحلِّ أ نّه</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السوادَ موجودٌ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الكَونُ فهو لَعَمري</w:t>
      </w:r>
      <w:r>
        <w:rPr>
          <w:rStyle w:val="FootnoteAnchor"/>
          <w:rtl w:val="true"/>
        </w:rPr>
        <w:footnoteReference w:id="383"/>
      </w:r>
      <w:r>
        <w:rPr>
          <w:rFonts w:ascii="Amiri" w:hAnsi="Amiri" w:eastAsia="Amiri" w:cs="Amiri"/>
          <w:color w:val="111111"/>
          <w:sz w:val="28"/>
          <w:sz w:val="28"/>
          <w:szCs w:val="28"/>
          <w:rtl w:val="true"/>
          <w:lang w:bidi="ar-SA"/>
        </w:rPr>
        <w:t xml:space="preserve">يوجِبُ حالاً، لكِن لمَحلِّه؛ لأنّ الأحكامَ الراجعةَ إلىٰ‌ </w:t>
      </w:r>
    </w:p>
    <w:p>
      <w:pPr>
        <w:pStyle w:val="BookText"/>
        <w:rPr/>
      </w:pPr>
      <w:r>
        <w:rPr>
          <w:rFonts w:ascii="Amiri" w:hAnsi="Amiri" w:eastAsia="Amiri" w:cs="Amiri"/>
          <w:color w:val="111111"/>
          <w:sz w:val="28"/>
          <w:sz w:val="28"/>
          <w:szCs w:val="28"/>
          <w:rtl w:val="true"/>
          <w:lang w:bidi="ar-SA"/>
        </w:rPr>
        <w:t>هذا الكَونِ عائدةٌ كُلُّها إلَى المَحلِّ‌؛ لأنّ مَحلَّ هذا الكَونِ إذا كانَ مُتَحرِّكاً بالكَونِ الموجودِ فيه، فلَن يَتعدّىٰ هذا الحُكمُ مَحلَّ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 نّه قد يَتحرَّكُ بعضُ الجسمِ و يَسكُنُ بعضٌ آخَرُ مع الاتّصالِ؟ و نَحنُ نَصِفُ الجُملةَ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واحدٌ</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بما يَحُلُّ بعضَها مِن هذه المَعاني، و لا نَصِفُها بما يَحُلُّ بعضَها مِن الحَرَكةِ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متىٰ لَم يَكُن في كُلِّ جُزءٍ حَرَكةٌ لَم يوصَفْ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خُتِمَ به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ارتكابِ أنّ‌</w:t>
      </w:r>
      <w:r>
        <w:rPr>
          <w:rStyle w:val="FootnoteAnchor"/>
          <w:rtl w:val="true"/>
        </w:rPr>
        <w:footnoteReference w:id="385"/>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 كَثيرونَ‌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بيّنّا فَسادَه، و بَسَطنا الكلامَ‌</w:t>
      </w:r>
      <w:r>
        <w:rPr>
          <w:rStyle w:val="FootnoteAnchor"/>
          <w:rtl w:val="true"/>
        </w:rPr>
        <w:footnoteReference w:id="38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الفَصلُ‌ بَينَ الإرادةِ و القُدرةِ‌، بأنّ الإرادةَ الواحدةَ إنّما تَتَصرَّفُ‌</w:t>
      </w:r>
      <w:r>
        <w:rPr>
          <w:rStyle w:val="FootnoteAnchor"/>
          <w:rtl w:val="true"/>
        </w:rPr>
        <w:footnoteReference w:id="387"/>
      </w:r>
      <w:r>
        <w:rPr>
          <w:rFonts w:ascii="Amiri" w:hAnsi="Amiri" w:eastAsia="Amiri" w:cs="Amiri"/>
          <w:color w:val="111111"/>
          <w:sz w:val="28"/>
          <w:sz w:val="28"/>
          <w:szCs w:val="28"/>
          <w:rtl w:val="true"/>
          <w:lang w:bidi="ar-SA"/>
        </w:rPr>
        <w:t>الجُملةُ كُلُّها بحَسَبِها؛ لأنّ الإرادةَ توجِبُ الحُكمَ للجُملةِ‌، و لَيسَ كذلكَ في القُدرةِ‌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البُطلانِ‌؛ لأنّ كُلَّ شَيءٍ اقتَضىٰ 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حَلَّت مَحلّاً واحداً مِن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w:t>
      </w:r>
      <w:r>
        <w:rPr>
          <w:rStyle w:val="FootnoteAnchor"/>
          <w:rtl w:val="true"/>
        </w:rPr>
        <w:footnoteReference w:id="388"/>
      </w:r>
      <w:r>
        <w:rPr>
          <w:rFonts w:ascii="Amiri" w:hAnsi="Amiri" w:eastAsia="Amiri" w:cs="Amiri"/>
          <w:color w:val="111111"/>
          <w:sz w:val="28"/>
          <w:sz w:val="28"/>
          <w:szCs w:val="28"/>
          <w:rtl w:val="true"/>
          <w:lang w:bidi="ar-SA"/>
        </w:rPr>
        <w:t>الحالُ الموجَبةُ عنها تَرجِعُ‌</w:t>
      </w:r>
      <w:r>
        <w:rPr>
          <w:rStyle w:val="FootnoteAnchor"/>
          <w:rtl w:val="true"/>
        </w:rPr>
        <w:footnoteReference w:id="389"/>
      </w:r>
      <w:r>
        <w:rPr>
          <w:rFonts w:ascii="Amiri" w:hAnsi="Amiri" w:eastAsia="Amiri" w:cs="Amiri"/>
          <w:color w:val="111111"/>
          <w:sz w:val="28"/>
          <w:sz w:val="28"/>
          <w:szCs w:val="28"/>
          <w:rtl w:val="true"/>
          <w:lang w:bidi="ar-SA"/>
        </w:rPr>
        <w:t>إلَى الجُملةِ دونَ المَحلِّ فهو بعَينِه قائمٌ في القُدرةِ‌، و كُلَّ شَيءٍ شَكَّكَ‌</w:t>
      </w:r>
      <w:r>
        <w:rPr>
          <w:rStyle w:val="FootnoteAnchor"/>
          <w:rtl w:val="true"/>
        </w:rPr>
        <w:footnoteReference w:id="390"/>
      </w:r>
      <w:r>
        <w:rPr>
          <w:rFonts w:ascii="Amiri" w:hAnsi="Amiri" w:eastAsia="Amiri" w:cs="Amiri"/>
          <w:color w:val="111111"/>
          <w:sz w:val="28"/>
          <w:sz w:val="28"/>
          <w:szCs w:val="28"/>
          <w:rtl w:val="true"/>
          <w:lang w:bidi="ar-SA"/>
        </w:rPr>
        <w:t>في أنّ الحالَ الموجَبةَ عن القُدرةِ تَرجِعُ إلىٰ مَحلِّها لا إلَى الجُملةِ فهو يُشكِّكُ‌</w:t>
      </w:r>
      <w:r>
        <w:rPr>
          <w:rStyle w:val="FootnoteAnchor"/>
          <w:rtl w:val="true"/>
        </w:rPr>
        <w:footnoteReference w:id="391"/>
      </w:r>
      <w:r>
        <w:rPr>
          <w:rFonts w:ascii="Amiri" w:hAnsi="Amiri" w:eastAsia="Amiri" w:cs="Amiri"/>
          <w:color w:val="111111"/>
          <w:sz w:val="28"/>
          <w:sz w:val="28"/>
          <w:szCs w:val="28"/>
          <w:rtl w:val="true"/>
          <w:lang w:bidi="ar-SA"/>
        </w:rPr>
        <w:t xml:space="preserve">في الإرادةِ‌؛ و مَن تَعاطىٰ‌ </w:t>
      </w:r>
    </w:p>
    <w:p>
      <w:pPr>
        <w:pStyle w:val="BookText"/>
        <w:rPr/>
      </w:pPr>
      <w:r>
        <w:rPr>
          <w:rFonts w:ascii="Amiri" w:hAnsi="Amiri" w:eastAsia="Amiri" w:cs="Amiri"/>
          <w:color w:val="111111"/>
          <w:sz w:val="28"/>
          <w:sz w:val="28"/>
          <w:szCs w:val="28"/>
          <w:rtl w:val="true"/>
          <w:lang w:bidi="ar-SA"/>
        </w:rPr>
        <w:t>ذلكَ عَلِمَ‌</w:t>
      </w:r>
      <w:r>
        <w:rPr>
          <w:rStyle w:val="FootnoteAnchor"/>
          <w:rtl w:val="true"/>
        </w:rPr>
        <w:footnoteReference w:id="392"/>
      </w:r>
      <w:r>
        <w:rPr>
          <w:rFonts w:ascii="Amiri" w:hAnsi="Amiri" w:eastAsia="Amiri" w:cs="Amiri"/>
          <w:color w:val="111111"/>
          <w:sz w:val="28"/>
          <w:sz w:val="28"/>
          <w:szCs w:val="28"/>
          <w:rtl w:val="true"/>
          <w:lang w:bidi="ar-SA"/>
        </w:rPr>
        <w:t>أنّ الأمرَ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يُشكِلُ‌</w:t>
      </w:r>
      <w:r>
        <w:rPr>
          <w:rStyle w:val="FootnoteAnchor"/>
          <w:rtl w:val="true"/>
        </w:rPr>
        <w:footnoteReference w:id="393"/>
      </w:r>
      <w:r>
        <w:rPr>
          <w:rFonts w:ascii="Amiri" w:hAnsi="Amiri" w:eastAsia="Amiri" w:cs="Amiri"/>
          <w:color w:val="111111"/>
          <w:sz w:val="28"/>
          <w:sz w:val="28"/>
          <w:szCs w:val="28"/>
          <w:rtl w:val="true"/>
          <w:lang w:bidi="ar-SA"/>
        </w:rPr>
        <w:t>هذا، و معلومٌ أنّ القادرَ هو المُريدُ، كما أنّ القادرَ المُريدَ هو الحَيُّ العالِمُ؟ فكَيفَ يُرَدُّ بعضُ هذه الأُمورِ إلىٰ غَيرِ ما يُرَدُّ إليه سائرُها؟</w:t>
      </w:r>
    </w:p>
    <w:p>
      <w:pPr>
        <w:pStyle w:val="BookText"/>
        <w:rPr/>
      </w:pPr>
      <w:r>
        <w:rPr>
          <w:rFonts w:ascii="Amiri" w:hAnsi="Amiri" w:eastAsia="Amiri" w:cs="Amiri"/>
          <w:color w:val="111111"/>
          <w:sz w:val="28"/>
          <w:sz w:val="28"/>
          <w:szCs w:val="28"/>
          <w:rtl w:val="true"/>
          <w:lang w:bidi="ar-SA"/>
        </w:rPr>
        <w:t xml:space="preserve">و أمّا المَنعُ‌ مِن التسميةِ للجُملةِ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 ما سَمَّت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نَحنُ في التسميةِ حتّىٰ نَرجِعَ فيها إلَى العَرَبِ‌، و قد بيّنّا</w:t>
      </w:r>
      <w:r>
        <w:rPr>
          <w:rStyle w:val="FootnoteAnchor"/>
          <w:rtl w:val="true"/>
        </w:rPr>
        <w:footnoteReference w:id="394"/>
      </w:r>
      <w:r>
        <w:rPr>
          <w:rFonts w:ascii="Amiri" w:hAnsi="Amiri" w:eastAsia="Amiri" w:cs="Amiri"/>
          <w:color w:val="111111"/>
          <w:sz w:val="28"/>
          <w:sz w:val="28"/>
          <w:szCs w:val="28"/>
          <w:rtl w:val="true"/>
          <w:lang w:bidi="ar-SA"/>
        </w:rPr>
        <w:t>أنّا نَعلَمُ ضَرورةً الفَرقَ بَينَ أن تَكونَ الجُملةُ علىٰ ما هي عليه و بَينَ أن يُضَمَّ قادرونَ بعضُهم إلىٰ بعضٍ‌؛ فالحُكمُ مُختَلِفٌ‌، و التسميةُ لا اعتبارَ بها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يَلزَمُ أن تُسَمَّى الجُملةُ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كائنينَ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الجَمعَ الذي هو بالنونِ لا يَكونُ إلّالِما</w:t>
      </w:r>
      <w:r>
        <w:rPr>
          <w:rStyle w:val="FootnoteAnchor"/>
          <w:rtl w:val="true"/>
        </w:rPr>
        <w:footnoteReference w:id="395"/>
      </w:r>
      <w:r>
        <w:rPr>
          <w:rFonts w:ascii="Amiri" w:hAnsi="Amiri" w:eastAsia="Amiri" w:cs="Amiri"/>
          <w:color w:val="111111"/>
          <w:sz w:val="28"/>
          <w:sz w:val="28"/>
          <w:szCs w:val="28"/>
          <w:rtl w:val="true"/>
          <w:lang w:bidi="ar-SA"/>
        </w:rPr>
        <w:t>يَعقِلُ في لُغةِ العَرَبِ‌، و لَيسَ كُلُّ جُزءٍ مِن هذه الجُملةِ بهذه الصفةِ‌؛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كائناتٌ‌</w:t>
      </w:r>
      <w:r>
        <w:rPr>
          <w:rFonts w:eastAsia="Amiri" w:cs="Amiri" w:ascii="Amiri" w:hAnsi="Amiri"/>
          <w:color w:val="111111"/>
          <w:sz w:val="28"/>
          <w:szCs w:val="28"/>
          <w:rtl w:val="true"/>
          <w:lang w:bidi="ar-SA"/>
        </w:rPr>
        <w:t xml:space="preserve">». </w:t>
      </w:r>
      <w:bookmarkStart w:id="85" w:name="pg16415_223735"/>
    </w:p>
    <w:p>
      <w:pPr>
        <w:pStyle w:val="Heading6"/>
        <w:numPr>
          <w:ilvl w:val="5"/>
          <w:numId w:val="1"/>
        </w:numPr>
        <w:rPr/>
      </w:pPr>
      <w:bookmarkStart w:id="86" w:name="__RefHeading___Toc7642286_1280447820"/>
      <w:bookmarkStart w:id="87" w:name="_Toc30"/>
      <w:bookmarkEnd w:id="85"/>
      <w:bookmarkEnd w:id="86"/>
      <w:r>
        <w:rPr>
          <w:rtl w:val="true"/>
        </w:rPr>
        <w:t>المسألةُ الثالثةُ في أنّ الحياة توجب حالاً للجملة دون المحلّ‌</w:t>
      </w:r>
      <w:bookmarkEnd w:id="87"/>
    </w:p>
    <w:p>
      <w:pPr>
        <w:pStyle w:val="BookText"/>
        <w:rPr/>
      </w:pPr>
      <w:r>
        <w:rPr>
          <w:rFonts w:ascii="Amiri" w:hAnsi="Amiri" w:eastAsia="Amiri" w:cs="Amiri"/>
          <w:color w:val="111111"/>
          <w:sz w:val="28"/>
          <w:sz w:val="28"/>
          <w:szCs w:val="28"/>
          <w:rtl w:val="true"/>
          <w:lang w:bidi="ar-SA"/>
        </w:rPr>
        <w:t>ما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أيضاً</w:t>
      </w:r>
      <w:r>
        <w:rPr>
          <w:rStyle w:val="FootnoteAnchor"/>
          <w:rtl w:val="true"/>
        </w:rPr>
        <w:footnoteReference w:id="396"/>
      </w:r>
      <w:r>
        <w:rPr>
          <w:rFonts w:ascii="Amiri" w:hAnsi="Amiri" w:eastAsia="Amiri" w:cs="Amiri"/>
          <w:color w:val="111111"/>
          <w:sz w:val="28"/>
          <w:sz w:val="28"/>
          <w:szCs w:val="28"/>
          <w:rtl w:val="true"/>
          <w:lang w:bidi="ar-SA"/>
        </w:rPr>
        <w:t>توجِبُ الحالَ للمَحلِّ‌، لا للجُملةِ؟ و استَدَلَّ بما استَدَلَّ في القُدرةِ و إيجابِها الحالَ للمَحلِّ‌، مِن أنّ أحكامَ‌</w:t>
      </w:r>
      <w:r>
        <w:rPr>
          <w:rStyle w:val="FootnoteAnchor"/>
          <w:rtl w:val="true"/>
        </w:rPr>
        <w:footnoteReference w:id="397"/>
      </w:r>
      <w:r>
        <w:rPr>
          <w:rFonts w:ascii="Amiri" w:hAnsi="Amiri" w:eastAsia="Amiri" w:cs="Amiri"/>
          <w:color w:val="111111"/>
          <w:sz w:val="28"/>
          <w:sz w:val="28"/>
          <w:szCs w:val="28"/>
          <w:rtl w:val="true"/>
          <w:lang w:bidi="ar-SA"/>
        </w:rPr>
        <w:t>الحياةِ تَقِفُ علىٰ حُلولِها في المَحلِّ‌، فلا تَكونُ آلةً في الإدراكِ‌، و لا يَصِحُّ وجودُ القُدرةِ فيه و العِلمِ إلّابَعدَ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عندَ خُصومِنا</w:t>
      </w:r>
      <w:r>
        <w:rPr>
          <w:rStyle w:val="FootnoteAnchor"/>
          <w:rtl w:val="true"/>
        </w:rPr>
        <w:footnoteReference w:id="398"/>
      </w:r>
      <w:r>
        <w:rPr>
          <w:rFonts w:ascii="Amiri" w:hAnsi="Amiri" w:eastAsia="Amiri" w:cs="Amiri"/>
          <w:color w:val="111111"/>
          <w:sz w:val="28"/>
          <w:sz w:val="28"/>
          <w:szCs w:val="28"/>
          <w:rtl w:val="true"/>
          <w:lang w:bidi="ar-SA"/>
        </w:rPr>
        <w:t xml:space="preserve">أ نّه لا أمرَ يَتجدَّدُ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بحُلولِ الحياةِ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399"/>
      </w:r>
      <w:r>
        <w:rPr>
          <w:rFonts w:ascii="Amiri" w:hAnsi="Amiri" w:eastAsia="Amiri" w:cs="Amiri"/>
          <w:color w:val="111111"/>
          <w:sz w:val="28"/>
          <w:sz w:val="28"/>
          <w:szCs w:val="28"/>
          <w:rtl w:val="true"/>
          <w:lang w:bidi="ar-SA"/>
        </w:rPr>
        <w:t>لأنّ الحالَ قد وَجَبَت له بكُلِّ حياةٍ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ايجابَها الحالَ لِما اتَّصَلَ بمَحلِّها إنّما يَصِحُّ‌</w:t>
      </w:r>
      <w:r>
        <w:rPr>
          <w:rStyle w:val="FootnoteAnchor"/>
          <w:rtl w:val="true"/>
        </w:rPr>
        <w:footnoteReference w:id="400"/>
      </w:r>
      <w:r>
        <w:rPr>
          <w:rFonts w:ascii="Amiri" w:hAnsi="Amiri" w:eastAsia="Amiri" w:cs="Amiri"/>
          <w:color w:val="111111"/>
          <w:sz w:val="28"/>
          <w:sz w:val="28"/>
          <w:szCs w:val="28"/>
          <w:rtl w:val="true"/>
          <w:lang w:bidi="ar-SA"/>
        </w:rPr>
        <w:t>بأن يَكونَ فيه حياةٌ‌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مِثلَ ما قالَ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إقرارٌ بما ذَهَبَ إليه، إلىٰ آخِرِ الكلامِ الذي أَورَدَه هُناكَ‌</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معنىٰ هذه المسألةِ و طريقةَ الطعنِ فيه</w:t>
      </w:r>
      <w:r>
        <w:rPr>
          <w:rStyle w:val="FootnoteAnchor"/>
          <w:rtl w:val="true"/>
        </w:rPr>
        <w:footnoteReference w:id="402"/>
      </w:r>
      <w:r>
        <w:rPr>
          <w:rFonts w:ascii="Amiri" w:hAnsi="Amiri" w:eastAsia="Amiri" w:cs="Amiri"/>
          <w:color w:val="111111"/>
          <w:sz w:val="28"/>
          <w:sz w:val="28"/>
          <w:szCs w:val="28"/>
          <w:rtl w:val="true"/>
          <w:lang w:bidi="ar-SA"/>
        </w:rPr>
        <w:t>يُضاهيانِ ما تَقدَّمَ الكلامُ عليه في المسألةِ المُتَقدِّمةِ عليها بِلا فَصلٍ‌، و المُزيلُ للشبهةِ عن المسألتَينِ واحدٌ، و قد ذَكرناه و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تَكونُ‌</w:t>
      </w:r>
      <w:r>
        <w:rPr>
          <w:rStyle w:val="FootnoteAnchor"/>
          <w:rtl w:val="true"/>
        </w:rPr>
        <w:footnoteReference w:id="403"/>
      </w:r>
      <w:r>
        <w:rPr>
          <w:rFonts w:ascii="Amiri" w:hAnsi="Amiri" w:eastAsia="Amiri" w:cs="Amiri"/>
          <w:color w:val="111111"/>
          <w:sz w:val="28"/>
          <w:sz w:val="28"/>
          <w:szCs w:val="28"/>
          <w:rtl w:val="true"/>
          <w:lang w:bidi="ar-SA"/>
        </w:rPr>
        <w:t xml:space="preserve">أحكامُ الحياةِ راجعةً إلَى المَحلِّ و أوّلُ أحكامِها إيجابُها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يَليقُ بالمَحلِّ‌، و إنّما يَليقُ بالجُملةِ‌؛ لأنّا قد بيّنّا فَسادَ كَونِ كُلِّ جُزءٍ حَيّاً</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أحكامِها تصحيحُ كَونِ العالِمِ عالِماً و القادرِ قادراً و المُريدِ مُريداً، و كُلُّ هذه الأحكامِ لا تَرجِعُ إلَى المَحلِّ بغَيرِ شُبهةٍ‌، و إنّما تَرجِعُ‌</w:t>
      </w:r>
      <w:r>
        <w:rPr>
          <w:rStyle w:val="FootnoteAnchor"/>
          <w:rtl w:val="true"/>
        </w:rPr>
        <w:footnoteReference w:id="405"/>
      </w:r>
      <w:r>
        <w:rPr>
          <w:rFonts w:ascii="Amiri" w:hAnsi="Amiri" w:eastAsia="Amiri" w:cs="Amiri"/>
          <w:color w:val="111111"/>
          <w:sz w:val="28"/>
          <w:sz w:val="28"/>
          <w:szCs w:val="28"/>
          <w:rtl w:val="true"/>
          <w:lang w:bidi="ar-SA"/>
        </w:rPr>
        <w:t>إلَى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بَعدَ هذا إلّاأنّ الإدراكَ لا يَقَعُ إلّابمَحلٍّ فيه حياةٌ‌، فيُظَنُّ‌</w:t>
      </w:r>
      <w:r>
        <w:rPr>
          <w:rStyle w:val="FootnoteAnchor"/>
          <w:rtl w:val="true"/>
        </w:rPr>
        <w:footnoteReference w:id="406"/>
      </w:r>
      <w:r>
        <w:rPr>
          <w:rFonts w:ascii="Amiri" w:hAnsi="Amiri" w:eastAsia="Amiri" w:cs="Amiri"/>
          <w:color w:val="111111"/>
          <w:sz w:val="28"/>
          <w:sz w:val="28"/>
          <w:szCs w:val="28"/>
          <w:rtl w:val="true"/>
          <w:lang w:bidi="ar-SA"/>
        </w:rPr>
        <w:t>أنّ هذا إنّما وَجَبَ لأنّ الحَيَّ هو المَحلُّ‌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صحيحٍ‌؛ لأنّ الحَيَّ بالحياةِ التي تَحُلُّ الجُزءَ مِن الجُملةِ‌، و إن كانَ هو الجُملةَ دونَ المَحلِّ‌، فلَيسَ يَمتَنِعُ‌</w:t>
      </w:r>
      <w:r>
        <w:rPr>
          <w:rStyle w:val="FootnoteAnchor"/>
          <w:rtl w:val="true"/>
        </w:rPr>
        <w:footnoteReference w:id="407"/>
      </w:r>
      <w:r>
        <w:rPr>
          <w:rFonts w:ascii="Amiri" w:hAnsi="Amiri" w:eastAsia="Amiri" w:cs="Amiri"/>
          <w:color w:val="111111"/>
          <w:sz w:val="28"/>
          <w:sz w:val="28"/>
          <w:szCs w:val="28"/>
          <w:rtl w:val="true"/>
          <w:lang w:bidi="ar-SA"/>
        </w:rPr>
        <w:t>أن يَقِفَ الإدراكُ بالمَحلِّ علىٰ وجودِ الحياةِ فيه لشَيءٍ يَرجِعُ إلىٰ جنسِ الحياةِ‌؛ فكانَ الحَيُّ الذي هو المُدرِكُ علَى الحقيقةِ لا يَكونُ مُدرِكاً للحَرارةِ و البُرودةِ إلّابمَحلٍّ فيه حياةٌ‌، و مِن شَرطِ كَونِ المَحلِّ آلةً للمُدرِكِ‌</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في كَونِه مُدرِكاً وجودُ الحياةِ فيه؛ كَما قُلنا نَظيرَ ذلكَ في القادرِ لأمرٍ يَرجِعُ إلىٰ نَوعِ القُدرةِ‌، علىٰ ما مضىٰ‌</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تَضمَّنَه السؤالُ‌، مِن أنّ عندَنا أ نّه لا أمرَ يَتجدَّدُ بحُلولِ الحياةِ في المَحلِّ‌؛ لأنّ الحالَ قد وَجَبَت للحَيِّ بكُلِّ حياةٍ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مُستَقيمٍ‌؛ لأنّ العضوَ المُتَّصِلَ بالحَيِّ لا يَكونُ مِن جُملتِه بنَفسِ التأليفِ و الاتّصالِ‌، و</w:t>
      </w:r>
      <w:r>
        <w:rPr>
          <w:rStyle w:val="FootnoteAnchor"/>
          <w:rtl w:val="true"/>
        </w:rPr>
        <w:footnoteReference w:id="410"/>
      </w:r>
      <w:r>
        <w:rPr>
          <w:rFonts w:ascii="Amiri" w:hAnsi="Amiri" w:eastAsia="Amiri" w:cs="Amiri"/>
          <w:color w:val="111111"/>
          <w:sz w:val="28"/>
          <w:sz w:val="28"/>
          <w:szCs w:val="28"/>
          <w:rtl w:val="true"/>
          <w:lang w:bidi="ar-SA"/>
        </w:rPr>
        <w:t>لَو كانَ كذلكَ لَوَجَبَ أن يَكونَ الشَّعرُ و الظُّفرُ لأجلِ الاتّصالِ مِن جُملةِ الحَيِّ‌؛ و قد عَلِمنا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وُجِدَت فيه الحياةُ صارَ مِن جُملتِه، و أَوجَبَت هذه الحياةُ حالاً للجُملةِ‌، و إن كانَت قد وَجَبَت لها مِثلُها بالحياةِ الموجودةِ في أبعاضِها الأُخَرِ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الحَوالةُ في هذه المسألةِ علىٰ ما مضىٰ مِن الكلامِ في القُدرةِ‌، فقَد سَلَفَ مِن إبطالِ ذلكَ و إيضاحِ الحَقِّ منه ما فيه كِفايةٌ‌</w:t>
      </w:r>
      <w:r>
        <w:rPr>
          <w:rFonts w:eastAsia="Amiri" w:cs="Amiri" w:ascii="Amiri" w:hAnsi="Amiri"/>
          <w:color w:val="111111"/>
          <w:sz w:val="28"/>
          <w:szCs w:val="28"/>
          <w:rtl w:val="true"/>
          <w:lang w:bidi="ar-SA"/>
        </w:rPr>
        <w:t>.</w:t>
      </w:r>
      <w:r>
        <w:rPr>
          <w:rStyle w:val="FootnoteAnchor"/>
          <w:rtl w:val="true"/>
        </w:rPr>
        <w:footnoteReference w:id="411"/>
      </w:r>
      <w:bookmarkStart w:id="88" w:name="pg16415_223738"/>
    </w:p>
    <w:p>
      <w:pPr>
        <w:pStyle w:val="Heading6"/>
        <w:numPr>
          <w:ilvl w:val="5"/>
          <w:numId w:val="1"/>
        </w:numPr>
        <w:rPr/>
      </w:pPr>
      <w:bookmarkStart w:id="89" w:name="__RefHeading___Toc7642288_1280447820"/>
      <w:bookmarkStart w:id="90" w:name="_Toc31"/>
      <w:bookmarkEnd w:id="88"/>
      <w:bookmarkEnd w:id="89"/>
      <w:r>
        <w:rPr>
          <w:rtl w:val="true"/>
        </w:rPr>
        <w:t>المسألةُ الرابعةُ في بيان وجه اختصاص العرض بمحلّه</w:t>
      </w:r>
      <w:bookmarkEnd w:id="90"/>
    </w:p>
    <w:p>
      <w:pPr>
        <w:pStyle w:val="BookText"/>
        <w:rPr/>
      </w:pPr>
      <w:r>
        <w:rPr>
          <w:rFonts w:ascii="Amiri" w:hAnsi="Amiri" w:eastAsia="Amiri" w:cs="Amiri"/>
          <w:color w:val="111111"/>
          <w:sz w:val="28"/>
          <w:sz w:val="28"/>
          <w:szCs w:val="28"/>
          <w:rtl w:val="true"/>
          <w:lang w:bidi="ar-SA"/>
        </w:rPr>
        <w:t>ما المُفسِدُ</w:t>
      </w:r>
      <w:r>
        <w:rPr>
          <w:rStyle w:val="FootnoteAnchor"/>
          <w:rtl w:val="true"/>
        </w:rPr>
        <w:footnoteReference w:id="412"/>
      </w:r>
      <w:r>
        <w:rPr>
          <w:rFonts w:ascii="Amiri" w:hAnsi="Amiri" w:eastAsia="Amiri" w:cs="Amiri"/>
          <w:color w:val="111111"/>
          <w:sz w:val="28"/>
          <w:sz w:val="28"/>
          <w:szCs w:val="28"/>
          <w:rtl w:val="true"/>
          <w:lang w:bidi="ar-SA"/>
        </w:rPr>
        <w:t>لقَولِ مَن زَعَمَ أنّ العَرَضَ إنّما يَختَصُّ بمَحلِّه بالفاعلِ‌، مِن غَيرِ اعتبارِ كَونِه قاصداً</w:t>
      </w:r>
      <w:r>
        <w:rPr>
          <w:rStyle w:val="FootnoteAnchor"/>
          <w:rtl w:val="true"/>
        </w:rPr>
        <w:footnoteReference w:id="413"/>
      </w:r>
      <w:r>
        <w:rPr>
          <w:rFonts w:ascii="Amiri" w:hAnsi="Amiri" w:eastAsia="Amiri" w:cs="Amiri"/>
          <w:color w:val="111111"/>
          <w:sz w:val="28"/>
          <w:sz w:val="28"/>
          <w:szCs w:val="28"/>
          <w:rtl w:val="true"/>
          <w:lang w:bidi="ar-SA"/>
        </w:rPr>
        <w:t>حتّىٰ لا يَلزَمَ عليه الساهي و النائمُ؟</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أن يَفعَلَ النائمُ عندَكم كَوناً مخصوصاً مِن جُملةِ ما في مقدورِه كذلكَ‌، يُخصِّصُ‌</w:t>
      </w:r>
      <w:r>
        <w:rPr>
          <w:rStyle w:val="FootnoteAnchor"/>
          <w:rtl w:val="true"/>
        </w:rPr>
        <w:footnoteReference w:id="414"/>
      </w:r>
      <w:r>
        <w:rPr>
          <w:rFonts w:ascii="Amiri" w:hAnsi="Amiri" w:eastAsia="Amiri" w:cs="Amiri"/>
          <w:color w:val="111111"/>
          <w:sz w:val="28"/>
          <w:sz w:val="28"/>
          <w:szCs w:val="28"/>
          <w:rtl w:val="true"/>
          <w:lang w:bidi="ar-SA"/>
        </w:rPr>
        <w:t>أحَدَ العَرَضَينِ بالمَحلِّ‌، و إن كانَ جائزاً أن يوجَدَ ما يَحُلُّ زَيداً في عَمرٍو، و ما يَحُلُّ عَمراً في زَيدٍ؟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العَرَضَ لا يَخلو مِن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يَصِحَّ وجودُه في غَيرِ المَحلِّ الذي وُجِدَ فيه، أو لا يَصِحَّ ذلكَ فيه حتّىٰ يَستَحيلَ وجودُه إلّافي المَحلِّ الذي حَلَّه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الأمرُ علىٰ ما ذَكرناه ثانياً، 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اختصاصِه بمَحلِّه، حتّىٰ كانَ لا يَصِحُّ حُلولُه إلّافيه‌؟ و إلىٰ أيِّ شَيءٍ تُسنِدونَ ذلكَ؟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العَرَضَ يَختَصُّ بمَحلِّه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إثباتاً و نَفياً؛ فالإثباتُ‌ </w:t>
      </w:r>
    </w:p>
    <w:p>
      <w:pPr>
        <w:pStyle w:val="BookText"/>
        <w:rPr/>
      </w:pPr>
      <w:r>
        <w:rPr>
          <w:rFonts w:ascii="Amiri" w:hAnsi="Amiri" w:eastAsia="Amiri" w:cs="Amiri"/>
          <w:color w:val="111111"/>
          <w:sz w:val="28"/>
          <w:sz w:val="28"/>
          <w:szCs w:val="28"/>
          <w:rtl w:val="true"/>
          <w:lang w:bidi="ar-SA"/>
        </w:rPr>
        <w:t>وجودُه في المَحلِّ الذي حَلَّه، و النفيُ أنّه لَيسَ في غيرِه</w:t>
      </w:r>
      <w:r>
        <w:rPr>
          <w:rStyle w:val="FootnoteAnchor"/>
          <w:rtl w:val="true"/>
        </w:rPr>
        <w:footnoteReference w:id="415"/>
      </w:r>
      <w:r>
        <w:rPr>
          <w:rFonts w:ascii="Amiri" w:hAnsi="Amiri" w:eastAsia="Amiri" w:cs="Amiri"/>
          <w:color w:val="111111"/>
          <w:sz w:val="28"/>
          <w:sz w:val="28"/>
          <w:szCs w:val="28"/>
          <w:rtl w:val="true"/>
          <w:lang w:bidi="ar-SA"/>
        </w:rPr>
        <w:t>فالإثباتُ عِلّتُه الفاعلُ‌، و النفيُ لا يَصِحُّ تعليلُه و لا إسنادُه إلىٰ مُقتَضٍ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أيضاً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العَرَضِ بمَحلِّه حتّىٰ لا يَصِحُّ وجودُه إلّافيه ممّا لا يَصِحُّ تعليلُه؛ لأنّه</w:t>
      </w:r>
      <w:r>
        <w:rPr>
          <w:rStyle w:val="FootnoteAnchor"/>
          <w:rtl w:val="true"/>
        </w:rPr>
        <w:footnoteReference w:id="416"/>
      </w:r>
      <w:r>
        <w:rPr>
          <w:rFonts w:ascii="Amiri" w:hAnsi="Amiri" w:eastAsia="Amiri" w:cs="Amiri"/>
          <w:color w:val="111111"/>
          <w:sz w:val="28"/>
          <w:sz w:val="28"/>
          <w:szCs w:val="28"/>
          <w:rtl w:val="true"/>
          <w:lang w:bidi="ar-SA"/>
        </w:rPr>
        <w:t>بأيِّ شَيءٍ عُلِّلَ كانَ ذلكَ فاسداً؛ لأنّه إن عُلِّلَ بالنفسِ‌، اقتَضىٰ تَماثُلَ كُلِّ شَيءٍ يَختَصُّ بهذا المَحلِّ‌، و معلومٌ خِلافُه؛ لأنّ الأجناسَ المُختَلِفةَ قد تَختَصُّ بالمَحلِّ الواحدِ حتّىٰ لا يَصِحَّ وجودُها إلّافيه، فلَو اقتَضىٰ ذاكَ‌</w:t>
      </w:r>
      <w:r>
        <w:rPr>
          <w:rStyle w:val="FootnoteAnchor"/>
          <w:rtl w:val="true"/>
        </w:rPr>
        <w:footnoteReference w:id="417"/>
      </w:r>
      <w:r>
        <w:rPr>
          <w:rFonts w:ascii="Amiri" w:hAnsi="Amiri" w:eastAsia="Amiri" w:cs="Amiri"/>
          <w:color w:val="111111"/>
          <w:sz w:val="28"/>
          <w:sz w:val="28"/>
          <w:szCs w:val="28"/>
          <w:rtl w:val="true"/>
          <w:lang w:bidi="ar-SA"/>
        </w:rPr>
        <w:t>صفةَ نَفسٍ لَاقتَضىٰ تَماثُلَ ما له هذا الحُكمُ‌؛ و قد عَلِمنا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عَلَّلنا ذلكَ بعِلّةٍ جازَ ارتفاعُها، فصَحَّ‌</w:t>
      </w:r>
      <w:r>
        <w:rPr>
          <w:rStyle w:val="FootnoteAnchor"/>
          <w:rtl w:val="true"/>
        </w:rPr>
        <w:footnoteReference w:id="418"/>
      </w:r>
      <w:r>
        <w:rPr>
          <w:rFonts w:ascii="Amiri" w:hAnsi="Amiri" w:eastAsia="Amiri" w:cs="Amiri"/>
          <w:color w:val="111111"/>
          <w:sz w:val="28"/>
          <w:sz w:val="28"/>
          <w:szCs w:val="28"/>
          <w:rtl w:val="true"/>
          <w:lang w:bidi="ar-SA"/>
        </w:rPr>
        <w:t>حُلولُ هذا العَرَضِ في غَيرِ مَحلِّه؛ و ذلكَ أيضاً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عَلَّلناه</w:t>
      </w:r>
      <w:r>
        <w:rPr>
          <w:rStyle w:val="FootnoteAnchor"/>
          <w:rtl w:val="true"/>
        </w:rPr>
        <w:footnoteReference w:id="419"/>
      </w:r>
      <w:r>
        <w:rPr>
          <w:rFonts w:ascii="Amiri" w:hAnsi="Amiri" w:eastAsia="Amiri" w:cs="Amiri"/>
          <w:color w:val="111111"/>
          <w:sz w:val="28"/>
          <w:sz w:val="28"/>
          <w:szCs w:val="28"/>
          <w:rtl w:val="true"/>
          <w:lang w:bidi="ar-SA"/>
        </w:rPr>
        <w:t>بالفاعلِ‌، فما يَستَنِدُ إليه يَصِحُّ فيه التخيُّرُ</w:t>
      </w:r>
      <w:r>
        <w:rPr>
          <w:rStyle w:val="FootnoteAnchor"/>
          <w:rtl w:val="true"/>
        </w:rPr>
        <w:footnoteReference w:id="420"/>
      </w:r>
      <w:r>
        <w:rPr>
          <w:rFonts w:ascii="Amiri" w:hAnsi="Amiri" w:eastAsia="Amiri" w:cs="Amiri"/>
          <w:color w:val="111111"/>
          <w:sz w:val="28"/>
          <w:sz w:val="28"/>
          <w:szCs w:val="28"/>
          <w:rtl w:val="true"/>
          <w:lang w:bidi="ar-SA"/>
        </w:rPr>
        <w:t>، فكانَ يَجِبُ لَو اختارَ أن يَفعَلَه في غَيرِ هذا المَحلِّ أن يَصِحَّ ذلكَ‌؛ و قد فَرَضنا أنّ العَرَضَ لا يَصِحُّ وجودُه إلّافي المَحلِّ الذي وُجِدَ</w:t>
      </w:r>
      <w:r>
        <w:rPr>
          <w:rStyle w:val="FootnoteAnchor"/>
          <w:rtl w:val="true"/>
        </w:rPr>
        <w:footnoteReference w:id="42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وجودِ</w:t>
      </w:r>
      <w:r>
        <w:rPr>
          <w:rStyle w:val="FootnoteAnchor"/>
          <w:rtl w:val="true"/>
        </w:rPr>
        <w:footnoteReference w:id="422"/>
      </w:r>
      <w:r>
        <w:rPr>
          <w:rFonts w:ascii="Amiri" w:hAnsi="Amiri" w:eastAsia="Amiri" w:cs="Amiri"/>
          <w:color w:val="111111"/>
          <w:sz w:val="28"/>
          <w:sz w:val="28"/>
          <w:szCs w:val="28"/>
          <w:rtl w:val="true"/>
          <w:lang w:bidi="ar-SA"/>
        </w:rPr>
        <w:t xml:space="preserve">العَرَضِ في المَحالِّ المُتَغايِرةِ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الصعبُ المُشتَبِهُ‌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يَمضي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لَو كانَ جائزاً لَكانَ حُلولُه في المَحلِّ موجَباً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لازمٍ‌؛ لأنّ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حُلولِه في هذا المَحلِّ و في غَيرِه إنّما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w:t>
      </w:r>
      <w:r>
        <w:rPr>
          <w:rStyle w:val="FootnoteAnchor"/>
          <w:rtl w:val="true"/>
        </w:rPr>
        <w:footnoteReference w:id="423"/>
      </w:r>
      <w:r>
        <w:rPr>
          <w:rFonts w:ascii="Amiri" w:hAnsi="Amiri" w:eastAsia="Amiri" w:cs="Amiri"/>
          <w:color w:val="111111"/>
          <w:sz w:val="28"/>
          <w:sz w:val="28"/>
          <w:szCs w:val="28"/>
          <w:rtl w:val="true"/>
          <w:lang w:bidi="ar-SA"/>
        </w:rPr>
        <w:t xml:space="preserve">في بعضِ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يَقتَضيهِ و يَستَنِدُ إليه، و قد يَجوزُ أن يَكونَ ذلكَ‌</w:t>
      </w:r>
      <w:r>
        <w:rPr>
          <w:rStyle w:val="FootnoteAnchor"/>
          <w:rtl w:val="true"/>
        </w:rPr>
        <w:footnoteReference w:id="424"/>
      </w:r>
      <w:r>
        <w:rPr>
          <w:rFonts w:ascii="Amiri" w:hAnsi="Amiri" w:eastAsia="Amiri" w:cs="Amiri"/>
          <w:color w:val="111111"/>
          <w:sz w:val="28"/>
          <w:sz w:val="28"/>
          <w:szCs w:val="28"/>
          <w:rtl w:val="true"/>
          <w:lang w:bidi="ar-SA"/>
        </w:rPr>
        <w:t>مُستَنِداً إلَى الفاعلِ و كَونِه قادراً؛ لا سِيَّما و هذا حُكمٌ يَتبَعُ الحُدوثَ‌، و يُمكِنُ في كُلِّ شَيءٍ يَتبَعُ‌</w:t>
      </w:r>
      <w:r>
        <w:rPr>
          <w:rStyle w:val="FootnoteAnchor"/>
          <w:rtl w:val="true"/>
        </w:rPr>
        <w:footnoteReference w:id="425"/>
      </w:r>
      <w:r>
        <w:rPr>
          <w:rFonts w:ascii="Amiri" w:hAnsi="Amiri" w:eastAsia="Amiri" w:cs="Amiri"/>
          <w:color w:val="111111"/>
          <w:sz w:val="28"/>
          <w:sz w:val="28"/>
          <w:szCs w:val="28"/>
          <w:rtl w:val="true"/>
          <w:lang w:bidi="ar-SA"/>
        </w:rPr>
        <w:t>الحُدوثَ أن نُسنِدَه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دَفعُ ذلكَ بما يُدفَعُ به كَونُ الأحوالِ أو الأحكامِ التي تَحصُلُ في حالِ البقاءِ مُستَنِدةً‌</w:t>
      </w:r>
      <w:r>
        <w:rPr>
          <w:rStyle w:val="FootnoteAnchor"/>
          <w:rtl w:val="true"/>
        </w:rPr>
        <w:footnoteReference w:id="426"/>
      </w:r>
      <w:r>
        <w:rPr>
          <w:rFonts w:ascii="Amiri" w:hAnsi="Amiri" w:eastAsia="Amiri" w:cs="Amiri"/>
          <w:color w:val="111111"/>
          <w:sz w:val="28"/>
          <w:sz w:val="28"/>
          <w:szCs w:val="28"/>
          <w:rtl w:val="true"/>
          <w:lang w:bidi="ar-SA"/>
        </w:rPr>
        <w:t>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يَكونَ اختصاصُ العَرَضِ بمَحلٍّ مُستَنِداً إلَى الفاعلِ لَجازَ</w:t>
      </w:r>
      <w:r>
        <w:rPr>
          <w:rStyle w:val="FootnoteAnchor"/>
          <w:rtl w:val="true"/>
        </w:rPr>
        <w:footnoteReference w:id="427"/>
      </w:r>
      <w:r>
        <w:rPr>
          <w:rFonts w:ascii="Amiri" w:hAnsi="Amiri" w:eastAsia="Amiri" w:cs="Amiri"/>
          <w:color w:val="111111"/>
          <w:sz w:val="28"/>
          <w:sz w:val="28"/>
          <w:szCs w:val="28"/>
          <w:rtl w:val="true"/>
          <w:lang w:bidi="ar-SA"/>
        </w:rPr>
        <w:t>أن يَكونَ اختصاصُه بالوقتِ أو</w:t>
      </w:r>
      <w:r>
        <w:rPr>
          <w:rStyle w:val="FootnoteAnchor"/>
          <w:rtl w:val="true"/>
        </w:rPr>
        <w:footnoteReference w:id="428"/>
      </w:r>
      <w:r>
        <w:rPr>
          <w:rFonts w:ascii="Amiri" w:hAnsi="Amiri" w:eastAsia="Amiri" w:cs="Amiri"/>
          <w:color w:val="111111"/>
          <w:sz w:val="28"/>
          <w:sz w:val="28"/>
          <w:szCs w:val="28"/>
          <w:rtl w:val="true"/>
          <w:lang w:bidi="ar-SA"/>
        </w:rPr>
        <w:t>ما تقديرُه تقديرُ الوقتِ مُستَنِداً أيضاً إلَى الفاعلِ‌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w:t>
      </w:r>
      <w:r>
        <w:rPr>
          <w:rStyle w:val="FootnoteAnchor"/>
          <w:rtl w:val="true"/>
        </w:rPr>
        <w:footnoteReference w:id="429"/>
      </w:r>
      <w:r>
        <w:rPr>
          <w:rFonts w:ascii="Amiri" w:hAnsi="Amiri" w:eastAsia="Amiri" w:cs="Amiri"/>
          <w:color w:val="111111"/>
          <w:sz w:val="28"/>
          <w:sz w:val="28"/>
          <w:szCs w:val="28"/>
          <w:rtl w:val="true"/>
          <w:lang w:bidi="ar-SA"/>
        </w:rPr>
        <w:t>لا يوجَدُ إلّاوقتاً واحداً، كالصوتِ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الضربُ ممّا لا يُمكِنُ إسنادُ اختصاصِه بالوقتِ إلَى الفاعلِ‌؛ لِاستحالةِ‌</w:t>
      </w:r>
      <w:r>
        <w:rPr>
          <w:rStyle w:val="FootnoteAnchor"/>
          <w:rtl w:val="true"/>
        </w:rPr>
        <w:footnoteReference w:id="430"/>
      </w:r>
      <w:r>
        <w:rPr>
          <w:rFonts w:ascii="Amiri" w:hAnsi="Amiri" w:eastAsia="Amiri" w:cs="Amiri"/>
          <w:color w:val="111111"/>
          <w:sz w:val="28"/>
          <w:sz w:val="28"/>
          <w:szCs w:val="28"/>
          <w:rtl w:val="true"/>
          <w:lang w:bidi="ar-SA"/>
        </w:rPr>
        <w:t>وجودِه إلّاوقتاً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الآخَرُ مِن الأفعالِ يَصِحُّ وجودُه</w:t>
      </w:r>
      <w:r>
        <w:rPr>
          <w:rStyle w:val="FootnoteAnchor"/>
          <w:rtl w:val="true"/>
        </w:rPr>
        <w:footnoteReference w:id="431"/>
      </w:r>
      <w:r>
        <w:rPr>
          <w:rFonts w:ascii="Amiri" w:hAnsi="Amiri" w:eastAsia="Amiri" w:cs="Amiri"/>
          <w:color w:val="111111"/>
          <w:sz w:val="28"/>
          <w:sz w:val="28"/>
          <w:szCs w:val="28"/>
          <w:rtl w:val="true"/>
          <w:lang w:bidi="ar-SA"/>
        </w:rPr>
        <w:t>أكثَرَ مِن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 الدليلُ علىٰ أنّ هذا الضربَ أيضاً مِن </w:t>
      </w:r>
    </w:p>
    <w:p>
      <w:pPr>
        <w:pStyle w:val="BookText"/>
        <w:rPr/>
      </w:pPr>
      <w:r>
        <w:rPr>
          <w:rFonts w:ascii="Amiri" w:hAnsi="Amiri" w:eastAsia="Amiri" w:cs="Amiri"/>
          <w:color w:val="111111"/>
          <w:sz w:val="28"/>
          <w:sz w:val="28"/>
          <w:szCs w:val="28"/>
          <w:rtl w:val="true"/>
          <w:lang w:bidi="ar-SA"/>
        </w:rPr>
        <w:t>أفعالِنا لا يَصِحُّ أن نوجِدَه إلّافي وقتٍ واحدٍ و إن</w:t>
      </w:r>
      <w:r>
        <w:rPr>
          <w:rStyle w:val="FootnoteAnchor"/>
          <w:rtl w:val="true"/>
        </w:rPr>
        <w:footnoteReference w:id="432"/>
      </w:r>
      <w:r>
        <w:rPr>
          <w:rFonts w:ascii="Amiri" w:hAnsi="Amiri" w:eastAsia="Amiri" w:cs="Amiri"/>
          <w:color w:val="111111"/>
          <w:sz w:val="28"/>
          <w:sz w:val="28"/>
          <w:szCs w:val="28"/>
          <w:rtl w:val="true"/>
          <w:lang w:bidi="ar-SA"/>
        </w:rPr>
        <w:t>صَحَّ عليه البقاءُ و الاستمرارُ أوقاتاً كَثيرةً‌؛ و إنّما لَم يَصِحَّ ذلكَ مِنّا لأمرٍ يَرجِعُ إلىٰ حُكمِ القُدَرِ التي لا نَكونُ قادرينَ إلّابها، فأمّا القَديمُ تَعالَى القادرُ لنَفسِه فهو يَقدِرُ علىٰ تقديمِ أفعالِه الباقياتِ عن أوقاتِ وجودِها و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أَلزَمناه في الوقتِ يَلزَمُه</w:t>
      </w:r>
      <w:r>
        <w:rPr>
          <w:rStyle w:val="FootnoteAnchor"/>
          <w:rtl w:val="true"/>
        </w:rPr>
        <w:footnoteReference w:id="433"/>
      </w:r>
      <w:r>
        <w:rPr>
          <w:rFonts w:ascii="Amiri" w:hAnsi="Amiri" w:eastAsia="Amiri" w:cs="Amiri"/>
          <w:color w:val="111111"/>
          <w:sz w:val="28"/>
          <w:sz w:val="28"/>
          <w:szCs w:val="28"/>
          <w:rtl w:val="true"/>
          <w:lang w:bidi="ar-SA"/>
        </w:rPr>
        <w:t>في أفعالِ القَديمِ تَعالَى الباقياتِ‌، و لا يَلزَمُه</w:t>
      </w:r>
      <w:r>
        <w:rPr>
          <w:rStyle w:val="FootnoteAnchor"/>
          <w:rtl w:val="true"/>
        </w:rPr>
        <w:footnoteReference w:id="434"/>
      </w:r>
      <w:r>
        <w:rPr>
          <w:rFonts w:ascii="Amiri" w:hAnsi="Amiri" w:eastAsia="Amiri" w:cs="Amiri"/>
          <w:color w:val="111111"/>
          <w:sz w:val="28"/>
          <w:sz w:val="28"/>
          <w:szCs w:val="28"/>
          <w:rtl w:val="true"/>
          <w:lang w:bidi="ar-SA"/>
        </w:rPr>
        <w:t>في أفعالِنا و إن كانَت باقياتٍ‌؛ للوجهِ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فيَتحقَّقُ السؤالُ حينَئذٍ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يَجريَ أحَدُنا في فعلِ العَرَضِ في بعضِ المَحالِّ في جوازِ وجودِه في غَيرِه</w:t>
      </w:r>
      <w:r>
        <w:rPr>
          <w:rStyle w:val="FootnoteAnchor"/>
          <w:rtl w:val="true"/>
        </w:rPr>
        <w:footnoteReference w:id="435"/>
      </w:r>
      <w:r>
        <w:rPr>
          <w:rFonts w:ascii="Amiri" w:hAnsi="Amiri" w:eastAsia="Amiri" w:cs="Amiri"/>
          <w:color w:val="111111"/>
          <w:sz w:val="28"/>
          <w:sz w:val="28"/>
          <w:szCs w:val="28"/>
          <w:rtl w:val="true"/>
          <w:lang w:bidi="ar-SA"/>
        </w:rPr>
        <w:t>مَجرَى القَديمِ تَعالىٰ في فعلِ العَرَضِ الباقي وقتَ مَنعِ جوازِ وجودِه في غَيرِه</w:t>
      </w:r>
      <w:r>
        <w:rPr>
          <w:rStyle w:val="FootnoteAnchor"/>
          <w:rtl w:val="true"/>
        </w:rPr>
        <w:footnoteReference w:id="436"/>
      </w:r>
      <w:r>
        <w:rPr>
          <w:rFonts w:ascii="Amiri" w:hAnsi="Amiri" w:eastAsia="Amiri" w:cs="Amiri"/>
          <w:color w:val="111111"/>
          <w:sz w:val="28"/>
          <w:sz w:val="28"/>
          <w:szCs w:val="28"/>
          <w:rtl w:val="true"/>
          <w:lang w:bidi="ar-SA"/>
        </w:rPr>
        <w:t>؟ فلَيسَ يَمنَعُ‌</w:t>
      </w:r>
      <w:r>
        <w:rPr>
          <w:rStyle w:val="FootnoteAnchor"/>
          <w:rtl w:val="true"/>
        </w:rPr>
        <w:footnoteReference w:id="437"/>
      </w:r>
      <w:r>
        <w:rPr>
          <w:rFonts w:ascii="Amiri" w:hAnsi="Amiri" w:eastAsia="Amiri" w:cs="Amiri"/>
          <w:color w:val="111111"/>
          <w:sz w:val="28"/>
          <w:sz w:val="28"/>
          <w:szCs w:val="28"/>
          <w:rtl w:val="true"/>
          <w:lang w:bidi="ar-SA"/>
        </w:rPr>
        <w:t xml:space="preserve">مِن ذلكَ في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جازَ في القَديمِ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كَما فَرَّقنا في تقديمِ الأفعالِ و تأخيرِها بَينَنا</w:t>
      </w:r>
      <w:r>
        <w:rPr>
          <w:rStyle w:val="FootnoteAnchor"/>
          <w:rtl w:val="true"/>
        </w:rPr>
        <w:footnoteReference w:id="438"/>
      </w:r>
      <w:r>
        <w:rPr>
          <w:rFonts w:ascii="Amiri" w:hAnsi="Amiri" w:eastAsia="Amiri" w:cs="Amiri"/>
          <w:color w:val="111111"/>
          <w:sz w:val="28"/>
          <w:sz w:val="28"/>
          <w:szCs w:val="28"/>
          <w:rtl w:val="true"/>
          <w:lang w:bidi="ar-SA"/>
        </w:rPr>
        <w:t>و بَينَ القَديمِ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علَى العَرَضِ الوجودُ</w:t>
      </w:r>
      <w:r>
        <w:rPr>
          <w:rStyle w:val="FootnoteAnchor"/>
          <w:rtl w:val="true"/>
        </w:rPr>
        <w:footnoteReference w:id="439"/>
      </w:r>
      <w:r>
        <w:rPr>
          <w:rFonts w:ascii="Amiri" w:hAnsi="Amiri" w:eastAsia="Amiri" w:cs="Amiri"/>
          <w:color w:val="111111"/>
          <w:sz w:val="28"/>
          <w:sz w:val="28"/>
          <w:szCs w:val="28"/>
          <w:rtl w:val="true"/>
          <w:lang w:bidi="ar-SA"/>
        </w:rPr>
        <w:t>في مَحالٍّ مُختَلِفةٍ لَجازَ عليه أن يَنتَقِلَ إلىٰ غَيرِ مَحلِّه بَعدَ وجودِه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الأمرَينِ أنّ انتقالَه لا يُمكِنُ إسنادُه إلَى الفاعلِ‌؛ لأنّ الفاعلَ لا يُسنَدُ إليه مِن الصفاتِ إلّاما تَبِعَ حُدوثَ الذواتِ‌، و العَرَضُ لَو انتَقَلَ في </w:t>
      </w:r>
    </w:p>
    <w:p>
      <w:pPr>
        <w:pStyle w:val="BookText"/>
        <w:rPr/>
      </w:pPr>
      <w:r>
        <w:rPr>
          <w:rFonts w:ascii="Amiri" w:hAnsi="Amiri" w:eastAsia="Amiri" w:cs="Amiri"/>
          <w:color w:val="111111"/>
          <w:sz w:val="28"/>
          <w:sz w:val="28"/>
          <w:szCs w:val="28"/>
          <w:rtl w:val="true"/>
          <w:lang w:bidi="ar-SA"/>
        </w:rPr>
        <w:t>حالِ بقائه لَم يَجُز إسنادُ انتقالِه إلَى الفاعلِ‌؛ و الذاتُ غَيرُ حادثةٍ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حالُ الحُدوثِ‌؛ لأنّ حُلولَه في حالِ حُدوثِه كَيفيّةٌ‌</w:t>
      </w:r>
      <w:r>
        <w:rPr>
          <w:rStyle w:val="FootnoteAnchor"/>
          <w:rtl w:val="true"/>
        </w:rPr>
        <w:footnoteReference w:id="440"/>
      </w:r>
      <w:r>
        <w:rPr>
          <w:rFonts w:ascii="Amiri" w:hAnsi="Amiri" w:eastAsia="Amiri" w:cs="Amiri"/>
          <w:color w:val="111111"/>
          <w:sz w:val="28"/>
          <w:sz w:val="28"/>
          <w:szCs w:val="28"/>
          <w:rtl w:val="true"/>
          <w:lang w:bidi="ar-SA"/>
        </w:rPr>
        <w:t>في حُدوثِه، و يُمكِنُ أن يُسنَدَ إلَى الفاعلِ‌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في هذه المسألةِ نَظَرٌ، و هذا الذي ذَكَرناه آخِرُ ما حَضَرَنا الآنَ‌</w:t>
      </w:r>
      <w:r>
        <w:rPr>
          <w:rStyle w:val="FootnoteAnchor"/>
          <w:rtl w:val="true"/>
        </w:rPr>
        <w:footnoteReference w:id="441"/>
      </w:r>
      <w:r>
        <w:rPr>
          <w:rFonts w:ascii="Amiri" w:hAnsi="Amiri" w:eastAsia="Amiri" w:cs="Amiri"/>
          <w:color w:val="111111"/>
          <w:sz w:val="28"/>
          <w:sz w:val="28"/>
          <w:szCs w:val="28"/>
          <w:rtl w:val="true"/>
          <w:lang w:bidi="ar-SA"/>
        </w:rPr>
        <w:t>فيها، و إن عَنَّ لنا بَعدَ هذا شَيءٌ يُخالِفُ ما ذَكرناه</w:t>
      </w:r>
      <w:r>
        <w:rPr>
          <w:rStyle w:val="FootnoteAnchor"/>
          <w:rtl w:val="true"/>
        </w:rPr>
        <w:footnoteReference w:id="442"/>
      </w:r>
      <w:r>
        <w:rPr>
          <w:rFonts w:ascii="Amiri" w:hAnsi="Amiri" w:eastAsia="Amiri" w:cs="Amiri"/>
          <w:color w:val="111111"/>
          <w:sz w:val="28"/>
          <w:sz w:val="28"/>
          <w:szCs w:val="28"/>
          <w:rtl w:val="true"/>
          <w:lang w:bidi="ar-SA"/>
        </w:rPr>
        <w:t>أَورَدناه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يَضُرُّ الشكُّ في أنّ العَرَضَ يَجوزُ وجودُه في غَيرِ المَحلِّ الذي وُجِدَ فيه بأصلٍ‌</w:t>
      </w:r>
      <w:r>
        <w:rPr>
          <w:rStyle w:val="FootnoteAnchor"/>
          <w:rtl w:val="true"/>
        </w:rPr>
        <w:footnoteReference w:id="443"/>
      </w:r>
      <w:r>
        <w:rPr>
          <w:rFonts w:ascii="Amiri" w:hAnsi="Amiri" w:eastAsia="Amiri" w:cs="Amiri"/>
          <w:color w:val="111111"/>
          <w:sz w:val="28"/>
          <w:sz w:val="28"/>
          <w:szCs w:val="28"/>
          <w:rtl w:val="true"/>
          <w:lang w:bidi="ar-SA"/>
        </w:rPr>
        <w:t>مِن أُصولِ الدينِ‌؛ فلا عِنايةَ بتَحقيقِه</w:t>
      </w:r>
      <w:r>
        <w:rPr>
          <w:rFonts w:eastAsia="Amiri" w:cs="Amiri" w:ascii="Amiri" w:hAnsi="Amiri"/>
          <w:color w:val="111111"/>
          <w:sz w:val="28"/>
          <w:szCs w:val="28"/>
          <w:rtl w:val="true"/>
          <w:lang w:bidi="ar-SA"/>
        </w:rPr>
        <w:t xml:space="preserve">. </w:t>
      </w:r>
      <w:bookmarkStart w:id="91" w:name="pg16415_223743"/>
    </w:p>
    <w:p>
      <w:pPr>
        <w:pStyle w:val="Heading6"/>
        <w:numPr>
          <w:ilvl w:val="5"/>
          <w:numId w:val="1"/>
        </w:numPr>
        <w:rPr/>
      </w:pPr>
      <w:bookmarkStart w:id="92" w:name="__RefHeading___Toc7642290_1280447820"/>
      <w:bookmarkStart w:id="93" w:name="_Toc32"/>
      <w:bookmarkEnd w:id="91"/>
      <w:bookmarkEnd w:id="92"/>
      <w:r>
        <w:rPr>
          <w:rtl w:val="true"/>
        </w:rPr>
        <w:t>المسألةُ الخامسةُ‌ في بيان بطلان أحكام النجوم</w:t>
      </w:r>
      <w:bookmarkEnd w:id="93"/>
    </w:p>
    <w:p>
      <w:pPr>
        <w:pStyle w:val="Heading6"/>
        <w:numPr>
          <w:ilvl w:val="5"/>
          <w:numId w:val="1"/>
        </w:numPr>
        <w:rPr/>
      </w:pPr>
      <w:bookmarkStart w:id="94" w:name="__RefHeading___Toc7642292_1280447820"/>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المسألةُ الخامسةُ‌</w:t>
      </w:r>
      <w:r>
        <w:rPr>
          <w:rStyle w:val="FootnoteAnchor"/>
          <w:rtl w:val="true"/>
        </w:rPr>
        <w:footnoteReference w:id="444"/>
      </w:r>
      <w:r>
        <w:rPr>
          <w:rFonts w:ascii="Amiri" w:hAnsi="Amiri" w:eastAsia="Amiri" w:cs="Amiri"/>
          <w:color w:val="111111"/>
          <w:sz w:val="28"/>
          <w:sz w:val="28"/>
          <w:szCs w:val="28"/>
          <w:rtl w:val="true"/>
          <w:lang w:bidi="ar-SA"/>
        </w:rPr>
        <w:t>في بيان بطلان أحكام النجوم</w:t>
      </w:r>
    </w:p>
    <w:p>
      <w:pPr>
        <w:pStyle w:val="BookText"/>
        <w:rPr/>
      </w:pPr>
      <w:r>
        <w:rPr>
          <w:rFonts w:ascii="Amiri" w:hAnsi="Amiri" w:eastAsia="Amiri" w:cs="Amiri"/>
          <w:color w:val="111111"/>
          <w:sz w:val="28"/>
          <w:sz w:val="28"/>
          <w:szCs w:val="28"/>
          <w:rtl w:val="true"/>
          <w:lang w:bidi="ar-SA"/>
        </w:rPr>
        <w:t>ما القولُ فيما يُخبِرُ به المُنجِّمونَ مِن وقوعِ حَوادثَ‌، و يُضيفونَ ذلكَ إلىٰ تأثيراتِ النجومِ؟</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445"/>
      </w:r>
      <w:r>
        <w:rPr>
          <w:rFonts w:ascii="Amiri" w:hAnsi="Amiri" w:eastAsia="Amiri" w:cs="Amiri"/>
          <w:color w:val="111111"/>
          <w:sz w:val="28"/>
          <w:sz w:val="28"/>
          <w:szCs w:val="28"/>
          <w:rtl w:val="true"/>
          <w:lang w:bidi="ar-SA"/>
        </w:rPr>
        <w:t>ما المانعُ مِن أن تؤثِّرَ الكَواكِبُ علىٰ حَدِّ تأثيرِ الشمسِ الأُدمةَ فينا بالشعاعِ؟</w:t>
      </w:r>
      <w:r>
        <w:rPr>
          <w:rStyle w:val="FootnoteAnchor"/>
          <w:rtl w:val="true"/>
        </w:rPr>
        <w:footnoteReference w:id="446"/>
      </w:r>
      <w:r>
        <w:rPr>
          <w:rFonts w:ascii="Amiri" w:hAnsi="Amiri" w:eastAsia="Amiri" w:cs="Amiri"/>
          <w:color w:val="111111"/>
          <w:sz w:val="28"/>
          <w:sz w:val="28"/>
          <w:szCs w:val="28"/>
          <w:rtl w:val="true"/>
          <w:lang w:bidi="ar-SA"/>
        </w:rPr>
        <w:t>و إن كانَ تأثيرُ الكَواكِبِ مُستَحيلاً، فما المانعُ مِن أن تَكونَ التأثيراتُ مِن فعلِ اللّٰهِ تَعالىٰ بمَجرَى العادةِ عندَ طلوعِ هذه الكَواكِبِ أو</w:t>
      </w:r>
      <w:r>
        <w:rPr>
          <w:rStyle w:val="FootnoteAnchor"/>
          <w:rtl w:val="true"/>
        </w:rPr>
        <w:footnoteReference w:id="447"/>
      </w:r>
      <w:r>
        <w:rPr>
          <w:rFonts w:ascii="Amiri" w:hAnsi="Amiri" w:eastAsia="Amiri" w:cs="Amiri"/>
          <w:color w:val="111111"/>
          <w:sz w:val="28"/>
          <w:sz w:val="28"/>
          <w:szCs w:val="28"/>
          <w:rtl w:val="true"/>
          <w:lang w:bidi="ar-SA"/>
        </w:rPr>
        <w:t>انتقالِها؟ فليُنعِمْ ببيانِ ذلكَ‌؛ فإنّ الأنفُسَ إليه مشوقةٌ‌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نَقولُ‌</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المُنجِّمينَ حادسونَ‌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لا يَفسُدُ مِن أقوالِهم إلّاالقَليلُ‌، حتّىٰ إنّهم يُخبِرونَ بالكُسوفِ و وَقتِه و مقدارِه، فلا يَكونُ إلّاعلىٰ ما أَخبَروا به</w:t>
      </w:r>
      <w:r>
        <w:rPr>
          <w:rStyle w:val="FootnoteAnchor"/>
          <w:rtl w:val="true"/>
        </w:rPr>
        <w:footnoteReference w:id="450"/>
      </w:r>
      <w:r>
        <w:rPr>
          <w:rFonts w:ascii="IRNazanin" w:hAnsi="IRNazanin" w:eastAsia="IRNazanin"/>
          <w:color w:val="111111"/>
          <w:sz w:val="28"/>
          <w:sz w:val="28"/>
          <w:szCs w:val="28"/>
          <w:rtl w:val="true"/>
          <w:lang w:bidi="fa-IR"/>
        </w:rPr>
        <w:t xml:space="preserve">؟ </w:t>
      </w:r>
      <w:bookmarkStart w:id="96" w:name="pg16415_223744"/>
    </w:p>
    <w:p>
      <w:pPr>
        <w:pStyle w:val="BookText"/>
        <w:rPr/>
      </w:pPr>
      <w:bookmarkEnd w:id="96"/>
      <w:r>
        <w:rPr>
          <w:rFonts w:ascii="Amiri" w:hAnsi="Amiri" w:eastAsia="Amiri" w:cs="Amiri"/>
          <w:color w:val="111111"/>
          <w:sz w:val="28"/>
          <w:sz w:val="28"/>
          <w:szCs w:val="28"/>
          <w:rtl w:val="true"/>
          <w:lang w:bidi="ar-SA"/>
        </w:rPr>
        <w:t>فأيُّ فَرقٍ بَينَ إخبارِهم بحُصولِ هذا التأثيرِ في هذا الجسمِ‌، و بَينَ حُصولِ تأثيرِها في أجسامِنا؟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المُنجِّمينَ يَذهَبونَ إلىٰ أنّ الكَواكِبَ تَفعَلُ في الأرضِ و مَن عليها أفعالاً يُسنِدونَها</w:t>
      </w:r>
      <w:r>
        <w:rPr>
          <w:rStyle w:val="FootnoteAnchor"/>
          <w:rtl w:val="true"/>
        </w:rPr>
        <w:footnoteReference w:id="452"/>
      </w:r>
      <w:r>
        <w:rPr>
          <w:rFonts w:ascii="Amiri" w:hAnsi="Amiri" w:eastAsia="Amiri" w:cs="Amiri"/>
          <w:color w:val="111111"/>
          <w:sz w:val="28"/>
          <w:sz w:val="28"/>
          <w:szCs w:val="28"/>
          <w:rtl w:val="true"/>
          <w:lang w:bidi="ar-SA"/>
        </w:rPr>
        <w:t>إلىٰ 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أحَدٌ يَذهَبُ إلىٰ أنّ اللّٰهَ تَعالىٰ أَجرَى العادةَ بأن يَفعَلَ عندَ قُربِ بعضِها مِن بعضٍ أو بُعدِه أفعالاً مِن غَيرِ أن يَكونَ للكَواكِبِ أنفُسِها تأثيرٌ في ذلكَ‌، و مَن ادَّعىٰ هذا المَذهبَ الآنَ منهم فهو قائلٌ بخِلافِ ما ذَهَبَت إليه القدماءُ في ذلكَ و مُتَجمِّلٌ بهذا المَذهبِ عندَ أهلِ الإسلامِ و مُتقرِّبٌ إليهم بإظهارِه، و لَيسَ هذا بقَولٍ لأحَدٍ</w:t>
      </w:r>
      <w:r>
        <w:rPr>
          <w:rStyle w:val="FootnoteAnchor"/>
          <w:rtl w:val="true"/>
        </w:rPr>
        <w:footnoteReference w:id="453"/>
      </w:r>
      <w:r>
        <w:rPr>
          <w:rFonts w:ascii="Amiri" w:hAnsi="Amiri" w:eastAsia="Amiri" w:cs="Amiri"/>
          <w:color w:val="111111"/>
          <w:sz w:val="28"/>
          <w:sz w:val="28"/>
          <w:szCs w:val="28"/>
          <w:rtl w:val="true"/>
          <w:lang w:bidi="ar-SA"/>
        </w:rPr>
        <w:t xml:space="preserve">ممّن تَقدَّمَ‌؛ فكأنَّ الذي كانَ يَجوزُ أن 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دَلَّ الدليلُ علىٰ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يَذهَبون إليه، و إنّما يَذهَبونَ إلَى المُحالِ الذي لا يُمكِنُ صحّتُه</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7642294_1280447820"/>
      <w:bookmarkStart w:id="98" w:name="_Toc34"/>
      <w:bookmarkEnd w:id="97"/>
      <w:r>
        <w:rPr>
          <w:rtl w:val="true"/>
        </w:rPr>
        <w:t>في إبطال تأثير الكواكب في الأُمور الأرضيّة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فَرَغَ‌</w:t>
      </w:r>
      <w:r>
        <w:rPr>
          <w:rStyle w:val="FootnoteAnchor"/>
          <w:rtl w:val="true"/>
        </w:rPr>
        <w:footnoteReference w:id="454"/>
      </w:r>
      <w:r>
        <w:rPr>
          <w:rFonts w:ascii="Amiri" w:hAnsi="Amiri" w:eastAsia="Amiri" w:cs="Amiri"/>
          <w:color w:val="111111"/>
          <w:sz w:val="28"/>
          <w:sz w:val="28"/>
          <w:szCs w:val="28"/>
          <w:rtl w:val="true"/>
          <w:lang w:bidi="ar-SA"/>
        </w:rPr>
        <w:t>المُتكلِّمونَ من الكلامِ‌</w:t>
      </w:r>
      <w:r>
        <w:rPr>
          <w:rStyle w:val="FootnoteAnchor"/>
          <w:rtl w:val="true"/>
        </w:rPr>
        <w:footnoteReference w:id="455"/>
      </w:r>
      <w:r>
        <w:rPr>
          <w:rFonts w:ascii="Amiri" w:hAnsi="Amiri" w:eastAsia="Amiri" w:cs="Amiri"/>
          <w:color w:val="111111"/>
          <w:sz w:val="28"/>
          <w:sz w:val="28"/>
          <w:szCs w:val="28"/>
          <w:rtl w:val="true"/>
          <w:lang w:bidi="ar-SA"/>
        </w:rPr>
        <w:t>في أنّ الكَواكِبَ لا يَجوزُ أن تَكونَ فينا فاعلةً‌، و تَكلَّمنا نَحنُ أيضاً في مَواضِعَ علىٰ ذلكَ‌،</w:t>
      </w:r>
      <w:r>
        <w:rPr>
          <w:rStyle w:val="FootnoteAnchor"/>
          <w:rtl w:val="true"/>
        </w:rPr>
        <w:footnoteReference w:id="456"/>
      </w:r>
      <w:r>
        <w:rPr>
          <w:rFonts w:ascii="Amiri" w:hAnsi="Amiri" w:eastAsia="Amiri" w:cs="Amiri"/>
          <w:color w:val="111111"/>
          <w:sz w:val="28"/>
          <w:sz w:val="28"/>
          <w:szCs w:val="28"/>
          <w:rtl w:val="true"/>
          <w:lang w:bidi="ar-SA"/>
        </w:rPr>
        <w:t xml:space="preserve">و بيّنّا بُطلانَ الطبائعِ التي </w:t>
      </w:r>
    </w:p>
    <w:p>
      <w:pPr>
        <w:pStyle w:val="BookText"/>
        <w:rPr/>
      </w:pPr>
      <w:r>
        <w:rPr>
          <w:rFonts w:ascii="Amiri" w:hAnsi="Amiri" w:eastAsia="Amiri" w:cs="Amiri"/>
          <w:color w:val="111111"/>
          <w:sz w:val="28"/>
          <w:sz w:val="28"/>
          <w:szCs w:val="28"/>
          <w:rtl w:val="true"/>
          <w:lang w:bidi="ar-SA"/>
        </w:rPr>
        <w:t>يَهذونَ بذِكرِها و إضافةِ الأفعالِ إليها،</w:t>
      </w:r>
      <w:r>
        <w:rPr>
          <w:rStyle w:val="FootnoteAnchor"/>
          <w:rtl w:val="true"/>
        </w:rPr>
        <w:footnoteReference w:id="457"/>
      </w:r>
      <w:r>
        <w:rPr>
          <w:rFonts w:ascii="Amiri" w:hAnsi="Amiri" w:eastAsia="Amiri" w:cs="Amiri"/>
          <w:color w:val="111111"/>
          <w:sz w:val="28"/>
          <w:sz w:val="28"/>
          <w:szCs w:val="28"/>
          <w:rtl w:val="true"/>
          <w:lang w:bidi="ar-SA"/>
        </w:rPr>
        <w:t>و بيّنّا أنّ الفاعلَ لا بُدَّ مِن</w:t>
      </w:r>
      <w:r>
        <w:rPr>
          <w:rStyle w:val="FootnoteAnchor"/>
          <w:rtl w:val="true"/>
        </w:rPr>
        <w:footnoteReference w:id="458"/>
      </w:r>
      <w:r>
        <w:rPr>
          <w:rFonts w:ascii="Amiri" w:hAnsi="Amiri" w:eastAsia="Amiri" w:cs="Amiri"/>
          <w:color w:val="111111"/>
          <w:sz w:val="28"/>
          <w:sz w:val="28"/>
          <w:szCs w:val="28"/>
          <w:rtl w:val="true"/>
          <w:lang w:bidi="ar-SA"/>
        </w:rPr>
        <w:t>أن يَكونَ حَيّاً قادراً</w:t>
      </w:r>
      <w:r>
        <w:rPr>
          <w:rStyle w:val="FootnoteAnchor"/>
          <w:rtl w:val="true"/>
        </w:rPr>
        <w:footnoteReference w:id="459"/>
      </w:r>
      <w:r>
        <w:rPr>
          <w:rFonts w:ascii="Amiri" w:hAnsi="Amiri" w:eastAsia="Amiri" w:cs="Amiri"/>
          <w:color w:val="111111"/>
          <w:sz w:val="28"/>
          <w:sz w:val="28"/>
          <w:szCs w:val="28"/>
          <w:rtl w:val="true"/>
          <w:lang w:bidi="ar-SA"/>
        </w:rPr>
        <w:t>، و قد عَلِمنا أنّ الكَواكِبَ لَيسَت بهذه الصفةِ‌؛ فكَيفَ تَفعَلُ‌، و ما يُصحِّحُ الأفعالَ مفقودٌ فيها؟</w:t>
      </w:r>
    </w:p>
    <w:p>
      <w:pPr>
        <w:pStyle w:val="BookText"/>
        <w:rPr/>
      </w:pPr>
      <w:r>
        <w:rPr>
          <w:rFonts w:ascii="Amiri" w:hAnsi="Amiri" w:eastAsia="Amiri" w:cs="Amiri"/>
          <w:color w:val="111111"/>
          <w:sz w:val="28"/>
          <w:sz w:val="28"/>
          <w:szCs w:val="28"/>
          <w:rtl w:val="true"/>
          <w:lang w:bidi="ar-SA"/>
        </w:rPr>
        <w:t>و قد سَطَرَ المُتكلِّمونَ طُرُقاً كَثيرةً في أنّها لَيسَت بحَيّةٍ و لا قادرةٍ‌</w:t>
      </w:r>
      <w:r>
        <w:rPr>
          <w:rStyle w:val="FootnoteAnchor"/>
          <w:rtl w:val="true"/>
        </w:rPr>
        <w:footnoteReference w:id="460"/>
      </w:r>
      <w:r>
        <w:rPr>
          <w:rFonts w:ascii="Amiri" w:hAnsi="Amiri" w:eastAsia="Amiri" w:cs="Amiri"/>
          <w:color w:val="111111"/>
          <w:sz w:val="28"/>
          <w:sz w:val="28"/>
          <w:szCs w:val="28"/>
          <w:rtl w:val="true"/>
          <w:lang w:bidi="ar-SA"/>
        </w:rPr>
        <w:t>، و أشَفُّ ما قيلَ في ذلكَ‌</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معلومٌ أنّ الحرارةَ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كحرارةِ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تَنفيها و لا تَثبُتُ معها، و معلومٌ أنّ حَرارةَ الشمسِ أشَدُّ و أقوىٰ مِن حرارةِ النارِ بكَثيرٍ؛ لأنّ الذي يَصِلُ إلينا علىٰ بُعدِ المَسافةِ مِن حرارةِ شُعاعِها</w:t>
      </w:r>
      <w:r>
        <w:rPr>
          <w:rStyle w:val="FootnoteAnchor"/>
          <w:rtl w:val="true"/>
        </w:rPr>
        <w:footnoteReference w:id="462"/>
      </w:r>
      <w:r>
        <w:rPr>
          <w:rFonts w:ascii="Amiri" w:hAnsi="Amiri" w:eastAsia="Amiri" w:cs="Amiri"/>
          <w:color w:val="111111"/>
          <w:sz w:val="28"/>
          <w:sz w:val="28"/>
          <w:szCs w:val="28"/>
          <w:rtl w:val="true"/>
          <w:lang w:bidi="ar-SA"/>
        </w:rPr>
        <w:t>يُماثِلُ أو يَزيدُ علىٰ حرارةِ النارِ، و ما كانَ بهذه الصفةِ مِن الحرارةِ مُستَحيلٌ‌</w:t>
      </w:r>
      <w:r>
        <w:rPr>
          <w:rStyle w:val="FootnoteAnchor"/>
          <w:rtl w:val="true"/>
        </w:rPr>
        <w:footnoteReference w:id="463"/>
      </w:r>
      <w:r>
        <w:rPr>
          <w:rFonts w:ascii="Amiri" w:hAnsi="Amiri" w:eastAsia="Amiri" w:cs="Amiri"/>
          <w:color w:val="111111"/>
          <w:sz w:val="28"/>
          <w:sz w:val="28"/>
          <w:szCs w:val="28"/>
          <w:rtl w:val="true"/>
          <w:lang w:bidi="ar-SA"/>
        </w:rPr>
        <w:t>كَونُه حَيّاً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أقوىٰ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كَونِ الفَلَكِ و ما فيه مِن شَمسٍ و قَمَرٍ و كَوكَبٍ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w:t>
      </w:r>
      <w:r>
        <w:rPr>
          <w:rStyle w:val="FootnoteAnchor"/>
          <w:rtl w:val="true"/>
        </w:rPr>
        <w:footnoteReference w:id="464"/>
      </w:r>
      <w:r>
        <w:rPr>
          <w:rFonts w:ascii="Amiri" w:hAnsi="Amiri" w:eastAsia="Amiri" w:cs="Amiri"/>
          <w:color w:val="111111"/>
          <w:sz w:val="28"/>
          <w:sz w:val="28"/>
          <w:szCs w:val="28"/>
          <w:rtl w:val="true"/>
          <w:lang w:bidi="ar-SA"/>
        </w:rPr>
        <w:t>و الإجماعُ‌؛ فإنّه لا خِلافَ بَينَ المُسلِمينَ في ارتفاعِ الحياةِ عن الفَلَكِ و ما يَشتَمِلُ عليه مِن الكَواكِبِ‌، و أنّها مُسخَّرةٌ مُدبَّرةٌ مُصرَّفةٌ‌</w:t>
      </w:r>
      <w:r>
        <w:rPr>
          <w:rStyle w:val="FootnoteAnchor"/>
          <w:rtl w:val="true"/>
        </w:rPr>
        <w:footnoteReference w:id="465"/>
      </w:r>
      <w:r>
        <w:rPr>
          <w:rFonts w:ascii="Amiri" w:hAnsi="Amiri" w:eastAsia="Amiri" w:cs="Amiri"/>
          <w:color w:val="111111"/>
          <w:sz w:val="28"/>
          <w:sz w:val="28"/>
          <w:szCs w:val="28"/>
          <w:rtl w:val="true"/>
          <w:lang w:bidi="ar-SA"/>
        </w:rPr>
        <w:t>و ذلكَ معلومٌ مِن دينِ رَسولِ اللّٰهِ صَلَّى اللّٰهُ عليه و آلِه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قَطَعنا علىٰ نَفيِ الحياةِ و القُدرةِ عن الكَواكِبِ‌، فكَيفَ تَكونُ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Style w:val="FootnoteAnchor"/>
          <w:rtl w:val="true"/>
        </w:rPr>
        <w:footnoteReference w:id="466"/>
      </w:r>
      <w:r>
        <w:rPr>
          <w:rFonts w:ascii="Amiri" w:hAnsi="Amiri" w:eastAsia="Amiri" w:cs="Amiri"/>
          <w:color w:val="111111"/>
          <w:sz w:val="28"/>
          <w:sz w:val="28"/>
          <w:szCs w:val="28"/>
          <w:rtl w:val="true"/>
          <w:lang w:bidi="ar-SA"/>
        </w:rPr>
        <w:t>أنّنا قد سَلَّمنا إليهم</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في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قادرةٌ‌،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و إن كان قادراً، فإنّه لا يَجوزُ أن يَفعَلَ في غَيرِه ابتداءً‌؛ و إنّما يَفعَلُ في غَيرِه</w:t>
      </w:r>
      <w:r>
        <w:rPr>
          <w:rStyle w:val="FootnoteAnchor"/>
          <w:rtl w:val="true"/>
        </w:rPr>
        <w:footnoteReference w:id="468"/>
      </w:r>
      <w:r>
        <w:rPr>
          <w:rFonts w:ascii="Amiri" w:hAnsi="Amiri" w:eastAsia="Amiri" w:cs="Amiri"/>
          <w:color w:val="111111"/>
          <w:sz w:val="28"/>
          <w:sz w:val="28"/>
          <w:szCs w:val="28"/>
          <w:rtl w:val="true"/>
          <w:lang w:bidi="ar-SA"/>
        </w:rPr>
        <w:t>علىٰ سَبيلِ التوليدِ، و لا بُدَّ مِن وُصلةٍ بَينَ الفاعلِ و المفعولِ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الكَواكِبُ غَيرُ مُماسّةٍ لنا، و لا وُصلةَ بَينَنا و بَينَها، فكَيفَ تَكونُ فاعلةً فينا؟</w:t>
      </w:r>
    </w:p>
    <w:p>
      <w:pPr>
        <w:pStyle w:val="BookText"/>
        <w:rPr/>
      </w:pPr>
      <w:r>
        <w:rPr>
          <w:rFonts w:ascii="Amiri" w:hAnsi="Amiri" w:eastAsia="Amiri" w:cs="Amiri"/>
          <w:color w:val="111111"/>
          <w:sz w:val="28"/>
          <w:sz w:val="28"/>
          <w:szCs w:val="28"/>
          <w:rtl w:val="true"/>
          <w:lang w:bidi="ar-SA"/>
        </w:rPr>
        <w:t>فإنِ ادُّعيَ أنّ الوُصلةَ بَينَنا هي</w:t>
      </w:r>
      <w:r>
        <w:rPr>
          <w:rStyle w:val="FootnoteAnchor"/>
          <w:rtl w:val="true"/>
        </w:rPr>
        <w:footnoteReference w:id="469"/>
      </w:r>
      <w:r>
        <w:rPr>
          <w:rFonts w:ascii="Amiri" w:hAnsi="Amiri" w:eastAsia="Amiri" w:cs="Amiri"/>
          <w:color w:val="111111"/>
          <w:sz w:val="28"/>
          <w:sz w:val="28"/>
          <w:szCs w:val="28"/>
          <w:rtl w:val="true"/>
          <w:lang w:bidi="ar-SA"/>
        </w:rPr>
        <w:t>الهواءُ‌، فالهواءُ أوّلاً لا يَجوزُ أن يَكونَ آلةً في الحركاتِ الشديدةِ و حَملِ 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الهواءُ آلةً تُحرِّكُنا بها الكَواكِبُ‌، لَوَجَبَ أن نُحِسَّ بذلكَ و نَعلَمَ أنّ الهواءَ يُحرِّكُنا و يُصرِّفُنا، كَما نَعلَمُ في غَيرِنا مِن الأجسامِ‌</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حَرَّكَنا</w:t>
      </w:r>
      <w:r>
        <w:rPr>
          <w:rStyle w:val="FootnoteAnchor"/>
          <w:rtl w:val="true"/>
        </w:rPr>
        <w:footnoteReference w:id="471"/>
      </w:r>
      <w:r>
        <w:rPr>
          <w:rFonts w:ascii="Amiri" w:hAnsi="Amiri" w:eastAsia="Amiri" w:cs="Amiri"/>
          <w:color w:val="111111"/>
          <w:sz w:val="28"/>
          <w:sz w:val="28"/>
          <w:szCs w:val="28"/>
          <w:rtl w:val="true"/>
          <w:lang w:bidi="ar-SA"/>
        </w:rPr>
        <w:t xml:space="preserve">بآلةٍ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Style w:val="FootnoteAnchor"/>
          <w:rtl w:val="true"/>
        </w:rPr>
        <w:footnoteReference w:id="472"/>
      </w:r>
      <w:r>
        <w:rPr>
          <w:rFonts w:ascii="Amiri" w:hAnsi="Amiri" w:eastAsia="Amiri" w:cs="Amiri"/>
          <w:color w:val="111111"/>
          <w:sz w:val="28"/>
          <w:sz w:val="28"/>
          <w:szCs w:val="28"/>
          <w:rtl w:val="true"/>
          <w:lang w:bidi="ar-SA"/>
        </w:rPr>
        <w:t>تحريكِه لنا 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الحوادثِ الحادثةِ فينا ما لا يَجوزُ أن يُفعَلَ بآلةٍ و لا يَتولَّدَ عن سببٍ‌، كالإراداتِ و الاعتقاداتِ و أشياءَ كَثيرةٍ‌؛ فكَيفَ فَعَلَت الكَواكِبُ ذلكَ فينا، و هي لا يَصِحُّ‌</w:t>
      </w:r>
      <w:r>
        <w:rPr>
          <w:rStyle w:val="FootnoteAnchor"/>
          <w:rtl w:val="true"/>
        </w:rPr>
        <w:footnoteReference w:id="473"/>
      </w:r>
      <w:r>
        <w:rPr>
          <w:rFonts w:ascii="Amiri" w:hAnsi="Amiri" w:eastAsia="Amiri" w:cs="Amiri"/>
          <w:color w:val="111111"/>
          <w:sz w:val="28"/>
          <w:sz w:val="28"/>
          <w:szCs w:val="28"/>
          <w:rtl w:val="true"/>
          <w:lang w:bidi="ar-SA"/>
        </w:rPr>
        <w:t xml:space="preserve">أن تَكونَ مُختَرِعةً للأفعالِ؟ لأنّ الجسمَ لا يَجوزُ أن يَكونَ قادراً إلّا </w:t>
      </w:r>
    </w:p>
    <w:p>
      <w:pPr>
        <w:pStyle w:val="BookText"/>
        <w:rPr/>
      </w:pPr>
      <w:r>
        <w:rPr>
          <w:rFonts w:ascii="Amiri" w:hAnsi="Amiri" w:eastAsia="Amiri" w:cs="Amiri"/>
          <w:color w:val="111111"/>
          <w:sz w:val="28"/>
          <w:sz w:val="28"/>
          <w:szCs w:val="28"/>
          <w:rtl w:val="true"/>
          <w:lang w:bidi="ar-SA"/>
        </w:rPr>
        <w:t>بقُدرةٍ‌، و القُدرةُ لا يَجوزُ</w:t>
      </w:r>
      <w:r>
        <w:rPr>
          <w:rStyle w:val="FootnoteAnchor"/>
          <w:rtl w:val="true"/>
        </w:rPr>
        <w:footnoteReference w:id="474"/>
      </w:r>
      <w:r>
        <w:rPr>
          <w:rFonts w:ascii="Amiri" w:hAnsi="Amiri" w:eastAsia="Amiri" w:cs="Amiri"/>
          <w:color w:val="111111"/>
          <w:sz w:val="28"/>
          <w:sz w:val="28"/>
          <w:szCs w:val="28"/>
          <w:rtl w:val="true"/>
          <w:lang w:bidi="ar-SA"/>
        </w:rPr>
        <w:t>لأمرٍ يَرجِعُ إلىٰ نَوعِها أن يُختَرَعَ‌</w:t>
      </w:r>
      <w:r>
        <w:rPr>
          <w:rStyle w:val="FootnoteAnchor"/>
          <w:rtl w:val="true"/>
        </w:rPr>
        <w:footnoteReference w:id="475"/>
      </w:r>
      <w:r>
        <w:rPr>
          <w:rFonts w:ascii="IRNazanin" w:hAnsi="IRNazanin" w:eastAsia="IRNazanin"/>
          <w:color w:val="111111"/>
          <w:sz w:val="28"/>
          <w:sz w:val="28"/>
          <w:szCs w:val="28"/>
          <w:rtl w:val="true"/>
          <w:lang w:bidi="fa-IR"/>
        </w:rPr>
        <w:t>بها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الأُدمةُ فلَيسَ تؤَثِّرُها علَى الحقيقةِ الشمسُ‌</w:t>
      </w:r>
      <w:r>
        <w:rPr>
          <w:rStyle w:val="FootnoteAnchor"/>
          <w:rtl w:val="true"/>
        </w:rPr>
        <w:footnoteReference w:id="476"/>
      </w:r>
      <w:r>
        <w:rPr>
          <w:rFonts w:ascii="Amiri" w:hAnsi="Amiri" w:eastAsia="Amiri" w:cs="Amiri"/>
          <w:color w:val="111111"/>
          <w:sz w:val="28"/>
          <w:sz w:val="28"/>
          <w:szCs w:val="28"/>
          <w:rtl w:val="true"/>
          <w:lang w:bidi="ar-SA"/>
        </w:rPr>
        <w:t>في وجوهِنا و أبدانِنا، و إنّما اللّٰهُ تَعالىٰ هو المؤثِّرُ لها وفاعلُها بتَوسُّطِ حرارةِ الشمسِ‌، كَما أ نّه تَعالىٰ هو المُحرِقُ علَى الحقيقةِ بحرارةِ النارِ، و الهاشمُ لِما يَهشِمُه</w:t>
      </w:r>
      <w:r>
        <w:rPr>
          <w:rStyle w:val="FootnoteAnchor"/>
          <w:rtl w:val="true"/>
        </w:rPr>
        <w:footnoteReference w:id="477"/>
      </w:r>
      <w:r>
        <w:rPr>
          <w:rFonts w:ascii="Amiri" w:hAnsi="Amiri" w:eastAsia="Amiri" w:cs="Amiri"/>
          <w:color w:val="111111"/>
          <w:sz w:val="28"/>
          <w:sz w:val="28"/>
          <w:szCs w:val="28"/>
          <w:rtl w:val="true"/>
          <w:lang w:bidi="ar-SA"/>
        </w:rPr>
        <w:t>الحَجَرُ بثِقلِه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حرارةُ الشمسِ مُسوِّدةٌ للأجسامِ مِن جهةٍ مفهومةٍ معقولةٍ‌</w:t>
      </w:r>
      <w:r>
        <w:rPr>
          <w:rStyle w:val="FootnoteAnchor"/>
          <w:rtl w:val="true"/>
        </w:rPr>
        <w:footnoteReference w:id="478"/>
      </w:r>
      <w:r>
        <w:rPr>
          <w:rFonts w:ascii="Amiri" w:hAnsi="Amiri" w:eastAsia="Amiri" w:cs="Amiri"/>
          <w:color w:val="111111"/>
          <w:sz w:val="28"/>
          <w:sz w:val="28"/>
          <w:szCs w:val="28"/>
          <w:rtl w:val="true"/>
          <w:lang w:bidi="ar-SA"/>
        </w:rPr>
        <w:t>، كَما أنّ النارَ تُحرِقُ الأجسامَ علىٰ وجهٍ معقولٍ‌؛ فأيُّ تأثيرٍ للكَواكِبِ فينا يَجري هذا المَجرىٰ في تمييزِه و العِلمِ بصحّتِه‌؟ فليُشِرْ إليه؛ فإنّ ذلكَ ممّا</w:t>
      </w:r>
      <w:r>
        <w:rPr>
          <w:rStyle w:val="FootnoteAnchor"/>
          <w:rtl w:val="true"/>
        </w:rPr>
        <w:footnoteReference w:id="479"/>
      </w:r>
      <w:r>
        <w:rPr>
          <w:rFonts w:ascii="Amiri" w:hAnsi="Amiri" w:eastAsia="Amiri" w:cs="Amiri"/>
          <w:color w:val="111111"/>
          <w:sz w:val="28"/>
          <w:sz w:val="28"/>
          <w:szCs w:val="28"/>
          <w:rtl w:val="true"/>
          <w:lang w:bidi="ar-SA"/>
        </w:rPr>
        <w:t>لا يَقدِرُ عليه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أن يُعتَمَدَ عليه في إبطالِ أن تَكونَ الكَواكِبُ فاعلةً فينا و مُصرِّفة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سُقوطَ الأمرِ و النهيِ و المَدحِ و الذمِّ عنّا، و نَكونُ معذورينَ في كُلِّ إساءةٍ تَقَعُ مِنّا و نَجنيها</w:t>
      </w:r>
      <w:r>
        <w:rPr>
          <w:rStyle w:val="FootnoteAnchor"/>
          <w:rtl w:val="true"/>
        </w:rPr>
        <w:footnoteReference w:id="481"/>
      </w:r>
      <w:r>
        <w:rPr>
          <w:rFonts w:ascii="Amiri" w:hAnsi="Amiri" w:eastAsia="Amiri" w:cs="Amiri"/>
          <w:color w:val="111111"/>
          <w:sz w:val="28"/>
          <w:sz w:val="28"/>
          <w:szCs w:val="28"/>
          <w:rtl w:val="true"/>
          <w:lang w:bidi="ar-SA"/>
        </w:rPr>
        <w:t>بأَيدينا، و غَيرَ مشكورينَ علىٰ شَيءٍ مِن الإحسانِ و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482"/>
      </w:r>
      <w:r>
        <w:rPr>
          <w:rFonts w:ascii="Amiri" w:hAnsi="Amiri" w:eastAsia="Amiri" w:cs="Amiri"/>
          <w:color w:val="111111"/>
          <w:sz w:val="28"/>
          <w:sz w:val="28"/>
          <w:szCs w:val="28"/>
          <w:rtl w:val="true"/>
          <w:lang w:bidi="ar-SA"/>
        </w:rPr>
        <w:t>كُلُّ شَيءٍ يَفسُدُ به قولُ المُجبِرةِ‌، فهو مُفسِدٌ لهذا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483"/>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اللّٰهُ تَعالىٰ أَجرَى العادةَ بأن يَفعَلَ أفعالاً مخصوصةً عندَ طلوعِ كَوكَبٍ أو غُروبِه أو اتّصالِه أو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أنّ ذلكَ لَيسَ بمَذهبٍ للمُنجِّمينَ البتّةَ‌؛ و إنّما يَتجمَّلونَ الآنَ بالتظاهُرِ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 نّه قد كانَ جائزاً أن يُجريَ اللّٰهُ تَعالَى العادةَ بذلكَ‌؛ لكِن لا طريقَ إلَى العِلمِ بأنّ ذلكَ قد وَقَعَ 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لنا أنّ اللّٰهَ تَعالىٰ أَجرَى العادةَ بأن يَكونَ زُحَلُ أو المِرّيخُ إذا كانَ في دَرَجِ الطالعِ كانَ نَحساً، و أنّ المُشتَريَ إذا كانَ كذلكَ كانَ سَعداً؟ و أيُّ سَمعٍ مقطوعٍ به جاءَ بذلكَ؟ و أيُّ نبيٍّ خَبَّرَ به و استُفيدَ مِن جهتِه‌؟</w:t>
      </w:r>
    </w:p>
    <w:p>
      <w:pPr>
        <w:pStyle w:val="BookText"/>
        <w:rPr/>
      </w:pPr>
      <w:r>
        <w:rPr>
          <w:rFonts w:ascii="Amiri" w:hAnsi="Amiri" w:eastAsia="Amiri" w:cs="Amiri"/>
          <w:color w:val="111111"/>
          <w:sz w:val="28"/>
          <w:sz w:val="28"/>
          <w:szCs w:val="28"/>
          <w:rtl w:val="true"/>
          <w:lang w:bidi="ar-SA"/>
        </w:rPr>
        <w:t>فإن عَوَّلوا في ذلكَ علَى التجرِبةِ‌، و أنّا</w:t>
      </w:r>
      <w:r>
        <w:rPr>
          <w:rStyle w:val="FootnoteAnchor"/>
          <w:rtl w:val="true"/>
        </w:rPr>
        <w:footnoteReference w:id="484"/>
      </w:r>
      <w:r>
        <w:rPr>
          <w:rFonts w:ascii="Amiri" w:hAnsi="Amiri" w:eastAsia="Amiri" w:cs="Amiri"/>
          <w:color w:val="111111"/>
          <w:sz w:val="28"/>
          <w:sz w:val="28"/>
          <w:szCs w:val="28"/>
          <w:rtl w:val="true"/>
          <w:lang w:bidi="ar-SA"/>
        </w:rPr>
        <w:t>جَرَّبنا ذلكَ و مَن كانَ قَبلَنا فوَجَدناه علىٰ هذه الصفةِ‌، و إذا لَم يَكُن موجَباً فيَجِبُ‌</w:t>
      </w:r>
      <w:r>
        <w:rPr>
          <w:rStyle w:val="FootnoteAnchor"/>
          <w:rtl w:val="true"/>
        </w:rPr>
        <w:footnoteReference w:id="485"/>
      </w:r>
      <w:r>
        <w:rPr>
          <w:rFonts w:ascii="Amiri" w:hAnsi="Amiri" w:eastAsia="Amiri" w:cs="Amiri"/>
          <w:color w:val="111111"/>
          <w:sz w:val="28"/>
          <w:sz w:val="28"/>
          <w:szCs w:val="28"/>
          <w:rtl w:val="true"/>
          <w:lang w:bidi="ar-SA"/>
        </w:rPr>
        <w:t>أن يَكونَ مُعتاداً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سَلَّمَ لكم صحّةَ هذه التجرِبةِ و انتظامَها و اطّرادَها؟ و قد رأَينا خَطأَكم فيها أكثَرَ مِن صَوابِكم، و صِدقَكم أقَلَّ مِن كَذِبِكم؛ فألّا نَسَبتم الصحّةَ إذا اتَّفَقَت فيكم</w:t>
      </w:r>
      <w:r>
        <w:rPr>
          <w:rStyle w:val="FootnoteAnchor"/>
          <w:rtl w:val="true"/>
        </w:rPr>
        <w:footnoteReference w:id="486"/>
      </w:r>
      <w:r>
        <w:rPr>
          <w:rFonts w:ascii="Amiri" w:hAnsi="Amiri" w:eastAsia="Amiri" w:cs="Amiri"/>
          <w:color w:val="111111"/>
          <w:sz w:val="28"/>
          <w:sz w:val="28"/>
          <w:szCs w:val="28"/>
          <w:rtl w:val="true"/>
          <w:lang w:bidi="ar-SA"/>
        </w:rPr>
        <w:t>إلَى الاتّفاقِ الذي يَقَعُ مِن المُخمِّنِ و المُرجِّمِ؟ فقَد رأَينا مَن يُصيبُ مِن هؤلاءِ‌</w:t>
      </w:r>
      <w:r>
        <w:rPr>
          <w:rStyle w:val="FootnoteAnchor"/>
          <w:rtl w:val="true"/>
        </w:rPr>
        <w:footnoteReference w:id="487"/>
      </w:r>
      <w:r>
        <w:rPr>
          <w:rFonts w:ascii="Amiri" w:hAnsi="Amiri" w:eastAsia="Amiri" w:cs="Amiri"/>
          <w:color w:val="111111"/>
          <w:sz w:val="28"/>
          <w:sz w:val="28"/>
          <w:szCs w:val="28"/>
          <w:rtl w:val="true"/>
          <w:lang w:bidi="ar-SA"/>
        </w:rPr>
        <w:t>أكثَرَ ممّن يُخطئُ‌، و هو علىٰ غَيرِ أصلٍ مُعتَمَدٍ، و لا قاعدةٍ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خَطإ المُنجِّمِ زَلَلٌ دَخَلَ عليه في أخذِ الطالعِ أو تسييرِ الكَواكِبِ‌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كانَت إصابتُه سببُها الاتّفاقُ و</w:t>
      </w:r>
      <w:r>
        <w:rPr>
          <w:rStyle w:val="FootnoteAnchor"/>
          <w:rtl w:val="true"/>
        </w:rPr>
        <w:footnoteReference w:id="488"/>
      </w:r>
      <w:r>
        <w:rPr>
          <w:rFonts w:ascii="Amiri" w:hAnsi="Amiri" w:eastAsia="Amiri" w:cs="Amiri"/>
          <w:color w:val="111111"/>
          <w:sz w:val="28"/>
          <w:sz w:val="28"/>
          <w:szCs w:val="28"/>
          <w:rtl w:val="true"/>
          <w:lang w:bidi="ar-SA"/>
        </w:rPr>
        <w:t xml:space="preserve">التخمينُ؟ و إنّما كانَ يَصِحُّ لكم هذا </w:t>
      </w:r>
      <w:bookmarkStart w:id="99" w:name="pg16415_223749"/>
    </w:p>
    <w:p>
      <w:pPr>
        <w:pStyle w:val="BookText"/>
        <w:rPr/>
      </w:pPr>
      <w:bookmarkEnd w:id="99"/>
      <w:r>
        <w:rPr>
          <w:rFonts w:ascii="Amiri" w:hAnsi="Amiri" w:eastAsia="Amiri" w:cs="Amiri"/>
          <w:color w:val="111111"/>
          <w:sz w:val="28"/>
          <w:sz w:val="28"/>
          <w:szCs w:val="28"/>
          <w:rtl w:val="true"/>
          <w:lang w:bidi="ar-SA"/>
        </w:rPr>
        <w:t>التأويلُ و التخريجُ لَو كانَ علىٰ صحّةِ أحكامِ النجومِ دليلٌ قاطعٌ هو غَيرُ إصابةِ المُنجِّمِ‌؛ فأمّا إذا كانَ دليلُ صحّةِ الأحكامِ الإصابةَ‌، فألّا كانَ دليلُ فَسادِها الخَطأَ؟ فما أحدَهُما إلّافي مُقابَلةِ صاحبِه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7642296_1280447820"/>
      <w:bookmarkStart w:id="101" w:name="_Toc35"/>
      <w:bookmarkEnd w:id="100"/>
      <w:r>
        <w:rPr>
          <w:rtl w:val="true"/>
        </w:rPr>
        <w:t>استدلالات و بيانات حول عدم إصابة المنجّمين في أحكامهم</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أُفحِمَ به القائلونَ بصحّةِ الأحكامِ‌</w:t>
      </w:r>
      <w:r>
        <w:rPr>
          <w:rStyle w:val="FootnoteAnchor"/>
          <w:rtl w:val="true"/>
        </w:rPr>
        <w:footnoteReference w:id="490"/>
      </w:r>
      <w:r>
        <w:rPr>
          <w:rFonts w:ascii="Amiri" w:hAnsi="Amiri" w:eastAsia="Amiri" w:cs="Amiri"/>
          <w:color w:val="111111"/>
          <w:sz w:val="28"/>
          <w:sz w:val="28"/>
          <w:szCs w:val="28"/>
          <w:rtl w:val="true"/>
          <w:lang w:bidi="ar-SA"/>
        </w:rPr>
        <w:t>، و لَم يَتحصَّلْ عنه منهم</w:t>
      </w:r>
      <w:r>
        <w:rPr>
          <w:rStyle w:val="FootnoteAnchor"/>
          <w:rtl w:val="true"/>
        </w:rPr>
        <w:footnoteReference w:id="491"/>
      </w:r>
      <w:r>
        <w:rPr>
          <w:rFonts w:ascii="Amiri" w:hAnsi="Amiri" w:eastAsia="Amiri" w:cs="Amiri"/>
          <w:color w:val="111111"/>
          <w:sz w:val="28"/>
          <w:sz w:val="28"/>
          <w:szCs w:val="28"/>
          <w:rtl w:val="true"/>
          <w:lang w:bidi="ar-SA"/>
        </w:rPr>
        <w:t>جوابٌ‌، أن قيلَ لهُم في 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الطالعَ و احكُموا هَل يؤخَذُ أو يُترَكُ؟ فإن حَكَموا إمّا بالأخذِ أو التركِ خولِفوا و فُعِلَ خِلافُ ما خَبَّروا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أعضَلَتهم هذه المسألةُ و اعتَذَروا فيها</w:t>
      </w:r>
      <w:r>
        <w:rPr>
          <w:rStyle w:val="FootnoteAnchor"/>
          <w:rtl w:val="true"/>
        </w:rPr>
        <w:footnoteReference w:id="492"/>
      </w:r>
      <w:r>
        <w:rPr>
          <w:rFonts w:ascii="Amiri" w:hAnsi="Amiri" w:eastAsia="Amiri" w:cs="Amiri"/>
          <w:color w:val="111111"/>
          <w:sz w:val="28"/>
          <w:sz w:val="28"/>
          <w:szCs w:val="28"/>
          <w:rtl w:val="true"/>
          <w:lang w:bidi="ar-SA"/>
        </w:rPr>
        <w:t>بأعذارٍ مُلفَّقةٍ لا يَخفىٰ علىٰ عاقلٍ سَمِعَها بُعدُها مِن الصوابِ‌، و قالوا</w:t>
      </w:r>
      <w:r>
        <w:rPr>
          <w:rStyle w:val="FootnoteAnchor"/>
          <w:rtl w:val="true"/>
        </w:rPr>
        <w:footnoteReference w:id="493"/>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المُبتَلىٰ بها ما يُريدُ أن يَفعَلَه</w:t>
      </w:r>
      <w:r>
        <w:rPr>
          <w:rStyle w:val="FootnoteAnchor"/>
          <w:rtl w:val="true"/>
        </w:rPr>
        <w:footnoteReference w:id="494"/>
      </w:r>
      <w:r>
        <w:rPr>
          <w:rFonts w:ascii="Amiri" w:hAnsi="Amiri" w:eastAsia="Amiri" w:cs="Amiri"/>
          <w:color w:val="111111"/>
          <w:sz w:val="28"/>
          <w:sz w:val="28"/>
          <w:szCs w:val="28"/>
          <w:rtl w:val="true"/>
          <w:lang w:bidi="ar-SA"/>
        </w:rPr>
        <w:t>أو يُخبِرَ به غَيرَه، فإنّا نُخرِجُ ما قد عَزَمَ عليه مِن أحَدِ الأمرَينِ‌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تَعلُّلٌ منهم بالباطلِ‌</w:t>
      </w:r>
      <w:r>
        <w:rPr>
          <w:rStyle w:val="FootnoteAnchor"/>
          <w:rtl w:val="true"/>
        </w:rPr>
        <w:footnoteReference w:id="495"/>
      </w:r>
      <w:r>
        <w:rPr>
          <w:rFonts w:ascii="Amiri" w:hAnsi="Amiri" w:eastAsia="Amiri" w:cs="Amiri"/>
          <w:color w:val="111111"/>
          <w:sz w:val="28"/>
          <w:sz w:val="28"/>
          <w:szCs w:val="28"/>
          <w:rtl w:val="true"/>
          <w:lang w:bidi="ar-SA"/>
        </w:rPr>
        <w:t>لأنّه إذا كانَ النظَرُ في النجومِ يَدُلُّ علىٰ جميعِ الكائناتِ التي مِن جُملتِها ما يَختارُه أحَدُنا مِن أَخذِ هذا الشيءِ المعروضِ‌</w:t>
      </w:r>
      <w:r>
        <w:rPr>
          <w:rStyle w:val="FootnoteAnchor"/>
          <w:rtl w:val="true"/>
        </w:rPr>
        <w:footnoteReference w:id="496"/>
      </w:r>
      <w:bookmarkStart w:id="102" w:name="pg16415_223750"/>
    </w:p>
    <w:p>
      <w:pPr>
        <w:pStyle w:val="BookText"/>
        <w:rPr/>
      </w:pPr>
      <w:bookmarkEnd w:id="102"/>
      <w:r>
        <w:rPr>
          <w:rFonts w:ascii="Amiri" w:hAnsi="Amiri" w:eastAsia="Amiri" w:cs="Amiri"/>
          <w:color w:val="111111"/>
          <w:sz w:val="28"/>
          <w:sz w:val="28"/>
          <w:szCs w:val="28"/>
          <w:rtl w:val="true"/>
          <w:lang w:bidi="ar-SA"/>
        </w:rPr>
        <w:t>أو تَركِه، فأيُّ فَرقٍ بَينَ أن يَطويَ ذلكَ فلا يُخبِرَ به و لا يَكتُبَه حتّىٰ يَقولَ المُنجِّمُ ما عندَه، و بَينَ أن يُخبِرَ به أو</w:t>
      </w:r>
      <w:r>
        <w:rPr>
          <w:rStyle w:val="FootnoteAnchor"/>
          <w:rtl w:val="true"/>
        </w:rPr>
        <w:footnoteReference w:id="497"/>
      </w:r>
      <w:r>
        <w:rPr>
          <w:rFonts w:ascii="Amiri" w:hAnsi="Amiri" w:eastAsia="Amiri" w:cs="Amiri"/>
          <w:color w:val="111111"/>
          <w:sz w:val="28"/>
          <w:sz w:val="28"/>
          <w:szCs w:val="28"/>
          <w:rtl w:val="true"/>
          <w:lang w:bidi="ar-SA"/>
        </w:rPr>
        <w:t>يَكتُبَه قَبلَ ذلكَ؟</w:t>
      </w:r>
    </w:p>
    <w:p>
      <w:pPr>
        <w:pStyle w:val="BookText"/>
        <w:rPr/>
      </w:pPr>
      <w:r>
        <w:rPr>
          <w:rFonts w:ascii="Amiri" w:hAnsi="Amiri" w:eastAsia="Amiri" w:cs="Amiri"/>
          <w:color w:val="111111"/>
          <w:sz w:val="28"/>
          <w:sz w:val="28"/>
          <w:szCs w:val="28"/>
          <w:rtl w:val="true"/>
          <w:lang w:bidi="ar-SA"/>
        </w:rPr>
        <w:t>و إنّما فَزِعوا إلَى الكِتابةِ و</w:t>
      </w:r>
      <w:r>
        <w:rPr>
          <w:rStyle w:val="FootnoteAnchor"/>
          <w:rtl w:val="true"/>
        </w:rPr>
        <w:footnoteReference w:id="498"/>
      </w:r>
      <w:r>
        <w:rPr>
          <w:rFonts w:ascii="Amiri" w:hAnsi="Amiri" w:eastAsia="Amiri" w:cs="Amiri"/>
          <w:color w:val="111111"/>
          <w:sz w:val="28"/>
          <w:sz w:val="28"/>
          <w:szCs w:val="28"/>
          <w:rtl w:val="true"/>
          <w:lang w:bidi="ar-SA"/>
        </w:rPr>
        <w:t>ما يَجري مَجراها حتّىٰ لا يُخالَفَ المُنجِّمُ فيما يَذكُرُه و يَحكُمُ به مِن أَخذٍ 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الأحكامُ صحيحةً‌، و فيها دَلالةٌ علَى الكائناتِ‌، لَوَجَبَ أن يَعرِفَ المُنجِّمُ ما اختارَه مِن أحَدِ الأمرَينِ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 تَحتَ حُكمِهم، و كَتَبنا ما نُريدُ أن نَفعَلَه، لَما وَجَدنا إصابتَهم في ذلكَ إلّاأقَلَّ مِن خَطئهم، و لَم يَزيدوا فيه علىٰ ما يَفعَلُه و يُخبِرُ به المُزكِنُ‌</w:t>
      </w:r>
      <w:r>
        <w:rPr>
          <w:rStyle w:val="FootnoteAnchor"/>
          <w:rtl w:val="true"/>
        </w:rPr>
        <w:footnoteReference w:id="499"/>
      </w:r>
      <w:r>
        <w:rPr>
          <w:rFonts w:ascii="Amiri" w:hAnsi="Amiri" w:eastAsia="Amiri" w:cs="Amiri"/>
          <w:color w:val="111111"/>
          <w:sz w:val="28"/>
          <w:sz w:val="28"/>
          <w:szCs w:val="28"/>
          <w:rtl w:val="true"/>
          <w:lang w:bidi="ar-SA"/>
        </w:rPr>
        <w:t>المُرَجِّمُ‌</w:t>
      </w:r>
      <w:r>
        <w:rPr>
          <w:rStyle w:val="FootnoteAnchor"/>
          <w:rtl w:val="true"/>
        </w:rPr>
        <w:footnoteReference w:id="500"/>
      </w:r>
      <w:r>
        <w:rPr>
          <w:rFonts w:ascii="Amiri" w:hAnsi="Amiri" w:eastAsia="Amiri" w:cs="Amiri"/>
          <w:color w:val="111111"/>
          <w:sz w:val="28"/>
          <w:sz w:val="28"/>
          <w:szCs w:val="28"/>
          <w:rtl w:val="true"/>
          <w:lang w:bidi="ar-SA"/>
        </w:rPr>
        <w:t>، مِن غَيرِ نظرٍ في طالعٍ و لا غاربٍ‌، و لا رجوعٍ إلىٰ أصلٍ‌؛ و إلّافالبلوىٰ بَينَنا و بَينَهم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7642298_1280447820"/>
      <w:bookmarkStart w:id="104" w:name="_Toc36"/>
      <w:bookmarkEnd w:id="103"/>
      <w:r>
        <w:rPr>
          <w:rtl w:val="true"/>
        </w:rPr>
        <w:t>حكايات و مناظرات وقعت للمصنّف تتعلّق بعدم إصابة المنجّمين</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الأُولىٰ‌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بعضُ الرؤَساءِ‌، بَل الوزراءِ‌، ممّن كانَ فاضلاً في الأدَبِ و الكِتابةِ‌، و مشغوفاً بالنجومِ عاملاً عليها، 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حَديثٌ يَتعلَّقُ بأحكامِ النجومِ‌، و رأىٰ مِن مَخايِلي</w:t>
      </w:r>
      <w:r>
        <w:rPr>
          <w:rStyle w:val="FootnoteAnchor"/>
          <w:rtl w:val="true"/>
        </w:rPr>
        <w:footnoteReference w:id="502"/>
      </w:r>
      <w:r>
        <w:rPr>
          <w:rFonts w:ascii="Amiri" w:hAnsi="Amiri" w:eastAsia="Amiri" w:cs="Amiri"/>
          <w:color w:val="111111"/>
          <w:sz w:val="28"/>
          <w:sz w:val="28"/>
          <w:szCs w:val="28"/>
          <w:rtl w:val="true"/>
          <w:lang w:bidi="ar-SA"/>
        </w:rPr>
        <w:t xml:space="preserve">التعجُّبَ ممّن يَتشاغَلُ بذلكَ و يُفني زمانَه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 في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تُعرِّفَني هَل بَلَغَ بكَ التكذيبُ بأحكامِ النجومِ إلىٰ أن لا تَختارَ يوماً لسَفَرٍ</w:t>
      </w:r>
      <w:r>
        <w:rPr>
          <w:rStyle w:val="FootnoteAnchor"/>
          <w:rtl w:val="true"/>
        </w:rPr>
        <w:footnoteReference w:id="505"/>
      </w:r>
      <w:r>
        <w:rPr>
          <w:rFonts w:ascii="Amiri" w:hAnsi="Amiri" w:eastAsia="Amiri" w:cs="Amiri"/>
          <w:color w:val="111111"/>
          <w:sz w:val="28"/>
          <w:sz w:val="28"/>
          <w:szCs w:val="28"/>
          <w:rtl w:val="true"/>
          <w:lang w:bidi="ar-SA"/>
        </w:rPr>
        <w:t>، و لُبسِ ثَوبٍ جَديدٍ، و تَوجُّهاً</w:t>
      </w:r>
      <w:r>
        <w:rPr>
          <w:rStyle w:val="FootnoteAnchor"/>
          <w:rtl w:val="true"/>
        </w:rPr>
        <w:footnoteReference w:id="506"/>
      </w:r>
      <w:r>
        <w:rPr>
          <w:rFonts w:ascii="Amiri" w:hAnsi="Amiri" w:eastAsia="Amiri" w:cs="Amiri"/>
          <w:color w:val="111111"/>
          <w:sz w:val="28"/>
          <w:sz w:val="28"/>
          <w:szCs w:val="28"/>
          <w:rtl w:val="true"/>
          <w:lang w:bidi="ar-SA"/>
        </w:rPr>
        <w:t>في حاجةٍ؟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عليه، و ما في داري تقويمٌ ولا أَنظُرُ فيه، و ما رَأَيتُ مع ذلكَ إلّاخَيراً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أقبَلتُ عليه فقُلتُ‌</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ما يَدُلُّ علىٰ بُطلانِ أحكامِ النجومِ ممّا يَحتاجُ إلىٰ فِكرٍ دقيقٍ و رَويّةٍ طويلةٍ‌، و هاهُنا شَيءٌ قَريبٌ لا يَخفىٰ علىٰ أحَدٍ ممّن عَلَت طبقتُه في الفَهمِ أو انخَفَضَت؛ 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جادّةً مسلوكةً‌، و طريقاً يَمشي فيه الناسُ لَيلاً و نَهاراً، و في مَحجّتِه آبارٌ مُتَقارِبةٌ‌، و بَينَ بعضِها و بعضٍ طريقٌ يَحتاجُ سالكُه إلىٰ تأمُّلٍ و تَوقُّفٍ حتّىٰ يَتخلَّصَ مِن السقوطِ في بعضِ تلكَ الآبارِ، هَل يَجوزُ أن تَكونَ‌</w:t>
      </w:r>
      <w:r>
        <w:rPr>
          <w:rStyle w:val="FootnoteAnchor"/>
          <w:rtl w:val="true"/>
        </w:rPr>
        <w:footnoteReference w:id="508"/>
      </w:r>
      <w:r>
        <w:rPr>
          <w:rFonts w:ascii="Amiri" w:hAnsi="Amiri" w:eastAsia="Amiri" w:cs="Amiri"/>
          <w:color w:val="111111"/>
          <w:sz w:val="28"/>
          <w:sz w:val="28"/>
          <w:szCs w:val="28"/>
          <w:rtl w:val="true"/>
          <w:lang w:bidi="ar-SA"/>
        </w:rPr>
        <w:t>سَلامةُ مَن يَمشي في هذا الطريقِ مِن العُميانِ كسَلامةِ مَن يَمشي فيها</w:t>
      </w:r>
      <w:r>
        <w:rPr>
          <w:rStyle w:val="FootnoteAnchor"/>
          <w:rtl w:val="true"/>
        </w:rPr>
        <w:footnoteReference w:id="509"/>
      </w:r>
      <w:r>
        <w:rPr>
          <w:rFonts w:ascii="Amiri" w:hAnsi="Amiri" w:eastAsia="Amiri" w:cs="Amiri"/>
          <w:color w:val="111111"/>
          <w:sz w:val="28"/>
          <w:sz w:val="28"/>
          <w:szCs w:val="28"/>
          <w:rtl w:val="true"/>
          <w:lang w:bidi="ar-SA"/>
        </w:rPr>
        <w:t>مِن البُصَراءِ‌، و قد فَرَضنا أ نّه لا يَخلو طَرفةَ عَينٍ مِن مُشاةٍ‌</w:t>
      </w:r>
      <w:r>
        <w:rPr>
          <w:rStyle w:val="FootnoteAnchor"/>
          <w:rtl w:val="true"/>
        </w:rPr>
        <w:footnoteReference w:id="510"/>
      </w:r>
      <w:r>
        <w:rPr>
          <w:rFonts w:ascii="Amiri" w:hAnsi="Amiri" w:eastAsia="Amiri" w:cs="Amiri"/>
          <w:color w:val="111111"/>
          <w:sz w:val="28"/>
          <w:sz w:val="28"/>
          <w:szCs w:val="28"/>
          <w:rtl w:val="true"/>
          <w:lang w:bidi="ar-SA"/>
        </w:rPr>
        <w:t>فيه بُصَراءَ و عُميانٍ؟ و هَل يَجوزُ أن يَكونَ عَطَبُ البُصَراءِ‌</w:t>
      </w:r>
      <w:r>
        <w:rPr>
          <w:rStyle w:val="FootnoteAnchor"/>
          <w:rtl w:val="true"/>
        </w:rPr>
        <w:footnoteReference w:id="511"/>
      </w:r>
      <w:r>
        <w:rPr>
          <w:rFonts w:ascii="Amiri" w:hAnsi="Amiri" w:eastAsia="Amiri" w:cs="Amiri"/>
          <w:color w:val="111111"/>
          <w:sz w:val="28"/>
          <w:sz w:val="28"/>
          <w:szCs w:val="28"/>
          <w:rtl w:val="true"/>
          <w:lang w:bidi="ar-SA"/>
        </w:rPr>
        <w:t>مُقارِباً لعَطَبِ‌</w:t>
      </w:r>
      <w:r>
        <w:rPr>
          <w:rStyle w:val="FootnoteAnchor"/>
          <w:rtl w:val="true"/>
        </w:rPr>
        <w:footnoteReference w:id="512"/>
      </w:r>
      <w:r>
        <w:rPr>
          <w:rFonts w:ascii="Amiri" w:hAnsi="Amiri" w:eastAsia="Amiri" w:cs="Amiri"/>
          <w:color w:val="111111"/>
          <w:sz w:val="28"/>
          <w:sz w:val="28"/>
          <w:szCs w:val="28"/>
          <w:rtl w:val="true"/>
          <w:lang w:bidi="ar-SA"/>
        </w:rPr>
        <w:t xml:space="preserve">العُميانِ‌، </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513"/>
      </w:r>
      <w:r>
        <w:rPr>
          <w:rFonts w:ascii="Amiri" w:hAnsi="Amiri" w:eastAsia="Amiri" w:cs="Amiri"/>
          <w:color w:val="111111"/>
          <w:sz w:val="28"/>
          <w:sz w:val="28"/>
          <w:szCs w:val="28"/>
          <w:rtl w:val="true"/>
          <w:lang w:bidi="ar-SA"/>
        </w:rPr>
        <w:t>سَلامةُ العُميانِ مُقارِبةً‌</w:t>
      </w:r>
      <w:r>
        <w:rPr>
          <w:rStyle w:val="FootnoteAnchor"/>
          <w:rtl w:val="true"/>
        </w:rPr>
        <w:footnoteReference w:id="514"/>
      </w:r>
      <w:r>
        <w:rPr>
          <w:rFonts w:ascii="Amiri" w:hAnsi="Amiri" w:eastAsia="Amiri" w:cs="Amiri"/>
          <w:color w:val="111111"/>
          <w:sz w:val="28"/>
          <w:sz w:val="28"/>
          <w:szCs w:val="28"/>
          <w:rtl w:val="true"/>
          <w:lang w:bidi="ar-SA"/>
        </w:rPr>
        <w:t>لسَلامةِ البُصَراءِ؟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يَجوزُ؛ بَل الواجبُ أن تَكونَ‌</w:t>
      </w:r>
      <w:r>
        <w:rPr>
          <w:rStyle w:val="FootnoteAnchor"/>
          <w:rtl w:val="true"/>
        </w:rPr>
        <w:footnoteReference w:id="515"/>
      </w:r>
      <w:r>
        <w:rPr>
          <w:rFonts w:ascii="Amiri" w:hAnsi="Amiri" w:eastAsia="Amiri" w:cs="Amiri"/>
          <w:color w:val="111111"/>
          <w:sz w:val="28"/>
          <w:sz w:val="28"/>
          <w:szCs w:val="28"/>
          <w:rtl w:val="true"/>
          <w:lang w:bidi="ar-SA"/>
        </w:rPr>
        <w:t>سَلامةُ البُصَراءِ أكثَرَ مِن سَلامةِ العُميانِ‌، و لا يَجوزُ في مِثلِ هذا التقارُبُ‌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مُحالاً فأَحيلوا نَظيرَه و ما لا فَرقَ بَينَه و بَينَه، و أنتم تُجيزونَ شَبيهَ ما ذَكَرناه و عَديلَه؛ لأنّ البُصَراءَ هُم الذينَ يَعرِفونَ أحكامَ النجومِ و يُميِّزونَ سَعدَها مِن نَحسِها و يَتوقَّونَ بهذه المَعرِفةِ مَضارَّ الزمانِ و يَتخطَّونَها و يَعتَمِدونَ مَنافِعَه و يَقصِدونَها، و مِثالُ العُميانِ كُلُّ مَن لا يُحسِنُ تَعلُّمَ‌</w:t>
      </w:r>
      <w:r>
        <w:rPr>
          <w:rStyle w:val="FootnoteAnchor"/>
          <w:rtl w:val="true"/>
        </w:rPr>
        <w:footnoteReference w:id="517"/>
      </w:r>
      <w:r>
        <w:rPr>
          <w:rFonts w:ascii="Amiri" w:hAnsi="Amiri" w:eastAsia="Amiri" w:cs="Amiri"/>
          <w:color w:val="111111"/>
          <w:sz w:val="28"/>
          <w:sz w:val="28"/>
          <w:szCs w:val="28"/>
          <w:rtl w:val="true"/>
          <w:lang w:bidi="ar-SA"/>
        </w:rPr>
        <w:t>النجومِ و لا يَلتَفِتُ إليه مِن العلماءِ‌</w:t>
      </w:r>
      <w:r>
        <w:rPr>
          <w:rStyle w:val="FootnoteAnchor"/>
          <w:rtl w:val="true"/>
        </w:rPr>
        <w:footnoteReference w:id="518"/>
      </w:r>
      <w:r>
        <w:rPr>
          <w:rFonts w:ascii="Amiri" w:hAnsi="Amiri" w:eastAsia="Amiri" w:cs="Amiri"/>
          <w:color w:val="111111"/>
          <w:sz w:val="28"/>
          <w:sz w:val="28"/>
          <w:szCs w:val="28"/>
          <w:rtl w:val="true"/>
          <w:lang w:bidi="ar-SA"/>
        </w:rPr>
        <w:t>و الفقهاءِ و أهلِ الدياناتِ و العباداتِ‌، ثُمَّ مِن</w:t>
      </w:r>
      <w:r>
        <w:rPr>
          <w:rStyle w:val="FootnoteAnchor"/>
          <w:rtl w:val="true"/>
        </w:rPr>
        <w:footnoteReference w:id="519"/>
      </w:r>
      <w:r>
        <w:rPr>
          <w:rFonts w:ascii="Amiri" w:hAnsi="Amiri" w:eastAsia="Amiri" w:cs="Amiri"/>
          <w:color w:val="111111"/>
          <w:sz w:val="28"/>
          <w:sz w:val="28"/>
          <w:szCs w:val="28"/>
          <w:rtl w:val="true"/>
          <w:lang w:bidi="ar-SA"/>
        </w:rPr>
        <w:t>سائرِ العوامِّ و الأعرابِ و الأكرادِ و هُم أضعافُ أضعافِ‌</w:t>
      </w:r>
      <w:r>
        <w:rPr>
          <w:rStyle w:val="FootnoteAnchor"/>
          <w:rtl w:val="true"/>
        </w:rPr>
        <w:footnoteReference w:id="520"/>
      </w:r>
      <w:r>
        <w:rPr>
          <w:rFonts w:ascii="Amiri" w:hAnsi="Amiri" w:eastAsia="Amiri" w:cs="Amiri"/>
          <w:color w:val="111111"/>
          <w:sz w:val="28"/>
          <w:sz w:val="28"/>
          <w:szCs w:val="28"/>
          <w:rtl w:val="true"/>
          <w:lang w:bidi="ar-SA"/>
        </w:rPr>
        <w:t>مَن يُراعي النجومَ‌</w:t>
      </w:r>
      <w:r>
        <w:rPr>
          <w:rStyle w:val="FootnoteAnchor"/>
          <w:rtl w:val="true"/>
        </w:rPr>
        <w:footnoteReference w:id="521"/>
      </w:r>
      <w:r>
        <w:rPr>
          <w:rFonts w:ascii="Amiri" w:hAnsi="Amiri" w:eastAsia="Amiri" w:cs="Amiri"/>
          <w:color w:val="111111"/>
          <w:sz w:val="28"/>
          <w:sz w:val="28"/>
          <w:szCs w:val="28"/>
          <w:rtl w:val="true"/>
          <w:lang w:bidi="ar-SA"/>
        </w:rPr>
        <w:t>، و مِثالُ الطريقِ الذي فيه الآبارُ الزمانُ الذي يَمضي علَى الخَلقِ أجمَعينَ‌</w:t>
      </w:r>
      <w:r>
        <w:rPr>
          <w:rStyle w:val="FootnoteAnchor"/>
          <w:rtl w:val="true"/>
        </w:rPr>
        <w:footnoteReference w:id="522"/>
      </w:r>
      <w:r>
        <w:rPr>
          <w:rFonts w:ascii="Amiri" w:hAnsi="Amiri" w:eastAsia="Amiri" w:cs="Amiri"/>
          <w:color w:val="111111"/>
          <w:sz w:val="28"/>
          <w:sz w:val="28"/>
          <w:szCs w:val="28"/>
          <w:rtl w:val="true"/>
          <w:lang w:bidi="ar-SA"/>
        </w:rPr>
        <w:t>، و مِثالُ آبارِه</w:t>
      </w:r>
      <w:r>
        <w:rPr>
          <w:rStyle w:val="FootnoteAnchor"/>
          <w:rtl w:val="true"/>
        </w:rPr>
        <w:footnoteReference w:id="523"/>
      </w:r>
      <w:r>
        <w:rPr>
          <w:rFonts w:ascii="Amiri" w:hAnsi="Amiri" w:eastAsia="Amiri" w:cs="Amiri"/>
          <w:color w:val="111111"/>
          <w:sz w:val="28"/>
          <w:sz w:val="28"/>
          <w:szCs w:val="28"/>
          <w:rtl w:val="true"/>
          <w:lang w:bidi="ar-SA"/>
        </w:rPr>
        <w:t xml:space="preserve">مَصائبُه و نَوائبُه و مِحَنُه، و قد كانَ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العِلمُ بالنجومِ و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سَلامةُ المُنجِّمينَ أكثَرَ و مصائبُهم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يَتوقَّونَ المِحَنَ‌؛ لعِلمِهم بها </w:t>
      </w:r>
    </w:p>
    <w:p>
      <w:pPr>
        <w:pStyle w:val="BookText"/>
        <w:rPr/>
      </w:pPr>
      <w:r>
        <w:rPr>
          <w:rFonts w:ascii="Amiri" w:hAnsi="Amiri" w:eastAsia="Amiri" w:cs="Amiri"/>
          <w:color w:val="111111"/>
          <w:sz w:val="28"/>
          <w:sz w:val="28"/>
          <w:szCs w:val="28"/>
          <w:rtl w:val="true"/>
          <w:lang w:bidi="ar-SA"/>
        </w:rPr>
        <w:t xml:space="preserve">قَبلَ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مِحَنُ كُلِّ مَن ذَكَرناه</w:t>
      </w:r>
      <w:r>
        <w:rPr>
          <w:rStyle w:val="FootnoteAnchor"/>
          <w:rtl w:val="true"/>
        </w:rPr>
        <w:footnoteReference w:id="524"/>
      </w:r>
      <w:r>
        <w:rPr>
          <w:rFonts w:ascii="Amiri" w:hAnsi="Amiri" w:eastAsia="Amiri" w:cs="Amiri"/>
          <w:color w:val="111111"/>
          <w:sz w:val="28"/>
          <w:sz w:val="28"/>
          <w:szCs w:val="28"/>
          <w:rtl w:val="true"/>
          <w:lang w:bidi="ar-SA"/>
        </w:rPr>
        <w:t>مِن الطبقاتِ الكَثيرةِ أوفَرَ و أظهَرَ حتّىٰ تَكونَ‌</w:t>
      </w:r>
      <w:r>
        <w:rPr>
          <w:rStyle w:val="FootnoteAnchor"/>
          <w:rtl w:val="true"/>
        </w:rPr>
        <w:footnoteReference w:id="525"/>
      </w:r>
      <w:r>
        <w:rPr>
          <w:rFonts w:ascii="Amiri" w:hAnsi="Amiri" w:eastAsia="Amiri" w:cs="Amiri"/>
          <w:color w:val="111111"/>
          <w:sz w:val="28"/>
          <w:sz w:val="28"/>
          <w:szCs w:val="28"/>
          <w:rtl w:val="true"/>
          <w:lang w:bidi="ar-SA"/>
        </w:rPr>
        <w:t>السلامةُ هي الطريقةَ الغَريبةَ‌، و قد عَلِمنا خِلافَ ذلكَ و أنّ السلامةَ أو المِحَنَ في الجميعِ مُتَقارِبةٌ غَيرُ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اتَّفَقَ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نُصَدِّقَ مَن</w:t>
      </w:r>
      <w:r>
        <w:rPr>
          <w:rStyle w:val="FootnoteAnchor"/>
          <w:rtl w:val="true"/>
        </w:rPr>
        <w:footnoteReference w:id="526"/>
      </w:r>
      <w:r>
        <w:rPr>
          <w:rFonts w:ascii="Amiri" w:hAnsi="Amiri" w:eastAsia="Amiri" w:cs="Amiri"/>
          <w:color w:val="111111"/>
          <w:sz w:val="28"/>
          <w:sz w:val="28"/>
          <w:szCs w:val="28"/>
          <w:rtl w:val="true"/>
          <w:lang w:bidi="ar-SA"/>
        </w:rPr>
        <w:t>خَبَّرَنا في ذلكَ الطريقِ المسلوكِ الذي فَرَضناه بأنّ سَلامةَ العُميانِ فيه</w:t>
      </w:r>
      <w:r>
        <w:rPr>
          <w:rStyle w:val="FootnoteAnchor"/>
          <w:rtl w:val="true"/>
        </w:rPr>
        <w:footnoteReference w:id="527"/>
      </w:r>
      <w:r>
        <w:rPr>
          <w:rFonts w:ascii="Amiri" w:hAnsi="Amiri" w:eastAsia="Amiri" w:cs="Amiri"/>
          <w:color w:val="111111"/>
          <w:sz w:val="28"/>
          <w:sz w:val="28"/>
          <w:szCs w:val="28"/>
          <w:rtl w:val="true"/>
          <w:lang w:bidi="ar-SA"/>
        </w:rPr>
        <w:t>كسَلامةِ البُصَراءِ‌،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 الاتّفاقَ لا يَستَمِرُّ</w:t>
      </w:r>
      <w:r>
        <w:rPr>
          <w:rStyle w:val="FootnoteAnchor"/>
          <w:rtl w:val="true"/>
        </w:rPr>
        <w:footnoteReference w:id="528"/>
      </w:r>
      <w:r>
        <w:rPr>
          <w:rFonts w:ascii="Amiri" w:hAnsi="Amiri" w:eastAsia="Amiri" w:cs="Amiri"/>
          <w:color w:val="111111"/>
          <w:sz w:val="28"/>
          <w:sz w:val="28"/>
          <w:szCs w:val="28"/>
          <w:rtl w:val="true"/>
          <w:lang w:bidi="ar-SA"/>
        </w:rPr>
        <w:t>، و هذا الحُكمُ‌</w:t>
      </w:r>
      <w:r>
        <w:rPr>
          <w:rStyle w:val="FootnoteAnchor"/>
          <w:rtl w:val="true"/>
        </w:rPr>
        <w:footnoteReference w:id="529"/>
      </w:r>
      <w:r>
        <w:rPr>
          <w:rFonts w:ascii="Amiri" w:hAnsi="Amiri" w:eastAsia="Amiri" w:cs="Amiri"/>
          <w:color w:val="111111"/>
          <w:sz w:val="28"/>
          <w:sz w:val="28"/>
          <w:szCs w:val="28"/>
          <w:rtl w:val="true"/>
          <w:lang w:bidi="ar-SA"/>
        </w:rPr>
        <w:t>الَّذي ذَكَرناه مُستَمِرٌّ غَيرُ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عندَه عُذرٌ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يُفسِدُ مَذهبَ المُنجِّمينَ‌، و يَدُلُّ علىٰ أنّ‌</w:t>
      </w:r>
      <w:r>
        <w:rPr>
          <w:rStyle w:val="FootnoteAnchor"/>
          <w:rtl w:val="true"/>
        </w:rPr>
        <w:footnoteReference w:id="530"/>
      </w:r>
      <w:r>
        <w:rPr>
          <w:rFonts w:ascii="Amiri" w:hAnsi="Amiri" w:eastAsia="Amiri" w:cs="Amiri"/>
          <w:color w:val="111111"/>
          <w:sz w:val="28"/>
          <w:sz w:val="28"/>
          <w:szCs w:val="28"/>
          <w:rtl w:val="true"/>
          <w:lang w:bidi="ar-SA"/>
        </w:rPr>
        <w:t>ما لَعلَّه يَتَّفِقُ لهُم مِن الإصابةِ علىٰ غيرِ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شاهَدنا جماعةً مِن الزَّرّاقينَ‌</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يُخبِرون عن المغيَّبات رجماً بالغيب، من دون إعمالِ فكرٍ و تعلُّمِ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زَرَقَ فلاناً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نحوه ورماه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الذينَ لا يَعرِفونَ شَيئاً مِن عِلمِ النجومِ‌، و لا نَظَروا قَطُّ في شَيءٍ منه، يُصيبونَ فيما يَحكُمونَ به إصاباتٍ مُستَطرَفةً‌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المعروفُ بالشَّعرانيِّ‌</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الرجل غير مذكور في الكتب، و الظاهر أنّه كان مشهوراً ببغداد في زمن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الذي شاهَدناه و هو لا يُحسِنُ أن يأخُذَ الأَصطُرلابَ للطالعِ‌، و لا نَظَرَ قَطُّ في زيجٍ بَل و لا تقويمٍ‌، غَيرَ أ نّه ذَكيٌّ حاضرُ الجوابِ‌، فَطِنٌ بالزَّرقِ‌، معروفٌ بكَثرةِ الإصابةِ‌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بلوغِ الغايةِ فيما يُخرِجُه مِن الأسرارِ؛ و لقَد اجتَمَعَ يوماً بَينَ يَدي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جماعةٍ كانوا عندي، و كُنّا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كُلُّنا اعتَزَمنا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جهةً نَقصِدُها لبعضِ الأغراضِ‌، فسألَه أحَدُنا عمّا نَحنُ بصَدَدِه، فابتَدأَ مِن غَيرِ أخذِ طالعٍ و لا نظرٍ في تقويمٍ فأخبَرَنا بالجهةِ التي أرَدنا قَصدَها، ثُمَّ عَدَلَ إلىٰ كُلِّ واحدٍ مِن الجماعةِ فأخبَرَه عن كَثيرٍ مِن تفصيلِ أُمورِه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أغراضِه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بَينِ الجماعةِ قد وَعَدَك واعِدٌ بشَيءٍ يوصِلُه إليكَ‌، و قَلبُكَ به مُتَعلِّقٌ‌، و في كُمِّكَ شَيءٌ ممّا يَدُلُّ علىٰ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بيَدِه</w:t>
      </w:r>
      <w:r>
        <w:rPr>
          <w:rStyle w:val="FootnoteAnchor"/>
          <w:rtl w:val="true"/>
        </w:rPr>
        <w:footnoteReference w:id="533"/>
      </w:r>
      <w:r>
        <w:rPr>
          <w:rFonts w:ascii="Amiri" w:hAnsi="Amiri" w:eastAsia="Amiri" w:cs="Amiri"/>
          <w:color w:val="111111"/>
          <w:sz w:val="28"/>
          <w:sz w:val="28"/>
          <w:szCs w:val="28"/>
          <w:rtl w:val="true"/>
          <w:lang w:bidi="ar-SA"/>
        </w:rPr>
        <w:t>إلىٰ كُمِّه يَستَخرِجُ‌</w:t>
      </w:r>
      <w:r>
        <w:rPr>
          <w:rStyle w:val="FootnoteAnchor"/>
          <w:rtl w:val="true"/>
        </w:rPr>
        <w:footnoteReference w:id="534"/>
      </w:r>
      <w:r>
        <w:rPr>
          <w:rFonts w:ascii="Amiri" w:hAnsi="Amiri" w:eastAsia="Amiri" w:cs="Amiri"/>
          <w:color w:val="111111"/>
          <w:sz w:val="28"/>
          <w:sz w:val="28"/>
          <w:szCs w:val="28"/>
          <w:rtl w:val="true"/>
          <w:lang w:bidi="ar-SA"/>
        </w:rPr>
        <w:t>ما فيه، فاستَحيا ذلكَ الرجُلُ و وَجَمَ‌</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امتَنَعَ‌</w:t>
      </w:r>
      <w:r>
        <w:rPr>
          <w:rStyle w:val="FootnoteAnchor"/>
          <w:rtl w:val="true"/>
        </w:rPr>
        <w:footnoteReference w:id="536"/>
      </w:r>
      <w:r>
        <w:rPr>
          <w:rFonts w:ascii="Amiri" w:hAnsi="Amiri" w:eastAsia="Amiri" w:cs="Amiri"/>
          <w:color w:val="111111"/>
          <w:sz w:val="28"/>
          <w:sz w:val="28"/>
          <w:szCs w:val="28"/>
          <w:rtl w:val="true"/>
          <w:lang w:bidi="ar-SA"/>
        </w:rPr>
        <w:t>مِن الوقوفِ علىٰ ما في كُمِّه بجُهدِه، فلَم يَنفَعْه ذلكَ‌، و أعانَ الحاضرونَ علىٰ إخراجِ ما في كُمِّه لمّا أحَسّوا بالإصابةِ من الزَّرّاقِ‌؛ فأُخرِجَ مِن كُمِّه رِقاعٌ كَثيرةٌ‌، و</w:t>
      </w:r>
      <w:r>
        <w:rPr>
          <w:rStyle w:val="FootnoteAnchor"/>
          <w:rtl w:val="true"/>
        </w:rPr>
        <w:footnoteReference w:id="537"/>
      </w:r>
      <w:r>
        <w:rPr>
          <w:rFonts w:ascii="Amiri" w:hAnsi="Amiri" w:eastAsia="Amiri" w:cs="Amiri"/>
          <w:color w:val="111111"/>
          <w:sz w:val="28"/>
          <w:sz w:val="28"/>
          <w:szCs w:val="28"/>
          <w:rtl w:val="true"/>
          <w:lang w:bidi="ar-SA"/>
        </w:rPr>
        <w:t>في</w:t>
      </w:r>
      <w:r>
        <w:rPr>
          <w:rStyle w:val="FootnoteAnchor"/>
          <w:rtl w:val="true"/>
        </w:rPr>
        <w:footnoteReference w:id="538"/>
      </w:r>
      <w:r>
        <w:rPr>
          <w:rFonts w:ascii="Amiri" w:hAnsi="Amiri" w:eastAsia="Amiri" w:cs="Amiri"/>
          <w:color w:val="111111"/>
          <w:sz w:val="28"/>
          <w:sz w:val="28"/>
          <w:szCs w:val="28"/>
          <w:rtl w:val="true"/>
          <w:lang w:bidi="ar-SA"/>
        </w:rPr>
        <w:t>جُملتِها صَكٌّ علىٰ دارِ الضربِ بصِلةٍ مِن خَليفةِ الوِزارةِ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ممّا اتَّفَقَ مِن</w:t>
      </w:r>
      <w:r>
        <w:rPr>
          <w:rStyle w:val="FootnoteAnchor"/>
          <w:rtl w:val="true"/>
        </w:rPr>
        <w:footnoteReference w:id="539"/>
      </w:r>
      <w:r>
        <w:rPr>
          <w:rFonts w:ascii="Amiri" w:hAnsi="Amiri" w:eastAsia="Amiri" w:cs="Amiri"/>
          <w:color w:val="111111"/>
          <w:sz w:val="28"/>
          <w:sz w:val="28"/>
          <w:szCs w:val="28"/>
          <w:rtl w:val="true"/>
          <w:lang w:bidi="ar-SA"/>
        </w:rPr>
        <w:t>إصابتِه مع بُعدِه عن</w:t>
      </w:r>
      <w:r>
        <w:rPr>
          <w:rStyle w:val="FootnoteAnchor"/>
          <w:rtl w:val="true"/>
        </w:rPr>
        <w:footnoteReference w:id="540"/>
      </w:r>
      <w:r>
        <w:rPr>
          <w:rFonts w:ascii="Amiri" w:hAnsi="Amiri" w:eastAsia="Amiri" w:cs="Amiri"/>
          <w:color w:val="111111"/>
          <w:sz w:val="28"/>
          <w:sz w:val="28"/>
          <w:szCs w:val="28"/>
          <w:rtl w:val="true"/>
          <w:lang w:bidi="ar-SA"/>
        </w:rPr>
        <w:t>صِناعةِ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لنا صَديقٌ يَقولُ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 دليلٍ علىٰ بُطلانِ أحكامِ النجومِ إصابةُ الشَّعرانيِّ‌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جَرىٰ يوماً مع مَن يَتعاطىٰ‌</w:t>
      </w:r>
      <w:r>
        <w:rPr>
          <w:rStyle w:val="FootnoteAnchor"/>
          <w:rtl w:val="true"/>
        </w:rPr>
        <w:footnoteReference w:id="541"/>
      </w:r>
      <w:r>
        <w:rPr>
          <w:rFonts w:ascii="Amiri" w:hAnsi="Amiri" w:eastAsia="Amiri" w:cs="Amiri"/>
          <w:color w:val="111111"/>
          <w:sz w:val="28"/>
          <w:sz w:val="28"/>
          <w:szCs w:val="28"/>
          <w:rtl w:val="true"/>
          <w:lang w:bidi="ar-SA"/>
        </w:rPr>
        <w:t>عِلمَ النجوم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المُنجِّمينَ أنّ السببَ في إصابةِ مَن لا يَعرِفُ‌</w:t>
      </w:r>
      <w:r>
        <w:rPr>
          <w:rStyle w:val="FootnoteAnchor"/>
          <w:rtl w:val="true"/>
        </w:rPr>
        <w:footnoteReference w:id="542"/>
      </w:r>
      <w:r>
        <w:rPr>
          <w:rFonts w:ascii="Amiri" w:hAnsi="Amiri" w:eastAsia="Amiri" w:cs="Amiri"/>
          <w:color w:val="111111"/>
          <w:sz w:val="28"/>
          <w:sz w:val="28"/>
          <w:szCs w:val="28"/>
          <w:rtl w:val="true"/>
          <w:lang w:bidi="ar-SA"/>
        </w:rPr>
        <w:t>شَيئاً مِن عِلمِ النجومِ أنّ مَولِدَه و ما يَتولّاه مِن الكَواكِبِ‌</w:t>
      </w:r>
      <w:r>
        <w:rPr>
          <w:rStyle w:val="FootnoteAnchor"/>
          <w:rtl w:val="true"/>
        </w:rPr>
        <w:footnoteReference w:id="543"/>
      </w:r>
      <w:r>
        <w:rPr>
          <w:rFonts w:ascii="Amiri" w:hAnsi="Amiri" w:eastAsia="Amiri" w:cs="Amiri"/>
          <w:color w:val="111111"/>
          <w:sz w:val="28"/>
          <w:sz w:val="28"/>
          <w:szCs w:val="28"/>
          <w:rtl w:val="true"/>
          <w:lang w:bidi="ar-SA"/>
        </w:rPr>
        <w:t>اقتَضىٰ له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بَطلُميوسَ‌</w:t>
      </w:r>
      <w:r>
        <w:rPr>
          <w:rStyle w:val="FootnoteAnchor"/>
          <w:rtl w:val="true"/>
        </w:rPr>
        <w:footnoteReference w:id="544"/>
      </w:r>
      <w:r>
        <w:rPr>
          <w:rFonts w:ascii="Amiri" w:hAnsi="Amiri" w:eastAsia="Amiri" w:cs="Amiri"/>
          <w:color w:val="111111"/>
          <w:sz w:val="28"/>
          <w:sz w:val="28"/>
          <w:szCs w:val="28"/>
          <w:rtl w:val="true"/>
          <w:lang w:bidi="ar-SA"/>
        </w:rPr>
        <w:t xml:space="preserve">و كُلَّ عالِمٍ مِن علماءِ المُنجِّمينَ و مصيبٍ في </w:t>
      </w:r>
    </w:p>
    <w:p>
      <w:pPr>
        <w:pStyle w:val="BookText"/>
        <w:rPr/>
      </w:pPr>
      <w:r>
        <w:rPr>
          <w:rFonts w:ascii="Amiri" w:hAnsi="Amiri" w:eastAsia="Amiri" w:cs="Amiri"/>
          <w:color w:val="111111"/>
          <w:sz w:val="28"/>
          <w:sz w:val="28"/>
          <w:szCs w:val="28"/>
          <w:rtl w:val="true"/>
          <w:lang w:bidi="ar-SA"/>
        </w:rPr>
        <w:t>أحكامِ عِلمِها</w:t>
      </w:r>
      <w:r>
        <w:rPr>
          <w:rStyle w:val="FootnoteAnchor"/>
          <w:rtl w:val="true"/>
        </w:rPr>
        <w:footnoteReference w:id="545"/>
      </w:r>
      <w:r>
        <w:rPr>
          <w:rFonts w:ascii="Amiri" w:hAnsi="Amiri" w:eastAsia="Amiri" w:cs="Amiri"/>
          <w:color w:val="111111"/>
          <w:sz w:val="28"/>
          <w:sz w:val="28"/>
          <w:szCs w:val="28"/>
          <w:rtl w:val="true"/>
          <w:lang w:bidi="ar-SA"/>
        </w:rPr>
        <w:t>إنّما سببُ إصابتِه مَولِدُه و ما تَقتَضيهِ كَواكِبُه مِن غَيرِ عِلمٍ و لا فَهمٍ‌؛ فلا يَجِبُ أن يُستَدَلَّ بالإصابةِ علَى العِلمِ إذا كانَت تَقَعُ مِن جاهلٍ و يَكونُ سببُها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الإصابةُ بالمَواليدِ، فالنظرُ</w:t>
      </w:r>
      <w:r>
        <w:rPr>
          <w:rStyle w:val="FootnoteAnchor"/>
          <w:rtl w:val="true"/>
        </w:rPr>
        <w:footnoteReference w:id="546"/>
      </w:r>
      <w:r>
        <w:rPr>
          <w:rFonts w:ascii="Amiri" w:hAnsi="Amiri" w:eastAsia="Amiri" w:cs="Amiri"/>
          <w:color w:val="111111"/>
          <w:sz w:val="28"/>
          <w:sz w:val="28"/>
          <w:szCs w:val="28"/>
          <w:rtl w:val="true"/>
          <w:lang w:bidi="ar-SA"/>
        </w:rPr>
        <w:t>في عِلمِ النجومِ عَبَثٌ و تَعَبٌ‌</w:t>
      </w:r>
      <w:r>
        <w:rPr>
          <w:rStyle w:val="FootnoteAnchor"/>
          <w:rtl w:val="true"/>
        </w:rPr>
        <w:footnoteReference w:id="547"/>
      </w:r>
      <w:r>
        <w:rPr>
          <w:rFonts w:ascii="Amiri" w:hAnsi="Amiri" w:eastAsia="Amiri" w:cs="Amiri"/>
          <w:color w:val="111111"/>
          <w:sz w:val="28"/>
          <w:sz w:val="28"/>
          <w:szCs w:val="28"/>
          <w:rtl w:val="true"/>
          <w:lang w:bidi="ar-SA"/>
        </w:rPr>
        <w:t>لا يُحتاجُ إليه؛ لأنّ المَولِدَ إنِ اقتَضَى الإصابةَ أو الخَطأَ، فالتعلُّمُ لا يَنفَعُ‌، و تَركُه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عِلّةٌ تَسري إلىٰ كُلِّ صَنعةٍ حتّىٰ يَلزَمَ أن يَكونَ كُلُّ شاعرٍ مُفلِقٍ‌، و صانعٍ حاذقٍ‌، و ناسِجٍ للدِّيباجِ مُدقِّقٍ‌</w:t>
      </w:r>
      <w:r>
        <w:rPr>
          <w:rStyle w:val="FootnoteAnchor"/>
          <w:rtl w:val="true"/>
        </w:rPr>
        <w:footnoteReference w:id="548"/>
      </w:r>
      <w:r>
        <w:rPr>
          <w:rFonts w:ascii="Amiri" w:hAnsi="Amiri" w:eastAsia="Amiri" w:cs="Amiri"/>
          <w:color w:val="111111"/>
          <w:sz w:val="28"/>
          <w:sz w:val="28"/>
          <w:szCs w:val="28"/>
          <w:rtl w:val="true"/>
          <w:lang w:bidi="ar-SA"/>
        </w:rPr>
        <w:t>لا عِلمَ له بتلكَ الصناعةِ‌، و إنّما اتَّفَقَت الصنعةُ منه</w:t>
      </w:r>
      <w:r>
        <w:rPr>
          <w:rStyle w:val="FootnoteAnchor"/>
          <w:rtl w:val="true"/>
        </w:rPr>
        <w:footnoteReference w:id="549"/>
      </w:r>
      <w:r>
        <w:rPr>
          <w:rFonts w:ascii="Amiri" w:hAnsi="Amiri" w:eastAsia="Amiri" w:cs="Amiri"/>
          <w:color w:val="111111"/>
          <w:sz w:val="28"/>
          <w:sz w:val="28"/>
          <w:szCs w:val="28"/>
          <w:rtl w:val="true"/>
          <w:lang w:bidi="ar-SA"/>
        </w:rPr>
        <w:t>بغَيرِ عِلمٍ‌؛ لِما تَقتَضيه كَواكِبُ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يَلزَمُ علىٰ هذا مِن الجَهالاتِ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التعَبَ بعِلمِ مَراكِزِ الكَواكِبِ و أبعادِها و أشكالِها و تسييراتِها، متىٰ لَم تَكُن</w:t>
      </w:r>
      <w:r>
        <w:rPr>
          <w:rStyle w:val="FootnoteAnchor"/>
          <w:rtl w:val="true"/>
        </w:rPr>
        <w:footnoteReference w:id="550"/>
      </w:r>
      <w:r>
        <w:rPr>
          <w:rFonts w:ascii="Amiri" w:hAnsi="Amiri" w:eastAsia="Amiri" w:cs="Amiri"/>
          <w:color w:val="111111"/>
          <w:sz w:val="28"/>
          <w:sz w:val="28"/>
          <w:szCs w:val="28"/>
          <w:rtl w:val="true"/>
          <w:lang w:bidi="ar-SA"/>
        </w:rPr>
        <w:t>ثَمَرتُه العِلمَ بالأحكامِ و الاطّلاعَ‌</w:t>
      </w:r>
      <w:r>
        <w:rPr>
          <w:rStyle w:val="FootnoteAnchor"/>
          <w:rtl w:val="true"/>
        </w:rPr>
        <w:footnoteReference w:id="551"/>
      </w:r>
      <w:r>
        <w:rPr>
          <w:rFonts w:ascii="Amiri" w:hAnsi="Amiri" w:eastAsia="Amiri" w:cs="Amiri"/>
          <w:color w:val="111111"/>
          <w:sz w:val="28"/>
          <w:sz w:val="28"/>
          <w:szCs w:val="28"/>
          <w:rtl w:val="true"/>
          <w:lang w:bidi="ar-SA"/>
        </w:rPr>
        <w:t>علَى الحوادثِ قَبلَ كَونِها، لا معنىٰ له و لا غرضَ فيه؛ لأنّه لا مَنفَعةَ في أن يُعلَمَ ذلكَ كُلُّه لأمرٍ يَخُصُّ‌</w:t>
      </w:r>
      <w:r>
        <w:rPr>
          <w:rStyle w:val="FootnoteAnchor"/>
          <w:rtl w:val="true"/>
        </w:rPr>
        <w:footnoteReference w:id="552"/>
      </w:r>
      <w:r>
        <w:rPr>
          <w:rFonts w:ascii="Amiri" w:hAnsi="Amiri" w:eastAsia="Amiri" w:cs="Amiri"/>
          <w:color w:val="111111"/>
          <w:sz w:val="28"/>
          <w:sz w:val="28"/>
          <w:szCs w:val="28"/>
          <w:rtl w:val="true"/>
          <w:lang w:bidi="ar-SA"/>
        </w:rPr>
        <w:t>نَفسَ العِلمِ به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يَجري مَجرَى</w:t>
      </w:r>
      <w:r>
        <w:rPr>
          <w:rStyle w:val="FootnoteAnchor"/>
          <w:rtl w:val="true"/>
        </w:rPr>
        <w:footnoteReference w:id="554"/>
      </w:r>
      <w:r>
        <w:rPr>
          <w:rFonts w:ascii="Amiri" w:hAnsi="Amiri" w:eastAsia="Amiri" w:cs="Amiri"/>
          <w:color w:val="111111"/>
          <w:sz w:val="28"/>
          <w:sz w:val="28"/>
          <w:szCs w:val="28"/>
          <w:rtl w:val="true"/>
          <w:lang w:bidi="ar-SA"/>
        </w:rPr>
        <w:t xml:space="preserve">الاطّلاعِ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تَتعدَّ المعرفةُ إلَى العِلمِ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إلّامَجرَى العِلمِ بعَدَدِ الحَصىٰ‌، و كَيلِ الثرىٰ‌</w:t>
      </w:r>
      <w:r>
        <w:rPr>
          <w:rStyle w:val="FootnoteAnchor"/>
          <w:rtl w:val="true"/>
        </w:rPr>
        <w:footnoteReference w:id="555"/>
      </w:r>
      <w:r>
        <w:rPr>
          <w:rFonts w:ascii="Amiri" w:hAnsi="Amiri" w:eastAsia="Amiri" w:cs="Amiri"/>
          <w:color w:val="111111"/>
          <w:sz w:val="28"/>
          <w:sz w:val="28"/>
          <w:szCs w:val="28"/>
          <w:rtl w:val="true"/>
          <w:lang w:bidi="ar-SA"/>
        </w:rPr>
        <w:t xml:space="preserve">، و مَعرِفةِ أطوالِ الجِبالِ و أوزانِها؛ </w:t>
      </w:r>
      <w:bookmarkStart w:id="105" w:name="pg16415_223757"/>
    </w:p>
    <w:p>
      <w:pPr>
        <w:pStyle w:val="BookText"/>
        <w:rPr/>
      </w:pPr>
      <w:bookmarkEnd w:id="105"/>
      <w:r>
        <w:rPr>
          <w:rFonts w:ascii="Amiri" w:hAnsi="Amiri" w:eastAsia="Amiri" w:cs="Amiri"/>
          <w:color w:val="111111"/>
          <w:sz w:val="28"/>
          <w:sz w:val="28"/>
          <w:szCs w:val="28"/>
          <w:rtl w:val="true"/>
          <w:lang w:bidi="ar-SA"/>
        </w:rPr>
        <w:t>فكَما</w:t>
      </w:r>
      <w:r>
        <w:rPr>
          <w:rStyle w:val="FootnoteAnchor"/>
          <w:rtl w:val="true"/>
        </w:rPr>
        <w:footnoteReference w:id="556"/>
      </w:r>
      <w:r>
        <w:rPr>
          <w:rFonts w:ascii="Amiri" w:hAnsi="Amiri" w:eastAsia="Amiri" w:cs="Amiri"/>
          <w:color w:val="111111"/>
          <w:sz w:val="28"/>
          <w:sz w:val="28"/>
          <w:szCs w:val="28"/>
          <w:rtl w:val="true"/>
          <w:lang w:bidi="ar-SA"/>
        </w:rPr>
        <w:t>أنّ العَناءَ في تَعرُّفِ ذلكَ عَبَثٌ لأنّه</w:t>
      </w:r>
      <w:r>
        <w:rPr>
          <w:rStyle w:val="FootnoteAnchor"/>
          <w:rtl w:val="true"/>
        </w:rPr>
        <w:footnoteReference w:id="557"/>
      </w:r>
      <w:r>
        <w:rPr>
          <w:rFonts w:ascii="Amiri" w:hAnsi="Amiri" w:eastAsia="Amiri" w:cs="Amiri"/>
          <w:color w:val="111111"/>
          <w:sz w:val="28"/>
          <w:sz w:val="28"/>
          <w:szCs w:val="28"/>
          <w:rtl w:val="true"/>
          <w:lang w:bidi="ar-SA"/>
        </w:rPr>
        <w:t>لا يُجدي نَفعاً، فكذلكَ‌</w:t>
      </w:r>
      <w:r>
        <w:rPr>
          <w:rStyle w:val="FootnoteAnchor"/>
          <w:rtl w:val="true"/>
        </w:rPr>
        <w:footnoteReference w:id="558"/>
      </w:r>
      <w:r>
        <w:rPr>
          <w:rFonts w:ascii="Amiri" w:hAnsi="Amiri" w:eastAsia="Amiri" w:cs="Amiri"/>
          <w:color w:val="111111"/>
          <w:sz w:val="28"/>
          <w:sz w:val="28"/>
          <w:szCs w:val="28"/>
          <w:rtl w:val="true"/>
          <w:lang w:bidi="ar-SA"/>
        </w:rPr>
        <w:t>العِلمُ بشَكلِ الفَلَكِ و تسييراتِ كَواكِبِه و أبعادِها، و المَعرِفةُ بزَمانِ قَطعِ كُلِّ كَوكَبٍ للفَلَكِ و تَفاضُلِها</w:t>
      </w:r>
      <w:r>
        <w:rPr>
          <w:rStyle w:val="FootnoteAnchor"/>
          <w:rtl w:val="true"/>
        </w:rPr>
        <w:footnoteReference w:id="55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شَقِيَ‌</w:t>
      </w:r>
      <w:r>
        <w:rPr>
          <w:rStyle w:val="FootnoteAnchor"/>
          <w:rtl w:val="true"/>
        </w:rPr>
        <w:footnoteReference w:id="560"/>
      </w:r>
      <w:r>
        <w:rPr>
          <w:rFonts w:ascii="Amiri" w:hAnsi="Amiri" w:eastAsia="Amiri" w:cs="Amiri"/>
          <w:color w:val="111111"/>
          <w:sz w:val="28"/>
          <w:sz w:val="28"/>
          <w:szCs w:val="28"/>
          <w:rtl w:val="true"/>
          <w:lang w:bidi="ar-SA"/>
        </w:rPr>
        <w:t>القومُ بهذا الشأنِ و أَفنَوا فيه</w:t>
      </w:r>
      <w:r>
        <w:rPr>
          <w:rStyle w:val="FootnoteAnchor"/>
          <w:rtl w:val="true"/>
        </w:rPr>
        <w:footnoteReference w:id="561"/>
      </w:r>
      <w:r>
        <w:rPr>
          <w:rFonts w:ascii="Amiri" w:hAnsi="Amiri" w:eastAsia="Amiri" w:cs="Amiri"/>
          <w:color w:val="111111"/>
          <w:sz w:val="28"/>
          <w:sz w:val="28"/>
          <w:szCs w:val="28"/>
          <w:rtl w:val="true"/>
          <w:lang w:bidi="ar-SA"/>
        </w:rPr>
        <w:t>أعمارَهم إلّالتقديرِهم أ نّه يُفضي إلىٰ مَعرِفةِ الأحكامِ‌؛ فلا يُغتَرَّ</w:t>
      </w:r>
      <w:r>
        <w:rPr>
          <w:rStyle w:val="FootnoteAnchor"/>
          <w:rtl w:val="true"/>
        </w:rPr>
        <w:footnoteReference w:id="562"/>
      </w:r>
      <w:r>
        <w:rPr>
          <w:rFonts w:ascii="Amiri" w:hAnsi="Amiri" w:eastAsia="Amiri" w:cs="Amiri"/>
          <w:color w:val="111111"/>
          <w:sz w:val="28"/>
          <w:sz w:val="28"/>
          <w:szCs w:val="28"/>
          <w:rtl w:val="true"/>
          <w:lang w:bidi="ar-SA"/>
        </w:rPr>
        <w:t>بقَولِ مَن يَقولُ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نَنظُرُ في ذلكَ لتَشرُفَ‌</w:t>
      </w:r>
      <w:r>
        <w:rPr>
          <w:rStyle w:val="FootnoteAnchor"/>
          <w:rtl w:val="true"/>
        </w:rPr>
        <w:footnoteReference w:id="563"/>
      </w:r>
      <w:r>
        <w:rPr>
          <w:rFonts w:ascii="Amiri" w:hAnsi="Amiri" w:eastAsia="Amiri" w:cs="Amiri"/>
          <w:color w:val="111111"/>
          <w:sz w:val="28"/>
          <w:sz w:val="28"/>
          <w:szCs w:val="28"/>
          <w:rtl w:val="true"/>
          <w:lang w:bidi="ar-SA"/>
        </w:rPr>
        <w:t>نُفوسُنا بعِلمِ الهَيئةِ‌، و لَطيفِ ما فيها مِن الأعاجيبِ‌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تَجمُّلٌ‌</w:t>
      </w:r>
      <w:r>
        <w:rPr>
          <w:rStyle w:val="FootnoteAnchor"/>
          <w:rtl w:val="true"/>
        </w:rPr>
        <w:footnoteReference w:id="564"/>
      </w:r>
      <w:r>
        <w:rPr>
          <w:rFonts w:ascii="Amiri" w:hAnsi="Amiri" w:eastAsia="Amiri" w:cs="Amiri"/>
          <w:color w:val="111111"/>
          <w:sz w:val="28"/>
          <w:sz w:val="28"/>
          <w:szCs w:val="28"/>
          <w:rtl w:val="true"/>
          <w:lang w:bidi="ar-SA"/>
        </w:rPr>
        <w:t>منهم و تَقرُّبٌ إلىٰ أهلِ الإسلامِ‌؛ و لَولا أنّ غرضَهم مَعرِفةُ الأحكامِ لَما تَعِبوا</w:t>
      </w:r>
      <w:r>
        <w:rPr>
          <w:rStyle w:val="FootnoteAnchor"/>
          <w:rtl w:val="true"/>
        </w:rPr>
        <w:footnoteReference w:id="565"/>
      </w:r>
      <w:r>
        <w:rPr>
          <w:rFonts w:ascii="Amiri" w:hAnsi="Amiri" w:eastAsia="Amiri" w:cs="Amiri"/>
          <w:color w:val="111111"/>
          <w:sz w:val="28"/>
          <w:sz w:val="28"/>
          <w:szCs w:val="28"/>
          <w:rtl w:val="true"/>
          <w:lang w:bidi="ar-SA"/>
        </w:rPr>
        <w:t>بشَيءٍ مِن هذا</w:t>
      </w:r>
      <w:r>
        <w:rPr>
          <w:rStyle w:val="FootnoteAnchor"/>
          <w:rtl w:val="true"/>
        </w:rPr>
        <w:footnoteReference w:id="566"/>
      </w:r>
      <w:r>
        <w:rPr>
          <w:rFonts w:ascii="Amiri" w:hAnsi="Amiri" w:eastAsia="Amiri" w:cs="Amiri"/>
          <w:color w:val="111111"/>
          <w:sz w:val="28"/>
          <w:sz w:val="28"/>
          <w:szCs w:val="28"/>
          <w:rtl w:val="true"/>
          <w:lang w:bidi="ar-SA"/>
        </w:rPr>
        <w:t>كُلِّه، و لا كانَت فيه فائدةٌ‌، و لا منه عائدةٌ‌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7642300_1280447820"/>
      <w:bookmarkStart w:id="107" w:name="_Toc37"/>
      <w:bookmarkEnd w:id="106"/>
      <w:r>
        <w:rPr>
          <w:rtl w:val="true"/>
        </w:rPr>
        <w:t>أدلّة أُخرىٰ علىٰ بطلان أحكام النجوم</w:t>
      </w:r>
      <w:bookmarkEnd w:id="10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أَدَلِّ الأدلّةِ‌</w:t>
      </w:r>
      <w:r>
        <w:rPr>
          <w:rStyle w:val="FootnoteAnchor"/>
          <w:rtl w:val="true"/>
        </w:rPr>
        <w:footnoteReference w:id="567"/>
      </w:r>
      <w:r>
        <w:rPr>
          <w:rFonts w:ascii="Amiri" w:hAnsi="Amiri" w:eastAsia="Amiri" w:cs="Amiri"/>
          <w:color w:val="111111"/>
          <w:sz w:val="28"/>
          <w:sz w:val="28"/>
          <w:szCs w:val="28"/>
          <w:rtl w:val="true"/>
          <w:lang w:bidi="ar-SA"/>
        </w:rPr>
        <w:t>علىٰ بُطلانِ أحكامِ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عَلِمنا أنّ مِن جُملةِ مُعجِزاتِ الأنبياءِ عليهم السلامُ الإخبارَ عن الغُيوبِ‌، و عُدَّ ذلكَ خارقاً للعاداتِ‌، </w:t>
      </w:r>
    </w:p>
    <w:p>
      <w:pPr>
        <w:pStyle w:val="BookText"/>
        <w:rPr/>
      </w:pPr>
      <w:r>
        <w:rPr>
          <w:rFonts w:ascii="Amiri" w:hAnsi="Amiri" w:eastAsia="Amiri" w:cs="Amiri"/>
          <w:color w:val="111111"/>
          <w:sz w:val="28"/>
          <w:sz w:val="28"/>
          <w:szCs w:val="28"/>
          <w:rtl w:val="true"/>
          <w:lang w:bidi="ar-SA"/>
        </w:rPr>
        <w:t>كإحياءِ الميّتِ‌، و إبراءِ الأكمَهِ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للعِلمِ‌</w:t>
      </w:r>
      <w:r>
        <w:rPr>
          <w:rStyle w:val="FootnoteAnchor"/>
          <w:rtl w:val="true"/>
        </w:rPr>
        <w:footnoteReference w:id="568"/>
      </w:r>
      <w:r>
        <w:rPr>
          <w:rFonts w:ascii="Amiri" w:hAnsi="Amiri" w:eastAsia="Amiri" w:cs="Amiri"/>
          <w:color w:val="111111"/>
          <w:sz w:val="28"/>
          <w:sz w:val="28"/>
          <w:szCs w:val="28"/>
          <w:rtl w:val="true"/>
          <w:lang w:bidi="ar-SA"/>
        </w:rPr>
        <w:t>بما يَحدُثُ طريقٌ نُجوميٌّ‌</w:t>
      </w:r>
      <w:r>
        <w:rPr>
          <w:rStyle w:val="FootnoteAnchor"/>
          <w:rtl w:val="true"/>
        </w:rPr>
        <w:footnoteReference w:id="569"/>
      </w:r>
      <w:r>
        <w:rPr>
          <w:rFonts w:ascii="Amiri" w:hAnsi="Amiri" w:eastAsia="Amiri" w:cs="Amiri"/>
          <w:color w:val="111111"/>
          <w:sz w:val="28"/>
          <w:sz w:val="28"/>
          <w:szCs w:val="28"/>
          <w:rtl w:val="true"/>
          <w:lang w:bidi="ar-SA"/>
        </w:rPr>
        <w:t>، لَم يَكُن ما ذَكرناه مُعجِزاً و لا خارقاً للعادةِ‌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يَشتَبِهُ علىٰ مُسلِمٍ بُطلانُ أحكامِ النجومِ‌، و قد أجمَعَ المُسلِمونَ قَديماً و حَديثاً علىٰ تكذيبِ المُنجِّمينَ و الشهادةِ بفَسادِ مَذاهبِهم و بُطلانِ أحكامِهم‌؟ و معلومٌ مِن دينِ الرسولِ صَلَّى اللّٰهُ عليه و آلِه ضَرورةً التكذيبُ بما يَدَّعيهِ‌</w:t>
      </w:r>
      <w:r>
        <w:rPr>
          <w:rStyle w:val="FootnoteAnchor"/>
          <w:rtl w:val="true"/>
        </w:rPr>
        <w:footnoteReference w:id="570"/>
      </w:r>
      <w:r>
        <w:rPr>
          <w:rFonts w:ascii="Amiri" w:hAnsi="Amiri" w:eastAsia="Amiri" w:cs="Amiri"/>
          <w:color w:val="111111"/>
          <w:sz w:val="28"/>
          <w:sz w:val="28"/>
          <w:szCs w:val="28"/>
          <w:rtl w:val="true"/>
          <w:lang w:bidi="ar-SA"/>
        </w:rPr>
        <w:t>المُنجِّمونَ و الإزراءُ عليهم و التهجينُ‌</w:t>
      </w:r>
      <w:r>
        <w:rPr>
          <w:rStyle w:val="FootnoteAnchor"/>
          <w:rtl w:val="true"/>
        </w:rPr>
        <w:footnoteReference w:id="571"/>
      </w:r>
      <w:r>
        <w:rPr>
          <w:rFonts w:ascii="Amiri" w:hAnsi="Amiri" w:eastAsia="Amiri" w:cs="Amiri"/>
          <w:color w:val="111111"/>
          <w:sz w:val="28"/>
          <w:sz w:val="28"/>
          <w:szCs w:val="28"/>
          <w:rtl w:val="true"/>
          <w:lang w:bidi="ar-SA"/>
        </w:rPr>
        <w:t>لهم، و في الرواياتِ عنه عليه السلامُ مِن ذلكَ ما لا يُحصىٰ كَثرةً‌، و كذلكَ عن علماءِ أهلِ بيتِه عليهم السلامُ و خِيارِ أصحابِه</w:t>
      </w:r>
      <w:r>
        <w:rPr>
          <w:rStyle w:val="FootnoteAnchor"/>
          <w:rtl w:val="true"/>
        </w:rPr>
        <w:footnoteReference w:id="572"/>
      </w:r>
      <w:r>
        <w:rPr>
          <w:rFonts w:ascii="Amiri" w:hAnsi="Amiri" w:eastAsia="Amiri" w:cs="Amiri"/>
          <w:color w:val="111111"/>
          <w:sz w:val="28"/>
          <w:sz w:val="28"/>
          <w:szCs w:val="28"/>
          <w:rtl w:val="true"/>
          <w:lang w:bidi="ar-SA"/>
        </w:rPr>
        <w:t>رَضيَ اللّٰهُ عنهم</w:t>
      </w:r>
      <w:r>
        <w:rPr>
          <w:rStyle w:val="FootnoteAnchor"/>
          <w:rtl w:val="true"/>
        </w:rPr>
        <w:footnoteReference w:id="573"/>
      </w:r>
      <w:r>
        <w:rPr>
          <w:rFonts w:ascii="IRNazanin" w:hAnsi="IRNazanin" w:eastAsia="IRNazanin"/>
          <w:color w:val="111111"/>
          <w:sz w:val="28"/>
          <w:sz w:val="28"/>
          <w:szCs w:val="28"/>
          <w:rtl w:val="true"/>
          <w:lang w:bidi="fa-IR"/>
        </w:rPr>
        <w:t>، فما</w:t>
      </w:r>
      <w:r>
        <w:rPr>
          <w:rStyle w:val="FootnoteAnchor"/>
          <w:rtl w:val="true"/>
        </w:rPr>
        <w:footnoteReference w:id="574"/>
      </w:r>
      <w:r>
        <w:rPr>
          <w:rFonts w:ascii="Amiri" w:hAnsi="Amiri" w:eastAsia="Amiri" w:cs="Amiri"/>
          <w:color w:val="111111"/>
          <w:sz w:val="28"/>
          <w:sz w:val="28"/>
          <w:szCs w:val="28"/>
          <w:rtl w:val="true"/>
          <w:lang w:bidi="ar-SA"/>
        </w:rPr>
        <w:t>زالوا يَتبرَّءونَ‌</w:t>
      </w:r>
      <w:r>
        <w:rPr>
          <w:rStyle w:val="FootnoteAnchor"/>
          <w:rtl w:val="true"/>
        </w:rPr>
        <w:footnoteReference w:id="575"/>
      </w:r>
      <w:r>
        <w:rPr>
          <w:rFonts w:ascii="Amiri" w:hAnsi="Amiri" w:eastAsia="Amiri" w:cs="Amiri"/>
          <w:color w:val="111111"/>
          <w:sz w:val="28"/>
          <w:sz w:val="28"/>
          <w:szCs w:val="28"/>
          <w:rtl w:val="true"/>
          <w:lang w:bidi="ar-SA"/>
        </w:rPr>
        <w:t>مِن مَذاهبِ المُنجِّمينَ و يعُدّونَها ضَلا لاً و مُحالاً؛ و ما اشتَهَرَ هذه الشهرةَ في</w:t>
      </w:r>
      <w:r>
        <w:rPr>
          <w:rStyle w:val="FootnoteAnchor"/>
          <w:rtl w:val="true"/>
        </w:rPr>
        <w:footnoteReference w:id="576"/>
      </w:r>
      <w:r>
        <w:rPr>
          <w:rFonts w:ascii="Amiri" w:hAnsi="Amiri" w:eastAsia="Amiri" w:cs="Amiri"/>
          <w:color w:val="111111"/>
          <w:sz w:val="28"/>
          <w:sz w:val="28"/>
          <w:szCs w:val="28"/>
          <w:rtl w:val="true"/>
          <w:lang w:bidi="ar-SA"/>
        </w:rPr>
        <w:t>دينِ الإسلامِ كَيفَ يَغتَرُّ بخِلافِه مُنتَسِبٌ إلَى المِلّةِ و مُصَلٍّ إلَى القِبلةِ‌</w:t>
      </w:r>
      <w:r>
        <w:rPr>
          <w:rStyle w:val="FootnoteAnchor"/>
          <w:rtl w:val="true"/>
        </w:rPr>
        <w:footnoteReference w:id="577"/>
      </w:r>
      <w:r>
        <w:rPr>
          <w:rFonts w:ascii="IRNazanin" w:hAnsi="IRNazanin" w:eastAsia="IRNazanin"/>
          <w:color w:val="111111"/>
          <w:sz w:val="28"/>
          <w:sz w:val="28"/>
          <w:szCs w:val="28"/>
          <w:rtl w:val="true"/>
          <w:lang w:bidi="fa-IR"/>
        </w:rPr>
        <w:t xml:space="preserve">؟ </w:t>
      </w:r>
      <w:bookmarkStart w:id="108" w:name="pg16415_223759"/>
    </w:p>
    <w:p>
      <w:pPr>
        <w:pStyle w:val="Heading6"/>
        <w:numPr>
          <w:ilvl w:val="5"/>
          <w:numId w:val="1"/>
        </w:numPr>
        <w:rPr/>
      </w:pPr>
      <w:bookmarkStart w:id="109" w:name="__RefHeading___Toc7642302_1280447820"/>
      <w:bookmarkStart w:id="110" w:name="_Toc38"/>
      <w:bookmarkEnd w:id="108"/>
      <w:bookmarkEnd w:id="109"/>
      <w:r>
        <w:rPr>
          <w:rtl w:val="true"/>
        </w:rPr>
        <w:t>صحّة الإخبار عن الكسوفات، و فرقه مع سائر إخبارات المنجّمين</w:t>
      </w:r>
      <w:bookmarkEnd w:id="1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إصابتُهم في الإخبارِ عن الكُسوفاتِ‌، و ما مضىٰ في أثناءِ المسألةِ مِن طلبِ الفَرقِ بَينَ ذلكَ و بَينَ سائرِ ما يُخبِرونَ به مِن تأثيرِ</w:t>
      </w:r>
      <w:r>
        <w:rPr>
          <w:rStyle w:val="FootnoteAnchor"/>
          <w:rtl w:val="true"/>
        </w:rPr>
        <w:footnoteReference w:id="578"/>
      </w:r>
      <w:r>
        <w:rPr>
          <w:rFonts w:ascii="Amiri" w:hAnsi="Amiri" w:eastAsia="Amiri" w:cs="Amiri"/>
          <w:color w:val="111111"/>
          <w:sz w:val="28"/>
          <w:sz w:val="28"/>
          <w:szCs w:val="28"/>
          <w:rtl w:val="true"/>
          <w:lang w:bidi="ar-SA"/>
        </w:rPr>
        <w:t>الكَواكِبِ في أجسامِنا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الأمرَينِ أنّ الكُسوفاتِ و اقتراناتِ الكَواكِبِ و انفصالَها طريقُه الحسابُ و تسييرُ الكَواكِبِ‌، و له أُصولٌ صحيحةٌ و قواعدُ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ما يَدَّعونه مِن تأثيراتِ الكَواكِبِ في الخَيرِ و الشرِّ، و النفعِ و الضررِ</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مِن</w:t>
      </w:r>
      <w:r>
        <w:rPr>
          <w:rStyle w:val="FootnoteAnchor"/>
          <w:rtl w:val="true"/>
        </w:rPr>
        <w:footnoteReference w:id="580"/>
      </w:r>
      <w:r>
        <w:rPr>
          <w:rFonts w:ascii="Amiri" w:hAnsi="Amiri" w:eastAsia="Amiri" w:cs="Amiri"/>
          <w:color w:val="111111"/>
          <w:sz w:val="28"/>
          <w:sz w:val="28"/>
          <w:szCs w:val="28"/>
          <w:rtl w:val="true"/>
          <w:lang w:bidi="ar-SA"/>
        </w:rPr>
        <w:t>الفَرقِ بَينَ الأمرَينِ إلّاالإصابةُ الدائمةُ المُتَّصِلةُ في الكُسوفاتِ و ما يَجري مَجراها، و لا يَكادُ يَتَّفِقُ‌</w:t>
      </w:r>
      <w:r>
        <w:rPr>
          <w:rStyle w:val="FootnoteAnchor"/>
          <w:rtl w:val="true"/>
        </w:rPr>
        <w:footnoteReference w:id="581"/>
      </w:r>
      <w:r>
        <w:rPr>
          <w:rFonts w:ascii="Amiri" w:hAnsi="Amiri" w:eastAsia="Amiri" w:cs="Amiri"/>
          <w:color w:val="111111"/>
          <w:sz w:val="28"/>
          <w:sz w:val="28"/>
          <w:szCs w:val="28"/>
          <w:rtl w:val="true"/>
          <w:lang w:bidi="ar-SA"/>
        </w:rPr>
        <w:t xml:space="preserve">فيها خَطأٌ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Style w:val="FootnoteAnchor"/>
          <w:rtl w:val="true"/>
        </w:rPr>
        <w:footnoteReference w:id="582"/>
      </w:r>
      <w:r>
        <w:rPr>
          <w:rFonts w:ascii="Amiri" w:hAnsi="Amiri" w:eastAsia="Amiri" w:cs="Amiri"/>
          <w:color w:val="111111"/>
          <w:sz w:val="28"/>
          <w:sz w:val="28"/>
          <w:szCs w:val="28"/>
          <w:rtl w:val="true"/>
          <w:lang w:bidi="ar-SA"/>
        </w:rPr>
        <w:t>الخطأَ المعهودَ</w:t>
      </w:r>
      <w:r>
        <w:rPr>
          <w:rStyle w:val="FootnoteAnchor"/>
          <w:rtl w:val="true"/>
        </w:rPr>
        <w:footnoteReference w:id="583"/>
      </w:r>
      <w:r>
        <w:rPr>
          <w:rFonts w:ascii="Amiri" w:hAnsi="Amiri" w:eastAsia="Amiri" w:cs="Amiri"/>
          <w:color w:val="111111"/>
          <w:sz w:val="28"/>
          <w:sz w:val="28"/>
          <w:szCs w:val="28"/>
          <w:rtl w:val="true"/>
          <w:lang w:bidi="ar-SA"/>
        </w:rPr>
        <w:t>الدائمَ إنّما هو في الأحكامِ الباقيةِ‌، حتّىٰ إنّ الصوابَ هو العزيزُ فيها، و ما يَتَّفِقُ لَعلَّه فيها مِن إصابةٍ‌</w:t>
      </w:r>
      <w:r>
        <w:rPr>
          <w:rStyle w:val="FootnoteAnchor"/>
          <w:rtl w:val="true"/>
        </w:rPr>
        <w:footnoteReference w:id="584"/>
      </w:r>
      <w:r>
        <w:rPr>
          <w:rFonts w:ascii="Amiri" w:hAnsi="Amiri" w:eastAsia="Amiri" w:cs="Amiri"/>
          <w:color w:val="111111"/>
          <w:sz w:val="28"/>
          <w:sz w:val="28"/>
          <w:szCs w:val="28"/>
          <w:rtl w:val="true"/>
          <w:lang w:bidi="ar-SA"/>
        </w:rPr>
        <w:t>قد يَتَّفِقُ مِن المُخمِّنِ أكثَرُ منه</w:t>
      </w:r>
      <w:r>
        <w:rPr>
          <w:rStyle w:val="FootnoteAnchor"/>
          <w:rtl w:val="true"/>
        </w:rPr>
        <w:footnoteReference w:id="585"/>
      </w:r>
      <w:r>
        <w:rPr>
          <w:rFonts w:ascii="Amiri" w:hAnsi="Amiri" w:eastAsia="Amiri" w:cs="Amiri"/>
          <w:color w:val="111111"/>
          <w:sz w:val="28"/>
          <w:sz w:val="28"/>
          <w:szCs w:val="28"/>
          <w:rtl w:val="true"/>
          <w:lang w:bidi="ar-SA"/>
        </w:rPr>
        <w:t>فحَملُ أحَدِ الأمرَينِ علَى الآخَرِ بَهتٌ و قِلّةُ دينٍ و حَياءٍ‌</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111" w:name="pg16415_223760"/>
    </w:p>
    <w:p>
      <w:pPr>
        <w:pStyle w:val="Heading6"/>
        <w:numPr>
          <w:ilvl w:val="5"/>
          <w:numId w:val="1"/>
        </w:numPr>
        <w:rPr/>
      </w:pPr>
      <w:bookmarkStart w:id="112" w:name="__RefHeading___Toc7642304_1280447820"/>
      <w:bookmarkStart w:id="113" w:name="_Toc39"/>
      <w:bookmarkEnd w:id="111"/>
      <w:bookmarkEnd w:id="112"/>
      <w:r>
        <w:rPr>
          <w:rtl w:val="true"/>
        </w:rPr>
        <w:t>المسألةُ السادسةُ‌ في بيان حقيقة المنامات</w:t>
      </w:r>
      <w:bookmarkEnd w:id="113"/>
    </w:p>
    <w:p>
      <w:pPr>
        <w:pStyle w:val="Heading6"/>
        <w:numPr>
          <w:ilvl w:val="5"/>
          <w:numId w:val="1"/>
        </w:numPr>
        <w:rPr/>
      </w:pPr>
      <w:bookmarkStart w:id="114" w:name="__RefHeading___Toc7642306_1280447820"/>
      <w:bookmarkStart w:id="115" w:name="_Toc40"/>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المسألةُ السادسةُ‌</w:t>
      </w:r>
      <w:r>
        <w:rPr>
          <w:rStyle w:val="FootnoteAnchor"/>
          <w:rtl w:val="true"/>
        </w:rPr>
        <w:footnoteReference w:id="587"/>
      </w:r>
      <w:r>
        <w:rPr>
          <w:rFonts w:ascii="Amiri" w:hAnsi="Amiri" w:eastAsia="Amiri" w:cs="Amiri"/>
          <w:color w:val="111111"/>
          <w:sz w:val="28"/>
          <w:sz w:val="28"/>
          <w:szCs w:val="28"/>
          <w:rtl w:val="true"/>
          <w:lang w:bidi="ar-SA"/>
        </w:rPr>
        <w:t>في بيان حقيقة المنامات</w:t>
      </w:r>
    </w:p>
    <w:p>
      <w:pPr>
        <w:pStyle w:val="BookText"/>
        <w:rPr/>
      </w:pPr>
      <w:r>
        <w:rPr>
          <w:rFonts w:ascii="Amiri" w:hAnsi="Amiri" w:eastAsia="Amiri" w:cs="Amiri"/>
          <w:color w:val="111111"/>
          <w:sz w:val="28"/>
          <w:sz w:val="28"/>
          <w:szCs w:val="28"/>
          <w:rtl w:val="true"/>
          <w:lang w:bidi="ar-SA"/>
        </w:rPr>
        <w:t>ما القولُ في المناماتِ؟ أ</w:t>
      </w:r>
      <w:r>
        <w:rPr>
          <w:rStyle w:val="FootnoteAnchor"/>
          <w:rtl w:val="true"/>
        </w:rPr>
        <w:footnoteReference w:id="588"/>
      </w:r>
      <w:r>
        <w:rPr>
          <w:rFonts w:ascii="Amiri" w:hAnsi="Amiri" w:eastAsia="Amiri" w:cs="Amiri"/>
          <w:color w:val="111111"/>
          <w:sz w:val="28"/>
          <w:sz w:val="28"/>
          <w:szCs w:val="28"/>
          <w:rtl w:val="true"/>
          <w:lang w:bidi="ar-SA"/>
        </w:rPr>
        <w:t>صحيحةٌ هي</w:t>
      </w:r>
      <w:r>
        <w:rPr>
          <w:rStyle w:val="FootnoteAnchor"/>
          <w:rtl w:val="true"/>
        </w:rPr>
        <w:footnoteReference w:id="589"/>
      </w:r>
      <w:r>
        <w:rPr>
          <w:rFonts w:ascii="Amiri" w:hAnsi="Amiri" w:eastAsia="Amiri" w:cs="Amiri"/>
          <w:color w:val="111111"/>
          <w:sz w:val="28"/>
          <w:sz w:val="28"/>
          <w:szCs w:val="28"/>
          <w:rtl w:val="true"/>
          <w:lang w:bidi="ar-SA"/>
        </w:rPr>
        <w:t>أَم باطلةٌ؟ و مِن فِعلِ مَن هي‌؟ و مِن أيِّ جنسٍ هي‌؟</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ما هي‌؟</w:t>
      </w:r>
      <w:r>
        <w:rPr>
          <w:rStyle w:val="FootnoteAnchor"/>
          <w:rtl w:val="true"/>
        </w:rPr>
        <w:footnoteReference w:id="591"/>
      </w:r>
      <w:r>
        <w:rPr>
          <w:rFonts w:ascii="Amiri" w:hAnsi="Amiri" w:eastAsia="Amiri" w:cs="Amiri"/>
          <w:color w:val="111111"/>
          <w:sz w:val="28"/>
          <w:sz w:val="28"/>
          <w:szCs w:val="28"/>
          <w:rtl w:val="true"/>
          <w:lang w:bidi="ar-SA"/>
        </w:rPr>
        <w:t>و وَجهُ صحّتِها في الأكثَرِ؟ و ما وَجهُ الإنزالِ عندَ رؤيةِ المُباشَرةِ في المَنامِ؟</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592"/>
      </w:r>
      <w:r>
        <w:rPr>
          <w:rFonts w:ascii="Amiri" w:hAnsi="Amiri" w:eastAsia="Amiri" w:cs="Amiri"/>
          <w:color w:val="111111"/>
          <w:sz w:val="28"/>
          <w:sz w:val="28"/>
          <w:szCs w:val="28"/>
          <w:rtl w:val="true"/>
          <w:lang w:bidi="ar-SA"/>
        </w:rPr>
        <w:t>كانَ فيها صحيحٌ و باطلٌ‌، فما السبيلُ إلىٰ تمييزِ أحَدِهما مِن صاحبِه‌؟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النائمَ غَيرُ كاملِ العقلِ‌؛ لأنّ النومَ ضَربٌ مِن السهوِ، و السهوُ </w:t>
      </w:r>
      <w:bookmarkStart w:id="116" w:name="pg16415_223761"/>
    </w:p>
    <w:p>
      <w:pPr>
        <w:pStyle w:val="BookText"/>
        <w:rPr/>
      </w:pPr>
      <w:bookmarkEnd w:id="116"/>
      <w:r>
        <w:rPr>
          <w:rFonts w:ascii="Amiri" w:hAnsi="Amiri" w:eastAsia="Amiri" w:cs="Amiri"/>
          <w:color w:val="111111"/>
          <w:sz w:val="28"/>
          <w:sz w:val="28"/>
          <w:szCs w:val="28"/>
          <w:rtl w:val="true"/>
          <w:lang w:bidi="ar-SA"/>
        </w:rPr>
        <w:t>يَنفي العلومَ‌، و لهذا يَعتَقِدُ النائمُ في نَفسِه</w:t>
      </w:r>
      <w:r>
        <w:rPr>
          <w:rStyle w:val="FootnoteAnchor"/>
          <w:rtl w:val="true"/>
        </w:rPr>
        <w:footnoteReference w:id="595"/>
      </w:r>
      <w:r>
        <w:rPr>
          <w:rFonts w:ascii="Amiri" w:hAnsi="Amiri" w:eastAsia="Amiri" w:cs="Amiri"/>
          <w:color w:val="111111"/>
          <w:sz w:val="28"/>
          <w:sz w:val="28"/>
          <w:szCs w:val="28"/>
          <w:rtl w:val="true"/>
          <w:lang w:bidi="ar-SA"/>
        </w:rPr>
        <w:t>الاعتقاداتِ الباطلةَ‌؛ لنُقصانِ عَقلِه، و فَقدِ علومِه</w:t>
      </w:r>
      <w:r>
        <w:rPr>
          <w:rFonts w:eastAsia="Amiri" w:cs="Amiri" w:ascii="Amiri" w:hAnsi="Amiri"/>
          <w:color w:val="111111"/>
          <w:sz w:val="28"/>
          <w:szCs w:val="28"/>
          <w:rtl w:val="true"/>
          <w:lang w:bidi="ar-SA"/>
        </w:rPr>
        <w:t>.</w:t>
      </w:r>
      <w:r>
        <w:rPr>
          <w:rStyle w:val="FootnoteAnchor"/>
          <w:rtl w:val="true"/>
        </w:rPr>
        <w:footnoteReference w:id="596"/>
      </w:r>
    </w:p>
    <w:p>
      <w:pPr>
        <w:pStyle w:val="Heading6"/>
        <w:numPr>
          <w:ilvl w:val="5"/>
          <w:numId w:val="1"/>
        </w:numPr>
        <w:rPr/>
      </w:pPr>
      <w:bookmarkStart w:id="117" w:name="__RefHeading___Toc7642308_1280447820"/>
      <w:bookmarkStart w:id="118" w:name="_Toc41"/>
      <w:bookmarkEnd w:id="117"/>
      <w:r>
        <w:rPr>
          <w:rtl w:val="true"/>
        </w:rPr>
        <w:t>حقيقة المنامات و فاعلها</w:t>
      </w:r>
      <w:bookmarkEnd w:id="118"/>
    </w:p>
    <w:p>
      <w:pPr>
        <w:pStyle w:val="BookText"/>
        <w:rPr/>
      </w:pPr>
      <w:r>
        <w:rPr>
          <w:rFonts w:ascii="Amiri" w:hAnsi="Amiri" w:eastAsia="Amiri" w:cs="Amiri"/>
          <w:color w:val="111111"/>
          <w:sz w:val="28"/>
          <w:sz w:val="28"/>
          <w:szCs w:val="28"/>
          <w:rtl w:val="true"/>
          <w:lang w:bidi="ar-SA"/>
        </w:rPr>
        <w:t xml:space="preserve">و جميعُ المَناماتِ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يَبتَدئُها النائمُ في نفسِه، و لا يَجوزُ أن تَكونَ مِن فعلِ غَيرِه فيه؛ لأنّ مَن عَداه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Style w:val="FootnoteAnchor"/>
          <w:rtl w:val="true"/>
        </w:rPr>
        <w:footnoteReference w:id="597"/>
      </w:r>
      <w:r>
        <w:rPr>
          <w:rFonts w:ascii="Amiri" w:hAnsi="Amiri" w:eastAsia="Amiri" w:cs="Amiri"/>
          <w:color w:val="111111"/>
          <w:sz w:val="28"/>
          <w:sz w:val="28"/>
          <w:szCs w:val="28"/>
          <w:rtl w:val="true"/>
          <w:lang w:bidi="ar-SA"/>
        </w:rPr>
        <w:t xml:space="preserve">كانوا بَشَراً أو مَلائكةً أو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w:t>
      </w:r>
      <w:r>
        <w:rPr>
          <w:rStyle w:val="FootnoteAnchor"/>
          <w:rtl w:val="true"/>
        </w:rPr>
        <w:footnoteReference w:id="598"/>
      </w:r>
      <w:r>
        <w:rPr>
          <w:rFonts w:ascii="Amiri" w:hAnsi="Amiri" w:eastAsia="Amiri" w:cs="Amiri"/>
          <w:color w:val="111111"/>
          <w:sz w:val="28"/>
          <w:sz w:val="28"/>
          <w:szCs w:val="28"/>
          <w:rtl w:val="true"/>
          <w:lang w:bidi="ar-SA"/>
        </w:rPr>
        <w:t>و الجسمُ لا يَقدِرُ علىٰ‌</w:t>
      </w:r>
      <w:r>
        <w:rPr>
          <w:rStyle w:val="FootnoteAnchor"/>
          <w:rtl w:val="true"/>
        </w:rPr>
        <w:footnoteReference w:id="599"/>
      </w:r>
      <w:r>
        <w:rPr>
          <w:rFonts w:ascii="Amiri" w:hAnsi="Amiri" w:eastAsia="Amiri" w:cs="Amiri"/>
          <w:color w:val="111111"/>
          <w:sz w:val="28"/>
          <w:sz w:val="28"/>
          <w:szCs w:val="28"/>
          <w:rtl w:val="true"/>
          <w:lang w:bidi="ar-SA"/>
        </w:rPr>
        <w:t>أن يَفعَلَ في غَيرِه اعتقاداً ابتداءً‌، بَل و لا شَيئاً مِن الأجناسِ علىٰ هذا الوجهِ‌؛ و إنّما يَفعَلُ ذلكَ في نَفسِه علىٰ سَبيلِ الابتداءِ‌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يَفعَلُ في غَيرِه جنسَ الاعتقاداتِ مُتولِّداً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لأنّ الذي يُعدّي الفعلَ مِن مَحلِّ القُدرةِ إلىٰ غَيرِها مِن الأسبابِ إنّما هو الاعتماداتُ‌، و لَيسَ في أجناسِ الاعتماداتِ ما يُوَلِّدُ الاعتقاداتِ‌، و لهذا لَو اعتَمَدَ أحَدُنا علىٰ قَلبِ غَيرِه الدهرَ الطويلَ‌، ما تَولَّدَ فيه شَيءٌ مِن الاعتقادِ</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Style w:val="FootnoteAnchor"/>
          <w:rtl w:val="true"/>
        </w:rPr>
        <w:footnoteReference w:id="602"/>
      </w:r>
      <w:r>
        <w:rPr>
          <w:rFonts w:ascii="Amiri" w:hAnsi="Amiri" w:eastAsia="Amiri" w:cs="Amiri"/>
          <w:color w:val="111111"/>
          <w:sz w:val="28"/>
          <w:sz w:val="28"/>
          <w:szCs w:val="28"/>
          <w:rtl w:val="true"/>
          <w:lang w:bidi="ar-SA"/>
        </w:rPr>
        <w:t>بُيِّنَ ذلكَ و شُرِحَ في مَواضِعَ كَثيرةٍ‌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119" w:name="pg16415_223762"/>
    </w:p>
    <w:p>
      <w:pPr>
        <w:pStyle w:val="BookText"/>
        <w:rPr/>
      </w:pPr>
      <w:bookmarkEnd w:id="119"/>
      <w:r>
        <w:rPr>
          <w:rFonts w:ascii="Amiri" w:hAnsi="Amiri" w:eastAsia="Amiri" w:cs="Amiri"/>
          <w:color w:val="111111"/>
          <w:sz w:val="28"/>
          <w:sz w:val="28"/>
          <w:szCs w:val="28"/>
          <w:rtl w:val="true"/>
          <w:lang w:bidi="ar-SA"/>
        </w:rPr>
        <w:t>و القَديمُ تَعالَى القادرُ</w:t>
      </w:r>
      <w:r>
        <w:rPr>
          <w:rStyle w:val="FootnoteAnchor"/>
          <w:rtl w:val="true"/>
        </w:rPr>
        <w:footnoteReference w:id="604"/>
      </w:r>
      <w:r>
        <w:rPr>
          <w:rFonts w:ascii="Amiri" w:hAnsi="Amiri" w:eastAsia="Amiri" w:cs="Amiri"/>
          <w:color w:val="111111"/>
          <w:sz w:val="28"/>
          <w:sz w:val="28"/>
          <w:szCs w:val="28"/>
          <w:rtl w:val="true"/>
          <w:lang w:bidi="ar-SA"/>
        </w:rPr>
        <w:t>علىٰ أن يَفعَلَ في قُلوبِنا ابتداءً مِن غَيرِ سببٍ أجناسَ الاعتقاداتِ‌، لا يَجوزُ</w:t>
      </w:r>
      <w:r>
        <w:rPr>
          <w:rStyle w:val="FootnoteAnchor"/>
          <w:rtl w:val="true"/>
        </w:rPr>
        <w:footnoteReference w:id="605"/>
      </w:r>
      <w:r>
        <w:rPr>
          <w:rFonts w:ascii="Amiri" w:hAnsi="Amiri" w:eastAsia="Amiri" w:cs="Amiri"/>
          <w:color w:val="111111"/>
          <w:sz w:val="28"/>
          <w:sz w:val="28"/>
          <w:szCs w:val="28"/>
          <w:rtl w:val="true"/>
          <w:lang w:bidi="ar-SA"/>
        </w:rPr>
        <w:t>أن يَفعَلَ في قَلبِ النائمِ اعتقاداً؛ لأنّ أكثَرَ اعتقاداتِ‌</w:t>
      </w:r>
      <w:r>
        <w:rPr>
          <w:rStyle w:val="FootnoteAnchor"/>
          <w:rtl w:val="true"/>
        </w:rPr>
        <w:footnoteReference w:id="606"/>
      </w:r>
      <w:r>
        <w:rPr>
          <w:rFonts w:ascii="Amiri" w:hAnsi="Amiri" w:eastAsia="Amiri" w:cs="Amiri"/>
          <w:color w:val="111111"/>
          <w:sz w:val="28"/>
          <w:sz w:val="28"/>
          <w:szCs w:val="28"/>
          <w:rtl w:val="true"/>
          <w:lang w:bidi="ar-SA"/>
        </w:rPr>
        <w:t>النائمِ جَهلٌ‌، و يَتناوَلُ‌</w:t>
      </w:r>
      <w:r>
        <w:rPr>
          <w:rStyle w:val="FootnoteAnchor"/>
          <w:rtl w:val="true"/>
        </w:rPr>
        <w:footnoteReference w:id="607"/>
      </w:r>
      <w:r>
        <w:rPr>
          <w:rFonts w:ascii="Amiri" w:hAnsi="Amiri" w:eastAsia="Amiri" w:cs="Amiri"/>
          <w:color w:val="111111"/>
          <w:sz w:val="28"/>
          <w:sz w:val="28"/>
          <w:szCs w:val="28"/>
          <w:rtl w:val="true"/>
          <w:lang w:bidi="ar-SA"/>
        </w:rPr>
        <w:t>الشيءَ علىٰ خِلافِ ما هو به؛ لأنّه يَعتَقِدُ أ نّه يَرىٰ و يَمشي و أنّه راكبٌ و علىٰ صفاتٍ كَثيرةٍ‌، و كُلُّ ذلكَ علىٰ خِلافِ ما هو به</w:t>
      </w:r>
      <w:r>
        <w:rPr>
          <w:rStyle w:val="FootnoteAnchor"/>
          <w:rtl w:val="true"/>
        </w:rPr>
        <w:footnoteReference w:id="608"/>
      </w:r>
      <w:r>
        <w:rPr>
          <w:rFonts w:ascii="Amiri" w:hAnsi="Amiri" w:eastAsia="Amiri" w:cs="Amiri"/>
          <w:color w:val="111111"/>
          <w:sz w:val="28"/>
          <w:sz w:val="28"/>
          <w:szCs w:val="28"/>
          <w:rtl w:val="true"/>
          <w:lang w:bidi="ar-SA"/>
        </w:rPr>
        <w:t>و هو تَعالىٰ لا يَفعَلُ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إلّاأنّ الاعتقاداتِ كُلَّها مِن جهةِ النائمِ‌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7642310_1280447820"/>
      <w:bookmarkStart w:id="121" w:name="_Toc42"/>
      <w:bookmarkEnd w:id="120"/>
      <w:r>
        <w:rPr>
          <w:rtl w:val="true"/>
        </w:rPr>
        <w:t>إبطال القول بصحّة جميع المنامات</w:t>
      </w:r>
      <w:bookmarkEnd w:id="121"/>
    </w:p>
    <w:p>
      <w:pPr>
        <w:pStyle w:val="BookText"/>
        <w:rPr/>
      </w:pPr>
      <w:r>
        <w:rPr>
          <w:rFonts w:ascii="Amiri" w:hAnsi="Amiri" w:eastAsia="Amiri" w:cs="Amiri"/>
          <w:color w:val="111111"/>
          <w:sz w:val="28"/>
          <w:sz w:val="28"/>
          <w:szCs w:val="28"/>
          <w:rtl w:val="true"/>
          <w:lang w:bidi="ar-SA"/>
        </w:rPr>
        <w:t>و قد حُكيَ‌</w:t>
      </w:r>
      <w:r>
        <w:rPr>
          <w:rStyle w:val="FootnoteAnchor"/>
          <w:rtl w:val="true"/>
        </w:rPr>
        <w:footnoteReference w:id="60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بصالحِ قُبَّةٍ‌</w:t>
      </w:r>
      <w:r>
        <w:rPr>
          <w:rStyle w:val="FootnoteAnchor"/>
          <w:rtl w:val="true"/>
        </w:rPr>
        <w:footnoteReference w:id="610"/>
      </w:r>
      <w:r>
        <w:rPr>
          <w:rFonts w:ascii="Amiri" w:hAnsi="Amiri" w:eastAsia="Amiri" w:cs="Amiri"/>
          <w:color w:val="111111"/>
          <w:sz w:val="28"/>
          <w:sz w:val="28"/>
          <w:szCs w:val="28"/>
          <w:rtl w:val="true"/>
          <w:lang w:bidi="ar-SA"/>
        </w:rPr>
        <w:t>كانَ يَذهَبُ إلىٰ أنّ كُلَّ ما يَراه النائمُ في مَنامِه علَى الحقيقةِ‌</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جَهلٌ منه</w:t>
      </w:r>
      <w:r>
        <w:rPr>
          <w:rStyle w:val="FootnoteAnchor"/>
          <w:rtl w:val="true"/>
        </w:rPr>
        <w:footnoteReference w:id="612"/>
      </w:r>
      <w:r>
        <w:rPr>
          <w:rFonts w:ascii="Amiri" w:hAnsi="Amiri" w:eastAsia="Amiri" w:cs="Amiri"/>
          <w:color w:val="111111"/>
          <w:sz w:val="28"/>
          <w:sz w:val="28"/>
          <w:szCs w:val="28"/>
          <w:rtl w:val="true"/>
          <w:lang w:bidi="ar-SA"/>
        </w:rPr>
        <w:t>يُضاهي</w:t>
      </w:r>
      <w:r>
        <w:rPr>
          <w:rStyle w:val="FootnoteAnchor"/>
          <w:rtl w:val="true"/>
        </w:rPr>
        <w:footnoteReference w:id="613"/>
      </w:r>
      <w:r>
        <w:rPr>
          <w:rFonts w:ascii="Amiri" w:hAnsi="Amiri" w:eastAsia="Amiri" w:cs="Amiri"/>
          <w:color w:val="111111"/>
          <w:sz w:val="28"/>
          <w:sz w:val="28"/>
          <w:szCs w:val="28"/>
          <w:rtl w:val="true"/>
          <w:lang w:bidi="ar-SA"/>
        </w:rPr>
        <w:t xml:space="preserve">جَهلَ السوفِسطائيّةِ‌؛ لأنّ النائمَ يَرىٰ أنّ رأسَه مقطوعٌ‌، و أ نّه قد ماتَ‌، و أ نّه قد صَعِدَ إلَى السماءِ‌، و نَحنُ نَعلَمُ ضَرورةً خِلافَ‌ </w:t>
      </w:r>
      <w:bookmarkStart w:id="122" w:name="pg16415_223763"/>
    </w:p>
    <w:p>
      <w:pPr>
        <w:pStyle w:val="BookText"/>
        <w:rPr/>
      </w:pPr>
      <w:bookmarkEnd w:id="122"/>
      <w:r>
        <w:rPr>
          <w:rFonts w:ascii="Amiri" w:hAnsi="Amiri" w:eastAsia="Amiri" w:cs="Amiri"/>
          <w:color w:val="111111"/>
          <w:sz w:val="28"/>
          <w:sz w:val="28"/>
          <w:szCs w:val="28"/>
          <w:rtl w:val="true"/>
          <w:lang w:bidi="ar-SA"/>
        </w:rPr>
        <w:t>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w:t>
      </w:r>
      <w:r>
        <w:rPr>
          <w:rStyle w:val="FootnoteAnchor"/>
          <w:rtl w:val="true"/>
        </w:rPr>
        <w:footnoteReference w:id="614"/>
      </w:r>
      <w:r>
        <w:rPr>
          <w:rFonts w:ascii="Amiri" w:hAnsi="Amiri" w:eastAsia="Amiri" w:cs="Amiri"/>
          <w:color w:val="111111"/>
          <w:sz w:val="28"/>
          <w:sz w:val="28"/>
          <w:szCs w:val="28"/>
          <w:rtl w:val="true"/>
          <w:lang w:bidi="ar-SA"/>
        </w:rPr>
        <w:t>عندَ صالحٍ هذا أن يَعتَقِدَ اليقظانُ في السرابِ‌</w:t>
      </w:r>
      <w:r>
        <w:rPr>
          <w:rStyle w:val="FootnoteAnchor"/>
          <w:rtl w:val="true"/>
        </w:rPr>
        <w:footnoteReference w:id="615"/>
      </w:r>
      <w:r>
        <w:rPr>
          <w:rFonts w:ascii="Amiri" w:hAnsi="Amiri" w:eastAsia="Amiri" w:cs="Amiri"/>
          <w:color w:val="111111"/>
          <w:sz w:val="28"/>
          <w:sz w:val="28"/>
          <w:szCs w:val="28"/>
          <w:rtl w:val="true"/>
          <w:lang w:bidi="ar-SA"/>
        </w:rPr>
        <w:t>أ نّه ماءٌ‌، و في المُرديِّ‌</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يَدفع بها الملّاحُ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الماءِ أ نّه مكسورٌ و هو علَى الحقيقةِ صحيحٌ لضَربٍ‌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الشُّبهةِ و اللَّبْسِ‌، فألّا جازَ ذلكَ في النائمِ‌، و هو مِن الكمالِ أبعَدُ و 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النقصِ أقرَبُ؟</w:t>
      </w:r>
    </w:p>
    <w:p>
      <w:pPr>
        <w:pStyle w:val="Heading6"/>
        <w:numPr>
          <w:ilvl w:val="5"/>
          <w:numId w:val="1"/>
        </w:numPr>
        <w:rPr/>
      </w:pPr>
      <w:bookmarkStart w:id="123" w:name="__RefHeading___Toc7642312_1280447820"/>
      <w:bookmarkStart w:id="124" w:name="_Toc43"/>
      <w:bookmarkEnd w:id="123"/>
      <w:r>
        <w:rPr>
          <w:rtl w:val="true"/>
        </w:rPr>
        <w:t>أقسام المنامات</w:t>
      </w:r>
      <w:bookmarkEnd w:id="124"/>
    </w:p>
    <w:p>
      <w:pPr>
        <w:pStyle w:val="BookText"/>
        <w:rPr/>
      </w:pPr>
      <w:r>
        <w:rPr>
          <w:rFonts w:ascii="Amiri" w:hAnsi="Amiri" w:eastAsia="Amiri" w:cs="Amiri"/>
          <w:color w:val="111111"/>
          <w:sz w:val="28"/>
          <w:sz w:val="28"/>
          <w:szCs w:val="28"/>
          <w:rtl w:val="true"/>
          <w:lang w:bidi="ar-SA"/>
        </w:rPr>
        <w:t>و يَنبَغي أن يُقسَّمَ‌</w:t>
      </w:r>
      <w:r>
        <w:rPr>
          <w:rStyle w:val="FootnoteAnchor"/>
          <w:rtl w:val="true"/>
        </w:rPr>
        <w:footnoteReference w:id="617"/>
      </w:r>
      <w:r>
        <w:rPr>
          <w:rFonts w:ascii="Amiri" w:hAnsi="Amiri" w:eastAsia="Amiri" w:cs="Amiri"/>
          <w:color w:val="111111"/>
          <w:sz w:val="28"/>
          <w:sz w:val="28"/>
          <w:szCs w:val="28"/>
          <w:rtl w:val="true"/>
          <w:lang w:bidi="ar-SA"/>
        </w:rPr>
        <w:t>ما يَتخيَّلُ النائمُ أ نّه يَراه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غَيرِ سببٍ يَقتَضيهِ أو داعٍ يَدعو إليه، فيَكونُ‌</w:t>
      </w:r>
      <w:r>
        <w:rPr>
          <w:rStyle w:val="FootnoteAnchor"/>
          <w:rtl w:val="true"/>
        </w:rPr>
        <w:footnoteReference w:id="618"/>
      </w:r>
      <w:r>
        <w:rPr>
          <w:rFonts w:ascii="Amiri" w:hAnsi="Amiri" w:eastAsia="Amiri" w:cs="Amiri"/>
          <w:color w:val="111111"/>
          <w:sz w:val="28"/>
          <w:sz w:val="28"/>
          <w:szCs w:val="28"/>
          <w:rtl w:val="true"/>
          <w:lang w:bidi="ar-SA"/>
        </w:rPr>
        <w:t>اعتقاداً مُبتَدَءاً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وَسواسِ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هذه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w:t>
      </w:r>
      <w:r>
        <w:rPr>
          <w:rStyle w:val="FootnoteAnchor"/>
          <w:rtl w:val="true"/>
        </w:rPr>
        <w:footnoteReference w:id="619"/>
      </w:r>
      <w:r>
        <w:rPr>
          <w:rFonts w:ascii="Amiri" w:hAnsi="Amiri" w:eastAsia="Amiri" w:cs="Amiri"/>
          <w:color w:val="111111"/>
          <w:sz w:val="28"/>
          <w:sz w:val="28"/>
          <w:szCs w:val="28"/>
          <w:rtl w:val="true"/>
          <w:lang w:bidi="ar-SA"/>
        </w:rPr>
        <w:t>يَفعَلُ في داخلِ سَمعِه كلاماً خَفيّاً يَتضمَّنُ أشياءَ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فيَعتَقِدُ النائمُ إذا سَمِعَ ذلكَ الكلامَ أ نّه يَراه؛ فقَد نَجِدُ</w:t>
      </w:r>
      <w:r>
        <w:rPr>
          <w:rStyle w:val="FootnoteAnchor"/>
          <w:rtl w:val="true"/>
        </w:rPr>
        <w:footnoteReference w:id="620"/>
      </w:r>
      <w:r>
        <w:rPr>
          <w:rFonts w:ascii="Amiri" w:hAnsi="Amiri" w:eastAsia="Amiri" w:cs="Amiri"/>
          <w:color w:val="111111"/>
          <w:sz w:val="28"/>
          <w:sz w:val="28"/>
          <w:szCs w:val="28"/>
          <w:rtl w:val="true"/>
          <w:lang w:bidi="ar-SA"/>
        </w:rPr>
        <w:t>كَثيراً مِن النيامِ يَسمَعونَ حَديثَ مَن يَتحدَّثُ بالقُربِ منهم، فيَعتَقِدونَ أنّهم يَرَونَ معنىٰ‌</w:t>
      </w:r>
      <w:r>
        <w:rPr>
          <w:rStyle w:val="FootnoteAnchor"/>
          <w:rtl w:val="true"/>
        </w:rPr>
        <w:footnoteReference w:id="621"/>
      </w:r>
      <w:r>
        <w:rPr>
          <w:rFonts w:ascii="Amiri" w:hAnsi="Amiri" w:eastAsia="Amiri" w:cs="Amiri"/>
          <w:color w:val="111111"/>
          <w:sz w:val="28"/>
          <w:sz w:val="28"/>
          <w:szCs w:val="28"/>
          <w:rtl w:val="true"/>
          <w:lang w:bidi="ar-SA"/>
        </w:rPr>
        <w:t>ذلكَ الحديثِ في مَنامِهم</w:t>
      </w:r>
      <w:r>
        <w:rPr>
          <w:rFonts w:eastAsia="Amiri" w:cs="Amiri" w:ascii="Amiri" w:hAnsi="Amiri"/>
          <w:color w:val="111111"/>
          <w:sz w:val="28"/>
          <w:szCs w:val="28"/>
          <w:rtl w:val="true"/>
          <w:lang w:bidi="ar-SA"/>
        </w:rPr>
        <w:t xml:space="preserve">. </w:t>
      </w:r>
      <w:bookmarkStart w:id="125" w:name="pg16415_223764"/>
    </w:p>
    <w:p>
      <w:pPr>
        <w:pStyle w:val="BookText"/>
        <w:rPr/>
      </w:pPr>
      <w:bookmarkEnd w:id="12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سببُه و الداعي إليه خاطراً</w:t>
      </w:r>
      <w:r>
        <w:rPr>
          <w:rStyle w:val="FootnoteAnchor"/>
          <w:rtl w:val="true"/>
        </w:rPr>
        <w:footnoteReference w:id="622"/>
      </w:r>
      <w:r>
        <w:rPr>
          <w:rFonts w:ascii="Amiri" w:hAnsi="Amiri" w:eastAsia="Amiri" w:cs="Amiri"/>
          <w:color w:val="111111"/>
          <w:sz w:val="28"/>
          <w:sz w:val="28"/>
          <w:szCs w:val="28"/>
          <w:rtl w:val="true"/>
          <w:lang w:bidi="ar-SA"/>
        </w:rPr>
        <w:t>يَفعَلُه اللّٰهُ تَعالىٰ أو يأمُرُ بعضَ المَلائكةِ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الخاطرِ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يَكونُ‌</w:t>
      </w:r>
      <w:r>
        <w:rPr>
          <w:rStyle w:val="FootnoteAnchor"/>
          <w:rtl w:val="true"/>
        </w:rPr>
        <w:footnoteReference w:id="623"/>
      </w:r>
      <w:r>
        <w:rPr>
          <w:rFonts w:ascii="Amiri" w:hAnsi="Amiri" w:eastAsia="Amiri" w:cs="Amiri"/>
          <w:color w:val="111111"/>
          <w:sz w:val="28"/>
          <w:sz w:val="28"/>
          <w:szCs w:val="28"/>
          <w:rtl w:val="true"/>
          <w:lang w:bidi="ar-SA"/>
        </w:rPr>
        <w:t>كلاماً يُفعَلُ في داخلِ سَمعِ النائمِ‌</w:t>
      </w:r>
      <w:r>
        <w:rPr>
          <w:rStyle w:val="FootnoteAnchor"/>
          <w:rtl w:val="true"/>
        </w:rPr>
        <w:footnoteReference w:id="624"/>
      </w:r>
      <w:r>
        <w:rPr>
          <w:rFonts w:ascii="Amiri" w:hAnsi="Amiri" w:eastAsia="Amiri" w:cs="Amiri"/>
          <w:color w:val="111111"/>
          <w:sz w:val="28"/>
          <w:sz w:val="28"/>
          <w:szCs w:val="28"/>
          <w:rtl w:val="true"/>
          <w:lang w:bidi="ar-SA"/>
        </w:rPr>
        <w:t>، فيَعتَقِدُ النائمُ‌</w:t>
      </w:r>
      <w:r>
        <w:rPr>
          <w:rStyle w:val="FootnoteAnchor"/>
          <w:rtl w:val="true"/>
        </w:rPr>
        <w:footnoteReference w:id="625"/>
      </w:r>
      <w:r>
        <w:rPr>
          <w:rFonts w:ascii="Amiri" w:hAnsi="Amiri" w:eastAsia="Amiri" w:cs="Amiri"/>
          <w:color w:val="111111"/>
          <w:sz w:val="28"/>
          <w:sz w:val="28"/>
          <w:szCs w:val="28"/>
          <w:rtl w:val="true"/>
          <w:lang w:bidi="ar-SA"/>
        </w:rPr>
        <w:t>أيضاً أ نّه يَرىٰ ما يَتضمَّنُه</w:t>
      </w:r>
      <w:r>
        <w:rPr>
          <w:rStyle w:val="FootnoteAnchor"/>
          <w:rtl w:val="true"/>
        </w:rPr>
        <w:footnoteReference w:id="626"/>
      </w:r>
      <w:r>
        <w:rPr>
          <w:rFonts w:ascii="Amiri" w:hAnsi="Amiri" w:eastAsia="Amiri" w:cs="Amiri"/>
          <w:color w:val="111111"/>
          <w:sz w:val="28"/>
          <w:sz w:val="28"/>
          <w:szCs w:val="28"/>
          <w:rtl w:val="true"/>
          <w:lang w:bidi="ar-SA"/>
        </w:rPr>
        <w:t>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المَناماتُ الداعيةُ إلَى الخَيرِ و الصلاحِ في الدِّينِ يَجِبُ أن تَكونَ إلىٰ هذا الوجهِ مصروفةً‌، كَما أنّ ما يَقتَضي الشرَّ منها الأَولىٰ أن تَكونَ‌</w:t>
      </w:r>
      <w:r>
        <w:rPr>
          <w:rStyle w:val="FootnoteAnchor"/>
          <w:rtl w:val="true"/>
        </w:rPr>
        <w:footnoteReference w:id="627"/>
      </w:r>
      <w:r>
        <w:rPr>
          <w:rFonts w:ascii="Amiri" w:hAnsi="Amiri" w:eastAsia="Amiri" w:cs="Amiri"/>
          <w:color w:val="111111"/>
          <w:sz w:val="28"/>
          <w:sz w:val="28"/>
          <w:szCs w:val="28"/>
          <w:rtl w:val="true"/>
          <w:lang w:bidi="ar-SA"/>
        </w:rPr>
        <w:t>إلىٰ وَسواسِ الشيطانِ مصروفةً‌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7642314_1280447820"/>
      <w:bookmarkStart w:id="127" w:name="_Toc44"/>
      <w:bookmarkEnd w:id="126"/>
      <w:r>
        <w:rPr>
          <w:rtl w:val="true"/>
        </w:rPr>
        <w:t>في بيان سبب صحّة بعض المنامات</w:t>
      </w:r>
      <w:bookmarkEnd w:id="1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يَراه النائمُ في مَنامِه ثُمَّ يَصِحُّ ذلكَ حتّىٰ يَراه في يَقَظتِه علىٰ حَدِّ ما رآه</w:t>
      </w:r>
      <w:r>
        <w:rPr>
          <w:rStyle w:val="FootnoteAnchor"/>
          <w:rtl w:val="true"/>
        </w:rPr>
        <w:footnoteReference w:id="628"/>
      </w:r>
      <w:r>
        <w:rPr>
          <w:rFonts w:ascii="Amiri" w:hAnsi="Amiri" w:eastAsia="Amiri" w:cs="Amiri"/>
          <w:color w:val="111111"/>
          <w:sz w:val="28"/>
          <w:sz w:val="28"/>
          <w:szCs w:val="28"/>
          <w:rtl w:val="true"/>
          <w:lang w:bidi="ar-SA"/>
        </w:rPr>
        <w:t>في مَنامِه، و في كُلِّ مَنامٍ يَصِحُّ تأويلُه</w:t>
      </w:r>
      <w:r>
        <w:rPr>
          <w:rStyle w:val="FootnoteAnchor"/>
          <w:rtl w:val="true"/>
        </w:rPr>
        <w:footnoteReference w:id="629"/>
      </w:r>
      <w:r>
        <w:rPr>
          <w:rFonts w:ascii="Amiri" w:hAnsi="Amiri" w:eastAsia="Amiri" w:cs="Amiri"/>
          <w:color w:val="111111"/>
          <w:sz w:val="28"/>
          <w:sz w:val="28"/>
          <w:szCs w:val="28"/>
          <w:rtl w:val="true"/>
          <w:lang w:bidi="ar-SA"/>
        </w:rPr>
        <w:t>، أن يَكونَ‌ سببُ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يَفعَلُ كلاماً في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شَيئاً يَكونُ أو قد كانَ علىٰ بعضِ الصفاتِ‌، فيَعتَقِدُ النائمُ أنّ الذي يَسمَعُه هو يَراه، فإذا صَحَّ تأويلُه علىٰ ما رآه</w:t>
      </w:r>
      <w:r>
        <w:rPr>
          <w:rStyle w:val="FootnoteAnchor"/>
          <w:rtl w:val="true"/>
        </w:rPr>
        <w:footnoteReference w:id="630"/>
      </w:r>
      <w:r>
        <w:rPr>
          <w:rFonts w:ascii="Amiri" w:hAnsi="Amiri" w:eastAsia="Amiri" w:cs="Amiri"/>
          <w:color w:val="111111"/>
          <w:sz w:val="28"/>
          <w:sz w:val="28"/>
          <w:szCs w:val="28"/>
          <w:rtl w:val="true"/>
          <w:lang w:bidi="ar-SA"/>
        </w:rPr>
        <w:t>فلِما ذَكرناه، إن لَم يَكُن ممّا يَجوزُ أن تَتَّفِقَ‌</w:t>
      </w:r>
      <w:r>
        <w:rPr>
          <w:rStyle w:val="FootnoteAnchor"/>
          <w:rtl w:val="true"/>
        </w:rPr>
        <w:footnoteReference w:id="631"/>
      </w:r>
      <w:r>
        <w:rPr>
          <w:rFonts w:ascii="Amiri" w:hAnsi="Amiri" w:eastAsia="Amiri" w:cs="Amiri"/>
          <w:color w:val="111111"/>
          <w:sz w:val="28"/>
          <w:sz w:val="28"/>
          <w:szCs w:val="28"/>
          <w:rtl w:val="true"/>
          <w:lang w:bidi="ar-SA"/>
        </w:rPr>
        <w:t xml:space="preserve">فيه الصحّةُ‌ </w:t>
      </w:r>
      <w:bookmarkStart w:id="128" w:name="pg16415_223765"/>
    </w:p>
    <w:p>
      <w:pPr>
        <w:pStyle w:val="BookText"/>
        <w:rPr/>
      </w:pPr>
      <w:bookmarkEnd w:id="128"/>
      <w:r>
        <w:rPr>
          <w:rFonts w:ascii="Amiri" w:hAnsi="Amiri" w:eastAsia="Amiri" w:cs="Amiri"/>
          <w:color w:val="111111"/>
          <w:sz w:val="28"/>
          <w:sz w:val="28"/>
          <w:szCs w:val="28"/>
          <w:rtl w:val="true"/>
          <w:lang w:bidi="ar-SA"/>
        </w:rPr>
        <w:t>اتّفاقاً؛ فإنّ في المَناماتِ ما يَجوزُ أن يَصِحَّ بالاتّفاقِ‌، و ما يَضيقُ فيه مَجالُ‌</w:t>
      </w:r>
      <w:r>
        <w:rPr>
          <w:rStyle w:val="FootnoteAnchor"/>
          <w:rtl w:val="true"/>
        </w:rPr>
        <w:footnoteReference w:id="632"/>
      </w:r>
      <w:r>
        <w:rPr>
          <w:rFonts w:ascii="Amiri" w:hAnsi="Amiri" w:eastAsia="Amiri" w:cs="Amiri"/>
          <w:color w:val="111111"/>
          <w:sz w:val="28"/>
          <w:sz w:val="28"/>
          <w:szCs w:val="28"/>
          <w:rtl w:val="true"/>
          <w:lang w:bidi="ar-SA"/>
        </w:rPr>
        <w:t>نِسبتِه</w:t>
      </w:r>
      <w:r>
        <w:rPr>
          <w:rStyle w:val="FootnoteAnchor"/>
          <w:rtl w:val="true"/>
        </w:rPr>
        <w:footnoteReference w:id="633"/>
      </w:r>
      <w:r>
        <w:rPr>
          <w:rFonts w:ascii="Amiri" w:hAnsi="Amiri" w:eastAsia="Amiri" w:cs="Amiri"/>
          <w:color w:val="111111"/>
          <w:sz w:val="28"/>
          <w:sz w:val="28"/>
          <w:szCs w:val="28"/>
          <w:rtl w:val="true"/>
          <w:lang w:bidi="ar-SA"/>
        </w:rPr>
        <w:t>إلَى الاتّفاقِ فهذا الذي ذَكرناه يُمكِنُ أن يَكونَ وَجهاً فيه</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642316_1280447820"/>
      <w:bookmarkStart w:id="130" w:name="_Toc45"/>
      <w:bookmarkEnd w:id="129"/>
      <w:r>
        <w:rPr>
          <w:rtl w:val="true"/>
        </w:rPr>
        <w:t>نفي تأثير المأكولات في حصول المنامات</w:t>
      </w:r>
      <w:bookmarkEnd w:id="1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w:t>
      </w:r>
      <w:r>
        <w:rPr>
          <w:rStyle w:val="FootnoteAnchor"/>
          <w:rtl w:val="true"/>
        </w:rPr>
        <w:footnoteReference w:id="634"/>
      </w:r>
      <w:r>
        <w:rPr>
          <w:rFonts w:ascii="Amiri" w:hAnsi="Amiri" w:eastAsia="Amiri" w:cs="Amiri"/>
          <w:color w:val="111111"/>
          <w:sz w:val="28"/>
          <w:sz w:val="28"/>
          <w:szCs w:val="28"/>
          <w:rtl w:val="true"/>
          <w:lang w:bidi="ar-SA"/>
        </w:rPr>
        <w:t>قد قالَ أبو عليٍّ الجُبّائيُّ‌</w:t>
      </w:r>
      <w:r>
        <w:rPr>
          <w:rStyle w:val="FootnoteAnchor"/>
          <w:rtl w:val="true"/>
        </w:rPr>
        <w:footnoteReference w:id="635"/>
      </w:r>
      <w:r>
        <w:rPr>
          <w:rFonts w:ascii="Amiri" w:hAnsi="Amiri" w:eastAsia="Amiri" w:cs="Amiri"/>
          <w:color w:val="111111"/>
          <w:sz w:val="28"/>
          <w:sz w:val="28"/>
          <w:szCs w:val="28"/>
          <w:rtl w:val="true"/>
          <w:lang w:bidi="ar-SA"/>
        </w:rPr>
        <w:t>في بعضِ كلامِه في المَناماتِ‌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الطبائعَ لا يَجوزُ</w:t>
      </w:r>
      <w:r>
        <w:rPr>
          <w:rStyle w:val="FootnoteAnchor"/>
          <w:rtl w:val="true"/>
        </w:rPr>
        <w:footnoteReference w:id="636"/>
      </w:r>
      <w:r>
        <w:rPr>
          <w:rFonts w:ascii="Amiri" w:hAnsi="Amiri" w:eastAsia="Amiri" w:cs="Amiri"/>
          <w:color w:val="111111"/>
          <w:sz w:val="28"/>
          <w:sz w:val="28"/>
          <w:szCs w:val="28"/>
          <w:rtl w:val="true"/>
          <w:lang w:bidi="ar-SA"/>
        </w:rPr>
        <w:t>أن تَكونَ مؤَثِّرةً فيها؛ لأنّ الطبائعَ ممّا</w:t>
      </w:r>
      <w:r>
        <w:rPr>
          <w:rStyle w:val="FootnoteAnchor"/>
          <w:rtl w:val="true"/>
        </w:rPr>
        <w:footnoteReference w:id="637"/>
      </w:r>
      <w:r>
        <w:rPr>
          <w:rFonts w:ascii="Amiri" w:hAnsi="Amiri" w:eastAsia="Amiri" w:cs="Amiri"/>
          <w:color w:val="111111"/>
          <w:sz w:val="28"/>
          <w:sz w:val="28"/>
          <w:szCs w:val="28"/>
          <w:rtl w:val="true"/>
          <w:lang w:bidi="ar-SA"/>
        </w:rPr>
        <w:t>لا يَجوزُ</w:t>
      </w:r>
      <w:r>
        <w:rPr>
          <w:rStyle w:val="FootnoteAnchor"/>
          <w:rtl w:val="true"/>
        </w:rPr>
        <w:footnoteReference w:id="638"/>
      </w:r>
      <w:r>
        <w:rPr>
          <w:rFonts w:ascii="Amiri" w:hAnsi="Amiri" w:eastAsia="Amiri" w:cs="Amiri"/>
          <w:color w:val="111111"/>
          <w:sz w:val="28"/>
          <w:sz w:val="28"/>
          <w:szCs w:val="28"/>
          <w:rtl w:val="true"/>
          <w:lang w:bidi="ar-SA"/>
        </w:rPr>
        <w:t>علَى المَذاهبِ الصحيحةِ أن تؤَثِّرَ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غَيرُ مُمتَنِعٍ مع ذلكَ أن يَكونَ بعضُ المأكولاتِ‌</w:t>
      </w:r>
      <w:r>
        <w:rPr>
          <w:rStyle w:val="FootnoteAnchor"/>
          <w:rtl w:val="true"/>
        </w:rPr>
        <w:footnoteReference w:id="639"/>
      </w:r>
      <w:r>
        <w:rPr>
          <w:rFonts w:ascii="Amiri" w:hAnsi="Amiri" w:eastAsia="Amiri" w:cs="Amiri"/>
          <w:color w:val="111111"/>
          <w:sz w:val="28"/>
          <w:sz w:val="28"/>
          <w:szCs w:val="28"/>
          <w:rtl w:val="true"/>
          <w:lang w:bidi="ar-SA"/>
        </w:rPr>
        <w:t>يَكثُرُ عندَها المَناماتُ بالعادةِ‌، كَما أنّ‌</w:t>
      </w:r>
      <w:r>
        <w:rPr>
          <w:rStyle w:val="FootnoteAnchor"/>
          <w:rtl w:val="true"/>
        </w:rPr>
        <w:footnoteReference w:id="640"/>
      </w:r>
      <w:r>
        <w:rPr>
          <w:rFonts w:ascii="Amiri" w:hAnsi="Amiri" w:eastAsia="Amiri" w:cs="Amiri"/>
          <w:color w:val="111111"/>
          <w:sz w:val="28"/>
          <w:sz w:val="28"/>
          <w:szCs w:val="28"/>
          <w:rtl w:val="true"/>
          <w:lang w:bidi="ar-SA"/>
        </w:rPr>
        <w:t>فيها ما يَكثُرُ عندَه بالعادةِ تَخيُّلُ‌</w:t>
      </w:r>
      <w:r>
        <w:rPr>
          <w:rStyle w:val="FootnoteAnchor"/>
          <w:rtl w:val="true"/>
        </w:rPr>
        <w:footnoteReference w:id="641"/>
      </w:r>
      <w:r>
        <w:rPr>
          <w:rFonts w:ascii="Amiri" w:hAnsi="Amiri" w:eastAsia="Amiri" w:cs="Amiri"/>
          <w:color w:val="111111"/>
          <w:sz w:val="28"/>
          <w:sz w:val="28"/>
          <w:szCs w:val="28"/>
          <w:rtl w:val="true"/>
          <w:lang w:bidi="ar-SA"/>
        </w:rPr>
        <w:t>الإنسانِ وهو مُستَيقِظٌ لِما</w:t>
      </w:r>
      <w:r>
        <w:rPr>
          <w:rStyle w:val="FootnoteAnchor"/>
          <w:rtl w:val="true"/>
        </w:rPr>
        <w:footnoteReference w:id="642"/>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1" w:name="pg16415_223766"/>
    </w:p>
    <w:p>
      <w:pPr>
        <w:pStyle w:val="BookText"/>
        <w:rPr/>
      </w:pPr>
      <w:bookmarkEnd w:id="13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أبو عليٍّ‌، و هو خَطأٌ؛ لأنّ تأثيراتِ المأكَلِ‌</w:t>
      </w:r>
      <w:r>
        <w:rPr>
          <w:rStyle w:val="FootnoteAnchor"/>
          <w:rtl w:val="true"/>
        </w:rPr>
        <w:footnoteReference w:id="643"/>
      </w:r>
      <w:r>
        <w:rPr>
          <w:rFonts w:ascii="Amiri" w:hAnsi="Amiri" w:eastAsia="Amiri" w:cs="Amiri"/>
          <w:color w:val="111111"/>
          <w:sz w:val="28"/>
          <w:sz w:val="28"/>
          <w:szCs w:val="28"/>
          <w:rtl w:val="true"/>
          <w:lang w:bidi="ar-SA"/>
        </w:rPr>
        <w:t>بمَجرَى العادةِ علَى المَذاهبِ الصحيحةِ إذا لَم يَكُن مُضافاً</w:t>
      </w:r>
      <w:r>
        <w:rPr>
          <w:rStyle w:val="FootnoteAnchor"/>
          <w:rtl w:val="true"/>
        </w:rPr>
        <w:footnoteReference w:id="644"/>
      </w:r>
      <w:r>
        <w:rPr>
          <w:rFonts w:ascii="Amiri" w:hAnsi="Amiri" w:eastAsia="Amiri" w:cs="Amiri"/>
          <w:color w:val="111111"/>
          <w:sz w:val="28"/>
          <w:sz w:val="28"/>
          <w:szCs w:val="28"/>
          <w:rtl w:val="true"/>
          <w:lang w:bidi="ar-SA"/>
        </w:rPr>
        <w:t>إلَى الطبائعِ فهو مِن فعلِ اللّٰهِ تَعالىٰ‌؛ فكَيفَ نُضيفُ‌</w:t>
      </w:r>
      <w:r>
        <w:rPr>
          <w:rStyle w:val="FootnoteAnchor"/>
          <w:rtl w:val="true"/>
        </w:rPr>
        <w:footnoteReference w:id="645"/>
      </w:r>
      <w:r>
        <w:rPr>
          <w:rFonts w:ascii="Amiri" w:hAnsi="Amiri" w:eastAsia="Amiri" w:cs="Amiri"/>
          <w:color w:val="111111"/>
          <w:sz w:val="28"/>
          <w:sz w:val="28"/>
          <w:szCs w:val="28"/>
          <w:rtl w:val="true"/>
          <w:lang w:bidi="ar-SA"/>
        </w:rPr>
        <w:t>التخيُّلَ الباطلَ و الاعتقادَ الفاسدَ إلىٰ فعلِ اللّٰهِ تَعالىٰ؟ فأمّا المُستَيقِظُ الذي استَشهَدَ به، فالكلامُ فيه و</w:t>
      </w:r>
      <w:r>
        <w:rPr>
          <w:rStyle w:val="FootnoteAnchor"/>
          <w:rtl w:val="true"/>
        </w:rPr>
        <w:footnoteReference w:id="646"/>
      </w:r>
      <w:r>
        <w:rPr>
          <w:rFonts w:ascii="Amiri" w:hAnsi="Amiri" w:eastAsia="Amiri" w:cs="Amiri"/>
          <w:color w:val="111111"/>
          <w:sz w:val="28"/>
          <w:sz w:val="28"/>
          <w:szCs w:val="28"/>
          <w:rtl w:val="true"/>
          <w:lang w:bidi="ar-SA"/>
        </w:rPr>
        <w:t>في النائمِ واحدٌ، و لا يَجوزُ أن نُضيفَ التخيُّلَ الباطلَ إلىٰ فعلِ اللّٰهِ تَعالىٰ في نائمٍ و لا يَقظانَ‌</w:t>
      </w:r>
      <w:r>
        <w:rPr>
          <w:rStyle w:val="FootnoteAnchor"/>
          <w:rtl w:val="true"/>
        </w:rPr>
        <w:footnoteReference w:id="647"/>
      </w:r>
      <w:r>
        <w:rPr>
          <w:rFonts w:ascii="Amiri" w:hAnsi="Amiri" w:eastAsia="Amiri" w:cs="Amiri"/>
          <w:color w:val="111111"/>
          <w:sz w:val="28"/>
          <w:sz w:val="28"/>
          <w:szCs w:val="28"/>
          <w:rtl w:val="true"/>
          <w:lang w:bidi="ar-SA"/>
        </w:rPr>
        <w:t>فأمّا مَن يَتخيَّلُ الفاسدَ</w:t>
      </w:r>
      <w:r>
        <w:rPr>
          <w:rStyle w:val="FootnoteAnchor"/>
          <w:rtl w:val="true"/>
        </w:rPr>
        <w:footnoteReference w:id="648"/>
      </w:r>
      <w:r>
        <w:rPr>
          <w:rFonts w:ascii="Amiri" w:hAnsi="Amiri" w:eastAsia="Amiri" w:cs="Amiri"/>
          <w:color w:val="111111"/>
          <w:sz w:val="28"/>
          <w:sz w:val="28"/>
          <w:szCs w:val="28"/>
          <w:rtl w:val="true"/>
          <w:lang w:bidi="ar-SA"/>
        </w:rPr>
        <w:t>و هو غَيرُ نائمٍ‌، فلا بُدَّ مِن أن يَكونَ ناقصَ العقلِ في الحالِ‌، أو</w:t>
      </w:r>
      <w:r>
        <w:rPr>
          <w:rStyle w:val="FootnoteAnchor"/>
          <w:rtl w:val="true"/>
        </w:rPr>
        <w:footnoteReference w:id="649"/>
      </w:r>
      <w:r>
        <w:rPr>
          <w:rFonts w:ascii="Amiri" w:hAnsi="Amiri" w:eastAsia="Amiri" w:cs="Amiri"/>
          <w:color w:val="111111"/>
          <w:sz w:val="28"/>
          <w:sz w:val="28"/>
          <w:szCs w:val="28"/>
          <w:rtl w:val="true"/>
          <w:lang w:bidi="ar-SA"/>
        </w:rPr>
        <w:t>فاقدَ التمييزِ</w:t>
      </w:r>
      <w:r>
        <w:rPr>
          <w:rStyle w:val="FootnoteAnchor"/>
          <w:rtl w:val="true"/>
        </w:rPr>
        <w:footnoteReference w:id="650"/>
      </w:r>
      <w:r>
        <w:rPr>
          <w:rFonts w:ascii="Amiri" w:hAnsi="Amiri" w:eastAsia="Amiri" w:cs="Amiri"/>
          <w:color w:val="111111"/>
          <w:sz w:val="28"/>
          <w:sz w:val="28"/>
          <w:szCs w:val="28"/>
          <w:rtl w:val="true"/>
          <w:lang w:bidi="ar-SA"/>
        </w:rPr>
        <w:t>بسَهوٍ و</w:t>
      </w:r>
      <w:r>
        <w:rPr>
          <w:rStyle w:val="FootnoteAnchor"/>
          <w:rtl w:val="true"/>
        </w:rPr>
        <w:footnoteReference w:id="651"/>
      </w:r>
      <w:r>
        <w:rPr>
          <w:rFonts w:ascii="Amiri" w:hAnsi="Amiri" w:eastAsia="Amiri" w:cs="Amiri"/>
          <w:color w:val="111111"/>
          <w:sz w:val="28"/>
          <w:sz w:val="28"/>
          <w:szCs w:val="28"/>
          <w:rtl w:val="true"/>
          <w:lang w:bidi="ar-SA"/>
        </w:rPr>
        <w:t>ما يَجري مَجراه، فيَبتَدئَ اعتقاداتٍ لا أصلَ لها</w:t>
      </w:r>
      <w:r>
        <w:rPr>
          <w:rStyle w:val="FootnoteAnchor"/>
          <w:rtl w:val="true"/>
        </w:rPr>
        <w:footnoteReference w:id="652"/>
      </w:r>
      <w:r>
        <w:rPr>
          <w:rFonts w:ascii="Amiri" w:hAnsi="Amiri" w:eastAsia="Amiri" w:cs="Amiri"/>
          <w:color w:val="111111"/>
          <w:sz w:val="28"/>
          <w:sz w:val="28"/>
          <w:szCs w:val="28"/>
          <w:rtl w:val="true"/>
          <w:lang w:bidi="ar-SA"/>
        </w:rPr>
        <w:t>كَما قُلناه</w:t>
      </w:r>
      <w:r>
        <w:rPr>
          <w:rStyle w:val="FootnoteAnchor"/>
          <w:rtl w:val="true"/>
        </w:rPr>
        <w:footnoteReference w:id="653"/>
      </w:r>
      <w:r>
        <w:rPr>
          <w:rFonts w:ascii="Amiri" w:hAnsi="Amiri" w:eastAsia="Amiri" w:cs="Amiri"/>
          <w:color w:val="111111"/>
          <w:sz w:val="28"/>
          <w:sz w:val="28"/>
          <w:szCs w:val="28"/>
          <w:rtl w:val="true"/>
          <w:lang w:bidi="ar-SA"/>
        </w:rPr>
        <w:t>في النائمِ‌</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642318_1280447820"/>
      <w:bookmarkStart w:id="133" w:name="_Toc46"/>
      <w:bookmarkEnd w:id="132"/>
      <w:r>
        <w:rPr>
          <w:rtl w:val="true"/>
        </w:rPr>
        <w:t>في حقيقة منامات الأنبياء عليهم السلام</w:t>
      </w:r>
      <w:bookmarkEnd w:id="1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قولُكم في مَناماتِ الأنبياءِ عليهم السلامُ؟ و ما السببُ في صحّتِها حتّىٰ عُدَّ ما يَرَونَه في المَنامِ مُضاهياً لِما يَسمَعونَه مِن الوحيِ؟ </w:t>
      </w:r>
      <w:bookmarkStart w:id="134" w:name="pg16415_223767"/>
    </w:p>
    <w:p>
      <w:pPr>
        <w:pStyle w:val="BookText"/>
        <w:rPr/>
      </w:pPr>
      <w:bookmarkEnd w:id="134"/>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بهذا الجنسِ‌</w:t>
      </w:r>
      <w:r>
        <w:rPr>
          <w:rStyle w:val="FootnoteAnchor"/>
          <w:rtl w:val="true"/>
        </w:rPr>
        <w:footnoteReference w:id="654"/>
      </w:r>
      <w:r>
        <w:rPr>
          <w:rFonts w:ascii="Amiri" w:hAnsi="Amiri" w:eastAsia="Amiri" w:cs="Amiri"/>
          <w:color w:val="111111"/>
          <w:sz w:val="28"/>
          <w:sz w:val="28"/>
          <w:szCs w:val="28"/>
          <w:rtl w:val="true"/>
          <w:lang w:bidi="ar-SA"/>
        </w:rPr>
        <w:t>غَيرُ مقطوعٍ علىٰ صحّتِها، و لا هي ممّا يوجِبُ‌</w:t>
      </w:r>
      <w:r>
        <w:rPr>
          <w:rStyle w:val="FootnoteAnchor"/>
          <w:rtl w:val="true"/>
        </w:rPr>
        <w:footnoteReference w:id="655"/>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يُمكِنُ أن يُعلِمَ اللّٰهُ تَعالَى</w:t>
      </w:r>
      <w:r>
        <w:rPr>
          <w:rStyle w:val="FootnoteAnchor"/>
          <w:rtl w:val="true"/>
        </w:rPr>
        <w:footnoteReference w:id="656"/>
      </w:r>
      <w:r>
        <w:rPr>
          <w:rFonts w:ascii="Amiri" w:hAnsi="Amiri" w:eastAsia="Amiri" w:cs="Amiri"/>
          <w:color w:val="111111"/>
          <w:sz w:val="28"/>
          <w:sz w:val="28"/>
          <w:szCs w:val="28"/>
          <w:rtl w:val="true"/>
          <w:lang w:bidi="ar-SA"/>
        </w:rPr>
        <w:t>النبيَّ‌</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بوَحيٍ يَسمَعُه مِن المَلَكِ علَى الوجهِ الموجِبِ للعِلمِ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أنّني</w:t>
      </w:r>
      <w:r>
        <w:rPr>
          <w:rStyle w:val="FootnoteAnchor"/>
          <w:rtl w:val="true"/>
        </w:rPr>
        <w:footnoteReference w:id="658"/>
      </w:r>
      <w:r>
        <w:rPr>
          <w:rFonts w:ascii="Amiri" w:hAnsi="Amiri" w:eastAsia="Amiri" w:cs="Amiri"/>
          <w:color w:val="111111"/>
          <w:sz w:val="28"/>
          <w:sz w:val="28"/>
          <w:szCs w:val="28"/>
          <w:rtl w:val="true"/>
          <w:lang w:bidi="ar-SA"/>
        </w:rPr>
        <w:t>سَأُريكَ في مَنامِكَ في وقتِ كَذا ما يَجِبُ أن تَعمَلَ‌</w:t>
      </w:r>
      <w:r>
        <w:rPr>
          <w:rStyle w:val="FootnoteAnchor"/>
          <w:rtl w:val="true"/>
        </w:rPr>
        <w:footnoteReference w:id="659"/>
      </w:r>
      <w:r>
        <w:rPr>
          <w:rFonts w:ascii="IRNazanin" w:hAnsi="IRNazanin" w:eastAsia="IRNazanin"/>
          <w:color w:val="111111"/>
          <w:sz w:val="28"/>
          <w:sz w:val="28"/>
          <w:szCs w:val="28"/>
          <w:rtl w:val="true"/>
          <w:lang w:bidi="fa-IR"/>
        </w:rPr>
        <w:t>به</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علىٰ صحّتِه مِن هذا الوجهِ‌، لا بمُجرَّدِ رؤيتِه له</w:t>
      </w:r>
      <w:r>
        <w:rPr>
          <w:rStyle w:val="FootnoteAnchor"/>
          <w:rtl w:val="true"/>
        </w:rPr>
        <w:footnoteReference w:id="661"/>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يُحمَلُ مَنامُ إبراهيمَ عليه السلامُ في رؤيةِ‌</w:t>
      </w:r>
      <w:r>
        <w:rPr>
          <w:rStyle w:val="FootnoteAnchor"/>
          <w:rtl w:val="true"/>
        </w:rPr>
        <w:footnoteReference w:id="662"/>
      </w:r>
      <w:r>
        <w:rPr>
          <w:rFonts w:ascii="Amiri" w:hAnsi="Amiri" w:eastAsia="Amiri" w:cs="Amiri"/>
          <w:color w:val="111111"/>
          <w:sz w:val="28"/>
          <w:sz w:val="28"/>
          <w:szCs w:val="28"/>
          <w:rtl w:val="true"/>
          <w:lang w:bidi="ar-SA"/>
        </w:rPr>
        <w:t>ذَبحِ ابنِه، و لَولا ما أشَرنا إليه، كَيفَ كانَ‌</w:t>
      </w:r>
      <w:r>
        <w:rPr>
          <w:rStyle w:val="FootnoteAnchor"/>
          <w:rtl w:val="true"/>
        </w:rPr>
        <w:footnoteReference w:id="663"/>
      </w:r>
      <w:r>
        <w:rPr>
          <w:rFonts w:ascii="Amiri" w:hAnsi="Amiri" w:eastAsia="Amiri" w:cs="Amiri"/>
          <w:color w:val="111111"/>
          <w:sz w:val="28"/>
          <w:sz w:val="28"/>
          <w:szCs w:val="28"/>
          <w:rtl w:val="true"/>
          <w:lang w:bidi="ar-SA"/>
        </w:rPr>
        <w:t>يَقطَعُ إبراهيمُ عليه السلامُ بأنّه مُتعبَّدٌ بذَبحِ ابنِه‌؟</w:t>
      </w:r>
      <w:r>
        <w:rPr>
          <w:rStyle w:val="FootnoteAnchor"/>
          <w:rtl w:val="true"/>
        </w:rPr>
        <w:footnoteReference w:id="664"/>
      </w:r>
    </w:p>
    <w:p>
      <w:pPr>
        <w:pStyle w:val="Heading6"/>
        <w:numPr>
          <w:ilvl w:val="5"/>
          <w:numId w:val="1"/>
        </w:numPr>
        <w:rPr/>
      </w:pPr>
      <w:bookmarkStart w:id="135" w:name="__RefHeading___Toc7642320_1280447820"/>
      <w:bookmarkStart w:id="136" w:name="_Toc47"/>
      <w:bookmarkEnd w:id="135"/>
      <w:r>
        <w:rPr>
          <w:rtl w:val="true"/>
        </w:rPr>
        <w:t>تأويل قوله صلى الله عليه و آله</w:t>
      </w:r>
      <w:r>
        <w:rPr>
          <w:rtl w:val="true"/>
        </w:rPr>
        <w:t>: «</w:t>
      </w:r>
      <w:r>
        <w:rPr>
          <w:rtl w:val="true"/>
        </w:rPr>
        <w:t>مَن رآني فقد رآني</w:t>
      </w:r>
      <w:r>
        <w:rPr>
          <w:rtl w:val="true"/>
        </w:rPr>
        <w:t>»</w:t>
      </w:r>
      <w:bookmarkEnd w:id="1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ما يُروىٰ عنه عليه السلامُ مِن قولِه</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 فإنّ الشيطانَ لا يَتمثَّلُ‌</w:t>
      </w:r>
      <w:r>
        <w:rPr>
          <w:rStyle w:val="FootnoteAnchor"/>
          <w:rtl w:val="true"/>
        </w:rPr>
        <w:footnoteReference w:id="666"/>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و قد عَلِمنا أنّ المُبطِلَ و المُحِقَّ و المؤمِنَ‌ </w:t>
      </w:r>
    </w:p>
    <w:p>
      <w:pPr>
        <w:pStyle w:val="BookText"/>
        <w:rPr/>
      </w:pPr>
      <w:r>
        <w:rPr>
          <w:rFonts w:ascii="Amiri" w:hAnsi="Amiri" w:eastAsia="Amiri" w:cs="Amiri"/>
          <w:color w:val="111111"/>
          <w:sz w:val="28"/>
          <w:sz w:val="28"/>
          <w:szCs w:val="28"/>
          <w:rtl w:val="true"/>
          <w:lang w:bidi="ar-SA"/>
        </w:rPr>
        <w:t>و الكافرَ قد يَرَونَ النبيَّ عليه السلامُ في النومِ‌، و يُخبِرُ كُلُّ واحدٍ منهم عنه صَلَّى اللّٰهُ عليه و آلِه</w:t>
      </w:r>
      <w:r>
        <w:rPr>
          <w:rStyle w:val="FootnoteAnchor"/>
          <w:rtl w:val="true"/>
        </w:rPr>
        <w:footnoteReference w:id="668"/>
      </w:r>
      <w:r>
        <w:rPr>
          <w:rFonts w:ascii="Amiri" w:hAnsi="Amiri" w:eastAsia="Amiri" w:cs="Amiri"/>
          <w:color w:val="111111"/>
          <w:sz w:val="28"/>
          <w:sz w:val="28"/>
          <w:szCs w:val="28"/>
          <w:rtl w:val="true"/>
          <w:lang w:bidi="ar-SA"/>
        </w:rPr>
        <w:t>بضِدِّ ما يُخبِرُ به الآخَرُ؛ فكَيفَ يَكونُ رائياً</w:t>
      </w:r>
      <w:r>
        <w:rPr>
          <w:rStyle w:val="FootnoteAnchor"/>
          <w:rtl w:val="true"/>
        </w:rPr>
        <w:footnoteReference w:id="669"/>
      </w:r>
      <w:r>
        <w:rPr>
          <w:rFonts w:ascii="Amiri" w:hAnsi="Amiri" w:eastAsia="Amiri" w:cs="Amiri"/>
          <w:color w:val="111111"/>
          <w:sz w:val="28"/>
          <w:sz w:val="28"/>
          <w:szCs w:val="28"/>
          <w:rtl w:val="true"/>
          <w:lang w:bidi="ar-SA"/>
        </w:rPr>
        <w:t>علَى الحقيقةِ‌</w:t>
      </w:r>
      <w:r>
        <w:rPr>
          <w:rStyle w:val="FootnoteAnchor"/>
          <w:rtl w:val="true"/>
        </w:rPr>
        <w:footnoteReference w:id="670"/>
      </w:r>
      <w:r>
        <w:rPr>
          <w:rFonts w:ascii="IRNazanin" w:hAnsi="IRNazanin" w:eastAsia="IRNazanin"/>
          <w:color w:val="111111"/>
          <w:sz w:val="28"/>
          <w:sz w:val="28"/>
          <w:szCs w:val="28"/>
          <w:rtl w:val="true"/>
          <w:lang w:bidi="fa-IR"/>
        </w:rPr>
        <w:t>مع هذا؟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واحدٍ، و مِن ضَعيفِ أخبارِ الآحادِ</w:t>
      </w:r>
      <w:r>
        <w:rPr>
          <w:rStyle w:val="FootnoteAnchor"/>
          <w:rtl w:val="true"/>
        </w:rPr>
        <w:footnoteReference w:id="671"/>
      </w:r>
      <w:r>
        <w:rPr>
          <w:rFonts w:ascii="Amiri" w:hAnsi="Amiri" w:eastAsia="Amiri" w:cs="Amiri"/>
          <w:color w:val="111111"/>
          <w:sz w:val="28"/>
          <w:sz w:val="28"/>
          <w:szCs w:val="28"/>
          <w:rtl w:val="true"/>
          <w:lang w:bidi="ar-SA"/>
        </w:rPr>
        <w:t>، و لا مُعوَّلَ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 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اليَقَظةِ فقَد رآني علَى الحقيقةِ‌؛ لأنّ الشيطانَ لا يَتمثَّلُ بي لليَقظانِ‌</w:t>
      </w:r>
      <w:r>
        <w:rPr>
          <w:rStyle w:val="FootnoteAnchor"/>
          <w:rtl w:val="true"/>
        </w:rPr>
        <w:footnoteReference w:id="672"/>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الشياطينَ‌</w:t>
      </w:r>
      <w:r>
        <w:rPr>
          <w:rStyle w:val="FootnoteAnchor"/>
          <w:rtl w:val="true"/>
        </w:rPr>
        <w:footnoteReference w:id="673"/>
      </w:r>
      <w:r>
        <w:rPr>
          <w:rFonts w:ascii="Amiri" w:hAnsi="Amiri" w:eastAsia="Amiri" w:cs="Amiri"/>
          <w:color w:val="111111"/>
          <w:sz w:val="28"/>
          <w:sz w:val="28"/>
          <w:szCs w:val="28"/>
          <w:rtl w:val="true"/>
          <w:lang w:bidi="ar-SA"/>
        </w:rPr>
        <w:t>رُبَّما تَمثَّلَت بصورةِ بعضِ‌</w:t>
      </w:r>
      <w:r>
        <w:rPr>
          <w:rStyle w:val="FootnoteAnchor"/>
          <w:rtl w:val="true"/>
        </w:rPr>
        <w:footnoteReference w:id="674"/>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التأويلُ أَشبَهُ بظاهرِ ألفاظِ الخبرِ؛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غَيرَه رائياً له و نَفسَه مَرئيّةً‌، و في النومِ لا رائيَ علَى الحقيقةِ‌</w:t>
      </w:r>
      <w:r>
        <w:rPr>
          <w:rStyle w:val="FootnoteAnchor"/>
          <w:rtl w:val="true"/>
        </w:rPr>
        <w:footnoteReference w:id="675"/>
      </w:r>
      <w:r>
        <w:rPr>
          <w:rFonts w:ascii="Amiri" w:hAnsi="Amiri" w:eastAsia="Amiri" w:cs="Amiri"/>
          <w:color w:val="111111"/>
          <w:sz w:val="28"/>
          <w:sz w:val="28"/>
          <w:szCs w:val="28"/>
          <w:rtl w:val="true"/>
          <w:lang w:bidi="ar-SA"/>
        </w:rPr>
        <w:t>و لا مَرئيَّ‌، و إنّما ذلكَ في اليَقَظةِ‌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حَمَلناه علَى النومِ لَكانَ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أ نّه يَراني في مَنامِه، و إن كانَ غَيرَ راءٍ‌</w:t>
      </w:r>
      <w:r>
        <w:rPr>
          <w:rStyle w:val="FootnoteAnchor"/>
          <w:rtl w:val="true"/>
        </w:rPr>
        <w:footnoteReference w:id="676"/>
      </w:r>
      <w:r>
        <w:rPr>
          <w:rFonts w:ascii="Amiri" w:hAnsi="Amiri" w:eastAsia="Amiri" w:cs="Amiri"/>
          <w:color w:val="111111"/>
          <w:sz w:val="28"/>
          <w:sz w:val="28"/>
          <w:szCs w:val="28"/>
          <w:rtl w:val="true"/>
          <w:lang w:bidi="ar-SA"/>
        </w:rPr>
        <w:t>لي</w:t>
      </w:r>
      <w:r>
        <w:rPr>
          <w:rStyle w:val="FootnoteAnchor"/>
          <w:rtl w:val="true"/>
        </w:rPr>
        <w:footnoteReference w:id="677"/>
      </w:r>
      <w:r>
        <w:rPr>
          <w:rFonts w:ascii="Amiri" w:hAnsi="Amiri" w:eastAsia="Amiri" w:cs="Amiri"/>
          <w:color w:val="111111"/>
          <w:sz w:val="28"/>
          <w:sz w:val="28"/>
          <w:szCs w:val="28"/>
          <w:rtl w:val="true"/>
          <w:lang w:bidi="ar-SA"/>
        </w:rPr>
        <w:t>علَى الحقيقةِ‌، فهو في الحُكمِ‌</w:t>
      </w:r>
      <w:r>
        <w:rPr>
          <w:rStyle w:val="FootnoteAnchor"/>
          <w:rtl w:val="true"/>
        </w:rPr>
        <w:footnoteReference w:id="678"/>
      </w:r>
      <w:r>
        <w:rPr>
          <w:rFonts w:ascii="Amiri" w:hAnsi="Amiri" w:eastAsia="Amiri" w:cs="Amiri"/>
          <w:color w:val="111111"/>
          <w:sz w:val="28"/>
          <w:sz w:val="28"/>
          <w:szCs w:val="28"/>
          <w:rtl w:val="true"/>
          <w:lang w:bidi="ar-SA"/>
        </w:rPr>
        <w:t>كأنّه 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عُدولٌ عن ظاهرِ لفظِ الخبرِ و تبديلٌ لصيغتِه</w:t>
      </w:r>
      <w:r>
        <w:rPr>
          <w:rFonts w:eastAsia="Amiri" w:cs="Amiri" w:ascii="Amiri" w:hAnsi="Amiri"/>
          <w:color w:val="111111"/>
          <w:sz w:val="28"/>
          <w:szCs w:val="28"/>
          <w:rtl w:val="true"/>
          <w:lang w:bidi="ar-SA"/>
        </w:rPr>
        <w:t xml:space="preserve">. </w:t>
      </w:r>
      <w:bookmarkStart w:id="137" w:name="pg16415_223769"/>
    </w:p>
    <w:p>
      <w:pPr>
        <w:pStyle w:val="BookText"/>
        <w:rPr/>
      </w:pPr>
      <w:bookmarkEnd w:id="137"/>
      <w:r>
        <w:rPr>
          <w:rFonts w:ascii="Amiri" w:hAnsi="Amiri" w:eastAsia="Amiri" w:cs="Amiri"/>
          <w:color w:val="111111"/>
          <w:sz w:val="28"/>
          <w:sz w:val="28"/>
          <w:szCs w:val="28"/>
          <w:rtl w:val="true"/>
          <w:lang w:bidi="ar-SA"/>
        </w:rPr>
        <w:t>و هذا الذي رَتَّبناه</w:t>
      </w:r>
      <w:r>
        <w:rPr>
          <w:rStyle w:val="FootnoteAnchor"/>
          <w:rtl w:val="true"/>
        </w:rPr>
        <w:footnoteReference w:id="679"/>
      </w:r>
      <w:r>
        <w:rPr>
          <w:rFonts w:ascii="Amiri" w:hAnsi="Amiri" w:eastAsia="Amiri" w:cs="Amiri"/>
          <w:color w:val="111111"/>
          <w:sz w:val="28"/>
          <w:sz w:val="28"/>
          <w:szCs w:val="28"/>
          <w:rtl w:val="true"/>
          <w:lang w:bidi="ar-SA"/>
        </w:rPr>
        <w:t>في المَناماتِ و قَسَّمناه أَشَدُّ</w:t>
      </w:r>
      <w:r>
        <w:rPr>
          <w:rStyle w:val="FootnoteAnchor"/>
          <w:rtl w:val="true"/>
        </w:rPr>
        <w:footnoteReference w:id="680"/>
      </w:r>
      <w:r>
        <w:rPr>
          <w:rFonts w:ascii="Amiri" w:hAnsi="Amiri" w:eastAsia="Amiri" w:cs="Amiri"/>
          <w:color w:val="111111"/>
          <w:sz w:val="28"/>
          <w:sz w:val="28"/>
          <w:szCs w:val="28"/>
          <w:rtl w:val="true"/>
          <w:lang w:bidi="ar-SA"/>
        </w:rPr>
        <w:t>تحقيقاً مِن كُلِّ شَيءٍ قيلَ في أسبابِ المَناماتِ‌، و ما سُطِرَ في ذلكَ معروفٌ غَيرُ مُحرَّرٍ</w:t>
      </w:r>
      <w:r>
        <w:rPr>
          <w:rStyle w:val="FootnoteAnchor"/>
          <w:rtl w:val="true"/>
        </w:rPr>
        <w:footnoteReference w:id="681"/>
      </w:r>
      <w:r>
        <w:rPr>
          <w:rFonts w:ascii="Amiri" w:hAnsi="Amiri" w:eastAsia="Amiri" w:cs="Amiri"/>
          <w:color w:val="111111"/>
          <w:sz w:val="28"/>
          <w:sz w:val="28"/>
          <w:szCs w:val="28"/>
          <w:rtl w:val="true"/>
          <w:lang w:bidi="ar-SA"/>
        </w:rPr>
        <w:t>و لا مُحقَّقٍ‌</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642322_1280447820"/>
      <w:bookmarkStart w:id="139" w:name="_Toc48"/>
      <w:bookmarkEnd w:id="138"/>
      <w:r>
        <w:rPr>
          <w:rtl w:val="true"/>
        </w:rPr>
        <w:t>في نفي تفسير الفلاسفة للمنامات الصحيحة</w:t>
      </w:r>
      <w:bookmarkEnd w:id="139"/>
    </w:p>
    <w:p>
      <w:pPr>
        <w:pStyle w:val="BookText"/>
        <w:rPr/>
      </w:pPr>
      <w:r>
        <w:rPr>
          <w:rFonts w:ascii="Amiri" w:hAnsi="Amiri" w:eastAsia="Amiri" w:cs="Amiri"/>
          <w:color w:val="111111"/>
          <w:sz w:val="28"/>
          <w:sz w:val="28"/>
          <w:szCs w:val="28"/>
          <w:rtl w:val="true"/>
          <w:lang w:bidi="ar-SA"/>
        </w:rPr>
        <w:t xml:space="preserve">فأمّا ما تَهذي به الفَلاسِفةُ في هذا البابِ‌، فهو ممّا يُضحِكُ الثَّكلىٰ‌؛ لأنّهم يَنسُبونَ ما صَحَّ مِن المَناماتِ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أَعيَتهم الحِيَلُ في ذِكرِ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النفسَ اطَّلَعَت إلىٰ‌</w:t>
      </w:r>
      <w:r>
        <w:rPr>
          <w:rStyle w:val="FootnoteAnchor"/>
          <w:rtl w:val="true"/>
        </w:rPr>
        <w:footnoteReference w:id="682"/>
      </w:r>
      <w:r>
        <w:rPr>
          <w:rFonts w:ascii="Amiri" w:hAnsi="Amiri" w:eastAsia="Amiri" w:cs="Amiri"/>
          <w:color w:val="111111"/>
          <w:sz w:val="28"/>
          <w:sz w:val="28"/>
          <w:szCs w:val="28"/>
          <w:rtl w:val="true"/>
          <w:lang w:bidi="ar-SA"/>
        </w:rPr>
        <w:t>عالَمِها فأَشرَفَت</w:t>
      </w:r>
      <w:r>
        <w:rPr>
          <w:rStyle w:val="FootnoteAnchor"/>
          <w:rtl w:val="true"/>
        </w:rPr>
        <w:footnoteReference w:id="683"/>
      </w:r>
      <w:r>
        <w:rPr>
          <w:rFonts w:ascii="Amiri" w:hAnsi="Amiri" w:eastAsia="Amiri" w:cs="Amiri"/>
          <w:color w:val="111111"/>
          <w:sz w:val="28"/>
          <w:sz w:val="28"/>
          <w:szCs w:val="28"/>
          <w:rtl w:val="true"/>
          <w:lang w:bidi="ar-SA"/>
        </w:rPr>
        <w:t>علىٰ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w:t>
      </w:r>
      <w:r>
        <w:rPr>
          <w:rStyle w:val="FootnoteAnchor"/>
          <w:rtl w:val="true"/>
        </w:rPr>
        <w:footnoteReference w:id="684"/>
      </w:r>
      <w:r>
        <w:rPr>
          <w:rFonts w:ascii="Amiri" w:hAnsi="Amiri" w:eastAsia="Amiri" w:cs="Amiri"/>
          <w:color w:val="111111"/>
          <w:sz w:val="28"/>
          <w:sz w:val="28"/>
          <w:szCs w:val="28"/>
          <w:rtl w:val="true"/>
          <w:lang w:bidi="ar-SA"/>
        </w:rPr>
        <w:t>يَذهَبونَ إليه في حقيقةِ النفسِ غَيرُ مفهومٍ و لا مضبوطٍ؛ فكَيفَ إذا أُضيفَ إليه الاطّلاعُ إلىٰ‌</w:t>
      </w:r>
      <w:r>
        <w:rPr>
          <w:rStyle w:val="FootnoteAnchor"/>
          <w:rtl w:val="true"/>
        </w:rPr>
        <w:footnoteReference w:id="685"/>
      </w:r>
      <w:r>
        <w:rPr>
          <w:rFonts w:ascii="Amiri" w:hAnsi="Amiri" w:eastAsia="Amiri" w:cs="Amiri"/>
          <w:color w:val="111111"/>
          <w:sz w:val="28"/>
          <w:sz w:val="28"/>
          <w:szCs w:val="28"/>
          <w:rtl w:val="true"/>
          <w:lang w:bidi="ar-SA"/>
        </w:rPr>
        <w:t>عالَمِها؟ و ما هذا الاطّلاعُ؟ و إلىٰ أيِّ شَيءٍ يُشيرونَ بعالَمِ النفسِ؟ و لِمَ يَجِبُ أن تُعرَفَ‌</w:t>
      </w:r>
      <w:r>
        <w:rPr>
          <w:rStyle w:val="FootnoteAnchor"/>
          <w:rtl w:val="true"/>
        </w:rPr>
        <w:footnoteReference w:id="686"/>
      </w:r>
      <w:r>
        <w:rPr>
          <w:rFonts w:ascii="Amiri" w:hAnsi="Amiri" w:eastAsia="Amiri" w:cs="Amiri"/>
          <w:color w:val="111111"/>
          <w:sz w:val="28"/>
          <w:sz w:val="28"/>
          <w:szCs w:val="28"/>
          <w:rtl w:val="true"/>
          <w:lang w:bidi="ar-SA"/>
        </w:rPr>
        <w:t>الكائناتُ عندَ هذا الاطّلاعِ؟ و كُلُّ هذا زَخرَفةٌ و مَخرَقةٌ و تَهاويلُ لا يَتحصَّلُ منها شَيءٌ‌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صالحِ قُبَّةٍ‌</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تَجاهُلٌ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أن يَكونَ مفهوماً مِن قولِ‌</w:t>
      </w:r>
      <w:r>
        <w:rPr>
          <w:rStyle w:val="FootnoteAnchor"/>
          <w:rtl w:val="true"/>
        </w:rPr>
        <w:footnoteReference w:id="688"/>
      </w:r>
      <w:r>
        <w:rPr>
          <w:rFonts w:ascii="Amiri" w:hAnsi="Amiri" w:eastAsia="Amiri" w:cs="Amiri"/>
          <w:color w:val="111111"/>
          <w:sz w:val="28"/>
          <w:sz w:val="28"/>
          <w:szCs w:val="28"/>
          <w:rtl w:val="true"/>
          <w:lang w:bidi="ar-SA"/>
        </w:rPr>
        <w:t xml:space="preserve">الفَلاسِفةِ‌؛ لأنّ صالحاً ادَّعىٰ أنّ النائمَ يَرىٰ علَى الحقيقةِ ما لَيسَ يَراه، </w:t>
      </w:r>
      <w:bookmarkStart w:id="140" w:name="pg16415_223770"/>
    </w:p>
    <w:p>
      <w:pPr>
        <w:pStyle w:val="BookText"/>
        <w:rPr/>
      </w:pPr>
      <w:bookmarkEnd w:id="140"/>
      <w:r>
        <w:rPr>
          <w:rFonts w:ascii="Amiri" w:hAnsi="Amiri" w:eastAsia="Amiri" w:cs="Amiri"/>
          <w:color w:val="111111"/>
          <w:sz w:val="28"/>
          <w:sz w:val="28"/>
          <w:szCs w:val="28"/>
          <w:rtl w:val="true"/>
          <w:lang w:bidi="ar-SA"/>
        </w:rPr>
        <w:t>فلَم</w:t>
      </w:r>
      <w:r>
        <w:rPr>
          <w:rStyle w:val="FootnoteAnchor"/>
          <w:rtl w:val="true"/>
        </w:rPr>
        <w:footnoteReference w:id="689"/>
      </w:r>
      <w:r>
        <w:rPr>
          <w:rFonts w:ascii="Amiri" w:hAnsi="Amiri" w:eastAsia="Amiri" w:cs="Amiri"/>
          <w:color w:val="111111"/>
          <w:sz w:val="28"/>
          <w:sz w:val="28"/>
          <w:szCs w:val="28"/>
          <w:rtl w:val="true"/>
          <w:lang w:bidi="ar-SA"/>
        </w:rPr>
        <w:t>يُشِرْ إلىٰ أمرٍ غَيرِ معقولٍ و لا مفهومٍ بَل ادَّعىٰ ما لَيسَ بصَحيحٍ و إن كانَ مفهوماً، و هؤلاءِ عَوَّلوا علىٰ ما لا يُفهَمُ مع الاجتهادِ، و لا يُعقَلُ مع قوّةِ التأمُّلِ و التبيُّنِ‌</w:t>
      </w:r>
      <w:r>
        <w:rPr>
          <w:rStyle w:val="FootnoteAnchor"/>
          <w:rtl w:val="true"/>
        </w:rPr>
        <w:footnoteReference w:id="690"/>
      </w:r>
      <w:r>
        <w:rPr>
          <w:rFonts w:ascii="Amiri" w:hAnsi="Amiri" w:eastAsia="Amiri" w:cs="Amiri"/>
          <w:color w:val="111111"/>
          <w:sz w:val="28"/>
          <w:sz w:val="28"/>
          <w:szCs w:val="28"/>
          <w:rtl w:val="true"/>
          <w:lang w:bidi="ar-SA"/>
        </w:rPr>
        <w:t>فالفَرقُ بَينَهما واضحٌ‌</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7642324_1280447820"/>
      <w:bookmarkStart w:id="142" w:name="_Toc49"/>
      <w:bookmarkEnd w:id="141"/>
      <w:r>
        <w:rPr>
          <w:rtl w:val="true"/>
        </w:rPr>
        <w:t>في بيان سبب الإنزال في المنام</w:t>
      </w:r>
      <w:bookmarkEnd w:id="14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691"/>
      </w:r>
      <w:r>
        <w:rPr>
          <w:rFonts w:ascii="Amiri" w:hAnsi="Amiri" w:eastAsia="Amiri" w:cs="Amiri"/>
          <w:color w:val="111111"/>
          <w:sz w:val="28"/>
          <w:sz w:val="28"/>
          <w:szCs w:val="28"/>
          <w:rtl w:val="true"/>
          <w:lang w:bidi="ar-SA"/>
        </w:rPr>
        <w:t>سببُ الإنزالِ في المَنامِ‌</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يُبنىٰ علىٰ تحقيقِ سببِ الإنزالِ في اليَقَظةِ‌، و قد عَلِمنا أنّ سببَ الإنزالِ في الجِماعِ مع اليَقَظةِ‌</w:t>
      </w:r>
      <w:r>
        <w:rPr>
          <w:rStyle w:val="FootnoteAnchor"/>
          <w:rtl w:val="true"/>
        </w:rPr>
        <w:footnoteReference w:id="693"/>
      </w:r>
      <w:r>
        <w:rPr>
          <w:rFonts w:ascii="Amiri" w:hAnsi="Amiri" w:eastAsia="Amiri" w:cs="Amiri"/>
          <w:color w:val="111111"/>
          <w:sz w:val="28"/>
          <w:sz w:val="28"/>
          <w:szCs w:val="28"/>
          <w:rtl w:val="true"/>
          <w:lang w:bidi="ar-SA"/>
        </w:rPr>
        <w:t>لَيسَ هو ما يَهذي به أصحابُ الطبائعِ‌؛ لأنّا قد بيّنّا في غَيرِ مَوضِعٍ‌</w:t>
      </w:r>
      <w:r>
        <w:rPr>
          <w:rStyle w:val="FootnoteAnchor"/>
          <w:rtl w:val="true"/>
        </w:rPr>
        <w:footnoteReference w:id="694"/>
      </w:r>
      <w:r>
        <w:rPr>
          <w:rFonts w:ascii="Amiri" w:hAnsi="Amiri" w:eastAsia="Amiri" w:cs="Amiri"/>
          <w:color w:val="111111"/>
          <w:sz w:val="28"/>
          <w:sz w:val="28"/>
          <w:szCs w:val="28"/>
          <w:rtl w:val="true"/>
          <w:lang w:bidi="ar-SA"/>
        </w:rPr>
        <w:t>أنّ الطبعَ‌</w:t>
      </w:r>
      <w:r>
        <w:rPr>
          <w:rStyle w:val="FootnoteAnchor"/>
          <w:rtl w:val="true"/>
        </w:rPr>
        <w:footnoteReference w:id="695"/>
      </w:r>
      <w:r>
        <w:rPr>
          <w:rFonts w:ascii="Amiri" w:hAnsi="Amiri" w:eastAsia="Amiri" w:cs="Amiri"/>
          <w:color w:val="111111"/>
          <w:sz w:val="28"/>
          <w:sz w:val="28"/>
          <w:szCs w:val="28"/>
          <w:rtl w:val="true"/>
          <w:lang w:bidi="ar-SA"/>
        </w:rPr>
        <w:t>لا أصلَ له، و أنّ الإحالةَ فيه علىٰ سَرابٍ لا يَتحصَّلُ‌، و إنّما سببُ الإنزالِ أنّ اللّٰهَ‌</w:t>
      </w:r>
      <w:r>
        <w:rPr>
          <w:rStyle w:val="FootnoteAnchor"/>
          <w:rtl w:val="true"/>
        </w:rPr>
        <w:footnoteReference w:id="696"/>
      </w:r>
      <w:r>
        <w:rPr>
          <w:rFonts w:ascii="Amiri" w:hAnsi="Amiri" w:eastAsia="Amiri" w:cs="Amiri"/>
          <w:color w:val="111111"/>
          <w:sz w:val="28"/>
          <w:sz w:val="28"/>
          <w:szCs w:val="28"/>
          <w:rtl w:val="true"/>
          <w:lang w:bidi="ar-SA"/>
        </w:rPr>
        <w:t>تَعالىٰ أَجرَى العادةَ بإخراجِ‌</w:t>
      </w:r>
      <w:r>
        <w:rPr>
          <w:rStyle w:val="FootnoteAnchor"/>
          <w:rtl w:val="true"/>
        </w:rPr>
        <w:footnoteReference w:id="697"/>
      </w:r>
      <w:r>
        <w:rPr>
          <w:rFonts w:ascii="Amiri" w:hAnsi="Amiri" w:eastAsia="Amiri" w:cs="Amiri"/>
          <w:color w:val="111111"/>
          <w:sz w:val="28"/>
          <w:sz w:val="28"/>
          <w:szCs w:val="28"/>
          <w:rtl w:val="true"/>
          <w:lang w:bidi="ar-SA"/>
        </w:rPr>
        <w:t>الماءِ مِن ظَهرِ الرجُلِ عندَ هذه الحركةِ المخصوصةِ‌؛ و لَيسَ يَمتَنِعُ أن يُجريَ اللّٰهُ تَعالَى العادةَ بأن يَخرُجَ هذا الماءُ مِن الظهرِ عندَ اعتقادِ النائمِ أ نّه يُجامِعُ‌، و إن كانَ هذا الاعتقادُ باطلاً</w:t>
      </w:r>
      <w:r>
        <w:rPr>
          <w:rFonts w:eastAsia="Amiri" w:cs="Amiri" w:ascii="Amiri" w:hAnsi="Amiri"/>
          <w:color w:val="111111"/>
          <w:sz w:val="28"/>
          <w:szCs w:val="28"/>
          <w:rtl w:val="true"/>
          <w:lang w:bidi="ar-SA"/>
        </w:rPr>
        <w:t xml:space="preserve">. </w:t>
      </w:r>
      <w:bookmarkStart w:id="143" w:name="pg16415_223771"/>
    </w:p>
    <w:p>
      <w:pPr>
        <w:pStyle w:val="Heading6"/>
        <w:numPr>
          <w:ilvl w:val="5"/>
          <w:numId w:val="1"/>
        </w:numPr>
        <w:rPr/>
      </w:pPr>
      <w:bookmarkStart w:id="144" w:name="__RefHeading___Toc7642326_1280447820"/>
      <w:bookmarkStart w:id="145" w:name="_Toc50"/>
      <w:bookmarkEnd w:id="143"/>
      <w:bookmarkEnd w:id="144"/>
      <w:r>
        <w:rPr>
          <w:rtl w:val="true"/>
        </w:rPr>
        <w:t>المسألةُ السابعةُ في توارد الأدلّة</w:t>
      </w:r>
      <w:bookmarkEnd w:id="145"/>
    </w:p>
    <w:p>
      <w:pPr>
        <w:pStyle w:val="BookText"/>
        <w:rPr/>
      </w:pPr>
      <w:r>
        <w:rPr>
          <w:rFonts w:ascii="Amiri" w:hAnsi="Amiri" w:eastAsia="Amiri" w:cs="Amiri"/>
          <w:color w:val="111111"/>
          <w:sz w:val="28"/>
          <w:sz w:val="28"/>
          <w:szCs w:val="28"/>
          <w:rtl w:val="true"/>
          <w:lang w:bidi="ar-SA"/>
        </w:rPr>
        <w:t xml:space="preserve">وَجَدتُ كُلَّ المُتكلِّمينَ قالوا في كُتُبِهم، حتّىٰ سَيّدَنا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إمامُهم و الكاشفُ عمّا يَلتَبِسُ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شَرطِ</w:t>
      </w:r>
      <w:r>
        <w:rPr>
          <w:rStyle w:val="FootnoteAnchor"/>
          <w:rtl w:val="true"/>
        </w:rPr>
        <w:footnoteReference w:id="698"/>
      </w:r>
      <w:r>
        <w:rPr>
          <w:rFonts w:ascii="Amiri" w:hAnsi="Amiri" w:eastAsia="Amiri" w:cs="Amiri"/>
          <w:color w:val="111111"/>
          <w:sz w:val="28"/>
          <w:sz w:val="28"/>
          <w:szCs w:val="28"/>
          <w:rtl w:val="true"/>
          <w:lang w:bidi="ar-SA"/>
        </w:rPr>
        <w:t>النظَرِ المولِّدِ</w:t>
      </w:r>
      <w:r>
        <w:rPr>
          <w:rStyle w:val="FootnoteAnchor"/>
          <w:rtl w:val="true"/>
        </w:rPr>
        <w:footnoteReference w:id="699"/>
      </w:r>
      <w:r>
        <w:rPr>
          <w:rFonts w:ascii="Amiri" w:hAnsi="Amiri" w:eastAsia="Amiri" w:cs="Amiri"/>
          <w:color w:val="111111"/>
          <w:sz w:val="28"/>
          <w:sz w:val="28"/>
          <w:szCs w:val="28"/>
          <w:rtl w:val="true"/>
          <w:lang w:bidi="ar-SA"/>
        </w:rPr>
        <w:t>للعِلمِ أن يَكونَ الناظرُ شاكّاً في المدلولِ‌</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 هذا القولُ يوجِبُ أن يَكونَ العالِمُ بحدوثِ الأجسامِ مِن جهةِ دليلِ الأعراضِ‌</w:t>
      </w:r>
      <w:r>
        <w:rPr>
          <w:rStyle w:val="FootnoteAnchor"/>
          <w:rtl w:val="true"/>
        </w:rPr>
        <w:footnoteReference w:id="701"/>
      </w:r>
      <w:r>
        <w:rPr>
          <w:rFonts w:ascii="Amiri" w:hAnsi="Amiri" w:eastAsia="Amiri" w:cs="Amiri"/>
          <w:color w:val="111111"/>
          <w:sz w:val="28"/>
          <w:sz w:val="28"/>
          <w:szCs w:val="28"/>
          <w:rtl w:val="true"/>
          <w:lang w:bidi="ar-SA"/>
        </w:rPr>
        <w:t>، و العالِمُ بأنّ الإدراكَ لا يَتناوَلُ إلّاأخَصَّ الأوصافِ‌، لا يَعلَمُ بدَليلِ أبي عليٍّ‌</w:t>
      </w:r>
      <w:r>
        <w:rPr>
          <w:rStyle w:val="FootnoteAnchor"/>
          <w:rtl w:val="true"/>
        </w:rPr>
        <w:footnoteReference w:id="702"/>
      </w:r>
      <w:r>
        <w:rPr>
          <w:rFonts w:ascii="Amiri" w:hAnsi="Amiri" w:eastAsia="Amiri" w:cs="Amiri"/>
          <w:color w:val="111111"/>
          <w:sz w:val="28"/>
          <w:sz w:val="28"/>
          <w:szCs w:val="28"/>
          <w:rtl w:val="true"/>
          <w:lang w:bidi="ar-SA"/>
        </w:rPr>
        <w:t>شَيئاً، بَل</w:t>
      </w:r>
      <w:r>
        <w:rPr>
          <w:rStyle w:val="FootnoteAnchor"/>
          <w:rtl w:val="true"/>
        </w:rPr>
        <w:footnoteReference w:id="703"/>
      </w:r>
      <w:r>
        <w:rPr>
          <w:rFonts w:ascii="Amiri" w:hAnsi="Amiri" w:eastAsia="Amiri" w:cs="Amiri"/>
          <w:color w:val="111111"/>
          <w:sz w:val="28"/>
          <w:sz w:val="28"/>
          <w:szCs w:val="28"/>
          <w:rtl w:val="true"/>
          <w:lang w:bidi="ar-SA"/>
        </w:rPr>
        <w:t>لا يُمكِنُه النظرُ فيه؛ و نَحنُ نَعلَمُ أنّ مَن لا يَعلَمُ‌</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 إذا لَم يَكُن قَديماً فلا بُدَّ مِن كَونِه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كاملِ‌</w:t>
      </w:r>
      <w:r>
        <w:rPr>
          <w:rStyle w:val="FootnoteAnchor"/>
          <w:rtl w:val="true"/>
        </w:rPr>
        <w:footnoteReference w:id="705"/>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Style w:val="FootnoteAnchor"/>
          <w:rtl w:val="true"/>
        </w:rPr>
        <w:footnoteReference w:id="706"/>
      </w:r>
      <w:r>
        <w:rPr>
          <w:rFonts w:ascii="Amiri" w:hAnsi="Amiri" w:eastAsia="Amiri" w:cs="Amiri"/>
          <w:color w:val="111111"/>
          <w:sz w:val="28"/>
          <w:sz w:val="28"/>
          <w:szCs w:val="28"/>
          <w:rtl w:val="true"/>
          <w:lang w:bidi="ar-SA"/>
        </w:rPr>
        <w:t>سَألوا نُفوسَهم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تَرادُفِ الأدلّةِ علَى </w:t>
      </w:r>
    </w:p>
    <w:p>
      <w:pPr>
        <w:pStyle w:val="BookText"/>
        <w:rPr/>
      </w:pPr>
      <w:r>
        <w:rPr>
          <w:rFonts w:ascii="Amiri" w:hAnsi="Amiri" w:eastAsia="Amiri" w:cs="Amiri"/>
          <w:color w:val="111111"/>
          <w:sz w:val="28"/>
          <w:sz w:val="28"/>
          <w:szCs w:val="28"/>
          <w:rtl w:val="true"/>
          <w:lang w:bidi="ar-SA"/>
        </w:rPr>
        <w:t xml:space="preserve">المدلولِ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أنّا نَعلَمُ أنّها ممّا لَو سَبَقنا إليها لَولَّدَت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نُفرِّقُ بَينَ الدليلِ و الشبهةِ إلّابَعدَ توليدِ الدليلِ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نَعلَمُ‌</w:t>
      </w:r>
      <w:r>
        <w:rPr>
          <w:rStyle w:val="FootnoteAnchor"/>
          <w:rtl w:val="true"/>
        </w:rPr>
        <w:footnoteReference w:id="707"/>
      </w:r>
      <w:r>
        <w:rPr>
          <w:rFonts w:ascii="Amiri" w:hAnsi="Amiri" w:eastAsia="Amiri" w:cs="Amiri"/>
          <w:color w:val="111111"/>
          <w:sz w:val="28"/>
          <w:sz w:val="28"/>
          <w:szCs w:val="28"/>
          <w:rtl w:val="true"/>
          <w:lang w:bidi="ar-SA"/>
        </w:rPr>
        <w:t>أنّها أدلّةٌ‌، و لا يُمكِنُنا النظرُ فيها، و لا تُوَلِّدُ</w:t>
      </w:r>
      <w:r>
        <w:rPr>
          <w:rStyle w:val="FootnoteAnchor"/>
          <w:rtl w:val="true"/>
        </w:rPr>
        <w:footnoteReference w:id="708"/>
      </w:r>
      <w:r>
        <w:rPr>
          <w:rFonts w:ascii="Amiri" w:hAnsi="Amiri" w:eastAsia="Amiri" w:cs="Amiri"/>
          <w:color w:val="111111"/>
          <w:sz w:val="28"/>
          <w:sz w:val="28"/>
          <w:szCs w:val="28"/>
          <w:rtl w:val="true"/>
          <w:lang w:bidi="ar-SA"/>
        </w:rPr>
        <w:t>لنا عِلماً أبَداً؟</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نَظَرَ غَيرُنا فيها، اضطُرِرنا إلىٰ أ نّه عالِمٌ بمدلولِها؛ فعَلِمنا أنّها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إلىٰ أن نَعلَمَ‌</w:t>
      </w:r>
      <w:r>
        <w:rPr>
          <w:rStyle w:val="FootnoteAnchor"/>
          <w:rtl w:val="true"/>
        </w:rPr>
        <w:footnoteReference w:id="709"/>
      </w:r>
      <w:r>
        <w:rPr>
          <w:rFonts w:ascii="Amiri" w:hAnsi="Amiri" w:eastAsia="Amiri" w:cs="Amiri"/>
          <w:color w:val="111111"/>
          <w:sz w:val="28"/>
          <w:sz w:val="28"/>
          <w:szCs w:val="28"/>
          <w:rtl w:val="true"/>
          <w:lang w:bidi="ar-SA"/>
        </w:rPr>
        <w:t>أحَدَنا عالِماً، و إن جازَ أن نَعلَمَه مُعتَقِداً؛ و إذا لَم نَعلَمْه عالِماً، فلا سَبيلَ إلىٰ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لا شُبهةَ في أنّ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شَيئاً مِن المعلوماتِ بدَليلٍ نَظَرَ فيه</w:t>
      </w:r>
      <w:r>
        <w:rPr>
          <w:rStyle w:val="FootnoteAnchor"/>
          <w:rtl w:val="true"/>
        </w:rPr>
        <w:footnoteReference w:id="710"/>
      </w:r>
      <w:r>
        <w:rPr>
          <w:rFonts w:ascii="Amiri" w:hAnsi="Amiri" w:eastAsia="Amiri" w:cs="Amiri"/>
          <w:color w:val="111111"/>
          <w:sz w:val="28"/>
          <w:sz w:val="28"/>
          <w:szCs w:val="28"/>
          <w:rtl w:val="true"/>
          <w:lang w:bidi="ar-SA"/>
        </w:rPr>
        <w:t>أَوجَبَ له ذلكَ العِلمَ‌، لا يَصِحُّ أن يَعلَمَه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مع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النظرِ في الأدلّةِ المُتَرادفةِ مع تَقدُّمِ العِلمِ بالمعلومِ إنّما هو ليُعلَمَ أنّ ذلكَ المنظورَ فيه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مُناقَضةٌ و قولٌ يَتنافىٰ‌</w:t>
      </w:r>
      <w:r>
        <w:rPr>
          <w:rStyle w:val="FootnoteAnchor"/>
          <w:rtl w:val="true"/>
        </w:rPr>
        <w:footnoteReference w:id="711"/>
      </w:r>
      <w:r>
        <w:rPr>
          <w:rFonts w:ascii="Amiri" w:hAnsi="Amiri" w:eastAsia="Amiri" w:cs="Amiri"/>
          <w:color w:val="111111"/>
          <w:sz w:val="28"/>
          <w:sz w:val="28"/>
          <w:szCs w:val="28"/>
          <w:rtl w:val="true"/>
          <w:lang w:bidi="ar-SA"/>
        </w:rPr>
        <w:t>لأنّ الدليلَ إنّما يُعلَمُ دليلاً إذا حَصَلَ عندَه العِلمُ‌، فكَيفَ يَجوزُ أن نَعلَمَ‌</w:t>
      </w:r>
      <w:r>
        <w:rPr>
          <w:rStyle w:val="FootnoteAnchor"/>
          <w:rtl w:val="true"/>
        </w:rPr>
        <w:footnoteReference w:id="712"/>
      </w:r>
      <w:r>
        <w:rPr>
          <w:rFonts w:ascii="Amiri" w:hAnsi="Amiri" w:eastAsia="Amiri" w:cs="Amiri"/>
          <w:color w:val="111111"/>
          <w:sz w:val="28"/>
          <w:sz w:val="28"/>
          <w:szCs w:val="28"/>
          <w:rtl w:val="true"/>
          <w:lang w:bidi="ar-SA"/>
        </w:rPr>
        <w:t>في الدليلِ الثاني إذا نَظَرنا فيه أ نّه دليلٌ و ما حَصَلَ لنا عندَه عِلمٌ؟</w:t>
      </w:r>
      <w:r>
        <w:rPr>
          <w:rStyle w:val="FootnoteAnchor"/>
          <w:rtl w:val="true"/>
        </w:rPr>
        <w:footnoteReference w:id="71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يَقوىٰ في النفسِ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نَظَرَ في شَيءٍ فعَلِمَه مِن طريقِ الدليلِ‌، </w:t>
      </w:r>
    </w:p>
    <w:p>
      <w:pPr>
        <w:pStyle w:val="BookText"/>
        <w:rPr/>
      </w:pPr>
      <w:r>
        <w:rPr>
          <w:rFonts w:ascii="Amiri" w:hAnsi="Amiri" w:eastAsia="Amiri" w:cs="Amiri"/>
          <w:color w:val="111111"/>
          <w:sz w:val="28"/>
          <w:sz w:val="28"/>
          <w:szCs w:val="28"/>
          <w:rtl w:val="true"/>
          <w:lang w:bidi="ar-SA"/>
        </w:rPr>
        <w:t>قد يَجوزُ أن يَنظُرَ في دليلٍ آخَرَ يُفضي إلَى العِلمِ به و يَكونَ عالِماً به</w:t>
      </w:r>
      <w:r>
        <w:rPr>
          <w:rStyle w:val="FootnoteAnchor"/>
          <w:rtl w:val="true"/>
        </w:rPr>
        <w:footnoteReference w:id="714"/>
      </w:r>
      <w:r>
        <w:rPr>
          <w:rFonts w:ascii="Amiri" w:hAnsi="Amiri" w:eastAsia="Amiri" w:cs="Amiri"/>
          <w:color w:val="111111"/>
          <w:sz w:val="28"/>
          <w:sz w:val="28"/>
          <w:szCs w:val="28"/>
          <w:rtl w:val="true"/>
          <w:lang w:bidi="ar-SA"/>
        </w:rPr>
        <w:t>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w:t>
      </w:r>
      <w:r>
        <w:rPr>
          <w:rStyle w:val="FootnoteAnchor"/>
          <w:rtl w:val="true"/>
        </w:rPr>
        <w:footnoteReference w:id="715"/>
      </w:r>
      <w:r>
        <w:rPr>
          <w:rFonts w:ascii="Amiri" w:hAnsi="Amiri" w:eastAsia="Amiri" w:cs="Amiri"/>
          <w:color w:val="111111"/>
          <w:sz w:val="28"/>
          <w:sz w:val="28"/>
          <w:szCs w:val="28"/>
          <w:rtl w:val="true"/>
          <w:lang w:bidi="ar-SA"/>
        </w:rPr>
        <w:t>في طريقةِ إثباتِ الأعراضِ‌، و يَستَدِلَّ بها</w:t>
      </w:r>
      <w:r>
        <w:rPr>
          <w:rStyle w:val="FootnoteAnchor"/>
          <w:rtl w:val="true"/>
        </w:rPr>
        <w:footnoteReference w:id="716"/>
      </w:r>
      <w:r>
        <w:rPr>
          <w:rFonts w:ascii="Amiri" w:hAnsi="Amiri" w:eastAsia="Amiri" w:cs="Amiri"/>
          <w:color w:val="111111"/>
          <w:sz w:val="28"/>
          <w:sz w:val="28"/>
          <w:szCs w:val="28"/>
          <w:rtl w:val="true"/>
          <w:lang w:bidi="ar-SA"/>
        </w:rPr>
        <w:t>علىٰ حُدوثِ الأجسامِ‌، فيَعلَمَ‌</w:t>
      </w:r>
      <w:r>
        <w:rPr>
          <w:rStyle w:val="FootnoteAnchor"/>
          <w:rtl w:val="true"/>
        </w:rPr>
        <w:footnoteReference w:id="717"/>
      </w:r>
      <w:r>
        <w:rPr>
          <w:rFonts w:ascii="Amiri" w:hAnsi="Amiri" w:eastAsia="Amiri" w:cs="Amiri"/>
          <w:color w:val="111111"/>
          <w:sz w:val="28"/>
          <w:sz w:val="28"/>
          <w:szCs w:val="28"/>
          <w:rtl w:val="true"/>
          <w:lang w:bidi="ar-SA"/>
        </w:rPr>
        <w:t>بهذه الطريقةِ أنّ الأجسامَ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w:t>
      </w:r>
      <w:r>
        <w:rPr>
          <w:rStyle w:val="FootnoteAnchor"/>
          <w:rtl w:val="true"/>
        </w:rPr>
        <w:footnoteReference w:id="718"/>
      </w:r>
      <w:r>
        <w:rPr>
          <w:rFonts w:ascii="Amiri" w:hAnsi="Amiri" w:eastAsia="Amiri" w:cs="Amiri"/>
          <w:color w:val="111111"/>
          <w:sz w:val="28"/>
          <w:sz w:val="28"/>
          <w:szCs w:val="28"/>
          <w:rtl w:val="true"/>
          <w:lang w:bidi="ar-SA"/>
        </w:rPr>
        <w:t>في الطريقةِ الأُخرَى التي يُعتَمَدُ</w:t>
      </w:r>
      <w:r>
        <w:rPr>
          <w:rStyle w:val="FootnoteAnchor"/>
          <w:rtl w:val="true"/>
        </w:rPr>
        <w:footnoteReference w:id="719"/>
      </w:r>
      <w:r>
        <w:rPr>
          <w:rFonts w:ascii="Amiri" w:hAnsi="Amiri" w:eastAsia="Amiri" w:cs="Amiri"/>
          <w:color w:val="111111"/>
          <w:sz w:val="28"/>
          <w:sz w:val="28"/>
          <w:szCs w:val="28"/>
          <w:rtl w:val="true"/>
          <w:lang w:bidi="ar-SA"/>
        </w:rPr>
        <w:t>فيها علىٰ أنّ مِن شأنِ الإدراكِ أن يَتعلَّقَ في كُلِّ ذاتٍ مُدرَكةٍ بأخَصِّ أوصافِها، و الجسمُ لَو كانَ قَديماً لَوَجَبَ إدراكُه علىٰ هذه الصفةِ‌</w:t>
      </w:r>
      <w:r>
        <w:rPr>
          <w:rStyle w:val="FootnoteAnchor"/>
          <w:rtl w:val="true"/>
        </w:rPr>
        <w:footnoteReference w:id="720"/>
      </w:r>
      <w:r>
        <w:rPr>
          <w:rFonts w:ascii="Amiri" w:hAnsi="Amiri" w:eastAsia="Amiri" w:cs="Amiri"/>
          <w:color w:val="111111"/>
          <w:sz w:val="28"/>
          <w:sz w:val="28"/>
          <w:szCs w:val="28"/>
          <w:rtl w:val="true"/>
          <w:lang w:bidi="ar-SA"/>
        </w:rPr>
        <w:t>لأنّها مِن أَخَصِّ أوصافِه، و إذا عَلِمَ ضَرورةً أ نّه لا يُدرَكُ قَديماً فلا بُدَّ مِن العِلمِ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الطريقةُ مَبنيّةٌ علىٰ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الجسمَ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مِن شأنِ الإدراكِ أن يَتعلَّقَ بأخَصِّ أوصافِ الذاتِ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الجسمَ لَو كانَ قَديماً لَكانَ كَونُه بهذه الصفةِ مِن أَخَصِّ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 نّه لا يُدرَكُ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 بالتأمُّلِ صحّةَ هذه المُقدِّماتِ‌، فلا بُدَّ مِن أن يَفعَلَ لنَفسِه اعتقاداً لأنّ‌</w:t>
      </w:r>
      <w:r>
        <w:rPr>
          <w:rStyle w:val="FootnoteAnchor"/>
          <w:rtl w:val="true"/>
        </w:rPr>
        <w:footnoteReference w:id="721"/>
      </w:r>
      <w:r>
        <w:rPr>
          <w:rFonts w:ascii="Amiri" w:hAnsi="Amiri" w:eastAsia="Amiri" w:cs="Amiri"/>
          <w:color w:val="111111"/>
          <w:sz w:val="28"/>
          <w:sz w:val="28"/>
          <w:szCs w:val="28"/>
          <w:rtl w:val="true"/>
          <w:lang w:bidi="ar-SA"/>
        </w:rPr>
        <w:t>الجسمَ لَيسَ بقَديمٍ‌، و إذا لَم يَكُن قَديماً و هو موجودٌ فلابُدَّ مِن كَونِه مُحدَثاً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722"/>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مع صحّةِ تلكَ المُقدِّماتِ و عِلمِه بها لا بُدَّ مِن أن يَفعَلَ اعتقاداً </w:t>
      </w:r>
    </w:p>
    <w:p>
      <w:pPr>
        <w:pStyle w:val="BookText"/>
        <w:rPr/>
      </w:pPr>
      <w:r>
        <w:rPr>
          <w:rFonts w:ascii="Amiri" w:hAnsi="Amiri" w:eastAsia="Amiri" w:cs="Amiri"/>
          <w:color w:val="111111"/>
          <w:sz w:val="28"/>
          <w:sz w:val="28"/>
          <w:szCs w:val="28"/>
          <w:rtl w:val="true"/>
          <w:lang w:bidi="ar-SA"/>
        </w:rPr>
        <w:t>لأنّه</w:t>
      </w:r>
      <w:r>
        <w:rPr>
          <w:rStyle w:val="FootnoteAnchor"/>
          <w:rtl w:val="true"/>
        </w:rPr>
        <w:footnoteReference w:id="723"/>
      </w:r>
      <w:r>
        <w:rPr>
          <w:rFonts w:ascii="Amiri" w:hAnsi="Amiri" w:eastAsia="Amiri" w:cs="Amiri"/>
          <w:color w:val="111111"/>
          <w:sz w:val="28"/>
          <w:sz w:val="28"/>
          <w:szCs w:val="28"/>
          <w:rtl w:val="true"/>
          <w:lang w:bidi="ar-SA"/>
        </w:rPr>
        <w:t>لَيسَ بقَديمٍ‌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Style w:val="FootnoteAnchor"/>
          <w:rtl w:val="true"/>
        </w:rPr>
        <w:footnoteReference w:id="724"/>
      </w:r>
      <w:r>
        <w:rPr>
          <w:rFonts w:ascii="Amiri" w:hAnsi="Amiri" w:eastAsia="Amiri" w:cs="Amiri"/>
          <w:color w:val="111111"/>
          <w:sz w:val="28"/>
          <w:sz w:val="28"/>
          <w:szCs w:val="28"/>
          <w:rtl w:val="true"/>
          <w:lang w:bidi="ar-SA"/>
        </w:rPr>
        <w:t>مجموعَ‌</w:t>
      </w:r>
      <w:r>
        <w:rPr>
          <w:rStyle w:val="FootnoteAnchor"/>
          <w:rtl w:val="true"/>
        </w:rPr>
        <w:footnoteReference w:id="725"/>
      </w:r>
      <w:r>
        <w:rPr>
          <w:rFonts w:ascii="Amiri" w:hAnsi="Amiri" w:eastAsia="Amiri" w:cs="Amiri"/>
          <w:color w:val="111111"/>
          <w:sz w:val="28"/>
          <w:sz w:val="28"/>
          <w:szCs w:val="28"/>
          <w:rtl w:val="true"/>
          <w:lang w:bidi="ar-SA"/>
        </w:rPr>
        <w:t xml:space="preserve">ما ذَكرناه مُلجئٌ له إلىٰ فعلِ هذا الاعتقادِ، كَما أنّ مَن عَلِمَ في ذاتٍ أنّها لَم تَسبِقْ ذَواتاً مُحدَثةً مُلجَأٌ إلَى اعتقادِ كَونِها مُحدَثةً‌، و مَن عَلِمَ في فعلٍ أنّ له صفةَ الظلمِ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استَقَرَّ في عقلِه مِن قُبحِ ما له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 اعتقادٍ لقُبحِه</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الاعتقادُ عِلماً؛ لوقوعِه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يَنظُرُ في حُدوثِ الجسمِ بالدليلِ الثاني و هو عالِمٌ بحُدوثِه بالدليلِ الأوّلِ؟ و العِلمُ بالشيءِ يَمنَعُ مِن النظرِ فيه، و لَو جازَ أن يَنظُرَ فيما عَلِمَه لَجازَ أن يَنظُرَ في المُشاهَداتِ‌</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نظرُه في الدليلِ الثاني علَى الحقيقةِ نظراً في حُدوثِ الجسمِ‌، فيَلزَمَ أن يَكونَ شاكّاً في حُدوثِه؛ و إنّما يَنظُرُ في مُقدِّماتِ الدليلِ الثاني التي</w:t>
      </w:r>
      <w:r>
        <w:rPr>
          <w:rStyle w:val="FootnoteAnchor"/>
          <w:rtl w:val="true"/>
        </w:rPr>
        <w:footnoteReference w:id="728"/>
      </w:r>
      <w:r>
        <w:rPr>
          <w:rFonts w:ascii="Amiri" w:hAnsi="Amiri" w:eastAsia="Amiri" w:cs="Amiri"/>
          <w:color w:val="111111"/>
          <w:sz w:val="28"/>
          <w:sz w:val="28"/>
          <w:szCs w:val="28"/>
          <w:rtl w:val="true"/>
          <w:lang w:bidi="ar-SA"/>
        </w:rPr>
        <w:t>منها أنّ مِن شأنِ الإدراكِ أن يَتعلَّقَ بأخَصِّ أوصافِ المُدرَكِ‌، و منها أنّ الجسمَ لَو كانَ قَديماً لَكانَ كَونُه كذلكَ مِن أخَصِّ أوصافِه، و غيرُ ذلكَ ممّا قد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نَظَرَ في شَيءٍ فيَجِبُ أن يَكونَ شاكّاً فيما نَظَرَ فيه، لا في غَيرِه؛ لأنّه إذا نَظَرَ في</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Style w:val="FootnoteAnchor"/>
          <w:rtl w:val="true"/>
        </w:rPr>
        <w:footnoteReference w:id="730"/>
      </w:r>
      <w:r>
        <w:rPr>
          <w:rFonts w:ascii="Amiri" w:hAnsi="Amiri" w:eastAsia="Amiri" w:cs="Amiri"/>
          <w:color w:val="111111"/>
          <w:sz w:val="28"/>
          <w:sz w:val="28"/>
          <w:szCs w:val="28"/>
          <w:rtl w:val="true"/>
          <w:lang w:bidi="ar-SA"/>
        </w:rPr>
        <w:t xml:space="preserve">الإدراكُ‌ </w:t>
      </w:r>
    </w:p>
    <w:p>
      <w:pPr>
        <w:pStyle w:val="BookText"/>
        <w:rPr/>
      </w:pPr>
      <w:r>
        <w:rPr>
          <w:rFonts w:ascii="Amiri" w:hAnsi="Amiri" w:eastAsia="Amiri" w:cs="Amiri"/>
          <w:color w:val="111111"/>
          <w:sz w:val="28"/>
          <w:sz w:val="28"/>
          <w:szCs w:val="28"/>
          <w:rtl w:val="true"/>
          <w:lang w:bidi="ar-SA"/>
        </w:rPr>
        <w:t>يَتناوَلُ في المُدرَكِ أخَصَّ الصفاتِ‌، أو لا يَتناوَلُ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أن يَكونَ شاكّاً في تَناوُلِ الإدراكِ‌، و كذلكَ سائرُ مُقَدِّماتِ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بالدليلِ الأوّلِ حُدوثَ الأجسامِ لا يَمنَعُ مِن شَكِّه في مُقَدِّماتِ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يَمنَعُ‌</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ناظراً في شَيءٍ و هو عالِمٌ به، أنّ النظرَ</w:t>
      </w:r>
      <w:r>
        <w:rPr>
          <w:rStyle w:val="FootnoteAnchor"/>
          <w:rtl w:val="true"/>
        </w:rPr>
        <w:footnoteReference w:id="732"/>
      </w:r>
      <w:r>
        <w:rPr>
          <w:rFonts w:ascii="Amiri" w:hAnsi="Amiri" w:eastAsia="Amiri" w:cs="Amiri"/>
          <w:color w:val="111111"/>
          <w:sz w:val="28"/>
          <w:sz w:val="28"/>
          <w:szCs w:val="28"/>
          <w:rtl w:val="true"/>
          <w:lang w:bidi="ar-SA"/>
        </w:rPr>
        <w:t>لا يَتعلَّقُ مِن المنظورِ فيه بوَجهٍ مُعيَّنٍ‌، بَل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الصفةُ ثابتةٌ أو مُنتَفيةٌ؟ فكأنّه تمييلٌ‌</w:t>
      </w:r>
      <w:r>
        <w:rPr>
          <w:rStyle w:val="FootnoteAnchor"/>
          <w:rtl w:val="true"/>
        </w:rPr>
        <w:footnoteReference w:id="733"/>
      </w:r>
      <w:r>
        <w:rPr>
          <w:rFonts w:ascii="Amiri" w:hAnsi="Amiri" w:eastAsia="Amiri" w:cs="Amiri"/>
          <w:color w:val="111111"/>
          <w:sz w:val="28"/>
          <w:sz w:val="28"/>
          <w:szCs w:val="28"/>
          <w:rtl w:val="true"/>
          <w:lang w:bidi="ar-SA"/>
        </w:rPr>
        <w:t>بَينَ الأمرَينِ و بَحثٌ عن أيِّهما هو الثابتُ‌، فلا بُدَّ مِن الشكِّ مع ذلكَ‌؛ لأنّ العِلمَ و القَطعَ يُنافيانِ‌</w:t>
      </w:r>
      <w:r>
        <w:rPr>
          <w:rStyle w:val="FootnoteAnchor"/>
          <w:rtl w:val="true"/>
        </w:rPr>
        <w:footnoteReference w:id="734"/>
      </w:r>
      <w:r>
        <w:rPr>
          <w:rFonts w:ascii="Amiri" w:hAnsi="Amiri" w:eastAsia="Amiri" w:cs="Amiri"/>
          <w:color w:val="111111"/>
          <w:sz w:val="28"/>
          <w:sz w:val="28"/>
          <w:szCs w:val="28"/>
          <w:rtl w:val="true"/>
          <w:lang w:bidi="ar-SA"/>
        </w:rPr>
        <w:t>وَجهَ تَعلُّقِ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المانعُ مِن أن يَنظُرَ الناظرُ فيما يَعلَمُه، لا ما</w:t>
      </w:r>
      <w:r>
        <w:rPr>
          <w:rStyle w:val="FootnoteAnchor"/>
          <w:rtl w:val="true"/>
        </w:rPr>
        <w:footnoteReference w:id="735"/>
      </w:r>
      <w:r>
        <w:rPr>
          <w:rFonts w:ascii="Amiri" w:hAnsi="Amiri" w:eastAsia="Amiri" w:cs="Amiri"/>
          <w:color w:val="111111"/>
          <w:sz w:val="28"/>
          <w:sz w:val="28"/>
          <w:szCs w:val="28"/>
          <w:rtl w:val="true"/>
          <w:lang w:bidi="ar-SA"/>
        </w:rPr>
        <w:t>يُذكَرُ في الكُتُبِ مِن النظرِ في المُشاهَداتِ‌؛ لأنّ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يَصِحُّ أن يُنظَرَ</w:t>
      </w:r>
      <w:r>
        <w:rPr>
          <w:rStyle w:val="FootnoteAnchor"/>
          <w:rtl w:val="true"/>
        </w:rPr>
        <w:footnoteReference w:id="736"/>
      </w:r>
      <w:r>
        <w:rPr>
          <w:rFonts w:ascii="Amiri" w:hAnsi="Amiri" w:eastAsia="Amiri" w:cs="Amiri"/>
          <w:color w:val="111111"/>
          <w:sz w:val="28"/>
          <w:sz w:val="28"/>
          <w:szCs w:val="28"/>
          <w:rtl w:val="true"/>
          <w:lang w:bidi="ar-SA"/>
        </w:rPr>
        <w:t>في المُشاهَداتِ‌؛ لأنّه لا دليلَ يُفضي إلَى العِلمِ بها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أنّ النظرَ في الدليلِ الثاني يَحصُلُ عندَه عِلمٌ بالمدلولِ عليه، لَوَجَبَ أن يَكونَ مَن عَلِمَ حُدوثَ الأجسامِ بدَليلِ إثباتِ الأعراضِ‌، ثُمَّ نَظَرَ في الطريقةِ الأُخرَى المَبنيّةِ علىٰ كَيفيّةِ تَناوُلِ الإدراكِ‌، متىٰ عَرَضَ له شَكٌّ في إثباتِ الأعراضِ أن يَخرُجَ مِن أن يَكونَ عالِماً بحُدوثِ الأجسامِ‌؛ لأنّ شَكَّه في حُدوثِ الأجسامِ يؤَثِّرُ</w:t>
      </w:r>
      <w:r>
        <w:rPr>
          <w:rStyle w:val="FootnoteAnchor"/>
          <w:rtl w:val="true"/>
        </w:rPr>
        <w:footnoteReference w:id="737"/>
      </w:r>
      <w:r>
        <w:rPr>
          <w:rFonts w:ascii="Amiri" w:hAnsi="Amiri" w:eastAsia="Amiri" w:cs="Amiri"/>
          <w:color w:val="111111"/>
          <w:sz w:val="28"/>
          <w:sz w:val="28"/>
          <w:szCs w:val="28"/>
          <w:rtl w:val="true"/>
          <w:lang w:bidi="ar-SA"/>
        </w:rPr>
        <w:t xml:space="preserve">في عِلمِه بحُدوثِها مِن هذا الطريقِ‌؛ بدَلالةِ أ نّه لَو انفَرَدَ كَونُه ناظراً بهذا </w:t>
      </w:r>
    </w:p>
    <w:p>
      <w:pPr>
        <w:pStyle w:val="BookText"/>
        <w:rPr/>
      </w:pPr>
      <w:r>
        <w:rPr>
          <w:rFonts w:ascii="Amiri" w:hAnsi="Amiri" w:eastAsia="Amiri" w:cs="Amiri"/>
          <w:color w:val="111111"/>
          <w:sz w:val="28"/>
          <w:sz w:val="28"/>
          <w:szCs w:val="28"/>
          <w:rtl w:val="true"/>
          <w:lang w:bidi="ar-SA"/>
        </w:rPr>
        <w:t xml:space="preserve">الدليلِ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يَشُكَّ في إثباتِ الأكوانِ‌</w:t>
      </w:r>
      <w:r>
        <w:rPr>
          <w:rStyle w:val="FootnoteAnchor"/>
          <w:rtl w:val="true"/>
        </w:rPr>
        <w:footnoteReference w:id="738"/>
      </w:r>
      <w:r>
        <w:rPr>
          <w:rFonts w:ascii="IRNazanin" w:hAnsi="IRNazanin" w:eastAsia="IRNazanin"/>
          <w:color w:val="111111"/>
          <w:sz w:val="28"/>
          <w:sz w:val="28"/>
          <w:szCs w:val="28"/>
          <w:rtl w:val="true"/>
          <w:lang w:bidi="fa-IR"/>
        </w:rPr>
        <w:t>، أو</w:t>
      </w:r>
      <w:r>
        <w:rPr>
          <w:rStyle w:val="FootnoteAnchor"/>
          <w:rtl w:val="true"/>
        </w:rPr>
        <w:footnoteReference w:id="739"/>
      </w:r>
      <w:r>
        <w:rPr>
          <w:rFonts w:ascii="Amiri" w:hAnsi="Amiri" w:eastAsia="Amiri" w:cs="Amiri"/>
          <w:color w:val="111111"/>
          <w:sz w:val="28"/>
          <w:sz w:val="28"/>
          <w:szCs w:val="28"/>
          <w:rtl w:val="true"/>
          <w:lang w:bidi="ar-SA"/>
        </w:rPr>
        <w:t xml:space="preserve">حُدوثِها، و أنّ الجسمَ لا يَخلو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 مِن أن يَكونَ عالِماً بحُدوثِ الأجسامِ‌، و قد عَلِمنا أ نّه إذا كانَ قد نَظَرَ في الطريقةِ الثانيةِ ثُمَّ شَكَّ‌</w:t>
      </w:r>
      <w:r>
        <w:rPr>
          <w:rStyle w:val="FootnoteAnchor"/>
          <w:rtl w:val="true"/>
        </w:rPr>
        <w:footnoteReference w:id="740"/>
      </w:r>
      <w:r>
        <w:rPr>
          <w:rFonts w:ascii="Amiri" w:hAnsi="Amiri" w:eastAsia="Amiri" w:cs="Amiri"/>
          <w:color w:val="111111"/>
          <w:sz w:val="28"/>
          <w:sz w:val="28"/>
          <w:szCs w:val="28"/>
          <w:rtl w:val="true"/>
          <w:lang w:bidi="ar-SA"/>
        </w:rPr>
        <w:t>في إثباتِ الأكوانِ لا</w:t>
      </w:r>
      <w:r>
        <w:rPr>
          <w:rStyle w:val="FootnoteAnchor"/>
          <w:rtl w:val="true"/>
        </w:rPr>
        <w:footnoteReference w:id="741"/>
      </w:r>
      <w:r>
        <w:rPr>
          <w:rFonts w:ascii="Amiri" w:hAnsi="Amiri" w:eastAsia="Amiri" w:cs="Amiri"/>
          <w:color w:val="111111"/>
          <w:sz w:val="28"/>
          <w:sz w:val="28"/>
          <w:szCs w:val="28"/>
          <w:rtl w:val="true"/>
          <w:lang w:bidi="ar-SA"/>
        </w:rPr>
        <w:t>يَخرُجُ مِن أن يَكونَ عالِماً بحُدوثِ الأجسامِ‌؛ فلَولا أنّ الطريقةَ الثانيةَ‌</w:t>
      </w:r>
      <w:r>
        <w:rPr>
          <w:rStyle w:val="FootnoteAnchor"/>
          <w:rtl w:val="true"/>
        </w:rPr>
        <w:footnoteReference w:id="742"/>
      </w:r>
      <w:r>
        <w:rPr>
          <w:rFonts w:ascii="Amiri" w:hAnsi="Amiri" w:eastAsia="Amiri" w:cs="Amiri"/>
          <w:color w:val="111111"/>
          <w:sz w:val="28"/>
          <w:sz w:val="28"/>
          <w:szCs w:val="28"/>
          <w:rtl w:val="true"/>
          <w:lang w:bidi="ar-SA"/>
        </w:rPr>
        <w:t>قد اقتَضَت حُصولَ عِلمٍ له ثانٍ بالمدلولِ لَما وَجَبَ مع الشُّبهةِ في الدليلِ الأوّلِ أن</w:t>
      </w:r>
      <w:r>
        <w:rPr>
          <w:rStyle w:val="FootnoteAnchor"/>
          <w:rtl w:val="true"/>
        </w:rPr>
        <w:footnoteReference w:id="743"/>
      </w:r>
      <w:r>
        <w:rPr>
          <w:rFonts w:ascii="Amiri" w:hAnsi="Amiri" w:eastAsia="Amiri" w:cs="Amiri"/>
          <w:color w:val="111111"/>
          <w:sz w:val="28"/>
          <w:sz w:val="28"/>
          <w:szCs w:val="28"/>
          <w:rtl w:val="true"/>
          <w:lang w:bidi="ar-SA"/>
        </w:rPr>
        <w:t>يَستَمِرَّ كَونُه عالِماً</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في الدليلِ الثاني أ نّه دليلٌ و هو لا يَتميَّزُ له حُصولُ العِلمِ له مِن جهتِه‌؟ لأنّه إذا كانَ عالِماً بحُدوثِ الأجسامِ بالدليلِ الأوّلِ‌، ثُمَّ نَظَرَ في الدليلِ الثاني، و ادَّعَيتم أنّه يَجِبُ أن يَفعَلَ لنَفسِه عندَ تَكامُلِ صحّةِ مُقَدِّماتِ الدليلِ الثاني اعتقاداً لحُدوثِ الأجسامِ‌، و هذا ممّا لا يَتميَّزُ له؛ لأنّه</w:t>
      </w:r>
      <w:r>
        <w:rPr>
          <w:rStyle w:val="FootnoteAnchor"/>
          <w:rtl w:val="true"/>
        </w:rPr>
        <w:footnoteReference w:id="745"/>
      </w:r>
      <w:r>
        <w:rPr>
          <w:rFonts w:ascii="Amiri" w:hAnsi="Amiri" w:eastAsia="Amiri" w:cs="Amiri"/>
          <w:color w:val="111111"/>
          <w:sz w:val="28"/>
          <w:sz w:val="28"/>
          <w:szCs w:val="28"/>
          <w:rtl w:val="true"/>
          <w:lang w:bidi="ar-SA"/>
        </w:rPr>
        <w:t>مُعتَقِدٌ و عالِمٌ بحُدوثِ الأجسامِ بالنظرِ الأوّلِ‌، فكَيفَ يَعلَمُ أنّ الدليلَ الثانيَ دليلٌ علَى الحقيقةِ؟ و لا</w:t>
      </w:r>
      <w:r>
        <w:rPr>
          <w:rStyle w:val="FootnoteAnchor"/>
          <w:rtl w:val="true"/>
        </w:rPr>
        <w:footnoteReference w:id="746"/>
      </w:r>
      <w:r>
        <w:rPr>
          <w:rFonts w:ascii="Amiri" w:hAnsi="Amiri" w:eastAsia="Amiri" w:cs="Amiri"/>
          <w:color w:val="111111"/>
          <w:sz w:val="28"/>
          <w:sz w:val="28"/>
          <w:szCs w:val="28"/>
          <w:rtl w:val="true"/>
          <w:lang w:bidi="ar-SA"/>
        </w:rPr>
        <w:t>يَجري ذلكَ مَجرىٰ مَن لَم يَكُن عالِماً بشَيءٍ‌، ثُمَّ نَظَرَ في دليلٍ عليه، فوَجَدَ نَفسَه عالِمةً بما لَم تَكُن عالِمةً به</w:t>
      </w:r>
      <w:r>
        <w:rPr>
          <w:rStyle w:val="FootnoteAnchor"/>
          <w:rtl w:val="true"/>
        </w:rPr>
        <w:footnoteReference w:id="747"/>
      </w:r>
      <w:r>
        <w:rPr>
          <w:rFonts w:ascii="Amiri" w:hAnsi="Amiri" w:eastAsia="Amiri" w:cs="Amiri"/>
          <w:color w:val="111111"/>
          <w:sz w:val="28"/>
          <w:sz w:val="28"/>
          <w:szCs w:val="28"/>
          <w:rtl w:val="true"/>
          <w:lang w:bidi="ar-SA"/>
        </w:rPr>
        <w:t>لأنّ هاهُنا يَتميَّزُ له حُصولُ العِلمِ بَعدَ أن لَم يَكُن حاصلاً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قَبلَ أن يَنظُرَ في هذا الدليلِ الثاني إذا تأمَّلَ مُقَدِّماتِه فلا بُدَّ مِن أن يَكونَ عالِماً بأنّها متىٰ صَحَّت و عَلِمَ الناظرُ ذلكَ مِن حالِها فإنّه لا بُدَّ مِن أن يَفعَلَ لنَفسِه عِلماً بحُدوثِ الأجسامِ‌، و أ نّه لا يَجوزُ أن يَتكامَلَ له العِلمُ بثُبوتِ تلكَ‌</w:t>
      </w:r>
      <w:r>
        <w:rPr>
          <w:rStyle w:val="FootnoteAnchor"/>
          <w:rtl w:val="true"/>
        </w:rPr>
        <w:footnoteReference w:id="748"/>
      </w:r>
      <w:r>
        <w:rPr>
          <w:rFonts w:ascii="Amiri" w:hAnsi="Amiri" w:eastAsia="Amiri" w:cs="Amiri"/>
          <w:color w:val="111111"/>
          <w:sz w:val="28"/>
          <w:sz w:val="28"/>
          <w:szCs w:val="28"/>
          <w:rtl w:val="true"/>
          <w:lang w:bidi="ar-SA"/>
        </w:rPr>
        <w:t>المُقَدِّماتِ و صحّتِها ثُمَّ لا يَفعَلَ لنَفسِه</w:t>
      </w:r>
      <w:r>
        <w:rPr>
          <w:rStyle w:val="FootnoteAnchor"/>
          <w:rtl w:val="true"/>
        </w:rPr>
        <w:footnoteReference w:id="749"/>
      </w:r>
      <w:r>
        <w:rPr>
          <w:rFonts w:ascii="Amiri" w:hAnsi="Amiri" w:eastAsia="Amiri" w:cs="Amiri"/>
          <w:color w:val="111111"/>
          <w:sz w:val="28"/>
          <w:sz w:val="28"/>
          <w:szCs w:val="28"/>
          <w:rtl w:val="true"/>
          <w:lang w:bidi="ar-SA"/>
        </w:rPr>
        <w:t>عِلماً بحُدوثِ الجسمِ‌، كما أ نّه يَعلَمُ قَبلَ النظرِ في طريقةِ إثباتِ الأعراضِ و حُدوثِها أ نّه متىٰ عَلِمَ الناظرُ أنّ الجسمَ لَم يَسبِقْ ذَواتاً مُحدَثةً فلا بُدَّ</w:t>
      </w:r>
      <w:r>
        <w:rPr>
          <w:rStyle w:val="FootnoteAnchor"/>
          <w:rtl w:val="true"/>
        </w:rPr>
        <w:footnoteReference w:id="750"/>
      </w:r>
      <w:r>
        <w:rPr>
          <w:rFonts w:ascii="Amiri" w:hAnsi="Amiri" w:eastAsia="Amiri" w:cs="Amiri"/>
          <w:color w:val="111111"/>
          <w:sz w:val="28"/>
          <w:sz w:val="28"/>
          <w:szCs w:val="28"/>
          <w:rtl w:val="true"/>
          <w:lang w:bidi="ar-SA"/>
        </w:rPr>
        <w:t>مِن أن يَفعَلَ لنَفسِه اعتقاداً لأنّه مُحدَثٌ‌، و يَكونُ ذلكَ الاعتقادُ عِلماً؛ لهذا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العِلمَ بأنّ الدليلَ دليلٌ هو عِلمٌ بتَعلُّقِه بالمدلولِ علىٰ وجهٍ مخصوصٍ يُفضي إلَى العِلمِ‌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الدليلِ‌</w:t>
      </w:r>
      <w:r>
        <w:rPr>
          <w:rStyle w:val="FootnoteAnchor"/>
          <w:rtl w:val="true"/>
        </w:rPr>
        <w:footnoteReference w:id="751"/>
      </w:r>
      <w:r>
        <w:rPr>
          <w:rFonts w:ascii="Amiri" w:hAnsi="Amiri" w:eastAsia="Amiri" w:cs="Amiri"/>
          <w:color w:val="111111"/>
          <w:sz w:val="28"/>
          <w:sz w:val="28"/>
          <w:szCs w:val="28"/>
          <w:rtl w:val="true"/>
          <w:lang w:bidi="ar-SA"/>
        </w:rPr>
        <w:t>الثاني لا يَحصُلُ عندَه</w:t>
      </w:r>
      <w:r>
        <w:rPr>
          <w:rStyle w:val="FootnoteAnchor"/>
          <w:rtl w:val="true"/>
        </w:rPr>
        <w:footnoteReference w:id="752"/>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بالمدلولِ‌،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عليه هذا الكلامُ‌، و يُقالُ‌</w:t>
      </w:r>
      <w:r>
        <w:rPr>
          <w:rStyle w:val="FootnoteAnchor"/>
          <w:rtl w:val="true"/>
        </w:rPr>
        <w:footnoteReference w:id="75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يَنظُرُ في الدليلِ الثاني ليَعلَمَ أ نّه دليلٌ‌، لا ليَعلَمَ‌</w:t>
      </w:r>
      <w:r>
        <w:rPr>
          <w:rStyle w:val="FootnoteAnchor"/>
          <w:rtl w:val="true"/>
        </w:rPr>
        <w:footnoteReference w:id="754"/>
      </w:r>
      <w:r>
        <w:rPr>
          <w:rFonts w:ascii="Amiri" w:hAnsi="Amiri" w:eastAsia="Amiri" w:cs="Amiri"/>
          <w:color w:val="111111"/>
          <w:sz w:val="28"/>
          <w:sz w:val="28"/>
          <w:szCs w:val="28"/>
          <w:rtl w:val="true"/>
          <w:lang w:bidi="ar-SA"/>
        </w:rPr>
        <w:t>المدلولَ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تَزعُمُ أنّ‌</w:t>
      </w:r>
      <w:r>
        <w:rPr>
          <w:rStyle w:val="FootnoteAnchor"/>
          <w:rtl w:val="true"/>
        </w:rPr>
        <w:footnoteReference w:id="755"/>
      </w:r>
      <w:r>
        <w:rPr>
          <w:rFonts w:ascii="Amiri" w:hAnsi="Amiri" w:eastAsia="Amiri" w:cs="Amiri"/>
          <w:color w:val="111111"/>
          <w:sz w:val="28"/>
          <w:sz w:val="28"/>
          <w:szCs w:val="28"/>
          <w:rtl w:val="true"/>
          <w:lang w:bidi="ar-SA"/>
        </w:rPr>
        <w:t>العِلمَ بأنّ الدليلَ دليلٌ هو عِلمٌ بالمدلولِ؟ و إذا كانَ العِلمُ عندَكَ بأنّ الدليلَ دليلٌ‌</w:t>
      </w:r>
      <w:r>
        <w:rPr>
          <w:rStyle w:val="FootnoteAnchor"/>
          <w:rtl w:val="true"/>
        </w:rPr>
        <w:footnoteReference w:id="756"/>
      </w:r>
      <w:r>
        <w:rPr>
          <w:rFonts w:ascii="Amiri" w:hAnsi="Amiri" w:eastAsia="Amiri" w:cs="Amiri"/>
          <w:color w:val="111111"/>
          <w:sz w:val="28"/>
          <w:sz w:val="28"/>
          <w:szCs w:val="28"/>
          <w:rtl w:val="true"/>
          <w:lang w:bidi="ar-SA"/>
        </w:rPr>
        <w:t>إنّما يَحصُلُ بَعدَ حُصولِ العِلمِ للناظرِ بالمدلولِ‌، فهذا الناظرُ لا يَعلَمُ أبداً أنّ هذا الدليلَ الثانيَ دليلٌ‌</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مِن أن يَكونَ ما يَمضي في الكُتُبِ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بأنّ الدليلَ دليلٌ هو عِلمٌ بالمدلولِ‌</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فيه ضَربٌ مِن التجوُّزِ و الاختصارِ، و يَجِبُ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758"/>
      </w:r>
      <w:r>
        <w:rPr>
          <w:rFonts w:ascii="Amiri" w:hAnsi="Amiri" w:eastAsia="Amiri" w:cs="Amiri"/>
          <w:color w:val="111111"/>
          <w:sz w:val="28"/>
          <w:sz w:val="28"/>
          <w:szCs w:val="28"/>
          <w:rtl w:val="true"/>
          <w:lang w:bidi="ar-SA"/>
        </w:rPr>
        <w:t>العِلمَ بأنّه دليلٌ لا بُدَّ مِن أن يُقارِنَه العِلمُ بالمدلولِ‌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إلّافقَد يَعلَمُ المدلولَ مَن لا يَعرِفُ أنّ ذلكَ الدليلَ دليلٌ عليه، و قد يَجهَلُ كَونَ هذه الطريقةِ دالّةً علَى المدلولِ مَن يَعلَمُ المدلولَ‌، فالذي ذَكرناه أَصَحُّ و أَوضَحُ‌</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146" w:name="pg16415_223779"/>
    </w:p>
    <w:p>
      <w:pPr>
        <w:pStyle w:val="Heading6"/>
        <w:numPr>
          <w:ilvl w:val="5"/>
          <w:numId w:val="1"/>
        </w:numPr>
        <w:rPr/>
      </w:pPr>
      <w:bookmarkStart w:id="147" w:name="__RefHeading___Toc7642328_1280447820"/>
      <w:bookmarkStart w:id="148" w:name="_Toc51"/>
      <w:bookmarkEnd w:id="146"/>
      <w:bookmarkEnd w:id="147"/>
      <w:r>
        <w:rPr>
          <w:rtl w:val="true"/>
        </w:rPr>
        <w:t>المسألةُ الثامنةُ في نفي كون الإرادة مقارنة لكلّ جزء من أجزاء الخبر</w:t>
      </w:r>
      <w:bookmarkEnd w:id="148"/>
    </w:p>
    <w:p>
      <w:pPr>
        <w:pStyle w:val="BookText"/>
        <w:rPr/>
      </w:pPr>
      <w:r>
        <w:rPr>
          <w:rFonts w:ascii="Amiri" w:hAnsi="Amiri" w:eastAsia="Amiri" w:cs="Amiri"/>
          <w:color w:val="111111"/>
          <w:sz w:val="28"/>
          <w:sz w:val="28"/>
          <w:szCs w:val="28"/>
          <w:rtl w:val="true"/>
          <w:lang w:bidi="ar-SA"/>
        </w:rPr>
        <w:t>ما المانعُ مِن أن يُقارِنَ كُلَّ جُزءٍ مِن الخبرِ إرادةٌ لكَونِه مِن جُملةِ الخبرِ؟ و هو أَسلَمُ علَى الأُصولِ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أثَّرَت في معدومٍ‌، أو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أن يَكونَ كُلُّ جُزءٍ منه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لا بُدَّ</w:t>
      </w:r>
      <w:r>
        <w:rPr>
          <w:rStyle w:val="FootnoteAnchor"/>
          <w:rtl w:val="true"/>
        </w:rPr>
        <w:footnoteReference w:id="761"/>
      </w:r>
      <w:r>
        <w:rPr>
          <w:rFonts w:ascii="Amiri" w:hAnsi="Amiri" w:eastAsia="Amiri" w:cs="Amiri"/>
          <w:color w:val="111111"/>
          <w:sz w:val="28"/>
          <w:sz w:val="28"/>
          <w:szCs w:val="28"/>
          <w:rtl w:val="true"/>
          <w:lang w:bidi="ar-SA"/>
        </w:rPr>
        <w:t>مِن كَونِه أجزاءً كَثيرةً‌، و لا يُفيدُ جُزءٌ واحدٌ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فإنّا قُلنا بكَونِ‌</w:t>
      </w:r>
      <w:r>
        <w:rPr>
          <w:rStyle w:val="FootnoteAnchor"/>
          <w:rtl w:val="true"/>
        </w:rPr>
        <w:footnoteReference w:id="762"/>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الخبرِ تَسبِقُه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لكَونِه مِن جُملةِ الخبرِ؛ و إن</w:t>
      </w:r>
      <w:r>
        <w:rPr>
          <w:rStyle w:val="FootnoteAnchor"/>
          <w:rtl w:val="true"/>
        </w:rPr>
        <w:footnoteReference w:id="763"/>
      </w:r>
      <w:r>
        <w:rPr>
          <w:rFonts w:ascii="Amiri" w:hAnsi="Amiri" w:eastAsia="Amiri" w:cs="Amiri"/>
          <w:color w:val="111111"/>
          <w:sz w:val="28"/>
          <w:sz w:val="28"/>
          <w:szCs w:val="28"/>
          <w:rtl w:val="true"/>
          <w:lang w:bidi="ar-SA"/>
        </w:rPr>
        <w:t>جازَ أن تؤَثِّرَ</w:t>
      </w:r>
      <w:r>
        <w:rPr>
          <w:rStyle w:val="FootnoteAnchor"/>
          <w:rtl w:val="true"/>
        </w:rPr>
        <w:footnoteReference w:id="764"/>
      </w:r>
      <w:r>
        <w:rPr>
          <w:rFonts w:ascii="Amiri" w:hAnsi="Amiri" w:eastAsia="Amiri" w:cs="Amiri"/>
          <w:color w:val="111111"/>
          <w:sz w:val="28"/>
          <w:sz w:val="28"/>
          <w:szCs w:val="28"/>
          <w:rtl w:val="true"/>
          <w:lang w:bidi="ar-SA"/>
        </w:rPr>
        <w:t>الإرادةُ الأُولىٰ في الأجزاءِ المعدومةِ كتأثيرِها فيما قارَنَته، و لَم يوجِبْ ذلكَ كَونَ كُلِّ جُزءٍ مِن الأجزاءِ خبراً، لِيَجوزَنَّ‌</w:t>
      </w:r>
      <w:r>
        <w:rPr>
          <w:rStyle w:val="FootnoteAnchor"/>
          <w:rtl w:val="true"/>
        </w:rPr>
        <w:footnoteReference w:id="765"/>
      </w:r>
      <w:r>
        <w:rPr>
          <w:rFonts w:ascii="Amiri" w:hAnsi="Amiri" w:eastAsia="Amiri" w:cs="Amiri"/>
          <w:color w:val="111111"/>
          <w:sz w:val="28"/>
          <w:sz w:val="28"/>
          <w:szCs w:val="28"/>
          <w:rtl w:val="true"/>
          <w:lang w:bidi="ar-SA"/>
        </w:rPr>
        <w:t>أن تؤَثِّرَ الإراداتُ‌</w:t>
      </w:r>
      <w:r>
        <w:rPr>
          <w:rStyle w:val="FootnoteAnchor"/>
          <w:rtl w:val="true"/>
        </w:rPr>
        <w:footnoteReference w:id="766"/>
      </w:r>
      <w:r>
        <w:rPr>
          <w:rFonts w:ascii="Amiri" w:hAnsi="Amiri" w:eastAsia="Amiri" w:cs="Amiri"/>
          <w:color w:val="111111"/>
          <w:sz w:val="28"/>
          <w:sz w:val="28"/>
          <w:szCs w:val="28"/>
          <w:rtl w:val="true"/>
          <w:lang w:bidi="ar-SA"/>
        </w:rPr>
        <w:t>هذا التأثيرَ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فليَتقرَّبْ إلَى اللّٰهِ تَعالىٰ ببيانِ ذلكَ أجمَعَ‌</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الصحيحَ‌</w:t>
      </w:r>
      <w:r>
        <w:rPr>
          <w:rStyle w:val="FootnoteAnchor"/>
          <w:rtl w:val="true"/>
        </w:rPr>
        <w:footnoteReference w:id="768"/>
      </w:r>
      <w:r>
        <w:rPr>
          <w:rFonts w:ascii="Amiri" w:hAnsi="Amiri" w:eastAsia="Amiri" w:cs="Amiri"/>
          <w:color w:val="111111"/>
          <w:sz w:val="28"/>
          <w:sz w:val="28"/>
          <w:szCs w:val="28"/>
          <w:rtl w:val="true"/>
          <w:lang w:bidi="ar-SA"/>
        </w:rPr>
        <w:t>أنّ المؤثِّرَ في كَونِ الخبرِ خبراً و الأمرِ أمراً و سائرِ ضروبِ الخِطابِ‌، إنّما هو كَونُ المُتكلِّمِ مُريداً، دونَ الإرادةِ‌؛</w:t>
      </w:r>
      <w:r>
        <w:rPr>
          <w:rStyle w:val="FootnoteAnchor"/>
          <w:rtl w:val="true"/>
        </w:rPr>
        <w:footnoteReference w:id="769"/>
      </w:r>
      <w:r>
        <w:rPr>
          <w:rFonts w:ascii="Amiri" w:hAnsi="Amiri" w:eastAsia="Amiri" w:cs="Amiri"/>
          <w:color w:val="111111"/>
          <w:sz w:val="28"/>
          <w:sz w:val="28"/>
          <w:szCs w:val="28"/>
          <w:rtl w:val="true"/>
          <w:lang w:bidi="ar-SA"/>
        </w:rPr>
        <w:t>لأنّه لَو أرادَ كَونَ الخبرِ خبراً أو</w:t>
      </w:r>
      <w:r>
        <w:rPr>
          <w:rStyle w:val="FootnoteAnchor"/>
          <w:rtl w:val="true"/>
        </w:rPr>
        <w:footnoteReference w:id="770"/>
      </w:r>
      <w:r>
        <w:rPr>
          <w:rFonts w:ascii="Amiri" w:hAnsi="Amiri" w:eastAsia="Amiri" w:cs="Amiri"/>
          <w:color w:val="111111"/>
          <w:sz w:val="28"/>
          <w:sz w:val="28"/>
          <w:szCs w:val="28"/>
          <w:rtl w:val="true"/>
          <w:lang w:bidi="ar-SA"/>
        </w:rPr>
        <w:t>الخِطابِ خِطاباً لزَيدٍ بعَينِه مِن غَيرِ إرادةٍ‌، أو كانَ كذلكَ لنَفسِه، لَم يَتغيَّرِ التأثيرُ الذي ذَكَرناه، فعُلِمَ أنّ التأثيرَ لكَونِه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تَجوَّزَ</w:t>
      </w:r>
      <w:r>
        <w:rPr>
          <w:rStyle w:val="FootnoteAnchor"/>
          <w:rtl w:val="true"/>
        </w:rPr>
        <w:footnoteReference w:id="771"/>
      </w:r>
      <w:r>
        <w:rPr>
          <w:rFonts w:ascii="Amiri" w:hAnsi="Amiri" w:eastAsia="Amiri" w:cs="Amiri"/>
          <w:color w:val="111111"/>
          <w:sz w:val="28"/>
          <w:sz w:val="28"/>
          <w:szCs w:val="28"/>
          <w:rtl w:val="true"/>
          <w:lang w:bidi="ar-SA"/>
        </w:rPr>
        <w:t>القومُ بأن عَلَّقوا ذلكَ بالإرادةِ‌؛ لأنّها مُصاحِبةٌ للمؤَثِّرِ في الحقيقةِ‌، و هو كَونُه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دَلَّلنا في مَواضعَ كَثيرةٍ علىٰ أنّ الخبرَ لَم يَكُن خبراً لجنسِه و لا لوجودِه و لا لحدوثِه و لا لصيغتِه و صورتِه، و بيّنّا أ نّه لا بُدَّ مِن وَجهٍ يَقتَضي كَونَه بهذه الصفةِ‌، و أنّ ذلكَ لَيسَ إلّاكَونَ المُخاطِبِ به مُريداً</w:t>
      </w:r>
      <w:r>
        <w:rPr>
          <w:rStyle w:val="FootnoteAnchor"/>
          <w:rtl w:val="true"/>
        </w:rPr>
        <w:footnoteReference w:id="772"/>
      </w:r>
      <w:r>
        <w:rPr>
          <w:rFonts w:ascii="IRNazanin" w:hAnsi="IRNazanin" w:eastAsia="IRNazanin"/>
          <w:color w:val="111111"/>
          <w:sz w:val="28"/>
          <w:sz w:val="28"/>
          <w:szCs w:val="28"/>
          <w:rtl w:val="true"/>
          <w:lang w:bidi="fa-IR"/>
        </w:rPr>
        <w:t>، فبنا</w:t>
      </w:r>
      <w:r>
        <w:rPr>
          <w:rStyle w:val="FootnoteAnchor"/>
          <w:rtl w:val="true"/>
        </w:rPr>
        <w:footnoteReference w:id="773"/>
      </w:r>
      <w:r>
        <w:rPr>
          <w:rFonts w:ascii="Amiri" w:hAnsi="Amiri" w:eastAsia="Amiri" w:cs="Amiri"/>
          <w:color w:val="111111"/>
          <w:sz w:val="28"/>
          <w:sz w:val="28"/>
          <w:szCs w:val="28"/>
          <w:rtl w:val="true"/>
          <w:lang w:bidi="ar-SA"/>
        </w:rPr>
        <w:t>حاجةٌ إلَى النظرِ كَيفَ يؤَثِّرُ كَونُه مُريداً في الخبرِ؟ ومعلومٌ أ نّه لا يَجوزُ أن يؤَثِّرَ فيه و لا عُلقةَ بَينَه و بَينَه مِن مُصاحَبةٍ أو ما جَرىٰ‌</w:t>
      </w:r>
      <w:r>
        <w:rPr>
          <w:rStyle w:val="FootnoteAnchor"/>
          <w:rtl w:val="true"/>
        </w:rPr>
        <w:footnoteReference w:id="774"/>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يَجوزُ أن يُصاحِبَ كَونُه مُريداً لجميعِ أجزاءِ الخبرِ؛ لأنّ هذا الوجهَ يَقتَضي في كُلِّ جُزءٍ مِن أجزاءِ الخبرِ أن يَكونَ خبراً بانفرادِه؛ لأنّ كَونَه مُريداً إنّما </w:t>
      </w:r>
    </w:p>
    <w:p>
      <w:pPr>
        <w:pStyle w:val="BookText"/>
        <w:rPr/>
      </w:pPr>
      <w:r>
        <w:rPr>
          <w:rFonts w:ascii="Amiri" w:hAnsi="Amiri" w:eastAsia="Amiri" w:cs="Amiri"/>
          <w:color w:val="111111"/>
          <w:sz w:val="28"/>
          <w:sz w:val="28"/>
          <w:szCs w:val="28"/>
          <w:rtl w:val="true"/>
          <w:lang w:bidi="ar-SA"/>
        </w:rPr>
        <w:t>يَتعلَّقُ‌</w:t>
      </w:r>
      <w:r>
        <w:rPr>
          <w:rStyle w:val="FootnoteAnchor"/>
          <w:rtl w:val="true"/>
        </w:rPr>
        <w:footnoteReference w:id="775"/>
      </w:r>
      <w:r>
        <w:rPr>
          <w:rFonts w:ascii="Amiri" w:hAnsi="Amiri" w:eastAsia="Amiri" w:cs="Amiri"/>
          <w:color w:val="111111"/>
          <w:sz w:val="28"/>
          <w:sz w:val="28"/>
          <w:szCs w:val="28"/>
          <w:rtl w:val="true"/>
          <w:lang w:bidi="ar-SA"/>
        </w:rPr>
        <w:t>بالقَصدِ إلىٰ كَونِه خبراً، و الجُزءُ‌</w:t>
      </w:r>
      <w:r>
        <w:rPr>
          <w:rStyle w:val="FootnoteAnchor"/>
          <w:rtl w:val="true"/>
        </w:rPr>
        <w:footnoteReference w:id="776"/>
      </w:r>
      <w:r>
        <w:rPr>
          <w:rFonts w:ascii="Amiri" w:hAnsi="Amiri" w:eastAsia="Amiri" w:cs="Amiri"/>
          <w:color w:val="111111"/>
          <w:sz w:val="28"/>
          <w:sz w:val="28"/>
          <w:szCs w:val="28"/>
          <w:rtl w:val="true"/>
          <w:lang w:bidi="ar-SA"/>
        </w:rPr>
        <w:t>الواحدُ لا يُمكِنُ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يُقارِنَ كَونُه مُريداً للخبرِ آخِرَ جُزءٍ من أجزائه؛ لأنّ ما وَقَعَ مِن الأجزاءِ و تَقدَّمَ وجودُه، و لَم يَكُن خبراً و لا مِن جُملةِ الخبرِ، لا يَجوزُ أن يَتغيَّرَ عن ذلكَ بما يُصاحِبُ هذا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إلّاأن يُصاحِبَ كَونُه مُريداً للإخبارِ أوّلَ جُزءٍ‌</w:t>
      </w:r>
      <w:r>
        <w:rPr>
          <w:rStyle w:val="FootnoteAnchor"/>
          <w:rtl w:val="true"/>
        </w:rPr>
        <w:footnoteReference w:id="777"/>
      </w:r>
      <w:r>
        <w:rPr>
          <w:rFonts w:ascii="Amiri" w:hAnsi="Amiri" w:eastAsia="Amiri" w:cs="Amiri"/>
          <w:color w:val="111111"/>
          <w:sz w:val="28"/>
          <w:sz w:val="28"/>
          <w:szCs w:val="28"/>
          <w:rtl w:val="true"/>
          <w:lang w:bidi="ar-SA"/>
        </w:rPr>
        <w:t>مِن أجزاءِ الخبرِ، و يؤثِّرَ في الجميعِ‌؛ لتَعلُّقِ الخبرِ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بَعدَ هذا إلّاأن نُجيبَ‌</w:t>
      </w:r>
      <w:r>
        <w:rPr>
          <w:rStyle w:val="FootnoteAnchor"/>
          <w:rtl w:val="true"/>
        </w:rPr>
        <w:footnoteReference w:id="778"/>
      </w:r>
      <w:r>
        <w:rPr>
          <w:rFonts w:ascii="Amiri" w:hAnsi="Amiri" w:eastAsia="Amiri" w:cs="Amiri"/>
          <w:color w:val="111111"/>
          <w:sz w:val="28"/>
          <w:sz w:val="28"/>
          <w:szCs w:val="28"/>
          <w:rtl w:val="true"/>
          <w:lang w:bidi="ar-SA"/>
        </w:rPr>
        <w:t>عن الشُّبهةِ المذكورةِ في السؤالِ‌، و هي أن تُقارِنَ‌</w:t>
      </w:r>
      <w:r>
        <w:rPr>
          <w:rStyle w:val="FootnoteAnchor"/>
          <w:rtl w:val="true"/>
        </w:rPr>
        <w:footnoteReference w:id="779"/>
      </w:r>
      <w:r>
        <w:rPr>
          <w:rFonts w:ascii="Amiri" w:hAnsi="Amiri" w:eastAsia="Amiri" w:cs="Amiri"/>
          <w:color w:val="111111"/>
          <w:sz w:val="28"/>
          <w:sz w:val="28"/>
          <w:szCs w:val="28"/>
          <w:rtl w:val="true"/>
          <w:lang w:bidi="ar-SA"/>
        </w:rPr>
        <w:t>الإرادةُ‌، أو كَونُ المُريدِ مُريداً، كُلَّ جُزءٍ مِن أجزاءِ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يُفسِدُ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يَخلو مِن أن تَكونَ هذه الحالُ المُقارِنةُ لكُلِّ جُزءٍ مِن أجزاءِ الخبرِ مُتَناوِلةً‌</w:t>
      </w:r>
      <w:r>
        <w:rPr>
          <w:rStyle w:val="FootnoteAnchor"/>
          <w:rtl w:val="true"/>
        </w:rPr>
        <w:footnoteReference w:id="780"/>
      </w:r>
      <w:r>
        <w:rPr>
          <w:rFonts w:ascii="Amiri" w:hAnsi="Amiri" w:eastAsia="Amiri" w:cs="Amiri"/>
          <w:color w:val="111111"/>
          <w:sz w:val="28"/>
          <w:sz w:val="28"/>
          <w:szCs w:val="28"/>
          <w:rtl w:val="true"/>
          <w:lang w:bidi="ar-SA"/>
        </w:rPr>
        <w:t>لجَعلِ‌</w:t>
      </w:r>
      <w:r>
        <w:rPr>
          <w:rStyle w:val="FootnoteAnchor"/>
          <w:rtl w:val="true"/>
        </w:rPr>
        <w:footnoteReference w:id="781"/>
      </w:r>
      <w:r>
        <w:rPr>
          <w:rFonts w:ascii="Amiri" w:hAnsi="Amiri" w:eastAsia="Amiri" w:cs="Amiri"/>
          <w:color w:val="111111"/>
          <w:sz w:val="28"/>
          <w:sz w:val="28"/>
          <w:szCs w:val="28"/>
          <w:rtl w:val="true"/>
          <w:lang w:bidi="ar-SA"/>
        </w:rPr>
        <w:t>ما قارَنَته</w:t>
      </w:r>
      <w:r>
        <w:rPr>
          <w:rStyle w:val="FootnoteAnchor"/>
          <w:rtl w:val="true"/>
        </w:rPr>
        <w:footnoteReference w:id="782"/>
      </w:r>
      <w:r>
        <w:rPr>
          <w:rFonts w:ascii="Amiri" w:hAnsi="Amiri" w:eastAsia="Amiri" w:cs="Amiri"/>
          <w:color w:val="111111"/>
          <w:sz w:val="28"/>
          <w:sz w:val="28"/>
          <w:szCs w:val="28"/>
          <w:rtl w:val="true"/>
          <w:lang w:bidi="ar-SA"/>
        </w:rPr>
        <w:t>خبراً، أو مِن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القِسمَ الأوّلَ‌، وَجَبَ أن يَكونَ كُلُّ جُزءٍ مِن أجزاءِ الخبرِ خبراً؛ و قد عَلِمنا فَسادَ</w:t>
      </w:r>
      <w:r>
        <w:rPr>
          <w:rStyle w:val="FootnoteAnchor"/>
          <w:rtl w:val="true"/>
        </w:rPr>
        <w:footnoteReference w:id="783"/>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الثانيَ‌، فيَبطُلُ بأنّه لَم يَبقَ مؤَثِّرٌ في كَونِ الخبرِ علَى الحقيقةِ خبراً؛ لأنّ‌ </w:t>
      </w:r>
    </w:p>
    <w:p>
      <w:pPr>
        <w:pStyle w:val="BookText"/>
        <w:rPr/>
      </w:pPr>
      <w:r>
        <w:rPr>
          <w:rFonts w:ascii="Amiri" w:hAnsi="Amiri" w:eastAsia="Amiri" w:cs="Amiri"/>
          <w:color w:val="111111"/>
          <w:sz w:val="28"/>
          <w:sz w:val="28"/>
          <w:szCs w:val="28"/>
          <w:rtl w:val="true"/>
          <w:lang w:bidi="ar-SA"/>
        </w:rPr>
        <w:t>كُلَّ جُزءٍ مِن أجزاءِ الخبرِ إذا لَم يَكُن خبراً، و كانَت الإرادةُ أو</w:t>
      </w:r>
      <w:r>
        <w:rPr>
          <w:rStyle w:val="FootnoteAnchor"/>
          <w:rtl w:val="true"/>
        </w:rPr>
        <w:footnoteReference w:id="784"/>
      </w:r>
      <w:r>
        <w:rPr>
          <w:rFonts w:ascii="Amiri" w:hAnsi="Amiri" w:eastAsia="Amiri" w:cs="Amiri"/>
          <w:color w:val="111111"/>
          <w:sz w:val="28"/>
          <w:sz w:val="28"/>
          <w:szCs w:val="28"/>
          <w:rtl w:val="true"/>
          <w:lang w:bidi="ar-SA"/>
        </w:rPr>
        <w:t>حالُ المُريدِ المُقتَرِنةُ به لا تَتناوَلُ‌</w:t>
      </w:r>
      <w:r>
        <w:rPr>
          <w:rStyle w:val="FootnoteAnchor"/>
          <w:rtl w:val="true"/>
        </w:rPr>
        <w:footnoteReference w:id="785"/>
      </w:r>
      <w:r>
        <w:rPr>
          <w:rFonts w:ascii="Amiri" w:hAnsi="Amiri" w:eastAsia="Amiri" w:cs="Amiri"/>
          <w:color w:val="111111"/>
          <w:sz w:val="28"/>
          <w:sz w:val="28"/>
          <w:szCs w:val="28"/>
          <w:rtl w:val="true"/>
          <w:lang w:bidi="ar-SA"/>
        </w:rPr>
        <w:t>كَونَه خبراً و إنّما تَتناوَلُ‌</w:t>
      </w:r>
      <w:r>
        <w:rPr>
          <w:rStyle w:val="FootnoteAnchor"/>
          <w:rtl w:val="true"/>
        </w:rPr>
        <w:footnoteReference w:id="786"/>
      </w:r>
      <w:r>
        <w:rPr>
          <w:rFonts w:ascii="Amiri" w:hAnsi="Amiri" w:eastAsia="Amiri" w:cs="Amiri"/>
          <w:color w:val="111111"/>
          <w:sz w:val="28"/>
          <w:sz w:val="28"/>
          <w:szCs w:val="28"/>
          <w:rtl w:val="true"/>
          <w:lang w:bidi="ar-SA"/>
        </w:rPr>
        <w:t>كَونَه مِن جُملةِ الخبرِ، فما المؤَثِّرُ في كَونِ الخبرِ بكَمالِه خبراً، و</w:t>
      </w:r>
      <w:r>
        <w:rPr>
          <w:rStyle w:val="FootnoteAnchor"/>
          <w:rtl w:val="true"/>
        </w:rPr>
        <w:footnoteReference w:id="787"/>
      </w:r>
      <w:r>
        <w:rPr>
          <w:rFonts w:ascii="Amiri" w:hAnsi="Amiri" w:eastAsia="Amiri" w:cs="Amiri"/>
          <w:color w:val="111111"/>
          <w:sz w:val="28"/>
          <w:sz w:val="28"/>
          <w:szCs w:val="28"/>
          <w:rtl w:val="true"/>
          <w:lang w:bidi="ar-SA"/>
        </w:rPr>
        <w:t>هو المقصودُ؟ و لَيسَ هاهُنا إشارةٌ إلىٰ إرادةٍ و لا حالٍ تَتعلَّقُ بهذا الوجهِ بعَينِه، فقَد عَرِيَ كَونُ الخبرِ خبراً مِن مؤَثِّرٍ فيه و مُقتَضٍ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فلَيسَ لكُلِّ جُزءٍ من أجزاءِ الخبرِ صفةٌ و لا حُكمٌ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أجزاءِ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تَعلَّقَ ذلكَ بمُقتَضٍ و مؤَثِّرٍ؟ و له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 لا بُدَّ مِن مؤَثِّرٍ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أَبطَلنا كُلَّ ما يُشارُ إليه مِن المؤَثِّراتِ إلّاكَونَ المُريدِ مُريداً، فيَجِبُ أن تَتعلَّقَ‌</w:t>
      </w:r>
      <w:r>
        <w:rPr>
          <w:rStyle w:val="FootnoteAnchor"/>
          <w:rtl w:val="true"/>
        </w:rPr>
        <w:footnoteReference w:id="788"/>
      </w:r>
      <w:r>
        <w:rPr>
          <w:rFonts w:ascii="Amiri" w:hAnsi="Amiri" w:eastAsia="Amiri" w:cs="Amiri"/>
          <w:color w:val="111111"/>
          <w:sz w:val="28"/>
          <w:sz w:val="28"/>
          <w:szCs w:val="28"/>
          <w:rtl w:val="true"/>
          <w:lang w:bidi="ar-SA"/>
        </w:rPr>
        <w:t>هذه الحالُ‌</w:t>
      </w:r>
      <w:r>
        <w:rPr>
          <w:rStyle w:val="FootnoteAnchor"/>
          <w:rtl w:val="true"/>
        </w:rPr>
        <w:footnoteReference w:id="789"/>
      </w:r>
      <w:r>
        <w:rPr>
          <w:rFonts w:ascii="Amiri" w:hAnsi="Amiri" w:eastAsia="Amiri" w:cs="Amiri"/>
          <w:color w:val="111111"/>
          <w:sz w:val="28"/>
          <w:sz w:val="28"/>
          <w:szCs w:val="28"/>
          <w:rtl w:val="true"/>
          <w:lang w:bidi="ar-SA"/>
        </w:rPr>
        <w:t>بكَونِ الخبرِ خبراً، لا بكَونِ الجُزءِ الذي يُقارِنُه مِن جُملةِ أجزاءِ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تَعلَّقَت بكَونِه خبراً، فأَولىٰ ما يُقالُ في كَيفيّةِ الاختصاصِ حتّىٰ يؤَثِّرَ، ما قُلناه مِن المُقارَنةِ لأوّلِ جُزءٍ مِن أجزائه</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المَسائلُ‌</w:t>
      </w:r>
      <w:r>
        <w:rPr>
          <w:rStyle w:val="FootnoteAnchor"/>
          <w:rtl w:val="true"/>
        </w:rPr>
        <w:footnoteReference w:id="791"/>
      </w:r>
      <w:r>
        <w:rPr>
          <w:rFonts w:ascii="Amiri" w:hAnsi="Amiri" w:eastAsia="Amiri" w:cs="Amiri"/>
          <w:color w:val="111111"/>
          <w:sz w:val="28"/>
          <w:sz w:val="28"/>
          <w:szCs w:val="28"/>
          <w:rtl w:val="true"/>
          <w:lang w:bidi="ar-SA"/>
        </w:rPr>
        <w:t>و الجوابُ‌</w:t>
      </w:r>
      <w:r>
        <w:rPr>
          <w:rStyle w:val="FootnoteAnchor"/>
          <w:rtl w:val="true"/>
        </w:rPr>
        <w:footnoteReference w:id="792"/>
      </w:r>
      <w:r>
        <w:rPr>
          <w:rFonts w:ascii="Amiri" w:hAnsi="Amiri" w:eastAsia="Amiri" w:cs="Amiri"/>
          <w:color w:val="111111"/>
          <w:sz w:val="28"/>
          <w:sz w:val="28"/>
          <w:szCs w:val="28"/>
          <w:rtl w:val="true"/>
          <w:lang w:bidi="ar-SA"/>
        </w:rPr>
        <w:t>، بعَونِ المَلِكِ الوهّابِ‌، و الحَمدُ للّٰهِ رَبِّ العالَمينَ‌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149" w:name="pg16415_223783"/>
    </w:p>
    <w:p>
      <w:pPr>
        <w:pStyle w:val="Heading4"/>
        <w:numPr>
          <w:ilvl w:val="3"/>
          <w:numId w:val="1"/>
        </w:numPr>
        <w:rPr/>
      </w:pPr>
      <w:bookmarkStart w:id="150" w:name="__RefHeading___Toc7642330_1280447820"/>
      <w:bookmarkStart w:id="151" w:name="_Toc52"/>
      <w:bookmarkEnd w:id="149"/>
      <w:bookmarkEnd w:id="150"/>
      <w:r>
        <w:rPr>
          <w:rtl w:val="true"/>
        </w:rPr>
        <w:t>(</w:t>
      </w:r>
      <w:r>
        <w:rPr/>
        <w:t>27</w:t>
      </w:r>
      <w:r>
        <w:rPr>
          <w:rtl w:val="true"/>
        </w:rPr>
        <w:t xml:space="preserve">) </w:t>
      </w:r>
      <w:r>
        <w:rPr>
          <w:rtl w:val="true"/>
        </w:rPr>
        <w:t>جوابات المسائل الرازيّة</w:t>
      </w:r>
      <w:bookmarkEnd w:id="15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7642332_1280447820"/>
      <w:bookmarkStart w:id="153" w:name="_Toc53"/>
      <w:bookmarkEnd w:id="152"/>
      <w:r>
        <w:rPr>
          <w:rtl w:val="true"/>
        </w:rPr>
        <w:t>اشارة</w:t>
      </w:r>
      <w:bookmarkEnd w:id="15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415_223785"/>
      <w:bookmarkStart w:id="155" w:name="pg16415_223785"/>
      <w:bookmarkEnd w:id="155"/>
    </w:p>
    <w:p>
      <w:pPr>
        <w:pStyle w:val="Heading5"/>
        <w:numPr>
          <w:ilvl w:val="4"/>
          <w:numId w:val="1"/>
        </w:numPr>
        <w:rPr/>
      </w:pPr>
      <w:bookmarkStart w:id="156" w:name="pg16415_223785"/>
      <w:bookmarkStart w:id="157" w:name="__RefHeading___Toc7642334_1280447820"/>
      <w:bookmarkStart w:id="158" w:name="_Toc54"/>
      <w:bookmarkEnd w:id="156"/>
      <w:bookmarkEnd w:id="157"/>
      <w:r>
        <w:rPr>
          <w:rtl w:val="true"/>
        </w:rPr>
        <w:t>مقدّمة التحقيق</w:t>
      </w:r>
      <w:bookmarkEnd w:id="158"/>
    </w:p>
    <w:p>
      <w:pPr>
        <w:pStyle w:val="Heading6"/>
        <w:numPr>
          <w:ilvl w:val="5"/>
          <w:numId w:val="1"/>
        </w:numPr>
        <w:rPr/>
      </w:pPr>
      <w:bookmarkStart w:id="159" w:name="__RefHeading___Toc7642336_1280447820"/>
      <w:bookmarkStart w:id="160" w:name="_Toc55"/>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وُجّهت إلى الشريف المرتضى أسئلة من الريّ‌، أجاب عن بعضها بشيء من التفصيل، فيما اكتفى في الإجابة على بعضها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هذه المسائل كلاميّة؛ فمن مجموع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توجد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كلاميّة، و اثنتان فقهيّة، و واحدة تدور حول توضيح معنى أحد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اعتبار هذه المسائل من المسائل الكلاميّة التي قام الشريف المرتضى بتأليفها، و بيّن آرائه الكلاميّة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تقدّم فهذه المسائل تحتوي 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إلّاأنّ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Style w:val="FootnoteAnchor"/>
          <w:rtl w:val="true"/>
        </w:rPr>
        <w:footnoteReference w:id="794"/>
      </w:r>
      <w:r>
        <w:rPr>
          <w:rFonts w:ascii="Amiri" w:hAnsi="Amiri" w:eastAsia="Amiri" w:cs="Amiri"/>
          <w:color w:val="111111"/>
          <w:sz w:val="28"/>
          <w:sz w:val="28"/>
          <w:szCs w:val="28"/>
          <w:rtl w:val="true"/>
          <w:lang w:bidi="ar-SA"/>
        </w:rPr>
        <w:t>، و قد يعود هذا الأمر إلى الاختلاف في النسخ</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7642338_1280447820"/>
      <w:bookmarkStart w:id="162" w:name="_Toc56"/>
      <w:bookmarkEnd w:id="161"/>
      <w:r>
        <w:rPr>
          <w:rtl w:val="true"/>
        </w:rPr>
        <w:t>نسبتها إلى المؤلّف</w:t>
      </w:r>
      <w:bookmarkEnd w:id="16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صحّة نسبة هذه المسائل إلى الشريف المرتضى، إضافة إلى ذكر ابن شهر آشوب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أرجع فيها إلى كتابه تنزيه الأنبياء و الأئمّة عليهم السلامُ‌ في المسألة السابعة، و المسائل المَوصليّات الأُولى، و كتاب الذخيرة في المسألة الرابعة عشرة، إضافة إلى مطابقة لغتها، و أُسلوب البحث فيها، و الآراء المطروحة فيها </w:t>
      </w:r>
      <w:bookmarkStart w:id="163" w:name="pg16415_223786"/>
    </w:p>
    <w:p>
      <w:pPr>
        <w:pStyle w:val="BookText"/>
        <w:rPr/>
      </w:pPr>
      <w:bookmarkEnd w:id="163"/>
      <w:r>
        <w:rPr>
          <w:rFonts w:ascii="Amiri" w:hAnsi="Amiri" w:eastAsia="Amiri" w:cs="Amiri"/>
          <w:color w:val="111111"/>
          <w:sz w:val="28"/>
          <w:sz w:val="28"/>
          <w:szCs w:val="28"/>
          <w:rtl w:val="true"/>
          <w:lang w:bidi="ar-SA"/>
        </w:rPr>
        <w:t>مع لغة و أُسلوب و آراء الشريف المرتضى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القرائن تدلّ بوضوح على صحّة نسبة المسائل إليه</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642340_1280447820"/>
      <w:bookmarkStart w:id="165" w:name="_Toc57"/>
      <w:bookmarkEnd w:id="164"/>
      <w:r>
        <w:rPr>
          <w:rtl w:val="true"/>
        </w:rPr>
        <w:t>محتوى الرسالة</w:t>
      </w:r>
      <w:bookmarkEnd w:id="165"/>
    </w:p>
    <w:p>
      <w:pPr>
        <w:pStyle w:val="BookText"/>
        <w:rPr/>
      </w:pPr>
      <w:r>
        <w:rPr>
          <w:rFonts w:ascii="Amiri" w:hAnsi="Amiri" w:eastAsia="Amiri" w:cs="Amiri"/>
          <w:color w:val="111111"/>
          <w:sz w:val="28"/>
          <w:sz w:val="28"/>
          <w:szCs w:val="28"/>
          <w:rtl w:val="true"/>
          <w:lang w:bidi="ar-SA"/>
        </w:rPr>
        <w:t>و قد تعرّض الشريف المرتضى في هذه المسائل إلى مجموعة من الآراء الكلاميّة و الفقهيّة المهمّة، و التي ترفع من أهمّيّة المسائل الرازيّة إلى درجة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استعراض لأهمّ تلك الأبحاث بالقدر الذي يتّسع له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الشريف المرتضى في هذه المسألة إلى مسألة تحريم الفقّاع، و ذكر أنّها من المسائل المُجمَع عليها من قِبَل الإماميّة، في مقابل علماء المذاهب الأُخرى الذين ذهبوا إلى تجويز شربه</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أنّ تحريم الفقّاع غير مرتبط بكونه مسكراً، بل حتّى لو لم يكن مسكراً فهو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 في هذا الجواب عدّة روايات من أخبار العامّة تدلّ على تحريم الفقّاع، و ألزمهم القول بتحريمه، خاصّة و أنّهم يؤمنون بحجيّة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الجدير بالذكر أنّه قد أورد معظم مطالب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الانتصار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يبدو أنّ مسألة الفقّاع كانت مثار بحث و سؤال في ذلك العصر، حيث تعرّض الشريف المرتضى إلى السؤال عنها في أكثر من موضع، فإضافة إلى هذه المسائل، فقد سُئل عن حكم الفقّاع في المسائل الطبريّة، المسألة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أجاب عنه هناك بشيء من الإجمال، كما أجاب عنه بصورة أشدّ إجمالاً في المسائل الموصليّات الثالثة، المسألة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أيضاً في المسائل الميّافارقيات، 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 علماء الإماميّة عدّة رسائل حول تحريم الفقّاع، نذكر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تحريم الفقّاع،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الارتياع في تحريم الفقّاع، لابن الجنيد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أهل جرجان في تحريم الفقّاع،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تحريم الفقّاع،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مطبوعة في ضمن الرسائل العشر، و قد أشار فيها إلى أكثر مطالب الشريف المرتضى، و أضاف إليها روايات أهل البيت عليهم السلامُ حول تحريم الفقّاع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تحريم الفقّاع، للسيّد ابن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المتكلّمون حول أُمّية النبيّ صلّى اللّٰهُ عليه و آلِه، فهل كان أُمّياً لا يعرف الكتابة و القراءة أم لا؟ و إذا كان كذلك، فهل كان أُمّياً قبل النبوّة فقط و تعلّمها فيما بعد، أم كان كذلك قبل النبوّة و بعدها؟</w:t>
      </w:r>
    </w:p>
    <w:p>
      <w:pPr>
        <w:pStyle w:val="BookText"/>
        <w:rPr/>
      </w:pPr>
      <w:r>
        <w:rPr>
          <w:rFonts w:ascii="Amiri" w:hAnsi="Amiri" w:eastAsia="Amiri" w:cs="Amiri"/>
          <w:color w:val="111111"/>
          <w:sz w:val="28"/>
          <w:sz w:val="28"/>
          <w:szCs w:val="28"/>
          <w:rtl w:val="true"/>
          <w:lang w:bidi="ar-SA"/>
        </w:rPr>
        <w:t>الظاهر أنّ الكلام عن ما قبل النبوّة واضح؛ و ذلك لوجود آية قرآنيّة تصرّح بذلك،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فقد دلّت هذه الآية على أنّ النبيّ صلّى اللّٰهُ عليه و آلِه ما كان يقرأ و لا يكتب قبل النبوّة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فيما بعدها، فقد اختلف الإماميّة في ذلك، فذهب جماعة منهم كالشيخ المفيد إلى أنّه صلّى اللّٰهُ عليه و آلِه صار يعرف القراءة و الكتابة بعد النبوّة، فيما خالف الباقون في ذلك، و ذهبوا إلى أنّه صلّى اللّٰهُ عليه و آلِه بقي أُمّياً حتّى بعد أن صار نبيّاً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الشريف المرتضى فقد توقّف في هذه المسألة، و لم يجزم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سبب هذا الترددّ إلى عدم وجود دليل، لا على وجوب القول بعلم النبيّ 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قائم على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وقوعها منه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يدلّ على عدم وجوب معرفة النبيّ بالكتابة،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الشريف المرتضى إلى أنّ معرفة القراءة و الكتابة ليست من العلوم الدخيلة في منصب النبوّة و الإمامة، فإنّ الدليل إنّما دلّ على وجوب أن يكون النبيّ و الإمام عالمَين باللّٰه تعالى و صفاته، و جميع أحوال الديانات، و أحكام الشريعة، و أمّا ما عدا ذلك من الحِرف و الصناعات فلا يجب أن يكونا عالمين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 صنعة، حالها حال النساجة و الصياغة، فكما لا يجب أن يتعلّما هذه الصناعات، فكذلك لا يجب أن يتعلّما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تعلّم القراءة و الكتابة غير واجبَين على النبيّ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بوجوب ذلك يؤدّي إلى القول بوجوب أن يعلم النبيّ و الإمام بسائر المعلومات الغائبات و الحاضرات، و أن يكونا محيطين بمعلومات اللّٰه تعالى كلّها، و هذا محال؛ فإنّ المحدَث عالِم بعلم زائد علىٰ ذاته و ليس عالماً لنفسه و ذاته، و إذا كان كذلك لم يمكنه العلم بكلّ المعلومات؛ لأنّ العلم الزائد على الذات إنّما يتعلّق بالتفصيل بمعلوم واحد، فلابدّ لكلّ معلوم من علم، و بما أنّه لا يجوز وجود معلومات لامتناهية في الخارج فكذا لا يجوز علوم لا متناهية، فثبت أنّ معلومات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النبيّ 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القديم العالِم لنفسه فعلمه غير زائد علىٰ ذاته و هو لا يعلمُ بعلمٍ بل علمه لنفسه، فيمكن أن يعلم بجميع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ظهر لنا من هذا الدليل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كلّه يدلّ على عدم وجوب الكتابة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و من جهة أُخرى لا يوجد دليل على وقوع الكتابة منه صلّى اللّٰهُ عليه و آلِه، فإنّ الأدلة التي أقيمت على ذلك ضعيفة، منها ما روي من أنّ النبيّ صلّى اللّٰهُ عليه و آلِه </w:t>
      </w:r>
    </w:p>
    <w:p>
      <w:pPr>
        <w:pStyle w:val="BookText"/>
        <w:rPr/>
      </w:pPr>
      <w:r>
        <w:rPr>
          <w:rFonts w:ascii="Amiri" w:hAnsi="Amiri" w:eastAsia="Amiri" w:cs="Amiri"/>
          <w:color w:val="111111"/>
          <w:sz w:val="28"/>
          <w:sz w:val="28"/>
          <w:szCs w:val="28"/>
          <w:rtl w:val="true"/>
          <w:lang w:bidi="ar-SA"/>
        </w:rPr>
        <w:t>كتب بيده في كتاب صلح الحديبية ما اقترحه سهيل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بما أنّ الشريف المرتضى لم يكن يؤمن بحجّية خبر الواحد، لذلك لم يقبل هذه الرواية كدليل على وقوع الكتابة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بالآية المتقدّمة على معرفة النبيّ صلّى اللّٰهُ عليه و آلِه بالكتابة بعد النبوّة، فهي قد دلّت على أنّ النبيّ صلّى اللّٰهُ عليه و آلِه ما كان يعرف الكتابة قبل النبوّة، و هذا يدلّ على أنّه صار يعرفها بعد ذلك، و إلّالم يكن هناك مبرّر وجيه لتقييد نفي الكتابة في الآية بما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التعليل في الآية يدلّ على ذلك، فإنّ ريب المبطلين و شكّهم إنّما كان يتحقّق لو كان النبيّ صلّى اللّٰه عليه و آلِه يعرف الكتاب قبل النبوّة، و أمّا بعدها فلا وجه لوقوع الريب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بالذكر أنّ الشيخ المفيد استدلّ بنفس هذا الدليل على معرفة النبيّ بالكتابة بعد النبوّة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أيّد الشريف المرتضى دلالة ظاهر الآية على نفي معرفة النبيّ صلّى اللّٰه عليه و آلِه الكتابة قبل النبوّة، و أمّا بعدها فقد بقي متوقّفاً في ذلك، و يدلّ عليه قوله في نهاية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القاطعون علىٰ أنّه عليه السلامُ كان يحسن الكتابة بعد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عدم قطعه و توقّفه في ذلك ولكن بما أنّ الاستدلال بالآية علىٰ نفي الكتابة قبل النبوّة يستلزم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نفي الكتابة يدلّ على نفي الريب في النبوّة، و بالتالي يدلّ علىٰ النبوّة، ولكن نفي الكتابة متوقّف علىٰ إثبات النبوّة، فيلزم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استدلّ بدليل آخر، و هو أنّه صلّى اللّٰه عليه و آلِه لو كان يعلم الكتابة قبل النبوّة لظهر ذلك؛ لأنّ الدواعي متوفّرة على كشف حقيقة الحال في ذلك، ثمّ إنّ الذين كانوا يعرفون الكتابة من العرب قليلون، فلو كان قد علّمه أحدهم لعرفناه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دليل على عدم وقوع الكتابة من النبيّ صلّى اللّٰهُ عليه و آلِه قبل النبوّة، و </w:t>
      </w:r>
    </w:p>
    <w:p>
      <w:pPr>
        <w:pStyle w:val="BookText"/>
        <w:rPr/>
      </w:pPr>
      <w:r>
        <w:rPr>
          <w:rFonts w:ascii="Amiri" w:hAnsi="Amiri" w:eastAsia="Amiri" w:cs="Amiri"/>
          <w:color w:val="111111"/>
          <w:sz w:val="28"/>
          <w:sz w:val="28"/>
          <w:szCs w:val="28"/>
          <w:rtl w:val="true"/>
          <w:lang w:bidi="ar-SA"/>
        </w:rPr>
        <w:t>أمّا بعدها فالشريف المرتضىٰ متوقّف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أورد إشكالاً على القائلين بمعرفة النبيّ صلّى اللّٰهُ عليه و آلِه بالكتابة، و هو وَصْفُه بالأُمّي في القرآن، وهو دليل واضح على عدم معرفته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على لسان القاطعين بمعرفة النبيّ صلّى اللّٰه عليه و آلِه بالكتابة بعد النبوّة بأنّ هذا الوصف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يحسن الكتابة،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أسماء مكّة، و مع وجود هذين الاحتمالين لا يمكن القطع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يوجد من وجهة نظر الشريف المرتضى أيّ دليل على وجوب معرفة النبيّ صلّى اللّٰهُ عليه و آلِه بالقراءة و الكتابة بعد النبوّة، و لا على وقوعهما منه، و هذا الأمر يجعل المسألة محتمِلة لكونه أُمّياً و لعدمه، و لهذا 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الشريف المرتضى في هذه المسألة يدلّ على أمانة علميّة و احتراف فكري نادرَين، فليس من الضروري أن يُبدي العالِم رأياً قاطعاً في كلّ مسألة علميّة، بل يمكن في بعض الحالات أن يتوقّف في الحكم و ذلك عندما يعوزه الدليل على الإثبات أو النفي، و هذا أمر طبيعي يقتضيه البحث العلمي النزيه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هذه المرّة الوحيدة التي توقّف فيها الشريف المرتضى عن إبداء رأي معيّن في مسألة علميّة و كلاميّة، فإنّه توقّف في مسائل أُخرى،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بقاء القدرة و عدمها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تبقية المقتول لولا القتل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أقسام الخبر المتواتر يورث العلم الضروري أو المكتسب</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تفضيل الأئمّة عليهم السلامُ بعضهم على بعض</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كلام الجوارح يوم القيامة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حاجة مَن نأى عنّا إلى إمام آخر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أنّ حدوث الجوهر لمعنى</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التي اهتمّ بها الشريف المرتضى، و تعرّض إلى السؤال عنها في أكثر من موضع هي مسألة أفضليّة الأنبياء عليهم السلامُ على الملائكة، فهل الأنبياء عليهم السلامُ أفضل من الملائكة أو بالعكس‌؟ و المقصود بالفضل هنا كثرة الثواب و وفوره كما صرّح بذلك في بداية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الشريف المرتضى كثيراً حول هذه المسألة، فقام بتأليف رسالتين على الأقلّ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تفضيل الأنبياء على الملائكة، و هي إحدى رسائل تكملة أماليه،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المنع عن تفضيل الملائكة على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أجاب عن هذا السؤال في أجوبة المسائل الطرابلسيات الثالثة، المسألة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المسائل الميّافارقيّات، المسألة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إضافة إلى هذه المسائل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هنا بتلخيص ما جاء في رسالة تفضيل الأنبياء على الملائكة، حيث أشار إليها في خلال البحث، و ذهب إلى أنّ هذا الموضوع لا دخالة للعقل فيه، بل لا بدّ من الاستعانة بالسمع، فذهب إلى تفضيل الأنبياء عليهم السلامُ على الملائكة، و استدلّ على ذلك بإجماع الإماميّة، كما ذهب إلى تفضيل الأئمّة عليهم السلامُ أيضاً على الملائكة، بنفس الدليل و هو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ناقش مَن استدلّ على تفضيل الأنبياء عليهم السلامُ‌، بأنّ مَشاقّ الأنبياء أكثر؛ باعتبار أنّ لديهم شهوات نحو فعل القبائح، و نفور من فعل الواجبات، و ذلك غيرموجود في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غير صحيح؛ فبما أنّ الملائكة مكلّفون فلابدّ أن تكون عليهم مشقّة في التكليف، و الّا لما استحقّوا الثواب و التكليف لا يشقّ إلّابشهوات و نفور، فمن أين نعلم أنّ مشاقّ الأنبياء في التكليف أكثر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أن لا شهوات لهم، و لا مشاقّ لهم من هذه الناحية، ولكن يمكن أن تحصل عندهم مشاقّ من ناحية أُخرىٰ مثل أن يتألّموا ببعض ما يدركونه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يمكن إثبات أنّ مشاقّ الأنبياء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يناقش دليلين من أدلّة الذين ذهبوا إلى تفضيل الملائكة، نشير إليهما بصورة مقتضبة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فقد رغّبهما أن يكونا ملكين، فلو كان المَلَك أقلّ شأناً منهما، لمَا صحّ أن يرغّبهما بالمعصية كي يتنزّلا إلى مرتبة هي أدون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بثلاثة أجوبة،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الفضل المبحوث عنه هو كثرة الثواب، و هو يحصل كنتيجة للأعمال، و هو إنّما رغّبهم في أن تكون لهم صورة الملائكة و خلقتهم، و هذا لا يترتّب عليه الثواب، إنّما الثواب يترتّب على الأعمال، و هي غير مُشار إليها في الآية، فالآية غير ناظرة أساساً إلى محلّ النزاع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يذهب إليه المعتزلة من تجويز الصغائر على الأنبياء،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كان يعتقد خطأ بتفضيل الملائكة على الأنبياء، فرغب في </w:t>
      </w:r>
    </w:p>
    <w:p>
      <w:pPr>
        <w:pStyle w:val="BookText"/>
        <w:rPr/>
      </w:pPr>
      <w:r>
        <w:rPr>
          <w:rFonts w:ascii="Amiri" w:hAnsi="Amiri" w:eastAsia="Amiri" w:cs="Amiri"/>
          <w:color w:val="111111"/>
          <w:sz w:val="28"/>
          <w:sz w:val="28"/>
          <w:szCs w:val="28"/>
          <w:rtl w:val="true"/>
          <w:lang w:bidi="ar-SA"/>
        </w:rPr>
        <w:t>الوصول إلى درجتهم، فجاءت الآية تماشياً مع هذا الاعتقاد الخاطئ و ليست فيها دلالة على تفضيل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أراد بهذا الكلام أن يخدعهما و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لم يشملكما، و إنّما هو خاصّ بالملائكة، إلّاأن تكونا ملكين، لكنّكما لستما كذلك، فالنهي إذن لا يشملكما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الكلام إشارة إلىٰ تفضيل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 لاَ اَلْمَلاٰئِكَةُ اَلْمُقَرَّبُونَ‌</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فإنّ تأخير ذكر الملائكة في الآية يدلّ على أفضليّتهم، و في مثل هذا النوع من الكلام لا يجوز أن يؤخَّر إلّاالفاضل، فإنّه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يأنف الأمير من كذا و كذا و لا الحارس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العكس هو الصحيح و هذا يدلّ على تفضيل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بثلاثة أجوبة أيضاً،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تعالى قد خاطب قوماً يعتقدون خطأ بأفضليّة الملائكة، فجاء تأخير ذكرهم تماشياً مع هذا الاعتقاد 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مجموع الملائكة أفضل من المسيح عليه السلامُ‌، لكن هذا لا يعني أنّ كل واحد منهم أفضل منه، فإنّنا نقول إنّ المسيح عليه السلامُ أفضل من كلّ واحد منهم، و هذا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تأخير المفضول مع كثرة الفضل و تباعده أمر قبيح، لكن إذا كان الفضل قريباً فلا إشكال في تأخيره، و الفضل بين الأنبياء عليهم السلامُ و الملائكة ليس بالكثير، فيمكن تأخير ذكر الملائكة مع كونهم مفضولين و أقلّ فضلاً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آيتان أُخريان استدلّ بهما مَن يؤمن بتفضيل الملائكة، لم يذكرهما الشريف المرتضى هنا، لكنّه ذكرهما في رسالة تفضيل الأنبياء على الملائكة، و ناقشهما،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الأفكار التي أصرّت مدرسة بغداد الإماميّة على رفضها هي فكرة عالم الذرّ، فقد ذهب كبار علماء هذه المدرسة كالشيخ المفيد و الشريف المرتضى إلى إنكار هذا العالم جملة و تفصيلاً، و قاموا بتأويل الآيات الدالّة عليه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يرجع هذا الإصرار على إنكار عالم الذرّ إلى محاولة سدّ الباب على مسألة التناسخ، فإنّ الذي يؤمن بعالم الذرّ كأنّه يؤمن بنوع من التناسخ، بمعنى انتقال الأرواح من ذلك الجسم الذرّي إلى الجسم المُشاهَد في هذه الدنيا، فقد 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الأخبار التي جاءت بأنّ ذرّية آدم عليه السلام استُنطقوا في الذرّ فنطقوا، فأخذ عليهم العهد فأقرّوا، فهي من أخبار التناسخية، و قد خلطوا فيها و مزجوا الحقّ بالباطل</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 متعلّق بقوله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فظنّ بظاهر هذا القول تحقّق ما رواه أهل التناسخ و الحشويّة و العامّة في إنطاق الذرّية و خطابهم، و أنّهم كانوا أحياء ناطقين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حاولت هذه المدرسة رفض كلّ ما يرتبط بالتناسخ، أو يسهّل الإيمان به من قريب أو بعيد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آثار إنكار عالم الذرّ، و كلّ عالم قبل عالمنا هو إنكار فكرة استحقاق أيّ شيء كالنبوّة و الإمامة، فإنّ هذه المناصب لا يمكن أن تكون استحقاقيّة بسبب عملٍ‌ </w:t>
      </w:r>
    </w:p>
    <w:p>
      <w:pPr>
        <w:pStyle w:val="BookText"/>
        <w:rPr/>
      </w:pPr>
      <w:r>
        <w:rPr>
          <w:rFonts w:ascii="Amiri" w:hAnsi="Amiri" w:eastAsia="Amiri" w:cs="Amiri"/>
          <w:color w:val="111111"/>
          <w:sz w:val="28"/>
          <w:sz w:val="28"/>
          <w:szCs w:val="28"/>
          <w:rtl w:val="true"/>
          <w:lang w:bidi="ar-SA"/>
        </w:rPr>
        <w:t>عمله النبيّ أو الإمام في عالم سابق؛ لأنّه لا وجود لعالم قبل عالمنا كما تقدّم، و إنّما هذه المناصب تفضُّليّة، فإنّ اللّٰه تعالى تفضّل بها على الأنبياء و الأئمّة، و الذي يؤمن بأنّها استحقاقيّة هو من وجهة نظر هذه المدرسة من أهل التناسخ، قال الشيخ المفيد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النبوّة تفضُّلٌ من اللّٰه تعالى على من اختصّه بكرامته؛ لعلمه بحميد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الجمهور من أهل الإمامة و جميع فقهائنا و أهل النقل منها، و إنّما خالف فيه أصحاب التناسخ المعتزين إلى الإماميّة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الإمامة في معنى التفضّل به على الإمام كالنبوّة على ما قدّمتُ من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مذهب الجمهور من الإماميّة على ما ذكرتُ في النبوّة، و قد خالف فيه منهم من قدّمتُ ذكره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أنكر الشريف المرتضى في هذه المسألة من الرازيّة عالم الذرّ، حيث تجلّت في هذا البحث عقلانيّته و قدرته على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عقلانيّته، فقد تجلّت في استدلاله على إنكار عالم الذرّ، حيث ذكر أنّ الأدلّة قد دلّت على أنّ اللّٰه تعالى لا يكلّف إلّاالبالغين الكاملي العقول، و هذا يدلّ على أنّه لو كان هناك عالم ذرّ لكان المخاطبون فيه عاقلين و كاملي العقول، كي يمكن خطابهم و تكليفهم بالإقرار، و لو كانوا كذلك لاستحال أن ينسوا ذلك العالم و ما جرى فيه؛ فإنّ العادة قد جرت بذلك، و لولا ذلك لأمكن أن يقيم شخص كامل العقل في بلد من البلدان، ثمّ ينسى أنّه كان مقيماً فيه، و لا يذكر من ذلك شيئاً أبداً، و بما أنّ أحداً لا يذكر ما جرى في عالم الذرّ، فهذا يدلّ على عدم وجوده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يُنقض على هذا الكلام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نذكر كثيراً من الأُمور التي شاهدناها في طفولتنا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في تلك الفترة لم نكن كاملي العقول، فيكون هذا النقض </w:t>
      </w:r>
    </w:p>
    <w:p>
      <w:pPr>
        <w:pStyle w:val="BookText"/>
        <w:rPr/>
      </w:pPr>
      <w:r>
        <w:rPr>
          <w:rFonts w:ascii="Amiri" w:hAnsi="Amiri" w:eastAsia="Amiri" w:cs="Amiri"/>
          <w:color w:val="111111"/>
          <w:sz w:val="28"/>
          <w:sz w:val="28"/>
          <w:szCs w:val="28"/>
          <w:rtl w:val="true"/>
          <w:lang w:bidi="ar-SA"/>
        </w:rPr>
        <w:t>خارجاً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تخلّلت بين عالم الذرّ و عالمنا هذا مراحل كثيرة أدّت إلى نسياننا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تخلّل ذلك لا يوجب النسيان، فقد يتخلّل في أثناء الحياة حالات من الإغماء و الجنون و الأمراض المُزيلة للعلوم، لكنّ هذا كلّه لا يؤدّي إلى النسيان بعد زوال تلك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المنطق قد يبدو غريباً على مَن اعتاد على الفكر الفلسفي الدقيق الذي يَعتبر النسيان أمراً ممكناً، بسبب احتمال وجود ما يؤدّي إليه، و لو كان هذا الاحتمال قليلاً جدّاً، لكن إذا نظرنا إلى المسألة من وجهة نظر كلاميّة، و التي تنظر إلى الأشياء نظرة عرفيّة عاديّة، فربّما سوف يكون هذا الكلام أقرب إلى المنطق العرفي العادي،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قدرة الشريف المرتضى على التأويل فقد برزت في تأويله لآية الذرّ، حيث ذكر أنّ تأويلها هو أنّ اللّٰه تعالى لمّا خلق البشر و ركّبهم تركيباً يدلّ على معرفته، و أراهم العبر و الآيات، كان بمنزلة المُشهِد لهم، و كانوا في مشاهدتهم ذلك و معرفته و تعذّر امتناعهم منه بمنزلة المُقرّين المعترفين، من دون أن يكون هناك إشهاد أو إقرار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المفيد هذا التأويل</w:t>
      </w:r>
      <w:r>
        <w:rPr>
          <w:rStyle w:val="FootnoteAnchor"/>
          <w:rtl w:val="true"/>
        </w:rPr>
        <w:footnoteReference w:id="818"/>
      </w:r>
      <w:r>
        <w:rPr>
          <w:rFonts w:ascii="Amiri" w:hAnsi="Amiri" w:eastAsia="Amiri" w:cs="Amiri"/>
          <w:color w:val="111111"/>
          <w:sz w:val="28"/>
          <w:sz w:val="28"/>
          <w:szCs w:val="28"/>
          <w:rtl w:val="true"/>
          <w:lang w:bidi="ar-SA"/>
        </w:rPr>
        <w:t>، و ذكره الشريف المرتضى في أماليه أيضاً</w:t>
      </w:r>
      <w:r>
        <w:rPr>
          <w:rStyle w:val="FootnoteAnchor"/>
          <w:rtl w:val="true"/>
        </w:rPr>
        <w:footnoteReference w:id="819"/>
      </w:r>
      <w:r>
        <w:rPr>
          <w:rFonts w:ascii="Amiri" w:hAnsi="Amiri" w:eastAsia="Amiri" w:cs="Amiri"/>
          <w:color w:val="111111"/>
          <w:sz w:val="28"/>
          <w:sz w:val="28"/>
          <w:szCs w:val="28"/>
          <w:rtl w:val="true"/>
          <w:lang w:bidi="ar-SA"/>
        </w:rPr>
        <w:t>، كما ذكر هناك تأويلاً آخر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المسألة من الرازيّة قام الشريف المرتضى بتلخيص مطالب ما جاء في أماليه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الشريف المرتضى في هذه المسألة إلى معنى البداء، فذكر أنّ معناه اللغوي هو الظهور، و أمّا معناه الاصطلاحي فالبداء هو ما </w:t>
      </w:r>
    </w:p>
    <w:p>
      <w:pPr>
        <w:pStyle w:val="BookText"/>
        <w:rPr/>
      </w:pPr>
      <w:r>
        <w:rPr>
          <w:rFonts w:ascii="Amiri" w:hAnsi="Amiri" w:eastAsia="Amiri" w:cs="Amiri"/>
          <w:color w:val="111111"/>
          <w:sz w:val="28"/>
          <w:sz w:val="28"/>
          <w:szCs w:val="28"/>
          <w:rtl w:val="true"/>
          <w:lang w:bidi="ar-SA"/>
        </w:rPr>
        <w:t>يقتضي المعنى اللغوي، أي ما يقتضي الظهور، و يمكن أن يُبيّن ذلك من خلال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تعالى بالشيء في وقت مخصوص على وجه معيّن بمكلّف واحد، ثمّ نهى عنه على هذه الوجوه كلّها، فهو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نهى عن نفس ما أمر به، بحيث يكون هذا الأمر فيه نوع من الرجوع عن نهيه و تغيير للرأي، فهو بداء؛ لأنّه دلّ علىٰ ظهور ما لم يكن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النسخ أنّ المولى يقول في حال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قد انتهى تاريخه، و من الآن فصاعداً فأنا آمُرُ به فيكون الاختلاف بين الناسخ و المنسوخ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البداء يكون الأمر عن عين ما نهى عنه، و في النسخ يتعلّق الأمر بمثل ما نهى عنه لا بعينه</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البداء بهذا المعنى محال على اللّٰه تعالى، لأنّه عالم لنفسه، و لا يجوز أن يظهر له من العلم ما لم يكن ظاهراً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أخبار آحاد دلّت علىٰ نسبة البداء إلى اللّٰه تعالىٰ‌، أوَّلَها الشريف المرتضى و محقّقو الإمامية بالنسخ للشرائع، و هو جائز عليه تعالىٰ‌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ذلك تعرّض الشريف المرتضى إلى إمكان تسمية النسخ بالبداء، فذهب إلىٰ أنّ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النسخ إطلاق حقيقي؛ و ذلك لصحّة أن يسمّى الأمر بعد النهي بأنّه ظهور ما لم يكن ظاهراً، و هذا بداء بالمعنى اللغوي له، أي الظهور، فإنّه حاصل في البداء و النسخ معاً، و بذلك يمكن تسمية النسخ بداءً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يقال من أنّ هذا الإطلاق يصحّ مع عدم إضافة لفظ البداء، و أمّا مع إضافته فلا يصحّ إطلاقه على النسخ؛ لأنّه إذا أضيف البداء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ظهر له وحده دون غيره ما لم يظهر، بينما ليس الأمر كذلك في النسخ، فإنّ الأمر الجديد الناسخ للنهي يكون ظاهراً للجميع و ليس خاصّاً بصاحب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الفرق ضعيف، فإنّه يمكن أن يشترك في الظهور أكثر من شخص، و يضاف البداء مع ذلك إلى أحدهم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الإضافة متقوّمة بفاعل الأمر، فالذي يأمر هو </w:t>
      </w:r>
    </w:p>
    <w:p>
      <w:pPr>
        <w:pStyle w:val="BookText"/>
        <w:rPr/>
      </w:pPr>
      <w:r>
        <w:rPr>
          <w:rFonts w:ascii="Amiri" w:hAnsi="Amiri" w:eastAsia="Amiri" w:cs="Amiri"/>
          <w:color w:val="111111"/>
          <w:sz w:val="28"/>
          <w:sz w:val="28"/>
          <w:szCs w:val="28"/>
          <w:rtl w:val="true"/>
          <w:lang w:bidi="ar-SA"/>
        </w:rPr>
        <w:t>الذي يضاف إليه البداء، دون كلّ من ظهر له، فإضافة البداء تكون إلى الفاعل، لا إلىٰ مَن ظهر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الشريف المرتضى في هذه المسألة عن سؤال حول معنى الحديث المذكور، و هو أنّه من الواضح أنّ النيّة أقلّ ثواباً من العمل، فكيف يقال إنّها خير من العمل‌؟</w:t>
      </w:r>
    </w:p>
    <w:p>
      <w:pPr>
        <w:pStyle w:val="BookText"/>
        <w:rPr/>
      </w:pPr>
      <w:r>
        <w:rPr>
          <w:rFonts w:ascii="Amiri" w:hAnsi="Amiri" w:eastAsia="Amiri" w:cs="Amiri"/>
          <w:color w:val="111111"/>
          <w:sz w:val="28"/>
          <w:sz w:val="28"/>
          <w:szCs w:val="28"/>
          <w:rtl w:val="true"/>
          <w:lang w:bidi="ar-SA"/>
        </w:rPr>
        <w:t xml:space="preserve">فأجاب بأنّه يمكن 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الحديث بقراءتين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أفضل و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على معنى يخالف التفضيل و المبالغة، فيكون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نيّة المرء هي أحد أعمال الخير التي يقول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مطابق لظاهر الحديث و غير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القراءة الأُولى فيمكن تأويل الحديث بتأويلين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المؤمن مع عمله، خير من عمله الخالي من النيّة، و هذا معنى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بعض الأعمال الشاقّة العظيمة الثواب خير من عمل آخر يكون أقلّ مشقّة و أقلّ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الشريف المرتضى علىٰ هذين التأويلين بأنّهما علىٰ كلّ حال مخالفان لظاهر الحديث؛ لأنّ فيهما زيادة غير 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هو الوجه المبني علىٰ القراءة الثانية المتقدّمة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الشريف المرتضى رسالة مستقلّة حول معنى هذا الحديث و تأويلاته، حيث تعرّض إلى تفصيل البحث هناك، و في نهاية تلك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رسائل تكملة أمالي المرتضى</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عين أكثر العبارات المذكورة في هذه المسألة من المسائل الرازيّة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من الأنبياء الصغائر أو الكبائر؟ سُئل الشريف المرتضى في هذه المسألة عن عصمة الأنبياء عليهم السلامُ‌، و أنّه إذا كانوا معصومين فما معنى ما ورد في ظواهر القرآن،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 ببيان قاعدة في التأويل عند معارضة العقل و النقل، و هي أنّه إذا دلّ العقل على شيء فينبغي اتّباعه و عدم العدول عنه بسبب ظواهر الكتاب، فإنّ هذه الظواهر إن كانت محتمِلة لمعنيين أو أكثر، فيجب حملها على المعنى الموافق للعقل، و إن كانت غير محتمِلة إلّاللمعنى الظاهر المخالف للعقل، فيجب حينئذ ترك الظاهر و القطع على أنّ اللّٰه تعالى إنّما أراد غير ما يقتضيه 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عصمة الأنبياء عليهم السلامُ من الذنوب بأدلّة، منها دلالة المعجزات، فإنّ المعجزات تدلّ على صدق مَن ظهرت على يديه فيما يؤدّيه عن اللّٰه تعالىٰ و عدم كتمانه، و إلّالأدّىٰ إلىٰ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باقي الذنوب ممّا لا دخالة له في أداء الرسالة فيدلّ علىٰ عصمتهم منه دليل التنفير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يشمل الصغائر؛ لأنّها 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من الرازيّة هي في الحقيقة تلخيص لما جاء في كتاب تنزيه الأنبياء و الأئمّة عليهم السلامُ‌، و قد أشار الشريف المرتضى فيها إلى هذا الكتاب و أهمّيته،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كتاب جليل الموقع في الدين، كثير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الآية المذكورة في السؤال و المتعلّقة بعصيان آدم عليه السلامُ‌، بأنّ العصيان يَحتمل مخالفة الواجب و الندب، و لا دليل على أنّ المراد بالعصيان في الآية مخالفة الواجب فقط، فلا يبقى إشكال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بمعنى حرمان الثواب بسبب ترك المندوب، </w:t>
      </w:r>
    </w:p>
    <w:p>
      <w:pPr>
        <w:pStyle w:val="BookText"/>
        <w:rPr/>
      </w:pPr>
      <w:r>
        <w:rPr>
          <w:rFonts w:ascii="Amiri" w:hAnsi="Amiri" w:eastAsia="Amiri" w:cs="Amiri"/>
          <w:color w:val="111111"/>
          <w:sz w:val="28"/>
          <w:sz w:val="28"/>
          <w:szCs w:val="28"/>
          <w:rtl w:val="true"/>
          <w:lang w:bidi="ar-SA"/>
        </w:rPr>
        <w:t xml:space="preserve">و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و ضدّ الرشد؛ فإنّ فعل القبيح يعني فعل المعصية، فإذا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القبيح، فسوف 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فعصىٰ‌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القبيح فَفَعَلَ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عطف للشيء علىٰ نفسه، 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في معنى الآية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الأمر المندوب فحُرم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الواجب يستلزم أيضاً حرمان الثواب، فلماذا خصّصتموه بترك المندوب‌؟</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التفريع بالفاء أنّ كلّ الجزاء مذكور فيما دخلت عليه الفاء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 فقُطع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أنّ كلّ جزاء السرقة هو القطع فقط و ليس هناك جزاء آخر غير مذكور، و الآية فرّعت حرمان الثواب على المعصية، و هو يدلّ علىٰ أنّ حرمان الثواب هو كلّ الجزاء، بينما جزاء ترك الواجب ليس حرمان الثواب فقط، بل إضافة إلى ذلك فيه استحقاق للذمّ و العقاب، لكن جزاء ترك المندوب حرمان الثواب فقط، و هو يتناسب مع ظاهر الآية و التفريع بالفاء خلافاً لترك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التي اشتهر بها الإماميّة، و عُرفوا بالإيمان بها هي مسألة الرجعة، لكنّهم اختلفوا في معناها، فذهب المشهور إلى تفسيرها بعودة الأموات إلى الحياة، و أنّ اللّٰه تعالى عند ظهور صاحب الزمان عليه السلامُ يُرجِع قوماً من شيعته و أعدائه إلى الدنيا، ليفوز شيعته بثواب نصرته و مشاهدة دولته، و لينتقم من أعدائه</w:t>
      </w:r>
      <w:r>
        <w:rPr>
          <w:rStyle w:val="FootnoteAnchor"/>
          <w:rtl w:val="true"/>
        </w:rPr>
        <w:footnoteReference w:id="823"/>
      </w:r>
      <w:r>
        <w:rPr>
          <w:rFonts w:ascii="Amiri" w:hAnsi="Amiri" w:eastAsia="Amiri" w:cs="Amiri"/>
          <w:color w:val="111111"/>
          <w:sz w:val="28"/>
          <w:sz w:val="28"/>
          <w:szCs w:val="28"/>
          <w:rtl w:val="true"/>
          <w:lang w:bidi="ar-SA"/>
        </w:rPr>
        <w:t>، فيما ذهب بعضهم إلى تفسير الرجعة بعودة دولة آل محمّد صلّى اللّٰهُ عليه و آلِه عند ظهور صاحب الزمان عليه السلامُ‌، كما أشار إلى ذلك الشريف المرتضى في جواب هذه المسألة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اختار الشريف المرتضى الرأي الأوّل، و قام بتبيينه و الاستدلال عليه في هذه </w:t>
      </w:r>
    </w:p>
    <w:p>
      <w:pPr>
        <w:pStyle w:val="BookText"/>
        <w:rPr/>
      </w:pPr>
      <w:r>
        <w:rPr>
          <w:rFonts w:ascii="Amiri" w:hAnsi="Amiri" w:eastAsia="Amiri" w:cs="Amiri"/>
          <w:color w:val="111111"/>
          <w:sz w:val="28"/>
          <w:sz w:val="28"/>
          <w:szCs w:val="28"/>
          <w:rtl w:val="true"/>
          <w:lang w:bidi="ar-SA"/>
        </w:rPr>
        <w:t xml:space="preserve">المسألة من الرازيّة، و بشيء أكثر تفصيلاً في المسألة الوحيدة المتبقّية من المسائل الدمشقيّات، فيما اكتفى بإشارة إجماليّة إلى البحث في المسألة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الميّافارقيّات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جاء في هذه المسألة من الرازيّة فيمكن تلخيصه في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الشريف المرتضى معنى الرجعة الذي اختاره، و هو عودة الأموات، و هو رأي المشهور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أنّ هذا المعنى ممكن، و ليس مستحيلاً كما قد يُخيّل للبعض؛ و ذلك لأنّ اللّٰه تعالى قادر على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على إثبات هذا المعنى للرجعة هو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هنا الإشارة إلى أنّ الإجماع عند الشريف المرتضى لا يعني الاتّفاق الكامل بين العلماء بحيث لا يظهر أيّ خلاف في المسألة، بل الإجماع عنده يمكن أن يجتمع مع وجود الخلاف؛ و ذلك لأنّ الإجماع عنده إنّما يكون حجّة بالقدر الذي يكشف عن دخول المعصوم بين المُجمِعين، فإذا خرج من هذا الإجماع أشخاص معروفون، أو كان خروجهم بسبب شبهة معيّنة، فإنّ خروجهم لا يضرّ بحجّية الإجماع، ما دام أنّنا نعلم أنّ المعصوم ليس من بين الخارجين، و سوف يأتي بعد قليل أنّ المخالفين في معنى الرجعة إنّما خالفوا لدخول شبهة عليهم، و لذلك لم يكن خلافهم مُضرّاً بالإجماع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على الإشكال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عودة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التكليف؛ لأنّها تؤدّي إلى الإلجاء، فإنّ مَن يشاهد أهوال الموت ثمّ يرجع إلى الدنيا، سوف يكون مُلجأ إلى الإيمان و العمل الصالح، خوفاً من تلك الأهوال التي شاهدها عند موته، و لم ينسَها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بأنّ الرجعة لا تخالف التكليف و لا تؤدّي إلى الإلجاء، بل تبقى عند </w:t>
      </w:r>
    </w:p>
    <w:p>
      <w:pPr>
        <w:pStyle w:val="BookText"/>
        <w:rPr/>
      </w:pPr>
      <w:r>
        <w:rPr>
          <w:rFonts w:ascii="Amiri" w:hAnsi="Amiri" w:eastAsia="Amiri" w:cs="Amiri"/>
          <w:color w:val="111111"/>
          <w:sz w:val="28"/>
          <w:sz w:val="28"/>
          <w:szCs w:val="28"/>
          <w:rtl w:val="true"/>
          <w:lang w:bidi="ar-SA"/>
        </w:rPr>
        <w:t>الإنسان دواعي متردّدة بين فعل الطاعة و المعصية، فكما أنّ مشاهدة المعجزات الباهرة العظيمة غير مُلجئة إلى فعل الطاعة، بل قد يخالفها الكثيرون، فكذلك مشاهدة أهوال الموت و الرجعة غير مُلجئة إلى فعل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مخالفة مَن خالف في معنى الرجعة من الإماميّة و ذهب إلىٰ أنّ معناها عودة الدولة، ناشئة من عدم قدرتهم على حلّ إشكالات الرجعة التي تقدّمت الإشارة إليها، من كونها مستحيلة، أو كونها مخالِفة للتكليف، فلجؤوا إلى هذا القول، إلّاأنّه غير صحيح؛ لأنّ دليل الرجعة ليس خبر واحد حتّى يمكن تأويل ظاهره، بل دليلها الإجماع و معناه معلوم و مقطوع به غير ظاهر، و لا يمكن تأويل المعلوم و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هذه المسألة عن كيفية إثبات وجود اللّٰه تعالى، و هل هو بالعقل فقط، أو يمكن أن يكون بالسمع أيضاً؟</w:t>
      </w:r>
    </w:p>
    <w:p>
      <w:pPr>
        <w:pStyle w:val="BookText"/>
        <w:rPr/>
      </w:pPr>
      <w:r>
        <w:rPr>
          <w:rFonts w:ascii="Amiri" w:hAnsi="Amiri" w:eastAsia="Amiri" w:cs="Amiri"/>
          <w:color w:val="111111"/>
          <w:sz w:val="28"/>
          <w:sz w:val="28"/>
          <w:szCs w:val="28"/>
          <w:rtl w:val="true"/>
          <w:lang w:bidi="ar-SA"/>
        </w:rPr>
        <w:t>و أجاب الشريف المرتضى بما يتناسب مع الأحكام العقليّة الواضحة من أنّ ذلك لا يمكن أن يتحقّق إلّابواسطة العقل؛ لأنّ السمع لا يثبت إلّابعد معرفة اللّٰه تعالى و صفاته، فلا يمكن أن يَثبت به وجود اللّٰه تعالى؛ لأنّه سوف يؤدّي إلى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سبب طرح هذا السؤال هو أنّ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وجود اللّٰه تعالى يَثبت بقول الإمام، و هذا الكلام كما هو واضح غير منطقي، و يؤدّي إلى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كلام أكثر منطقيّة، و هو أنّ المكلّف بحاجة إلى الإمام لكي ينبّهه على وجوب معرفة اللّٰه تعالى، و ينبّهه على طريق الاستدلال على ذلك، فيكون دور الإمام هو التنبيه فقط، ثمّ يأخذ المكلّف الدليل الذي علّمه الإمام إيّاه، و يستقلّ بمعرفة اللّٰه تعالى، من دون أن يؤدّي ذلك إلى الدور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الطريق منطقي و مقبول، فمَن هو أعرف باللّٰه تعالى و بالطرق إليه من الإمام المعصوم‌؟ و قد رضي الشريف المرتضى بهذا الدور للإمام، إلّاأنّه لم يحصره فيه، بل </w:t>
      </w:r>
    </w:p>
    <w:p>
      <w:pPr>
        <w:pStyle w:val="BookText"/>
        <w:rPr/>
      </w:pPr>
      <w:r>
        <w:rPr>
          <w:rFonts w:ascii="Amiri" w:hAnsi="Amiri" w:eastAsia="Amiri" w:cs="Amiri"/>
          <w:color w:val="111111"/>
          <w:sz w:val="28"/>
          <w:sz w:val="28"/>
          <w:szCs w:val="28"/>
          <w:rtl w:val="true"/>
          <w:lang w:bidi="ar-SA"/>
        </w:rPr>
        <w:t>جعل هناك طرقاً أُخرى إلى جانب الإمام تقوم بوظيفة التنبيه، فإنّ المكلّف إذا عاش بين الناس، و سمع اختلافهم في الديانات، و أنّ كثيراً منهم يؤمن بوجود خالق للعالم، فإنّه سوف يخاف و يتنبّه على وجوب معرفته تعالى، و إن كان يعيش منفرداً عن الناس، فقد يتنبّه بنفسه إلى وجوب النظر و المعرفة، كما قد يُخطِر اللّٰه تعالى في سمعه كلاماً ينبّهه على ذلك، و هو المسمّى بالخاطر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نهاية المسألة التاسعة أخذ الشريف المرتضى باختصار الأجوبة، حتّى اكتفى أحياناً بنصف سطر، و كأنّه كان على عجلة من أمره، أو أنّه كان يرى أنّ المسألة لا تستحقّ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في إحدى تلك المسائل المتبقّية إلى حقيقة الروح، و اعتبرها عبارة عن الهواء المتردّد في مخارق الحيّ منّا، بحيث لا يكون حيّاً إلّامع تردّده، و صرّح بأنّ الروح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الرأي يتناسب مع ما ذهب إليه من أنّ حقيقة الإنسان هو هذا الجسم المُشاهَد</w:t>
      </w:r>
      <w:r>
        <w:rPr>
          <w:rStyle w:val="FootnoteAnchor"/>
          <w:rtl w:val="true"/>
        </w:rPr>
        <w:footnoteReference w:id="824"/>
      </w:r>
      <w:r>
        <w:rPr>
          <w:rFonts w:ascii="Amiri" w:hAnsi="Amiri" w:eastAsia="Amiri" w:cs="Amiri"/>
          <w:color w:val="111111"/>
          <w:sz w:val="28"/>
          <w:sz w:val="28"/>
          <w:szCs w:val="28"/>
          <w:rtl w:val="true"/>
          <w:lang w:bidi="ar-SA"/>
        </w:rPr>
        <w:t>، و أنّه لا يوجد أيُّ بُعد مجرّد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في مسألة أُخرى إلى الإرجاء، و اعتبره هو الرأي الصحيح عند الإماميّة، و أنكر نظريّة التحابط التي ذهب إليها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الكلام عن الإرجاء و الوعيد في عدّة مواضع من كتبه و رسائله، من أهمّها المسائل الموصليّات الأُولى، فقد تعرّض إلى هذا البحث بالتفصيل، لكن مع الأسف هذه المسائل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تعرّض إلى بحث الإرجاء و بطلان التحابط في كتاب الذخيرة</w:t>
      </w:r>
      <w:r>
        <w:rPr>
          <w:rStyle w:val="FootnoteAnchor"/>
          <w:rtl w:val="true"/>
        </w:rPr>
        <w:footnoteReference w:id="825"/>
      </w:r>
      <w:r>
        <w:rPr>
          <w:rFonts w:ascii="Amiri" w:hAnsi="Amiri" w:eastAsia="Amiri" w:cs="Amiri"/>
          <w:color w:val="111111"/>
          <w:sz w:val="28"/>
          <w:sz w:val="28"/>
          <w:szCs w:val="28"/>
          <w:rtl w:val="true"/>
          <w:lang w:bidi="ar-SA"/>
        </w:rPr>
        <w:t xml:space="preserve">، و في المسائل الطبريّة، 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المسائل الرازية قد طبعت في ضمن 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166" w:name="pg16415_223804"/>
    </w:p>
    <w:p>
      <w:pPr>
        <w:pStyle w:val="Heading6"/>
        <w:numPr>
          <w:ilvl w:val="5"/>
          <w:numId w:val="1"/>
        </w:numPr>
        <w:rPr/>
      </w:pPr>
      <w:bookmarkStart w:id="167" w:name="__RefHeading___Toc7642342_1280447820"/>
      <w:bookmarkStart w:id="168" w:name="_Toc58"/>
      <w:bookmarkEnd w:id="166"/>
      <w:bookmarkEnd w:id="167"/>
      <w:r>
        <w:rPr>
          <w:rtl w:val="true"/>
        </w:rPr>
        <w:t>مخطوطات الرسالة</w:t>
      </w:r>
      <w:bookmarkEnd w:id="168"/>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2429</w:t>
      </w:r>
      <w:r>
        <w:rPr>
          <w:rFonts w:ascii="Amiri" w:hAnsi="Amiri" w:eastAsia="Amiri" w:cs="Amiri"/>
          <w:color w:val="111111"/>
          <w:sz w:val="28"/>
          <w:sz w:val="28"/>
          <w:szCs w:val="28"/>
          <w:rtl w:val="true"/>
          <w:lang w:bidi="ar-SA"/>
        </w:rPr>
        <w:t xml:space="preserve">؛ و لم يعلم اسم ناسخها و تاريخ النسخ، و يشاهد في الورقة الأُولى منها خاتم بيضويّ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14673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الصدر بأصفهان، المرقّمة </w:t>
      </w:r>
      <w:r>
        <w:rPr>
          <w:rFonts w:eastAsia="Amiri" w:cs="Amiri" w:ascii="Amiri" w:hAnsi="Amiri"/>
          <w:color w:val="111111"/>
          <w:sz w:val="28"/>
          <w:szCs w:val="28"/>
          <w:lang w:bidi="ar-SA"/>
        </w:rPr>
        <w:t>914/2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xml:space="preserve">؛ نُسخت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محمّد الكاشاني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بكاشان في عام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بالخطّ النسخي، و لم يُعلم اسم الناسخ،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تشتمل على رسالات لا يتعلّق بالشريف المرتضى إلّاالرسالة الرابعة منها،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المسائل الرازيّات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الوطنيّة بطهران، المرقّمة </w:t>
      </w:r>
      <w:r>
        <w:rPr>
          <w:rFonts w:eastAsia="Amiri" w:cs="Amiri" w:ascii="Amiri" w:hAnsi="Amiri"/>
          <w:color w:val="111111"/>
          <w:sz w:val="28"/>
          <w:szCs w:val="28"/>
          <w:lang w:bidi="ar-SA"/>
        </w:rPr>
        <w:t>4633</w:t>
      </w:r>
      <w:r>
        <w:rPr>
          <w:rFonts w:ascii="Amiri" w:hAnsi="Amiri" w:eastAsia="Amiri" w:cs="Amiri"/>
          <w:color w:val="111111"/>
          <w:sz w:val="28"/>
          <w:sz w:val="28"/>
          <w:szCs w:val="28"/>
          <w:rtl w:val="true"/>
          <w:lang w:bidi="ar-SA"/>
        </w:rPr>
        <w:t>؛ نُسخت في يوم العشرة من شهر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نتمكّن من قراءة سنة الكتابة في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اسم الناسخ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6415_223807"/>
      <w:bookmarkStart w:id="170" w:name="pg16415_223807"/>
      <w:bookmarkEnd w:id="170"/>
    </w:p>
    <w:p>
      <w:pPr>
        <w:pStyle w:val="Heading5"/>
        <w:numPr>
          <w:ilvl w:val="4"/>
          <w:numId w:val="1"/>
        </w:numPr>
        <w:rPr/>
      </w:pPr>
      <w:bookmarkStart w:id="171" w:name="pg16415_223807"/>
      <w:bookmarkStart w:id="172" w:name="__RefHeading___Toc7642344_1280447820"/>
      <w:bookmarkStart w:id="173" w:name="_Toc59"/>
      <w:bookmarkEnd w:id="171"/>
      <w:bookmarkEnd w:id="172"/>
      <w:r>
        <w:rPr>
          <w:rtl w:val="true"/>
        </w:rPr>
        <w:t>جواباتُ المَسائلِ الرازيّةِ‌</w:t>
      </w:r>
      <w:bookmarkEnd w:id="173"/>
    </w:p>
    <w:p>
      <w:pPr>
        <w:pStyle w:val="Heading6"/>
        <w:numPr>
          <w:ilvl w:val="5"/>
          <w:numId w:val="1"/>
        </w:numPr>
        <w:rPr/>
      </w:pPr>
      <w:bookmarkStart w:id="174" w:name="__RefHeading___Toc7642346_1280447820"/>
      <w:bookmarkStart w:id="175" w:name="_Toc60"/>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هذه مَسائلُ وَرَدَت علَى السيِّدِ الأجَلِّ المُرتَضىٰ عَلَمِ الهُدىٰ‌</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الرَّيِّ‌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7642348_1280447820"/>
      <w:bookmarkStart w:id="177" w:name="_Toc61"/>
      <w:bookmarkEnd w:id="176"/>
      <w:r>
        <w:rPr>
          <w:rtl w:val="true"/>
        </w:rPr>
        <w:t>المَسألةُ الأُولىٰ حُرمةُ الفُقّاعِ عندَ الإماميّةِ‌</w:t>
      </w:r>
      <w:bookmarkEnd w:id="177"/>
    </w:p>
    <w:p>
      <w:pPr>
        <w:pStyle w:val="BookText"/>
        <w:rPr/>
      </w:pPr>
      <w:r>
        <w:rPr>
          <w:rFonts w:ascii="Amiri" w:hAnsi="Amiri" w:eastAsia="Amiri" w:cs="Amiri"/>
          <w:color w:val="111111"/>
          <w:sz w:val="28"/>
          <w:sz w:val="28"/>
          <w:szCs w:val="28"/>
          <w:rtl w:val="true"/>
          <w:lang w:bidi="ar-SA"/>
        </w:rPr>
        <w:t>سُئِلَ‌</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و هو مُحرَّمٌ عندَ الإماميّةِ‌، هَل علىٰ تحريمِه دليلٌ عقليٌّ أو سَمعيٌّ؟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الفُقّاعَ مُحرَّمٌ محظورٌ عندَ الإماميّةِ‌؛ يُحَدُّ شارِبُه، كَما يُحَدُّ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الفُقّاعُ عندَهم في النَّجاسةِ و التحريمِ مَجرَى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الواضحُ علىٰ ذلكَ إجماعُ الإماميّةِ عليه؛ لأنّهم لا يَختَلِفونَ فيما ذَكَرنا</w:t>
      </w:r>
      <w:r>
        <w:rPr>
          <w:rStyle w:val="FootnoteAnchor"/>
          <w:rtl w:val="true"/>
        </w:rPr>
        <w:footnoteReference w:id="830"/>
      </w:r>
      <w:r>
        <w:rPr>
          <w:rFonts w:ascii="Amiri" w:hAnsi="Amiri" w:eastAsia="Amiri" w:cs="Amiri"/>
          <w:color w:val="111111"/>
          <w:sz w:val="28"/>
          <w:sz w:val="28"/>
          <w:szCs w:val="28"/>
          <w:rtl w:val="true"/>
          <w:lang w:bidi="ar-SA"/>
        </w:rPr>
        <w:t>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إجماعُهم علىٰ ما أشَرنا إليه حُجّةٌ و دَلالةٌ توجِبُ العِلمَ‌، فيَجِبُ لذلكَ القَطعُ علىٰ تحريمِ الفُقّاعِ و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الفُقّاعُ حَراماً و هو لا يُسكِرُ؟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التحريمُ مَوقوفاً علَى المُسكِراتِ‌؛ لأنّ الدمَ و لَحمَ الخِنزيرِ لا يُسكِرانِ و هُما مُحرَّمانِ‌، و كذلكَ قَليلُ الخَمرِ لا يُسكِرُ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الخَمرِ مِن الجِنسِ الذي يُسكِرُ كَثيرُه، و لَيسَ كذلكَ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الدمُ و لَحمُ الخِنزيرِ فلَيسا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تُحرَّمْ في الشريعةِ إلّالأجلِ وجودِ الإسكارِ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لكم أنّ‌</w:t>
      </w:r>
      <w:r>
        <w:rPr>
          <w:rStyle w:val="FootnoteAnchor"/>
          <w:rtl w:val="true"/>
        </w:rPr>
        <w:footnoteReference w:id="831"/>
      </w:r>
      <w:r>
        <w:rPr>
          <w:rFonts w:ascii="Amiri" w:hAnsi="Amiri" w:eastAsia="Amiri" w:cs="Amiri"/>
          <w:color w:val="111111"/>
          <w:sz w:val="28"/>
          <w:sz w:val="28"/>
          <w:szCs w:val="28"/>
          <w:rtl w:val="true"/>
          <w:lang w:bidi="ar-SA"/>
        </w:rPr>
        <w:t>عِلّةَ تحريمِ‌</w:t>
      </w:r>
      <w:r>
        <w:rPr>
          <w:rStyle w:val="FootnoteAnchor"/>
          <w:rtl w:val="true"/>
        </w:rPr>
        <w:footnoteReference w:id="832"/>
      </w:r>
      <w:r>
        <w:rPr>
          <w:rFonts w:ascii="Amiri" w:hAnsi="Amiri" w:eastAsia="Amiri" w:cs="Amiri"/>
          <w:color w:val="111111"/>
          <w:sz w:val="28"/>
          <w:sz w:val="28"/>
          <w:szCs w:val="28"/>
          <w:rtl w:val="true"/>
          <w:lang w:bidi="ar-SA"/>
        </w:rPr>
        <w:t>الأشرِبةِ في الشرعِ مَوقوفةٌ علىٰ أنّها مِن جِنسِ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عِلّةُ التحريمِ في الحقيقةِ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أعلَمُ بوَجهِها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حَرَّمَ اللّٰهُ تَعالَى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يُشرَبُ‌،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موجِبِ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فيه قُوّةُ الإسكارِ، بَل لِعَينِه؛ فما المُنكَرُ مِن أن يَكونَ تحريمُ الفُقّاعِ كذلكَ؟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نُعارِضَ خُصومَنا في تحريمِ الفُقّاعِ‌، و نورِدَ عليهم الأخبارَ التي يَرويها</w:t>
      </w:r>
      <w:r>
        <w:rPr>
          <w:rStyle w:val="FootnoteAnchor"/>
          <w:rtl w:val="true"/>
        </w:rPr>
        <w:footnoteReference w:id="833"/>
      </w:r>
      <w:r>
        <w:rPr>
          <w:rFonts w:ascii="Amiri" w:hAnsi="Amiri" w:eastAsia="Amiri" w:cs="Amiri"/>
          <w:color w:val="111111"/>
          <w:sz w:val="28"/>
          <w:sz w:val="28"/>
          <w:szCs w:val="28"/>
          <w:rtl w:val="true"/>
          <w:lang w:bidi="ar-SA"/>
        </w:rPr>
        <w:t>ثِقاتُهم و رُواتُهم في تحريمِ الفُقّاعِ‌، لأنّهم يَعمَلونَ في الشريعةِ بأخبارِ الآحادِ، فيَلزَمُهم أن يَحكُموا بتَحريمِ الفُقّاعِ‌؛ للأخبارِ الواردةِ مِن طُرُقِهم بِتَحريمِه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وَرَدَ مِن طُرُقِنا في تحريمِه و أنّه كالخَمرِ في التحريمِ و وجوبِ الحَدِّ علىٰ شارِبِه و النَّجاسةِ‌، فأكثَرُ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يَنفَعُنا</w:t>
      </w:r>
      <w:r>
        <w:rPr>
          <w:rStyle w:val="FootnoteAnchor"/>
          <w:rtl w:val="true"/>
        </w:rPr>
        <w:footnoteReference w:id="834"/>
      </w:r>
      <w:r>
        <w:rPr>
          <w:rFonts w:ascii="Amiri" w:hAnsi="Amiri" w:eastAsia="Amiri" w:cs="Amiri"/>
          <w:color w:val="111111"/>
          <w:sz w:val="28"/>
          <w:sz w:val="28"/>
          <w:szCs w:val="28"/>
          <w:rtl w:val="true"/>
          <w:lang w:bidi="ar-SA"/>
        </w:rPr>
        <w:t>لمُعارَضةِ الخُصومِ‌؛ لأنّهم لا يَعرِفونَ هذه الرواياتِ‌، و لا يوثِّقونَ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فالمُعارَضةُ برواياتِهم لهم</w:t>
      </w:r>
      <w:r>
        <w:rPr>
          <w:rStyle w:val="FootnoteAnchor"/>
          <w:rtl w:val="true"/>
        </w:rPr>
        <w:footnoteReference w:id="835"/>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الأَسوَدِ عن</w:t>
      </w:r>
      <w:r>
        <w:rPr>
          <w:rStyle w:val="FootnoteAnchor"/>
          <w:rtl w:val="true"/>
        </w:rPr>
        <w:footnoteReference w:id="836"/>
      </w:r>
      <w:r>
        <w:rPr>
          <w:rFonts w:ascii="Amiri" w:hAnsi="Amiri" w:eastAsia="Amiri" w:cs="Amiri"/>
          <w:color w:val="111111"/>
          <w:sz w:val="28"/>
          <w:sz w:val="28"/>
          <w:szCs w:val="28"/>
          <w:rtl w:val="true"/>
          <w:lang w:bidi="ar-SA"/>
        </w:rPr>
        <w:t>ابنِ‌</w:t>
      </w:r>
      <w:r>
        <w:rPr>
          <w:rStyle w:val="FootnoteAnchor"/>
          <w:rtl w:val="true"/>
        </w:rPr>
        <w:footnoteReference w:id="837"/>
      </w:r>
      <w:r>
        <w:rPr>
          <w:rFonts w:ascii="Amiri" w:hAnsi="Amiri" w:eastAsia="Amiri" w:cs="Amiri"/>
          <w:color w:val="111111"/>
          <w:sz w:val="28"/>
          <w:sz w:val="28"/>
          <w:szCs w:val="28"/>
          <w:rtl w:val="true"/>
          <w:lang w:bidi="ar-SA"/>
        </w:rPr>
        <w:t>لَهيعَةَ‌</w:t>
      </w:r>
      <w:r>
        <w:rPr>
          <w:rStyle w:val="FootnoteAnchor"/>
          <w:rtl w:val="true"/>
        </w:rPr>
        <w:footnoteReference w:id="838"/>
      </w:r>
      <w:r>
        <w:rPr>
          <w:rFonts w:ascii="Amiri" w:hAnsi="Amiri" w:eastAsia="Amiri" w:cs="Amiri"/>
          <w:color w:val="111111"/>
          <w:sz w:val="28"/>
          <w:sz w:val="28"/>
          <w:szCs w:val="28"/>
          <w:rtl w:val="true"/>
          <w:lang w:bidi="ar-SA"/>
        </w:rPr>
        <w:t>، عن دَرّاجٍ أبي السَّمْحِ‌</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الساجيُّ‌</w:t>
      </w:r>
      <w:r>
        <w:rPr>
          <w:rStyle w:val="FootnoteAnchor"/>
          <w:rtl w:val="true"/>
        </w:rPr>
        <w:footnoteReference w:id="840"/>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الحارِثِ‌، أنّ دَرّاجاً أبا السَّمْحِ حَدَّثَه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اجتَمَعا علىٰ أنّ دَرّاجاً</w:t>
      </w:r>
      <w:r>
        <w:rPr>
          <w:rStyle w:val="FootnoteAnchor"/>
          <w:rtl w:val="true"/>
        </w:rPr>
        <w:footnoteReference w:id="8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الحَكَمِ حَدَّثَه عن أُمِّ حَبيبةَ زَوجِ‌</w:t>
      </w:r>
      <w:r>
        <w:rPr>
          <w:rStyle w:val="FootnoteAnchor"/>
          <w:rtl w:val="true"/>
        </w:rPr>
        <w:footnoteReference w:id="842"/>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w:t>
      </w:r>
      <w:r>
        <w:rPr>
          <w:rStyle w:val="FootnoteAnchor"/>
          <w:rtl w:val="true"/>
        </w:rPr>
        <w:footnoteReference w:id="843"/>
      </w:r>
      <w:r>
        <w:rPr>
          <w:rFonts w:ascii="Amiri" w:hAnsi="Amiri" w:eastAsia="Amiri" w:cs="Amiri"/>
          <w:color w:val="111111"/>
          <w:sz w:val="28"/>
          <w:sz w:val="28"/>
          <w:szCs w:val="28"/>
          <w:rtl w:val="true"/>
          <w:lang w:bidi="ar-SA"/>
        </w:rPr>
        <w:t xml:space="preserve">مِن أهل اليَمَنِ قَدِموا علىٰ رسولِ اللّٰهِ صَلَّى </w:t>
      </w:r>
    </w:p>
    <w:p>
      <w:pPr>
        <w:pStyle w:val="BookText"/>
        <w:rPr/>
      </w:pPr>
      <w:r>
        <w:rPr>
          <w:rFonts w:ascii="Amiri" w:hAnsi="Amiri" w:eastAsia="Amiri" w:cs="Amiri"/>
          <w:color w:val="111111"/>
          <w:sz w:val="28"/>
          <w:sz w:val="28"/>
          <w:szCs w:val="28"/>
          <w:rtl w:val="true"/>
          <w:lang w:bidi="ar-SA"/>
        </w:rPr>
        <w:t>اللّٰهُ عليه و آلِه ليُعلِّمَهم</w:t>
      </w:r>
      <w:r>
        <w:rPr>
          <w:rStyle w:val="FootnoteAnchor"/>
          <w:rtl w:val="true"/>
        </w:rPr>
        <w:footnoteReference w:id="844"/>
      </w:r>
      <w:r>
        <w:rPr>
          <w:rFonts w:ascii="Amiri" w:hAnsi="Amiri" w:eastAsia="Amiri" w:cs="Amiri"/>
          <w:color w:val="111111"/>
          <w:sz w:val="28"/>
          <w:sz w:val="28"/>
          <w:szCs w:val="28"/>
          <w:rtl w:val="true"/>
          <w:lang w:bidi="ar-SA"/>
        </w:rPr>
        <w:t>الصلاةَ و السُّننَ و الفَرائضَ‌،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لنا شَراباً نصنَعُه</w:t>
      </w:r>
      <w:r>
        <w:rPr>
          <w:rStyle w:val="FootnoteAnchor"/>
          <w:rtl w:val="true"/>
        </w:rPr>
        <w:footnoteReference w:id="845"/>
      </w:r>
      <w:r>
        <w:rPr>
          <w:rFonts w:ascii="Amiri" w:hAnsi="Amiri" w:eastAsia="Amiri" w:cs="Amiri"/>
          <w:color w:val="111111"/>
          <w:sz w:val="28"/>
          <w:sz w:val="28"/>
          <w:szCs w:val="28"/>
          <w:rtl w:val="true"/>
          <w:lang w:bidi="ar-SA"/>
        </w:rPr>
        <w:t>مِن القَمحِ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نَعَم، قالَ‌</w:t>
      </w:r>
      <w:r>
        <w:rPr>
          <w:rStyle w:val="FootnoteAnchor"/>
          <w:rtl w:val="true"/>
        </w:rPr>
        <w:footnoteReference w:id="84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تَطعَموه</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قال الساجيُّ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ذلكَ ثَلاثاً</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50"/>
      </w:r>
      <w:r>
        <w:rPr>
          <w:rFonts w:ascii="Amiri" w:hAnsi="Amiri" w:eastAsia="Amiri" w:cs="Amiri"/>
          <w:color w:val="111111"/>
          <w:sz w:val="28"/>
          <w:sz w:val="28"/>
          <w:szCs w:val="28"/>
          <w:rtl w:val="true"/>
          <w:lang w:bidi="ar-SA"/>
        </w:rPr>
        <w:t>أبو عُبَيدٍ</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بَعدَ ذلكَ بيَومَينِ‌،</w:t>
      </w:r>
      <w:r>
        <w:rPr>
          <w:rStyle w:val="FootnoteAnchor"/>
          <w:rtl w:val="true"/>
        </w:rPr>
        <w:footnoteReference w:id="852"/>
      </w:r>
      <w:r>
        <w:rPr>
          <w:rFonts w:ascii="Amiri" w:hAnsi="Amiri" w:eastAsia="Amiri" w:cs="Amiri"/>
          <w:color w:val="111111"/>
          <w:sz w:val="28"/>
          <w:sz w:val="28"/>
          <w:szCs w:val="28"/>
          <w:rtl w:val="true"/>
          <w:lang w:bidi="ar-SA"/>
        </w:rPr>
        <w:t>ذَكَروها</w:t>
      </w:r>
      <w:r>
        <w:rPr>
          <w:rStyle w:val="FootnoteAnchor"/>
          <w:rtl w:val="true"/>
        </w:rPr>
        <w:footnoteReference w:id="853"/>
      </w:r>
      <w:r>
        <w:rPr>
          <w:rFonts w:ascii="Amiri" w:hAnsi="Amiri" w:eastAsia="Amiri" w:cs="Amiri"/>
          <w:color w:val="111111"/>
          <w:sz w:val="28"/>
          <w:sz w:val="28"/>
          <w:szCs w:val="28"/>
          <w:rtl w:val="true"/>
          <w:lang w:bidi="ar-SA"/>
        </w:rPr>
        <w:t>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تَطعَموها</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يَدَعونَها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يَترُكْها فاضرِبوا عُنُقَه</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عُبَيدٍ أيضاً عن ابنِ أبي مَريَمَ‌، عن مُحمّدِ بنِ جَعفَرٍ، عن زَيدِ بنِ أَسلَم، عن عطاءِ بنِ يَسارٍ</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سُئلَ عن الغُبَيراءِ‌، فنَهىٰ‌ </w:t>
      </w:r>
    </w:p>
    <w:p>
      <w:pPr>
        <w:pStyle w:val="BookText"/>
        <w:rPr/>
      </w:pPr>
      <w:r>
        <w:rPr>
          <w:rFonts w:ascii="Amiri" w:hAnsi="Amiri" w:eastAsia="Amiri" w:cs="Amiri"/>
          <w:color w:val="111111"/>
          <w:sz w:val="28"/>
          <w:sz w:val="28"/>
          <w:szCs w:val="28"/>
          <w:rtl w:val="true"/>
          <w:lang w:bidi="ar-SA"/>
        </w:rPr>
        <w:t>عليه السلامُ عنها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w:t>
      </w:r>
      <w:r>
        <w:rPr>
          <w:rStyle w:val="FootnoteAnchor"/>
          <w:rtl w:val="true"/>
        </w:rPr>
        <w:footnoteReference w:id="858"/>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الأُسكُركةُ‌</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الأُسكُركةُ‌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الروميِّ‌</w:t>
      </w:r>
      <w:r>
        <w:rPr>
          <w:rStyle w:val="FootnoteAnchor"/>
          <w:rtl w:val="true"/>
        </w:rPr>
        <w:footnoteReference w:id="861"/>
      </w:r>
      <w:r>
        <w:rPr>
          <w:rFonts w:ascii="Amiri" w:hAnsi="Amiri" w:eastAsia="Amiri" w:cs="Amiri"/>
          <w:color w:val="111111"/>
          <w:sz w:val="28"/>
          <w:sz w:val="28"/>
          <w:szCs w:val="28"/>
          <w:rtl w:val="true"/>
          <w:lang w:bidi="ar-SA"/>
        </w:rPr>
        <w:t>، و هو ممّن لا يُطعَنُ عليه في عِلمِ اللغةِ و العربيّةِ‌؛ لأنّه كانَ مُتقدِّماً في عِلمِها، مُتولِّجاً</w:t>
      </w:r>
      <w:r>
        <w:rPr>
          <w:rStyle w:val="FootnoteAnchor"/>
          <w:rtl w:val="true"/>
        </w:rPr>
        <w:footnoteReference w:id="862"/>
      </w:r>
      <w:r>
        <w:rPr>
          <w:rFonts w:ascii="Amiri" w:hAnsi="Amiri" w:eastAsia="Amiri" w:cs="Amiri"/>
          <w:color w:val="111111"/>
          <w:sz w:val="28"/>
          <w:sz w:val="28"/>
          <w:szCs w:val="28"/>
          <w:rtl w:val="true"/>
          <w:lang w:bidi="ar-SA"/>
        </w:rPr>
        <w:t>إلىٰ مَعانيها،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w:t>
      </w:r>
      <w:r>
        <w:rPr>
          <w:rStyle w:val="FootnoteAnchor"/>
          <w:rtl w:val="true"/>
        </w:rPr>
        <w:footnoteReference w:id="863"/>
      </w:r>
      <w:r>
        <w:rPr>
          <w:rFonts w:ascii="Amiri" w:hAnsi="Amiri" w:eastAsia="Amiri" w:cs="Amiri"/>
          <w:color w:val="111111"/>
          <w:sz w:val="28"/>
          <w:sz w:val="28"/>
          <w:szCs w:val="28"/>
          <w:rtl w:val="true"/>
          <w:lang w:bidi="ar-SA"/>
        </w:rPr>
        <w:t>الأُسكُركةَ‌</w:t>
      </w:r>
      <w:r>
        <w:rPr>
          <w:rStyle w:val="FootnoteAnchor"/>
          <w:rtl w:val="true"/>
        </w:rPr>
        <w:footnoteReference w:id="864"/>
      </w:r>
      <w:r>
        <w:rPr>
          <w:rFonts w:ascii="Amiri" w:hAnsi="Amiri" w:eastAsia="Amiri" w:cs="Amiri"/>
          <w:color w:val="111111"/>
          <w:sz w:val="28"/>
          <w:sz w:val="28"/>
          <w:szCs w:val="28"/>
          <w:rtl w:val="true"/>
          <w:lang w:bidi="ar-SA"/>
        </w:rPr>
        <w:t xml:space="preserve">الصِّنْ‍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 في جَعضَلَفُونِهْ‌</w:t>
      </w:r>
      <w:r>
        <w:rPr>
          <w:rStyle w:val="FootnoteAnchor"/>
          <w:rtl w:val="true"/>
        </w:rPr>
        <w:footnoteReference w:id="86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الفَيجَنَ‌</w:t>
      </w:r>
      <w:r>
        <w:rPr>
          <w:rStyle w:val="FootnoteAnchor"/>
          <w:rtl w:val="true"/>
        </w:rPr>
        <w:footnoteReference w:id="866"/>
      </w:r>
      <w:r>
        <w:rPr>
          <w:rFonts w:ascii="Amiri" w:hAnsi="Amiri" w:eastAsia="Amiri" w:cs="Amiri"/>
          <w:color w:val="111111"/>
          <w:sz w:val="28"/>
          <w:sz w:val="28"/>
          <w:szCs w:val="28"/>
          <w:rtl w:val="true"/>
          <w:lang w:bidi="ar-SA"/>
        </w:rPr>
        <w:t>فيهِ‌</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w:t>
      </w:r>
      <w:r>
        <w:rPr>
          <w:rStyle w:val="FootnoteAnchor"/>
          <w:rtl w:val="true"/>
        </w:rPr>
        <w:footnoteReference w:id="868"/>
      </w:r>
      <w:r>
        <w:rPr>
          <w:rFonts w:ascii="Amiri" w:hAnsi="Amiri" w:eastAsia="Amiri" w:cs="Amiri"/>
          <w:color w:val="111111"/>
          <w:sz w:val="28"/>
          <w:sz w:val="28"/>
          <w:szCs w:val="28"/>
          <w:rtl w:val="true"/>
          <w:lang w:bidi="ar-SA"/>
        </w:rPr>
        <w:t>بِغُضُونِهْ‌</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إنّهُ‌</w:t>
      </w:r>
      <w:r>
        <w:rPr>
          <w:rStyle w:val="FootnoteAnchor"/>
          <w:rtl w:val="true"/>
        </w:rPr>
        <w:footnoteReference w:id="870"/>
      </w:r>
      <w:r>
        <w:rPr>
          <w:rFonts w:ascii="Amiri" w:hAnsi="Amiri" w:eastAsia="Amiri" w:cs="Amiri"/>
          <w:color w:val="111111"/>
          <w:sz w:val="28"/>
          <w:sz w:val="28"/>
          <w:szCs w:val="28"/>
          <w:rtl w:val="true"/>
          <w:lang w:bidi="ar-SA"/>
        </w:rPr>
        <w:t xml:space="preserve">مِصفاةُ أعلا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مِسكٌ‌</w:t>
      </w:r>
      <w:r>
        <w:rPr>
          <w:rStyle w:val="FootnoteAnchor"/>
          <w:rtl w:val="true"/>
        </w:rPr>
        <w:footnoteReference w:id="871"/>
      </w:r>
      <w:r>
        <w:rPr>
          <w:rFonts w:ascii="Amiri" w:hAnsi="Amiri" w:eastAsia="Amiri" w:cs="Amiri"/>
          <w:color w:val="111111"/>
          <w:sz w:val="28"/>
          <w:sz w:val="28"/>
          <w:szCs w:val="28"/>
          <w:rtl w:val="true"/>
          <w:lang w:bidi="ar-SA"/>
        </w:rPr>
        <w:t>لِبُطُونِهْ‌</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873"/>
      </w:r>
      <w:r>
        <w:rPr>
          <w:rFonts w:ascii="Amiri" w:hAnsi="Amiri" w:eastAsia="Amiri" w:cs="Amiri"/>
          <w:color w:val="111111"/>
          <w:sz w:val="28"/>
          <w:sz w:val="28"/>
          <w:szCs w:val="28"/>
          <w:rtl w:val="true"/>
          <w:lang w:bidi="ar-SA"/>
        </w:rPr>
        <w:t xml:space="preserve">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الأُسكُركةِ‌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الجَعضَلَفُونُ‌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الكوزُ الذي يُشرَبُ فيه الفُقّاعُ‌</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الفَيجَنُ‌</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رَوىٰ‌ أصحابُ الحَديثِ مِن طُرُقٍ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العربِ سَألوا رَسولَ اللّٰهِ صَلَّى اللّٰهُ عليه و آلِه عن الشرابِ المُتَّخَذِ مِن القَمحِ‌،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يُسكِرُ؟</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تَقرَبوه</w:t>
      </w:r>
      <w:r>
        <w:rPr>
          <w:rFonts w:eastAsia="Amiri" w:cs="Amiri" w:ascii="Amiri" w:hAnsi="Amiri"/>
          <w:color w:val="111111"/>
          <w:sz w:val="28"/>
          <w:szCs w:val="28"/>
          <w:rtl w:val="true"/>
          <w:lang w:bidi="ar-SA"/>
        </w:rPr>
        <w:t>».</w:t>
      </w:r>
      <w:r>
        <w:rPr>
          <w:rStyle w:val="FootnoteAnchor"/>
          <w:rtl w:val="true"/>
        </w:rPr>
        <w:footnoteReference w:id="8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يَسألْ في الشرابِ المُتَّخَذِ مِن الشَّعيرِ عن الإسكارِ بَل حَرَّمَ ذلكَ علَى الإطلاقِ‌، و حَرَّمَ الشرابَ الآخَرَ إذا كانَ مُسكِراً؛ فدَلَّ ذلكَ علىٰ أنّ الغُبَيراءَ مُحرَّمةٌ لعَينِها،</w:t>
      </w:r>
      <w:r>
        <w:rPr>
          <w:rStyle w:val="FootnoteAnchor"/>
          <w:rtl w:val="true"/>
        </w:rPr>
        <w:footnoteReference w:id="880"/>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أصحابُ الحَديثِ في كُتُبِهم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w:t>
      </w:r>
      <w:r>
        <w:rPr>
          <w:rStyle w:val="FootnoteAnchor"/>
          <w:rtl w:val="true"/>
        </w:rPr>
        <w:footnoteReference w:id="881"/>
      </w:r>
      <w:r>
        <w:rPr>
          <w:rFonts w:ascii="Amiri" w:hAnsi="Amiri" w:eastAsia="Amiri" w:cs="Amiri"/>
          <w:color w:val="111111"/>
          <w:sz w:val="28"/>
          <w:sz w:val="28"/>
          <w:szCs w:val="28"/>
          <w:rtl w:val="true"/>
          <w:lang w:bidi="ar-SA"/>
        </w:rPr>
        <w:t>اللّٰهِ الأشجَعيَّ‌</w:t>
      </w:r>
      <w:r>
        <w:rPr>
          <w:rStyle w:val="FootnoteAnchor"/>
          <w:rtl w:val="true"/>
        </w:rPr>
        <w:footnoteReference w:id="882"/>
      </w:r>
      <w:r>
        <w:rPr>
          <w:rFonts w:ascii="Amiri" w:hAnsi="Amiri" w:eastAsia="Amiri" w:cs="Amiri"/>
          <w:color w:val="111111"/>
          <w:sz w:val="28"/>
          <w:sz w:val="28"/>
          <w:szCs w:val="28"/>
          <w:rtl w:val="true"/>
          <w:lang w:bidi="ar-SA"/>
        </w:rPr>
        <w:t>كانَ يَكرَهُ الفُقّاعَ‌</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قالَ أحمَدُ بنُ حَنبَلٍ كذلكَ‌، و كانَ ابنُ المُبارَكِ‌</w:t>
      </w:r>
      <w:r>
        <w:rPr>
          <w:rStyle w:val="FootnoteAnchor"/>
          <w:rtl w:val="true"/>
        </w:rPr>
        <w:footnoteReference w:id="884"/>
      </w:r>
      <w:r>
        <w:rPr>
          <w:rFonts w:ascii="Amiri" w:hAnsi="Amiri" w:eastAsia="Amiri" w:cs="Amiri"/>
          <w:color w:val="111111"/>
          <w:sz w:val="28"/>
          <w:sz w:val="28"/>
          <w:szCs w:val="28"/>
          <w:rtl w:val="true"/>
          <w:lang w:bidi="ar-SA"/>
        </w:rPr>
        <w:t>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محمّدٍ الخَطّابيُّ‌، عن ضَمْرةَ‌</w:t>
      </w:r>
      <w:r>
        <w:rPr>
          <w:rStyle w:val="FootnoteAnchor"/>
          <w:rtl w:val="true"/>
        </w:rPr>
        <w:footnoteReference w:id="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نَهىٰ رَسولُ اللّٰهِ صَلَّى اللّٰهُ عليه و آلِه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w:t>
      </w:r>
      <w:r>
        <w:rPr>
          <w:rStyle w:val="FootnoteAnchor"/>
          <w:rtl w:val="true"/>
        </w:rPr>
        <w:footnoteReference w:id="88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w:t>
      </w:r>
      <w:r>
        <w:rPr>
          <w:rStyle w:val="FootnoteAnchor"/>
          <w:rtl w:val="true"/>
        </w:rPr>
        <w:footnoteReference w:id="887"/>
      </w:r>
      <w:r>
        <w:rPr>
          <w:rFonts w:ascii="Amiri" w:hAnsi="Amiri" w:eastAsia="Amiri" w:cs="Amiri"/>
          <w:color w:val="111111"/>
          <w:sz w:val="28"/>
          <w:sz w:val="28"/>
          <w:szCs w:val="28"/>
          <w:rtl w:val="true"/>
          <w:lang w:bidi="ar-SA"/>
        </w:rPr>
        <w:t>مُخالِفينا مع هذه الأخبارِ المَرويّةِ مِن طُرُقِهم أن يُحرِّموا الفُقّاعَ‌، و لا يَلوموا</w:t>
      </w:r>
      <w:r>
        <w:rPr>
          <w:rStyle w:val="FootnoteAnchor"/>
          <w:rtl w:val="true"/>
        </w:rPr>
        <w:footnoteReference w:id="888"/>
      </w:r>
      <w:r>
        <w:rPr>
          <w:rFonts w:ascii="Amiri" w:hAnsi="Amiri" w:eastAsia="Amiri" w:cs="Amiri"/>
          <w:color w:val="111111"/>
          <w:sz w:val="28"/>
          <w:sz w:val="28"/>
          <w:szCs w:val="28"/>
          <w:rtl w:val="true"/>
          <w:lang w:bidi="ar-SA"/>
        </w:rPr>
        <w:t>الإماميّةَ علىٰ تحريمِه</w:t>
      </w:r>
      <w:r>
        <w:rPr>
          <w:rStyle w:val="FootnoteAnchor"/>
          <w:rtl w:val="true"/>
        </w:rPr>
        <w:footnoteReference w:id="889"/>
      </w:r>
      <w:r>
        <w:rPr>
          <w:rFonts w:ascii="Amiri" w:hAnsi="Amiri" w:eastAsia="Amiri" w:cs="Amiri"/>
          <w:color w:val="111111"/>
          <w:sz w:val="28"/>
          <w:sz w:val="28"/>
          <w:szCs w:val="28"/>
          <w:rtl w:val="true"/>
          <w:lang w:bidi="ar-SA"/>
        </w:rPr>
        <w:t>، و لا يُبدِّعوهم</w:t>
      </w:r>
      <w:r>
        <w:rPr>
          <w:rStyle w:val="FootnoteAnchor"/>
          <w:rtl w:val="true"/>
        </w:rPr>
        <w:footnoteReference w:id="890"/>
      </w:r>
      <w:r>
        <w:rPr>
          <w:rFonts w:ascii="Amiri" w:hAnsi="Amiri" w:eastAsia="Amiri" w:cs="Amiri"/>
          <w:color w:val="111111"/>
          <w:sz w:val="28"/>
          <w:sz w:val="28"/>
          <w:szCs w:val="28"/>
          <w:rtl w:val="true"/>
          <w:lang w:bidi="ar-SA"/>
        </w:rPr>
        <w:t>و لا يُعيِّروهم</w:t>
      </w:r>
      <w:r>
        <w:rPr>
          <w:rStyle w:val="FootnoteAnchor"/>
          <w:rtl w:val="true"/>
        </w:rPr>
        <w:footnoteReference w:id="891"/>
      </w:r>
      <w:r>
        <w:rPr>
          <w:rFonts w:ascii="Amiri" w:hAnsi="Amiri" w:eastAsia="Amiri" w:cs="Amiri"/>
          <w:color w:val="111111"/>
          <w:sz w:val="28"/>
          <w:sz w:val="28"/>
          <w:szCs w:val="28"/>
          <w:rtl w:val="true"/>
          <w:lang w:bidi="ar-SA"/>
        </w:rPr>
        <w:t xml:space="preserve">بتحريمِها </w:t>
      </w:r>
    </w:p>
    <w:p>
      <w:pPr>
        <w:pStyle w:val="BookText"/>
        <w:rPr/>
      </w:pPr>
      <w:r>
        <w:rPr>
          <w:rFonts w:ascii="Amiri" w:hAnsi="Amiri" w:eastAsia="Amiri" w:cs="Amiri"/>
          <w:color w:val="111111"/>
          <w:sz w:val="28"/>
          <w:sz w:val="28"/>
          <w:szCs w:val="28"/>
          <w:rtl w:val="true"/>
          <w:lang w:bidi="ar-SA"/>
        </w:rPr>
        <w:t>و النهيِ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شُيوخُهم مالكُ بن أنَسٍ و يَزيدُ</w:t>
      </w:r>
      <w:r>
        <w:rPr>
          <w:rStyle w:val="FootnoteAnchor"/>
          <w:rtl w:val="true"/>
        </w:rPr>
        <w:footnoteReference w:id="892"/>
      </w:r>
      <w:r>
        <w:rPr>
          <w:rFonts w:ascii="Amiri" w:hAnsi="Amiri" w:eastAsia="Amiri" w:cs="Amiri"/>
          <w:color w:val="111111"/>
          <w:sz w:val="28"/>
          <w:sz w:val="28"/>
          <w:szCs w:val="28"/>
          <w:rtl w:val="true"/>
          <w:lang w:bidi="ar-SA"/>
        </w:rPr>
        <w:t>بنُ هارونَ‌</w:t>
      </w:r>
      <w:r>
        <w:rPr>
          <w:rStyle w:val="FootnoteAnchor"/>
          <w:rtl w:val="true"/>
        </w:rPr>
        <w:footnoteReference w:id="893"/>
      </w:r>
      <w:r>
        <w:rPr>
          <w:rFonts w:ascii="Amiri" w:hAnsi="Amiri" w:eastAsia="Amiri" w:cs="Amiri"/>
          <w:color w:val="111111"/>
          <w:sz w:val="28"/>
          <w:sz w:val="28"/>
          <w:szCs w:val="28"/>
          <w:rtl w:val="true"/>
          <w:lang w:bidi="ar-SA"/>
        </w:rPr>
        <w:t>يَكرَهانِه؛</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w:t>
      </w:r>
      <w:r>
        <w:rPr>
          <w:rStyle w:val="FootnoteAnchor"/>
          <w:rtl w:val="true"/>
        </w:rPr>
        <w:footnoteReference w:id="895"/>
      </w:r>
      <w:r>
        <w:rPr>
          <w:rFonts w:ascii="Amiri" w:hAnsi="Amiri" w:eastAsia="Amiri" w:cs="Amiri"/>
          <w:color w:val="111111"/>
          <w:sz w:val="28"/>
          <w:sz w:val="28"/>
          <w:szCs w:val="28"/>
          <w:rtl w:val="true"/>
          <w:lang w:bidi="ar-SA"/>
        </w:rPr>
        <w:t>عبدِ اللّٰهِ المَدِينيُّ‌</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الفُقّاعُ‌، و يُكرَهُ أن يُباعَ في الأسواقِ‌</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ممّن ذَكرناه يَنهىٰ عن شُربِ الفُقّاعِ و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العَصَبيّةُ تُعمي و تُصِمُّ‌</w:t>
      </w:r>
      <w:r>
        <w:rPr>
          <w:rFonts w:eastAsia="Amiri" w:cs="Amiri" w:ascii="Amiri" w:hAnsi="Amiri"/>
          <w:color w:val="111111"/>
          <w:sz w:val="28"/>
          <w:szCs w:val="28"/>
          <w:rtl w:val="true"/>
          <w:lang w:bidi="ar-SA"/>
        </w:rPr>
        <w:t xml:space="preserve">. </w:t>
      </w:r>
      <w:bookmarkStart w:id="178" w:name="pg16415_223815"/>
    </w:p>
    <w:p>
      <w:pPr>
        <w:pStyle w:val="Heading6"/>
        <w:numPr>
          <w:ilvl w:val="5"/>
          <w:numId w:val="1"/>
        </w:numPr>
        <w:rPr/>
      </w:pPr>
      <w:bookmarkStart w:id="179" w:name="__RefHeading___Toc7642350_1280447820"/>
      <w:bookmarkStart w:id="180" w:name="_Toc62"/>
      <w:bookmarkEnd w:id="178"/>
      <w:bookmarkEnd w:id="179"/>
      <w:r>
        <w:rPr>
          <w:rtl w:val="true"/>
        </w:rPr>
        <w:t>المسألةُ الثانيةُ عِلمُ النبيِّ صلى الله عليه و آله بالكِتابةِ و القِراءةِ‌</w:t>
      </w:r>
      <w:bookmarkEnd w:id="180"/>
    </w:p>
    <w:p>
      <w:pPr>
        <w:pStyle w:val="BookText"/>
        <w:rPr/>
      </w:pPr>
      <w:r>
        <w:rPr>
          <w:rFonts w:ascii="Amiri" w:hAnsi="Amiri" w:eastAsia="Amiri" w:cs="Amiri"/>
          <w:color w:val="111111"/>
          <w:sz w:val="28"/>
          <w:sz w:val="28"/>
          <w:szCs w:val="28"/>
          <w:rtl w:val="true"/>
          <w:lang w:bidi="ar-SA"/>
        </w:rPr>
        <w:t>ما الذي يَجِبُ أن يُعتَقَدَ في النبيِّ صَلَّى اللّٰهُ عليه و آلِه، هَل كانَ يُحسِنُ الكِتابةَ و قِراءةَ الكُتُبِ‌</w:t>
      </w:r>
      <w:r>
        <w:rPr>
          <w:rStyle w:val="FootnoteAnchor"/>
          <w:rtl w:val="true"/>
        </w:rPr>
        <w:footnoteReference w:id="898"/>
      </w:r>
      <w:r>
        <w:rPr>
          <w:rFonts w:ascii="Amiri" w:hAnsi="Amiri" w:eastAsia="Amiri" w:cs="Amiri"/>
          <w:color w:val="111111"/>
          <w:sz w:val="28"/>
          <w:sz w:val="28"/>
          <w:szCs w:val="28"/>
          <w:rtl w:val="true"/>
          <w:lang w:bidi="ar-SA"/>
        </w:rPr>
        <w:t>،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يَجِبُ اعتقادهُ في ذلكَ التجويزُ لكَونِه عليه السلامُ عالِماً بالكِتابةِ و قِراءةِ الكُتُبِ‌،</w:t>
      </w:r>
      <w:r>
        <w:rPr>
          <w:rStyle w:val="FootnoteAnchor"/>
          <w:rtl w:val="true"/>
        </w:rPr>
        <w:footnoteReference w:id="899"/>
      </w:r>
      <w:r>
        <w:rPr>
          <w:rFonts w:ascii="Amiri" w:hAnsi="Amiri" w:eastAsia="Amiri" w:cs="Amiri"/>
          <w:color w:val="111111"/>
          <w:sz w:val="28"/>
          <w:sz w:val="28"/>
          <w:szCs w:val="28"/>
          <w:rtl w:val="true"/>
          <w:lang w:bidi="ar-SA"/>
        </w:rPr>
        <w:t>و لكَونِه غيرَ عالِمٍ بذلكَ‌؛ مِن غيرِ قَطعٍ علىٰ أحَدِ الأمرَينِ‌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ذلكَ لأنّ العِلمَ بالكِتابةِ لَيسَ مِن العلومِ التي يُقطَعُ علىٰ أنّ النبيَّ و الإمامَ عليهما السلامُ لا بُدَّ مِن أن يَكونَ عالِماً بها و حائزاً</w:t>
      </w:r>
      <w:r>
        <w:rPr>
          <w:rStyle w:val="FootnoteAnchor"/>
          <w:rtl w:val="true"/>
        </w:rPr>
        <w:footnoteReference w:id="900"/>
      </w:r>
      <w:r>
        <w:rPr>
          <w:rFonts w:ascii="Amiri" w:hAnsi="Amiri" w:eastAsia="Amiri" w:cs="Amiri"/>
          <w:color w:val="111111"/>
          <w:sz w:val="28"/>
          <w:sz w:val="28"/>
          <w:szCs w:val="28"/>
          <w:rtl w:val="true"/>
          <w:lang w:bidi="ar-SA"/>
        </w:rPr>
        <w:t>لها؛ لأنّا إنّما نَقطَعُ في النبيِّ و الإمامِ عليهما السلامُ علىٰ أنّهما لا بُدَّ مِن</w:t>
      </w:r>
      <w:r>
        <w:rPr>
          <w:rStyle w:val="FootnoteAnchor"/>
          <w:rtl w:val="true"/>
        </w:rPr>
        <w:footnoteReference w:id="901"/>
      </w:r>
      <w:r>
        <w:rPr>
          <w:rFonts w:ascii="Amiri" w:hAnsi="Amiri" w:eastAsia="Amiri" w:cs="Amiri"/>
          <w:color w:val="111111"/>
          <w:sz w:val="28"/>
          <w:sz w:val="28"/>
          <w:szCs w:val="28"/>
          <w:rtl w:val="true"/>
          <w:lang w:bidi="ar-SA"/>
        </w:rPr>
        <w:t>أن يَكونَ كُلُّ واحدٍ عالِماً باللّٰهِ تَعالىٰ و أحوالِه و صفاتِه، و ما يَجوزُ عليه و ما لا يَجوزُ، و بجميعِ أُصولِ‌</w:t>
      </w:r>
      <w:r>
        <w:rPr>
          <w:rStyle w:val="FootnoteAnchor"/>
          <w:rtl w:val="true"/>
        </w:rPr>
        <w:footnoteReference w:id="902"/>
      </w:r>
      <w:r>
        <w:rPr>
          <w:rFonts w:ascii="Amiri" w:hAnsi="Amiri" w:eastAsia="Amiri" w:cs="Amiri"/>
          <w:color w:val="111111"/>
          <w:sz w:val="28"/>
          <w:sz w:val="28"/>
          <w:szCs w:val="28"/>
          <w:rtl w:val="true"/>
          <w:lang w:bidi="ar-SA"/>
        </w:rPr>
        <w:t xml:space="preserve">الدياناتِ‌، و بسائرِ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يؤدّيها النبيُّ صَلَّى اللّٰهُ عليه و آلِه </w:t>
      </w:r>
    </w:p>
    <w:p>
      <w:pPr>
        <w:pStyle w:val="BookText"/>
        <w:rPr/>
      </w:pPr>
      <w:r>
        <w:rPr>
          <w:rFonts w:ascii="Amiri" w:hAnsi="Amiri" w:eastAsia="Amiri" w:cs="Amiri"/>
          <w:color w:val="111111"/>
          <w:sz w:val="28"/>
          <w:sz w:val="28"/>
          <w:szCs w:val="28"/>
          <w:rtl w:val="true"/>
          <w:lang w:bidi="ar-SA"/>
        </w:rPr>
        <w:t>و يَحفَظُها</w:t>
      </w:r>
      <w:r>
        <w:rPr>
          <w:rStyle w:val="FootnoteAnchor"/>
          <w:rtl w:val="true"/>
        </w:rPr>
        <w:footnoteReference w:id="903"/>
      </w:r>
      <w:r>
        <w:rPr>
          <w:rFonts w:ascii="Amiri" w:hAnsi="Amiri" w:eastAsia="Amiri" w:cs="Amiri"/>
          <w:color w:val="111111"/>
          <w:sz w:val="28"/>
          <w:sz w:val="28"/>
          <w:szCs w:val="28"/>
          <w:rtl w:val="true"/>
          <w:lang w:bidi="ar-SA"/>
        </w:rPr>
        <w:t>الإمامُ عليه السلامُ و يَتقدَّمُها؛ حتّىٰ لا يَشُذَّ علىٰ كُلِّ واحدٍ منهما مِن ذلكَ شيءٌ‌</w:t>
      </w:r>
      <w:r>
        <w:rPr>
          <w:rStyle w:val="FootnoteAnchor"/>
          <w:rtl w:val="true"/>
        </w:rPr>
        <w:footnoteReference w:id="904"/>
      </w:r>
      <w:r>
        <w:rPr>
          <w:rFonts w:ascii="Amiri" w:hAnsi="Amiri" w:eastAsia="Amiri" w:cs="Amiri"/>
          <w:color w:val="111111"/>
          <w:sz w:val="28"/>
          <w:sz w:val="28"/>
          <w:szCs w:val="28"/>
          <w:rtl w:val="true"/>
          <w:lang w:bidi="ar-SA"/>
        </w:rPr>
        <w:t>يَحتاجُ فيه إلَى استفتاءِ غيرِه، كما يَذهَبُ المُخالِفونَ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905"/>
      </w:r>
      <w:r>
        <w:rPr>
          <w:rFonts w:ascii="Amiri" w:hAnsi="Amiri" w:eastAsia="Amiri" w:cs="Amiri"/>
          <w:color w:val="111111"/>
          <w:sz w:val="28"/>
          <w:sz w:val="28"/>
          <w:szCs w:val="28"/>
          <w:rtl w:val="true"/>
          <w:lang w:bidi="ar-SA"/>
        </w:rPr>
        <w:t>ما عَدا ذلكَ مِن الصِّناعاتِ و الحِرَفِ‌، فلا يَجِبُ أن يَعلَمَ نَبيٌّ أو إمامٌ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 صَنعةٌ‌، كالنِّساجةِ و الصِّياغةِ‌؛ فكَما لا يَجِبُ أن يَعلَمَ ضُروبَ الصِّناعاتِ‌، فكذلك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دَلَّلنا علىٰ هذه المَسألةِ و استَقصَينا الجوابَ عن كُلِّ ما يُسألُ عنه فيها في مَسألةٍ مُفرَدةٍ أملَيناها جواباً لسؤالِ بعضِ الرؤساءِ عنها، و انتَهَينا إلىٰ أبعَدِ الغاياتِ‌؛</w:t>
      </w:r>
      <w:r>
        <w:rPr>
          <w:rStyle w:val="FootnoteAnchor"/>
          <w:rtl w:val="true"/>
        </w:rPr>
        <w:footnoteReference w:id="906"/>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 ذلكَ يؤدّي إلىٰ إيجابِ العِلمِ حَقّاً</w:t>
      </w:r>
      <w:r>
        <w:rPr>
          <w:rStyle w:val="FootnoteAnchor"/>
          <w:rtl w:val="true"/>
        </w:rPr>
        <w:footnoteReference w:id="907"/>
      </w:r>
      <w:r>
        <w:rPr>
          <w:rFonts w:ascii="Amiri" w:hAnsi="Amiri" w:eastAsia="Amiri" w:cs="Amiri"/>
          <w:color w:val="111111"/>
          <w:sz w:val="28"/>
          <w:sz w:val="28"/>
          <w:szCs w:val="28"/>
          <w:rtl w:val="true"/>
          <w:lang w:bidi="ar-SA"/>
        </w:rPr>
        <w:t>بسائرِ المعلوماتِ الغائباتِ و الحاضراتِ‌، و أن يَكونَ كُلُّ واحدٍ مِن النبيِّ و الإمامِ مُحيطاً بمعلوماتِ اللّٰهِ تَعالىٰ كُلِّها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بيّنّا أنّ ذلكَ يؤدّي إلىٰ أن يَكون المُحدَثُ عالِماً لنفسِه، كالقَديمِ تَعالىٰ‌؛ لأنّ العِلمَ الواحدَ لا يَجوزُ أن يَتعلَّقَ بمعلومَينِ‌</w:t>
      </w:r>
      <w:r>
        <w:rPr>
          <w:rStyle w:val="FootnoteAnchor"/>
          <w:rtl w:val="true"/>
        </w:rPr>
        <w:footnoteReference w:id="908"/>
      </w:r>
      <w:r>
        <w:rPr>
          <w:rFonts w:ascii="Amiri" w:hAnsi="Amiri" w:eastAsia="Amiri" w:cs="Amiri"/>
          <w:color w:val="111111"/>
          <w:sz w:val="28"/>
          <w:sz w:val="28"/>
          <w:szCs w:val="28"/>
          <w:rtl w:val="true"/>
          <w:lang w:bidi="ar-SA"/>
        </w:rPr>
        <w:t xml:space="preserve">علىٰ جِهةِ التفصيلِ‌، و كُلُّ معلومٍ مُفصَّلٍ لا بُدَّ له مِن عِلمٍ مُفرَدٍ يَتعلَّقُ به، و أنّ المُحدَثَ لا يَجوزُ أن يَكونَ عالِماً </w:t>
      </w:r>
    </w:p>
    <w:p>
      <w:pPr>
        <w:pStyle w:val="BookText"/>
        <w:rPr/>
      </w:pPr>
      <w:r>
        <w:rPr>
          <w:rFonts w:ascii="Amiri" w:hAnsi="Amiri" w:eastAsia="Amiri" w:cs="Amiri"/>
          <w:color w:val="111111"/>
          <w:sz w:val="28"/>
          <w:sz w:val="28"/>
          <w:szCs w:val="28"/>
          <w:rtl w:val="true"/>
          <w:lang w:bidi="ar-SA"/>
        </w:rPr>
        <w:t>لنفسِه، و لا يَجوزُ</w:t>
      </w:r>
      <w:r>
        <w:rPr>
          <w:rStyle w:val="FootnoteAnchor"/>
          <w:rtl w:val="true"/>
        </w:rPr>
        <w:footnoteReference w:id="909"/>
      </w:r>
      <w:r>
        <w:rPr>
          <w:rFonts w:ascii="Amiri" w:hAnsi="Amiri" w:eastAsia="Amiri" w:cs="Amiri"/>
          <w:color w:val="111111"/>
          <w:sz w:val="28"/>
          <w:sz w:val="28"/>
          <w:szCs w:val="28"/>
          <w:rtl w:val="true"/>
          <w:lang w:bidi="ar-SA"/>
        </w:rPr>
        <w:t>أيضاً وجودُ ما لا نِهايةَ له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w:t>
      </w:r>
      <w:r>
        <w:rPr>
          <w:rStyle w:val="FootnoteAnchor"/>
          <w:rtl w:val="true"/>
        </w:rPr>
        <w:footnoteReference w:id="910"/>
      </w:r>
      <w:r>
        <w:rPr>
          <w:rFonts w:ascii="Amiri" w:hAnsi="Amiri" w:eastAsia="Amiri" w:cs="Amiri"/>
          <w:color w:val="111111"/>
          <w:sz w:val="28"/>
          <w:sz w:val="28"/>
          <w:szCs w:val="28"/>
          <w:rtl w:val="true"/>
          <w:lang w:bidi="ar-SA"/>
        </w:rPr>
        <w:t>قولُ مَن ادَّعىٰ أنّ الإمامَ مُحيطٌ بالمعلوماتِ‌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الصِّناعاتِ و بَينَ الكِتابةِ‌، أنّ الكِتابةَ قد تَتعلَّقُ‌</w:t>
      </w:r>
      <w:r>
        <w:rPr>
          <w:rStyle w:val="FootnoteAnchor"/>
          <w:rtl w:val="true"/>
        </w:rPr>
        <w:footnoteReference w:id="911"/>
      </w:r>
      <w:r>
        <w:rPr>
          <w:rFonts w:ascii="Amiri" w:hAnsi="Amiri" w:eastAsia="Amiri" w:cs="Amiri"/>
          <w:color w:val="111111"/>
          <w:sz w:val="28"/>
          <w:sz w:val="28"/>
          <w:szCs w:val="28"/>
          <w:rtl w:val="true"/>
          <w:lang w:bidi="ar-SA"/>
        </w:rPr>
        <w:t>بها أحكامُ‌</w:t>
      </w:r>
      <w:r>
        <w:rPr>
          <w:rStyle w:val="FootnoteAnchor"/>
          <w:rtl w:val="true"/>
        </w:rPr>
        <w:footnoteReference w:id="912"/>
      </w:r>
      <w:r>
        <w:rPr>
          <w:rFonts w:ascii="Amiri" w:hAnsi="Amiri" w:eastAsia="Amiri" w:cs="Amiri"/>
          <w:color w:val="111111"/>
          <w:sz w:val="28"/>
          <w:sz w:val="28"/>
          <w:szCs w:val="28"/>
          <w:rtl w:val="true"/>
          <w:lang w:bidi="ar-SA"/>
        </w:rPr>
        <w:t>الشرعِ‌، و لَيسَ كذلك باقي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نِساجةٍ أو بِناءٍ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قد يَجوزُ أن يَتعلَّقَ به حُكمٌ شَرعيٌّ كالكِتابةِ‌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مَن استأجَرَ بَنّاءً لِبناءٍ‌</w:t>
      </w:r>
      <w:r>
        <w:rPr>
          <w:rStyle w:val="FootnoteAnchor"/>
          <w:rtl w:val="true"/>
        </w:rPr>
        <w:footnoteReference w:id="913"/>
      </w:r>
      <w:r>
        <w:rPr>
          <w:rFonts w:ascii="Amiri" w:hAnsi="Amiri" w:eastAsia="Amiri" w:cs="Amiri"/>
          <w:color w:val="111111"/>
          <w:sz w:val="28"/>
          <w:sz w:val="28"/>
          <w:szCs w:val="28"/>
          <w:rtl w:val="true"/>
          <w:lang w:bidi="ar-SA"/>
        </w:rPr>
        <w:t xml:space="preserve">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النِّساجةُ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يَختَلِفا؛</w:t>
      </w:r>
      <w:r>
        <w:rPr>
          <w:rStyle w:val="FootnoteAnchor"/>
          <w:rtl w:val="true"/>
        </w:rPr>
        <w:footnoteReference w:id="914"/>
      </w:r>
      <w:r>
        <w:rPr>
          <w:rFonts w:ascii="Amiri" w:hAnsi="Amiri" w:eastAsia="Amiri" w:cs="Amiri"/>
          <w:color w:val="111111"/>
          <w:sz w:val="28"/>
          <w:sz w:val="28"/>
          <w:szCs w:val="28"/>
          <w:rtl w:val="true"/>
          <w:lang w:bidi="ar-SA"/>
        </w:rPr>
        <w:t>فيَقولَ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وَفَيتُ العملَ الذي استؤجِرتُ له؛ و يَقولَ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وَفَيتَ بذلكَ؟</w:t>
      </w:r>
    </w:p>
    <w:p>
      <w:pPr>
        <w:pStyle w:val="BookText"/>
        <w:rPr/>
      </w:pPr>
      <w:r>
        <w:rPr>
          <w:rFonts w:ascii="Amiri" w:hAnsi="Amiri" w:eastAsia="Amiri" w:cs="Amiri"/>
          <w:color w:val="111111"/>
          <w:sz w:val="28"/>
          <w:sz w:val="28"/>
          <w:szCs w:val="28"/>
          <w:rtl w:val="true"/>
          <w:lang w:bidi="ar-SA"/>
        </w:rPr>
        <w:t>فمتىٰ لَم يَكُنِ الإمامُ عالِماً بتلكَ الصِّناعاتِ‌، و مُنتَهياً فيها</w:t>
      </w:r>
      <w:r>
        <w:rPr>
          <w:rStyle w:val="FootnoteAnchor"/>
          <w:rtl w:val="true"/>
        </w:rPr>
        <w:footnoteReference w:id="915"/>
      </w:r>
      <w:r>
        <w:rPr>
          <w:rFonts w:ascii="Amiri" w:hAnsi="Amiri" w:eastAsia="Amiri" w:cs="Amiri"/>
          <w:color w:val="111111"/>
          <w:sz w:val="28"/>
          <w:sz w:val="28"/>
          <w:szCs w:val="28"/>
          <w:rtl w:val="true"/>
          <w:lang w:bidi="ar-SA"/>
        </w:rPr>
        <w:t>إلىٰ أبعَدِ الغاياتِ‌، لَم يُمكِنْه أن يَحكُمَ بَينَ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أهلِ تلكَ الصِّناعةِ‌، فيما اختَلَفا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الكِتابةِ مِثلَ ذلكَ‌، سَواءً‌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بيّنّا في</w:t>
      </w:r>
      <w:r>
        <w:rPr>
          <w:rStyle w:val="FootnoteAnchor"/>
          <w:rtl w:val="true"/>
        </w:rPr>
        <w:footnoteReference w:id="916"/>
      </w:r>
      <w:r>
        <w:rPr>
          <w:rFonts w:ascii="Amiri" w:hAnsi="Amiri" w:eastAsia="Amiri" w:cs="Amiri"/>
          <w:color w:val="111111"/>
          <w:sz w:val="28"/>
          <w:sz w:val="28"/>
          <w:szCs w:val="28"/>
          <w:rtl w:val="true"/>
          <w:lang w:bidi="ar-SA"/>
        </w:rPr>
        <w:t>تلكَ المَسألةِ التي أشَرنا إليها بأنّ‌</w:t>
      </w:r>
      <w:r>
        <w:rPr>
          <w:rStyle w:val="FootnoteAnchor"/>
          <w:rtl w:val="true"/>
        </w:rPr>
        <w:footnoteReference w:id="917"/>
      </w:r>
      <w:r>
        <w:rPr>
          <w:rFonts w:ascii="Amiri" w:hAnsi="Amiri" w:eastAsia="Amiri" w:cs="Amiri"/>
          <w:color w:val="111111"/>
          <w:sz w:val="28"/>
          <w:sz w:val="28"/>
          <w:szCs w:val="28"/>
          <w:rtl w:val="true"/>
          <w:lang w:bidi="ar-SA"/>
        </w:rPr>
        <w:t>هذا يؤدّي إلىٰ‌</w:t>
      </w:r>
      <w:r>
        <w:rPr>
          <w:rStyle w:val="FootnoteAnchor"/>
          <w:rtl w:val="true"/>
        </w:rPr>
        <w:footnoteReference w:id="918"/>
      </w:r>
      <w:r>
        <w:rPr>
          <w:rFonts w:ascii="Amiri" w:hAnsi="Amiri" w:eastAsia="Amiri" w:cs="Amiri"/>
          <w:color w:val="111111"/>
          <w:sz w:val="28"/>
          <w:sz w:val="28"/>
          <w:szCs w:val="28"/>
          <w:rtl w:val="true"/>
          <w:lang w:bidi="ar-SA"/>
        </w:rPr>
        <w:t xml:space="preserve">عِلمِ الإمامِ‌ </w:t>
      </w:r>
    </w:p>
    <w:p>
      <w:pPr>
        <w:pStyle w:val="BookText"/>
        <w:rPr/>
      </w:pPr>
      <w:r>
        <w:rPr>
          <w:rFonts w:ascii="Amiri" w:hAnsi="Amiri" w:eastAsia="Amiri" w:cs="Amiri"/>
          <w:color w:val="111111"/>
          <w:sz w:val="28"/>
          <w:sz w:val="28"/>
          <w:szCs w:val="28"/>
          <w:rtl w:val="true"/>
          <w:lang w:bidi="ar-SA"/>
        </w:rPr>
        <w:t>بصِدقِ‌</w:t>
      </w:r>
      <w:r>
        <w:rPr>
          <w:rStyle w:val="FootnoteAnchor"/>
          <w:rtl w:val="true"/>
        </w:rPr>
        <w:footnoteReference w:id="919"/>
      </w:r>
      <w:r>
        <w:rPr>
          <w:rFonts w:ascii="Amiri" w:hAnsi="Amiri" w:eastAsia="Amiri" w:cs="Amiri"/>
          <w:color w:val="111111"/>
          <w:sz w:val="28"/>
          <w:sz w:val="28"/>
          <w:szCs w:val="28"/>
          <w:rtl w:val="true"/>
          <w:lang w:bidi="ar-SA"/>
        </w:rPr>
        <w:t>الشهادةِ‌</w:t>
      </w:r>
      <w:r>
        <w:rPr>
          <w:rStyle w:val="FootnoteAnchor"/>
          <w:rtl w:val="true"/>
        </w:rPr>
        <w:footnoteReference w:id="920"/>
      </w:r>
      <w:r>
        <w:rPr>
          <w:rFonts w:ascii="Amiri" w:hAnsi="Amiri" w:eastAsia="Amiri" w:cs="Amiri"/>
          <w:color w:val="111111"/>
          <w:sz w:val="28"/>
          <w:sz w:val="28"/>
          <w:szCs w:val="28"/>
          <w:rtl w:val="true"/>
          <w:lang w:bidi="ar-SA"/>
        </w:rPr>
        <w:t>أو كَذِبِه فيما يَشهَدُ به؛ لأنّه إذا جازَ أن يَحكُمَ بشَهادتِه</w:t>
      </w:r>
      <w:r>
        <w:rPr>
          <w:rStyle w:val="FootnoteAnchor"/>
          <w:rtl w:val="true"/>
        </w:rPr>
        <w:footnoteReference w:id="921"/>
      </w:r>
      <w:r>
        <w:rPr>
          <w:rFonts w:ascii="Amiri" w:hAnsi="Amiri" w:eastAsia="Amiri" w:cs="Amiri"/>
          <w:color w:val="111111"/>
          <w:sz w:val="28"/>
          <w:sz w:val="28"/>
          <w:szCs w:val="28"/>
          <w:rtl w:val="true"/>
          <w:lang w:bidi="ar-SA"/>
        </w:rPr>
        <w:t>مع تجويزِ كَونِه كاذباً</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 ألّا جازَ أن يَحكُمَ بقَولِ ذَوي</w:t>
      </w:r>
      <w:r>
        <w:rPr>
          <w:rStyle w:val="FootnoteAnchor"/>
          <w:rtl w:val="true"/>
        </w:rPr>
        <w:footnoteReference w:id="923"/>
      </w:r>
      <w:r>
        <w:rPr>
          <w:rFonts w:ascii="Amiri" w:hAnsi="Amiri" w:eastAsia="Amiri" w:cs="Amiri"/>
          <w:color w:val="111111"/>
          <w:sz w:val="28"/>
          <w:sz w:val="28"/>
          <w:szCs w:val="28"/>
          <w:rtl w:val="true"/>
          <w:lang w:bidi="ar-SA"/>
        </w:rPr>
        <w:t xml:space="preserve">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 المُتلَفاتِ‌، و أُروشِ‌</w:t>
      </w:r>
      <w:r>
        <w:rPr>
          <w:rStyle w:val="FootnoteAnchor"/>
          <w:rtl w:val="true"/>
        </w:rPr>
        <w:footnoteReference w:id="924"/>
      </w:r>
      <w:r>
        <w:rPr>
          <w:rFonts w:ascii="Amiri" w:hAnsi="Amiri" w:eastAsia="Amiri" w:cs="Amiri"/>
          <w:color w:val="111111"/>
          <w:sz w:val="28"/>
          <w:sz w:val="28"/>
          <w:szCs w:val="28"/>
          <w:rtl w:val="true"/>
          <w:lang w:bidi="ar-SA"/>
        </w:rPr>
        <w:t>الجِناياتِ‌، و كُلِّ شَيءٍ اختُلِفَ‌</w:t>
      </w:r>
      <w:r>
        <w:rPr>
          <w:rStyle w:val="FootnoteAnchor"/>
          <w:rtl w:val="true"/>
        </w:rPr>
        <w:footnoteReference w:id="925"/>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له تَعلُّقٌ بالصِّناعاتِ‌، و إن جازَ الخَطأُ علَى المُقوِّمينَ؟</w:t>
      </w:r>
    </w:p>
    <w:p>
      <w:pPr>
        <w:pStyle w:val="BookText"/>
        <w:rPr/>
      </w:pPr>
      <w:r>
        <w:rPr>
          <w:rFonts w:ascii="Amiri" w:hAnsi="Amiri" w:eastAsia="Amiri" w:cs="Amiri"/>
          <w:color w:val="111111"/>
          <w:sz w:val="28"/>
          <w:sz w:val="28"/>
          <w:szCs w:val="28"/>
          <w:rtl w:val="true"/>
          <w:lang w:bidi="ar-SA"/>
        </w:rPr>
        <w:t>و بيّنّا أنّ ارتكابَ ذلكَ يؤدّي إلىٰ كُلِّ جَهالةٍ و ضَلالةٍ‌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رَوىٰ أصحابُكم أنّ النبيَّ صَلَّى اللّٰهُ عليه و آلِه في يَومِ الحُدَيبِيَةِ لمّا كُتِبَ بَينَه و</w:t>
      </w:r>
      <w:r>
        <w:rPr>
          <w:rStyle w:val="FootnoteAnchor"/>
          <w:rtl w:val="true"/>
        </w:rPr>
        <w:footnoteReference w:id="926"/>
      </w:r>
      <w:r>
        <w:rPr>
          <w:rFonts w:ascii="Amiri" w:hAnsi="Amiri" w:eastAsia="Amiri" w:cs="Amiri"/>
          <w:color w:val="111111"/>
          <w:sz w:val="28"/>
          <w:sz w:val="28"/>
          <w:szCs w:val="28"/>
          <w:rtl w:val="true"/>
          <w:lang w:bidi="ar-SA"/>
        </w:rPr>
        <w:t>بَينَ سُهَيلِ بنِ عَمرٍو</w:t>
      </w:r>
      <w:r>
        <w:rPr>
          <w:rStyle w:val="FootnoteAnchor"/>
          <w:rtl w:val="true"/>
        </w:rPr>
        <w:footnoteReference w:id="927"/>
      </w:r>
      <w:r>
        <w:rPr>
          <w:rFonts w:ascii="Amiri" w:hAnsi="Amiri" w:eastAsia="Amiri" w:cs="Amiri"/>
          <w:color w:val="111111"/>
          <w:sz w:val="28"/>
          <w:sz w:val="28"/>
          <w:szCs w:val="28"/>
          <w:rtl w:val="true"/>
          <w:lang w:bidi="ar-SA"/>
        </w:rPr>
        <w:t>كتابُ‌</w:t>
      </w:r>
      <w:r>
        <w:rPr>
          <w:rStyle w:val="FootnoteAnchor"/>
          <w:rtl w:val="true"/>
        </w:rPr>
        <w:footnoteReference w:id="928"/>
      </w:r>
      <w:r>
        <w:rPr>
          <w:rFonts w:ascii="Amiri" w:hAnsi="Amiri" w:eastAsia="Amiri" w:cs="Amiri"/>
          <w:color w:val="111111"/>
          <w:sz w:val="28"/>
          <w:sz w:val="28"/>
          <w:szCs w:val="28"/>
          <w:rtl w:val="true"/>
          <w:lang w:bidi="ar-SA"/>
        </w:rPr>
        <w:t>مُواعَدةٍ‌</w:t>
      </w:r>
      <w:r>
        <w:rPr>
          <w:rStyle w:val="FootnoteAnchor"/>
          <w:rtl w:val="true"/>
        </w:rPr>
        <w:footnoteReference w:id="929"/>
      </w:r>
      <w:r>
        <w:rPr>
          <w:rFonts w:ascii="Amiri" w:hAnsi="Amiri" w:eastAsia="Amiri" w:cs="Amiri"/>
          <w:color w:val="111111"/>
          <w:sz w:val="28"/>
          <w:sz w:val="28"/>
          <w:szCs w:val="28"/>
          <w:rtl w:val="true"/>
          <w:lang w:bidi="ar-SA"/>
        </w:rPr>
        <w:t>، و جَرىٰ مِن سُهَيلٍ ما جَرىٰ من إنكارِ ذِكرِ النبيِّ عليه السلامُ بالنبوّةِ‌، و امتَنَعَ أميرُ المؤمنينَ عليه السلامُ ممّا</w:t>
      </w:r>
      <w:r>
        <w:rPr>
          <w:rStyle w:val="FootnoteAnchor"/>
          <w:rtl w:val="true"/>
        </w:rPr>
        <w:footnoteReference w:id="930"/>
      </w:r>
      <w:r>
        <w:rPr>
          <w:rFonts w:ascii="Amiri" w:hAnsi="Amiri" w:eastAsia="Amiri" w:cs="Amiri"/>
          <w:color w:val="111111"/>
          <w:sz w:val="28"/>
          <w:sz w:val="28"/>
          <w:szCs w:val="28"/>
          <w:rtl w:val="true"/>
          <w:lang w:bidi="ar-SA"/>
        </w:rPr>
        <w:t>اقتَرَحَ‌</w:t>
      </w:r>
      <w:r>
        <w:rPr>
          <w:rStyle w:val="FootnoteAnchor"/>
          <w:rtl w:val="true"/>
        </w:rPr>
        <w:footnoteReference w:id="931"/>
      </w:r>
      <w:r>
        <w:rPr>
          <w:rFonts w:ascii="Amiri" w:hAnsi="Amiri" w:eastAsia="Amiri" w:cs="Amiri"/>
          <w:color w:val="111111"/>
          <w:sz w:val="28"/>
          <w:sz w:val="28"/>
          <w:szCs w:val="28"/>
          <w:rtl w:val="true"/>
          <w:lang w:bidi="ar-SA"/>
        </w:rPr>
        <w:t>سُهَيلٌ‌، كَتَبَ صَلَّى اللّٰهُ عليه و آلِه بيَدِه</w:t>
      </w:r>
      <w:r>
        <w:rPr>
          <w:rStyle w:val="FootnoteAnchor"/>
          <w:rtl w:val="true"/>
        </w:rPr>
        <w:footnoteReference w:id="932"/>
      </w:r>
      <w:r>
        <w:rPr>
          <w:rFonts w:ascii="Amiri" w:hAnsi="Amiri" w:eastAsia="Amiri" w:cs="Amiri"/>
          <w:color w:val="111111"/>
          <w:sz w:val="28"/>
          <w:sz w:val="28"/>
          <w:szCs w:val="28"/>
          <w:rtl w:val="true"/>
          <w:lang w:bidi="ar-SA"/>
        </w:rPr>
        <w:t xml:space="preserve">في الكتابِ؟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رُويَ في أخبارِ الآحادِ، و لَيسَ بمقطوعٍ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أَنكَرنا القَطعَ‌، و نَحنُ مُجوِّزونَ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السلامُ كانَ يُحسِنُ الكِتابةَ‌، كما نُجوِّزُ</w:t>
      </w:r>
      <w:r>
        <w:rPr>
          <w:rStyle w:val="FootnoteAnchor"/>
          <w:rtl w:val="true"/>
        </w:rPr>
        <w:footnoteReference w:id="933"/>
      </w:r>
      <w:r>
        <w:rPr>
          <w:rFonts w:ascii="Amiri" w:hAnsi="Amiri" w:eastAsia="Amiri" w:cs="Amiri"/>
          <w:color w:val="111111"/>
          <w:sz w:val="28"/>
          <w:sz w:val="28"/>
          <w:szCs w:val="28"/>
          <w:rtl w:val="true"/>
          <w:lang w:bidi="ar-SA"/>
        </w:rPr>
        <w:t>أن لا يَكونَ يُحسِنُها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إنّما تَدُلُّ علىٰ أنّه عليه و آلِه</w:t>
      </w:r>
      <w:r>
        <w:rPr>
          <w:rStyle w:val="FootnoteAnchor"/>
          <w:rtl w:val="true"/>
        </w:rPr>
        <w:footnoteReference w:id="935"/>
      </w:r>
      <w:r>
        <w:rPr>
          <w:rFonts w:ascii="Amiri" w:hAnsi="Amiri" w:eastAsia="Amiri" w:cs="Amiri"/>
          <w:color w:val="111111"/>
          <w:sz w:val="28"/>
          <w:sz w:val="28"/>
          <w:szCs w:val="28"/>
          <w:rtl w:val="true"/>
          <w:lang w:bidi="ar-SA"/>
        </w:rPr>
        <w:t xml:space="preserve">السلامُ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الكِتابةَ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يَذهَبُ أصحابُنا؛</w:t>
      </w:r>
      <w:r>
        <w:rPr>
          <w:rStyle w:val="FootnoteAnchor"/>
          <w:rtl w:val="true"/>
        </w:rPr>
        <w:footnoteReference w:id="936"/>
      </w:r>
      <w:r>
        <w:rPr>
          <w:rFonts w:ascii="Amiri" w:hAnsi="Amiri" w:eastAsia="Amiri" w:cs="Amiri"/>
          <w:color w:val="111111"/>
          <w:sz w:val="28"/>
          <w:sz w:val="28"/>
          <w:szCs w:val="28"/>
          <w:rtl w:val="true"/>
          <w:lang w:bidi="ar-SA"/>
        </w:rPr>
        <w:t>فإنّهم يَعتَقِدونَ‌</w:t>
      </w:r>
      <w:r>
        <w:rPr>
          <w:rStyle w:val="FootnoteAnchor"/>
          <w:rtl w:val="true"/>
        </w:rPr>
        <w:footnoteReference w:id="937"/>
      </w:r>
      <w:r>
        <w:rPr>
          <w:rFonts w:ascii="Amiri" w:hAnsi="Amiri" w:eastAsia="Amiri" w:cs="Amiri"/>
          <w:color w:val="111111"/>
          <w:sz w:val="28"/>
          <w:sz w:val="28"/>
          <w:szCs w:val="28"/>
          <w:rtl w:val="true"/>
          <w:lang w:bidi="ar-SA"/>
        </w:rPr>
        <w:t>أنّه عليه السلامُ ما كانَ يُحسِنُها قَبلَ البِعثةِ‌، و أنّه تَعلَّمَها مِن جَبرَئيلَ عليه السلامُ بَعدَ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يَقتَضي</w:t>
      </w:r>
      <w:r>
        <w:rPr>
          <w:rStyle w:val="FootnoteAnchor"/>
          <w:rtl w:val="true"/>
        </w:rPr>
        <w:footnoteReference w:id="938"/>
      </w:r>
      <w:r>
        <w:rPr>
          <w:rFonts w:ascii="Amiri" w:hAnsi="Amiri" w:eastAsia="Amiri" w:cs="Amiri"/>
          <w:color w:val="111111"/>
          <w:sz w:val="28"/>
          <w:sz w:val="28"/>
          <w:szCs w:val="28"/>
          <w:rtl w:val="true"/>
          <w:lang w:bidi="ar-SA"/>
        </w:rPr>
        <w:t>ذلكَ‌؛ لأنّ النفيَ تَعلَّقَ بما قَبلَ النبوّةِ‌، دونَ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التعليلَ أيضاً يَقتَضي اختصاصَ النفيِ بما قَبلَ النبوّةِ‌؛ لأنّ‌</w:t>
      </w:r>
      <w:r>
        <w:rPr>
          <w:rStyle w:val="FootnoteAnchor"/>
          <w:rtl w:val="true"/>
        </w:rPr>
        <w:footnoteReference w:id="939"/>
      </w:r>
      <w:r>
        <w:rPr>
          <w:rFonts w:ascii="Amiri" w:hAnsi="Amiri" w:eastAsia="Amiri" w:cs="Amiri"/>
          <w:color w:val="111111"/>
          <w:sz w:val="28"/>
          <w:sz w:val="28"/>
          <w:szCs w:val="28"/>
          <w:rtl w:val="true"/>
          <w:lang w:bidi="ar-SA"/>
        </w:rPr>
        <w:t xml:space="preserve">المُبطِلينَ و المُشكِّكينَ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يَرتابونَ‌</w:t>
      </w:r>
      <w:r>
        <w:rPr>
          <w:rStyle w:val="FootnoteAnchor"/>
          <w:rtl w:val="true"/>
        </w:rPr>
        <w:footnoteReference w:id="940"/>
      </w:r>
      <w:r>
        <w:rPr>
          <w:rFonts w:ascii="Amiri" w:hAnsi="Amiri" w:eastAsia="Amiri" w:cs="Amiri"/>
          <w:color w:val="111111"/>
          <w:sz w:val="28"/>
          <w:sz w:val="28"/>
          <w:szCs w:val="28"/>
          <w:rtl w:val="true"/>
          <w:lang w:bidi="ar-SA"/>
        </w:rPr>
        <w:t>في نُبوّتِه عليه السلامُ لَو كانَ يُحسِنُ الكِتابةَ قَبلَ النبوّةِ‌، فأمّا</w:t>
      </w:r>
      <w:r>
        <w:rPr>
          <w:rStyle w:val="FootnoteAnchor"/>
          <w:rtl w:val="true"/>
        </w:rPr>
        <w:footnoteReference w:id="941"/>
      </w:r>
      <w:r>
        <w:rPr>
          <w:rFonts w:ascii="Amiri" w:hAnsi="Amiri" w:eastAsia="Amiri" w:cs="Amiri"/>
          <w:color w:val="111111"/>
          <w:sz w:val="28"/>
          <w:sz w:val="28"/>
          <w:szCs w:val="28"/>
          <w:rtl w:val="true"/>
          <w:lang w:bidi="ar-SA"/>
        </w:rPr>
        <w:t>بَعدَ النبوّةِ فلا تَعلُّقَ له بالريبةِ و التُّهَمةِ‌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Style w:val="FootnoteAnchor"/>
          <w:rtl w:val="true"/>
        </w:rPr>
        <w:footnoteReference w:id="942"/>
      </w:r>
      <w:r>
        <w:rPr>
          <w:rFonts w:ascii="Amiri" w:hAnsi="Amiri" w:eastAsia="Amiri" w:cs="Amiri"/>
          <w:color w:val="111111"/>
          <w:sz w:val="28"/>
          <w:sz w:val="28"/>
          <w:szCs w:val="28"/>
          <w:rtl w:val="true"/>
          <w:lang w:bidi="ar-SA"/>
        </w:rPr>
        <w:t xml:space="preserve">أينَ يُعلَمُ أنّه عليه السلامُ ما كانَ يُحسِنُ الكِتابةَ قَبلَ النبوّةِ؟ و إذا </w:t>
      </w:r>
    </w:p>
    <w:p>
      <w:pPr>
        <w:pStyle w:val="BookText"/>
        <w:rPr/>
      </w:pPr>
      <w:r>
        <w:rPr>
          <w:rFonts w:ascii="Amiri" w:hAnsi="Amiri" w:eastAsia="Amiri" w:cs="Amiri"/>
          <w:color w:val="111111"/>
          <w:sz w:val="28"/>
          <w:sz w:val="28"/>
          <w:szCs w:val="28"/>
          <w:rtl w:val="true"/>
          <w:lang w:bidi="ar-SA"/>
        </w:rPr>
        <w:t>كانَ عندَكم أنّه</w:t>
      </w:r>
      <w:r>
        <w:rPr>
          <w:rStyle w:val="FootnoteAnchor"/>
          <w:rtl w:val="true"/>
        </w:rPr>
        <w:footnoteReference w:id="943"/>
      </w:r>
      <w:r>
        <w:rPr>
          <w:rFonts w:ascii="Amiri" w:hAnsi="Amiri" w:eastAsia="Amiri" w:cs="Amiri"/>
          <w:color w:val="111111"/>
          <w:sz w:val="28"/>
          <w:sz w:val="28"/>
          <w:szCs w:val="28"/>
          <w:rtl w:val="true"/>
          <w:lang w:bidi="ar-SA"/>
        </w:rPr>
        <w:t>قد أحسَنَها بَعدَ النبوّةِ‌، فلَعلَّ‌</w:t>
      </w:r>
      <w:r>
        <w:rPr>
          <w:rStyle w:val="FootnoteAnchor"/>
          <w:rtl w:val="true"/>
        </w:rPr>
        <w:footnoteReference w:id="944"/>
      </w:r>
      <w:r>
        <w:rPr>
          <w:rFonts w:ascii="Amiri" w:hAnsi="Amiri" w:eastAsia="Amiri" w:cs="Amiri"/>
          <w:color w:val="111111"/>
          <w:sz w:val="28"/>
          <w:sz w:val="28"/>
          <w:szCs w:val="28"/>
          <w:rtl w:val="true"/>
          <w:lang w:bidi="ar-SA"/>
        </w:rPr>
        <w:t>هذا العِلمَ كانَ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نَعلَمُ أنّه عليه السلامُ ما كانَ يُحسِنُ الكِتابةَ قَبلَ النبوّةِ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إنّما تَكونُ حُجّةً و موجِبةً للعِلمِ إذا صَحَّت النبوّةُ‌؛ فكَيفَ يُجعَلُ نفيُ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النبوّةِ‌، و هو مَبنيٌّ عليها؟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أن يُعتَمَدَ عليه في أنّه عليه السلامُ ما كانَ‌</w:t>
      </w:r>
      <w:r>
        <w:rPr>
          <w:rStyle w:val="FootnoteAnchor"/>
          <w:rtl w:val="true"/>
        </w:rPr>
        <w:footnoteReference w:id="946"/>
      </w:r>
      <w:r>
        <w:rPr>
          <w:rFonts w:ascii="Amiri" w:hAnsi="Amiri" w:eastAsia="Amiri" w:cs="Amiri"/>
          <w:color w:val="111111"/>
          <w:sz w:val="28"/>
          <w:sz w:val="28"/>
          <w:szCs w:val="28"/>
          <w:rtl w:val="true"/>
          <w:lang w:bidi="ar-SA"/>
        </w:rPr>
        <w:t xml:space="preserve">يُحسِنُ الكِتابةَ و القِراءةَ قَبلَ النبوّةِ‌، هو أنّه لَو كانَ يُحسِنُها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نَطَقَ القُرآنُ الذي أتىٰ بنَفيِ ذلكَ عنه عليه السلامُ قَبلَ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947"/>
      </w:r>
      <w:r>
        <w:rPr>
          <w:rFonts w:ascii="Amiri" w:hAnsi="Amiri" w:eastAsia="Amiri" w:cs="Amiri"/>
          <w:color w:val="111111"/>
          <w:sz w:val="28"/>
          <w:sz w:val="28"/>
          <w:szCs w:val="28"/>
          <w:rtl w:val="true"/>
          <w:lang w:bidi="ar-SA"/>
        </w:rPr>
        <w:t>جازَ</w:t>
      </w:r>
      <w:r>
        <w:rPr>
          <w:rStyle w:val="FootnoteAnchor"/>
          <w:rtl w:val="true"/>
        </w:rPr>
        <w:footnoteReference w:id="948"/>
      </w:r>
      <w:r>
        <w:rPr>
          <w:rFonts w:ascii="Amiri" w:hAnsi="Amiri" w:eastAsia="Amiri" w:cs="Amiri"/>
          <w:color w:val="111111"/>
          <w:sz w:val="28"/>
          <w:sz w:val="28"/>
          <w:szCs w:val="28"/>
          <w:rtl w:val="true"/>
          <w:lang w:bidi="ar-SA"/>
        </w:rPr>
        <w:t>أن تَخفَى</w:t>
      </w:r>
      <w:r>
        <w:rPr>
          <w:rStyle w:val="FootnoteAnchor"/>
          <w:rtl w:val="true"/>
        </w:rPr>
        <w:footnoteReference w:id="949"/>
      </w:r>
      <w:r>
        <w:rPr>
          <w:rFonts w:ascii="Amiri" w:hAnsi="Amiri" w:eastAsia="Amiri" w:cs="Amiri"/>
          <w:color w:val="111111"/>
          <w:sz w:val="28"/>
          <w:sz w:val="28"/>
          <w:szCs w:val="28"/>
          <w:rtl w:val="true"/>
          <w:lang w:bidi="ar-SA"/>
        </w:rPr>
        <w:t>الحالُ فيه مع التتبُّعِ و التفتيشِ و التنقيرِ؛ لأنّ هذه الأُمورَ</w:t>
      </w:r>
      <w:r>
        <w:rPr>
          <w:rStyle w:val="FootnoteAnchor"/>
          <w:rtl w:val="true"/>
        </w:rPr>
        <w:footnoteReference w:id="950"/>
      </w:r>
      <w:r>
        <w:rPr>
          <w:rFonts w:ascii="Amiri" w:hAnsi="Amiri" w:eastAsia="Amiri" w:cs="Amiri"/>
          <w:color w:val="111111"/>
          <w:sz w:val="28"/>
          <w:sz w:val="28"/>
          <w:szCs w:val="28"/>
          <w:rtl w:val="true"/>
          <w:lang w:bidi="ar-SA"/>
        </w:rPr>
        <w:t>إنّما يَجوزُ أن تَخفىٰ‌</w:t>
      </w:r>
      <w:r>
        <w:rPr>
          <w:rStyle w:val="FootnoteAnchor"/>
          <w:rtl w:val="true"/>
        </w:rPr>
        <w:footnoteReference w:id="951"/>
      </w:r>
      <w:r>
        <w:rPr>
          <w:rFonts w:ascii="Amiri" w:hAnsi="Amiri" w:eastAsia="Amiri" w:cs="Amiri"/>
          <w:color w:val="111111"/>
          <w:sz w:val="28"/>
          <w:sz w:val="28"/>
          <w:szCs w:val="28"/>
          <w:rtl w:val="true"/>
          <w:lang w:bidi="ar-SA"/>
        </w:rPr>
        <w:t>مع عَدَمِ الدواعي إلىٰ كَشفِها، و مع الغَفلةِ عنها و الإعراضِ عن تأمُّلِ أحوالِها، فأمّا</w:t>
      </w:r>
      <w:r>
        <w:rPr>
          <w:rStyle w:val="FootnoteAnchor"/>
          <w:rtl w:val="true"/>
        </w:rPr>
        <w:footnoteReference w:id="952"/>
      </w:r>
      <w:r>
        <w:rPr>
          <w:rFonts w:ascii="Amiri" w:hAnsi="Amiri" w:eastAsia="Amiri" w:cs="Amiri"/>
          <w:color w:val="111111"/>
          <w:sz w:val="28"/>
          <w:sz w:val="28"/>
          <w:szCs w:val="28"/>
          <w:rtl w:val="true"/>
          <w:lang w:bidi="ar-SA"/>
        </w:rPr>
        <w:t>إذا قَوِيَت الدواعي و تَوفَّرَت البَواعِثُ علىٰ كَشفِ حقيقةِ الحالِ‌، و تَعلَّقَ بذلكَ‌</w:t>
      </w:r>
      <w:r>
        <w:rPr>
          <w:rStyle w:val="FootnoteAnchor"/>
          <w:rtl w:val="true"/>
        </w:rPr>
        <w:footnoteReference w:id="953"/>
      </w:r>
      <w:r>
        <w:rPr>
          <w:rFonts w:ascii="Amiri" w:hAnsi="Amiri" w:eastAsia="Amiri" w:cs="Amiri"/>
          <w:color w:val="111111"/>
          <w:sz w:val="28"/>
          <w:sz w:val="28"/>
          <w:szCs w:val="28"/>
          <w:rtl w:val="true"/>
          <w:lang w:bidi="ar-SA"/>
        </w:rPr>
        <w:t>دعوىٰ مُدَّعٍ بمُعجِزةٍ‌، فلا بُدَّ مِن الفَحصِ و التفتيشِ‌؛ و معهما</w:t>
      </w:r>
      <w:r>
        <w:rPr>
          <w:rStyle w:val="FootnoteAnchor"/>
          <w:rtl w:val="true"/>
        </w:rPr>
        <w:footnoteReference w:id="954"/>
      </w:r>
      <w:r>
        <w:rPr>
          <w:rFonts w:ascii="Amiri" w:hAnsi="Amiri" w:eastAsia="Amiri" w:cs="Amiri"/>
          <w:color w:val="111111"/>
          <w:sz w:val="28"/>
          <w:sz w:val="28"/>
          <w:szCs w:val="28"/>
          <w:rtl w:val="true"/>
          <w:lang w:bidi="ar-SA"/>
        </w:rPr>
        <w:t>لا بُدَّ مِن ظهورِ حقيقةِ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كانَ يُحسِنُ القِراءةَ و الكِتابةَ‌، لا بُدَّ مِن</w:t>
      </w:r>
      <w:r>
        <w:rPr>
          <w:rStyle w:val="FootnoteAnchor"/>
          <w:rtl w:val="true"/>
        </w:rPr>
        <w:footnoteReference w:id="955"/>
      </w:r>
      <w:r>
        <w:rPr>
          <w:rFonts w:ascii="Amiri" w:hAnsi="Amiri" w:eastAsia="Amiri" w:cs="Amiri"/>
          <w:color w:val="111111"/>
          <w:sz w:val="28"/>
          <w:sz w:val="28"/>
          <w:szCs w:val="28"/>
          <w:rtl w:val="true"/>
          <w:lang w:bidi="ar-SA"/>
        </w:rPr>
        <w:t>أن يَكونَ قد تَعلَّمَهما</w:t>
      </w:r>
      <w:r>
        <w:rPr>
          <w:rStyle w:val="FootnoteAnchor"/>
          <w:rtl w:val="true"/>
        </w:rPr>
        <w:footnoteReference w:id="956"/>
      </w:r>
      <w:r>
        <w:rPr>
          <w:rFonts w:ascii="Amiri" w:hAnsi="Amiri" w:eastAsia="Amiri" w:cs="Amiri"/>
          <w:color w:val="111111"/>
          <w:sz w:val="28"/>
          <w:sz w:val="28"/>
          <w:szCs w:val="28"/>
          <w:rtl w:val="true"/>
          <w:lang w:bidi="ar-SA"/>
        </w:rPr>
        <w:t>أو أحَدَهما</w:t>
      </w:r>
      <w:r>
        <w:rPr>
          <w:rStyle w:val="FootnoteAnchor"/>
          <w:rtl w:val="true"/>
        </w:rPr>
        <w:footnoteReference w:id="957"/>
      </w:r>
      <w:r>
        <w:rPr>
          <w:rFonts w:ascii="Amiri" w:hAnsi="Amiri" w:eastAsia="Amiri" w:cs="Amiri"/>
          <w:color w:val="111111"/>
          <w:sz w:val="28"/>
          <w:sz w:val="28"/>
          <w:szCs w:val="28"/>
          <w:rtl w:val="true"/>
          <w:lang w:bidi="ar-SA"/>
        </w:rPr>
        <w:t>مِن مُوقِفٍ و مُعرِّفٍ‌، و الذينَ كانوا يُحسِنونَ الكِتابةَ مِن العَرَبِ في ذلكَ الزمانِ مَعدودونَ قَليلونَ‌؛ فمَن</w:t>
      </w:r>
      <w:r>
        <w:rPr>
          <w:rStyle w:val="FootnoteAnchor"/>
          <w:rtl w:val="true"/>
        </w:rPr>
        <w:footnoteReference w:id="958"/>
      </w:r>
      <w:r>
        <w:rPr>
          <w:rFonts w:ascii="Amiri" w:hAnsi="Amiri" w:eastAsia="Amiri" w:cs="Amiri"/>
          <w:color w:val="111111"/>
          <w:sz w:val="28"/>
          <w:sz w:val="28"/>
          <w:szCs w:val="28"/>
          <w:rtl w:val="true"/>
          <w:lang w:bidi="ar-SA"/>
        </w:rPr>
        <w:t>تَعلَّمَ مِن أحَدِهم و كُشِفَ عن أمرِه علىٰ طولِ الأيّامِ لا بُدَّ مِن ظهورِ حالِه بمُقتَضَى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تَدُلُّ علىٰ أنّه عليه السلامُ ما كانَ يُحسِنُ الكِتابةَ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اللّٰهُ تَعالىٰ نبيَّه صَلَّى اللّٰهُ عليه و آلِه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مِن القُرآنِ‌</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يُحسِنُ الكِتابةَ‌، فكَيفَ تَقولونَ إنّه عليه السلامُ أحسَنَها بَعدَ النبوّةِ؟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القاطعونَ علىٰ أنّه عليه السلامُ كانَ يُحسِنُ الكِتابةَ بَعدَ النبوّةِ‌، فإنّهم يُجيبونَ عن هذا السؤالِ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يُحسِنُ الكِتابةَ‌؛ و إنّما أرادَ اللّٰهُ تَعالىٰ نِسبتَه إلىٰ أُمِّ القُرىٰ‌؛ لأنّ‌</w:t>
      </w:r>
      <w:r>
        <w:rPr>
          <w:rStyle w:val="FootnoteAnchor"/>
          <w:rtl w:val="true"/>
        </w:rPr>
        <w:footnoteReference w:id="961"/>
      </w:r>
      <w:r>
        <w:rPr>
          <w:rFonts w:ascii="Amiri" w:hAnsi="Amiri" w:eastAsia="Amiri" w:cs="Amiri"/>
          <w:color w:val="111111"/>
          <w:sz w:val="28"/>
          <w:sz w:val="28"/>
          <w:szCs w:val="28"/>
          <w:rtl w:val="true"/>
          <w:lang w:bidi="ar-SA"/>
        </w:rPr>
        <w:t xml:space="preserve">مِن أسماءِ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النسبةُ مُحتَمِلةً لأمرَينِ‌، لَم يَجُز أن تَقطَعوا</w:t>
      </w:r>
      <w:r>
        <w:rPr>
          <w:rStyle w:val="FootnoteAnchor"/>
          <w:rtl w:val="true"/>
        </w:rPr>
        <w:footnoteReference w:id="962"/>
      </w:r>
      <w:r>
        <w:rPr>
          <w:rFonts w:ascii="Amiri" w:hAnsi="Amiri" w:eastAsia="Amiri" w:cs="Amiri"/>
          <w:color w:val="111111"/>
          <w:sz w:val="28"/>
          <w:sz w:val="28"/>
          <w:szCs w:val="28"/>
          <w:rtl w:val="true"/>
          <w:lang w:bidi="ar-SA"/>
        </w:rPr>
        <w:t>علىٰ أحَدِهما بغَيرِ دليلٍ‌</w:t>
      </w:r>
      <w:r>
        <w:rPr>
          <w:rFonts w:eastAsia="Amiri" w:cs="Amiri" w:ascii="Amiri" w:hAnsi="Amiri"/>
          <w:color w:val="111111"/>
          <w:sz w:val="28"/>
          <w:szCs w:val="28"/>
          <w:rtl w:val="true"/>
          <w:lang w:bidi="ar-SA"/>
        </w:rPr>
        <w:t xml:space="preserve">. </w:t>
      </w:r>
      <w:bookmarkStart w:id="181" w:name="pg16415_223822"/>
    </w:p>
    <w:p>
      <w:pPr>
        <w:pStyle w:val="Heading6"/>
        <w:numPr>
          <w:ilvl w:val="5"/>
          <w:numId w:val="1"/>
        </w:numPr>
        <w:rPr/>
      </w:pPr>
      <w:bookmarkStart w:id="182" w:name="__RefHeading___Toc7642352_1280447820"/>
      <w:bookmarkStart w:id="183" w:name="_Toc63"/>
      <w:bookmarkEnd w:id="181"/>
      <w:bookmarkEnd w:id="182"/>
      <w:r>
        <w:rPr>
          <w:rtl w:val="true"/>
        </w:rPr>
        <w:t>المَسألةُ الثالثةُ تفضيلُ الأنبياءِ علَى المَلائكةِ‌</w:t>
      </w:r>
      <w:bookmarkEnd w:id="183"/>
    </w:p>
    <w:p>
      <w:pPr>
        <w:pStyle w:val="Heading6"/>
        <w:numPr>
          <w:ilvl w:val="5"/>
          <w:numId w:val="1"/>
        </w:numPr>
        <w:rPr/>
      </w:pPr>
      <w:bookmarkStart w:id="184" w:name="__RefHeading___Toc7642354_1280447820"/>
      <w:bookmarkStart w:id="185" w:name="_Toc64"/>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ما تَقولُ في الأنبياءِ و المَلائكةِ عليهم السلامُ‌، أيُّ القَبيلَينِ أفضَلُ و أكثَرُ ثَواباً؟ و ما الذي يَجِبُ أن يُعتَقَدَ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كَثرةُ الثوابِ و وُفورُه، لا دَلالةَ في مُجرَّدِ العقلِ علىٰ أنّ بعضَ المُكلَّفينَ فيه أفضَلُ مِن غيرِه؛ لأنّ كَثرةَ الثوابِ و قِلّتَه إنّما يَتبَعانِ الوجوهَ التي</w:t>
      </w:r>
      <w:r>
        <w:rPr>
          <w:rStyle w:val="FootnoteAnchor"/>
          <w:rtl w:val="true"/>
        </w:rPr>
        <w:footnoteReference w:id="964"/>
      </w:r>
      <w:r>
        <w:rPr>
          <w:rFonts w:ascii="Amiri" w:hAnsi="Amiri" w:eastAsia="Amiri" w:cs="Amiri"/>
          <w:color w:val="111111"/>
          <w:sz w:val="28"/>
          <w:sz w:val="28"/>
          <w:szCs w:val="28"/>
          <w:rtl w:val="true"/>
          <w:lang w:bidi="ar-SA"/>
        </w:rPr>
        <w:t>تَقَعُ‌</w:t>
      </w:r>
      <w:r>
        <w:rPr>
          <w:rStyle w:val="FootnoteAnchor"/>
          <w:rtl w:val="true"/>
        </w:rPr>
        <w:footnoteReference w:id="965"/>
      </w:r>
      <w:r>
        <w:rPr>
          <w:rFonts w:ascii="Amiri" w:hAnsi="Amiri" w:eastAsia="Amiri" w:cs="Amiri"/>
          <w:color w:val="111111"/>
          <w:sz w:val="28"/>
          <w:sz w:val="28"/>
          <w:szCs w:val="28"/>
          <w:rtl w:val="true"/>
          <w:lang w:bidi="ar-SA"/>
        </w:rPr>
        <w:t>عليها</w:t>
      </w:r>
      <w:r>
        <w:rPr>
          <w:rStyle w:val="FootnoteAnchor"/>
          <w:rtl w:val="true"/>
        </w:rPr>
        <w:footnoteReference w:id="966"/>
      </w:r>
      <w:r>
        <w:rPr>
          <w:rFonts w:ascii="Amiri" w:hAnsi="Amiri" w:eastAsia="Amiri" w:cs="Amiri"/>
          <w:color w:val="111111"/>
          <w:sz w:val="28"/>
          <w:sz w:val="28"/>
          <w:szCs w:val="28"/>
          <w:rtl w:val="true"/>
          <w:lang w:bidi="ar-SA"/>
        </w:rPr>
        <w:t>الأفعالُ‌، و ذلكَ ممّا لا يَطَّلِعُ عليه إلّاعَلّامُ الغُيوبِ‌،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المَرجِعُ في أنّ‌</w:t>
      </w:r>
      <w:r>
        <w:rPr>
          <w:rStyle w:val="FootnoteAnchor"/>
          <w:rtl w:val="true"/>
        </w:rPr>
        <w:footnoteReference w:id="967"/>
      </w:r>
      <w:r>
        <w:rPr>
          <w:rFonts w:ascii="Amiri" w:hAnsi="Amiri" w:eastAsia="Amiri" w:cs="Amiri"/>
          <w:color w:val="111111"/>
          <w:sz w:val="28"/>
          <w:sz w:val="28"/>
          <w:szCs w:val="28"/>
          <w:rtl w:val="true"/>
          <w:lang w:bidi="ar-SA"/>
        </w:rPr>
        <w:t>بعضَ المُكلَّفينَ أكثَرُ ثَواباً مِن غيرِه إلىٰ طُرُقٍ‌</w:t>
      </w:r>
      <w:r>
        <w:rPr>
          <w:rStyle w:val="FootnoteAnchor"/>
          <w:rtl w:val="true"/>
        </w:rPr>
        <w:footnoteReference w:id="968"/>
      </w:r>
      <w:r>
        <w:rPr>
          <w:rFonts w:ascii="Amiri" w:hAnsi="Amiri" w:eastAsia="Amiri" w:cs="Amiri"/>
          <w:color w:val="111111"/>
          <w:sz w:val="28"/>
          <w:sz w:val="28"/>
          <w:szCs w:val="28"/>
          <w:rtl w:val="true"/>
          <w:lang w:bidi="ar-SA"/>
        </w:rPr>
        <w:t>سَمعيّةٍ‌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أجمَعَت الإماميّةُ‌</w:t>
      </w:r>
      <w:r>
        <w:rPr>
          <w:rStyle w:val="FootnoteAnchor"/>
          <w:rtl w:val="true"/>
        </w:rPr>
        <w:footnoteReference w:id="969"/>
      </w:r>
      <w:r>
        <w:rPr>
          <w:rFonts w:ascii="Amiri" w:hAnsi="Amiri" w:eastAsia="Amiri" w:cs="Amiri"/>
          <w:color w:val="111111"/>
          <w:sz w:val="28"/>
          <w:sz w:val="28"/>
          <w:szCs w:val="28"/>
          <w:rtl w:val="true"/>
          <w:lang w:bidi="ar-SA"/>
        </w:rPr>
        <w:t>بِلا خِلافٍ بَينَها علىٰ أنّ كُلَّ واحدٍ مِن الأنبياءِ عليهم السلامُ أفضَلُ و أكثَرُ ثَواباً مِن كُلِّ واحدٍ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ذَهَبوا في الأئمّةِ عليهم </w:t>
      </w:r>
    </w:p>
    <w:p>
      <w:pPr>
        <w:pStyle w:val="BookText"/>
        <w:rPr/>
      </w:pPr>
      <w:r>
        <w:rPr>
          <w:rFonts w:ascii="Amiri" w:hAnsi="Amiri" w:eastAsia="Amiri" w:cs="Amiri"/>
          <w:color w:val="111111"/>
          <w:sz w:val="28"/>
          <w:sz w:val="28"/>
          <w:szCs w:val="28"/>
          <w:rtl w:val="true"/>
          <w:lang w:bidi="ar-SA"/>
        </w:rPr>
        <w:t>السلامُ أيضاً إلىٰ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الإماميّةِ حُجّةٌ علىٰ ما بيّنّاه، فيَجِبُ القَطعُ بهذه الحُجّةِ علىٰ أنّ الأنبياءَ أفضَلُ مِن المَلائكةِ علىٰ جماعتِهم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اعتَمَدَ مِن أصحابِنا في </w:t>
      </w:r>
      <w:r>
        <w:rPr>
          <w:rStyle w:val="FootnoteAnchor"/>
          <w:rtl w:val="true"/>
        </w:rPr>
        <w:footnoteReference w:id="970"/>
      </w:r>
      <w:r>
        <w:rPr>
          <w:rFonts w:ascii="Amiri" w:hAnsi="Amiri" w:eastAsia="Amiri" w:cs="Amiri"/>
          <w:color w:val="111111"/>
          <w:sz w:val="28"/>
          <w:sz w:val="28"/>
          <w:szCs w:val="28"/>
          <w:rtl w:val="true"/>
          <w:lang w:bidi="ar-SA"/>
        </w:rPr>
        <w:t xml:space="preserve">أنّ الأنبياءَ عليهم السلامُ أفضَلُ‌، علىٰ أنّ المَشاقَّ‌ </w:t>
      </w:r>
      <w:r>
        <w:rPr>
          <w:rStyle w:val="FootnoteAnchor"/>
          <w:rtl w:val="true"/>
        </w:rPr>
        <w:footnoteReference w:id="971"/>
      </w:r>
      <w:r>
        <w:rPr>
          <w:rFonts w:ascii="Amiri" w:hAnsi="Amiri" w:eastAsia="Amiri" w:cs="Amiri"/>
          <w:color w:val="111111"/>
          <w:sz w:val="28"/>
          <w:sz w:val="28"/>
          <w:szCs w:val="28"/>
          <w:rtl w:val="true"/>
          <w:lang w:bidi="ar-SA"/>
        </w:rPr>
        <w:t xml:space="preserve">علَى الأنبياءِ عليهم السلامُ من التكليفِ أكثَرُ؛ لأنّ لهُم شَهَواتٍ تَتعلَّقُ‌ </w:t>
      </w:r>
      <w:r>
        <w:rPr>
          <w:rStyle w:val="FootnoteAnchor"/>
          <w:rtl w:val="true"/>
        </w:rPr>
        <w:footnoteReference w:id="972"/>
      </w:r>
      <w:r>
        <w:rPr>
          <w:rFonts w:ascii="Amiri" w:hAnsi="Amiri" w:eastAsia="Amiri" w:cs="Amiri"/>
          <w:color w:val="111111"/>
          <w:sz w:val="28"/>
          <w:sz w:val="28"/>
          <w:szCs w:val="28"/>
          <w:rtl w:val="true"/>
          <w:lang w:bidi="ar-SA"/>
        </w:rPr>
        <w:t xml:space="preserve">بالقَبيحِ و نِفاراً </w:t>
      </w:r>
      <w:r>
        <w:rPr>
          <w:rStyle w:val="FootnoteAnchor"/>
          <w:rtl w:val="true"/>
        </w:rPr>
        <w:footnoteReference w:id="973"/>
      </w:r>
      <w:r>
        <w:rPr>
          <w:rFonts w:ascii="Amiri" w:hAnsi="Amiri" w:eastAsia="Amiri" w:cs="Amiri"/>
          <w:color w:val="111111"/>
          <w:sz w:val="28"/>
          <w:sz w:val="28"/>
          <w:szCs w:val="28"/>
          <w:rtl w:val="true"/>
          <w:lang w:bidi="ar-SA"/>
        </w:rPr>
        <w:t>عن فِعلِ الواجبِ‌، و المَلائكةُ عليهم السلامُ 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عَوَّلَ‌ علىٰ غيرِ صَحيحٍ‌، لأنّ المَلائكةَ عليهم السلامُ مِن حَيثُ كانوا مُكلَّفينَ لا بُدَّ </w:t>
      </w:r>
      <w:r>
        <w:rPr>
          <w:rStyle w:val="FootnoteAnchor"/>
          <w:rtl w:val="true"/>
        </w:rPr>
        <w:footnoteReference w:id="974"/>
      </w:r>
      <w:r>
        <w:rPr>
          <w:rFonts w:ascii="Amiri" w:hAnsi="Amiri" w:eastAsia="Amiri" w:cs="Amiri"/>
          <w:color w:val="111111"/>
          <w:sz w:val="28"/>
          <w:sz w:val="28"/>
          <w:szCs w:val="28"/>
          <w:rtl w:val="true"/>
          <w:lang w:bidi="ar-SA"/>
        </w:rPr>
        <w:t xml:space="preserve">مِن </w:t>
      </w:r>
      <w:r>
        <w:rPr>
          <w:rStyle w:val="FootnoteAnchor"/>
          <w:rtl w:val="true"/>
        </w:rPr>
        <w:footnoteReference w:id="975"/>
      </w:r>
      <w:r>
        <w:rPr>
          <w:rFonts w:ascii="Amiri" w:hAnsi="Amiri" w:eastAsia="Amiri" w:cs="Amiri"/>
          <w:color w:val="111111"/>
          <w:sz w:val="28"/>
          <w:sz w:val="28"/>
          <w:szCs w:val="28"/>
          <w:rtl w:val="true"/>
          <w:lang w:bidi="ar-SA"/>
        </w:rPr>
        <w:t xml:space="preserve">أن تَكونَ‌ </w:t>
      </w:r>
      <w:r>
        <w:rPr>
          <w:rStyle w:val="FootnoteAnchor"/>
          <w:rtl w:val="true"/>
        </w:rPr>
        <w:footnoteReference w:id="976"/>
      </w:r>
      <w:r>
        <w:rPr>
          <w:rFonts w:ascii="Amiri" w:hAnsi="Amiri" w:eastAsia="Amiri" w:cs="Amiri"/>
          <w:color w:val="111111"/>
          <w:sz w:val="28"/>
          <w:sz w:val="28"/>
          <w:szCs w:val="28"/>
          <w:rtl w:val="true"/>
          <w:lang w:bidi="ar-SA"/>
        </w:rPr>
        <w:t>عليهم مَشقّةٌ في التكليفِ‌، لَولا ذلكَ لَما استَحقّوا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التكليفُ لا يَشُقُّ إلّابشَهَواتٍ يتعلَّقُ‌ </w:t>
      </w:r>
      <w:r>
        <w:rPr>
          <w:rStyle w:val="FootnoteAnchor"/>
          <w:rtl w:val="true"/>
        </w:rPr>
        <w:footnoteReference w:id="977"/>
      </w:r>
      <w:r>
        <w:rPr>
          <w:rFonts w:ascii="Amiri" w:hAnsi="Amiri" w:eastAsia="Amiri" w:cs="Amiri"/>
          <w:color w:val="111111"/>
          <w:sz w:val="28"/>
          <w:sz w:val="28"/>
          <w:szCs w:val="28"/>
          <w:rtl w:val="true"/>
          <w:lang w:bidi="ar-SA"/>
        </w:rPr>
        <w:t xml:space="preserve">بها حَظْرٌ و مَنعٌ منه، و نِفارٍ </w:t>
      </w:r>
      <w:r>
        <w:rPr>
          <w:rStyle w:val="FootnoteAnchor"/>
          <w:rtl w:val="true"/>
        </w:rPr>
        <w:footnoteReference w:id="978"/>
      </w:r>
      <w:r>
        <w:rPr>
          <w:rFonts w:ascii="Amiri" w:hAnsi="Amiri" w:eastAsia="Amiri" w:cs="Amiri"/>
          <w:color w:val="111111"/>
          <w:sz w:val="28"/>
          <w:sz w:val="28"/>
          <w:szCs w:val="28"/>
          <w:rtl w:val="true"/>
          <w:lang w:bidi="ar-SA"/>
        </w:rPr>
        <w:t>يَتعلَّقُ بالواجباتِ‌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علىٰ ذلكَ‌، فمِن أينَ يُعلَمُ بالعقلِ أنّ‌ </w:t>
      </w:r>
      <w:r>
        <w:rPr>
          <w:rStyle w:val="FootnoteAnchor"/>
          <w:rtl w:val="true"/>
        </w:rPr>
        <w:footnoteReference w:id="979"/>
      </w:r>
      <w:r>
        <w:rPr>
          <w:rFonts w:ascii="Amiri" w:hAnsi="Amiri" w:eastAsia="Amiri" w:cs="Amiri"/>
          <w:color w:val="111111"/>
          <w:sz w:val="28"/>
          <w:sz w:val="28"/>
          <w:szCs w:val="28"/>
          <w:rtl w:val="true"/>
          <w:lang w:bidi="ar-SA"/>
        </w:rPr>
        <w:t xml:space="preserve">مَشاقَّ‌ </w:t>
      </w:r>
      <w:r>
        <w:rPr>
          <w:rStyle w:val="FootnoteAnchor"/>
          <w:rtl w:val="true"/>
        </w:rPr>
        <w:footnoteReference w:id="980"/>
      </w:r>
      <w:r>
        <w:rPr>
          <w:rFonts w:ascii="Amiri" w:hAnsi="Amiri" w:eastAsia="Amiri" w:cs="Amiri"/>
          <w:color w:val="111111"/>
          <w:sz w:val="28"/>
          <w:sz w:val="28"/>
          <w:szCs w:val="28"/>
          <w:rtl w:val="true"/>
          <w:lang w:bidi="ar-SA"/>
        </w:rPr>
        <w:t xml:space="preserve">الأنبياءِ عليهم السلامُ أكثَرُ مِن مَشاقِّ‌ </w:t>
      </w:r>
      <w:r>
        <w:rPr>
          <w:rStyle w:val="FootnoteAnchor"/>
          <w:rtl w:val="true"/>
        </w:rPr>
        <w:footnoteReference w:id="981"/>
      </w:r>
      <w:r>
        <w:rPr>
          <w:rFonts w:ascii="Amiri" w:hAnsi="Amiri" w:eastAsia="Amiri" w:cs="Amiri"/>
          <w:color w:val="111111"/>
          <w:sz w:val="28"/>
          <w:sz w:val="28"/>
          <w:szCs w:val="28"/>
          <w:rtl w:val="true"/>
          <w:lang w:bidi="ar-SA"/>
        </w:rPr>
        <w:t>المَلائكةِ في التكليفِ؟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إذا عَلِمنا علىٰ طريقِ الجُملةِ أنّ المَلائكةَ لا تَتعلَّقُ‌ </w:t>
      </w:r>
      <w:r>
        <w:rPr>
          <w:rStyle w:val="FootnoteAnchor"/>
          <w:rtl w:val="true"/>
        </w:rPr>
        <w:footnoteReference w:id="982"/>
      </w:r>
      <w:r>
        <w:rPr>
          <w:rFonts w:ascii="Amiri" w:hAnsi="Amiri" w:eastAsia="Amiri" w:cs="Amiri"/>
          <w:color w:val="111111"/>
          <w:sz w:val="28"/>
          <w:sz w:val="28"/>
          <w:szCs w:val="28"/>
          <w:rtl w:val="true"/>
          <w:lang w:bidi="ar-SA"/>
        </w:rPr>
        <w:t xml:space="preserve">شَهَواتُهم بالأكلِ‌ </w:t>
      </w:r>
      <w:bookmarkStart w:id="186" w:name="pg16415_223824"/>
    </w:p>
    <w:p>
      <w:pPr>
        <w:pStyle w:val="BookText"/>
        <w:rPr/>
      </w:pPr>
      <w:bookmarkEnd w:id="186"/>
      <w:r>
        <w:rPr>
          <w:rFonts w:ascii="Amiri" w:hAnsi="Amiri" w:eastAsia="Amiri" w:cs="Amiri"/>
          <w:color w:val="111111"/>
          <w:sz w:val="28"/>
          <w:sz w:val="28"/>
          <w:szCs w:val="28"/>
          <w:rtl w:val="true"/>
          <w:lang w:bidi="ar-SA"/>
        </w:rPr>
        <w:t>و الشُّربِ و الجِماعِ‌، فيَكونوا مُلتَذّينَ و آلِمينَ‌</w:t>
      </w:r>
      <w:r>
        <w:rPr>
          <w:rStyle w:val="FootnoteAnchor"/>
          <w:rtl w:val="true"/>
        </w:rPr>
        <w:footnoteReference w:id="983"/>
      </w:r>
      <w:r>
        <w:rPr>
          <w:rFonts w:ascii="Amiri" w:hAnsi="Amiri" w:eastAsia="Amiri" w:cs="Amiri"/>
          <w:color w:val="111111"/>
          <w:sz w:val="28"/>
          <w:sz w:val="28"/>
          <w:szCs w:val="28"/>
          <w:rtl w:val="true"/>
          <w:lang w:bidi="ar-SA"/>
        </w:rPr>
        <w:t>بما يَرجِعُ إلىٰ هذه الأُمورِ، أحَطنا عِلماً بسائرِ ما يَلتَذّونَ‌</w:t>
      </w:r>
      <w:r>
        <w:rPr>
          <w:rStyle w:val="FootnoteAnchor"/>
          <w:rtl w:val="true"/>
        </w:rPr>
        <w:footnoteReference w:id="984"/>
      </w:r>
      <w:r>
        <w:rPr>
          <w:rFonts w:ascii="IRNazanin" w:hAnsi="IRNazanin" w:eastAsia="IRNazanin"/>
          <w:color w:val="111111"/>
          <w:sz w:val="28"/>
          <w:sz w:val="28"/>
          <w:szCs w:val="28"/>
          <w:rtl w:val="true"/>
          <w:lang w:bidi="fa-IR"/>
        </w:rPr>
        <w:t>به</w:t>
      </w:r>
      <w:r>
        <w:rPr>
          <w:rStyle w:val="FootnoteAnchor"/>
          <w:rtl w:val="true"/>
        </w:rPr>
        <w:footnoteReference w:id="985"/>
      </w:r>
      <w:r>
        <w:rPr>
          <w:rFonts w:ascii="Amiri" w:hAnsi="Amiri" w:eastAsia="Amiri" w:cs="Amiri"/>
          <w:color w:val="111111"/>
          <w:sz w:val="28"/>
          <w:sz w:val="28"/>
          <w:szCs w:val="28"/>
          <w:rtl w:val="true"/>
          <w:lang w:bidi="ar-SA"/>
        </w:rPr>
        <w:t>و يألَمونَ‌</w:t>
      </w:r>
      <w:r>
        <w:rPr>
          <w:rStyle w:val="FootnoteAnchor"/>
          <w:rtl w:val="true"/>
        </w:rPr>
        <w:footnoteReference w:id="986"/>
      </w:r>
      <w:r>
        <w:rPr>
          <w:rFonts w:ascii="Amiri" w:hAnsi="Amiri" w:eastAsia="Amiri" w:cs="Amiri"/>
          <w:color w:val="111111"/>
          <w:sz w:val="28"/>
          <w:sz w:val="28"/>
          <w:szCs w:val="28"/>
          <w:rtl w:val="true"/>
          <w:lang w:bidi="ar-SA"/>
        </w:rPr>
        <w:t>معه مِن ضُروبِ المُدرَكاتِ‌؛ و لا بُدَّ مع</w:t>
      </w:r>
      <w:r>
        <w:rPr>
          <w:rStyle w:val="FootnoteAnchor"/>
          <w:rtl w:val="true"/>
        </w:rPr>
        <w:footnoteReference w:id="987"/>
      </w:r>
      <w:r>
        <w:rPr>
          <w:rFonts w:ascii="Amiri" w:hAnsi="Amiri" w:eastAsia="Amiri" w:cs="Amiri"/>
          <w:color w:val="111111"/>
          <w:sz w:val="28"/>
          <w:sz w:val="28"/>
          <w:szCs w:val="28"/>
          <w:rtl w:val="true"/>
          <w:lang w:bidi="ar-SA"/>
        </w:rPr>
        <w:t>التكليفِ مِن أن يَكونوا ممّن يَلتَذُّ و يألَمُ ببَعضِ ما يُدرِكونَه، لولا</w:t>
      </w:r>
      <w:r>
        <w:rPr>
          <w:rStyle w:val="FootnoteAnchor"/>
          <w:rtl w:val="true"/>
        </w:rPr>
        <w:footnoteReference w:id="988"/>
      </w:r>
      <w:r>
        <w:rPr>
          <w:rFonts w:ascii="Amiri" w:hAnsi="Amiri" w:eastAsia="Amiri" w:cs="Amiri"/>
          <w:color w:val="111111"/>
          <w:sz w:val="28"/>
          <w:sz w:val="28"/>
          <w:szCs w:val="28"/>
          <w:rtl w:val="true"/>
          <w:lang w:bidi="ar-SA"/>
        </w:rPr>
        <w:t>ذلكَ لَما استَحقّوا ثَواباً و لا كانوا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أملَينا مَسألةً مُفرَدةً في تفضيلِ الأنبياءِ علَى المَلائكةِ‌،</w:t>
      </w:r>
      <w:r>
        <w:rPr>
          <w:rStyle w:val="FootnoteAnchor"/>
          <w:rtl w:val="true"/>
        </w:rPr>
        <w:footnoteReference w:id="989"/>
      </w:r>
      <w:r>
        <w:rPr>
          <w:rFonts w:ascii="Amiri" w:hAnsi="Amiri" w:eastAsia="Amiri" w:cs="Amiri"/>
          <w:color w:val="111111"/>
          <w:sz w:val="28"/>
          <w:sz w:val="28"/>
          <w:szCs w:val="28"/>
          <w:rtl w:val="true"/>
          <w:lang w:bidi="ar-SA"/>
        </w:rPr>
        <w:t>و استَقصَيناها للمُوافِقِ و المُخالِفِ في ذلكَ‌، و أجَبنا عن الشُّبُهاتِ التي</w:t>
      </w:r>
      <w:r>
        <w:rPr>
          <w:rStyle w:val="FootnoteAnchor"/>
          <w:rtl w:val="true"/>
        </w:rPr>
        <w:footnoteReference w:id="990"/>
      </w:r>
      <w:r>
        <w:rPr>
          <w:rFonts w:ascii="Amiri" w:hAnsi="Amiri" w:eastAsia="Amiri" w:cs="Amiri"/>
          <w:color w:val="111111"/>
          <w:sz w:val="28"/>
          <w:sz w:val="28"/>
          <w:szCs w:val="28"/>
          <w:rtl w:val="true"/>
          <w:lang w:bidi="ar-SA"/>
        </w:rPr>
        <w:t>عَوَّلَ عليها مُخالِفونا بما أَوضَحناه</w:t>
      </w:r>
      <w:r>
        <w:rPr>
          <w:rStyle w:val="FootnoteAnchor"/>
          <w:rtl w:val="true"/>
        </w:rPr>
        <w:footnoteReference w:id="991"/>
      </w:r>
      <w:r>
        <w:rPr>
          <w:rFonts w:ascii="Amiri" w:hAnsi="Amiri" w:eastAsia="Amiri" w:cs="Amiri"/>
          <w:color w:val="111111"/>
          <w:sz w:val="28"/>
          <w:sz w:val="28"/>
          <w:szCs w:val="28"/>
          <w:rtl w:val="true"/>
          <w:lang w:bidi="ar-SA"/>
        </w:rPr>
        <w:t>و أشبَعناه</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642356_1280447820"/>
      <w:bookmarkStart w:id="188" w:name="_Toc65"/>
      <w:bookmarkEnd w:id="187"/>
      <w:r>
        <w:rPr>
          <w:rtl w:val="true"/>
        </w:rPr>
        <w:t>مناقشة ما استُدلّ به علىٰ تفضيل الملائكة على الأنبياء</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أوكَدِ ما تَعلَّقوا به قولُه تَعالىٰ حِكايةً عن إبليسَ مُخاطِباً لآدَمَ و حَوّاءَ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فرَغَّبَهما في أن يَكونا مَلَكَينِ‌؛ و لا يَجوزُ أن يُرغِّبَهما بأن يَعصِيا اللّٰهَ تَعالىٰ حتّىٰ يَنتَقِلا إلىٰ حالٍ‌</w:t>
      </w:r>
      <w:r>
        <w:rPr>
          <w:rStyle w:val="FootnoteAnchor"/>
          <w:rtl w:val="true"/>
        </w:rPr>
        <w:footnoteReference w:id="993"/>
      </w:r>
      <w:r>
        <w:rPr>
          <w:rFonts w:ascii="Amiri" w:hAnsi="Amiri" w:eastAsia="Amiri" w:cs="Amiri"/>
          <w:color w:val="111111"/>
          <w:sz w:val="28"/>
          <w:sz w:val="28"/>
          <w:szCs w:val="28"/>
          <w:rtl w:val="true"/>
          <w:lang w:bidi="ar-SA"/>
        </w:rPr>
        <w:t>هي دونَ حالِهما، و حالُهما هي أفضَلُ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r>
        <w:rPr>
          <w:rStyle w:val="FootnoteAnchor"/>
          <w:rtl w:val="true"/>
        </w:rPr>
        <w:footnoteReference w:id="994"/>
      </w:r>
      <w:r>
        <w:rPr>
          <w:rFonts w:ascii="Amiri" w:hAnsi="Amiri" w:eastAsia="Amiri" w:cs="Amiri"/>
          <w:color w:val="111111"/>
          <w:sz w:val="28"/>
          <w:sz w:val="28"/>
          <w:szCs w:val="28"/>
          <w:rtl w:val="true"/>
          <w:lang w:bidi="ar-SA"/>
        </w:rPr>
        <w:t>شُبهةٌ لها رَوعةٌ‌، و لا محصولَ‌</w:t>
      </w:r>
      <w:r>
        <w:rPr>
          <w:rStyle w:val="FootnoteAnchor"/>
          <w:rtl w:val="true"/>
        </w:rPr>
        <w:footnoteReference w:id="995"/>
      </w:r>
      <w:r>
        <w:rPr>
          <w:rFonts w:ascii="Amiri" w:hAnsi="Amiri" w:eastAsia="Amiri" w:cs="Amiri"/>
          <w:color w:val="111111"/>
          <w:sz w:val="28"/>
          <w:sz w:val="28"/>
          <w:szCs w:val="28"/>
          <w:rtl w:val="true"/>
          <w:lang w:bidi="ar-SA"/>
        </w:rPr>
        <w:t xml:space="preserve">لها عندَ التفتيشِ‌؛ لأنّ الفَضلَ الذي هو كَثرةُ‌ </w:t>
      </w:r>
      <w:r>
        <w:rPr>
          <w:rStyle w:val="FootnoteAnchor"/>
          <w:rtl w:val="true"/>
        </w:rPr>
        <w:footnoteReference w:id="996"/>
      </w:r>
      <w:r>
        <w:rPr>
          <w:rFonts w:ascii="Amiri" w:hAnsi="Amiri" w:eastAsia="Amiri" w:cs="Amiri"/>
          <w:color w:val="111111"/>
          <w:sz w:val="28"/>
          <w:sz w:val="28"/>
          <w:szCs w:val="28"/>
          <w:rtl w:val="true"/>
          <w:lang w:bidi="ar-SA"/>
        </w:rPr>
        <w:t>الثوابِ لا يَجوزُ أن يُستَحقَّ إلّابالأعمالِ‌، و مَن صارَت خِلقتُه خِلقةَ المَلَكِ لا يَجوزُ</w:t>
      </w:r>
      <w:r>
        <w:rPr>
          <w:rStyle w:val="FootnoteAnchor"/>
          <w:rtl w:val="true"/>
        </w:rPr>
        <w:footnoteReference w:id="997"/>
      </w:r>
      <w:r>
        <w:rPr>
          <w:rFonts w:ascii="Amiri" w:hAnsi="Amiri" w:eastAsia="Amiri" w:cs="Amiri"/>
          <w:color w:val="111111"/>
          <w:sz w:val="28"/>
          <w:sz w:val="28"/>
          <w:szCs w:val="28"/>
          <w:rtl w:val="true"/>
          <w:lang w:bidi="ar-SA"/>
        </w:rPr>
        <w:t>أن يَكونَ ثَوابُه مِثلَ ثَوابِ المَلَكِ‌</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إنّما رَغَّبَهما في أن يَنتَقِلا إلىٰ صورةِ المَلائكةِ و خِلقتِهم</w:t>
      </w:r>
      <w:r>
        <w:rPr>
          <w:rStyle w:val="FootnoteAnchor"/>
          <w:rtl w:val="true"/>
        </w:rPr>
        <w:footnoteReference w:id="999"/>
      </w:r>
      <w:r>
        <w:rPr>
          <w:rFonts w:ascii="Amiri" w:hAnsi="Amiri" w:eastAsia="Amiri" w:cs="Amiri"/>
          <w:color w:val="111111"/>
          <w:sz w:val="28"/>
          <w:sz w:val="28"/>
          <w:szCs w:val="28"/>
          <w:rtl w:val="true"/>
          <w:lang w:bidi="ar-SA"/>
        </w:rPr>
        <w:t>، لا إلىٰ ثَوابِهم و الجَزاءِ‌</w:t>
      </w:r>
      <w:r>
        <w:rPr>
          <w:rStyle w:val="FootnoteAnchor"/>
          <w:rtl w:val="true"/>
        </w:rPr>
        <w:footnoteReference w:id="1000"/>
      </w:r>
      <w:r>
        <w:rPr>
          <w:rFonts w:ascii="Amiri" w:hAnsi="Amiri" w:eastAsia="Amiri" w:cs="Amiri"/>
          <w:color w:val="111111"/>
          <w:sz w:val="28"/>
          <w:sz w:val="28"/>
          <w:szCs w:val="28"/>
          <w:rtl w:val="true"/>
          <w:lang w:bidi="ar-SA"/>
        </w:rPr>
        <w:t>علىٰ أعمالِهم؛ لأنّ الجَزاءَ علَى الأعمالِ تابعٌ لها، و لا يَتغيَّرُ بِانقلابِ الخَلقِ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أن تَكونَ‌</w:t>
      </w:r>
      <w:r>
        <w:rPr>
          <w:rStyle w:val="FootnoteAnchor"/>
          <w:rtl w:val="true"/>
        </w:rPr>
        <w:footnoteReference w:id="1001"/>
      </w:r>
      <w:r>
        <w:rPr>
          <w:rFonts w:ascii="Amiri" w:hAnsi="Amiri" w:eastAsia="Amiri" w:cs="Amiri"/>
          <w:color w:val="111111"/>
          <w:sz w:val="28"/>
          <w:sz w:val="28"/>
          <w:szCs w:val="28"/>
          <w:rtl w:val="true"/>
          <w:lang w:bidi="ar-SA"/>
        </w:rPr>
        <w:t>في هذه الآيةِ دَلالةٌ علىٰ مَوضِعِ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المُعتزلةَ يُجوِّزونَ علَى الأنبياءِ الصغائرَ مِن الذُّنوبِ‌؛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w:t>
      </w:r>
      <w:r>
        <w:rPr>
          <w:rStyle w:val="FootnoteAnchor"/>
          <w:rtl w:val="true"/>
        </w:rPr>
        <w:footnoteReference w:id="1002"/>
      </w:r>
      <w:r>
        <w:rPr>
          <w:rFonts w:ascii="Amiri" w:hAnsi="Amiri" w:eastAsia="Amiri" w:cs="Amiri"/>
          <w:color w:val="111111"/>
          <w:sz w:val="28"/>
          <w:sz w:val="28"/>
          <w:szCs w:val="28"/>
          <w:rtl w:val="true"/>
          <w:lang w:bidi="ar-SA"/>
        </w:rPr>
        <w:t>آدَمُ عليه السلامُ اعتَقَدَ أنّ المَلائكةَ أفضَلُ مِن الأنبياءِ‌، و كانَ ذلكَ ذَنباً صَغيراً منه، فرَغِبَ في حالِ المَلائكةِ و الانتقالِ إليها بِناءً علىٰ هذا الخَطإ، فلا</w:t>
      </w:r>
      <w:r>
        <w:rPr>
          <w:rStyle w:val="FootnoteAnchor"/>
          <w:rtl w:val="true"/>
        </w:rPr>
        <w:footnoteReference w:id="1003"/>
      </w:r>
      <w:r>
        <w:rPr>
          <w:rFonts w:ascii="Amiri" w:hAnsi="Amiri" w:eastAsia="Amiri" w:cs="Amiri"/>
          <w:color w:val="111111"/>
          <w:sz w:val="28"/>
          <w:sz w:val="28"/>
          <w:szCs w:val="28"/>
          <w:rtl w:val="true"/>
          <w:lang w:bidi="ar-SA"/>
        </w:rPr>
        <w:t>تَكونُ‌</w:t>
      </w:r>
      <w:r>
        <w:rPr>
          <w:rStyle w:val="FootnoteAnchor"/>
          <w:rtl w:val="true"/>
        </w:rPr>
        <w:footnoteReference w:id="1004"/>
      </w:r>
      <w:r>
        <w:rPr>
          <w:rFonts w:ascii="Amiri" w:hAnsi="Amiri" w:eastAsia="Amiri" w:cs="Amiri"/>
          <w:color w:val="111111"/>
          <w:sz w:val="28"/>
          <w:sz w:val="28"/>
          <w:szCs w:val="28"/>
          <w:rtl w:val="true"/>
          <w:lang w:bidi="ar-SA"/>
        </w:rPr>
        <w:t>الآيةُ دالّةً في الحَقيقةِ علىٰ أنّ المَلائكةَ أفضَلُ مِن الأنبياءِ‌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قيلَ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تَكُونٰا 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w:t>
      </w:r>
      <w:r>
        <w:rPr>
          <w:rStyle w:val="FootnoteAnchor"/>
          <w:rtl w:val="true"/>
        </w:rPr>
        <w:footnoteReference w:id="100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w:t>
      </w:r>
    </w:p>
    <w:p>
      <w:pPr>
        <w:pStyle w:val="BookText"/>
        <w:rPr/>
      </w:pPr>
      <w:r>
        <w:rPr>
          <w:rFonts w:ascii="Amiri" w:hAnsi="Amiri" w:eastAsia="Amiri" w:cs="Amiri"/>
          <w:color w:val="111111"/>
          <w:sz w:val="28"/>
          <w:sz w:val="28"/>
          <w:szCs w:val="28"/>
          <w:rtl w:val="true"/>
          <w:lang w:bidi="ar-SA"/>
        </w:rPr>
        <w:t>تَصيرا</w:t>
      </w:r>
      <w:r>
        <w:rPr>
          <w:rStyle w:val="FootnoteAnchor"/>
          <w:rtl w:val="true"/>
        </w:rPr>
        <w:footnoteReference w:id="1006"/>
      </w:r>
      <w:r>
        <w:rPr>
          <w:rFonts w:ascii="Amiri" w:hAnsi="Amiri" w:eastAsia="Amiri" w:cs="Amiri"/>
          <w:color w:val="111111"/>
          <w:sz w:val="28"/>
          <w:sz w:val="28"/>
          <w:szCs w:val="28"/>
          <w:rtl w:val="true"/>
          <w:lang w:bidi="ar-SA"/>
        </w:rPr>
        <w:t>و تَنقَلِبا</w:t>
      </w:r>
      <w:r>
        <w:rPr>
          <w:rStyle w:val="FootnoteAnchor"/>
          <w:rtl w:val="true"/>
        </w:rPr>
        <w:footnoteReference w:id="1007"/>
      </w:r>
      <w:r>
        <w:rPr>
          <w:rFonts w:ascii="Amiri" w:hAnsi="Amiri" w:eastAsia="Amiri" w:cs="Amiri"/>
          <w:color w:val="111111"/>
          <w:sz w:val="28"/>
          <w:sz w:val="28"/>
          <w:szCs w:val="28"/>
          <w:rtl w:val="true"/>
          <w:lang w:bidi="ar-SA"/>
        </w:rPr>
        <w:t xml:space="preserve">إلىٰ هذه الحالةِ‌؛ و إنّما أرادَ إبليسُ التلبيسَ عليهما، و إيهامَهما أنّ المَنهيَّ عن أكلِ الشجرةِ غيرُهما؛ فإنّ النهيَ عن تَناوُلِ الشجَرةِ‌ </w:t>
      </w:r>
      <w:r>
        <w:rPr>
          <w:rStyle w:val="FootnoteAnchor"/>
          <w:rtl w:val="true"/>
        </w:rPr>
        <w:footnoteReference w:id="1008"/>
      </w:r>
      <w:r>
        <w:rPr>
          <w:rFonts w:ascii="Amiri" w:hAnsi="Amiri" w:eastAsia="Amiri" w:cs="Amiri"/>
          <w:color w:val="111111"/>
          <w:sz w:val="28"/>
          <w:sz w:val="28"/>
          <w:szCs w:val="28"/>
          <w:rtl w:val="true"/>
          <w:lang w:bidi="ar-SA"/>
        </w:rPr>
        <w:t>اختُصَّ به المَلائكةُ و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ذلكَ مَجرىٰ قولِ أحَدِنا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نُهِيتَ عن دخولِ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يَعني أنّ المنهيَّ هو زيدٌ</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 لاَ اَلْمَلاٰئِكَةُ اَلْمُقَرَّبُونَ‌</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و ادّعاءُ القومِ أنّ ذلكَ يَدُلُّ علىٰ فَضلِ المَلائكةِ علَى الأنبياءِ‌؛ لأنّه أخَّرَ ذِكرَهم، و لا يَجوزُ أن يؤخَّرَ في مِثلِ هذا الكلامِ إلّاالفاضلُ دونَ المفضولِ‌؛ ألا تَرىٰ أنّه لا يَجوزُ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يأنَفُ الأميرُ مِن كَذا و كَذا و لا الحارسُ‌، و إنّما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يأنَفُ مِن كَذا و كَذا المفضولُ‌، ثُمَّ يُعقِّبَ بذِكرِ الفاضلِ‌،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يأنَفُ مِن لقاءِ زَيدٍ الوزيرُ و لا الأميرُ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رَكيكِ الشُّبَهِ‌؛ لأنّه</w:t>
      </w:r>
      <w:r>
        <w:rPr>
          <w:rStyle w:val="FootnoteAnchor"/>
          <w:rtl w:val="true"/>
        </w:rPr>
        <w:footnoteReference w:id="1011"/>
      </w:r>
      <w:r>
        <w:rPr>
          <w:rFonts w:ascii="Amiri" w:hAnsi="Amiri" w:eastAsia="Amiri" w:cs="Amiri"/>
          <w:color w:val="111111"/>
          <w:sz w:val="28"/>
          <w:sz w:val="28"/>
          <w:szCs w:val="28"/>
          <w:rtl w:val="true"/>
          <w:lang w:bidi="ar-SA"/>
        </w:rPr>
        <w:t xml:space="preserve">يَجوزُ أن يَكونَ اللّٰهُ تَعالىٰ خاطَبَ بهذا الكلامِ قوماً </w:t>
      </w:r>
      <w:r>
        <w:rPr>
          <w:rStyle w:val="FootnoteAnchor"/>
          <w:rtl w:val="true"/>
        </w:rPr>
        <w:footnoteReference w:id="1012"/>
      </w:r>
      <w:r>
        <w:rPr>
          <w:rFonts w:ascii="Amiri" w:hAnsi="Amiri" w:eastAsia="Amiri" w:cs="Amiri"/>
          <w:color w:val="111111"/>
          <w:sz w:val="28"/>
          <w:sz w:val="28"/>
          <w:szCs w:val="28"/>
          <w:rtl w:val="true"/>
          <w:lang w:bidi="ar-SA"/>
        </w:rPr>
        <w:t>كانوا يَعتَقِدونَ فَضلَ المَلائكةِ علَى الأنبياءِ‌، فرتَّبَه</w:t>
      </w:r>
      <w:r>
        <w:rPr>
          <w:rStyle w:val="FootnoteAnchor"/>
          <w:rtl w:val="true"/>
        </w:rPr>
        <w:footnoteReference w:id="1013"/>
      </w:r>
      <w:r>
        <w:rPr>
          <w:rFonts w:ascii="Amiri" w:hAnsi="Amiri" w:eastAsia="Amiri" w:cs="Amiri"/>
          <w:color w:val="111111"/>
          <w:sz w:val="28"/>
          <w:sz w:val="28"/>
          <w:szCs w:val="28"/>
          <w:rtl w:val="true"/>
          <w:lang w:bidi="ar-SA"/>
        </w:rPr>
        <w:t>علىٰ حَسَبِ اعتقادِهم، لا علىٰ ما تَقتَضيهِ‌</w:t>
      </w:r>
      <w:r>
        <w:rPr>
          <w:rStyle w:val="FootnoteAnchor"/>
          <w:rtl w:val="true"/>
        </w:rPr>
        <w:footnoteReference w:id="1014"/>
      </w:r>
      <w:r>
        <w:rPr>
          <w:rFonts w:ascii="Amiri" w:hAnsi="Amiri" w:eastAsia="Amiri" w:cs="Amiri"/>
          <w:color w:val="111111"/>
          <w:sz w:val="28"/>
          <w:sz w:val="28"/>
          <w:szCs w:val="28"/>
          <w:rtl w:val="true"/>
          <w:lang w:bidi="ar-SA"/>
        </w:rPr>
        <w:t>أحوالُ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ذلكَ مَجرىٰ أن يَقولَ أحَدُنا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يأنَفُ أبي مِن كَذا و لا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القائلُ يَعتَقِدُ فَضلَ أبيهِ علىٰ أبِ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في هذه الآيةِ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نُسلِّمُ أنّ جميعَ المَلائكةِ أفضَلُ ثَواباً مِن المَسيحِ عليه السلامُ‌، و إن كانَ المَسيحُ أكثَرَ ثَواباً مِن كُلِّ واحدٍ منهم، و هو مَوضِعُ الخِلافِ‌؛ لأنّا لا نَمنَعُ مِن أن تَكونَ </w:t>
      </w:r>
      <w:r>
        <w:rPr>
          <w:rStyle w:val="FootnoteAnchor"/>
          <w:rtl w:val="true"/>
        </w:rPr>
        <w:footnoteReference w:id="1015"/>
      </w:r>
      <w:r>
        <w:rPr>
          <w:rFonts w:ascii="Amiri" w:hAnsi="Amiri" w:eastAsia="Amiri" w:cs="Amiri"/>
          <w:color w:val="111111"/>
          <w:sz w:val="28"/>
          <w:sz w:val="28"/>
          <w:szCs w:val="28"/>
          <w:rtl w:val="true"/>
          <w:lang w:bidi="ar-SA"/>
        </w:rPr>
        <w:t xml:space="preserve">المَلائكةُ‌ </w:t>
      </w:r>
      <w:r>
        <w:rPr>
          <w:rStyle w:val="FootnoteAnchor"/>
          <w:rtl w:val="true"/>
        </w:rPr>
        <w:footnoteReference w:id="1016"/>
      </w:r>
      <w:r>
        <w:rPr>
          <w:rFonts w:ascii="Amiri" w:hAnsi="Amiri" w:eastAsia="Amiri" w:cs="Amiri"/>
          <w:color w:val="111111"/>
          <w:sz w:val="28"/>
          <w:sz w:val="28"/>
          <w:szCs w:val="28"/>
          <w:rtl w:val="true"/>
          <w:lang w:bidi="ar-SA"/>
        </w:rPr>
        <w:t xml:space="preserve">أكثَرَ ثَواباً مِن كُلِّ واحدٍ منهم </w:t>
      </w:r>
      <w:r>
        <w:rPr>
          <w:rStyle w:val="FootnoteAnchor"/>
          <w:rtl w:val="true"/>
        </w:rPr>
        <w:footnoteReference w:id="1017"/>
      </w:r>
      <w:r>
        <w:rPr>
          <w:rFonts w:ascii="IRNazanin" w:hAnsi="IRNazanin" w:eastAsia="IRNazanin"/>
          <w:color w:val="111111"/>
          <w:sz w:val="28"/>
          <w:sz w:val="28"/>
          <w:szCs w:val="28"/>
          <w:rtl w:val="true"/>
          <w:lang w:bidi="fa-IR"/>
        </w:rPr>
        <w:t xml:space="preserve">، و إن </w:t>
      </w:r>
      <w:r>
        <w:rPr>
          <w:rStyle w:val="FootnoteAnchor"/>
          <w:rtl w:val="true"/>
        </w:rPr>
        <w:footnoteReference w:id="1018"/>
      </w:r>
      <w:r>
        <w:rPr>
          <w:rFonts w:ascii="Amiri" w:hAnsi="Amiri" w:eastAsia="Amiri" w:cs="Amiri"/>
          <w:color w:val="111111"/>
          <w:sz w:val="28"/>
          <w:sz w:val="28"/>
          <w:szCs w:val="28"/>
          <w:rtl w:val="true"/>
          <w:lang w:bidi="ar-SA"/>
        </w:rPr>
        <w:t>كانَ كُلُّ نَبيٍّ أكثَرَ ثَواباً مِن كُلِّ مَلَكٍ‌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يَجوزُ أن يُقالَ في هذه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تأخيرَ الذِّكرِ لا يَحسُنُ مع تَفاوُتِ‌ </w:t>
      </w:r>
      <w:r>
        <w:rPr>
          <w:rStyle w:val="FootnoteAnchor"/>
          <w:rtl w:val="true"/>
        </w:rPr>
        <w:footnoteReference w:id="1019"/>
      </w:r>
      <w:r>
        <w:rPr>
          <w:rFonts w:ascii="Amiri" w:hAnsi="Amiri" w:eastAsia="Amiri" w:cs="Amiri"/>
          <w:color w:val="111111"/>
          <w:sz w:val="28"/>
          <w:sz w:val="28"/>
          <w:szCs w:val="28"/>
          <w:rtl w:val="true"/>
          <w:lang w:bidi="ar-SA"/>
        </w:rPr>
        <w:t>الفَضلِ و تَباعُدِه؛ فأمّا مع التقارُبِ و التساوي، فهو حَسَنٌ جائزٌ؛ و لهذا يَحسُنُ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يأنَفُ مِن لِقائي و الركوبِ إليَّ زَيدٌ و لا عَمرٌو؛ و إن كانَ عَمرٌو </w:t>
      </w:r>
      <w:r>
        <w:rPr>
          <w:rStyle w:val="FootnoteAnchor"/>
          <w:rtl w:val="true"/>
        </w:rPr>
        <w:footnoteReference w:id="1020"/>
      </w:r>
      <w:r>
        <w:rPr>
          <w:rFonts w:ascii="Amiri" w:hAnsi="Amiri" w:eastAsia="Amiri" w:cs="Amiri"/>
          <w:color w:val="111111"/>
          <w:sz w:val="28"/>
          <w:sz w:val="28"/>
          <w:szCs w:val="28"/>
          <w:rtl w:val="true"/>
          <w:lang w:bidi="ar-SA"/>
        </w:rPr>
        <w:t xml:space="preserve">دونَ زَيدٍ في الفَضلِ بيَسيرٍ غيرِ مُعتَدٍّ به، و إنّما يَقَبُحُ ذلكَ مع التفاوُتِ‌ </w:t>
      </w:r>
      <w:r>
        <w:rPr>
          <w:rStyle w:val="FootnoteAnchor"/>
          <w:rtl w:val="true"/>
        </w:rPr>
        <w:footnoteReference w:id="1021"/>
      </w:r>
      <w:r>
        <w:rPr>
          <w:rFonts w:ascii="Amiri" w:hAnsi="Amiri" w:eastAsia="Amiri" w:cs="Amiri"/>
          <w:color w:val="111111"/>
          <w:sz w:val="28"/>
          <w:sz w:val="28"/>
          <w:szCs w:val="28"/>
          <w:rtl w:val="true"/>
          <w:lang w:bidi="ar-SA"/>
        </w:rPr>
        <w:t xml:space="preserve">الذي ذَكَروه </w:t>
      </w:r>
      <w:r>
        <w:rPr>
          <w:rStyle w:val="FootnoteAnchor"/>
          <w:rtl w:val="true"/>
        </w:rPr>
        <w:footnoteReference w:id="1022"/>
      </w:r>
      <w:r>
        <w:rPr>
          <w:rFonts w:ascii="Amiri" w:hAnsi="Amiri" w:eastAsia="Amiri" w:cs="Amiri"/>
          <w:color w:val="111111"/>
          <w:sz w:val="28"/>
          <w:sz w:val="28"/>
          <w:szCs w:val="28"/>
          <w:rtl w:val="true"/>
          <w:lang w:bidi="ar-SA"/>
        </w:rPr>
        <w:t>بَينَ الحارِسِ 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بَينَ المَلائكةِ و الأنبياءِ عليهم السلامُ مِن الفَضلِ ما يَظهَرُ فيه التفاوُتُ‌ </w:t>
      </w:r>
      <w:r>
        <w:rPr>
          <w:rStyle w:val="FootnoteAnchor"/>
          <w:rtl w:val="true"/>
        </w:rPr>
        <w:footnoteReference w:id="1023"/>
      </w:r>
      <w:r>
        <w:rPr>
          <w:rFonts w:ascii="Amiri" w:hAnsi="Amiri" w:eastAsia="Amiri" w:cs="Amiri"/>
          <w:color w:val="111111"/>
          <w:sz w:val="28"/>
          <w:sz w:val="28"/>
          <w:szCs w:val="28"/>
          <w:rtl w:val="true"/>
          <w:lang w:bidi="ar-SA"/>
        </w:rPr>
        <w:t xml:space="preserve">الذي لا يَليقُ بتأخُّرِ </w:t>
      </w:r>
      <w:r>
        <w:rPr>
          <w:rStyle w:val="FootnoteAnchor"/>
          <w:rtl w:val="true"/>
        </w:rPr>
        <w:footnoteReference w:id="1024"/>
      </w:r>
      <w:r>
        <w:rPr>
          <w:rFonts w:ascii="Amiri" w:hAnsi="Amiri" w:eastAsia="Amiri" w:cs="Amiri"/>
          <w:color w:val="111111"/>
          <w:sz w:val="28"/>
          <w:sz w:val="28"/>
          <w:szCs w:val="28"/>
          <w:rtl w:val="true"/>
          <w:lang w:bidi="ar-SA"/>
        </w:rPr>
        <w:t>ذِكرِهم</w:t>
      </w:r>
      <w:r>
        <w:rPr>
          <w:rFonts w:eastAsia="Amiri" w:cs="Amiri" w:ascii="Amiri" w:hAnsi="Amiri"/>
          <w:color w:val="111111"/>
          <w:sz w:val="28"/>
          <w:szCs w:val="28"/>
          <w:rtl w:val="true"/>
          <w:lang w:bidi="ar-SA"/>
        </w:rPr>
        <w:t xml:space="preserve">. </w:t>
      </w:r>
      <w:bookmarkStart w:id="189" w:name="pg16415_223828"/>
    </w:p>
    <w:p>
      <w:pPr>
        <w:pStyle w:val="Heading6"/>
        <w:numPr>
          <w:ilvl w:val="5"/>
          <w:numId w:val="1"/>
        </w:numPr>
        <w:rPr/>
      </w:pPr>
      <w:bookmarkStart w:id="190" w:name="__RefHeading___Toc7642358_1280447820"/>
      <w:bookmarkStart w:id="191" w:name="_Toc66"/>
      <w:bookmarkEnd w:id="189"/>
      <w:bookmarkEnd w:id="190"/>
      <w:r>
        <w:rPr>
          <w:rtl w:val="true"/>
        </w:rPr>
        <w:t>المَسألةُ الرابعةُ الذَّرُّ و حقيقتُه</w:t>
      </w:r>
      <w:bookmarkEnd w:id="191"/>
    </w:p>
    <w:p>
      <w:pPr>
        <w:pStyle w:val="BookText"/>
        <w:rPr/>
      </w:pPr>
      <w:r>
        <w:rPr>
          <w:rFonts w:ascii="Amiri" w:hAnsi="Amiri" w:eastAsia="Amiri" w:cs="Amiri"/>
          <w:color w:val="111111"/>
          <w:sz w:val="28"/>
          <w:sz w:val="28"/>
          <w:szCs w:val="28"/>
          <w:rtl w:val="true"/>
          <w:lang w:bidi="ar-SA"/>
        </w:rPr>
        <w:t xml:space="preserve">ما تَقولُ في الأخبارِ التي رُويَت مِن جِهةِ المُخالِفِ و المُوافِقِ في الذرِّ و ابتداءِ الخَلقِ علىٰ ما تَتضمَّنُ‌ </w:t>
      </w:r>
      <w:r>
        <w:rPr>
          <w:rStyle w:val="FootnoteAnchor"/>
          <w:rtl w:val="true"/>
        </w:rPr>
        <w:footnoteReference w:id="1025"/>
      </w:r>
      <w:r>
        <w:rPr>
          <w:rFonts w:ascii="Amiri" w:hAnsi="Amiri" w:eastAsia="Amiri" w:cs="Amiri"/>
          <w:color w:val="111111"/>
          <w:sz w:val="28"/>
          <w:sz w:val="28"/>
          <w:szCs w:val="28"/>
          <w:rtl w:val="true"/>
          <w:lang w:bidi="ar-SA"/>
        </w:rPr>
        <w:t xml:space="preserve">تلكَ الأخبارُ؛ هَل هي صَحيحةٌ‌، أَم لا؟ و هَل لها مَخرَجٌ مِن التأويلِ يُطابِقُ الحقَّ؟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القاطعةَ إذا </w:t>
      </w:r>
      <w:r>
        <w:rPr>
          <w:rStyle w:val="FootnoteAnchor"/>
          <w:rtl w:val="true"/>
        </w:rPr>
        <w:footnoteReference w:id="1027"/>
      </w:r>
      <w:r>
        <w:rPr>
          <w:rFonts w:ascii="Amiri" w:hAnsi="Amiri" w:eastAsia="Amiri" w:cs="Amiri"/>
          <w:color w:val="111111"/>
          <w:sz w:val="28"/>
          <w:sz w:val="28"/>
          <w:szCs w:val="28"/>
          <w:rtl w:val="true"/>
          <w:lang w:bidi="ar-SA"/>
        </w:rPr>
        <w:t>دَلَّت علىٰ أمرٍ، وَجَبَ إثباتُه و القَطعُ عليه، و أن لا يُرجَعَ عنه بخبرٍ مُحتَمَلٍ‌، و لا بقَولٍ مُعتَرِضٍ للتأويلِ‌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الأخبارُ الواردةُ بخِلافِ ذلكَ علىٰ ما يوافِقُ مدلولَ‌ </w:t>
      </w:r>
      <w:r>
        <w:rPr>
          <w:rStyle w:val="FootnoteAnchor"/>
          <w:rtl w:val="true"/>
        </w:rPr>
        <w:footnoteReference w:id="1028"/>
      </w:r>
      <w:r>
        <w:rPr>
          <w:rFonts w:ascii="Amiri" w:hAnsi="Amiri" w:eastAsia="Amiri" w:cs="Amiri"/>
          <w:color w:val="111111"/>
          <w:sz w:val="28"/>
          <w:sz w:val="28"/>
          <w:szCs w:val="28"/>
          <w:rtl w:val="true"/>
          <w:lang w:bidi="ar-SA"/>
        </w:rPr>
        <w:t>تلكَ الدَّلالةِ و يُطابِقُه، و إن رَجَعنا بذلكَ عن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بصِحّةِ هذه الطريقةِ نَرجِعُ عن ظواهِرِ آياتِ القُرآنِ التي تَتضمَّنُ إجباراً </w:t>
      </w:r>
      <w:r>
        <w:rPr>
          <w:rStyle w:val="FootnoteAnchor"/>
          <w:rtl w:val="true"/>
        </w:rPr>
        <w:footnoteReference w:id="1029"/>
      </w:r>
      <w:r>
        <w:rPr>
          <w:rFonts w:ascii="IRNazanin" w:hAnsi="IRNazanin" w:eastAsia="IRNazanin"/>
          <w:color w:val="111111"/>
          <w:sz w:val="28"/>
          <w:sz w:val="28"/>
          <w:szCs w:val="28"/>
          <w:rtl w:val="true"/>
          <w:lang w:bidi="fa-IR"/>
        </w:rPr>
        <w:t xml:space="preserve">أو </w:t>
      </w:r>
      <w:r>
        <w:rPr>
          <w:rStyle w:val="FootnoteAnchor"/>
          <w:rtl w:val="true"/>
        </w:rPr>
        <w:footnoteReference w:id="1030"/>
      </w:r>
      <w:r>
        <w:rPr>
          <w:rFonts w:ascii="Amiri" w:hAnsi="Amiri" w:eastAsia="Amiri" w:cs="Amiri"/>
          <w:color w:val="111111"/>
          <w:sz w:val="28"/>
          <w:sz w:val="28"/>
          <w:szCs w:val="28"/>
          <w:rtl w:val="true"/>
          <w:lang w:bidi="ar-SA"/>
        </w:rPr>
        <w:t xml:space="preserve">تشبيهاً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دَلَّت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يُكلِّفُ إلّاالبالغينَ الكاملي </w:t>
      </w:r>
      <w:r>
        <w:rPr>
          <w:rStyle w:val="FootnoteAnchor"/>
          <w:rtl w:val="true"/>
        </w:rPr>
        <w:footnoteReference w:id="1032"/>
      </w:r>
      <w:r>
        <w:rPr>
          <w:rFonts w:ascii="Amiri" w:hAnsi="Amiri" w:eastAsia="Amiri" w:cs="Amiri"/>
          <w:color w:val="111111"/>
          <w:sz w:val="28"/>
          <w:sz w:val="28"/>
          <w:szCs w:val="28"/>
          <w:rtl w:val="true"/>
          <w:lang w:bidi="ar-SA"/>
        </w:rPr>
        <w:t xml:space="preserve">العُقولِ‌، و لا يُخاطِبُ إلّامَن يَفهَمُ عنه </w:t>
      </w:r>
      <w:r>
        <w:rPr>
          <w:rStyle w:val="FootnoteAnchor"/>
          <w:rtl w:val="true"/>
        </w:rPr>
        <w:footnoteReference w:id="1033"/>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الجُملةُ تَدُلُّ علىٰ أنّ مَن رُويَ أنّه خوطِبَ في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عليه </w:t>
      </w:r>
      <w:r>
        <w:rPr>
          <w:rStyle w:val="FootnoteAnchor"/>
          <w:rtl w:val="true"/>
        </w:rPr>
        <w:footnoteReference w:id="1034"/>
      </w:r>
      <w:r>
        <w:rPr>
          <w:rFonts w:ascii="Amiri" w:hAnsi="Amiri" w:eastAsia="Amiri" w:cs="Amiri"/>
          <w:color w:val="111111"/>
          <w:sz w:val="28"/>
          <w:sz w:val="28"/>
          <w:szCs w:val="28"/>
          <w:rtl w:val="true"/>
          <w:lang w:bidi="ar-SA"/>
        </w:rPr>
        <w:t xml:space="preserve">المَعارِفُ‌، فأقَرَّ قومٌ‌، و أنكَرَ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عاقلاً كاملاً مُكلَّفاً؛ لأنّه لَو كانَ بغَيرِ هذه الصفةِ لَم يَحسُنْ خِطابُه، و لا جازَ أن يُقِرَّ و لا </w:t>
      </w:r>
      <w:r>
        <w:rPr>
          <w:rStyle w:val="FootnoteAnchor"/>
          <w:rtl w:val="true"/>
        </w:rPr>
        <w:footnoteReference w:id="1035"/>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عاقلاً كاملاً، لَوَجَبَ أن يَذكُرَ الناسُ ما جَرىٰ في تلكَ الحالِ مِن الخِطابِ‌، و الإقرارِ، و الإنكارِ؛ لأنّ مِن المُحالِ أن يَنسىٰ جميعُ الخَلقِ ذلكَ‌، حتّىٰ لا يَذكُروا و لا يَذكُرَه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جَرَت العاداتُ‌ </w:t>
      </w:r>
      <w:r>
        <w:rPr>
          <w:rStyle w:val="FootnoteAnchor"/>
          <w:rtl w:val="true"/>
        </w:rPr>
        <w:footnoteReference w:id="1036"/>
      </w:r>
      <w:r>
        <w:rPr>
          <w:rFonts w:ascii="Amiri" w:hAnsi="Amiri" w:eastAsia="Amiri" w:cs="Amiri"/>
          <w:color w:val="111111"/>
          <w:sz w:val="28"/>
          <w:sz w:val="28"/>
          <w:szCs w:val="28"/>
          <w:rtl w:val="true"/>
          <w:lang w:bidi="ar-SA"/>
        </w:rPr>
        <w:t xml:space="preserve">و لَولا صِحّةُ هذا الأصلِ لَجوَّزَ </w:t>
      </w:r>
      <w:r>
        <w:rPr>
          <w:rStyle w:val="FootnoteAnchor"/>
          <w:rtl w:val="true"/>
        </w:rPr>
        <w:footnoteReference w:id="1037"/>
      </w:r>
      <w:r>
        <w:rPr>
          <w:rFonts w:ascii="Amiri" w:hAnsi="Amiri" w:eastAsia="Amiri" w:cs="Amiri"/>
          <w:color w:val="111111"/>
          <w:sz w:val="28"/>
          <w:sz w:val="28"/>
          <w:szCs w:val="28"/>
          <w:rtl w:val="true"/>
          <w:lang w:bidi="ar-SA"/>
        </w:rPr>
        <w:t>العاقلُ مِنّا أن يَكونَ أقامَ في بَلَدٍ مِن البُلدانِ مُتصرِّفاً، و هو كاملٌ عاقلٌ‌، ثُمَّ نَسيَ ذلكَ كُلَّه مع تَطاوُلِ العهدِ، حتّىٰ لا يَذكُرُ مِن أحوالِه تلكَ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نَذكُرْ </w:t>
      </w:r>
      <w:r>
        <w:rPr>
          <w:rStyle w:val="FootnoteAnchor"/>
          <w:rtl w:val="true"/>
        </w:rPr>
        <w:footnoteReference w:id="1038"/>
      </w:r>
      <w:r>
        <w:rPr>
          <w:rFonts w:ascii="Amiri" w:hAnsi="Amiri" w:eastAsia="Amiri" w:cs="Amiri"/>
          <w:color w:val="111111"/>
          <w:sz w:val="28"/>
          <w:sz w:val="28"/>
          <w:szCs w:val="28"/>
          <w:rtl w:val="true"/>
          <w:lang w:bidi="ar-SA"/>
        </w:rPr>
        <w:t>ما جَرىٰ مِنّا و إنّا في حالِ الطُّفوليّةِ‌؛ لفَقدِ كمالِ العقلِ في تلكَ الحالِ‌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يَتعلَّقونَ‌ </w:t>
      </w:r>
      <w:r>
        <w:rPr>
          <w:rStyle w:val="FootnoteAnchor"/>
          <w:rtl w:val="true"/>
        </w:rPr>
        <w:footnoteReference w:id="1039"/>
      </w:r>
      <w:r>
        <w:rPr>
          <w:rFonts w:ascii="Amiri" w:hAnsi="Amiri" w:eastAsia="Amiri" w:cs="Amiri"/>
          <w:color w:val="111111"/>
          <w:sz w:val="28"/>
          <w:sz w:val="28"/>
          <w:szCs w:val="28"/>
          <w:rtl w:val="true"/>
          <w:lang w:bidi="ar-SA"/>
        </w:rPr>
        <w:t xml:space="preserve">به مِن تَخلُّلِ أحوالِ عَدَمٍ و مَوتٍ مِن تلكَ الحالِ و أحوالِنا هذه، </w:t>
      </w:r>
    </w:p>
    <w:p>
      <w:pPr>
        <w:pStyle w:val="BookText"/>
        <w:rPr/>
      </w:pPr>
      <w:r>
        <w:rPr>
          <w:rFonts w:ascii="Amiri" w:hAnsi="Amiri" w:eastAsia="Amiri" w:cs="Amiri"/>
          <w:color w:val="111111"/>
          <w:sz w:val="28"/>
          <w:sz w:val="28"/>
          <w:szCs w:val="28"/>
          <w:rtl w:val="true"/>
          <w:lang w:bidi="ar-SA"/>
        </w:rPr>
        <w:t>و يَجعَلونَه</w:t>
      </w:r>
      <w:r>
        <w:rPr>
          <w:rStyle w:val="FootnoteAnchor"/>
          <w:rtl w:val="true"/>
        </w:rPr>
        <w:footnoteReference w:id="1040"/>
      </w:r>
      <w:r>
        <w:rPr>
          <w:rFonts w:ascii="Amiri" w:hAnsi="Amiri" w:eastAsia="Amiri" w:cs="Amiri"/>
          <w:color w:val="111111"/>
          <w:sz w:val="28"/>
          <w:sz w:val="28"/>
          <w:szCs w:val="28"/>
          <w:rtl w:val="true"/>
          <w:lang w:bidi="ar-SA"/>
        </w:rPr>
        <w:t>سبباً</w:t>
      </w:r>
      <w:r>
        <w:rPr>
          <w:rStyle w:val="FootnoteAnchor"/>
          <w:rtl w:val="true"/>
        </w:rPr>
        <w:footnoteReference w:id="1041"/>
      </w:r>
      <w:r>
        <w:rPr>
          <w:rFonts w:ascii="Amiri" w:hAnsi="Amiri" w:eastAsia="Amiri" w:cs="Amiri"/>
          <w:color w:val="111111"/>
          <w:sz w:val="28"/>
          <w:sz w:val="28"/>
          <w:szCs w:val="28"/>
          <w:rtl w:val="true"/>
          <w:lang w:bidi="ar-SA"/>
        </w:rPr>
        <w:t>في عَدَمِ الذِّكرِ، غيرُ صحيحٍ‌؛ لأنّ اعتراضَ العَدَمِ أو المَوتِ بَينَ الأحوالِ لا يوجِبُ النسيانَ لجميعِ‌</w:t>
      </w:r>
      <w:r>
        <w:rPr>
          <w:rStyle w:val="FootnoteAnchor"/>
          <w:rtl w:val="true"/>
        </w:rPr>
        <w:footnoteReference w:id="1042"/>
      </w:r>
      <w:r>
        <w:rPr>
          <w:rFonts w:ascii="Amiri" w:hAnsi="Amiri" w:eastAsia="Amiri" w:cs="Amiri"/>
          <w:color w:val="111111"/>
          <w:sz w:val="28"/>
          <w:sz w:val="28"/>
          <w:szCs w:val="28"/>
          <w:rtl w:val="true"/>
          <w:lang w:bidi="ar-SA"/>
        </w:rPr>
        <w:t>ما جَرىٰ مع 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الأمراضِ المُزيلةِ للعُلومِ‌</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الأحوالِ لا يوجِبُ النسيانَ للعقلاءِ لِما</w:t>
      </w:r>
      <w:r>
        <w:rPr>
          <w:rStyle w:val="FootnoteAnchor"/>
          <w:rtl w:val="true"/>
        </w:rPr>
        <w:footnoteReference w:id="1044"/>
      </w:r>
      <w:r>
        <w:rPr>
          <w:rFonts w:ascii="Amiri" w:hAnsi="Amiri" w:eastAsia="Amiri" w:cs="Amiri"/>
          <w:color w:val="111111"/>
          <w:sz w:val="28"/>
          <w:sz w:val="28"/>
          <w:szCs w:val="28"/>
          <w:rtl w:val="true"/>
          <w:lang w:bidi="ar-SA"/>
        </w:rPr>
        <w:t>جَرىٰ بَينَهم‌؟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الأخبارُ إمّا أن تَكونَ باطلةً مصنوعةً‌، أو يَكونَ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مَواضِعَ كَثيرةٍ‌</w:t>
      </w:r>
      <w:r>
        <w:rPr>
          <w:rStyle w:val="FootnoteAnchor"/>
          <w:rtl w:val="true"/>
        </w:rPr>
        <w:footnoteReference w:id="1045"/>
      </w:r>
      <w:r>
        <w:rPr>
          <w:rFonts w:ascii="Amiri" w:hAnsi="Amiri" w:eastAsia="Amiri" w:cs="Amiri"/>
          <w:color w:val="111111"/>
          <w:sz w:val="28"/>
          <w:sz w:val="28"/>
          <w:szCs w:val="28"/>
          <w:rtl w:val="true"/>
          <w:lang w:bidi="ar-SA"/>
        </w:rPr>
        <w:t>مِن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و هو أنّ اللّٰهَ تَعالىٰ لمّا خَلَقَ الخَلقَ علىٰ أحوالٍ‌</w:t>
      </w:r>
      <w:r>
        <w:rPr>
          <w:rStyle w:val="FootnoteAnchor"/>
          <w:rtl w:val="true"/>
        </w:rPr>
        <w:footnoteReference w:id="1047"/>
      </w:r>
      <w:r>
        <w:rPr>
          <w:rFonts w:ascii="Amiri" w:hAnsi="Amiri" w:eastAsia="Amiri" w:cs="Amiri"/>
          <w:color w:val="111111"/>
          <w:sz w:val="28"/>
          <w:sz w:val="28"/>
          <w:szCs w:val="28"/>
          <w:rtl w:val="true"/>
          <w:lang w:bidi="ar-SA"/>
        </w:rPr>
        <w:t>تَدُلُّ‌</w:t>
      </w:r>
      <w:r>
        <w:rPr>
          <w:rStyle w:val="FootnoteAnchor"/>
          <w:rtl w:val="true"/>
        </w:rPr>
        <w:footnoteReference w:id="1048"/>
      </w:r>
      <w:r>
        <w:rPr>
          <w:rFonts w:ascii="Amiri" w:hAnsi="Amiri" w:eastAsia="Amiri" w:cs="Amiri"/>
          <w:color w:val="111111"/>
          <w:sz w:val="28"/>
          <w:sz w:val="28"/>
          <w:szCs w:val="28"/>
          <w:rtl w:val="true"/>
          <w:lang w:bidi="ar-SA"/>
        </w:rPr>
        <w:t>الناظرَ فيها المُتأمِّلَ لها علىٰ مَعرِفةِ اللّٰهِ و إلهيّتِه و وَحدانيّتِه و وجوبِ عبادتِه و طاعتِه، جازَ أن يُجعَلَ تسخيرُها</w:t>
      </w:r>
      <w:r>
        <w:rPr>
          <w:rStyle w:val="FootnoteAnchor"/>
          <w:rtl w:val="true"/>
        </w:rPr>
        <w:footnoteReference w:id="1049"/>
      </w:r>
      <w:r>
        <w:rPr>
          <w:rFonts w:ascii="Amiri" w:hAnsi="Amiri" w:eastAsia="Amiri" w:cs="Amiri"/>
          <w:color w:val="111111"/>
          <w:sz w:val="28"/>
          <w:sz w:val="28"/>
          <w:szCs w:val="28"/>
          <w:rtl w:val="true"/>
          <w:lang w:bidi="ar-SA"/>
        </w:rPr>
        <w:t xml:space="preserve">و حُصولُها علىٰ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منها بالوَحدانيّةِ و وجوبِ العبادةِ‌، و يُجعَلَ تصييرُها علىٰ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ما </w:t>
      </w:r>
    </w:p>
    <w:p>
      <w:pPr>
        <w:pStyle w:val="BookText"/>
        <w:rPr/>
      </w:pPr>
      <w:r>
        <w:rPr>
          <w:rFonts w:ascii="Amiri" w:hAnsi="Amiri" w:eastAsia="Amiri" w:cs="Amiri"/>
          <w:color w:val="111111"/>
          <w:sz w:val="28"/>
          <w:sz w:val="28"/>
          <w:szCs w:val="28"/>
          <w:rtl w:val="true"/>
          <w:lang w:bidi="ar-SA"/>
        </w:rPr>
        <w:t>ذَكرناه</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استشهاداً لها علىٰ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للعربِ في هذا المعنىٰ مِن الكلامِ المَنثورِ و المَنظومِ ما لا يُحصىٰ كَثرةً‌؛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 الحَوضُ‌،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رُوَيداً، قد مَلأَتَ بَطني</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ملأتُه حتّىٰ لَو</w:t>
      </w:r>
      <w:r>
        <w:rPr>
          <w:rStyle w:val="FootnoteAnchor"/>
          <w:rtl w:val="true"/>
        </w:rPr>
        <w:footnoteReference w:id="1052"/>
      </w:r>
      <w:r>
        <w:rPr>
          <w:rFonts w:ascii="Amiri" w:hAnsi="Amiri" w:eastAsia="Amiri" w:cs="Amiri"/>
          <w:color w:val="111111"/>
          <w:sz w:val="28"/>
          <w:sz w:val="28"/>
          <w:szCs w:val="28"/>
          <w:rtl w:val="true"/>
          <w:lang w:bidi="ar-SA"/>
        </w:rPr>
        <w:t>أنّه ممّن يَقولُ لَقالَ‌</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حَسْبي، قد اكتَفَيتُ‌</w:t>
      </w:r>
      <w:r>
        <w:rPr>
          <w:rStyle w:val="FootnoteAnchor"/>
          <w:rtl w:val="true"/>
        </w:rPr>
        <w:footnoteReference w:id="1054"/>
      </w:r>
      <w:r>
        <w:rPr>
          <w:rFonts w:ascii="Amiri" w:hAnsi="Amiri" w:eastAsia="Amiri" w:cs="Amiri"/>
          <w:color w:val="111111"/>
          <w:sz w:val="28"/>
          <w:sz w:val="28"/>
          <w:szCs w:val="28"/>
          <w:rtl w:val="true"/>
          <w:lang w:bidi="ar-SA"/>
        </w:rPr>
        <w:t>، فجَعَلَ ما لَو كانَ قائلاً لَنَطَقَ به،</w:t>
      </w:r>
      <w:r>
        <w:rPr>
          <w:rStyle w:val="FootnoteAnchor"/>
          <w:rtl w:val="true"/>
        </w:rPr>
        <w:footnoteReference w:id="1055"/>
      </w:r>
      <w:r>
        <w:rPr>
          <w:rFonts w:ascii="Amiri" w:hAnsi="Amiri" w:eastAsia="Amiri" w:cs="Amiri"/>
          <w:color w:val="111111"/>
          <w:sz w:val="28"/>
          <w:sz w:val="28"/>
          <w:szCs w:val="28"/>
          <w:rtl w:val="true"/>
          <w:lang w:bidi="ar-SA"/>
        </w:rPr>
        <w:t>كأنّه قالَ و نَطَقَ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w:t>
      </w:r>
      <w:r>
        <w:rPr>
          <w:rStyle w:val="FootnoteAnchor"/>
          <w:rtl w:val="true"/>
        </w:rPr>
        <w:footnoteReference w:id="1056"/>
      </w:r>
      <w:r>
        <w:rPr>
          <w:rFonts w:ascii="Amiri" w:hAnsi="Amiri" w:eastAsia="Amiri" w:cs="Amiri"/>
          <w:color w:val="111111"/>
          <w:sz w:val="28"/>
          <w:sz w:val="28"/>
          <w:szCs w:val="28"/>
          <w:rtl w:val="true"/>
          <w:lang w:bidi="ar-SA"/>
        </w:rPr>
        <w:t>تأويلُ الآيةِ و الأخبارِ المَرويّةِ في الذَّرِّ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الجُملةِ كِفايةٌ‌</w:t>
      </w:r>
      <w:r>
        <w:rPr>
          <w:rFonts w:eastAsia="Amiri" w:cs="Amiri" w:ascii="Amiri" w:hAnsi="Amiri"/>
          <w:color w:val="111111"/>
          <w:sz w:val="28"/>
          <w:szCs w:val="28"/>
          <w:rtl w:val="true"/>
          <w:lang w:bidi="ar-SA"/>
        </w:rPr>
        <w:t xml:space="preserve">. </w:t>
      </w:r>
      <w:bookmarkStart w:id="192" w:name="pg16415_223832"/>
    </w:p>
    <w:p>
      <w:pPr>
        <w:pStyle w:val="Heading6"/>
        <w:numPr>
          <w:ilvl w:val="5"/>
          <w:numId w:val="1"/>
        </w:numPr>
        <w:rPr/>
      </w:pPr>
      <w:bookmarkStart w:id="193" w:name="__RefHeading___Toc7642360_1280447820"/>
      <w:bookmarkStart w:id="194" w:name="_Toc67"/>
      <w:bookmarkEnd w:id="192"/>
      <w:bookmarkEnd w:id="193"/>
      <w:r>
        <w:rPr>
          <w:rtl w:val="true"/>
        </w:rPr>
        <w:t>المَسألةُ الخامسةُ البَداءُ و حقيقتُه</w:t>
      </w:r>
      <w:bookmarkEnd w:id="194"/>
    </w:p>
    <w:p>
      <w:pPr>
        <w:pStyle w:val="BookText"/>
        <w:rPr/>
      </w:pPr>
      <w:r>
        <w:rPr>
          <w:rFonts w:ascii="Amiri" w:hAnsi="Amiri" w:eastAsia="Amiri" w:cs="Amiri"/>
          <w:color w:val="111111"/>
          <w:sz w:val="28"/>
          <w:sz w:val="28"/>
          <w:szCs w:val="28"/>
          <w:rtl w:val="true"/>
          <w:lang w:bidi="ar-SA"/>
        </w:rPr>
        <w:t xml:space="preserve">ما تَقولُ في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و هَل هو لَفظٌ له معنىً يُطابِقُ الحَقَّ‌،</w:t>
      </w:r>
      <w:r>
        <w:rPr>
          <w:rStyle w:val="FootnoteAnchor"/>
          <w:rtl w:val="true"/>
        </w:rPr>
        <w:footnoteReference w:id="1057"/>
      </w:r>
      <w:r>
        <w:rPr>
          <w:rFonts w:ascii="Amiri" w:hAnsi="Amiri" w:eastAsia="Amiri" w:cs="Amiri"/>
          <w:color w:val="111111"/>
          <w:sz w:val="28"/>
          <w:sz w:val="28"/>
          <w:szCs w:val="28"/>
          <w:rtl w:val="true"/>
          <w:lang w:bidi="ar-SA"/>
        </w:rPr>
        <w:t>أَم لا يَجوزُ إطلاقُ هذه اللفظةِ علىٰ حالٍ؟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هو الظهورُ،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الشيءُ‌، إذا ظَهَرَ و بانَ‌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المُتكلِّمونَ تَعارَفوا فيما بَينَهم أن يُسَمّوا ما</w:t>
      </w:r>
      <w:r>
        <w:rPr>
          <w:rStyle w:val="FootnoteAnchor"/>
          <w:rtl w:val="true"/>
        </w:rPr>
        <w:footnoteReference w:id="1058"/>
      </w:r>
      <w:r>
        <w:rPr>
          <w:rFonts w:ascii="Amiri" w:hAnsi="Amiri" w:eastAsia="Amiri" w:cs="Amiri"/>
          <w:color w:val="111111"/>
          <w:sz w:val="28"/>
          <w:sz w:val="28"/>
          <w:szCs w:val="28"/>
          <w:rtl w:val="true"/>
          <w:lang w:bidi="ar-SA"/>
        </w:rPr>
        <w:t>يَقتَضي هذا البَداءَ بِاسمِه،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w:t>
      </w:r>
      <w:r>
        <w:rPr>
          <w:rStyle w:val="FootnoteAnchor"/>
          <w:rtl w:val="true"/>
        </w:rPr>
        <w:footnoteReference w:id="1059"/>
      </w:r>
      <w:r>
        <w:rPr>
          <w:rFonts w:ascii="Amiri" w:hAnsi="Amiri" w:eastAsia="Amiri" w:cs="Amiri"/>
          <w:color w:val="111111"/>
          <w:sz w:val="28"/>
          <w:sz w:val="28"/>
          <w:szCs w:val="28"/>
          <w:rtl w:val="true"/>
          <w:lang w:bidi="ar-SA"/>
        </w:rPr>
        <w:t>اللّٰهُ تَعالىٰ بالشيءِ في وقتٍ مخصوصٍ علىٰ وجهٍ مُعيَّنٍ لمُكلَّفٍ‌</w:t>
      </w:r>
      <w:r>
        <w:rPr>
          <w:rStyle w:val="FootnoteAnchor"/>
          <w:rtl w:val="true"/>
        </w:rPr>
        <w:footnoteReference w:id="1060"/>
      </w:r>
      <w:r>
        <w:rPr>
          <w:rFonts w:ascii="Amiri" w:hAnsi="Amiri" w:eastAsia="Amiri" w:cs="Amiri"/>
          <w:color w:val="111111"/>
          <w:sz w:val="28"/>
          <w:sz w:val="28"/>
          <w:szCs w:val="28"/>
          <w:rtl w:val="true"/>
          <w:lang w:bidi="ar-SA"/>
        </w:rPr>
        <w:t xml:space="preserve">واحدٍ، ثُمَّ نَهىٰ عنه علىٰ هذه الوجوهِ كُلِّها،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يَدُلُّ عليه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w:t>
      </w:r>
      <w:r>
        <w:rPr>
          <w:rStyle w:val="FootnoteAnchor"/>
          <w:rtl w:val="true"/>
        </w:rPr>
        <w:footnoteReference w:id="1061"/>
      </w:r>
      <w:r>
        <w:rPr>
          <w:rFonts w:ascii="Amiri" w:hAnsi="Amiri" w:eastAsia="Amiri" w:cs="Amiri"/>
          <w:color w:val="111111"/>
          <w:sz w:val="28"/>
          <w:sz w:val="28"/>
          <w:szCs w:val="28"/>
          <w:rtl w:val="true"/>
          <w:lang w:bidi="ar-SA"/>
        </w:rPr>
        <w:t>أمرٌ لَم يَكُن ظاهراً، ما</w:t>
      </w:r>
      <w:r>
        <w:rPr>
          <w:rStyle w:val="FootnoteAnchor"/>
          <w:rtl w:val="true"/>
        </w:rPr>
        <w:footnoteReference w:id="1062"/>
      </w:r>
      <w:r>
        <w:rPr>
          <w:rFonts w:ascii="Amiri" w:hAnsi="Amiri" w:eastAsia="Amiri" w:cs="Amiri"/>
          <w:color w:val="111111"/>
          <w:sz w:val="28"/>
          <w:sz w:val="28"/>
          <w:szCs w:val="28"/>
          <w:rtl w:val="true"/>
          <w:lang w:bidi="ar-SA"/>
        </w:rPr>
        <w:t>جازَ أن يُطابِقَ النهيُ الأمرَ بهذه المُطابَقةِ‌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فَرَّقوا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Style w:val="FootnoteAnchor"/>
          <w:rtl w:val="true"/>
        </w:rPr>
        <w:footnoteReference w:id="1064"/>
      </w:r>
      <w:r>
        <w:rPr>
          <w:rFonts w:ascii="Amiri" w:hAnsi="Amiri" w:eastAsia="Amiri" w:cs="Amiri"/>
          <w:color w:val="111111"/>
          <w:sz w:val="28"/>
          <w:sz w:val="28"/>
          <w:szCs w:val="28"/>
          <w:rtl w:val="true"/>
          <w:lang w:bidi="ar-SA"/>
        </w:rPr>
        <w:t>الوقتَينِ في الناسخِ 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علىٰ ما حَدَّدناه لا يَجوزُ علَى اللّٰهِ تَعالىٰ‌؛ لأنّه عالِمٌ لِنفسِه</w:t>
      </w:r>
      <w:r>
        <w:rPr>
          <w:rStyle w:val="FootnoteAnchor"/>
          <w:rtl w:val="true"/>
        </w:rPr>
        <w:footnoteReference w:id="1065"/>
      </w:r>
      <w:r>
        <w:rPr>
          <w:rFonts w:ascii="Amiri" w:hAnsi="Amiri" w:eastAsia="Amiri" w:cs="Amiri"/>
          <w:color w:val="111111"/>
          <w:sz w:val="28"/>
          <w:sz w:val="28"/>
          <w:szCs w:val="28"/>
          <w:rtl w:val="true"/>
          <w:lang w:bidi="ar-SA"/>
        </w:rPr>
        <w:t>، لا يَجوزُ</w:t>
      </w:r>
      <w:r>
        <w:rPr>
          <w:rStyle w:val="FootnoteAnchor"/>
          <w:rtl w:val="true"/>
        </w:rPr>
        <w:footnoteReference w:id="1066"/>
      </w:r>
      <w:r>
        <w:rPr>
          <w:rFonts w:ascii="Amiri" w:hAnsi="Amiri" w:eastAsia="Amiri" w:cs="Amiri"/>
          <w:color w:val="111111"/>
          <w:sz w:val="28"/>
          <w:sz w:val="28"/>
          <w:szCs w:val="28"/>
          <w:rtl w:val="true"/>
          <w:lang w:bidi="ar-SA"/>
        </w:rPr>
        <w:t>أن يَتجدَّدَ كَونُه عالِماً، و لا أن يَظهَرَ له مِن المعلوماتِ ما لَم يَكُن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البَداءُ لا يَجوزُ عليه</w:t>
      </w:r>
      <w:r>
        <w:rPr>
          <w:rStyle w:val="FootnoteAnchor"/>
          <w:rtl w:val="true"/>
        </w:rPr>
        <w:footnoteReference w:id="1067"/>
      </w:r>
      <w:r>
        <w:rPr>
          <w:rFonts w:ascii="Amiri" w:hAnsi="Amiri" w:eastAsia="Amiri" w:cs="Amiri"/>
          <w:color w:val="111111"/>
          <w:sz w:val="28"/>
          <w:sz w:val="28"/>
          <w:szCs w:val="28"/>
          <w:rtl w:val="true"/>
          <w:lang w:bidi="ar-SA"/>
        </w:rPr>
        <w:t>، لَم يَجُز أيضاً عليه ما يَدُلُّ علَى البَداءِ و يَقتَضيهِ‌</w:t>
      </w:r>
      <w:r>
        <w:rPr>
          <w:rStyle w:val="FootnoteAnchor"/>
          <w:rtl w:val="true"/>
        </w:rPr>
        <w:footnoteReference w:id="1068"/>
      </w:r>
      <w:r>
        <w:rPr>
          <w:rFonts w:ascii="Amiri" w:hAnsi="Amiri" w:eastAsia="Amiri" w:cs="Amiri"/>
          <w:color w:val="111111"/>
          <w:sz w:val="28"/>
          <w:sz w:val="28"/>
          <w:szCs w:val="28"/>
          <w:rtl w:val="true"/>
          <w:lang w:bidi="ar-SA"/>
        </w:rPr>
        <w:t>مِن النهيِ عن نفسِ ما أمَرَ به علىٰ وجهِه في وقتِه، و المأمورُ و المَنهيُّ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أخبارُ آحادٍ لا توجِبُ عِلماً و لا تَقتَضي قَطعاً بإضافةِ البَداءِ إلَى اللّٰهِ تَعالىٰ‌،</w:t>
      </w:r>
      <w:r>
        <w:rPr>
          <w:rStyle w:val="FootnoteAnchor"/>
          <w:rtl w:val="true"/>
        </w:rPr>
        <w:footnoteReference w:id="1069"/>
      </w:r>
      <w:r>
        <w:rPr>
          <w:rFonts w:ascii="Amiri" w:hAnsi="Amiri" w:eastAsia="Amiri" w:cs="Amiri"/>
          <w:color w:val="111111"/>
          <w:sz w:val="28"/>
          <w:sz w:val="28"/>
          <w:szCs w:val="28"/>
          <w:rtl w:val="true"/>
          <w:lang w:bidi="ar-SA"/>
        </w:rPr>
        <w:t>و حَمَلَها</w:t>
      </w:r>
      <w:r>
        <w:rPr>
          <w:rStyle w:val="FootnoteAnchor"/>
          <w:rtl w:val="true"/>
        </w:rPr>
        <w:footnoteReference w:id="1070"/>
      </w:r>
      <w:r>
        <w:rPr>
          <w:rFonts w:ascii="Amiri" w:hAnsi="Amiri" w:eastAsia="Amiri" w:cs="Amiri"/>
          <w:color w:val="111111"/>
          <w:sz w:val="28"/>
          <w:sz w:val="28"/>
          <w:szCs w:val="28"/>
          <w:rtl w:val="true"/>
          <w:lang w:bidi="ar-SA"/>
        </w:rPr>
        <w:t>مُحقِّقو أصحابِنا علىٰ أنّ المُرادَ بلَفظِ</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النَّسخُ للشرائعِ‌، و لا خِلافَ بَينَ العلماءِ في جوازِ النَّسخِ للشرائعِ‌</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بَقيَ أن 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لفظةُ‌</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مُستَعارةٌ؟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في النَّسخِ غيرُ مُستَعارةٍ‌؛</w:t>
      </w:r>
      <w:r>
        <w:rPr>
          <w:rStyle w:val="FootnoteAnchor"/>
          <w:rtl w:val="true"/>
        </w:rPr>
        <w:footnoteReference w:id="1074"/>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 في اللغةِ العربيّةِ اسماً للظهورِ، و إذا سَمَّينا مَن ظَهَرَ له مِن المعلوماتِ ما لَم يَكُن ظاهراً، حتَّى اقتَضىٰ ذلكَ أن يأمُرَ بنفسِ ما نَهىٰ عنه، أو يَنهىٰ عن نفسِ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w:t>
      </w:r>
      <w:r>
        <w:rPr>
          <w:rStyle w:val="FootnoteAnchor"/>
          <w:rtl w:val="true"/>
        </w:rPr>
        <w:footnoteReference w:id="1076"/>
      </w:r>
      <w:r>
        <w:rPr>
          <w:rFonts w:ascii="Amiri" w:hAnsi="Amiri" w:eastAsia="Amiri" w:cs="Amiri"/>
          <w:color w:val="111111"/>
          <w:sz w:val="28"/>
          <w:sz w:val="28"/>
          <w:szCs w:val="28"/>
          <w:rtl w:val="true"/>
          <w:lang w:bidi="ar-SA"/>
        </w:rPr>
        <w:t>يَمتَنِعْ أيضاً</w:t>
      </w:r>
      <w:r>
        <w:rPr>
          <w:rStyle w:val="FootnoteAnchor"/>
          <w:rtl w:val="true"/>
        </w:rPr>
        <w:footnoteReference w:id="1077"/>
      </w:r>
      <w:r>
        <w:rPr>
          <w:rFonts w:ascii="Amiri" w:hAnsi="Amiri" w:eastAsia="Amiri" w:cs="Amiri"/>
          <w:color w:val="111111"/>
          <w:sz w:val="28"/>
          <w:sz w:val="28"/>
          <w:szCs w:val="28"/>
          <w:rtl w:val="true"/>
          <w:lang w:bidi="ar-SA"/>
        </w:rPr>
        <w:t xml:space="preserve">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 النهيِ و الحَظرِ بَعدَ الإباحةِ علىٰ سَبيلِ التدريجِ‌، بأنّه</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ظَهَرَ مِن الأمرِ ما لَم يَكُن ظاهراً، و بَدا مِن الحَظْرِ</w:t>
      </w:r>
      <w:r>
        <w:rPr>
          <w:rStyle w:val="FootnoteAnchor"/>
          <w:rtl w:val="true"/>
        </w:rPr>
        <w:footnoteReference w:id="1079"/>
      </w:r>
      <w:r>
        <w:rPr>
          <w:rFonts w:ascii="Amiri" w:hAnsi="Amiri" w:eastAsia="Amiri" w:cs="Amiri"/>
          <w:color w:val="111111"/>
          <w:sz w:val="28"/>
          <w:sz w:val="28"/>
          <w:szCs w:val="28"/>
          <w:rtl w:val="true"/>
          <w:lang w:bidi="ar-SA"/>
        </w:rPr>
        <w:t>ما لم يكن بادياً</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فمعنَى</w:t>
      </w:r>
      <w:r>
        <w:rPr>
          <w:rStyle w:val="FootnoteAnchor"/>
          <w:rtl w:val="true"/>
        </w:rPr>
        <w:footnoteReference w:id="1081"/>
      </w:r>
      <w:r>
        <w:rPr>
          <w:rFonts w:ascii="Amiri" w:hAnsi="Amiri" w:eastAsia="Amiri" w:cs="Amiri"/>
          <w:color w:val="111111"/>
          <w:sz w:val="28"/>
          <w:sz w:val="28"/>
          <w:szCs w:val="28"/>
          <w:rtl w:val="true"/>
          <w:lang w:bidi="ar-SA"/>
        </w:rPr>
        <w:t>البَداءِ الذي هو الظهورُ و البُروزُ حاصلٌ في الأمرَينِ‌؛ فما المانعُ علىٰ مُقتَضَى</w:t>
      </w:r>
      <w:r>
        <w:rPr>
          <w:rStyle w:val="FootnoteAnchor"/>
          <w:rtl w:val="true"/>
        </w:rPr>
        <w:footnoteReference w:id="1082"/>
      </w:r>
      <w:r>
        <w:rPr>
          <w:rFonts w:ascii="Amiri" w:hAnsi="Amiri" w:eastAsia="Amiri" w:cs="Amiri"/>
          <w:color w:val="111111"/>
          <w:sz w:val="28"/>
          <w:sz w:val="28"/>
          <w:szCs w:val="28"/>
          <w:rtl w:val="true"/>
          <w:lang w:bidi="ar-SA"/>
        </w:rPr>
        <w:t>اشتقاقِ اللغةِ‌</w:t>
      </w:r>
      <w:r>
        <w:rPr>
          <w:rStyle w:val="FootnoteAnchor"/>
          <w:rtl w:val="true"/>
        </w:rPr>
        <w:footnoteReference w:id="1083"/>
      </w:r>
      <w:r>
        <w:rPr>
          <w:rFonts w:ascii="Amiri" w:hAnsi="Amiri" w:eastAsia="Amiri" w:cs="Amiri"/>
          <w:color w:val="111111"/>
          <w:sz w:val="28"/>
          <w:sz w:val="28"/>
          <w:szCs w:val="28"/>
          <w:rtl w:val="true"/>
          <w:lang w:bidi="ar-SA"/>
        </w:rPr>
        <w:t>، أن نُسمّيَ‌</w:t>
      </w:r>
      <w:r>
        <w:rPr>
          <w:rStyle w:val="FootnoteAnchor"/>
          <w:rtl w:val="true"/>
        </w:rPr>
        <w:footnoteReference w:id="1084"/>
      </w:r>
      <w:r>
        <w:rPr>
          <w:rFonts w:ascii="Amiri" w:hAnsi="Amiri" w:eastAsia="Amiri" w:cs="Amiri"/>
          <w:color w:val="111111"/>
          <w:sz w:val="28"/>
          <w:sz w:val="28"/>
          <w:szCs w:val="28"/>
          <w:rtl w:val="true"/>
          <w:lang w:bidi="ar-SA"/>
        </w:rPr>
        <w:t>الأمرَينِ بَداءً‌؛ لأنّ فيهما معاً ظهورَ أمرٍ لَم يَكُن ظاهراً؟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يَسوغُ إذا أُطلِقَ لَفظُ</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يُضَفْ‌</w:t>
      </w:r>
      <w:r>
        <w:rPr>
          <w:rStyle w:val="FootnoteAnchor"/>
          <w:rtl w:val="true"/>
        </w:rPr>
        <w:footnoteReference w:id="1086"/>
      </w:r>
      <w:r>
        <w:rPr>
          <w:rFonts w:ascii="Amiri" w:hAnsi="Amiri" w:eastAsia="Amiri" w:cs="Amiri"/>
          <w:color w:val="111111"/>
          <w:sz w:val="28"/>
          <w:sz w:val="28"/>
          <w:szCs w:val="28"/>
          <w:rtl w:val="true"/>
          <w:lang w:bidi="ar-SA"/>
        </w:rPr>
        <w:t>فأمّا إذا أُضيفَ فقيلَ‌</w:t>
      </w:r>
      <w:r>
        <w:rPr>
          <w:rFonts w:eastAsia="Amiri" w:cs="Amiri" w:ascii="Amiri" w:hAnsi="Amiri"/>
          <w:color w:val="111111"/>
          <w:sz w:val="28"/>
          <w:szCs w:val="28"/>
          <w:rtl w:val="true"/>
          <w:lang w:bidi="ar-SA"/>
        </w:rPr>
        <w:t>:</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يَليقُ إلّابما ذَكرناه، دونَ ما خَرَّجتُموه؛ لأنّ 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أمَرَ بَعدَ نَهيٍ‌</w:t>
      </w:r>
      <w:r>
        <w:rPr>
          <w:rStyle w:val="FootnoteAnchor"/>
          <w:rtl w:val="true"/>
        </w:rPr>
        <w:footnoteReference w:id="1088"/>
      </w:r>
      <w:r>
        <w:rPr>
          <w:rFonts w:ascii="Amiri" w:hAnsi="Amiri" w:eastAsia="Amiri" w:cs="Amiri"/>
          <w:color w:val="111111"/>
          <w:sz w:val="28"/>
          <w:sz w:val="28"/>
          <w:szCs w:val="28"/>
          <w:rtl w:val="true"/>
          <w:lang w:bidi="ar-SA"/>
        </w:rPr>
        <w:t>، أو نَهىٰ بَعدَ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ما كانَ مُطَّلِعاً</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خَصَّه فلا يَتعَدّاه</w:t>
      </w:r>
      <w:r>
        <w:rPr>
          <w:rStyle w:val="FootnoteAnchor"/>
          <w:rtl w:val="true"/>
        </w:rPr>
        <w:footnoteReference w:id="1090"/>
      </w:r>
      <w:r>
        <w:rPr>
          <w:rFonts w:ascii="Amiri" w:hAnsi="Amiri" w:eastAsia="Amiri" w:cs="Amiri"/>
          <w:color w:val="111111"/>
          <w:sz w:val="28"/>
          <w:sz w:val="28"/>
          <w:szCs w:val="28"/>
          <w:rtl w:val="true"/>
          <w:lang w:bidi="ar-SA"/>
        </w:rPr>
        <w:t>إلىٰ غيرِه، فيَجوزُ أن يُقالَ علىٰ سَبيلِ 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النَّسخُ‌؛ لأنّ الأمرَ و إن كانَ مُتجدِّداً بَعدَ النهيِ‌، و كذلكَ الحَظرُ بَعدَ الإباحةِ‌، فذلكَ ممّا</w:t>
      </w:r>
      <w:r>
        <w:rPr>
          <w:rStyle w:val="FootnoteAnchor"/>
          <w:rtl w:val="true"/>
        </w:rPr>
        <w:footnoteReference w:id="1091"/>
      </w:r>
      <w:r>
        <w:rPr>
          <w:rFonts w:ascii="Amiri" w:hAnsi="Amiri" w:eastAsia="Amiri" w:cs="Amiri"/>
          <w:color w:val="111111"/>
          <w:sz w:val="28"/>
          <w:sz w:val="28"/>
          <w:szCs w:val="28"/>
          <w:rtl w:val="true"/>
          <w:lang w:bidi="ar-SA"/>
        </w:rPr>
        <w:t>لا يَقتَضي الإضافةَ علىٰ سَبيلِ التخصيصِ‌؛ لأنّ الأمرَ المُتجدِّدَ ظاهرٌ للآمِرِ</w:t>
      </w:r>
      <w:r>
        <w:rPr>
          <w:rStyle w:val="FootnoteAnchor"/>
          <w:rtl w:val="true"/>
        </w:rPr>
        <w:footnoteReference w:id="1092"/>
      </w:r>
      <w:r>
        <w:rPr>
          <w:rFonts w:ascii="Amiri" w:hAnsi="Amiri" w:eastAsia="Amiri" w:cs="Amiri"/>
          <w:color w:val="111111"/>
          <w:sz w:val="28"/>
          <w:sz w:val="28"/>
          <w:szCs w:val="28"/>
          <w:rtl w:val="true"/>
          <w:lang w:bidi="ar-SA"/>
        </w:rPr>
        <w:t>، و لكُلِّ سامعٍ له و مُخاطَبٍ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w:t>
      </w:r>
      <w:r>
        <w:rPr>
          <w:rStyle w:val="FootnoteAnchor"/>
          <w:rtl w:val="true"/>
        </w:rPr>
        <w:footnoteReference w:id="1093"/>
      </w:r>
      <w:r>
        <w:rPr>
          <w:rFonts w:ascii="Amiri" w:hAnsi="Amiri" w:eastAsia="Amiri" w:cs="Amiri"/>
          <w:color w:val="111111"/>
          <w:sz w:val="28"/>
          <w:sz w:val="28"/>
          <w:szCs w:val="28"/>
          <w:rtl w:val="true"/>
          <w:lang w:bidi="ar-SA"/>
        </w:rPr>
        <w:t>ضعيفٌ‌؛ لأنّه قد يَجوزُ أن يُضافَ إلَيَّ‌</w:t>
      </w:r>
      <w:r>
        <w:rPr>
          <w:rStyle w:val="FootnoteAnchor"/>
          <w:rtl w:val="true"/>
        </w:rPr>
        <w:footnoteReference w:id="1094"/>
      </w:r>
      <w:r>
        <w:rPr>
          <w:rFonts w:ascii="Amiri" w:hAnsi="Amiri" w:eastAsia="Amiri" w:cs="Amiri"/>
          <w:color w:val="111111"/>
          <w:sz w:val="28"/>
          <w:sz w:val="28"/>
          <w:szCs w:val="28"/>
          <w:rtl w:val="true"/>
          <w:lang w:bidi="ar-SA"/>
        </w:rPr>
        <w:t xml:space="preserve">مِن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يُشارِكُني فيه غيري</w:t>
      </w:r>
      <w:r>
        <w:rPr>
          <w:rStyle w:val="FootnoteAnchor"/>
          <w:rtl w:val="true"/>
        </w:rPr>
        <w:footnoteReference w:id="1095"/>
      </w:r>
      <w:r>
        <w:rPr>
          <w:rFonts w:ascii="Amiri" w:hAnsi="Amiri" w:eastAsia="Amiri" w:cs="Amiri"/>
          <w:color w:val="111111"/>
          <w:sz w:val="28"/>
          <w:sz w:val="28"/>
          <w:szCs w:val="28"/>
          <w:rtl w:val="true"/>
          <w:lang w:bidi="ar-SA"/>
        </w:rPr>
        <w:t>، و لا تَمنَعُ‌</w:t>
      </w:r>
      <w:r>
        <w:rPr>
          <w:rStyle w:val="FootnoteAnchor"/>
          <w:rtl w:val="true"/>
        </w:rPr>
        <w:footnoteReference w:id="1096"/>
      </w:r>
      <w:r>
        <w:rPr>
          <w:rFonts w:ascii="Amiri" w:hAnsi="Amiri" w:eastAsia="Amiri" w:cs="Amiri"/>
          <w:color w:val="111111"/>
          <w:sz w:val="28"/>
          <w:sz w:val="28"/>
          <w:szCs w:val="28"/>
          <w:rtl w:val="true"/>
          <w:lang w:bidi="ar-SA"/>
        </w:rPr>
        <w:t>مُشارَكةُ غيري</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ذلكَ بادٍ له</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إضافتِه إلَيَّ‌</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ألا تَرىٰ أنّه قد يَجوزُ أن يَظهَرَ لي و لغَيري مِن حُسنِ الفِعلِ أو قُبحِه ما لَم يَكُن ظاهراً، فآمُرَ به</w:t>
      </w:r>
      <w:r>
        <w:rPr>
          <w:rStyle w:val="FootnoteAnchor"/>
          <w:rtl w:val="true"/>
        </w:rPr>
        <w:footnoteReference w:id="1100"/>
      </w:r>
      <w:r>
        <w:rPr>
          <w:rFonts w:ascii="Amiri" w:hAnsi="Amiri" w:eastAsia="Amiri" w:cs="Amiri"/>
          <w:color w:val="111111"/>
          <w:sz w:val="28"/>
          <w:sz w:val="28"/>
          <w:szCs w:val="28"/>
          <w:rtl w:val="true"/>
          <w:lang w:bidi="ar-SA"/>
        </w:rPr>
        <w:t>بَعدَ نَهيٍ‌، أو أَنهىٰ‌</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w:t>
      </w:r>
      <w:r>
        <w:rPr>
          <w:rStyle w:val="FootnoteAnchor"/>
          <w:rtl w:val="true"/>
        </w:rPr>
        <w:footnoteReference w:id="11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فدَلَّ علىٰ‌</w:t>
      </w:r>
      <w:r>
        <w:rPr>
          <w:rStyle w:val="FootnoteAnchor"/>
          <w:rtl w:val="true"/>
        </w:rPr>
        <w:footnoteReference w:id="1103"/>
      </w:r>
      <w:r>
        <w:rPr>
          <w:rFonts w:ascii="Amiri" w:hAnsi="Amiri" w:eastAsia="Amiri" w:cs="Amiri"/>
          <w:color w:val="111111"/>
          <w:sz w:val="28"/>
          <w:sz w:val="28"/>
          <w:szCs w:val="28"/>
          <w:rtl w:val="true"/>
          <w:lang w:bidi="ar-SA"/>
        </w:rPr>
        <w:t xml:space="preserve">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البَداءُ‌</w:t>
      </w:r>
      <w:r>
        <w:rPr>
          <w:rStyle w:val="FootnoteAnchor"/>
          <w:rtl w:val="true"/>
        </w:rPr>
        <w:footnoteReference w:id="1104"/>
      </w:r>
      <w:r>
        <w:rPr>
          <w:rFonts w:ascii="Amiri" w:hAnsi="Amiri" w:eastAsia="Amiri" w:cs="Amiri"/>
          <w:color w:val="111111"/>
          <w:sz w:val="28"/>
          <w:sz w:val="28"/>
          <w:szCs w:val="28"/>
          <w:rtl w:val="true"/>
          <w:lang w:bidi="ar-SA"/>
        </w:rPr>
        <w:t xml:space="preserve">إليه، و إن شارَكَه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فالمُشارَكةُ لَيسَ تَنفي هذه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w:t>
      </w:r>
      <w:r>
        <w:rPr>
          <w:rStyle w:val="FootnoteAnchor"/>
          <w:rtl w:val="true"/>
        </w:rPr>
        <w:footnoteReference w:id="1105"/>
      </w:r>
      <w:r>
        <w:rPr>
          <w:rFonts w:ascii="Amiri" w:hAnsi="Amiri" w:eastAsia="Amiri" w:cs="Amiri"/>
          <w:color w:val="111111"/>
          <w:sz w:val="28"/>
          <w:sz w:val="28"/>
          <w:szCs w:val="28"/>
          <w:rtl w:val="true"/>
          <w:lang w:bidi="ar-SA"/>
        </w:rPr>
        <w:t>أن يَكونَ القِوامُ‌</w:t>
      </w:r>
      <w:r>
        <w:rPr>
          <w:rStyle w:val="FootnoteAnchor"/>
          <w:rtl w:val="true"/>
        </w:rPr>
        <w:footnoteReference w:id="1106"/>
      </w:r>
      <w:r>
        <w:rPr>
          <w:rFonts w:ascii="IRNazanin" w:hAnsi="IRNazanin" w:eastAsia="IRNazanin"/>
          <w:color w:val="111111"/>
          <w:sz w:val="28"/>
          <w:sz w:val="28"/>
          <w:szCs w:val="28"/>
          <w:rtl w:val="true"/>
          <w:lang w:bidi="fa-IR"/>
        </w:rPr>
        <w:t>لهذه</w:t>
      </w:r>
      <w:r>
        <w:rPr>
          <w:rStyle w:val="FootnoteAnchor"/>
          <w:rtl w:val="true"/>
        </w:rPr>
        <w:footnoteReference w:id="1107"/>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108"/>
      </w:r>
      <w:r>
        <w:rPr>
          <w:rFonts w:ascii="Amiri" w:hAnsi="Amiri" w:eastAsia="Amiri" w:cs="Amiri"/>
          <w:color w:val="111111"/>
          <w:sz w:val="28"/>
          <w:sz w:val="28"/>
          <w:szCs w:val="28"/>
          <w:rtl w:val="true"/>
          <w:lang w:bidi="ar-SA"/>
        </w:rPr>
        <w:t>الأصلَ في ظهورِ هذا الأمرِ هو الفاعلُ له، دونَ كُلِّ مَن سَمِعَه؛ لأنّهم و إنِ اشتَرَكوا في العِلمِ به عندَ ظهورِه، فالأصلُ في ظهورِه هو الفاعلُ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w:t>
      </w:r>
      <w:r>
        <w:rPr>
          <w:rStyle w:val="FootnoteAnchor"/>
          <w:rtl w:val="true"/>
        </w:rPr>
        <w:footnoteReference w:id="1109"/>
      </w:r>
      <w:r>
        <w:rPr>
          <w:rFonts w:ascii="Amiri" w:hAnsi="Amiri" w:eastAsia="Amiri" w:cs="Amiri"/>
          <w:color w:val="111111"/>
          <w:sz w:val="28"/>
          <w:sz w:val="28"/>
          <w:szCs w:val="28"/>
          <w:rtl w:val="true"/>
          <w:lang w:bidi="ar-SA"/>
        </w:rPr>
        <w:t>الإضافةُ بذلكَ‌</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 لَيسَ يَنبَغي أن يُنكَرَ هذا التخريجُ‌</w:t>
      </w:r>
      <w:r>
        <w:rPr>
          <w:rStyle w:val="FootnoteAnchor"/>
          <w:rtl w:val="true"/>
        </w:rPr>
        <w:footnoteReference w:id="1111"/>
      </w:r>
      <w:r>
        <w:rPr>
          <w:rFonts w:ascii="Amiri" w:hAnsi="Amiri" w:eastAsia="Amiri" w:cs="Amiri"/>
          <w:color w:val="111111"/>
          <w:sz w:val="28"/>
          <w:sz w:val="28"/>
          <w:szCs w:val="28"/>
          <w:rtl w:val="true"/>
          <w:lang w:bidi="ar-SA"/>
        </w:rPr>
        <w:t>لأنّ أهلَ اللغةِ‌</w:t>
      </w:r>
      <w:r>
        <w:rPr>
          <w:rStyle w:val="FootnoteAnchor"/>
          <w:rtl w:val="true"/>
        </w:rPr>
        <w:footnoteReference w:id="1112"/>
      </w:r>
      <w:r>
        <w:rPr>
          <w:rFonts w:ascii="Amiri" w:hAnsi="Amiri" w:eastAsia="Amiri" w:cs="Amiri"/>
          <w:color w:val="111111"/>
          <w:sz w:val="28"/>
          <w:sz w:val="28"/>
          <w:szCs w:val="28"/>
          <w:rtl w:val="true"/>
          <w:lang w:bidi="ar-SA"/>
        </w:rPr>
        <w:t>ما واقَفونا</w:t>
      </w:r>
      <w:r>
        <w:rPr>
          <w:rStyle w:val="FootnoteAnchor"/>
          <w:rtl w:val="true"/>
        </w:rPr>
        <w:footnoteReference w:id="1113"/>
      </w:r>
      <w:r>
        <w:rPr>
          <w:rFonts w:ascii="Amiri" w:hAnsi="Amiri" w:eastAsia="Amiri" w:cs="Amiri"/>
          <w:color w:val="111111"/>
          <w:sz w:val="28"/>
          <w:sz w:val="28"/>
          <w:szCs w:val="28"/>
          <w:rtl w:val="true"/>
          <w:lang w:bidi="ar-SA"/>
        </w:rPr>
        <w:t>علىٰ أنّ البَداءَ لا يَكونُ إلّافي المَوضعِ الذي ذَكَرَه بعضُ المُتكلِّمينَ‌</w:t>
      </w:r>
      <w:r>
        <w:rPr>
          <w:rStyle w:val="FootnoteAnchor"/>
          <w:rtl w:val="true"/>
        </w:rPr>
        <w:footnoteReference w:id="1114"/>
      </w:r>
      <w:r>
        <w:rPr>
          <w:rFonts w:ascii="Amiri" w:hAnsi="Amiri" w:eastAsia="Amiri" w:cs="Amiri"/>
          <w:color w:val="111111"/>
          <w:sz w:val="28"/>
          <w:sz w:val="28"/>
          <w:szCs w:val="28"/>
          <w:rtl w:val="true"/>
          <w:lang w:bidi="ar-SA"/>
        </w:rPr>
        <w:t>، و شَرَطَه</w:t>
      </w:r>
      <w:r>
        <w:rPr>
          <w:rStyle w:val="FootnoteAnchor"/>
          <w:rtl w:val="true"/>
        </w:rPr>
        <w:footnoteReference w:id="1115"/>
      </w:r>
      <w:r>
        <w:rPr>
          <w:rFonts w:ascii="Amiri" w:hAnsi="Amiri" w:eastAsia="Amiri" w:cs="Amiri"/>
          <w:color w:val="111111"/>
          <w:sz w:val="28"/>
          <w:sz w:val="28"/>
          <w:szCs w:val="28"/>
          <w:rtl w:val="true"/>
          <w:lang w:bidi="ar-SA"/>
        </w:rPr>
        <w:t>بتلكَ الشرائطِ المشهورةِ‌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البَداءَ هو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يَزيدوا علىٰ ذلكَ‌، و المُتكلِّمونَ‌ </w:t>
      </w:r>
    </w:p>
    <w:p>
      <w:pPr>
        <w:pStyle w:val="BookText"/>
        <w:rPr/>
      </w:pPr>
      <w:r>
        <w:rPr>
          <w:rFonts w:ascii="Amiri" w:hAnsi="Amiri" w:eastAsia="Amiri" w:cs="Amiri"/>
          <w:color w:val="111111"/>
          <w:sz w:val="28"/>
          <w:sz w:val="28"/>
          <w:szCs w:val="28"/>
          <w:rtl w:val="true"/>
          <w:lang w:bidi="ar-SA"/>
        </w:rPr>
        <w:t xml:space="preserve">قَصَروه علىٰ مَوضعٍ بحَسَبِ ما اختاروه؛ لأنّ معنَى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فيَجوزُ لغَيرِهم ان يُعَدّيَه إلىٰ مَوضعٍ آخَرَ فيه أيضاً معنَى الظهورِ؛</w:t>
      </w:r>
      <w:r>
        <w:rPr>
          <w:rStyle w:val="FootnoteAnchor"/>
          <w:rtl w:val="true"/>
        </w:rPr>
        <w:footnoteReference w:id="1117"/>
      </w:r>
      <w:r>
        <w:rPr>
          <w:rFonts w:ascii="Amiri" w:hAnsi="Amiri" w:eastAsia="Amiri" w:cs="Amiri"/>
          <w:color w:val="111111"/>
          <w:sz w:val="28"/>
          <w:sz w:val="28"/>
          <w:szCs w:val="28"/>
          <w:rtl w:val="true"/>
          <w:lang w:bidi="ar-SA"/>
        </w:rPr>
        <w:t>فاللغةُ‌</w:t>
      </w:r>
      <w:r>
        <w:rPr>
          <w:rStyle w:val="FootnoteAnchor"/>
          <w:rtl w:val="true"/>
        </w:rPr>
        <w:footnoteReference w:id="1118"/>
      </w:r>
      <w:r>
        <w:rPr>
          <w:rFonts w:ascii="Amiri" w:hAnsi="Amiri" w:eastAsia="Amiri" w:cs="Amiri"/>
          <w:color w:val="111111"/>
          <w:sz w:val="28"/>
          <w:sz w:val="28"/>
          <w:szCs w:val="28"/>
          <w:rtl w:val="true"/>
          <w:lang w:bidi="ar-SA"/>
        </w:rPr>
        <w:t>لا تَحظُرُ</w:t>
      </w:r>
      <w:r>
        <w:rPr>
          <w:rStyle w:val="FootnoteAnchor"/>
          <w:rtl w:val="true"/>
        </w:rPr>
        <w:footnoteReference w:id="1119"/>
      </w:r>
      <w:r>
        <w:rPr>
          <w:rFonts w:ascii="Amiri" w:hAnsi="Amiri" w:eastAsia="Amiri" w:cs="Amiri"/>
          <w:color w:val="111111"/>
          <w:sz w:val="28"/>
          <w:sz w:val="28"/>
          <w:szCs w:val="28"/>
          <w:rtl w:val="true"/>
          <w:lang w:bidi="ar-SA"/>
        </w:rPr>
        <w:t>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لخصوصِ اللغةِ أنّ لَفظَ</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w:t>
      </w:r>
      <w:r>
        <w:rPr>
          <w:rStyle w:val="FootnoteAnchor"/>
          <w:rtl w:val="true"/>
        </w:rPr>
        <w:footnoteReference w:id="1121"/>
      </w:r>
      <w:r>
        <w:rPr>
          <w:rFonts w:ascii="Amiri" w:hAnsi="Amiri" w:eastAsia="Amiri" w:cs="Amiri"/>
          <w:color w:val="111111"/>
          <w:sz w:val="28"/>
          <w:sz w:val="28"/>
          <w:szCs w:val="28"/>
          <w:rtl w:val="true"/>
          <w:lang w:bidi="ar-SA"/>
        </w:rPr>
        <w:t xml:space="preserve">حقيقةً بما ذَكَروه، جازَ أن يُستَعارَ في غيرِه،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 معنَى الظهورِ علىٰ كُلِّ حالٍ‌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بانَ بهذه الجُملةِ جميعُ ما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195" w:name="pg16415_223838"/>
    </w:p>
    <w:p>
      <w:pPr>
        <w:pStyle w:val="Heading6"/>
        <w:numPr>
          <w:ilvl w:val="5"/>
          <w:numId w:val="1"/>
        </w:numPr>
        <w:rPr/>
      </w:pPr>
      <w:bookmarkStart w:id="196" w:name="__RefHeading___Toc7642362_1280447820"/>
      <w:bookmarkStart w:id="197" w:name="_Toc68"/>
      <w:bookmarkEnd w:id="195"/>
      <w:bookmarkEnd w:id="196"/>
      <w:r>
        <w:rPr>
          <w:rtl w:val="true"/>
        </w:rPr>
        <w:t>المَسألةُ السادسةُ تحقيقٌ حَولَ قولِه عليه السلام</w:t>
      </w:r>
      <w:r>
        <w:rPr>
          <w:rtl w:val="true"/>
        </w:rPr>
        <w:t>: «</w:t>
      </w:r>
      <w:r>
        <w:rPr>
          <w:rtl w:val="true"/>
        </w:rPr>
        <w:t>نيّةُ المؤمِنِ خَيرٌ مِن عملِه</w:t>
      </w:r>
      <w:r>
        <w:rPr>
          <w:rtl w:val="true"/>
        </w:rPr>
        <w:t>»</w:t>
      </w:r>
      <w:bookmarkEnd w:id="197"/>
    </w:p>
    <w:p>
      <w:pPr>
        <w:pStyle w:val="BookText"/>
        <w:rPr/>
      </w:pPr>
      <w:r>
        <w:rPr>
          <w:rFonts w:ascii="Amiri" w:hAnsi="Amiri" w:eastAsia="Amiri" w:cs="Amiri"/>
          <w:color w:val="111111"/>
          <w:sz w:val="28"/>
          <w:sz w:val="28"/>
          <w:szCs w:val="28"/>
          <w:rtl w:val="true"/>
          <w:lang w:bidi="ar-SA"/>
        </w:rPr>
        <w:t>ما تَقولُ‌</w:t>
      </w:r>
      <w:r>
        <w:rPr>
          <w:rStyle w:val="FootnoteAnchor"/>
          <w:rtl w:val="true"/>
        </w:rPr>
        <w:footnoteReference w:id="1123"/>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و</w:t>
      </w:r>
      <w:r>
        <w:rPr>
          <w:rStyle w:val="FootnoteAnchor"/>
          <w:rtl w:val="true"/>
        </w:rPr>
        <w:footnoteReference w:id="1125"/>
      </w:r>
      <w:r>
        <w:rPr>
          <w:rFonts w:ascii="Amiri" w:hAnsi="Amiri" w:eastAsia="Amiri" w:cs="Amiri"/>
          <w:color w:val="111111"/>
          <w:sz w:val="28"/>
          <w:sz w:val="28"/>
          <w:szCs w:val="28"/>
          <w:rtl w:val="true"/>
          <w:lang w:bidi="ar-SA"/>
        </w:rPr>
        <w:t>معلومٌ أنّ النيّةَ أخفَضُ ثَواباً مِن العملِ‌؛ و أبو هاشمٍ‌</w:t>
      </w:r>
      <w:r>
        <w:rPr>
          <w:rStyle w:val="FootnoteAnchor"/>
          <w:rtl w:val="true"/>
        </w:rPr>
        <w:footnoteReference w:id="112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العَزمَ لا بُدَّ مِن أن يَكونَ دونَ المعزومِ عليه في ثَوابٍ و عِقابٍ‌، و إلّالَزِمَ‌</w:t>
      </w:r>
      <w:r>
        <w:rPr>
          <w:rStyle w:val="FootnoteAnchor"/>
          <w:rtl w:val="true"/>
        </w:rPr>
        <w:footnoteReference w:id="1127"/>
      </w:r>
      <w:r>
        <w:rPr>
          <w:rFonts w:ascii="Amiri" w:hAnsi="Amiri" w:eastAsia="Amiri" w:cs="Amiri"/>
          <w:color w:val="111111"/>
          <w:sz w:val="28"/>
          <w:sz w:val="28"/>
          <w:szCs w:val="28"/>
          <w:rtl w:val="true"/>
          <w:lang w:bidi="ar-SA"/>
        </w:rPr>
        <w:t>أن يَكونَ‌</w:t>
      </w:r>
      <w:r>
        <w:rPr>
          <w:rStyle w:val="FootnoteAnchor"/>
          <w:rtl w:val="true"/>
        </w:rPr>
        <w:footnoteReference w:id="1128"/>
      </w:r>
      <w:r>
        <w:rPr>
          <w:rFonts w:ascii="Amiri" w:hAnsi="Amiri" w:eastAsia="Amiri" w:cs="Amiri"/>
          <w:color w:val="111111"/>
          <w:sz w:val="28"/>
          <w:sz w:val="28"/>
          <w:szCs w:val="28"/>
          <w:rtl w:val="true"/>
          <w:lang w:bidi="ar-SA"/>
        </w:rPr>
        <w:t>العَزمُ علَى الكُفرِ كُفراً</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Style w:val="FootnoteAnchor"/>
          <w:rtl w:val="true"/>
        </w:rPr>
        <w:footnoteReference w:id="1130"/>
      </w:r>
      <w:r>
        <w:rPr>
          <w:rFonts w:ascii="Amiri" w:hAnsi="Amiri" w:eastAsia="Amiri" w:cs="Amiri"/>
          <w:color w:val="111111"/>
          <w:sz w:val="28"/>
          <w:sz w:val="28"/>
          <w:szCs w:val="28"/>
          <w:rtl w:val="true"/>
          <w:lang w:bidi="ar-SA"/>
        </w:rPr>
        <w:t>الوَجهانِ‌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قَدَّرنا</w:t>
      </w:r>
      <w:r>
        <w:rPr>
          <w:rStyle w:val="FootnoteAnchor"/>
          <w:rtl w:val="true"/>
        </w:rPr>
        <w:footnoteReference w:id="1133"/>
      </w:r>
      <w:r>
        <w:rPr>
          <w:rFonts w:ascii="Amiri" w:hAnsi="Amiri" w:eastAsia="Amiri" w:cs="Amiri"/>
          <w:color w:val="111111"/>
          <w:sz w:val="28"/>
          <w:sz w:val="28"/>
          <w:szCs w:val="28"/>
          <w:rtl w:val="true"/>
          <w:lang w:bidi="ar-SA"/>
        </w:rPr>
        <w:t>أنّ‌</w:t>
      </w:r>
      <w:r>
        <w:rPr>
          <w:rStyle w:val="FootnoteAnchor"/>
          <w:rtl w:val="true"/>
        </w:rPr>
        <w:footnoteReference w:id="1134"/>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محمولةٌ علَى المُفاضَلةِ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w:t>
      </w:r>
      <w:r>
        <w:rPr>
          <w:rStyle w:val="FootnoteAnchor"/>
          <w:rtl w:val="true"/>
        </w:rPr>
        <w:footnoteReference w:id="1135"/>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w:t>
      </w:r>
      <w:r>
        <w:rPr>
          <w:rStyle w:val="FootnoteAnchor"/>
          <w:rtl w:val="true"/>
        </w:rPr>
        <w:footnoteReference w:id="1136"/>
      </w:r>
      <w:r>
        <w:rPr>
          <w:rFonts w:ascii="Amiri" w:hAnsi="Amiri" w:eastAsia="Amiri" w:cs="Amiri"/>
          <w:color w:val="111111"/>
          <w:sz w:val="28"/>
          <w:sz w:val="28"/>
          <w:szCs w:val="28"/>
          <w:rtl w:val="true"/>
          <w:lang w:bidi="ar-SA"/>
        </w:rPr>
        <w:t>المؤمِنِ مع عملِه خَيرٌ مِن عملِه</w:t>
      </w:r>
      <w:r>
        <w:rPr>
          <w:rStyle w:val="FootnoteAnchor"/>
          <w:rtl w:val="true"/>
        </w:rPr>
        <w:footnoteReference w:id="1137"/>
      </w:r>
      <w:r>
        <w:rPr>
          <w:rFonts w:ascii="Amiri" w:hAnsi="Amiri" w:eastAsia="Amiri" w:cs="Amiri"/>
          <w:color w:val="111111"/>
          <w:sz w:val="28"/>
          <w:sz w:val="28"/>
          <w:szCs w:val="28"/>
          <w:rtl w:val="true"/>
          <w:lang w:bidi="ar-SA"/>
        </w:rPr>
        <w:t>العاري مِن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لا شُبهةَ في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لبعضِ أعمالِه،</w:t>
      </w:r>
      <w:r>
        <w:rPr>
          <w:rStyle w:val="FootnoteAnchor"/>
          <w:rtl w:val="true"/>
        </w:rPr>
        <w:footnoteReference w:id="1138"/>
      </w:r>
      <w:r>
        <w:rPr>
          <w:rFonts w:ascii="Amiri" w:hAnsi="Amiri" w:eastAsia="Amiri" w:cs="Amiri"/>
          <w:color w:val="111111"/>
          <w:sz w:val="28"/>
          <w:sz w:val="28"/>
          <w:szCs w:val="28"/>
          <w:rtl w:val="true"/>
          <w:lang w:bidi="ar-SA"/>
        </w:rPr>
        <w:t>قد تَكونُ‌</w:t>
      </w:r>
      <w:r>
        <w:rPr>
          <w:rStyle w:val="FootnoteAnchor"/>
          <w:rtl w:val="true"/>
        </w:rPr>
        <w:footnoteReference w:id="1139"/>
      </w:r>
      <w:r>
        <w:rPr>
          <w:rFonts w:ascii="Amiri" w:hAnsi="Amiri" w:eastAsia="Amiri" w:cs="Amiri"/>
          <w:color w:val="111111"/>
          <w:sz w:val="28"/>
          <w:sz w:val="28"/>
          <w:szCs w:val="28"/>
          <w:rtl w:val="true"/>
          <w:lang w:bidi="ar-SA"/>
        </w:rPr>
        <w:t>خيراً مِن عملٍ آخَرَ له</w:t>
      </w:r>
      <w:r>
        <w:rPr>
          <w:rStyle w:val="FootnoteAnchor"/>
          <w:rtl w:val="true"/>
        </w:rPr>
        <w:footnoteReference w:id="1140"/>
      </w:r>
      <w:r>
        <w:rPr>
          <w:rFonts w:ascii="Amiri" w:hAnsi="Amiri" w:eastAsia="Amiri" w:cs="Amiri"/>
          <w:color w:val="111111"/>
          <w:sz w:val="28"/>
          <w:sz w:val="28"/>
          <w:szCs w:val="28"/>
          <w:rtl w:val="true"/>
          <w:lang w:bidi="ar-SA"/>
        </w:rPr>
        <w:t>لا تَتناوَلُه</w:t>
      </w:r>
      <w:r>
        <w:rPr>
          <w:rStyle w:val="FootnoteAnchor"/>
          <w:rtl w:val="true"/>
        </w:rPr>
        <w:footnoteReference w:id="1141"/>
      </w:r>
      <w:r>
        <w:rPr>
          <w:rFonts w:ascii="Amiri" w:hAnsi="Amiri" w:eastAsia="Amiri" w:cs="Amiri"/>
          <w:color w:val="111111"/>
          <w:sz w:val="28"/>
          <w:sz w:val="28"/>
          <w:szCs w:val="28"/>
          <w:rtl w:val="true"/>
          <w:lang w:bidi="ar-SA"/>
        </w:rPr>
        <w:t>هذه النيّةُ‌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صَحيحٌ‌؛ فإنّ النيّةَ لا يَجوزُ أن تَكونَ‌</w:t>
      </w:r>
      <w:r>
        <w:rPr>
          <w:rStyle w:val="FootnoteAnchor"/>
          <w:rtl w:val="true"/>
        </w:rPr>
        <w:footnoteReference w:id="1142"/>
      </w:r>
      <w:r>
        <w:rPr>
          <w:rFonts w:ascii="Amiri" w:hAnsi="Amiri" w:eastAsia="Amiri" w:cs="Amiri"/>
          <w:color w:val="111111"/>
          <w:sz w:val="28"/>
          <w:sz w:val="28"/>
          <w:szCs w:val="28"/>
          <w:rtl w:val="true"/>
          <w:lang w:bidi="ar-SA"/>
        </w:rPr>
        <w:t>خَيراً مِن عملِها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مُنكَرٍ أن تَكونَ‌</w:t>
      </w:r>
      <w:r>
        <w:rPr>
          <w:rStyle w:val="FootnoteAnchor"/>
          <w:rtl w:val="true"/>
        </w:rPr>
        <w:footnoteReference w:id="1143"/>
      </w:r>
      <w:r>
        <w:rPr>
          <w:rFonts w:ascii="Amiri" w:hAnsi="Amiri" w:eastAsia="Amiri" w:cs="Amiri"/>
          <w:color w:val="111111"/>
          <w:sz w:val="28"/>
          <w:sz w:val="28"/>
          <w:szCs w:val="28"/>
          <w:rtl w:val="true"/>
          <w:lang w:bidi="ar-SA"/>
        </w:rPr>
        <w:t>نيّةُ‌</w:t>
      </w:r>
      <w:r>
        <w:rPr>
          <w:rStyle w:val="FootnoteAnchor"/>
          <w:rtl w:val="true"/>
        </w:rPr>
        <w:footnoteReference w:id="1144"/>
      </w:r>
      <w:r>
        <w:rPr>
          <w:rFonts w:ascii="Amiri" w:hAnsi="Amiri" w:eastAsia="Amiri" w:cs="Amiri"/>
          <w:color w:val="111111"/>
          <w:sz w:val="28"/>
          <w:sz w:val="28"/>
          <w:szCs w:val="28"/>
          <w:rtl w:val="true"/>
          <w:lang w:bidi="ar-SA"/>
        </w:rPr>
        <w:t>بعضِ الأعمالِ الشاقّةِ العظيمةِ الثوابِ أفضَلَ مِن عملٍ آخَرَ دونَ ثَوابِها، حتّىٰ لا يَظُنُّ ظانٌّ أنّ النيّةَ لا يَجوزُ أن تُساويَ أو تَزيدَ علىٰ ثَوابِ بعضِ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هذانِ الوجهانِ فيهما</w:t>
      </w:r>
      <w:r>
        <w:rPr>
          <w:rStyle w:val="FootnoteAnchor"/>
          <w:rtl w:val="true"/>
        </w:rPr>
        <w:footnoteReference w:id="1145"/>
      </w:r>
      <w:r>
        <w:rPr>
          <w:rFonts w:ascii="Amiri" w:hAnsi="Amiri" w:eastAsia="Amiri" w:cs="Amiri"/>
          <w:color w:val="111111"/>
          <w:sz w:val="28"/>
          <w:sz w:val="28"/>
          <w:szCs w:val="28"/>
          <w:rtl w:val="true"/>
          <w:lang w:bidi="ar-SA"/>
        </w:rPr>
        <w:t>علىٰ كُلِّ حالٍ تَركٌ لظاهرِ الخبرِ؛ لإدخالِ زيادةٍ لَيسَت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التأويلُ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 لفظةَ‌</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المُبالَغةِ و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للظاهرِ و غيرُ مُخالِفٍ 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كِفايةٌ‌</w:t>
      </w:r>
      <w:r>
        <w:rPr>
          <w:rFonts w:eastAsia="Amiri" w:cs="Amiri" w:ascii="Amiri" w:hAnsi="Amiri"/>
          <w:color w:val="111111"/>
          <w:sz w:val="28"/>
          <w:szCs w:val="28"/>
          <w:rtl w:val="true"/>
          <w:lang w:bidi="ar-SA"/>
        </w:rPr>
        <w:t>.</w:t>
      </w:r>
      <w:r>
        <w:rPr>
          <w:rStyle w:val="FootnoteAnchor"/>
          <w:rtl w:val="true"/>
        </w:rPr>
        <w:footnoteReference w:id="1147"/>
      </w:r>
      <w:bookmarkStart w:id="198" w:name="pg16415_223841"/>
    </w:p>
    <w:p>
      <w:pPr>
        <w:pStyle w:val="Heading6"/>
        <w:numPr>
          <w:ilvl w:val="5"/>
          <w:numId w:val="1"/>
        </w:numPr>
        <w:rPr/>
      </w:pPr>
      <w:bookmarkStart w:id="199" w:name="__RefHeading___Toc7642364_1280447820"/>
      <w:bookmarkStart w:id="200" w:name="_Toc69"/>
      <w:bookmarkEnd w:id="198"/>
      <w:bookmarkEnd w:id="199"/>
      <w:r>
        <w:rPr>
          <w:rtl w:val="true"/>
        </w:rPr>
        <w:t>المَسألةُ السابعةُ هَل تَقَعُ مِن الأنبياءِ الصغائرُ أو الكبائرُ؟</w:t>
      </w:r>
      <w:bookmarkEnd w:id="200"/>
    </w:p>
    <w:p>
      <w:pPr>
        <w:pStyle w:val="BookText"/>
        <w:rPr/>
      </w:pPr>
      <w:r>
        <w:rPr>
          <w:rFonts w:ascii="Amiri" w:hAnsi="Amiri" w:eastAsia="Amiri" w:cs="Amiri"/>
          <w:color w:val="111111"/>
          <w:sz w:val="28"/>
          <w:sz w:val="28"/>
          <w:szCs w:val="28"/>
          <w:rtl w:val="true"/>
          <w:lang w:bidi="ar-SA"/>
        </w:rPr>
        <w:t>إذا كان مِن مَذهبِ الإماميّةِ المُحقِّقةِ‌</w:t>
      </w:r>
      <w:r>
        <w:rPr>
          <w:rStyle w:val="FootnoteAnchor"/>
          <w:rtl w:val="true"/>
        </w:rPr>
        <w:footnoteReference w:id="1148"/>
      </w:r>
      <w:r>
        <w:rPr>
          <w:rFonts w:ascii="IRNazanin" w:hAnsi="IRNazanin" w:eastAsia="IRNazanin"/>
          <w:color w:val="111111"/>
          <w:sz w:val="28"/>
          <w:sz w:val="28"/>
          <w:szCs w:val="28"/>
          <w:rtl w:val="true"/>
          <w:lang w:bidi="fa-IR"/>
        </w:rPr>
        <w:t>منهم</w:t>
      </w:r>
      <w:r>
        <w:rPr>
          <w:rStyle w:val="FootnoteAnchor"/>
          <w:rtl w:val="true"/>
        </w:rPr>
        <w:footnoteReference w:id="1149"/>
      </w:r>
      <w:r>
        <w:rPr>
          <w:rFonts w:ascii="Amiri" w:hAnsi="Amiri" w:eastAsia="Amiri" w:cs="Amiri"/>
          <w:color w:val="111111"/>
          <w:sz w:val="28"/>
          <w:sz w:val="28"/>
          <w:szCs w:val="28"/>
          <w:rtl w:val="true"/>
          <w:lang w:bidi="ar-SA"/>
        </w:rPr>
        <w:t>أنّ الأنبياءَ عليهم السلامُ لا يَجوزُ عليهم شَيءٌ مِن القبائحِ‌؛ لا صَغيرِها و لا كَبيرِها، فما معنَى الظواهِرِ التي وَرَدَت في القُرآنِ‌،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و ما أشبَهَ ذلكَ مِن الأنبياءِ عليهم السلامُ؟ و ما الوجهُ‌</w:t>
      </w:r>
      <w:r>
        <w:rPr>
          <w:rStyle w:val="FootnoteAnchor"/>
          <w:rtl w:val="true"/>
        </w:rPr>
        <w:footnoteReference w:id="1151"/>
      </w:r>
      <w:r>
        <w:rPr>
          <w:rFonts w:ascii="Amiri" w:hAnsi="Amiri" w:eastAsia="Amiri" w:cs="Amiri"/>
          <w:color w:val="111111"/>
          <w:sz w:val="28"/>
          <w:sz w:val="28"/>
          <w:szCs w:val="28"/>
          <w:rtl w:val="true"/>
          <w:lang w:bidi="ar-SA"/>
        </w:rPr>
        <w:t>الصحيحُ في تأويلِ هذه الأخبارِ</w:t>
      </w:r>
      <w:r>
        <w:rPr>
          <w:rStyle w:val="FootnoteAnchor"/>
          <w:rtl w:val="true"/>
        </w:rPr>
        <w:footnoteReference w:id="11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الأدِلّةَ العقليّةَ إذا كانَت دالّةً علىٰ أنّ الأنبياءَ عليهم السلامُ لا يَجوزُ أن يُواقِعوا شَيئاً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أو كَبيراً</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القَطعُ علىٰ ذلكَ‌، و لا يُرجَعُ عنه بظَواهِرَ مِن</w:t>
      </w:r>
      <w:r>
        <w:rPr>
          <w:rStyle w:val="FootnoteAnchor"/>
          <w:rtl w:val="true"/>
        </w:rPr>
        <w:footnoteReference w:id="1154"/>
      </w:r>
      <w:r>
        <w:rPr>
          <w:rFonts w:ascii="Amiri" w:hAnsi="Amiri" w:eastAsia="Amiri" w:cs="Amiri"/>
          <w:color w:val="111111"/>
          <w:sz w:val="28"/>
          <w:sz w:val="28"/>
          <w:szCs w:val="28"/>
          <w:rtl w:val="true"/>
          <w:lang w:bidi="ar-SA"/>
        </w:rPr>
        <w:t>الكتابِ‌</w:t>
      </w:r>
      <w:r>
        <w:rPr>
          <w:rStyle w:val="FootnoteAnchor"/>
          <w:rtl w:val="true"/>
        </w:rPr>
        <w:footnoteReference w:id="1155"/>
      </w:r>
      <w:r>
        <w:rPr>
          <w:rFonts w:ascii="Amiri" w:hAnsi="Amiri" w:eastAsia="Amiri" w:cs="Amiri"/>
          <w:color w:val="111111"/>
          <w:sz w:val="28"/>
          <w:sz w:val="28"/>
          <w:szCs w:val="28"/>
          <w:rtl w:val="true"/>
          <w:lang w:bidi="ar-SA"/>
        </w:rPr>
        <w:t>إمّا أن تَكونَ مُحتَمِلةً مُشتَرَكةً‌، أو يَكونَ‌</w:t>
      </w:r>
      <w:r>
        <w:rPr>
          <w:rStyle w:val="FootnoteAnchor"/>
          <w:rtl w:val="true"/>
        </w:rPr>
        <w:footnoteReference w:id="1156"/>
      </w:r>
      <w:r>
        <w:rPr>
          <w:rFonts w:ascii="Amiri" w:hAnsi="Amiri" w:eastAsia="Amiri" w:cs="Amiri"/>
          <w:color w:val="111111"/>
          <w:sz w:val="28"/>
          <w:sz w:val="28"/>
          <w:szCs w:val="28"/>
          <w:rtl w:val="true"/>
          <w:lang w:bidi="ar-SA"/>
        </w:rPr>
        <w:t xml:space="preserve">ظاهراً </w:t>
      </w:r>
    </w:p>
    <w:p>
      <w:pPr>
        <w:pStyle w:val="BookText"/>
        <w:rPr/>
      </w:pPr>
      <w:r>
        <w:rPr>
          <w:rFonts w:ascii="Amiri" w:hAnsi="Amiri" w:eastAsia="Amiri" w:cs="Amiri"/>
          <w:color w:val="111111"/>
          <w:sz w:val="28"/>
          <w:sz w:val="28"/>
          <w:szCs w:val="28"/>
          <w:rtl w:val="true"/>
          <w:lang w:bidi="ar-SA"/>
        </w:rPr>
        <w:t>خالصاً</w:t>
      </w:r>
      <w:r>
        <w:rPr>
          <w:rStyle w:val="FootnoteAnchor"/>
          <w:rtl w:val="true"/>
        </w:rPr>
        <w:footnoteReference w:id="1157"/>
      </w:r>
      <w:r>
        <w:rPr>
          <w:rFonts w:ascii="Amiri" w:hAnsi="Amiri" w:eastAsia="Amiri" w:cs="Amiri"/>
          <w:color w:val="111111"/>
          <w:sz w:val="28"/>
          <w:sz w:val="28"/>
          <w:szCs w:val="28"/>
          <w:rtl w:val="true"/>
          <w:lang w:bidi="ar-SA"/>
        </w:rPr>
        <w:t>لِما دَلَّت العقولُ علىٰ خِلافِه؛ لأنّها إذا كانَت مُحتَمِلةً حَمَلناها</w:t>
      </w:r>
      <w:r>
        <w:rPr>
          <w:rStyle w:val="FootnoteAnchor"/>
          <w:rtl w:val="true"/>
        </w:rPr>
        <w:footnoteReference w:id="1158"/>
      </w:r>
      <w:r>
        <w:rPr>
          <w:rFonts w:ascii="Amiri" w:hAnsi="Amiri" w:eastAsia="Amiri" w:cs="Amiri"/>
          <w:color w:val="111111"/>
          <w:sz w:val="28"/>
          <w:sz w:val="28"/>
          <w:szCs w:val="28"/>
          <w:rtl w:val="true"/>
          <w:lang w:bidi="ar-SA"/>
        </w:rPr>
        <w:t>علَى الوجهِ المُطابِقِ للحقِّ‌، الذي هو أحَدُ مُحتَمَلاتِها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 مُحتَمِلةٍ‌، عَدَلنا عن ظواهرِها، و قَطَعنا علىٰ أنّه تَعالىٰ أرادَ غيرَ ما يَقتَضيهِ الظاهرُ ممّا يُوافِقُ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عقلاً علىٰ‌</w:t>
      </w:r>
      <w:r>
        <w:rPr>
          <w:rStyle w:val="FootnoteAnchor"/>
          <w:rtl w:val="true"/>
        </w:rPr>
        <w:footnoteReference w:id="1159"/>
      </w:r>
      <w:r>
        <w:rPr>
          <w:rFonts w:ascii="Amiri" w:hAnsi="Amiri" w:eastAsia="Amiri" w:cs="Amiri"/>
          <w:color w:val="111111"/>
          <w:sz w:val="28"/>
          <w:sz w:val="28"/>
          <w:szCs w:val="28"/>
          <w:rtl w:val="true"/>
          <w:lang w:bidi="ar-SA"/>
        </w:rPr>
        <w:t>أنّ الأنبياءَ عليهم السلامُ لا يَجوزُ أن يَفعَلوا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160"/>
      </w:r>
      <w:r>
        <w:rPr>
          <w:rFonts w:ascii="Amiri" w:hAnsi="Amiri" w:eastAsia="Amiri" w:cs="Amiri"/>
          <w:color w:val="111111"/>
          <w:sz w:val="28"/>
          <w:sz w:val="28"/>
          <w:szCs w:val="28"/>
          <w:rtl w:val="true"/>
          <w:lang w:bidi="ar-SA"/>
        </w:rPr>
        <w:t>القَبيحَ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منه تَمنَعُ‌</w:t>
      </w:r>
      <w:r>
        <w:rPr>
          <w:rStyle w:val="FootnoteAnchor"/>
          <w:rtl w:val="true"/>
        </w:rPr>
        <w:footnoteReference w:id="1161"/>
      </w:r>
      <w:r>
        <w:rPr>
          <w:rFonts w:ascii="Amiri" w:hAnsi="Amiri" w:eastAsia="Amiri" w:cs="Amiri"/>
          <w:color w:val="111111"/>
          <w:sz w:val="28"/>
          <w:sz w:val="28"/>
          <w:szCs w:val="28"/>
          <w:rtl w:val="true"/>
          <w:lang w:bidi="ar-SA"/>
        </w:rPr>
        <w:t>الآياتُ مِن وقوعِه منهم</w:t>
      </w:r>
      <w:r>
        <w:rPr>
          <w:rStyle w:val="FootnoteAnchor"/>
          <w:rtl w:val="true"/>
        </w:rPr>
        <w:footnoteReference w:id="1162"/>
      </w:r>
      <w:r>
        <w:rPr>
          <w:rFonts w:ascii="Amiri" w:hAnsi="Amiri" w:eastAsia="Amiri" w:cs="Amiri"/>
          <w:color w:val="111111"/>
          <w:sz w:val="28"/>
          <w:sz w:val="28"/>
          <w:szCs w:val="28"/>
          <w:rtl w:val="true"/>
          <w:lang w:bidi="ar-SA"/>
        </w:rPr>
        <w:t>كالكَذِبِ فيما يؤدّونَه و الزيادةِ فيه أو النُّقصانِ‌، أو الكِتمانِ لبعضِ ما كُلِّفوا بتبليغِه</w:t>
      </w:r>
      <w:r>
        <w:rPr>
          <w:rStyle w:val="FootnoteAnchor"/>
          <w:rtl w:val="true"/>
        </w:rPr>
        <w:footnoteReference w:id="1163"/>
      </w:r>
      <w:r>
        <w:rPr>
          <w:rFonts w:ascii="Amiri" w:hAnsi="Amiri" w:eastAsia="Amiri" w:cs="Amiri"/>
          <w:color w:val="111111"/>
          <w:sz w:val="28"/>
          <w:sz w:val="28"/>
          <w:szCs w:val="28"/>
          <w:rtl w:val="true"/>
          <w:lang w:bidi="ar-SA"/>
        </w:rPr>
        <w:t>لأنّ المُعجِزاتِ تَقتَضي</w:t>
      </w:r>
      <w:r>
        <w:rPr>
          <w:rStyle w:val="FootnoteAnchor"/>
          <w:rtl w:val="true"/>
        </w:rPr>
        <w:footnoteReference w:id="1164"/>
      </w:r>
      <w:r>
        <w:rPr>
          <w:rFonts w:ascii="Amiri" w:hAnsi="Amiri" w:eastAsia="Amiri" w:cs="Amiri"/>
          <w:color w:val="111111"/>
          <w:sz w:val="28"/>
          <w:sz w:val="28"/>
          <w:szCs w:val="28"/>
          <w:rtl w:val="true"/>
          <w:lang w:bidi="ar-SA"/>
        </w:rPr>
        <w:t>صِدقَ مَن ظَهَرَت</w:t>
      </w:r>
      <w:r>
        <w:rPr>
          <w:rStyle w:val="FootnoteAnchor"/>
          <w:rtl w:val="true"/>
        </w:rPr>
        <w:footnoteReference w:id="1165"/>
      </w:r>
      <w:r>
        <w:rPr>
          <w:rFonts w:ascii="Amiri" w:hAnsi="Amiri" w:eastAsia="Amiri" w:cs="Amiri"/>
          <w:color w:val="111111"/>
          <w:sz w:val="28"/>
          <w:sz w:val="28"/>
          <w:szCs w:val="28"/>
          <w:rtl w:val="true"/>
          <w:lang w:bidi="ar-SA"/>
        </w:rPr>
        <w:t>عليه، و أنّه لا يَجوزُ أن يُحرِّفَ الرسالةَ و لا يُبَدِّلَها، و تَقتَضي</w:t>
      </w:r>
      <w:r>
        <w:rPr>
          <w:rStyle w:val="FootnoteAnchor"/>
          <w:rtl w:val="true"/>
        </w:rPr>
        <w:footnoteReference w:id="1166"/>
      </w:r>
      <w:r>
        <w:rPr>
          <w:rFonts w:ascii="Amiri" w:hAnsi="Amiri" w:eastAsia="Amiri" w:cs="Amiri"/>
          <w:color w:val="111111"/>
          <w:sz w:val="28"/>
          <w:sz w:val="28"/>
          <w:szCs w:val="28"/>
          <w:rtl w:val="true"/>
          <w:lang w:bidi="ar-SA"/>
        </w:rPr>
        <w:t>أيضاً أن لا يَجوزَ عليه الكِتمانُ لِما</w:t>
      </w:r>
      <w:r>
        <w:rPr>
          <w:rStyle w:val="FootnoteAnchor"/>
          <w:rtl w:val="true"/>
        </w:rPr>
        <w:footnoteReference w:id="1167"/>
      </w:r>
      <w:r>
        <w:rPr>
          <w:rFonts w:ascii="Amiri" w:hAnsi="Amiri" w:eastAsia="Amiri" w:cs="Amiri"/>
          <w:color w:val="111111"/>
          <w:sz w:val="28"/>
          <w:sz w:val="28"/>
          <w:szCs w:val="28"/>
          <w:rtl w:val="true"/>
          <w:lang w:bidi="ar-SA"/>
        </w:rPr>
        <w:t>أُمِرَ</w:t>
      </w:r>
      <w:r>
        <w:rPr>
          <w:rStyle w:val="FootnoteAnchor"/>
          <w:rtl w:val="true"/>
        </w:rPr>
        <w:footnoteReference w:id="1168"/>
      </w:r>
      <w:r>
        <w:rPr>
          <w:rFonts w:ascii="Amiri" w:hAnsi="Amiri" w:eastAsia="Amiri" w:cs="Amiri"/>
          <w:color w:val="111111"/>
          <w:sz w:val="28"/>
          <w:sz w:val="28"/>
          <w:szCs w:val="28"/>
          <w:rtl w:val="true"/>
          <w:lang w:bidi="ar-SA"/>
        </w:rPr>
        <w:t>بأدائه؛ لأنّه يَنقُضُ‌</w:t>
      </w:r>
      <w:r>
        <w:rPr>
          <w:rStyle w:val="FootnoteAnchor"/>
          <w:rtl w:val="true"/>
        </w:rPr>
        <w:footnoteReference w:id="1169"/>
      </w:r>
      <w:r>
        <w:rPr>
          <w:rFonts w:ascii="Amiri" w:hAnsi="Amiri" w:eastAsia="Amiri" w:cs="Amiri"/>
          <w:color w:val="111111"/>
          <w:sz w:val="28"/>
          <w:sz w:val="28"/>
          <w:szCs w:val="28"/>
          <w:rtl w:val="true"/>
          <w:lang w:bidi="ar-SA"/>
        </w:rPr>
        <w:t>الغرضَ في بِعثَتِه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الآخَرُ مِن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تعلُّقَ له بالأداءِ و التبليغِ‌؛ فهذا الضربُ‌ </w:t>
      </w:r>
    </w:p>
    <w:p>
      <w:pPr>
        <w:pStyle w:val="BookText"/>
        <w:rPr/>
      </w:pPr>
      <w:r>
        <w:rPr>
          <w:rFonts w:ascii="Amiri" w:hAnsi="Amiri" w:eastAsia="Amiri" w:cs="Amiri"/>
          <w:color w:val="111111"/>
          <w:sz w:val="28"/>
          <w:sz w:val="28"/>
          <w:szCs w:val="28"/>
          <w:rtl w:val="true"/>
          <w:lang w:bidi="ar-SA"/>
        </w:rPr>
        <w:t>الذي يَمنَعُ‌</w:t>
      </w:r>
      <w:r>
        <w:rPr>
          <w:rStyle w:val="FootnoteAnchor"/>
          <w:rtl w:val="true"/>
        </w:rPr>
        <w:footnoteReference w:id="1171"/>
      </w:r>
      <w:r>
        <w:rPr>
          <w:rFonts w:ascii="Amiri" w:hAnsi="Amiri" w:eastAsia="Amiri" w:cs="Amiri"/>
          <w:color w:val="111111"/>
          <w:sz w:val="28"/>
          <w:sz w:val="28"/>
          <w:szCs w:val="28"/>
          <w:rtl w:val="true"/>
          <w:lang w:bidi="ar-SA"/>
        </w:rPr>
        <w:t>منه أنّه مُنفِّرٌ عن القبولِ‌</w:t>
      </w:r>
      <w:r>
        <w:rPr>
          <w:rStyle w:val="FootnoteAnchor"/>
          <w:rtl w:val="true"/>
        </w:rPr>
        <w:footnoteReference w:id="1172"/>
      </w:r>
      <w:r>
        <w:rPr>
          <w:rFonts w:ascii="Amiri" w:hAnsi="Amiri" w:eastAsia="Amiri" w:cs="Amiri"/>
          <w:color w:val="111111"/>
          <w:sz w:val="28"/>
          <w:sz w:val="28"/>
          <w:szCs w:val="28"/>
          <w:rtl w:val="true"/>
          <w:lang w:bidi="ar-SA"/>
        </w:rPr>
        <w:t>منهم، و إنّما بُعِثوا ليؤدّوا ما حُمِّلوه، و ليُعمَلَ‌</w:t>
      </w:r>
      <w:r>
        <w:rPr>
          <w:rStyle w:val="FootnoteAnchor"/>
          <w:rtl w:val="true"/>
        </w:rPr>
        <w:footnoteReference w:id="1173"/>
      </w:r>
      <w:r>
        <w:rPr>
          <w:rFonts w:ascii="Amiri" w:hAnsi="Amiri" w:eastAsia="Amiri" w:cs="Amiri"/>
          <w:color w:val="111111"/>
          <w:sz w:val="28"/>
          <w:sz w:val="28"/>
          <w:szCs w:val="28"/>
          <w:rtl w:val="true"/>
          <w:lang w:bidi="ar-SA"/>
        </w:rPr>
        <w:t>بما أدَّوه؛ فما أدّىٰ إلَى التنفيرِ من القبولِ‌</w:t>
      </w:r>
      <w:r>
        <w:rPr>
          <w:rStyle w:val="FootnoteAnchor"/>
          <w:rtl w:val="true"/>
        </w:rPr>
        <w:footnoteReference w:id="1174"/>
      </w:r>
      <w:r>
        <w:rPr>
          <w:rFonts w:ascii="Amiri" w:hAnsi="Amiri" w:eastAsia="Amiri" w:cs="Amiri"/>
          <w:color w:val="111111"/>
          <w:sz w:val="28"/>
          <w:sz w:val="28"/>
          <w:szCs w:val="28"/>
          <w:rtl w:val="true"/>
          <w:lang w:bidi="ar-SA"/>
        </w:rPr>
        <w:t>يَقتَضي نقضَ الغرضِ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الصغائرُ في هذا البابِ كالكبائرِ؛ لأنّ الكُلَّ مِن حَيثُ كانَت قَبائحَ تُنفِّرُ،</w:t>
      </w:r>
      <w:r>
        <w:rPr>
          <w:rStyle w:val="FootnoteAnchor"/>
          <w:rtl w:val="true"/>
        </w:rPr>
        <w:footnoteReference w:id="1175"/>
      </w:r>
      <w:r>
        <w:rPr>
          <w:rFonts w:ascii="Amiri" w:hAnsi="Amiri" w:eastAsia="Amiri" w:cs="Amiri"/>
          <w:color w:val="111111"/>
          <w:sz w:val="28"/>
          <w:sz w:val="28"/>
          <w:szCs w:val="28"/>
          <w:rtl w:val="true"/>
          <w:lang w:bidi="ar-SA"/>
        </w:rPr>
        <w:t>و لَو لَم تَكُن كذلكَ لَكانَ السكونُ مِن المبعوثِ إليه أكثَرَ و أوفَرَ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جَوَّزَ الصغائرَ عليهم و اعتَذَرَ</w:t>
      </w:r>
      <w:r>
        <w:rPr>
          <w:rStyle w:val="FootnoteAnchor"/>
          <w:rtl w:val="true"/>
        </w:rPr>
        <w:footnoteReference w:id="1176"/>
      </w:r>
      <w:r>
        <w:rPr>
          <w:rFonts w:ascii="Amiri" w:hAnsi="Amiri" w:eastAsia="Amiri" w:cs="Amiri"/>
          <w:color w:val="111111"/>
          <w:sz w:val="28"/>
          <w:sz w:val="28"/>
          <w:szCs w:val="28"/>
          <w:rtl w:val="true"/>
          <w:lang w:bidi="ar-SA"/>
        </w:rPr>
        <w:t>بأنّها ممّا</w:t>
      </w:r>
      <w:r>
        <w:rPr>
          <w:rStyle w:val="FootnoteAnchor"/>
          <w:rtl w:val="true"/>
        </w:rPr>
        <w:footnoteReference w:id="1177"/>
      </w:r>
      <w:r>
        <w:rPr>
          <w:rFonts w:ascii="Amiri" w:hAnsi="Amiri" w:eastAsia="Amiri" w:cs="Amiri"/>
          <w:color w:val="111111"/>
          <w:sz w:val="28"/>
          <w:sz w:val="28"/>
          <w:szCs w:val="28"/>
          <w:rtl w:val="true"/>
          <w:lang w:bidi="ar-SA"/>
        </w:rPr>
        <w:t xml:space="preserve">لا يُستَحقُّ به في الحالِ العِقابُ‌، كمَن جَوَّزَ عليهم الكبائرَ قَبلَ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منها في</w:t>
      </w:r>
      <w:r>
        <w:rPr>
          <w:rStyle w:val="FootnoteAnchor"/>
          <w:rtl w:val="true"/>
        </w:rPr>
        <w:footnoteReference w:id="1178"/>
      </w:r>
      <w:r>
        <w:rPr>
          <w:rFonts w:ascii="Amiri" w:hAnsi="Amiri" w:eastAsia="Amiri" w:cs="Amiri"/>
          <w:color w:val="111111"/>
          <w:sz w:val="28"/>
          <w:sz w:val="28"/>
          <w:szCs w:val="28"/>
          <w:rtl w:val="true"/>
          <w:lang w:bidi="ar-SA"/>
        </w:rPr>
        <w:t xml:space="preserve">حالِ النبوّةِ مُمتَنِعينَ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بمِثلِ‌</w:t>
      </w:r>
      <w:r>
        <w:rPr>
          <w:rStyle w:val="FootnoteAnchor"/>
          <w:rtl w:val="true"/>
        </w:rPr>
        <w:footnoteReference w:id="1179"/>
      </w:r>
      <w:r>
        <w:rPr>
          <w:rFonts w:ascii="Amiri" w:hAnsi="Amiri" w:eastAsia="Amiri" w:cs="Amiri"/>
          <w:color w:val="111111"/>
          <w:sz w:val="28"/>
          <w:sz w:val="28"/>
          <w:szCs w:val="28"/>
          <w:rtl w:val="true"/>
          <w:lang w:bidi="ar-SA"/>
        </w:rPr>
        <w:t>عُذرِهم</w:t>
      </w:r>
      <w:r>
        <w:rPr>
          <w:rStyle w:val="FootnoteAnchor"/>
          <w:rtl w:val="true"/>
        </w:rPr>
        <w:footnoteReference w:id="1180"/>
      </w:r>
      <w:r>
        <w:rPr>
          <w:rFonts w:ascii="Amiri" w:hAnsi="Amiri" w:eastAsia="Amiri" w:cs="Amiri"/>
          <w:color w:val="111111"/>
          <w:sz w:val="28"/>
          <w:sz w:val="28"/>
          <w:szCs w:val="28"/>
          <w:rtl w:val="true"/>
          <w:lang w:bidi="ar-SA"/>
        </w:rPr>
        <w:t>في الصغائرِ مِن</w:t>
      </w:r>
      <w:r>
        <w:rPr>
          <w:rStyle w:val="FootnoteAnchor"/>
          <w:rtl w:val="true"/>
        </w:rPr>
        <w:footnoteReference w:id="1181"/>
      </w:r>
      <w:r>
        <w:rPr>
          <w:rFonts w:ascii="Amiri" w:hAnsi="Amiri" w:eastAsia="Amiri" w:cs="Amiri"/>
          <w:color w:val="111111"/>
          <w:sz w:val="28"/>
          <w:sz w:val="28"/>
          <w:szCs w:val="28"/>
          <w:rtl w:val="true"/>
          <w:lang w:bidi="ar-SA"/>
        </w:rPr>
        <w:t>أنّ الكبائرَ الماضيةَ قَبلَ النبوّةِ لا يُستَحقُّ بها</w:t>
      </w:r>
      <w:r>
        <w:rPr>
          <w:rStyle w:val="FootnoteAnchor"/>
          <w:rtl w:val="true"/>
        </w:rPr>
        <w:footnoteReference w:id="1182"/>
      </w:r>
      <w:r>
        <w:rPr>
          <w:rFonts w:ascii="Amiri" w:hAnsi="Amiri" w:eastAsia="Amiri" w:cs="Amiri"/>
          <w:color w:val="111111"/>
          <w:sz w:val="28"/>
          <w:sz w:val="28"/>
          <w:szCs w:val="28"/>
          <w:rtl w:val="true"/>
          <w:lang w:bidi="ar-SA"/>
        </w:rPr>
        <w:t>شَيءٌ مِن</w:t>
      </w:r>
      <w:r>
        <w:rPr>
          <w:rStyle w:val="FootnoteAnchor"/>
          <w:rtl w:val="true"/>
        </w:rPr>
        <w:footnoteReference w:id="1183"/>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سَقَطَ عِقابُها</w:t>
      </w:r>
      <w:r>
        <w:rPr>
          <w:rStyle w:val="FootnoteAnchor"/>
          <w:rtl w:val="true"/>
        </w:rPr>
        <w:footnoteReference w:id="1184"/>
      </w:r>
      <w:r>
        <w:rPr>
          <w:rFonts w:ascii="Amiri" w:hAnsi="Amiri" w:eastAsia="Amiri" w:cs="Amiri"/>
          <w:color w:val="111111"/>
          <w:sz w:val="28"/>
          <w:sz w:val="28"/>
          <w:szCs w:val="28"/>
          <w:rtl w:val="true"/>
          <w:lang w:bidi="ar-SA"/>
        </w:rPr>
        <w:t>لأجلِ زيادةِ ثَوابِ طاعاتِ فاعلِها؛ ألا تَرىٰ أنّها لَو انفَرَدَت لَاستُحِقَّ بها العِقابُ؟</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 لا مَخلَصَ للخُصومِ مِن هذه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ذلكَ و شَرَحناه و استَوفَيناه في كتابِنا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 و الأئمّةِ عليهم السلامُ‌</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7"/>
      </w:r>
      <w:r>
        <w:rPr>
          <w:rFonts w:ascii="Amiri" w:hAnsi="Amiri" w:eastAsia="Amiri" w:cs="Amiri"/>
          <w:color w:val="111111"/>
          <w:sz w:val="28"/>
          <w:sz w:val="28"/>
          <w:szCs w:val="28"/>
          <w:rtl w:val="true"/>
          <w:lang w:bidi="ar-SA"/>
        </w:rPr>
        <w:t>و بَلَغنا فيه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ذَكَرنا أيضاً في هذا الكتابِ تأويلَ كُلِّ آيةٍ ادُّعيَ أنّ ظاهرَها يَقتَضي وقوعَ معصيةٍ مِن نَبيٍّ‌، و بيّنّا الصحيحَ مِن تأويلِها، و سُقنا الكلامَ في نَبيٍّ بَعدَ نَبيٍّ مِن آدَمَ إلىٰ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Style w:val="FootnoteAnchor"/>
          <w:rtl w:val="true"/>
        </w:rPr>
        <w:footnoteReference w:id="1188"/>
      </w:r>
      <w:r>
        <w:rPr>
          <w:rFonts w:ascii="Amiri" w:hAnsi="Amiri" w:eastAsia="Amiri" w:cs="Amiri"/>
          <w:color w:val="111111"/>
          <w:sz w:val="28"/>
          <w:sz w:val="28"/>
          <w:szCs w:val="28"/>
          <w:rtl w:val="true"/>
          <w:lang w:bidi="ar-SA"/>
        </w:rPr>
        <w:t>أجمعينَ‌</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فَعَلنا مِثلَ ذلكَ في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جَليلُ المَوقِعِ في الدينِ كَثيرُ الفائدةِ‌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الآيةُ أوّلُ شَيءٍ تَكلَّمنا عليها</w:t>
      </w:r>
      <w:r>
        <w:rPr>
          <w:rStyle w:val="FootnoteAnchor"/>
          <w:rtl w:val="true"/>
        </w:rPr>
        <w:footnoteReference w:id="1190"/>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و بيّنّا أنّها لا تَدُلُّ علىٰ وقوعِ قَبيحٍ من آدَمَ عليه السلامُ‌؛ و أنّ ظاهرَها يَحتَمِلُ الصحيحَ الذي نَقولُه</w:t>
      </w:r>
      <w:r>
        <w:rPr>
          <w:rStyle w:val="FootnoteAnchor"/>
          <w:rtl w:val="true"/>
        </w:rPr>
        <w:footnoteReference w:id="1192"/>
      </w:r>
      <w:r>
        <w:rPr>
          <w:rFonts w:ascii="Amiri" w:hAnsi="Amiri" w:eastAsia="Amiri" w:cs="Amiri"/>
          <w:color w:val="111111"/>
          <w:sz w:val="28"/>
          <w:sz w:val="28"/>
          <w:szCs w:val="28"/>
          <w:rtl w:val="true"/>
          <w:lang w:bidi="ar-SA"/>
        </w:rPr>
        <w:t>، كما أنّه مُحتَمِلٌ للباطلِ الذي</w:t>
      </w:r>
      <w:r>
        <w:rPr>
          <w:rStyle w:val="FootnoteAnchor"/>
          <w:rtl w:val="true"/>
        </w:rPr>
        <w:footnoteReference w:id="1193"/>
      </w:r>
      <w:r>
        <w:rPr>
          <w:rFonts w:ascii="Amiri" w:hAnsi="Amiri" w:eastAsia="Amiri" w:cs="Amiri"/>
          <w:color w:val="111111"/>
          <w:sz w:val="28"/>
          <w:sz w:val="28"/>
          <w:szCs w:val="28"/>
          <w:rtl w:val="true"/>
          <w:lang w:bidi="ar-SA"/>
        </w:rPr>
        <w:t>يَذهَبونَ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مُخالَفةِ الأمرِ أو الإرادةِ‌، و الأمرُ و الإرادةُ قد يَتعلَّقانِ بالواجبِ و بما له صفةُ النَّدبِ‌، و الأمرُ علَى الحقيقةِ أمرٌ بالنَّدبِ كما أنّه أمرٌ بالواجبِ دونَ النَّدبِ‌؛ فمِن أينَ لهم أنّه خالَفَ الواجبَ‌، دونَ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عَدَلَ عن المندوبِ إليه‌؟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 عن تَناوُلِ تلكَ الشجرةِ‌، فعَصىٰ‌</w:t>
      </w:r>
      <w:r>
        <w:rPr>
          <w:rStyle w:val="FootnoteAnchor"/>
          <w:rtl w:val="true"/>
        </w:rPr>
        <w:footnoteReference w:id="1194"/>
      </w:r>
      <w:r>
        <w:rPr>
          <w:rFonts w:ascii="Amiri" w:hAnsi="Amiri" w:eastAsia="Amiri" w:cs="Amiri"/>
          <w:color w:val="111111"/>
          <w:sz w:val="28"/>
          <w:sz w:val="28"/>
          <w:szCs w:val="28"/>
          <w:rtl w:val="true"/>
          <w:lang w:bidi="ar-SA"/>
        </w:rPr>
        <w:t>بأن خالَفَ و تَناوَلَ‌، فلَم يَستَحِقَّ عِقاباً؛ لأنّه لَم يَفعَلْ قَبيحاً، لكِنّه حَرَمَ نفسَه الثوابَ الذي كانَ يَستَحِقُّه علَى الطاعةِ التي نُدِبَ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اللغةِ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w:t>
      </w:r>
      <w:r>
        <w:rPr>
          <w:rStyle w:val="FootnoteAnchor"/>
          <w:rtl w:val="true"/>
        </w:rPr>
        <w:footnoteReference w:id="1195"/>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يَلقَ‌</w:t>
      </w:r>
      <w:r>
        <w:rPr>
          <w:rStyle w:val="FootnoteAnchor"/>
          <w:rtl w:val="true"/>
        </w:rPr>
        <w:footnoteReference w:id="1196"/>
      </w:r>
      <w:r>
        <w:rPr>
          <w:rFonts w:ascii="Amiri" w:hAnsi="Amiri" w:eastAsia="Amiri" w:cs="Amiri"/>
          <w:color w:val="111111"/>
          <w:sz w:val="28"/>
          <w:sz w:val="28"/>
          <w:szCs w:val="28"/>
          <w:rtl w:val="true"/>
          <w:lang w:bidi="ar-SA"/>
        </w:rPr>
        <w:t xml:space="preserve">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Style w:val="FootnoteAnchor"/>
          <w:rtl w:val="true"/>
        </w:rPr>
        <w:footnoteReference w:id="1197"/>
      </w:r>
      <w:r>
        <w:rPr>
          <w:rFonts w:ascii="Amiri" w:hAnsi="Amiri" w:eastAsia="Amiri" w:cs="Amiri"/>
          <w:color w:val="111111"/>
          <w:sz w:val="28"/>
          <w:sz w:val="28"/>
          <w:szCs w:val="28"/>
          <w:rtl w:val="true"/>
          <w:lang w:bidi="ar-SA"/>
        </w:rPr>
        <w:t>يَغوِ لا</w:t>
      </w:r>
      <w:r>
        <w:rPr>
          <w:rStyle w:val="FootnoteAnchor"/>
          <w:rtl w:val="true"/>
        </w:rPr>
        <w:footnoteReference w:id="1198"/>
      </w:r>
      <w:r>
        <w:rPr>
          <w:rFonts w:ascii="Amiri" w:hAnsi="Amiri" w:eastAsia="Amiri" w:cs="Amiri"/>
          <w:color w:val="111111"/>
          <w:sz w:val="28"/>
          <w:sz w:val="28"/>
          <w:szCs w:val="28"/>
          <w:rtl w:val="true"/>
          <w:lang w:bidi="ar-SA"/>
        </w:rPr>
        <w:t>يَعدَمْ علَى الغَيِّ لائما</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 ممّا لَم نَذكُرْه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آدَمُ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إلّابالخَيبةِ‌</w:t>
      </w:r>
      <w:r>
        <w:rPr>
          <w:rStyle w:val="FootnoteAnchor"/>
          <w:rtl w:val="true"/>
        </w:rPr>
        <w:footnoteReference w:id="1200"/>
      </w:r>
      <w:r>
        <w:rPr>
          <w:rFonts w:ascii="Amiri" w:hAnsi="Amiri" w:eastAsia="Amiri" w:cs="Amiri"/>
          <w:color w:val="111111"/>
          <w:sz w:val="28"/>
          <w:sz w:val="28"/>
          <w:szCs w:val="28"/>
          <w:rtl w:val="true"/>
          <w:lang w:bidi="ar-SA"/>
        </w:rPr>
        <w:t>، و لا يَليقُ بالغَيِّ الذي هو القَبيحُ و ضدُّ الرُّشدِ؛ لأنّ الشيءَ لا</w:t>
      </w:r>
      <w:r>
        <w:rPr>
          <w:rStyle w:val="FootnoteAnchor"/>
          <w:rtl w:val="true"/>
        </w:rPr>
        <w:footnoteReference w:id="1201"/>
      </w:r>
      <w:r>
        <w:rPr>
          <w:rFonts w:ascii="Amiri" w:hAnsi="Amiri" w:eastAsia="Amiri" w:cs="Amiri"/>
          <w:color w:val="111111"/>
          <w:sz w:val="28"/>
          <w:sz w:val="28"/>
          <w:szCs w:val="28"/>
          <w:rtl w:val="true"/>
          <w:lang w:bidi="ar-SA"/>
        </w:rPr>
        <w:t xml:space="preserve">يُعطَفُ علىٰ نفسِه، و لا يَكونُ سبباً في نفسِه، و مُحالٌ أن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فعَصىٰ‌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أن يُرادَ بما عُطِفَ بالفاءِ غيرُ 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الخَيبةُ هي حِرمانُ الثوابِ بالمعصيةِ التي هي تَركُ المندوبِ و سببٌ‌</w:t>
      </w:r>
      <w:r>
        <w:rPr>
          <w:rStyle w:val="FootnoteAnchor"/>
          <w:rtl w:val="true"/>
        </w:rPr>
        <w:footnoteReference w:id="1202"/>
      </w:r>
      <w:r>
        <w:rPr>
          <w:rFonts w:ascii="Amiri" w:hAnsi="Amiri" w:eastAsia="Amiri" w:cs="Amiri"/>
          <w:color w:val="111111"/>
          <w:sz w:val="28"/>
          <w:sz w:val="28"/>
          <w:szCs w:val="28"/>
          <w:rtl w:val="true"/>
          <w:lang w:bidi="ar-SA"/>
        </w:rPr>
        <w:t>فيها، فجازَ أن تُعطَفَ‌</w:t>
      </w:r>
      <w:r>
        <w:rPr>
          <w:rStyle w:val="FootnoteAnchor"/>
          <w:rtl w:val="true"/>
        </w:rPr>
        <w:footnoteReference w:id="1203"/>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 الذي</w:t>
      </w:r>
      <w:r>
        <w:rPr>
          <w:rStyle w:val="FootnoteAnchor"/>
          <w:rtl w:val="true"/>
        </w:rPr>
        <w:footnoteReference w:id="1204"/>
      </w:r>
      <w:r>
        <w:rPr>
          <w:rFonts w:ascii="Amiri" w:hAnsi="Amiri" w:eastAsia="Amiri" w:cs="Amiri"/>
          <w:color w:val="111111"/>
          <w:sz w:val="28"/>
          <w:sz w:val="28"/>
          <w:szCs w:val="28"/>
          <w:rtl w:val="true"/>
          <w:lang w:bidi="ar-SA"/>
        </w:rPr>
        <w:t>هو الفِعلُ القَبيحُ‌، لا يَجوزُ عَطفُه علَى المعصيةِ‌، و لا أن تَكونَ‌</w:t>
      </w:r>
      <w:r>
        <w:rPr>
          <w:rStyle w:val="FootnoteAnchor"/>
          <w:rtl w:val="true"/>
        </w:rPr>
        <w:footnoteReference w:id="1205"/>
      </w:r>
      <w:r>
        <w:rPr>
          <w:rFonts w:ascii="Amiri" w:hAnsi="Amiri" w:eastAsia="Amiri" w:cs="Amiri"/>
          <w:color w:val="111111"/>
          <w:sz w:val="28"/>
          <w:sz w:val="28"/>
          <w:szCs w:val="28"/>
          <w:rtl w:val="true"/>
          <w:lang w:bidi="ar-SA"/>
        </w:rPr>
        <w:t>المعصيةُ‌</w:t>
      </w:r>
      <w:r>
        <w:rPr>
          <w:rStyle w:val="FootnoteAnchor"/>
          <w:rtl w:val="true"/>
        </w:rPr>
        <w:footnoteReference w:id="1206"/>
      </w:r>
      <w:r>
        <w:rPr>
          <w:rFonts w:ascii="Amiri" w:hAnsi="Amiri" w:eastAsia="Amiri" w:cs="Amiri"/>
          <w:color w:val="111111"/>
          <w:sz w:val="28"/>
          <w:sz w:val="28"/>
          <w:szCs w:val="28"/>
          <w:rtl w:val="true"/>
          <w:lang w:bidi="ar-SA"/>
        </w:rPr>
        <w:t>سبباً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المانعُ مِن أن يُريدَ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w:t>
      </w:r>
      <w:r>
        <w:rPr>
          <w:rStyle w:val="FootnoteAnchor"/>
          <w:rtl w:val="true"/>
        </w:rPr>
        <w:footnoteReference w:id="1207"/>
      </w:r>
      <w:r>
        <w:rPr>
          <w:rFonts w:ascii="Amiri" w:hAnsi="Amiri" w:eastAsia="Amiri" w:cs="Amiri"/>
          <w:color w:val="111111"/>
          <w:sz w:val="28"/>
          <w:sz w:val="28"/>
          <w:szCs w:val="28"/>
          <w:rtl w:val="true"/>
          <w:lang w:bidi="ar-SA"/>
        </w:rPr>
        <w:t>لَم يَفعَلِ الواجبَ مِن الكَفِّ عن الشجرةِ؟ و الواجبُ يُستَحقُّ بالإخلالِ به حِرمانُ الثوابِ‌، كالفِعلِ المندوبِ إليه؛ فكَيفَ رَجَّحتم ما ذَهَبتم إليه، لا</w:t>
      </w:r>
      <w:r>
        <w:rPr>
          <w:rStyle w:val="FootnoteAnchor"/>
          <w:rtl w:val="true"/>
        </w:rPr>
        <w:footnoteReference w:id="1208"/>
      </w:r>
      <w:r>
        <w:rPr>
          <w:rFonts w:ascii="IRNazanin" w:hAnsi="IRNazanin" w:eastAsia="IRNazanin"/>
          <w:color w:val="111111"/>
          <w:sz w:val="28"/>
          <w:sz w:val="28"/>
          <w:szCs w:val="28"/>
          <w:rtl w:val="true"/>
          <w:lang w:bidi="fa-IR"/>
        </w:rPr>
        <w:t>ما</w:t>
      </w:r>
      <w:r>
        <w:rPr>
          <w:rStyle w:val="FootnoteAnchor"/>
          <w:rtl w:val="true"/>
        </w:rPr>
        <w:footnoteReference w:id="1209"/>
      </w:r>
      <w:r>
        <w:rPr>
          <w:rFonts w:ascii="Amiri" w:hAnsi="Amiri" w:eastAsia="Amiri" w:cs="Amiri"/>
          <w:color w:val="111111"/>
          <w:sz w:val="28"/>
          <w:sz w:val="28"/>
          <w:szCs w:val="28"/>
          <w:rtl w:val="true"/>
          <w:lang w:bidi="ar-SA"/>
        </w:rPr>
        <w:t>ذَهَبنا نَحنُ إليه‌؟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لقَولِنا ظاهرٌ؛ إذ</w:t>
      </w:r>
      <w:r>
        <w:rPr>
          <w:rStyle w:val="FootnoteAnchor"/>
          <w:rtl w:val="true"/>
        </w:rPr>
        <w:footnoteReference w:id="1210"/>
      </w:r>
      <w:r>
        <w:rPr>
          <w:rFonts w:ascii="Amiri" w:hAnsi="Amiri" w:eastAsia="Amiri" w:cs="Amiri"/>
          <w:color w:val="111111"/>
          <w:sz w:val="28"/>
          <w:sz w:val="28"/>
          <w:szCs w:val="28"/>
          <w:rtl w:val="true"/>
          <w:lang w:bidi="ar-SA"/>
        </w:rPr>
        <w:t>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دَخَلَته الفاءُ جزاءٌ علَى المعصيةِ‌، و أنّه كُلُّ الجزاءِ المُستَحَقِّ بالمعصيةِ‌</w:t>
      </w:r>
      <w:r>
        <w:rPr>
          <w:rStyle w:val="FootnoteAnchor"/>
          <w:rtl w:val="true"/>
        </w:rPr>
        <w:footnoteReference w:id="1211"/>
      </w:r>
      <w:r>
        <w:rPr>
          <w:rFonts w:ascii="Amiri" w:hAnsi="Amiri" w:eastAsia="Amiri" w:cs="Amiri"/>
          <w:color w:val="111111"/>
          <w:sz w:val="28"/>
          <w:sz w:val="28"/>
          <w:szCs w:val="28"/>
          <w:rtl w:val="true"/>
          <w:lang w:bidi="ar-SA"/>
        </w:rPr>
        <w:t>لأنّ الظاهرَ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 فقُطِعَ‌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فجُلِدَ ثَمانينَ جَلدةً‌</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أنّ ذلك جميع الجزاءِ‌، لا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w:t>
      </w:r>
      <w:r>
        <w:rPr>
          <w:rStyle w:val="FootnoteAnchor"/>
          <w:rtl w:val="true"/>
        </w:rPr>
        <w:footnoteReference w:id="1213"/>
      </w:r>
      <w:r>
        <w:rPr>
          <w:rFonts w:ascii="Amiri" w:hAnsi="Amiri" w:eastAsia="Amiri" w:cs="Amiri"/>
          <w:color w:val="111111"/>
          <w:sz w:val="28"/>
          <w:sz w:val="28"/>
          <w:szCs w:val="28"/>
          <w:rtl w:val="true"/>
          <w:lang w:bidi="ar-SA"/>
        </w:rPr>
        <w:t>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حَمَلناه علىٰ أنّ الظاهرَ يَقتَضي أنّ الدِّرهَمَ جميعُ جزائه، و لا يَستَحِقُّ بالدخولِ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يَفعَلِ الواجبَ استَحقَّ الذمَّ و العِقابَ و حِرمانَ الثوابِ‌، و مَن لم يَفعَلِ المندوبَ‌</w:t>
      </w:r>
      <w:r>
        <w:rPr>
          <w:rStyle w:val="FootnoteAnchor"/>
          <w:rtl w:val="true"/>
        </w:rPr>
        <w:footnoteReference w:id="1214"/>
      </w:r>
      <w:r>
        <w:rPr>
          <w:rFonts w:ascii="Amiri" w:hAnsi="Amiri" w:eastAsia="Amiri" w:cs="Amiri"/>
          <w:color w:val="111111"/>
          <w:sz w:val="28"/>
          <w:sz w:val="28"/>
          <w:szCs w:val="28"/>
          <w:rtl w:val="true"/>
          <w:lang w:bidi="ar-SA"/>
        </w:rPr>
        <w:t>فهو غيرُ مُستَحِقٍّ لشَيءٍ كانَ تَركُه للنَّدبِ سبباً تامّاً</w:t>
      </w:r>
      <w:r>
        <w:rPr>
          <w:rStyle w:val="FootnoteAnchor"/>
          <w:rtl w:val="true"/>
        </w:rPr>
        <w:footnoteReference w:id="1215"/>
      </w:r>
      <w:r>
        <w:rPr>
          <w:rFonts w:ascii="Amiri" w:hAnsi="Amiri" w:eastAsia="Amiri" w:cs="Amiri"/>
          <w:color w:val="111111"/>
          <w:sz w:val="28"/>
          <w:sz w:val="28"/>
          <w:szCs w:val="28"/>
          <w:rtl w:val="true"/>
          <w:lang w:bidi="ar-SA"/>
        </w:rPr>
        <w:t>فيه إلّاحِرمانَ الثوابِ فقط، و بيّنّا أنّ مَن لَم يَفعَلِ الواجبَ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الظاهرُ يَقتَضي أنّ ما دَخَلَته الفاءُ جميعُ الجزاءِ علىٰ ذلكَ السببِ‌، لَم يَلِقْ إلّابما قُلناه، دونَ ما ذَهَبوا إليه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 لِمَن تَدبَّرَه</w:t>
      </w:r>
      <w:r>
        <w:rPr>
          <w:rFonts w:eastAsia="Amiri" w:cs="Amiri" w:ascii="Amiri" w:hAnsi="Amiri"/>
          <w:color w:val="111111"/>
          <w:sz w:val="28"/>
          <w:szCs w:val="28"/>
          <w:rtl w:val="true"/>
          <w:lang w:bidi="ar-SA"/>
        </w:rPr>
        <w:t xml:space="preserve">. </w:t>
      </w:r>
      <w:bookmarkStart w:id="201" w:name="pg16415_223848"/>
    </w:p>
    <w:p>
      <w:pPr>
        <w:pStyle w:val="Heading6"/>
        <w:numPr>
          <w:ilvl w:val="5"/>
          <w:numId w:val="1"/>
        </w:numPr>
        <w:rPr/>
      </w:pPr>
      <w:bookmarkStart w:id="202" w:name="__RefHeading___Toc7642366_1280447820"/>
      <w:bookmarkStart w:id="203" w:name="_Toc70"/>
      <w:bookmarkEnd w:id="201"/>
      <w:bookmarkEnd w:id="202"/>
      <w:r>
        <w:rPr>
          <w:rtl w:val="true"/>
        </w:rPr>
        <w:t>المسألةُ الثامنةُ حقيقةُ الرَّجعةِ‌</w:t>
      </w:r>
      <w:bookmarkEnd w:id="203"/>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216"/>
      </w:r>
      <w:r>
        <w:rPr>
          <w:rFonts w:ascii="Amiri" w:hAnsi="Amiri" w:eastAsia="Amiri" w:cs="Amiri"/>
          <w:color w:val="111111"/>
          <w:sz w:val="28"/>
          <w:sz w:val="28"/>
          <w:szCs w:val="28"/>
          <w:rtl w:val="true"/>
          <w:lang w:bidi="ar-SA"/>
        </w:rPr>
        <w:t>حقيقةُ الرَّجعةِ؟ لأنّ شُذّاذَ الإماميّةِ‌</w:t>
      </w:r>
      <w:r>
        <w:rPr>
          <w:rStyle w:val="FootnoteAnchor"/>
          <w:rtl w:val="true"/>
        </w:rPr>
        <w:footnoteReference w:id="1217"/>
      </w:r>
      <w:r>
        <w:rPr>
          <w:rFonts w:ascii="Amiri" w:hAnsi="Amiri" w:eastAsia="Amiri" w:cs="Amiri"/>
          <w:color w:val="111111"/>
          <w:sz w:val="28"/>
          <w:sz w:val="28"/>
          <w:szCs w:val="28"/>
          <w:rtl w:val="true"/>
          <w:lang w:bidi="ar-SA"/>
        </w:rPr>
        <w:t>يَذهَبونَ إلىٰ أنّ الرجعةَ رجوعُ دَولتِهم في أيّامِ القائمِ عليه السلامُ‌، مِن دونِ رجوعِ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الذي تَذهَبُ الشيعةُ الإماميّةُ إليه</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يُعيدُ عندَ ظهورِ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ممّن كانَ قد تَقدَّمَ مَوتُه من شيعتِه؛ ليَفوزوا بثَوابِ نُصرتِه و مَعونتِه و مُشاهَدةِ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يُعيدُ أيضاً قوماً من أعدائه؛ ليَنتَقِمَ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يَنالوا بعضَ ما يَستَحِقّونَه مِنَ العِقابِ في القَتلِ علىٰ أيدي شيعتِه، أو الذُّلِّ و الخِزيِ‌</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بما يُشاهِدونَ مِن ظهورِ الحقِّ و عُلوِّ كلمةِ أهلِه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الدَّلالةُ علىٰ صحّةِ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ذَهَبوا إليه ممّا لا شُبهةَ علىٰ عاقلٍ في أنّه مقدورٌ للّٰهِ تَعالىٰ‌، غيرُ مُستَحيلٍ في نفسِه؛ فإنّا نَرىٰ كَثيراً مِن مُخالِفينا </w:t>
      </w:r>
    </w:p>
    <w:p>
      <w:pPr>
        <w:pStyle w:val="BookText"/>
        <w:rPr/>
      </w:pPr>
      <w:r>
        <w:rPr>
          <w:rFonts w:ascii="Amiri" w:hAnsi="Amiri" w:eastAsia="Amiri" w:cs="Amiri"/>
          <w:color w:val="111111"/>
          <w:sz w:val="28"/>
          <w:sz w:val="28"/>
          <w:szCs w:val="28"/>
          <w:rtl w:val="true"/>
          <w:lang w:bidi="ar-SA"/>
        </w:rPr>
        <w:t>يُنكِرونَ الرجعةَ إنكارَ مَن يَراها مُستَحيلةً غيرَ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w:t>
      </w:r>
      <w:r>
        <w:rPr>
          <w:rStyle w:val="FootnoteAnchor"/>
          <w:rtl w:val="true"/>
        </w:rPr>
        <w:footnoteReference w:id="1220"/>
      </w:r>
      <w:r>
        <w:rPr>
          <w:rFonts w:ascii="Amiri" w:hAnsi="Amiri" w:eastAsia="Amiri" w:cs="Amiri"/>
          <w:color w:val="111111"/>
          <w:sz w:val="28"/>
          <w:sz w:val="28"/>
          <w:szCs w:val="28"/>
          <w:rtl w:val="true"/>
          <w:lang w:bidi="ar-SA"/>
        </w:rPr>
        <w:t>جوازُ الرجعةِ و دخولُها تَحتَ المقدورِ، فالطريقُ‌</w:t>
      </w:r>
      <w:r>
        <w:rPr>
          <w:rStyle w:val="FootnoteAnchor"/>
          <w:rtl w:val="true"/>
        </w:rPr>
        <w:footnoteReference w:id="1221"/>
      </w:r>
      <w:r>
        <w:rPr>
          <w:rFonts w:ascii="Amiri" w:hAnsi="Amiri" w:eastAsia="Amiri" w:cs="Amiri"/>
          <w:color w:val="111111"/>
          <w:sz w:val="28"/>
          <w:sz w:val="28"/>
          <w:szCs w:val="28"/>
          <w:rtl w:val="true"/>
          <w:lang w:bidi="ar-SA"/>
        </w:rPr>
        <w:t>إلىٰ إثباتِها إجماعُ الإماميّةِ علىٰ وقوعِها؛ فإنّهم لا 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إجماعُهم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لدخولِ قولِ الإمامِ عليه السلامُ فيه، و ما يَشتَمِلُ علىٰ قولِ المعصومِ مِن الأقوالِ لا بُدَّ فيه مِن كَونِه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الرجعةَ لا تُنافي التكليفَ‌،</w:t>
      </w:r>
      <w:r>
        <w:rPr>
          <w:rStyle w:val="FootnoteAnchor"/>
          <w:rtl w:val="true"/>
        </w:rPr>
        <w:footnoteReference w:id="1222"/>
      </w:r>
      <w:r>
        <w:rPr>
          <w:rFonts w:ascii="Amiri" w:hAnsi="Amiri" w:eastAsia="Amiri" w:cs="Amiri"/>
          <w:color w:val="111111"/>
          <w:sz w:val="28"/>
          <w:sz w:val="28"/>
          <w:szCs w:val="28"/>
          <w:rtl w:val="true"/>
          <w:lang w:bidi="ar-SA"/>
        </w:rPr>
        <w:t>و أنّ الدواعيَ مُتردِّدةٌ معها؛ حَتّىٰ‌</w:t>
      </w:r>
      <w:r>
        <w:rPr>
          <w:rStyle w:val="FootnoteAnchor"/>
          <w:rtl w:val="true"/>
        </w:rPr>
        <w:footnoteReference w:id="1223"/>
      </w:r>
      <w:r>
        <w:rPr>
          <w:rFonts w:ascii="Amiri" w:hAnsi="Amiri" w:eastAsia="Amiri" w:cs="Amiri"/>
          <w:color w:val="111111"/>
          <w:sz w:val="28"/>
          <w:sz w:val="28"/>
          <w:szCs w:val="28"/>
          <w:rtl w:val="true"/>
          <w:lang w:bidi="ar-SA"/>
        </w:rPr>
        <w:t>لا يَظُنَّ ظانٌّ أنّ تكليفَ مَن يُعادُ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 التكليفَ كما يَصِحُّ مع ظهورِ المُعجِزاتِ الباهرةِ و الآياتِ القاهرةِ‌، فكذلكَ مع الرجعةِ‌؛</w:t>
      </w:r>
      <w:r>
        <w:rPr>
          <w:rStyle w:val="FootnoteAnchor"/>
          <w:rtl w:val="true"/>
        </w:rPr>
        <w:footnoteReference w:id="1224"/>
      </w:r>
      <w:r>
        <w:rPr>
          <w:rFonts w:ascii="Amiri" w:hAnsi="Amiri" w:eastAsia="Amiri" w:cs="Amiri"/>
          <w:color w:val="111111"/>
          <w:sz w:val="28"/>
          <w:sz w:val="28"/>
          <w:szCs w:val="28"/>
          <w:rtl w:val="true"/>
          <w:lang w:bidi="ar-SA"/>
        </w:rPr>
        <w:t>لأنّه لَيسَ في جميعِ‌</w:t>
      </w:r>
      <w:r>
        <w:rPr>
          <w:rStyle w:val="FootnoteAnchor"/>
          <w:rtl w:val="true"/>
        </w:rPr>
        <w:footnoteReference w:id="1225"/>
      </w:r>
      <w:r>
        <w:rPr>
          <w:rFonts w:ascii="Amiri" w:hAnsi="Amiri" w:eastAsia="Amiri" w:cs="Amiri"/>
          <w:color w:val="111111"/>
          <w:sz w:val="28"/>
          <w:sz w:val="28"/>
          <w:szCs w:val="28"/>
          <w:rtl w:val="true"/>
          <w:lang w:bidi="ar-SA"/>
        </w:rPr>
        <w:t>ذلكَ مُلجئٌ إلىٰ فِعلِ الواجبِ و الامتناعِ مِن فِعلِ القَبيحِ‌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تأوَّلَ الرجعةَ مِن</w:t>
      </w:r>
      <w:r>
        <w:rPr>
          <w:rStyle w:val="FootnoteAnchor"/>
          <w:rtl w:val="true"/>
        </w:rPr>
        <w:footnoteReference w:id="1226"/>
      </w:r>
      <w:r>
        <w:rPr>
          <w:rFonts w:ascii="Amiri" w:hAnsi="Amiri" w:eastAsia="Amiri" w:cs="Amiri"/>
          <w:color w:val="111111"/>
          <w:sz w:val="28"/>
          <w:sz w:val="28"/>
          <w:szCs w:val="28"/>
          <w:rtl w:val="true"/>
          <w:lang w:bidi="ar-SA"/>
        </w:rPr>
        <w:t xml:space="preserve">أصحابِنا علىٰ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الدولةِ و الأمرِ و النهيِ‌، مِن دونِ رجوعِ الأشخاصِ و إحياءِ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قوماً مِن الشيعةِ لمّا عَجَزوا عن نُصرةِ الرجعةِ و بيانِ جوازِها 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التكليفَ‌، عَوَّلوا علىٰ هذا التأويلِ للأخبارِ الواردةِ بالرجعةِ‌</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 هذا منهم غيرُ صَحيحٍ‌؛ لأنّ الرجعةَ لَم تَثبُتْ بظواهرِ الأخبارِ المنقولةِ‌، فتَتطرَّقَ‌</w:t>
      </w:r>
      <w:r>
        <w:rPr>
          <w:rStyle w:val="FootnoteAnchor"/>
          <w:rtl w:val="true"/>
        </w:rPr>
        <w:footnoteReference w:id="1228"/>
      </w:r>
      <w:r>
        <w:rPr>
          <w:rFonts w:ascii="Amiri" w:hAnsi="Amiri" w:eastAsia="Amiri" w:cs="Amiri"/>
          <w:color w:val="111111"/>
          <w:sz w:val="28"/>
          <w:sz w:val="28"/>
          <w:szCs w:val="28"/>
          <w:rtl w:val="true"/>
          <w:lang w:bidi="ar-SA"/>
        </w:rPr>
        <w:t>التأويلاتُ عليها؛ فكَيفَ يَثبُتُ ما هو مقطوعٌ علىٰ صحّتِه بأخبارِ آحادٍ</w:t>
      </w:r>
      <w:r>
        <w:rPr>
          <w:rStyle w:val="FootnoteAnchor"/>
          <w:rtl w:val="true"/>
        </w:rPr>
        <w:footnoteReference w:id="1229"/>
      </w:r>
      <w:r>
        <w:rPr>
          <w:rFonts w:ascii="Amiri" w:hAnsi="Amiri" w:eastAsia="Amiri" w:cs="Amiri"/>
          <w:color w:val="111111"/>
          <w:sz w:val="28"/>
          <w:sz w:val="28"/>
          <w:szCs w:val="28"/>
          <w:rtl w:val="true"/>
          <w:lang w:bidi="ar-SA"/>
        </w:rPr>
        <w:t>لا توجِبُ العِلمَ؟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المُعوَّلُ في إثباتِ الرجعةِ علىٰ إجماعِ الإماميّةِ علىٰ معناها، فإنّ‌</w:t>
      </w:r>
      <w:r>
        <w:rPr>
          <w:rStyle w:val="FootnoteAnchor"/>
          <w:rtl w:val="true"/>
        </w:rPr>
        <w:footnoteReference w:id="1230"/>
      </w:r>
      <w:r>
        <w:rPr>
          <w:rFonts w:ascii="Amiri" w:hAnsi="Amiri" w:eastAsia="Amiri" w:cs="Amiri"/>
          <w:color w:val="111111"/>
          <w:sz w:val="28"/>
          <w:sz w:val="28"/>
          <w:szCs w:val="28"/>
          <w:rtl w:val="true"/>
          <w:lang w:bidi="ar-SA"/>
        </w:rPr>
        <w:t xml:space="preserve">اللّٰهَ تَعالىٰ يُحيي أمواتاً عندَ قيامِ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أوليائه و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فكَيفَ تَطرَّقَ‌</w:t>
      </w:r>
      <w:r>
        <w:rPr>
          <w:rStyle w:val="FootnoteAnchor"/>
          <w:rtl w:val="true"/>
        </w:rPr>
        <w:footnoteReference w:id="1231"/>
      </w:r>
      <w:r>
        <w:rPr>
          <w:rFonts w:ascii="Amiri" w:hAnsi="Amiri" w:eastAsia="Amiri" w:cs="Amiri"/>
          <w:color w:val="111111"/>
          <w:sz w:val="28"/>
          <w:sz w:val="28"/>
          <w:szCs w:val="28"/>
          <w:rtl w:val="true"/>
          <w:lang w:bidi="ar-SA"/>
        </w:rPr>
        <w:t>التأويلُ علىٰ ما هو معلومٌ‌، فالمعنىٰ غيرُ مُحتَمِلٍ‌</w:t>
      </w:r>
      <w:r>
        <w:rPr>
          <w:rFonts w:eastAsia="Amiri" w:cs="Amiri" w:ascii="Amiri" w:hAnsi="Amiri"/>
          <w:color w:val="111111"/>
          <w:sz w:val="28"/>
          <w:szCs w:val="28"/>
          <w:rtl w:val="true"/>
          <w:lang w:bidi="ar-SA"/>
        </w:rPr>
        <w:t xml:space="preserve">. </w:t>
      </w:r>
      <w:bookmarkStart w:id="204" w:name="pg16415_223851"/>
    </w:p>
    <w:p>
      <w:pPr>
        <w:pStyle w:val="Heading6"/>
        <w:numPr>
          <w:ilvl w:val="5"/>
          <w:numId w:val="1"/>
        </w:numPr>
        <w:rPr/>
      </w:pPr>
      <w:bookmarkStart w:id="205" w:name="__RefHeading___Toc7642368_1280447820"/>
      <w:bookmarkStart w:id="206" w:name="_Toc71"/>
      <w:bookmarkEnd w:id="204"/>
      <w:bookmarkEnd w:id="205"/>
      <w:r>
        <w:rPr>
          <w:rtl w:val="true"/>
        </w:rPr>
        <w:t>المَسألةُ التاسعةُ الطريقُ إلىٰ مَعرِفةِ اللّٰهِ تَعالىٰ‌</w:t>
      </w:r>
      <w:bookmarkEnd w:id="206"/>
    </w:p>
    <w:p>
      <w:pPr>
        <w:pStyle w:val="BookText"/>
        <w:rPr/>
      </w:pPr>
      <w:r>
        <w:rPr>
          <w:rFonts w:ascii="Amiri" w:hAnsi="Amiri" w:eastAsia="Amiri" w:cs="Amiri"/>
          <w:color w:val="111111"/>
          <w:sz w:val="28"/>
          <w:sz w:val="28"/>
          <w:szCs w:val="28"/>
          <w:rtl w:val="true"/>
          <w:lang w:bidi="ar-SA"/>
        </w:rPr>
        <w:t xml:space="preserve">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 إلىٰ مَعرِفةِ اللّٰهِ تَعالىٰ بمُجرَّدِ العقلِ‌، أو مِن طريقِ السمعِ؟</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الطريقُ إلىٰ مَعرِفةِ اللّٰهِ تَعالىٰ هو العقلُ‌، و لا يَجوزُ أن يَكونَ السمعَ‌؛ لأنّ السمعَ لا يَكونُ دليلاً علىٰ شَيءٍ‌</w:t>
      </w:r>
      <w:r>
        <w:rPr>
          <w:rStyle w:val="FootnoteAnchor"/>
          <w:rtl w:val="true"/>
        </w:rPr>
        <w:footnoteReference w:id="1234"/>
      </w:r>
      <w:r>
        <w:rPr>
          <w:rFonts w:ascii="Amiri" w:hAnsi="Amiri" w:eastAsia="Amiri" w:cs="Amiri"/>
          <w:color w:val="111111"/>
          <w:sz w:val="28"/>
          <w:sz w:val="28"/>
          <w:szCs w:val="28"/>
          <w:rtl w:val="true"/>
          <w:lang w:bidi="ar-SA"/>
        </w:rPr>
        <w:t>إلّابَعدَ مَعرِفةِ اللّٰهِ تَعالىٰ و حِكمتِه، و أنّه لا يَفعَلُ القَبيحَ‌، و لا يُصدِّقُ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يَدُلُّ السمعُ علَى المَعرِفةِ‌، و وَجهُ دَلالتِه مَبنيٌّ علىٰ حصولِ المَعارِفِ باللّٰهِ‌؛ حتّىٰ‌</w:t>
      </w:r>
      <w:r>
        <w:rPr>
          <w:rStyle w:val="FootnoteAnchor"/>
          <w:rtl w:val="true"/>
        </w:rPr>
        <w:footnoteReference w:id="1235"/>
      </w:r>
      <w:r>
        <w:rPr>
          <w:rFonts w:ascii="Amiri" w:hAnsi="Amiri" w:eastAsia="Amiri" w:cs="Amiri"/>
          <w:color w:val="111111"/>
          <w:sz w:val="28"/>
          <w:sz w:val="28"/>
          <w:szCs w:val="28"/>
          <w:rtl w:val="true"/>
          <w:lang w:bidi="ar-SA"/>
        </w:rPr>
        <w:t>يَصِحَّ أن يوجِبَ عليه النظَرَ؟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رَدَدنا علىٰ مَن يَذهَبُ مِن أصحابِنا إلىٰ أنّ مَعرِفةَ اللّٰهِ تُستَفادُ</w:t>
      </w:r>
      <w:r>
        <w:rPr>
          <w:rStyle w:val="FootnoteAnchor"/>
          <w:rtl w:val="true"/>
        </w:rPr>
        <w:footnoteReference w:id="1236"/>
      </w:r>
      <w:r>
        <w:rPr>
          <w:rFonts w:ascii="Amiri" w:hAnsi="Amiri" w:eastAsia="Amiri" w:cs="Amiri"/>
          <w:color w:val="111111"/>
          <w:sz w:val="28"/>
          <w:sz w:val="28"/>
          <w:szCs w:val="28"/>
          <w:rtl w:val="true"/>
          <w:lang w:bidi="ar-SA"/>
        </w:rPr>
        <w:t>مِن قولِ الإمامِ عليه السلامُ‌، أنّ‌</w:t>
      </w:r>
      <w:r>
        <w:rPr>
          <w:rStyle w:val="FootnoteAnchor"/>
          <w:rtl w:val="true"/>
        </w:rPr>
        <w:footnoteReference w:id="1237"/>
      </w:r>
      <w:r>
        <w:rPr>
          <w:rFonts w:ascii="Amiri" w:hAnsi="Amiri" w:eastAsia="Amiri" w:cs="Amiri"/>
          <w:color w:val="111111"/>
          <w:sz w:val="28"/>
          <w:sz w:val="28"/>
          <w:szCs w:val="28"/>
          <w:rtl w:val="true"/>
          <w:lang w:bidi="ar-SA"/>
        </w:rPr>
        <w:t>مَعرِفةَ كَونِ الإمامِ إماماً مَبنيّةٌ علَى المَعرِفةِ باللّٰهِ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بيّنّا أنّهم عَوَّلوا في ذلكَ علىٰ أنّ‌</w:t>
      </w:r>
      <w:r>
        <w:rPr>
          <w:rStyle w:val="FootnoteAnchor"/>
          <w:rtl w:val="true"/>
        </w:rPr>
        <w:footnoteReference w:id="1238"/>
      </w:r>
      <w:r>
        <w:rPr>
          <w:rFonts w:ascii="Amiri" w:hAnsi="Amiri" w:eastAsia="Amiri" w:cs="Amiri"/>
          <w:color w:val="111111"/>
          <w:sz w:val="28"/>
          <w:sz w:val="28"/>
          <w:szCs w:val="28"/>
          <w:rtl w:val="true"/>
          <w:lang w:bidi="ar-SA"/>
        </w:rPr>
        <w:t>الإمامَ يُنبِّهُ‌</w:t>
      </w:r>
      <w:r>
        <w:rPr>
          <w:rStyle w:val="FootnoteAnchor"/>
          <w:rtl w:val="true"/>
        </w:rPr>
        <w:footnoteReference w:id="1239"/>
      </w:r>
      <w:r>
        <w:rPr>
          <w:rFonts w:ascii="Amiri" w:hAnsi="Amiri" w:eastAsia="Amiri" w:cs="Amiri"/>
          <w:color w:val="111111"/>
          <w:sz w:val="28"/>
          <w:sz w:val="28"/>
          <w:szCs w:val="28"/>
          <w:rtl w:val="true"/>
          <w:lang w:bidi="ar-SA"/>
        </w:rPr>
        <w:t>علَى النظَرِ في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r>
        <w:rPr>
          <w:rStyle w:val="FootnoteAnchor"/>
          <w:rtl w:val="true"/>
        </w:rPr>
        <w:footnoteReference w:id="1240"/>
      </w:r>
      <w:r>
        <w:rPr>
          <w:rFonts w:ascii="Amiri" w:hAnsi="Amiri" w:eastAsia="Amiri" w:cs="Amiri"/>
          <w:color w:val="111111"/>
          <w:sz w:val="28"/>
          <w:sz w:val="28"/>
          <w:szCs w:val="28"/>
          <w:rtl w:val="true"/>
          <w:lang w:bidi="ar-SA"/>
        </w:rPr>
        <w:t>غيرُ صحيحٍ‌؛ لأنّ‌</w:t>
      </w:r>
      <w:r>
        <w:rPr>
          <w:rStyle w:val="FootnoteAnchor"/>
          <w:rtl w:val="true"/>
        </w:rPr>
        <w:footnoteReference w:id="1241"/>
      </w:r>
      <w:r>
        <w:rPr>
          <w:rFonts w:ascii="Amiri" w:hAnsi="Amiri" w:eastAsia="Amiri" w:cs="Amiri"/>
          <w:color w:val="111111"/>
          <w:sz w:val="28"/>
          <w:sz w:val="28"/>
          <w:szCs w:val="28"/>
          <w:rtl w:val="true"/>
          <w:lang w:bidi="ar-SA"/>
        </w:rPr>
        <w:t>تنبيهَ‌</w:t>
      </w:r>
      <w:r>
        <w:rPr>
          <w:rStyle w:val="FootnoteAnchor"/>
          <w:rtl w:val="true"/>
        </w:rPr>
        <w:footnoteReference w:id="1242"/>
      </w:r>
      <w:r>
        <w:rPr>
          <w:rFonts w:ascii="Amiri" w:hAnsi="Amiri" w:eastAsia="Amiri" w:cs="Amiri"/>
          <w:color w:val="111111"/>
          <w:sz w:val="28"/>
          <w:sz w:val="28"/>
          <w:szCs w:val="28"/>
          <w:rtl w:val="true"/>
          <w:lang w:bidi="ar-SA"/>
        </w:rPr>
        <w:t>الإمامِ علَى النظَرِ إذا لَم يَكُن للعاقلِ‌</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آخَرُ، فهو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تلكَ الحالِ‌</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Style w:val="FootnoteAnchor"/>
          <w:rtl w:val="true"/>
        </w:rPr>
        <w:footnoteReference w:id="1245"/>
      </w:r>
      <w:r>
        <w:rPr>
          <w:rFonts w:ascii="Amiri" w:hAnsi="Amiri" w:eastAsia="Amiri" w:cs="Amiri"/>
          <w:color w:val="111111"/>
          <w:sz w:val="28"/>
          <w:sz w:val="28"/>
          <w:szCs w:val="28"/>
          <w:rtl w:val="true"/>
          <w:lang w:bidi="ar-SA"/>
        </w:rPr>
        <w:t>كَونِه إماماً كتَنبيهِ‌</w:t>
      </w:r>
      <w:r>
        <w:rPr>
          <w:rStyle w:val="FootnoteAnchor"/>
          <w:rtl w:val="true"/>
        </w:rPr>
        <w:footnoteReference w:id="1246"/>
      </w:r>
      <w:r>
        <w:rPr>
          <w:rFonts w:ascii="Amiri" w:hAnsi="Amiri" w:eastAsia="Amiri" w:cs="Amiri"/>
          <w:color w:val="111111"/>
          <w:sz w:val="28"/>
          <w:sz w:val="28"/>
          <w:szCs w:val="28"/>
          <w:rtl w:val="true"/>
          <w:lang w:bidi="ar-SA"/>
        </w:rPr>
        <w:t>غيرِه ممّن ليَسَ بإمامٍ‌</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و بيّنّا أنّ العاقلَ إذا نَشأَ بَينَ الناسِ‌، و سَمِعَ اختلافَهم في الدياناتِ‌، و قولَ كَثيرٍ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للعالَمِ صانِعاً، خَلَقَ العقلاءَ ليَعرِفوه، و يَستَحِقّوا الثوابَ علىٰ طاعاتِهم، و إنّ مَن فَرَّطَ في المَعرِفةِ استَحقَّ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كَونِه خائفاً مِن تَركِ النظَرِ و إهمالِه؛ لأنّ خَوفَ الضرَرِ جِهةُ‌</w:t>
      </w:r>
      <w:r>
        <w:rPr>
          <w:rStyle w:val="FootnoteAnchor"/>
          <w:rtl w:val="true"/>
        </w:rPr>
        <w:footnoteReference w:id="1248"/>
      </w:r>
      <w:r>
        <w:rPr>
          <w:rFonts w:ascii="Amiri" w:hAnsi="Amiri" w:eastAsia="Amiri" w:cs="Amiri"/>
          <w:color w:val="111111"/>
          <w:sz w:val="28"/>
          <w:sz w:val="28"/>
          <w:szCs w:val="28"/>
          <w:rtl w:val="true"/>
          <w:lang w:bidi="ar-SA"/>
        </w:rPr>
        <w:t>وجوبِ كُلِّ نَظَرٍ في دينٍ أو دُنيا، و أنّه متىٰ خافَ الضرَرَ وَجَبَ عليه النظَرُ و قَبُحَ منه إهمالُه و الإخلالُ 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بيّنّا</w:t>
      </w:r>
      <w:r>
        <w:rPr>
          <w:rStyle w:val="FootnoteAnchor"/>
          <w:rtl w:val="true"/>
        </w:rPr>
        <w:footnoteReference w:id="1249"/>
      </w:r>
      <w:r>
        <w:rPr>
          <w:rFonts w:ascii="Amiri" w:hAnsi="Amiri" w:eastAsia="Amiri" w:cs="Amiri"/>
          <w:color w:val="111111"/>
          <w:sz w:val="28"/>
          <w:sz w:val="28"/>
          <w:szCs w:val="28"/>
          <w:rtl w:val="true"/>
          <w:lang w:bidi="ar-SA"/>
        </w:rPr>
        <w:t>أنّه إن اتَّفَقَ هذا العاقلُ‌، بحَيثُ لا مُنبِّهَ‌</w:t>
      </w:r>
      <w:r>
        <w:rPr>
          <w:rStyle w:val="FootnoteAnchor"/>
          <w:rtl w:val="true"/>
        </w:rPr>
        <w:footnoteReference w:id="1250"/>
      </w:r>
      <w:r>
        <w:rPr>
          <w:rFonts w:ascii="Amiri" w:hAnsi="Amiri" w:eastAsia="Amiri" w:cs="Amiri"/>
          <w:color w:val="111111"/>
          <w:sz w:val="28"/>
          <w:sz w:val="28"/>
          <w:szCs w:val="28"/>
          <w:rtl w:val="true"/>
          <w:lang w:bidi="ar-SA"/>
        </w:rPr>
        <w:t xml:space="preserve">له علَى النظَرِ و لا مُخوِّفَ‌، جازَ </w:t>
      </w:r>
    </w:p>
    <w:p>
      <w:pPr>
        <w:pStyle w:val="BookText"/>
        <w:rPr/>
      </w:pPr>
      <w:r>
        <w:rPr>
          <w:rFonts w:ascii="Amiri" w:hAnsi="Amiri" w:eastAsia="Amiri" w:cs="Amiri"/>
          <w:color w:val="111111"/>
          <w:sz w:val="28"/>
          <w:sz w:val="28"/>
          <w:szCs w:val="28"/>
          <w:rtl w:val="true"/>
          <w:lang w:bidi="ar-SA"/>
        </w:rPr>
        <w:t>أن يَتنبَّهَ هو مِن قِبَلِ نفسِه في الأماراتِ التي تَظهَرُ</w:t>
      </w:r>
      <w:r>
        <w:rPr>
          <w:rStyle w:val="FootnoteAnchor"/>
          <w:rtl w:val="true"/>
        </w:rPr>
        <w:footnoteReference w:id="1251"/>
      </w:r>
      <w:r>
        <w:rPr>
          <w:rFonts w:ascii="Amiri" w:hAnsi="Amiri" w:eastAsia="Amiri" w:cs="Amiri"/>
          <w:color w:val="111111"/>
          <w:sz w:val="28"/>
          <w:sz w:val="28"/>
          <w:szCs w:val="28"/>
          <w:rtl w:val="true"/>
          <w:lang w:bidi="ar-SA"/>
        </w:rPr>
        <w:t>له، علىٰ مِثلِ ما يُخوِّفُه به المُخوِّفُ‌، فيَخافَ مِن الِاستضرارِ بتَركِ النظَرِ، فيَجِبَ عليه النظَرُ، و إن كانَ مُنفَرِداً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فَرَضنا أنّه مع التفَرُّدِ مِن الناسِ لا يَتَّفِقُ أنّه يَتنبَّهُ‌</w:t>
      </w:r>
      <w:r>
        <w:rPr>
          <w:rStyle w:val="FootnoteAnchor"/>
          <w:rtl w:val="true"/>
        </w:rPr>
        <w:footnoteReference w:id="1252"/>
      </w:r>
      <w:r>
        <w:rPr>
          <w:rFonts w:ascii="Amiri" w:hAnsi="Amiri" w:eastAsia="Amiri" w:cs="Amiri"/>
          <w:color w:val="111111"/>
          <w:sz w:val="28"/>
          <w:sz w:val="28"/>
          <w:szCs w:val="28"/>
          <w:rtl w:val="true"/>
          <w:lang w:bidi="ar-SA"/>
        </w:rPr>
        <w:t>مِن قِبَلِ نفسِه، فلا بُدَّ أن يُخطِرَ اللّٰهُ تَعالىٰ ببالِه ما يُخوِّفُه مِن إهمالِ النظَرِ</w:t>
      </w:r>
      <w:r>
        <w:rPr>
          <w:rStyle w:val="FootnoteAnchor"/>
          <w:rtl w:val="true"/>
        </w:rPr>
        <w:footnoteReference w:id="1253"/>
      </w:r>
      <w:r>
        <w:rPr>
          <w:rFonts w:ascii="Amiri" w:hAnsi="Amiri" w:eastAsia="Amiri" w:cs="Amiri"/>
          <w:color w:val="111111"/>
          <w:sz w:val="28"/>
          <w:sz w:val="28"/>
          <w:szCs w:val="28"/>
          <w:rtl w:val="true"/>
          <w:lang w:bidi="ar-SA"/>
        </w:rPr>
        <w:t>حتّىٰ يَصِحَّ أن يوجِبَ عليه النظَرَ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اختلافاً في</w:t>
      </w:r>
      <w:r>
        <w:rPr>
          <w:rStyle w:val="FootnoteAnchor"/>
          <w:rtl w:val="true"/>
        </w:rPr>
        <w:footnoteReference w:id="1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و أنّ الأقوىٰ في</w:t>
      </w:r>
      <w:r>
        <w:rPr>
          <w:rStyle w:val="FootnoteAnchor"/>
          <w:rtl w:val="true"/>
        </w:rPr>
        <w:footnoteReference w:id="1255"/>
      </w:r>
      <w:r>
        <w:rPr>
          <w:rFonts w:ascii="Amiri" w:hAnsi="Amiri" w:eastAsia="Amiri" w:cs="Amiri"/>
          <w:color w:val="111111"/>
          <w:sz w:val="28"/>
          <w:sz w:val="28"/>
          <w:szCs w:val="28"/>
          <w:rtl w:val="true"/>
          <w:lang w:bidi="ar-SA"/>
        </w:rPr>
        <w:t xml:space="preserve">ذلكَ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يَفعَلُه اللّٰهُ تَعالىٰ في داخلِ سَمعِ العاقلِ‌، يَتضمَّنُ مِن التنبيهِ‌</w:t>
      </w:r>
      <w:r>
        <w:rPr>
          <w:rStyle w:val="FootnoteAnchor"/>
          <w:rtl w:val="true"/>
        </w:rPr>
        <w:footnoteReference w:id="1256"/>
      </w:r>
      <w:r>
        <w:rPr>
          <w:rFonts w:ascii="Amiri" w:hAnsi="Amiri" w:eastAsia="Amiri" w:cs="Amiri"/>
          <w:color w:val="111111"/>
          <w:sz w:val="28"/>
          <w:sz w:val="28"/>
          <w:szCs w:val="28"/>
          <w:rtl w:val="true"/>
          <w:lang w:bidi="ar-SA"/>
        </w:rPr>
        <w:t>علَى الأماراتِ ما يَخافُ منه من إهمالِ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w:t>
      </w:r>
      <w:r>
        <w:rPr>
          <w:rStyle w:val="FootnoteAnchor"/>
          <w:rtl w:val="true"/>
        </w:rPr>
        <w:footnoteReference w:id="1257"/>
      </w:r>
      <w:r>
        <w:rPr>
          <w:rFonts w:ascii="Amiri" w:hAnsi="Amiri" w:eastAsia="Amiri" w:cs="Amiri"/>
          <w:color w:val="111111"/>
          <w:sz w:val="28"/>
          <w:sz w:val="28"/>
          <w:szCs w:val="28"/>
          <w:rtl w:val="true"/>
          <w:lang w:bidi="ar-SA"/>
        </w:rPr>
        <w:t>عليه حينئذٍ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مُستَقصىً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58"/>
      </w:r>
      <w:bookmarkStart w:id="207" w:name="pg16415_223854"/>
    </w:p>
    <w:p>
      <w:pPr>
        <w:pStyle w:val="Heading6"/>
        <w:numPr>
          <w:ilvl w:val="5"/>
          <w:numId w:val="1"/>
        </w:numPr>
        <w:rPr/>
      </w:pPr>
      <w:bookmarkStart w:id="208" w:name="__RefHeading___Toc7642370_1280447820"/>
      <w:bookmarkStart w:id="209" w:name="_Toc72"/>
      <w:bookmarkEnd w:id="207"/>
      <w:bookmarkEnd w:id="208"/>
      <w:r>
        <w:rPr>
          <w:rtl w:val="true"/>
        </w:rPr>
        <w:t>المَسألةُ العاشرةُ الوجهُ في حُسنِ أفعالِ اللّٰهِ تَعالىٰ‌</w:t>
      </w:r>
      <w:bookmarkEnd w:id="209"/>
    </w:p>
    <w:p>
      <w:pPr>
        <w:pStyle w:val="BookText"/>
        <w:rPr/>
      </w:pPr>
      <w:r>
        <w:rPr>
          <w:rFonts w:ascii="Amiri" w:hAnsi="Amiri" w:eastAsia="Amiri" w:cs="Amiri"/>
          <w:color w:val="111111"/>
          <w:sz w:val="28"/>
          <w:sz w:val="28"/>
          <w:szCs w:val="28"/>
          <w:rtl w:val="true"/>
          <w:lang w:bidi="ar-SA"/>
        </w:rPr>
        <w:t>القَديمُ تَعالىٰ لا يَجوزُ عليه المَنافعُ و المَضارُّ؛ فما وجهُ حُسنِ أفعالِه في ابتداءِ خَلقِ العالَمِ؟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كما يَقَعُ حَسَناً لِاجتلابِ مَنفَعةٍ أو دَفعِ مَضرّةٍ‌، فكذلكَ قد يَكونُ حَسَناً إذا فُعِلَ لوَجهِ حُسنِه، مِن غيرِ اجتلابِ مَنفَعةٍ و لا دَفعِ مَضرّةٍ‌</w:t>
      </w:r>
      <w:r>
        <w:rPr>
          <w:rFonts w:eastAsia="Amiri" w:cs="Amiri" w:ascii="Amiri" w:hAnsi="Amiri"/>
          <w:color w:val="111111"/>
          <w:sz w:val="28"/>
          <w:szCs w:val="28"/>
          <w:rtl w:val="true"/>
          <w:lang w:bidi="ar-SA"/>
        </w:rPr>
        <w:t xml:space="preserve">. </w:t>
      </w:r>
      <w:bookmarkStart w:id="210" w:name="pg16415_223855"/>
    </w:p>
    <w:p>
      <w:pPr>
        <w:pStyle w:val="Heading6"/>
        <w:numPr>
          <w:ilvl w:val="5"/>
          <w:numId w:val="1"/>
        </w:numPr>
        <w:rPr/>
      </w:pPr>
      <w:bookmarkStart w:id="211" w:name="__RefHeading___Toc7642372_1280447820"/>
      <w:bookmarkStart w:id="212" w:name="_Toc73"/>
      <w:bookmarkEnd w:id="210"/>
      <w:bookmarkEnd w:id="211"/>
      <w:r>
        <w:rPr>
          <w:rtl w:val="true"/>
        </w:rPr>
        <w:t>المَسألةُ الحاديةَ‌ عَشْرةَ‌ عدمُ وجوبِ خَلقِ الخَلقِ‌</w:t>
      </w:r>
      <w:bookmarkEnd w:id="212"/>
    </w:p>
    <w:p>
      <w:pPr>
        <w:pStyle w:val="BookText"/>
        <w:rPr/>
      </w:pPr>
      <w:r>
        <w:rPr>
          <w:rFonts w:ascii="Amiri" w:hAnsi="Amiri" w:eastAsia="Amiri" w:cs="Amiri"/>
          <w:color w:val="111111"/>
          <w:sz w:val="28"/>
          <w:sz w:val="28"/>
          <w:szCs w:val="28"/>
          <w:rtl w:val="true"/>
          <w:lang w:bidi="ar-SA"/>
        </w:rPr>
        <w:t>المَسألةُ الحاديةَ‌</w:t>
      </w:r>
      <w:r>
        <w:rPr>
          <w:rStyle w:val="FootnoteAnchor"/>
          <w:rtl w:val="true"/>
        </w:rPr>
        <w:footnoteReference w:id="1259"/>
      </w:r>
      <w:r>
        <w:rPr>
          <w:rFonts w:ascii="Amiri" w:hAnsi="Amiri" w:eastAsia="Amiri" w:cs="Amiri"/>
          <w:color w:val="111111"/>
          <w:sz w:val="28"/>
          <w:sz w:val="28"/>
          <w:szCs w:val="28"/>
          <w:rtl w:val="true"/>
          <w:lang w:bidi="ar-SA"/>
        </w:rPr>
        <w:t>عَشْرةَ‌</w:t>
      </w:r>
      <w:r>
        <w:rPr>
          <w:rStyle w:val="FootnoteAnchor"/>
          <w:rtl w:val="true"/>
        </w:rPr>
        <w:footnoteReference w:id="1260"/>
      </w:r>
      <w:r>
        <w:rPr>
          <w:rFonts w:ascii="Amiri" w:hAnsi="Amiri" w:eastAsia="Amiri" w:cs="Amiri"/>
          <w:color w:val="111111"/>
          <w:sz w:val="28"/>
          <w:sz w:val="28"/>
          <w:szCs w:val="28"/>
          <w:rtl w:val="true"/>
          <w:lang w:bidi="ar-SA"/>
        </w:rPr>
        <w:t>عدمُ وجوبِ خَلقِ الخَلقِ‌</w:t>
      </w:r>
    </w:p>
    <w:p>
      <w:pPr>
        <w:pStyle w:val="BookText"/>
        <w:rPr/>
      </w:pPr>
      <w:r>
        <w:rPr>
          <w:rFonts w:ascii="Amiri" w:hAnsi="Amiri" w:eastAsia="Amiri" w:cs="Amiri"/>
          <w:color w:val="111111"/>
          <w:sz w:val="28"/>
          <w:sz w:val="28"/>
          <w:szCs w:val="28"/>
          <w:rtl w:val="true"/>
          <w:lang w:bidi="ar-SA"/>
        </w:rPr>
        <w:t>هَل يَجِبُ علَى اللّٰهِ تَعالىٰ في حِكمتِه إيجادُ الخَلقِ‌، أو خَلَقَهم تَفضُّلاً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إيجادُهم واجباً علَى اللّٰهِ تَعالىٰ‌، لَلَزِمَ أن يكونَ في وقتٍ مُخِلاًّ بالواجبِ‌، و كانَ حينئذٍ مُستَحِقّاً للذّمِّ‌</w:t>
      </w:r>
      <w:r>
        <w:rPr>
          <w:rFonts w:eastAsia="Amiri" w:cs="Amiri" w:ascii="Amiri" w:hAnsi="Amiri"/>
          <w:color w:val="111111"/>
          <w:sz w:val="28"/>
          <w:szCs w:val="28"/>
          <w:rtl w:val="true"/>
          <w:lang w:bidi="ar-SA"/>
        </w:rPr>
        <w:t xml:space="preserve">. </w:t>
      </w:r>
      <w:bookmarkStart w:id="213" w:name="pg16415_223856"/>
    </w:p>
    <w:p>
      <w:pPr>
        <w:pStyle w:val="Heading6"/>
        <w:numPr>
          <w:ilvl w:val="5"/>
          <w:numId w:val="1"/>
        </w:numPr>
        <w:rPr/>
      </w:pPr>
      <w:bookmarkStart w:id="214" w:name="__RefHeading___Toc7642374_1280447820"/>
      <w:bookmarkStart w:id="215" w:name="_Toc74"/>
      <w:bookmarkEnd w:id="213"/>
      <w:bookmarkEnd w:id="214"/>
      <w:r>
        <w:rPr>
          <w:rtl w:val="true"/>
        </w:rPr>
        <w:t>المَسألةُ الثانيةَ‌ عَشْرةَ‌ حقيقةُ الروحِ‌</w:t>
      </w:r>
      <w:bookmarkEnd w:id="215"/>
    </w:p>
    <w:p>
      <w:pPr>
        <w:pStyle w:val="BookText"/>
        <w:rPr/>
      </w:pPr>
      <w:r>
        <w:rPr>
          <w:rFonts w:ascii="Amiri" w:hAnsi="Amiri" w:eastAsia="Amiri" w:cs="Amiri"/>
          <w:color w:val="111111"/>
          <w:sz w:val="28"/>
          <w:sz w:val="28"/>
          <w:szCs w:val="28"/>
          <w:rtl w:val="true"/>
          <w:lang w:bidi="ar-SA"/>
        </w:rPr>
        <w:t>المَسألةُ الثانيةَ‌</w:t>
      </w:r>
      <w:r>
        <w:rPr>
          <w:rStyle w:val="FootnoteAnchor"/>
          <w:rtl w:val="true"/>
        </w:rPr>
        <w:footnoteReference w:id="1261"/>
      </w:r>
      <w:r>
        <w:rPr>
          <w:rFonts w:ascii="Amiri" w:hAnsi="Amiri" w:eastAsia="Amiri" w:cs="Amiri"/>
          <w:color w:val="111111"/>
          <w:sz w:val="28"/>
          <w:sz w:val="28"/>
          <w:szCs w:val="28"/>
          <w:rtl w:val="true"/>
          <w:lang w:bidi="ar-SA"/>
        </w:rPr>
        <w:t>عَشْرةَ‌</w:t>
      </w:r>
      <w:r>
        <w:rPr>
          <w:rStyle w:val="FootnoteAnchor"/>
          <w:rtl w:val="true"/>
        </w:rPr>
        <w:footnoteReference w:id="1262"/>
      </w:r>
      <w:r>
        <w:rPr>
          <w:rFonts w:ascii="Amiri" w:hAnsi="Amiri" w:eastAsia="Amiri" w:cs="Amiri"/>
          <w:color w:val="111111"/>
          <w:sz w:val="28"/>
          <w:sz w:val="28"/>
          <w:szCs w:val="28"/>
          <w:rtl w:val="true"/>
          <w:lang w:bidi="ar-SA"/>
        </w:rPr>
        <w:t>حقيقةُ الروحِ‌</w:t>
      </w:r>
    </w:p>
    <w:p>
      <w:pPr>
        <w:pStyle w:val="BookText"/>
        <w:rPr/>
      </w:pPr>
      <w:r>
        <w:rPr>
          <w:rFonts w:ascii="Amiri" w:hAnsi="Amiri" w:eastAsia="Amiri" w:cs="Amiri"/>
          <w:color w:val="111111"/>
          <w:sz w:val="28"/>
          <w:sz w:val="28"/>
          <w:szCs w:val="28"/>
          <w:rtl w:val="true"/>
          <w:lang w:bidi="ar-SA"/>
        </w:rPr>
        <w:t>الروحُ‌، ما يَقولُ السيِّدُ فيه</w:t>
      </w:r>
      <w:r>
        <w:rPr>
          <w:rStyle w:val="FootnoteAnchor"/>
          <w:rtl w:val="true"/>
        </w:rPr>
        <w:footnoteReference w:id="1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عندَنا أنّ الروحَ عبارةٌ عن الهَواءِ المُتردِّدِ في مَخارِقِ الحَيِّ مِنّا، الذي لا يَثبُتُ كَونُه حَيّاً إلّامع تَردُّدِه؛ و لهذا لا يُسَمّىٰ ما يَتردَّدُ</w:t>
      </w:r>
      <w:r>
        <w:rPr>
          <w:rStyle w:val="FootnoteAnchor"/>
          <w:rtl w:val="true"/>
        </w:rPr>
        <w:footnoteReference w:id="1264"/>
      </w:r>
      <w:r>
        <w:rPr>
          <w:rFonts w:ascii="Amiri" w:hAnsi="Amiri" w:eastAsia="Amiri" w:cs="Amiri"/>
          <w:color w:val="111111"/>
          <w:sz w:val="28"/>
          <w:sz w:val="28"/>
          <w:szCs w:val="28"/>
          <w:rtl w:val="true"/>
          <w:lang w:bidi="ar-SA"/>
        </w:rPr>
        <w:t>في مَخارِقِ الجَمادِ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جسمٌ علىٰ هذه القاعدةِ‌</w:t>
      </w:r>
      <w:r>
        <w:rPr>
          <w:rFonts w:eastAsia="Amiri" w:cs="Amiri" w:ascii="Amiri" w:hAnsi="Amiri"/>
          <w:color w:val="111111"/>
          <w:sz w:val="28"/>
          <w:szCs w:val="28"/>
          <w:rtl w:val="true"/>
          <w:lang w:bidi="ar-SA"/>
        </w:rPr>
        <w:t xml:space="preserve">. </w:t>
      </w:r>
      <w:bookmarkStart w:id="216" w:name="pg16415_223857"/>
    </w:p>
    <w:p>
      <w:pPr>
        <w:pStyle w:val="Heading6"/>
        <w:numPr>
          <w:ilvl w:val="5"/>
          <w:numId w:val="1"/>
        </w:numPr>
        <w:rPr/>
      </w:pPr>
      <w:bookmarkStart w:id="217" w:name="__RefHeading___Toc7642376_1280447820"/>
      <w:bookmarkStart w:id="218" w:name="_Toc75"/>
      <w:bookmarkEnd w:id="216"/>
      <w:bookmarkEnd w:id="217"/>
      <w:r>
        <w:rPr>
          <w:rtl w:val="true"/>
        </w:rPr>
        <w:t>المَسألةُ الثالثةَ‌ عَشْرةَ‌ حُكمُ الزاني بذاتِ البَعلِ في تزويجِها</w:t>
      </w:r>
      <w:bookmarkEnd w:id="218"/>
    </w:p>
    <w:p>
      <w:pPr>
        <w:pStyle w:val="BookText"/>
        <w:rPr/>
      </w:pPr>
      <w:r>
        <w:rPr>
          <w:rFonts w:ascii="Amiri" w:hAnsi="Amiri" w:eastAsia="Amiri" w:cs="Amiri"/>
          <w:color w:val="111111"/>
          <w:sz w:val="28"/>
          <w:sz w:val="28"/>
          <w:szCs w:val="28"/>
          <w:rtl w:val="true"/>
          <w:lang w:bidi="ar-SA"/>
        </w:rPr>
        <w:t>المَسألةُ الثالثةَ‌</w:t>
      </w:r>
      <w:r>
        <w:rPr>
          <w:rStyle w:val="FootnoteAnchor"/>
          <w:rtl w:val="true"/>
        </w:rPr>
        <w:footnoteReference w:id="1265"/>
      </w:r>
      <w:r>
        <w:rPr>
          <w:rFonts w:ascii="Amiri" w:hAnsi="Amiri" w:eastAsia="Amiri" w:cs="Amiri"/>
          <w:color w:val="111111"/>
          <w:sz w:val="28"/>
          <w:sz w:val="28"/>
          <w:szCs w:val="28"/>
          <w:rtl w:val="true"/>
          <w:lang w:bidi="ar-SA"/>
        </w:rPr>
        <w:t>عَشْرةَ‌</w:t>
      </w:r>
      <w:r>
        <w:rPr>
          <w:rStyle w:val="FootnoteAnchor"/>
          <w:rtl w:val="true"/>
        </w:rPr>
        <w:footnoteReference w:id="1266"/>
      </w:r>
      <w:r>
        <w:rPr>
          <w:rFonts w:ascii="Amiri" w:hAnsi="Amiri" w:eastAsia="Amiri" w:cs="Amiri"/>
          <w:color w:val="111111"/>
          <w:sz w:val="28"/>
          <w:sz w:val="28"/>
          <w:szCs w:val="28"/>
          <w:rtl w:val="true"/>
          <w:lang w:bidi="ar-SA"/>
        </w:rPr>
        <w:t>حُكمُ الزاني بذاتِ البَعلِ في تزويجِها</w:t>
      </w:r>
    </w:p>
    <w:p>
      <w:pPr>
        <w:pStyle w:val="BookText"/>
        <w:rPr/>
      </w:pPr>
      <w:r>
        <w:rPr>
          <w:rFonts w:ascii="Amiri" w:hAnsi="Amiri" w:eastAsia="Amiri" w:cs="Amiri"/>
          <w:color w:val="111111"/>
          <w:sz w:val="28"/>
          <w:sz w:val="28"/>
          <w:szCs w:val="28"/>
          <w:rtl w:val="true"/>
          <w:lang w:bidi="ar-SA"/>
        </w:rPr>
        <w:t>ما يَقولُ السيِّدُ في امرأةٍ ذاتِ بَعلٍ زَنىٰ بها رَجُلٌ ثُمَّ‌</w:t>
      </w:r>
      <w:r>
        <w:rPr>
          <w:rStyle w:val="FootnoteAnchor"/>
          <w:rtl w:val="true"/>
        </w:rPr>
        <w:footnoteReference w:id="1267"/>
      </w:r>
      <w:r>
        <w:rPr>
          <w:rFonts w:ascii="Amiri" w:hAnsi="Amiri" w:eastAsia="Amiri" w:cs="Amiri"/>
          <w:color w:val="111111"/>
          <w:sz w:val="28"/>
          <w:sz w:val="28"/>
          <w:szCs w:val="28"/>
          <w:rtl w:val="true"/>
          <w:lang w:bidi="ar-SA"/>
        </w:rPr>
        <w:t>بَعدَ أن طَلَّقَها</w:t>
      </w:r>
      <w:r>
        <w:rPr>
          <w:rStyle w:val="FootnoteAnchor"/>
          <w:rtl w:val="true"/>
        </w:rPr>
        <w:footnoteReference w:id="1268"/>
      </w:r>
      <w:r>
        <w:rPr>
          <w:rFonts w:ascii="Amiri" w:hAnsi="Amiri" w:eastAsia="Amiri" w:cs="Amiri"/>
          <w:color w:val="111111"/>
          <w:sz w:val="28"/>
          <w:sz w:val="28"/>
          <w:szCs w:val="28"/>
          <w:rtl w:val="true"/>
          <w:lang w:bidi="ar-SA"/>
        </w:rPr>
        <w:t>تَزوَّجَها</w:t>
      </w:r>
      <w:r>
        <w:rPr>
          <w:rStyle w:val="FootnoteAnchor"/>
          <w:rtl w:val="true"/>
        </w:rPr>
        <w:footnoteReference w:id="1269"/>
      </w:r>
      <w:r>
        <w:rPr>
          <w:rFonts w:ascii="Amiri" w:hAnsi="Amiri" w:eastAsia="Amiri" w:cs="Amiri"/>
          <w:color w:val="111111"/>
          <w:sz w:val="28"/>
          <w:sz w:val="28"/>
          <w:szCs w:val="28"/>
          <w:rtl w:val="true"/>
          <w:lang w:bidi="ar-SA"/>
        </w:rPr>
        <w:t>تَحِلُّ له</w:t>
      </w:r>
      <w:r>
        <w:rPr>
          <w:rStyle w:val="FootnoteAnchor"/>
          <w:rtl w:val="true"/>
        </w:rPr>
        <w:footnoteReference w:id="1270"/>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ذاتَ بَعلٍ‌،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Style w:val="FootnoteAnchor"/>
          <w:rtl w:val="true"/>
        </w:rPr>
        <w:footnoteReference w:id="1271"/>
      </w:r>
      <w:r>
        <w:rPr>
          <w:rFonts w:ascii="Amiri" w:hAnsi="Amiri" w:eastAsia="Amiri" w:cs="Amiri"/>
          <w:color w:val="111111"/>
          <w:sz w:val="28"/>
          <w:sz w:val="28"/>
          <w:szCs w:val="28"/>
          <w:rtl w:val="true"/>
          <w:lang w:bidi="ar-SA"/>
        </w:rPr>
        <w:t>غيرُ ذاتِ بَعلٍ‌، يَحِلُّ تزويجُها بَعدَ إظهارِ تَوبتِها</w:t>
      </w:r>
      <w:r>
        <w:rPr>
          <w:rFonts w:eastAsia="Amiri" w:cs="Amiri" w:ascii="Amiri" w:hAnsi="Amiri"/>
          <w:color w:val="111111"/>
          <w:sz w:val="28"/>
          <w:szCs w:val="28"/>
          <w:rtl w:val="true"/>
          <w:lang w:bidi="ar-SA"/>
        </w:rPr>
        <w:t xml:space="preserve">. </w:t>
      </w:r>
      <w:bookmarkStart w:id="219" w:name="pg16415_223858"/>
    </w:p>
    <w:p>
      <w:pPr>
        <w:pStyle w:val="Heading6"/>
        <w:numPr>
          <w:ilvl w:val="5"/>
          <w:numId w:val="1"/>
        </w:numPr>
        <w:rPr/>
      </w:pPr>
      <w:bookmarkStart w:id="220" w:name="__RefHeading___Toc7642378_1280447820"/>
      <w:bookmarkStart w:id="221" w:name="_Toc76"/>
      <w:bookmarkEnd w:id="219"/>
      <w:bookmarkEnd w:id="220"/>
      <w:r>
        <w:rPr>
          <w:rtl w:val="true"/>
        </w:rPr>
        <w:t>المَسألةُ الرابعةَ‌ عَشْرةَ‌ الإرجاءُ‌</w:t>
      </w:r>
      <w:bookmarkEnd w:id="221"/>
    </w:p>
    <w:p>
      <w:pPr>
        <w:pStyle w:val="BookText"/>
        <w:rPr/>
      </w:pPr>
      <w:r>
        <w:rPr>
          <w:rFonts w:ascii="Amiri" w:hAnsi="Amiri" w:eastAsia="Amiri" w:cs="Amiri"/>
          <w:color w:val="111111"/>
          <w:sz w:val="28"/>
          <w:sz w:val="28"/>
          <w:szCs w:val="28"/>
          <w:rtl w:val="true"/>
          <w:lang w:bidi="ar-SA"/>
        </w:rPr>
        <w:t>المَسألةُ الرابعةَ‌</w:t>
      </w:r>
      <w:r>
        <w:rPr>
          <w:rStyle w:val="FootnoteAnchor"/>
          <w:rtl w:val="true"/>
        </w:rPr>
        <w:footnoteReference w:id="1272"/>
      </w:r>
      <w:r>
        <w:rPr>
          <w:rFonts w:ascii="Amiri" w:hAnsi="Amiri" w:eastAsia="Amiri" w:cs="Amiri"/>
          <w:color w:val="111111"/>
          <w:sz w:val="28"/>
          <w:sz w:val="28"/>
          <w:szCs w:val="28"/>
          <w:rtl w:val="true"/>
          <w:lang w:bidi="ar-SA"/>
        </w:rPr>
        <w:t>عَشْرةَ‌</w:t>
      </w:r>
      <w:r>
        <w:rPr>
          <w:rStyle w:val="FootnoteAnchor"/>
          <w:rtl w:val="true"/>
        </w:rPr>
        <w:footnoteReference w:id="1273"/>
      </w:r>
      <w:r>
        <w:rPr>
          <w:rFonts w:ascii="Amiri" w:hAnsi="Amiri" w:eastAsia="Amiri" w:cs="Amiri"/>
          <w:color w:val="111111"/>
          <w:sz w:val="28"/>
          <w:sz w:val="28"/>
          <w:szCs w:val="28"/>
          <w:rtl w:val="true"/>
          <w:lang w:bidi="ar-SA"/>
        </w:rPr>
        <w:t>الإرجاءُ‌</w:t>
      </w:r>
    </w:p>
    <w:p>
      <w:pPr>
        <w:pStyle w:val="BookText"/>
        <w:rPr/>
      </w:pPr>
      <w:r>
        <w:rPr>
          <w:rFonts w:ascii="Amiri" w:hAnsi="Amiri" w:eastAsia="Amiri" w:cs="Amiri"/>
          <w:color w:val="111111"/>
          <w:sz w:val="28"/>
          <w:sz w:val="28"/>
          <w:szCs w:val="28"/>
          <w:rtl w:val="true"/>
          <w:lang w:bidi="ar-SA"/>
        </w:rPr>
        <w:t>ما يَقولُ السِّيدُ في الإرجاءِ؟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الدينُ الصحيحُ عندَ أهلِ‌</w:t>
      </w:r>
      <w:r>
        <w:rPr>
          <w:rStyle w:val="FootnoteAnchor"/>
          <w:rtl w:val="true"/>
        </w:rPr>
        <w:footnoteReference w:id="1274"/>
      </w:r>
      <w:r>
        <w:rPr>
          <w:rFonts w:ascii="Amiri" w:hAnsi="Amiri" w:eastAsia="Amiri" w:cs="Amiri"/>
          <w:color w:val="111111"/>
          <w:sz w:val="28"/>
          <w:sz w:val="28"/>
          <w:szCs w:val="28"/>
          <w:rtl w:val="true"/>
          <w:lang w:bidi="ar-SA"/>
        </w:rPr>
        <w:t>الإماميّةِ‌، و لا تَحابُطَ عندَنا في ثَوابٍ و</w:t>
      </w:r>
      <w:r>
        <w:rPr>
          <w:rStyle w:val="FootnoteAnchor"/>
          <w:rtl w:val="true"/>
        </w:rPr>
        <w:footnoteReference w:id="1275"/>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بالبَلاءِ في الدنيا، و يُمحَّصَ‌</w:t>
      </w:r>
      <w:r>
        <w:rPr>
          <w:rStyle w:val="FootnoteAnchor"/>
          <w:rtl w:val="true"/>
        </w:rPr>
        <w:footnoteReference w:id="1276"/>
      </w:r>
      <w:r>
        <w:rPr>
          <w:rFonts w:ascii="Amiri" w:hAnsi="Amiri" w:eastAsia="Amiri" w:cs="Amiri"/>
          <w:color w:val="111111"/>
          <w:sz w:val="28"/>
          <w:sz w:val="28"/>
          <w:szCs w:val="28"/>
          <w:rtl w:val="true"/>
          <w:lang w:bidi="ar-SA"/>
        </w:rPr>
        <w:t>مِن الذُّنوبِ‌، فإن فَضَلَ مِن ذلكَ شَيءٌ يُعاقَبْ في القَبرِ، ثُمَّ أهوالِ‌</w:t>
      </w:r>
      <w:r>
        <w:rPr>
          <w:rStyle w:val="FootnoteAnchor"/>
          <w:rtl w:val="true"/>
        </w:rPr>
        <w:footnoteReference w:id="1277"/>
      </w:r>
      <w:r>
        <w:rPr>
          <w:rFonts w:ascii="Amiri" w:hAnsi="Amiri" w:eastAsia="Amiri" w:cs="Amiri"/>
          <w:color w:val="111111"/>
          <w:sz w:val="28"/>
          <w:sz w:val="28"/>
          <w:szCs w:val="28"/>
          <w:rtl w:val="true"/>
          <w:lang w:bidi="ar-SA"/>
        </w:rPr>
        <w:t>القيامةِ‌، فإن فَضَلَ يُعاقَبْ عِقاباً مُنقَطِعاً، ثُمَّ يُرَدَّ إلَى الجنّةِ و الثوابِ الدائمِ‌؛ لأنّ المؤمنَ يَستَحِقُّ بإيمانِه وَحدَه الثوابَ الدائمَ‌، فإن وَقَعَ منه شَيءٌ من الذُّنوبِ عوقِبَ بذلكَ‌، ثُمَّ يُرَدَّ إلىٰ ما يَستَحِقُّه مِن الثوابِ و الإيمانِ‌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وَلايةُ المعصومينَ تَقطَعُ‌</w:t>
      </w:r>
      <w:r>
        <w:rPr>
          <w:rStyle w:val="FootnoteAnchor"/>
          <w:rtl w:val="true"/>
        </w:rPr>
        <w:footnoteReference w:id="1278"/>
      </w:r>
      <w:r>
        <w:rPr>
          <w:rFonts w:ascii="Amiri" w:hAnsi="Amiri" w:eastAsia="Amiri" w:cs="Amiri"/>
          <w:color w:val="111111"/>
          <w:sz w:val="28"/>
          <w:sz w:val="28"/>
          <w:szCs w:val="28"/>
          <w:rtl w:val="true"/>
          <w:lang w:bidi="ar-SA"/>
        </w:rPr>
        <w:t>عليهم بالثوابِ الدائمِ‌؛</w:t>
      </w:r>
      <w:r>
        <w:rPr>
          <w:rStyle w:val="FootnoteAnchor"/>
          <w:rtl w:val="true"/>
        </w:rPr>
        <w:footnoteReference w:id="1279"/>
      </w:r>
      <w:r>
        <w:rPr>
          <w:rFonts w:ascii="Amiri" w:hAnsi="Amiri" w:eastAsia="Amiri" w:cs="Amiri"/>
          <w:color w:val="111111"/>
          <w:sz w:val="28"/>
          <w:sz w:val="28"/>
          <w:szCs w:val="28"/>
          <w:rtl w:val="true"/>
          <w:lang w:bidi="ar-SA"/>
        </w:rPr>
        <w:t xml:space="preserve">فإن كانَ عليهم ذُنوبٌ‌ </w:t>
      </w:r>
    </w:p>
    <w:p>
      <w:pPr>
        <w:pStyle w:val="BookText"/>
        <w:rPr/>
      </w:pPr>
      <w:r>
        <w:rPr>
          <w:rFonts w:ascii="Amiri" w:hAnsi="Amiri" w:eastAsia="Amiri" w:cs="Amiri"/>
          <w:color w:val="111111"/>
          <w:sz w:val="28"/>
          <w:sz w:val="28"/>
          <w:szCs w:val="28"/>
          <w:rtl w:val="true"/>
          <w:lang w:bidi="ar-SA"/>
        </w:rPr>
        <w:t>موبِقاتٌ يُمحَّص</w:t>
      </w:r>
      <w:r>
        <w:rPr>
          <w:rStyle w:val="FootnoteAnchor"/>
          <w:rtl w:val="true"/>
        </w:rPr>
        <w:footnoteReference w:id="1280"/>
      </w:r>
      <w:r>
        <w:rPr>
          <w:rFonts w:ascii="Amiri" w:hAnsi="Amiri" w:eastAsia="Amiri" w:cs="Amiri"/>
          <w:color w:val="111111"/>
          <w:sz w:val="28"/>
          <w:sz w:val="28"/>
          <w:szCs w:val="28"/>
          <w:rtl w:val="true"/>
          <w:lang w:bidi="ar-SA"/>
        </w:rPr>
        <w:t>، و يَشفَع فيه الشافعونَ‌</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يُمنَع ممّا</w:t>
      </w:r>
      <w:r>
        <w:rPr>
          <w:rStyle w:val="FootnoteAnchor"/>
          <w:rtl w:val="true"/>
        </w:rPr>
        <w:footnoteReference w:id="1282"/>
      </w:r>
      <w:r>
        <w:rPr>
          <w:rFonts w:ascii="Amiri" w:hAnsi="Amiri" w:eastAsia="Amiri" w:cs="Amiri"/>
          <w:color w:val="111111"/>
          <w:sz w:val="28"/>
          <w:sz w:val="28"/>
          <w:szCs w:val="28"/>
          <w:rtl w:val="true"/>
          <w:lang w:bidi="ar-SA"/>
        </w:rPr>
        <w:t>يَستَحِقُّه بإيمانِه مِن الثوابِ الدائمِ‌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المَسألةُ مُستَقصاةٌ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أهلِ المَوصِلِ‌</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84"/>
      </w:r>
      <w:bookmarkStart w:id="222" w:name="pg16415_223860"/>
    </w:p>
    <w:p>
      <w:pPr>
        <w:pStyle w:val="Heading6"/>
        <w:numPr>
          <w:ilvl w:val="5"/>
          <w:numId w:val="1"/>
        </w:numPr>
        <w:rPr/>
      </w:pPr>
      <w:bookmarkStart w:id="223" w:name="__RefHeading___Toc7642380_1280447820"/>
      <w:bookmarkStart w:id="224" w:name="_Toc77"/>
      <w:bookmarkEnd w:id="222"/>
      <w:bookmarkEnd w:id="223"/>
      <w:r>
        <w:rPr>
          <w:rtl w:val="true"/>
        </w:rPr>
        <w:t>المَسألةُ الخامسةَ‌ عَشْرةَ‌ دخولُ العَبدِ الجَنّةَ باستحقاقِه</w:t>
      </w:r>
      <w:bookmarkEnd w:id="224"/>
    </w:p>
    <w:p>
      <w:pPr>
        <w:pStyle w:val="BookText"/>
        <w:rPr/>
      </w:pPr>
      <w:r>
        <w:rPr>
          <w:rFonts w:ascii="Amiri" w:hAnsi="Amiri" w:eastAsia="Amiri" w:cs="Amiri"/>
          <w:color w:val="111111"/>
          <w:sz w:val="28"/>
          <w:sz w:val="28"/>
          <w:szCs w:val="28"/>
          <w:rtl w:val="true"/>
          <w:lang w:bidi="ar-SA"/>
        </w:rPr>
        <w:t>المَسألةُ الخامسةَ‌</w:t>
      </w:r>
      <w:r>
        <w:rPr>
          <w:rStyle w:val="FootnoteAnchor"/>
          <w:rtl w:val="true"/>
        </w:rPr>
        <w:footnoteReference w:id="1285"/>
      </w:r>
      <w:r>
        <w:rPr>
          <w:rFonts w:ascii="Amiri" w:hAnsi="Amiri" w:eastAsia="Amiri" w:cs="Amiri"/>
          <w:color w:val="111111"/>
          <w:sz w:val="28"/>
          <w:sz w:val="28"/>
          <w:szCs w:val="28"/>
          <w:rtl w:val="true"/>
          <w:lang w:bidi="ar-SA"/>
        </w:rPr>
        <w:t>عَشْرةَ‌</w:t>
      </w:r>
      <w:r>
        <w:rPr>
          <w:rStyle w:val="FootnoteAnchor"/>
          <w:rtl w:val="true"/>
        </w:rPr>
        <w:footnoteReference w:id="1286"/>
      </w:r>
      <w:r>
        <w:rPr>
          <w:rFonts w:ascii="Amiri" w:hAnsi="Amiri" w:eastAsia="Amiri" w:cs="Amiri"/>
          <w:color w:val="111111"/>
          <w:sz w:val="28"/>
          <w:sz w:val="28"/>
          <w:szCs w:val="28"/>
          <w:rtl w:val="true"/>
          <w:lang w:bidi="ar-SA"/>
        </w:rPr>
        <w:t>دخولُ العَبدِ الجَنّةَ باستحقاقِه</w:t>
      </w:r>
    </w:p>
    <w:p>
      <w:pPr>
        <w:pStyle w:val="BookText"/>
        <w:rPr/>
      </w:pPr>
      <w:r>
        <w:rPr>
          <w:rFonts w:ascii="Amiri" w:hAnsi="Amiri" w:eastAsia="Amiri" w:cs="Amiri"/>
          <w:color w:val="111111"/>
          <w:sz w:val="28"/>
          <w:sz w:val="28"/>
          <w:szCs w:val="28"/>
          <w:rtl w:val="true"/>
          <w:lang w:bidi="ar-SA"/>
        </w:rPr>
        <w:t>العَبد يدخُلُ الجَنّةَ بعملِه، أو بتَفضُّلِ اللّٰهِ تَبارَكَ و تَعالىٰ؟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يَدخُلُ‌</w:t>
      </w:r>
      <w:r>
        <w:rPr>
          <w:rStyle w:val="FootnoteAnchor"/>
          <w:rtl w:val="true"/>
        </w:rPr>
        <w:footnoteReference w:id="1287"/>
      </w:r>
      <w:r>
        <w:rPr>
          <w:rFonts w:ascii="Amiri" w:hAnsi="Amiri" w:eastAsia="Amiri" w:cs="Amiri"/>
          <w:color w:val="111111"/>
          <w:sz w:val="28"/>
          <w:sz w:val="28"/>
          <w:szCs w:val="28"/>
          <w:rtl w:val="true"/>
          <w:lang w:bidi="ar-SA"/>
        </w:rPr>
        <w:t>باستحقاقِه الجَنّةَ‌</w:t>
      </w:r>
      <w:r>
        <w:rPr>
          <w:rStyle w:val="FootnoteAnchor"/>
          <w:rtl w:val="true"/>
        </w:rPr>
        <w:footnoteReference w:id="1288"/>
      </w:r>
      <w:r>
        <w:rPr>
          <w:rFonts w:ascii="Amiri" w:hAnsi="Amiri" w:eastAsia="Amiri" w:cs="Amiri"/>
          <w:color w:val="111111"/>
          <w:sz w:val="28"/>
          <w:sz w:val="28"/>
          <w:szCs w:val="28"/>
          <w:rtl w:val="true"/>
          <w:lang w:bidi="ar-SA"/>
        </w:rPr>
        <w:t>، كالحُرِّ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المَسائلُ و أجوبتُها</w:t>
      </w:r>
      <w:r>
        <w:rPr>
          <w:rStyle w:val="FootnoteAnchor"/>
          <w:rtl w:val="true"/>
        </w:rPr>
        <w:footnoteReference w:id="1289"/>
      </w:r>
      <w:r>
        <w:rPr>
          <w:rFonts w:ascii="Amiri" w:hAnsi="Amiri" w:eastAsia="Amiri" w:cs="Amiri"/>
          <w:color w:val="111111"/>
          <w:sz w:val="28"/>
          <w:sz w:val="28"/>
          <w:szCs w:val="28"/>
          <w:rtl w:val="true"/>
          <w:lang w:bidi="ar-SA"/>
        </w:rPr>
        <w:t>، و الحمدُ للّٰهِ رَبِّ العالَمينَ‌، و صَلَّى اللّٰهُ علىٰ خَيرِ خَلقِه</w:t>
      </w:r>
      <w:r>
        <w:rPr>
          <w:rStyle w:val="FootnoteAnchor"/>
          <w:rtl w:val="true"/>
        </w:rPr>
        <w:footnoteReference w:id="1290"/>
      </w:r>
      <w:r>
        <w:rPr>
          <w:rFonts w:ascii="Amiri" w:hAnsi="Amiri" w:eastAsia="Amiri" w:cs="Amiri"/>
          <w:color w:val="111111"/>
          <w:sz w:val="28"/>
          <w:sz w:val="28"/>
          <w:szCs w:val="28"/>
          <w:rtl w:val="true"/>
          <w:lang w:bidi="ar-SA"/>
        </w:rPr>
        <w:t>مُحمّدٍ</w:t>
      </w:r>
      <w:r>
        <w:rPr>
          <w:rStyle w:val="FootnoteAnchor"/>
          <w:rtl w:val="true"/>
        </w:rPr>
        <w:footnoteReference w:id="1291"/>
      </w:r>
      <w:r>
        <w:rPr>
          <w:rFonts w:ascii="Amiri" w:hAnsi="Amiri" w:eastAsia="Amiri" w:cs="Amiri"/>
          <w:color w:val="111111"/>
          <w:sz w:val="28"/>
          <w:sz w:val="28"/>
          <w:szCs w:val="28"/>
          <w:rtl w:val="true"/>
          <w:lang w:bidi="ar-SA"/>
        </w:rPr>
        <w:t>، و آلِه أجمَعينَ‌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225" w:name="pg16415_223861"/>
    </w:p>
    <w:p>
      <w:pPr>
        <w:pStyle w:val="Heading4"/>
        <w:numPr>
          <w:ilvl w:val="3"/>
          <w:numId w:val="1"/>
        </w:numPr>
        <w:rPr/>
      </w:pPr>
      <w:bookmarkStart w:id="226" w:name="__RefHeading___Toc7642382_1280447820"/>
      <w:bookmarkStart w:id="227" w:name="_Toc78"/>
      <w:bookmarkEnd w:id="225"/>
      <w:bookmarkEnd w:id="226"/>
      <w:r>
        <w:rPr>
          <w:rtl w:val="true"/>
        </w:rPr>
        <w:t>(</w:t>
      </w:r>
      <w:r>
        <w:rPr/>
        <w:t>28</w:t>
      </w:r>
      <w:r>
        <w:rPr>
          <w:rtl w:val="true"/>
        </w:rPr>
        <w:t xml:space="preserve">) </w:t>
      </w:r>
      <w:r>
        <w:rPr>
          <w:rtl w:val="true"/>
        </w:rPr>
        <w:t>جواب المسائل الواردة من طبرستان</w:t>
      </w:r>
      <w:bookmarkEnd w:id="22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8" w:name="__RefHeading___Toc7642384_1280447820"/>
      <w:bookmarkStart w:id="229" w:name="_Toc79"/>
      <w:bookmarkEnd w:id="228"/>
      <w:r>
        <w:rPr>
          <w:rtl w:val="true"/>
        </w:rPr>
        <w:t>اشارة</w:t>
      </w:r>
      <w:bookmarkEnd w:id="2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6415_223863"/>
      <w:bookmarkStart w:id="231" w:name="pg16415_223863"/>
      <w:bookmarkEnd w:id="231"/>
    </w:p>
    <w:p>
      <w:pPr>
        <w:pStyle w:val="Heading5"/>
        <w:numPr>
          <w:ilvl w:val="4"/>
          <w:numId w:val="1"/>
        </w:numPr>
        <w:rPr/>
      </w:pPr>
      <w:bookmarkStart w:id="232" w:name="pg16415_223863"/>
      <w:bookmarkStart w:id="233" w:name="__RefHeading___Toc7642386_1280447820"/>
      <w:bookmarkStart w:id="234" w:name="_Toc80"/>
      <w:bookmarkEnd w:id="232"/>
      <w:bookmarkEnd w:id="233"/>
      <w:r>
        <w:rPr>
          <w:rtl w:val="true"/>
        </w:rPr>
        <w:t>مقدّمة التحقيق</w:t>
      </w:r>
      <w:bookmarkEnd w:id="234"/>
    </w:p>
    <w:p>
      <w:pPr>
        <w:pStyle w:val="Heading6"/>
        <w:numPr>
          <w:ilvl w:val="5"/>
          <w:numId w:val="1"/>
        </w:numPr>
        <w:rPr/>
      </w:pPr>
      <w:bookmarkStart w:id="235" w:name="__RefHeading___Toc7642388_1280447820"/>
      <w:bookmarkStart w:id="236" w:name="_Toc81"/>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تحتوي هذه المسائل على مجموعة مهمّة جدّاً من المسائل الكلاميّة و الفقهيّة، و هي مكوّنة من إحدى عشرة مسألة؛ تسع منها كلاميّة، و اثنتان فقهيّتان، و بذلك يمكن اعتبار المسائل الطبريّة مسائل كلاميّة، باعتبار كثرة المسائل الكلاميّة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الطبريّة منسوبة إلى طبرستان في شمال إيران، و لا يُتوهّم أنّ الطبري نسبة إلى مدينة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مدن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النسبة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طبراني على غير قياس، فكأنّه لمّا كثرت النسبة بالطبري إلى طبرستان، أرادوا التفرقة بين النسبتين،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طبريّة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يتمّ تعيين السائل الذي قام بطرح هذه المسائل، سوى أنّه أُشير في بداية المسائل إلى أنّه أحد الأشراف</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7642390_1280447820"/>
      <w:bookmarkStart w:id="238" w:name="_Toc82"/>
      <w:bookmarkEnd w:id="237"/>
      <w:r>
        <w:rPr>
          <w:rtl w:val="true"/>
        </w:rPr>
        <w:t>نسبتها إلى المؤلّف</w:t>
      </w:r>
      <w:bookmarkEnd w:id="2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تصحيح نسبة المسائل الطبريّة إلى الشريف المرتضى، إضافة إلى تناسبها مع آرائه المعروفة في كتبه المشهورة، هو أنّه أرجع فيها إلى كتاب الملخّص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الموصليّات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9" w:name="pg16415_223864"/>
    </w:p>
    <w:p>
      <w:pPr>
        <w:pStyle w:val="BookText"/>
        <w:rPr/>
      </w:pPr>
      <w:bookmarkEnd w:id="239"/>
      <w:r>
        <w:rPr>
          <w:rFonts w:ascii="Amiri" w:hAnsi="Amiri" w:eastAsia="Amiri" w:cs="Amiri"/>
          <w:color w:val="111111"/>
          <w:sz w:val="28"/>
          <w:sz w:val="28"/>
          <w:szCs w:val="28"/>
          <w:rtl w:val="true"/>
          <w:lang w:bidi="ar-SA"/>
        </w:rPr>
        <w:t>ثمّ إنّ هذه المسائل كاملة، و لم يسقط منها شيء؛ بدلالة ما جاء في آخرها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أجبنا عن المسائل بكمالها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للشريف المرتضى مسائل طبريّة أُخرى غير هذه، و هي معروفة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فقهيّة، و تحتوي على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 قد سمّيت طبريّة لأنّها مرسلة أيضاً من بلاد طبرستان، فينبغي عدم الخلط بينهما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7642392_1280447820"/>
      <w:bookmarkStart w:id="241" w:name="_Toc83"/>
      <w:bookmarkEnd w:id="240"/>
      <w:r>
        <w:rPr>
          <w:rtl w:val="true"/>
        </w:rPr>
        <w:t>محتوى الرسالة</w:t>
      </w:r>
      <w:bookmarkEnd w:id="241"/>
    </w:p>
    <w:p>
      <w:pPr>
        <w:pStyle w:val="BookText"/>
        <w:rPr/>
      </w:pPr>
      <w:r>
        <w:rPr>
          <w:rFonts w:ascii="Amiri" w:hAnsi="Amiri" w:eastAsia="Amiri" w:cs="Amiri"/>
          <w:color w:val="111111"/>
          <w:sz w:val="28"/>
          <w:sz w:val="28"/>
          <w:szCs w:val="28"/>
          <w:rtl w:val="true"/>
          <w:lang w:bidi="ar-SA"/>
        </w:rPr>
        <w:t>و فيما يلي استعراض لأهمّ مطالب المسائل الطبريّة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أفعال العباد إلىٰ اللّٰه تعالىٰ 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البحث في هذه المسألة إلى نقاط،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الشريف المرتضى في هذه المسألة رأيه حول أفعال الإنسان الاختياريّة، فقد ذهب إلى أنّها مخلوقة للإنسان نفسه، لا اللّٰه تعالى، بمعنى أنّ الإنسان هو الذي أحدثها و أنشأها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هذا التصوّر عن أفعال الإنسان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الأفعال تنسب إلى الإنسان نفسه، و تضاف إليه إضافة الفعليّة،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فعله، أي أنّه هو الذي أكل و شرب و ضرب، و هذا يعني أنّها مخلوقة له، و لو كانت مخلوقة للّٰه تعالى لنسبت إليه، و لمَا توجّه المدح و الذمّ إلى الإنسان؛ كما لا يُمدح و لا يُذمّ علىٰ صورته و شكله؛ لأنّه ليس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الشريف المرتضى لم يتمكّن هنا من الجمع بين فاعلَين طوليَّين يقومان بإيجاد فعل واحد، لكن يُنسب الفعل إلى الفاعل القريب فقط، فيُمدح و يُذمّ عليه، بل تصوّر أنّ مجرد الخلق يساوي نسبة الفعل إلى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تابع لتصوّرات الإنسان و دواعيه، فهو بالخيار في فعله و تركه، و هذا يدلّ على أنّه هو فاعل له الفعل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الجدير بالذكر أنّ هذا الدليل دليل سيّال، فقد استخدمه الشريف المرتضى في </w:t>
      </w:r>
    </w:p>
    <w:p>
      <w:pPr>
        <w:pStyle w:val="BookText"/>
        <w:rPr/>
      </w:pPr>
      <w:r>
        <w:rPr>
          <w:rFonts w:ascii="Amiri" w:hAnsi="Amiri" w:eastAsia="Amiri" w:cs="Amiri"/>
          <w:color w:val="111111"/>
          <w:sz w:val="28"/>
          <w:sz w:val="28"/>
          <w:szCs w:val="28"/>
          <w:rtl w:val="true"/>
          <w:lang w:bidi="ar-SA"/>
        </w:rPr>
        <w:t>موارد أُخرى، مثل إثبات نسبة الفعل المتولّد و العلم المكتسب إلى الإنسان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معنى آخر للخلق يمكن من خلاله أن يسمّى اللّٰه تعالى خالقاً لأفعال الإنسان الاختياريّة، و هو معنى التقدير، و معناه أنّ اللّٰه تعالى هو الذي قدّر هذه الأفعال، و فصّل حَسَنها من قبيحها، و ميّز خيرها من شرّها، و واجبها من ندبها، و المقدِّر يسمّى في اللغة خالقاً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ليس مُستعظَماً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للبلخي حيث رفض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اللغة سمّوه بذلك،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فهذا تصريح بوجود أكثر من خالق، و لو كان هناك خالق واحد لما صحّ هذا التعبير، كما لم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رفض البلخي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بحجّة أنّه تنقيص للّٰه تعالىٰ و إبطال لتعظيمه فينتقض بتجويزه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فلو كان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تنقيص فهو كذلك في هذه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معنى ما روي عن الإمام الصادق عليه السلامُ من أنّ أفعال العبد مخلوقة خلق تقدير، لا خلق تكوين، فهو ناظر إلىٰ نسبة أفعال العباد إلى اللّٰه تعالىٰ‌، لا إلىٰ نسبتها إلى العباد أنفسهم، فإنّ نسبتها إليهم بالتقدير و التكوين معاً، لا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مناسب لِمَا تقدّم من أنّ اللّٰه تعالى خالق بمعنى مقدِّر، لا بمعنى الإحداث و الإنشاء و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 أمرين، لا جبر و لا 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 العباد غير مُجبرين على أفعالهم، و في نفس الوقت فإن الأمر غير مفوّض إليهم، و ذلك بمعنيين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لو لم يُقدِرهم على الفعل، لمَا تمكّنوا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الأفعال و تمييز حَسَنها من قبيحها و واجبها من ندبها بيده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الثاني أنسب بالجملة الأُولى،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اللّٰه تعالى لم يخلق الأفعال خلق تكوين،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تعالى خالق الأفعال خلق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اللّٰه تعالى المعاصي و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الأبحاث المهمّة التي تدور حول مسألة إرادة اللّٰه تعالى هي أنّه هل يريد المعاصي و يرضى بها أو لا؟</w:t>
      </w:r>
    </w:p>
    <w:p>
      <w:pPr>
        <w:pStyle w:val="BookText"/>
        <w:rPr/>
      </w:pPr>
      <w:r>
        <w:rPr>
          <w:rFonts w:ascii="Amiri" w:hAnsi="Amiri" w:eastAsia="Amiri" w:cs="Amiri"/>
          <w:color w:val="111111"/>
          <w:sz w:val="28"/>
          <w:sz w:val="28"/>
          <w:szCs w:val="28"/>
          <w:rtl w:val="true"/>
          <w:lang w:bidi="ar-SA"/>
        </w:rPr>
        <w:t>أجاب الشريف المرتضى بالنفي القاطع، و هو أنّه تعالى لم يُرد شيئاً من المعاصي أبداً، و ذكر دليلين عقليين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عنها، و كلّ مَن نهى عن فعل كان كارهاً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القبيح قبيحة، و اللّٰه تعالى منزّه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على كلامه بآيات من القرآن، و بإجماع المسلمين علىٰ أنّه تعالىٰ لا يرضىٰ بالمعاصي التي وقعت من العباد مثل أن يُكفر به أو أن يُشتم أولياؤه، و هذا يعني أنّه كاره لها؛ إذ لو كان مريداً لها لكان راضياً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بعد ذلك عن إشكال مفاده أنّ العباد لو فعلوا ما يكرهه اللّٰه تعالى لدلّ على ضعفه، قياساً على رعيّة الملك إذا خالفوا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أوامر المَلك تصبّ في مصلحة الرعيّة و قاموا بمخالفته، فإنّه لا يدلّ على ضعفه، نعم إذا كانت أوامره تصب في صالحه هو و نظامِه، فإنّ مخالفتهم تدلّ على ضعفه، و اللّٰه تعالى لا يأمر بشيء لأجل مصالحه الخاصّة و العياذ باللّٰه، و إنّما كلّ أوامره لمصلحة العباد، فمخالفتهم لا تدلّ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جوابين نقضيّين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الإشكال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مريد للمعاصي، لكنّه يسلّم في نفس الوقت بأنّه قد نهىٰ عنها،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بإشكالك من أنّ وقوع ما يكرهه تعالىٰ يدلّ على ضعفه، للزم أن تقبل بأنّ وقوع ما نهىٰ عنه يدلّ علىٰ ضعفه أيضاً؛ فإنّ‌ </w:t>
      </w:r>
    </w:p>
    <w:p>
      <w:pPr>
        <w:pStyle w:val="BookText"/>
        <w:rPr/>
      </w:pPr>
      <w:r>
        <w:rPr>
          <w:rFonts w:ascii="Amiri" w:hAnsi="Amiri" w:eastAsia="Amiri" w:cs="Amiri"/>
          <w:color w:val="111111"/>
          <w:sz w:val="28"/>
          <w:sz w:val="28"/>
          <w:szCs w:val="28"/>
          <w:rtl w:val="true"/>
          <w:lang w:bidi="ar-SA"/>
        </w:rPr>
        <w:t>الملك إذا ضعف لفعل رعيّته ما لا يريده، لكان ضعيفاً أيضاً لفعلهم 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لو كان آمراً و مريداً من الكفّار أن يكفروا به و من العصاة أن يعصوه، لكان آمراً لهم أن يضعفوه و يغلبوه و مريداً لذلك، و 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الشريف المرتضى إلى هذا البحث و الإشكال و الجواب عليه في كتابه الملخّص</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الشريف المرتضى الاستطاعة بأنّها القدرة على الفعل، و صرّح بأنّها متقدّمة على الفعل، و هذا من الأبحاث الخلافيّة، فقد ذهب بعض المتكلّمين إلى أنّ القدرة مع الفعل، فيما أصرّ العدليّة على أنّها قبله،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يُحتاج إلى القدرة لكي يخرج الفعل من العدم إلى الوجود، فلو كان موجوداً لكان مستغنياً عنها، فيجب أن تكون القدرة موجودة في حال عدم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القدرة كالعلّة؛ فإنّ تأثير العلّة تأثير إيجاب للمعلول بينما تأثير القدرة تأثير اختيار لا إيجاب، و لو كانت القدرة كالعلّة لاحتاج الفعل إليها في البقاء أيضاً إضافة إلى الحدوث، و هو خلاف ما ذهب إليه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القدرة مع الفعل لامتنع فعلُ الإيمان من الكافر، و لم يكن قادراً عليه؛ لأنّه بناء علىٰ ذلك لو كان قادراً علىٰ الإيمان قدرة حاصلة مع الإيمان لا قبله، لحصل الإيمان، و الفرض 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قادراً على الإيمان لم يحسن تكليفه به؛ فإنّه لا فرق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العاجز</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آية وجوب الحجّ علىٰ اشتراط وجوبه بالاستطاعة، فإذا كانت الاستطاعة و القدرة مع الفعل، لزم أن يكون الأمر بالحجّ متوجّهاً إلىٰ من قام به، و 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الشريف المرتضى في هذه المسألة عن بحثين مهمّين،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مرتكب الكبيرة، و الشفاعة، و العلاقة بين البحثين هي أنّ مرتكب الكبيرة هل يمكن أن تشمله الشفاعة، و يخرج من النار، أو لا؟</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المسائل المهمّة في علم الكلام، حيث يدور الأمر فيها حول مصير مرتكب الكبيرة، و هل هو خالد في النار أو لا؟</w:t>
      </w:r>
    </w:p>
    <w:p>
      <w:pPr>
        <w:pStyle w:val="BookText"/>
        <w:rPr/>
      </w:pPr>
      <w:r>
        <w:rPr>
          <w:rFonts w:ascii="Amiri" w:hAnsi="Amiri" w:eastAsia="Amiri" w:cs="Amiri"/>
          <w:color w:val="111111"/>
          <w:sz w:val="28"/>
          <w:sz w:val="28"/>
          <w:szCs w:val="28"/>
          <w:rtl w:val="true"/>
          <w:lang w:bidi="ar-SA"/>
        </w:rPr>
        <w:t>فقد ذهب المعتزلة إلى القول بخلود مرتكب الكبيرة في النار، و بذلك أسّسوا نظريّة كلاميّة صارت من أُصولهم الخمسة،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خالف الإماميّة بصورة عامّة في ذلك، و آمنوا بأنّ المؤمن إذا ارتكب كبيرة لا يخلّد في النار، بل يخرج منها، و هي النظريّة التي عُرفت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الخلاف في الوعيد من العلامات الفارقة بين الإماميّة بصورة عامّة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الإماميّة، و منهم الشريف المرتضى، على قولهم بأنّ إجماع المسلمين دلّ على أنّ الإيمان يُستحَقّ به الثواب الدائم، و أمّا المعصية فقد دلّ الإجماع و العقل علىٰ استحقاق العقاب المنقطع بفعلها، كما دلّ الدليل على بطلان التحابط، و أنّ الذنوب لا تُحبِط ما يستحقّه الإنسان من ثواب، و حينئذ إذا ارتكب المؤمن كبيرة مع اعتقاده بحرمتها فسوف يستحقّ الثواب الدائم بإيمانه، فإنّ هذه الكبيرة لم تحبط ثوابه؛ لبطلان التحابط، و هذا يلزم منه أنّه لا يستحقّ لارتكابه الكبيرة إلّاعقاباً منقطعاً، فإنّه لا يعقل أن يستحقّ الثواب و العقاب الدائمَين معاً، كما لا يصحّ القول بأنّه يتردّد بين الجنّة و النار، فيُنعّم تارة، و يُعذّب أُخرى؛ و ذلك لأنّ السمع و الإجماع منعا من ذلك، و دلّا على أنّ من يدخل الجنّة فإنّه لا يخرج منها أبداً، و بذلك ثبت انقطاع عقاب مرتكب الكبيرة على خلاف ما ذهب إليه المعتزلة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علىٰ بطلان التحابط فهو أنّ الشيء إنّما ينفي شيئاً آخر إذا نافاه </w:t>
      </w:r>
    </w:p>
    <w:p>
      <w:pPr>
        <w:pStyle w:val="BookText"/>
        <w:rPr/>
      </w:pPr>
      <w:r>
        <w:rPr>
          <w:rFonts w:ascii="Amiri" w:hAnsi="Amiri" w:eastAsia="Amiri" w:cs="Amiri"/>
          <w:color w:val="111111"/>
          <w:sz w:val="28"/>
          <w:sz w:val="28"/>
          <w:szCs w:val="28"/>
          <w:rtl w:val="true"/>
          <w:lang w:bidi="ar-SA"/>
        </w:rPr>
        <w:t>و ضادّه، و لا منافاة و لا تضادّ بين الثواب و العقاب المستحَقَّين، كما أنّ التضادّ يكون بين الأُمور الموجودة، بينما المستَحقّ من الثواب و العقاب لا يكون إلّامعدوماً، و لا تضادّ بين المعدومات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ما قاله أهل التحابط بأنّ المستحقّ من العقاب أبطل المستحقّ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انعكاس للبحث السابق، و هو يدور حول حقيقة الشفاعة، أمّا المعتزلة الذين ذهبوا إلى أنّ مرتكب الكبيرة خالد في النار و لا يخرج منها أبداً، فمن الطبيعي سوف لن تشمله الشفاعة، لذلك قاموا بتعريف الشفاعة بأنّها عبارة عن إيصال المنافع و زيادة المرتبة، و أمّا الإماميّة الذين جعلوا عقاب مرتكب الكبيرة منقطعاً، فأمكنهم القول بشمول الشفاعة له، و أنّها ستكون بمعنى إسقاط العقاب عن مُستحِقّه، و أشكلوا على المعتزلة بأنّه لو كان معنى الشفاعة طلب إيصال المنافع و زيادة المرتبة لكنّا شافعين للنبي صلّى اللّٰهُ عليه و آلِه؛ لأنّنا ندعو له بزيادة المرتبة و المنزلة، و من المسلّم أنّنا لا نسمّى شافعين للنبي صلّى اللّٰهُ عليه و آلِه، لا لفظاً و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 يقال إنّ سبب عدم كوننا شافعين للنبيّ صلّى اللّٰه عليه و آلِه هو اشتراط الرتبة في الشفاعة بين الشافع و المشفوع فيه، فلا يمكن أن يكون الشافع أقلّ مرتبة من المشفوع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يصحّ‌؛ لأنّ الرتبة إنّما تشترط بين الشافع و المشفوع إليه، لا بين الشافع و المشفوع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الإماميّة على صحّة المعنى الذي ذهبوا إليه في الشفاعة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تخصيص أهل الكبائر بالشفاعة يدلّ علىٰ أنّ معناها إسقاط العقاب، و لو كانت بمعنىٰ زيادة المنافع لما صحّ تخصيصها بأهل الكبائر، فإنّه لا فرق بينهم و بين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الطاعات أو مرتكبي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الانتفاع بزيادة المنافع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مُحدَث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خلاف قديم بين المسلمين حول </w:t>
      </w:r>
    </w:p>
    <w:p>
      <w:pPr>
        <w:pStyle w:val="BookText"/>
        <w:rPr/>
      </w:pPr>
      <w:r>
        <w:rPr>
          <w:rFonts w:ascii="Amiri" w:hAnsi="Amiri" w:eastAsia="Amiri" w:cs="Amiri"/>
          <w:color w:val="111111"/>
          <w:sz w:val="28"/>
          <w:sz w:val="28"/>
          <w:szCs w:val="28"/>
          <w:rtl w:val="true"/>
          <w:lang w:bidi="ar-SA"/>
        </w:rPr>
        <w:t>حدوث القرآن و قِدمه أدّى إلى ظاهرة عرفت باسم المحنة أو محنة خلق القرآن، حيث ذهب المعتزلة إلى حدوث القرآن، فيما ذهب أهل الحديث إلى القول بقِدمه</w:t>
      </w:r>
      <w:r>
        <w:rPr>
          <w:rStyle w:val="FootnoteAnchor"/>
          <w:rtl w:val="true"/>
        </w:rPr>
        <w:footnoteReference w:id="1298"/>
      </w:r>
      <w:r>
        <w:rPr>
          <w:rFonts w:ascii="Amiri" w:hAnsi="Amiri" w:eastAsia="Amiri" w:cs="Amiri"/>
          <w:color w:val="111111"/>
          <w:sz w:val="28"/>
          <w:sz w:val="28"/>
          <w:szCs w:val="28"/>
          <w:rtl w:val="true"/>
          <w:lang w:bidi="ar-SA"/>
        </w:rPr>
        <w:t>، و قد ذهب الإماميّة بصورة عامّة إلى القول بحدوث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الشريف المرتضى في هذه المسألة على ذلك بتجدّد الكلام، فإنّ القرآن كلام متجدّد، فعند ما نسمعه نعلم بوجوده و تجدّده بعد عدمه، و عندما ينقطع الصوت نعلم بانقضائه و انعدامه، و التجدّد علامة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للقرآن أوّل و آخر و أجزاء، و يوصف بأنّه مُنزَل و محكم و عربي و محدَث، و كلّ هذا يدلّ على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أكّد الشريف المرتضى على عدم جواز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لأنّ هذا اللفظ يدلّ على الاختلاق و الجعل، و القرآن منزّه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المخالف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الشريف المرتضى في هذه المسألة عن الخلاف في فروع الدين، هل يؤدّي إلى نفس النتائج التي يؤدّي إليها الخلاف في أُصول الدين‌؟</w:t>
      </w:r>
    </w:p>
    <w:p>
      <w:pPr>
        <w:pStyle w:val="BookText"/>
        <w:rPr/>
      </w:pPr>
      <w:r>
        <w:rPr>
          <w:rFonts w:ascii="Amiri" w:hAnsi="Amiri" w:eastAsia="Amiri" w:cs="Amiri"/>
          <w:color w:val="111111"/>
          <w:sz w:val="28"/>
          <w:sz w:val="28"/>
          <w:szCs w:val="28"/>
          <w:rtl w:val="true"/>
          <w:lang w:bidi="ar-SA"/>
        </w:rPr>
        <w:t>فأجاب بأنّ لدينا أدلّة علميّة و قطعيّة على الأحكام الفرعيّة، و هذا يعني أنّها تتساوى من حيث القيمة مع الأُصول، فيكون المخالف لفروع الإماميّة كالمخالف لأُصولها، و هو الذي عليه إطباق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فضّل الشريف المرتضى الاختصار في الإجابة عن هذه المسألة، و عدم التصريح برأيه حول المخالف لأُصول الإماميّة، و لعلّه مراعاة لبعض المسائل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مرتكب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الشريف المرتضى عن مرتكبي الكبائر كشرب الخمر و الزنا، و هل يكون غير المستحلّ لها كافراً؟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السؤال قد يكون ناظراً إلى ما ذهب إليه الخوارج من تكفير كلّ مرتكب للكبيرة، و استباحة دمه و عرضه و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أجاب الشريف المرتضى بالتفريق بين المستحلّ لارتكاب هذه الكبائر و المحرِّم لها، أمّا المستحلّ فجزم بكفره بإجماع المسلمين؛ لأنّه باستحلاله لشرب الخمر و الزنا يكون مخالفاً لصريح ما شرّعه النبيّ صلّى اللّٰهُ عليه و آلِه، و هو يكون ناشئاً من الشكّ في نبوّته، و هو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المحرِّم فهو ليس بكافر؛ لأنّه لو صار كافراً بذلك لصار مرتدّاً؛ لِتقدّم إيمانه، و يترتّب علىٰ ذلك آثار الكفر من استباحة المال و منع الموارثة و المناكحة، و هذا لم يقل به أحد من المسلمين، و خلافُ الخوارج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الشريف المرتضى هنا يشير إلى قاعدة مهمّة في باب الإجماع، و هي أنّ الخلاف المتأخّر عن الإجماع لا يضرّ به، بل يبقى الإجماع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بالذكر أنّ عدم تكفير مرتكب الكبيرة غير المستحلّ لها قد تقدّم في المسألة الرابعة، و أنّه يعتبر فاسقاً بعمله، و إن كان ما زال مؤمناً من حيث عقيدته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الرؤية في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خلاف بين الإماميّة حول أنّ شهر رمضان يزيد و ينقص، و يكون ثبوته بالرؤية، أو أنّه ثابت العدد، فلا ينقص عن ثلاثين يوماً، و قد تبنّى الشريف المرتضى الرأي الأوّل، و كتب عدّة رسائل حوله، و أجاب عن عدّة مسائل، منها رسالة ألّفها في الجواب على بعض علماء الإماميّة ممّن كان يذهب إلى نظريّة العدد،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أصحاب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المسألة استدلّ على رأيه من خلال الاستدلال باتّفاق المسلمين على اعتبار الرؤية، و أنّ النبيّ صلّى اللّٰهُ عليه و آلِه كان يطلب الأهلّة، و كذلك المسلمون، و لو كان العدد معتبراً لاتّبعه النبيّ صلّى اللّٰهُ عليه و آلِه و المسلمون و تركوا طلب الأهلّة، ثمّ استدلّ بعدد من الروايات، و ردّ الرواية المؤيّدة للقول بالعدد و الدالّة علىٰ عدم نقصان شهر رمضان و عدم تمام شعبان، و سبب ردّه لها هو شذوذها و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يترك تأويل هذه الرواية بما لا يتنافىٰ مع ما ذهب إليه، كعادته في عدم ترك تأويل الأخبار الضعيفة، فذكر أنّ تأويل هذه الرواية هو أنّ شهر رمضان لا نقص فيه من حيث الفضيلة و </w:t>
      </w:r>
    </w:p>
    <w:p>
      <w:pPr>
        <w:pStyle w:val="BookText"/>
        <w:rPr/>
      </w:pPr>
      <w:r>
        <w:rPr>
          <w:rFonts w:ascii="Amiri" w:hAnsi="Amiri" w:eastAsia="Amiri" w:cs="Amiri"/>
          <w:color w:val="111111"/>
          <w:sz w:val="28"/>
          <w:sz w:val="28"/>
          <w:szCs w:val="28"/>
          <w:rtl w:val="true"/>
          <w:lang w:bidi="ar-SA"/>
        </w:rPr>
        <w:t>الكمال، و أنّ شعبان بالنسبة إلى شهر رمضان نقاص الفضيلة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هل القول بالعدد يستلزم الكفر أو لا، فقد أحال الشريفُ المرتضىٰ جوابَه إلى ما تقدّم في المسألة السادسة حول حكم المخالف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شرب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تعرّض الشريف المرتضى للسؤال عن الفقّاع أكثر من مرّة، و قد تعود كثرة السؤال عن ذلك إلى مخالفة علماء أهل السنّة، حيث ذهبوا إلى جواز شربه</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قد تكلّم الشريف المرتضى في الجواب هنا بشيء من الاختصار، فاستدلّ على حرمة الفقّاع بإجماع الإماميّة، و بالأخبار المتظاهرة الفاشية، و أشار إلى عدم تعلّق تحريم الفقّاع بكونه مسكراً و عدمه، و ذكر أخيراً أنّ مستحلّ الفقّاع عند الإماميّة حالُه حال مستحلّ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عبادة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التي كانت و ما زالت إلى يومنا هذا مثاراً للبحث و الجدل و السؤال، هي أنّ الكافر هل تقبل منه الطاعات‌؟ فإنّه لو صلّى أو صام أو تصدّق، أو فعل غير ذلك من أفعال الخير، فهل تقبل منه أو لا؟</w:t>
      </w:r>
    </w:p>
    <w:p>
      <w:pPr>
        <w:pStyle w:val="BookText"/>
        <w:rPr/>
      </w:pPr>
      <w:r>
        <w:rPr>
          <w:rFonts w:ascii="Amiri" w:hAnsi="Amiri" w:eastAsia="Amiri" w:cs="Amiri"/>
          <w:color w:val="111111"/>
          <w:sz w:val="28"/>
          <w:sz w:val="28"/>
          <w:szCs w:val="28"/>
          <w:rtl w:val="true"/>
          <w:lang w:bidi="ar-SA"/>
        </w:rPr>
        <w:t>أجاب الشريف المرتضى بأنّ الكافر لا تقبل طاعاته أبداً؛ و ذلك لأنّ الطاعة يترتّب عليها استحقاق المدح و الثواب، و من المعلوم أنّ الكافر لا يستحقّ شيئاً من المدح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ذهب إلىٰ قبول طاعاته هو القائل بالتحابط، حيث ذهب إلىٰ أنّ ثواب طاعات الكفّار يُحبط عقابهم بمقدار ذلك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تقدّم في المسألة الرابعة الكلام عن بطلان التحابط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الشريف المرتضى عن إشكال قد يثار، و هو أنّ عدم وقوع الطاعة من الكافر مخالف للبداهة، فإنّا نرى رَأيَ العين أنّ الكفّار يمارسون الكثير من العبادات و القربات، و هذا يدلّ على كونهم عارفين باللّٰه تعالى و أنّ طاعاتهم 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من خلال بيان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شيء مخالف للبداهة في كلامنا، فإنّ الطاعة ليست أمراً ظاهراً للعيان حتّى يمكن إدراكها، بل هي من الأُمور المستورة عن الخلق، و لا يعلمها إلّا علّام الغيوب، و إنّما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قد فعل ما هو طاعة في الظاهر، و أمّا هل هي طاعة حقّاً فهو أمر مستور عنّا، و إذا دلّ الدليل على عدم وقوع الطاعة منهم، علمنا أنّ ما يفعلونه ليس طاعة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في هذه النقطة بحثاً مهمّاً، و إن لم يَرد في السؤال، و هو هل أنّ الكفّار عارفون باللّٰه تعالى أو لا؟</w:t>
      </w:r>
    </w:p>
    <w:p>
      <w:pPr>
        <w:pStyle w:val="BookText"/>
        <w:rPr/>
      </w:pPr>
      <w:r>
        <w:rPr>
          <w:rFonts w:ascii="Amiri" w:hAnsi="Amiri" w:eastAsia="Amiri" w:cs="Amiri"/>
          <w:color w:val="111111"/>
          <w:sz w:val="28"/>
          <w:sz w:val="28"/>
          <w:szCs w:val="28"/>
          <w:rtl w:val="true"/>
          <w:lang w:bidi="ar-SA"/>
        </w:rPr>
        <w:t>أجاب الشريف المرتضى بأنّهم غير عارفين باللّٰه تعالى قطعاً، بنفس الدليل السابق الدالّ على نفي الطاعات عنهم، و هو أنّ معرفة اللّٰه تعالى تستوجب المدح و الثواب، و الكافر لا يستحق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أنّهم نظروا في الدليل المؤدّي إلى المعرفة كما نظرنا نحن فيه، فلا بدّ أن تحصل لهم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 ذلك بأنّنا لا نعلم أوّلاً أنّهم نظروا في الأدلّة، و لو علمنا ذلك فإنّنا لا نعلم أنّهم نظروا فيها من الوجه الذي يؤدّي إلى المعرفة و العلم، و لو علمنا بذلك لم نعلم تكامل باقي الشروط اللازمة في توليد العلم، و بذلك لا يمكن الجزم بأنّهم نظروا في الأدلّة بما يؤدّي إلى حصول العلم، فنبقى على الشكّ‌، و إذا قام الدليل على عدم حصول المعرفة لديهم جزمنا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الشريف المرتضى إلىٰ بحث معرفة الكفّار بصورة أكثر تفصيلاً في المسألة الرابعة من المسائل الرسّيّة الأُولى، و أشار إليه بشيء من الإجمال في نهاية المسألة الأخيرة من الرسّية الثانية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الشريف المرتضى أخيراً عن عدد أُصول الدين، فأجاب بأنّ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عنى بهم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أُصول الدين خمسة، و ذكر أُصول المعتزلة الخمسة،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العدل، و المنزلة بين </w:t>
      </w:r>
      <w:bookmarkStart w:id="242" w:name="pg16415_223874"/>
    </w:p>
    <w:p>
      <w:pPr>
        <w:pStyle w:val="BookText"/>
        <w:rPr/>
      </w:pPr>
      <w:bookmarkEnd w:id="242"/>
      <w:r>
        <w:rPr>
          <w:rFonts w:ascii="Amiri" w:hAnsi="Amiri" w:eastAsia="Amiri" w:cs="Amiri"/>
          <w:color w:val="111111"/>
          <w:sz w:val="28"/>
          <w:sz w:val="28"/>
          <w:szCs w:val="28"/>
          <w:rtl w:val="true"/>
          <w:lang w:bidi="ar-SA"/>
        </w:rPr>
        <w:t>المنزلتين، و الوعد و الوعيد، 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أشكل على هذا التقسيم بأنّه لم يتعرّض إلى ذكر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داخلة في العدل لأنّها من الألطاف، و اللطف داخل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الوعد و الوعيد، و المنزلة بين المنزلتين، و الأمر بالمعروف و النهي عن المنكر أيضاً من باب الألطاف و هو من فروع العدل، فلماذا أفردتموها بالذكر، و تركتم النبوّة‌؟ و لماذا لم تُدخلوا الجميع تحت باب العدل‌؟</w:t>
      </w:r>
    </w:p>
    <w:p>
      <w:pPr>
        <w:pStyle w:val="BookText"/>
        <w:rPr/>
      </w:pPr>
      <w:r>
        <w:rPr>
          <w:rFonts w:ascii="Amiri" w:hAnsi="Amiri" w:eastAsia="Amiri" w:cs="Amiri"/>
          <w:color w:val="111111"/>
          <w:sz w:val="28"/>
          <w:sz w:val="28"/>
          <w:szCs w:val="28"/>
          <w:rtl w:val="true"/>
          <w:lang w:bidi="ar-SA"/>
        </w:rPr>
        <w:t>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المتأخّرين قسّم أُصول الدين إلى اثنين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فمن أراد الإجمال اقتصر على التوحيد و العدل، و من أراد التفصيل وجب أن يضيف النبوّة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الأُصول المهمّة، و لا يصحّ تركها و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أنهى الشريف المرتضى الجواب عن المسائل الطبرية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المسائل قد طبعت في ضمن 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7642394_1280447820"/>
      <w:bookmarkStart w:id="244" w:name="_Toc84"/>
      <w:bookmarkEnd w:id="243"/>
      <w:r>
        <w:rPr>
          <w:rtl w:val="true"/>
        </w:rPr>
        <w:t>مخطوطات الرسالة</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245" w:name="pg16415_223875"/>
    </w:p>
    <w:p>
      <w:pPr>
        <w:pStyle w:val="Heading5"/>
        <w:numPr>
          <w:ilvl w:val="4"/>
          <w:numId w:val="1"/>
        </w:numPr>
        <w:rPr/>
      </w:pPr>
      <w:bookmarkStart w:id="246" w:name="__RefHeading___Toc7642396_1280447820"/>
      <w:bookmarkStart w:id="247" w:name="_Toc85"/>
      <w:bookmarkEnd w:id="245"/>
      <w:bookmarkEnd w:id="246"/>
      <w:r>
        <w:rPr>
          <w:rtl w:val="true"/>
        </w:rPr>
        <w:t>جوابُ المَسائلِ الواردةِ مِن طَبَرِستانَ‌</w:t>
      </w:r>
      <w:bookmarkEnd w:id="247"/>
    </w:p>
    <w:p>
      <w:pPr>
        <w:pStyle w:val="Heading6"/>
        <w:numPr>
          <w:ilvl w:val="5"/>
          <w:numId w:val="1"/>
        </w:numPr>
        <w:rPr/>
      </w:pPr>
      <w:bookmarkStart w:id="248" w:name="__RefHeading___Toc7642398_1280447820"/>
      <w:bookmarkStart w:id="249" w:name="_Toc8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جوابُ المَسائلِ الواردةِ مِن طَبَرِستانَ‌</w:t>
      </w:r>
      <w:r>
        <w:rPr>
          <w:rStyle w:val="FootnoteAnchor"/>
          <w:rtl w:val="true"/>
        </w:rPr>
        <w:footnoteReference w:id="1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7642400_1280447820"/>
      <w:bookmarkStart w:id="251" w:name="_Toc87"/>
      <w:bookmarkEnd w:id="250"/>
      <w:r>
        <w:rPr>
          <w:rtl w:val="true"/>
        </w:rPr>
        <w:t>المَسألةُ الأُولىٰ نسبةُ أفعالِ العبادِ إلى اللّٰهِ تعالىٰ و إليهم</w:t>
      </w:r>
      <w:bookmarkEnd w:id="251"/>
    </w:p>
    <w:p>
      <w:pPr>
        <w:pStyle w:val="BookText"/>
        <w:rPr/>
      </w:pPr>
      <w:r>
        <w:rPr>
          <w:rFonts w:ascii="Amiri" w:hAnsi="Amiri" w:eastAsia="Amiri" w:cs="Amiri"/>
          <w:color w:val="111111"/>
          <w:sz w:val="28"/>
          <w:sz w:val="28"/>
          <w:szCs w:val="28"/>
          <w:rtl w:val="true"/>
          <w:lang w:bidi="ar-SA"/>
        </w:rPr>
        <w:t xml:space="preserve">سألَ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القولُ في أفعالِ العبادِ، هَل هي مخلوقةٌ أم لا؟</w:t>
      </w:r>
    </w:p>
    <w:p>
      <w:pPr>
        <w:pStyle w:val="BookText"/>
        <w:rPr/>
      </w:pPr>
      <w:r>
        <w:rPr>
          <w:rFonts w:ascii="Amiri" w:hAnsi="Amiri" w:eastAsia="Amiri" w:cs="Amiri"/>
          <w:color w:val="111111"/>
          <w:sz w:val="28"/>
          <w:sz w:val="28"/>
          <w:szCs w:val="28"/>
          <w:rtl w:val="true"/>
          <w:lang w:bidi="ar-SA"/>
        </w:rPr>
        <w:t>و ما معنىٰ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أفعالُ العبادِ مخلوقةٌ خَلقَ تقديرٍ، لا خَلقَ تكوينٍ‌؛ أمرٌ بَينَ أمرَينِ‌، لا جَبرَ و لا تفويضَ‌</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أفعالُ العِبادِ فلَيسَت مخلوقةً للّٰهِ عَزَّ و جَلَّ‌؛ و كَيفَ تَكونُ‌</w:t>
      </w:r>
      <w:r>
        <w:rPr>
          <w:rStyle w:val="FootnoteAnchor"/>
          <w:rtl w:val="true"/>
        </w:rPr>
        <w:footnoteReference w:id="1302"/>
      </w:r>
      <w:r>
        <w:rPr>
          <w:rFonts w:ascii="Amiri" w:hAnsi="Amiri" w:eastAsia="Amiri" w:cs="Amiri"/>
          <w:color w:val="111111"/>
          <w:sz w:val="28"/>
          <w:sz w:val="28"/>
          <w:szCs w:val="28"/>
          <w:rtl w:val="true"/>
          <w:lang w:bidi="ar-SA"/>
        </w:rPr>
        <w:t>خَلقاً له، و هي مُضافةٌ إلَى العِبادِ إضافةَ الفِعليّةِ؟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مخلوقةً لَكانَت مِن فِعلِه، و لَو كانَت فِعلاً له لَما تَوجَّهَ الذمُّ‌ </w:t>
      </w:r>
    </w:p>
    <w:p>
      <w:pPr>
        <w:pStyle w:val="BookText"/>
        <w:rPr/>
      </w:pPr>
      <w:r>
        <w:rPr>
          <w:rFonts w:ascii="Amiri" w:hAnsi="Amiri" w:eastAsia="Amiri" w:cs="Amiri"/>
          <w:color w:val="111111"/>
          <w:sz w:val="28"/>
          <w:sz w:val="28"/>
          <w:szCs w:val="28"/>
          <w:rtl w:val="true"/>
          <w:lang w:bidi="ar-SA"/>
        </w:rPr>
        <w:t>و المَدحُ علىٰ قَبيحِها</w:t>
      </w:r>
      <w:r>
        <w:rPr>
          <w:rStyle w:val="FootnoteAnchor"/>
          <w:rtl w:val="true"/>
        </w:rPr>
        <w:footnoteReference w:id="1303"/>
      </w:r>
      <w:r>
        <w:rPr>
          <w:rFonts w:ascii="Amiri" w:hAnsi="Amiri" w:eastAsia="Amiri" w:cs="Amiri"/>
          <w:color w:val="111111"/>
          <w:sz w:val="28"/>
          <w:sz w:val="28"/>
          <w:szCs w:val="28"/>
          <w:rtl w:val="true"/>
          <w:lang w:bidi="ar-SA"/>
        </w:rPr>
        <w:t>و حَسَنِها إلَى العِبادِ، كما لا يُذَمّونَ و يُمدَحونَ بخِلَقِهم و صُوَرِهم و هَيْئاتِهم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لَكانَت أيضاً لا تَتبَعُ‌</w:t>
      </w:r>
      <w:r>
        <w:rPr>
          <w:rStyle w:val="FootnoteAnchor"/>
          <w:rtl w:val="true"/>
        </w:rPr>
        <w:footnoteReference w:id="1305"/>
      </w:r>
      <w:r>
        <w:rPr>
          <w:rFonts w:ascii="Amiri" w:hAnsi="Amiri" w:eastAsia="Amiri" w:cs="Amiri"/>
          <w:color w:val="111111"/>
          <w:sz w:val="28"/>
          <w:sz w:val="28"/>
          <w:szCs w:val="28"/>
          <w:rtl w:val="true"/>
          <w:lang w:bidi="ar-SA"/>
        </w:rPr>
        <w:t>في وقوعِها قُصودَ</w:t>
      </w:r>
      <w:r>
        <w:rPr>
          <w:rStyle w:val="FootnoteAnchor"/>
          <w:rtl w:val="true"/>
        </w:rPr>
        <w:footnoteReference w:id="1306"/>
      </w:r>
      <w:r>
        <w:rPr>
          <w:rFonts w:ascii="Amiri" w:hAnsi="Amiri" w:eastAsia="Amiri" w:cs="Amiri"/>
          <w:color w:val="111111"/>
          <w:sz w:val="28"/>
          <w:sz w:val="28"/>
          <w:szCs w:val="28"/>
          <w:rtl w:val="true"/>
          <w:lang w:bidi="ar-SA"/>
        </w:rPr>
        <w:t xml:space="preserve">العِبادِ و دَواعيَهم و أحوالَهم؛ ألا تَرىٰ أنّ أفعالَه في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شُبهةَ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307"/>
      </w:r>
      <w:r>
        <w:rPr>
          <w:rFonts w:ascii="Amiri" w:hAnsi="Amiri" w:eastAsia="Amiri" w:cs="Amiri"/>
          <w:color w:val="111111"/>
          <w:sz w:val="28"/>
          <w:sz w:val="28"/>
          <w:szCs w:val="28"/>
          <w:rtl w:val="true"/>
          <w:lang w:bidi="ar-SA"/>
        </w:rPr>
        <w:t>تَتبَعُ‌</w:t>
      </w:r>
      <w:r>
        <w:rPr>
          <w:rStyle w:val="FootnoteAnchor"/>
          <w:rtl w:val="true"/>
        </w:rPr>
        <w:footnoteReference w:id="1308"/>
      </w:r>
      <w:r>
        <w:rPr>
          <w:rFonts w:ascii="Amiri" w:hAnsi="Amiri" w:eastAsia="Amiri" w:cs="Amiri"/>
          <w:color w:val="111111"/>
          <w:sz w:val="28"/>
          <w:sz w:val="28"/>
          <w:szCs w:val="28"/>
          <w:rtl w:val="true"/>
          <w:lang w:bidi="ar-SA"/>
        </w:rPr>
        <w:t>إرادتَهم، و لا تَقَعُ‌</w:t>
      </w:r>
      <w:r>
        <w:rPr>
          <w:rStyle w:val="FootnoteAnchor"/>
          <w:rtl w:val="true"/>
        </w:rPr>
        <w:footnoteReference w:id="1309"/>
      </w:r>
      <w:r>
        <w:rPr>
          <w:rFonts w:ascii="Amiri" w:hAnsi="Amiri" w:eastAsia="Amiri" w:cs="Amiri"/>
          <w:color w:val="111111"/>
          <w:sz w:val="28"/>
          <w:sz w:val="28"/>
          <w:szCs w:val="28"/>
          <w:rtl w:val="true"/>
          <w:lang w:bidi="ar-SA"/>
        </w:rPr>
        <w:t>بحَسَبِ قُصودِهم‌؟</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هذا إن أُريدَ بالخَلقِ هاهُنا الإحداثُ و الإنشاءُ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بالخَلقِ التقديرُ الذي لا يَتبَعُ الفِعليّةَ‌، جازَ القولُ بأنّ أفعالَ العِبادِ مخلوقةٌ للّٰهِ عَزَّ و جَلَّ كَكُلٍّ‌</w:t>
      </w:r>
      <w:r>
        <w:rPr>
          <w:rStyle w:val="FootnoteAnchor"/>
          <w:rtl w:val="true"/>
        </w:rPr>
        <w:footnoteReference w:id="1311"/>
      </w:r>
      <w:r>
        <w:rPr>
          <w:rFonts w:ascii="Amiri" w:hAnsi="Amiri" w:eastAsia="Amiri" w:cs="Amiri"/>
          <w:color w:val="111111"/>
          <w:sz w:val="28"/>
          <w:sz w:val="28"/>
          <w:szCs w:val="28"/>
          <w:rtl w:val="true"/>
          <w:lang w:bidi="ar-SA"/>
        </w:rPr>
        <w:t>بمعنىٰ أنه مُقدِّرٌ لها، مُرتِّبٌ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أهلَ اللغةِ يُسَمّونَ مُقدِّرَ الأَديمِ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إن كانَ الأَدْمُ مِن فِعلِ غيرِه‌؟</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لأَنتَ تَفري</w:t>
      </w:r>
      <w:r>
        <w:rPr>
          <w:rStyle w:val="FootnoteAnchor"/>
          <w:rtl w:val="true"/>
        </w:rPr>
        <w:footnoteReference w:id="1312"/>
      </w:r>
      <w:r>
        <w:rPr>
          <w:rFonts w:ascii="Amiri" w:hAnsi="Amiri" w:eastAsia="Amiri" w:cs="Amiri"/>
          <w:color w:val="111111"/>
          <w:sz w:val="28"/>
          <w:sz w:val="28"/>
          <w:szCs w:val="28"/>
          <w:rtl w:val="true"/>
          <w:lang w:bidi="ar-SA"/>
        </w:rPr>
        <w:t xml:space="preserve">ما خَلَقتَ‌، و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القَومِ يَخلُقُ ثُمَّ لا يَفري</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يَئطُّ</w:t>
      </w:r>
      <w:r>
        <w:rPr>
          <w:rStyle w:val="FootnoteAnchor"/>
          <w:rtl w:val="true"/>
        </w:rPr>
        <w:footnoteReference w:id="1314"/>
      </w:r>
      <w:r>
        <w:rPr>
          <w:rFonts w:ascii="Amiri" w:hAnsi="Amiri" w:eastAsia="Amiri" w:cs="Amiri"/>
          <w:color w:val="111111"/>
          <w:sz w:val="28"/>
          <w:sz w:val="28"/>
          <w:szCs w:val="28"/>
          <w:rtl w:val="true"/>
          <w:lang w:bidi="ar-SA"/>
        </w:rPr>
        <w:t>بأيدي الخالِقينَ‌</w:t>
      </w:r>
      <w:r>
        <w:rPr>
          <w:rStyle w:val="FootnoteAnchor"/>
          <w:rtl w:val="true"/>
        </w:rPr>
        <w:footnoteReference w:id="1315"/>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الخَوالِقِ‌</w:t>
      </w:r>
      <w:r>
        <w:rPr>
          <w:rStyle w:val="FootnoteAnchor"/>
          <w:rtl w:val="true"/>
        </w:rPr>
        <w:footnoteReference w:id="1316"/>
      </w:r>
      <w:r>
        <w:rPr>
          <w:rFonts w:ascii="Amiri" w:hAnsi="Amiri" w:eastAsia="Amiri" w:cs="Amiri"/>
          <w:color w:val="111111"/>
          <w:sz w:val="28"/>
          <w:sz w:val="28"/>
          <w:szCs w:val="28"/>
          <w:rtl w:val="true"/>
          <w:lang w:bidi="ar-SA"/>
        </w:rPr>
        <w:t>إلّاجَيِّدُ الأُدُمِ‌</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هذا جوابٌ لِمَن سَألَ‌</w:t>
      </w:r>
      <w:r>
        <w:rPr>
          <w:rStyle w:val="FootnoteAnchor"/>
          <w:rtl w:val="true"/>
        </w:rPr>
        <w:footnoteReference w:id="1318"/>
      </w:r>
      <w:r>
        <w:rPr>
          <w:rFonts w:ascii="Amiri" w:hAnsi="Amiri" w:eastAsia="Amiri" w:cs="Amiri"/>
          <w:color w:val="111111"/>
          <w:sz w:val="28"/>
          <w:sz w:val="28"/>
          <w:szCs w:val="28"/>
          <w:rtl w:val="true"/>
          <w:lang w:bidi="ar-SA"/>
        </w:rPr>
        <w:t>عن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w:t>
      </w:r>
      <w:r>
        <w:rPr>
          <w:rStyle w:val="FootnoteAnchor"/>
          <w:rtl w:val="true"/>
        </w:rPr>
        <w:footnoteReference w:id="1319"/>
      </w:r>
      <w:r>
        <w:rPr>
          <w:rFonts w:ascii="Amiri" w:hAnsi="Amiri" w:eastAsia="Amiri" w:cs="Amiri"/>
          <w:color w:val="111111"/>
          <w:sz w:val="28"/>
          <w:sz w:val="28"/>
          <w:szCs w:val="28"/>
          <w:rtl w:val="true"/>
          <w:lang w:bidi="ar-SA"/>
        </w:rPr>
        <w:t>مخلوقةً للّٰهِ تَعالىٰ‌، أم لا؟</w:t>
      </w:r>
    </w:p>
    <w:p>
      <w:pPr>
        <w:pStyle w:val="BookText"/>
        <w:rPr/>
      </w:pPr>
      <w:r>
        <w:rPr>
          <w:rFonts w:ascii="Amiri" w:hAnsi="Amiri" w:eastAsia="Amiri" w:cs="Amiri"/>
          <w:color w:val="111111"/>
          <w:sz w:val="28"/>
          <w:sz w:val="28"/>
          <w:szCs w:val="28"/>
          <w:rtl w:val="true"/>
          <w:lang w:bidi="ar-SA"/>
        </w:rPr>
        <w:t>فأمّا مَن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مخلوقةٌ للعِبادِ، أم لا؟</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كَونُ العِبادِ خالِقينَ لأفعالِهم المقصودةِ المُجرىٰ بها إلَى الأغراضِ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أكثَرِ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أبو القاسمِ البَلخيُّ‌</w:t>
      </w:r>
      <w:r>
        <w:rPr>
          <w:rStyle w:val="FootnoteAnchor"/>
          <w:rtl w:val="true"/>
        </w:rPr>
        <w:footnoteReference w:id="1320"/>
      </w:r>
      <w:r>
        <w:rPr>
          <w:rFonts w:ascii="Amiri" w:hAnsi="Amiri" w:eastAsia="Amiri" w:cs="Amiri"/>
          <w:color w:val="111111"/>
          <w:sz w:val="28"/>
          <w:sz w:val="28"/>
          <w:szCs w:val="28"/>
          <w:rtl w:val="true"/>
          <w:lang w:bidi="ar-SA"/>
        </w:rPr>
        <w:t>في ذلكَ‌، و إن كانَ مُوافِقاً علىٰ أنّ العِبادَ يُحدِثونَ و يُنشِئونَ و يَختَرِعونَ‌</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 لَيسَ يَمتَنِعُ أن يوصَفوا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لأفعالِهم؛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معناه إيقاعَ الفِعلِ مُقدَّراً أو مقصوداً، فهذا المعنىٰ قائمٌ بَينَ العِبادِ و أفعالِهم؛ و لا معنىٰ للامتناعِ من</w:t>
      </w:r>
      <w:r>
        <w:rPr>
          <w:rStyle w:val="FootnoteAnchor"/>
          <w:rtl w:val="true"/>
        </w:rPr>
        <w:footnoteReference w:id="1322"/>
      </w:r>
      <w:r>
        <w:rPr>
          <w:rFonts w:ascii="Amiri" w:hAnsi="Amiri" w:eastAsia="Amiri" w:cs="Amiri"/>
          <w:color w:val="111111"/>
          <w:sz w:val="28"/>
          <w:sz w:val="28"/>
          <w:szCs w:val="28"/>
          <w:rtl w:val="true"/>
          <w:lang w:bidi="ar-SA"/>
        </w:rPr>
        <w:t>العبارةِ‌، مع ثُبوتِ معناها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بيّنّا أنّ أهلَ اللغةِ قد سَمَّوا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إليهم المَرجِعُ فيما</w:t>
      </w:r>
      <w:r>
        <w:rPr>
          <w:rStyle w:val="FootnoteAnchor"/>
          <w:rtl w:val="true"/>
        </w:rPr>
        <w:footnoteReference w:id="1323"/>
      </w:r>
      <w:r>
        <w:rPr>
          <w:rFonts w:ascii="Amiri" w:hAnsi="Amiri" w:eastAsia="Amiri" w:cs="Amiri"/>
          <w:color w:val="111111"/>
          <w:sz w:val="28"/>
          <w:sz w:val="28"/>
          <w:szCs w:val="28"/>
          <w:rtl w:val="true"/>
          <w:lang w:bidi="ar-SA"/>
        </w:rPr>
        <w:t>طَريقُه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فَجَعَلَ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خالِقاً</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بصَريحِ القولِ‌؛ و لَو</w:t>
      </w:r>
      <w:r>
        <w:rPr>
          <w:rStyle w:val="FootnoteAnchor"/>
          <w:rtl w:val="true"/>
        </w:rPr>
        <w:footnoteReference w:id="1326"/>
      </w:r>
      <w:r>
        <w:rPr>
          <w:rFonts w:ascii="Amiri" w:hAnsi="Amiri" w:eastAsia="Amiri" w:cs="Amiri"/>
          <w:color w:val="111111"/>
          <w:sz w:val="28"/>
          <w:sz w:val="28"/>
          <w:szCs w:val="28"/>
          <w:rtl w:val="true"/>
          <w:lang w:bidi="ar-SA"/>
        </w:rPr>
        <w:t>كان غيرُه لا يَستَحِقُّ هذا الوصفَ‌، لَم</w:t>
      </w:r>
      <w:r>
        <w:rPr>
          <w:rStyle w:val="FootnoteAnchor"/>
          <w:rtl w:val="true"/>
        </w:rPr>
        <w:footnoteReference w:id="1327"/>
      </w:r>
      <w:r>
        <w:rPr>
          <w:rFonts w:ascii="Amiri" w:hAnsi="Amiri" w:eastAsia="Amiri" w:cs="Amiri"/>
          <w:color w:val="111111"/>
          <w:sz w:val="28"/>
          <w:sz w:val="28"/>
          <w:szCs w:val="28"/>
          <w:rtl w:val="true"/>
          <w:lang w:bidi="ar-SA"/>
        </w:rPr>
        <w:t>يَسُغْ‌</w:t>
      </w:r>
      <w:r>
        <w:rPr>
          <w:rStyle w:val="FootnoteAnchor"/>
          <w:rtl w:val="true"/>
        </w:rPr>
        <w:footnoteReference w:id="1328"/>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أنّه لمّا كانَ لا إلهَ سِواه، لَم يَحَسُنْ أن يَقولَ‌</w:t>
      </w:r>
      <w:r>
        <w:rPr>
          <w:rStyle w:val="FootnoteAnchor"/>
          <w:rtl w:val="true"/>
        </w:rPr>
        <w:footnoteReference w:id="1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الآلِهةِ‌</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استَنكَرَ</w:t>
      </w:r>
      <w:r>
        <w:rPr>
          <w:rStyle w:val="FootnoteAnchor"/>
          <w:rtl w:val="true"/>
        </w:rPr>
        <w:footnoteReference w:id="1331"/>
      </w:r>
      <w:r>
        <w:rPr>
          <w:rFonts w:ascii="Amiri" w:hAnsi="Amiri" w:eastAsia="Amiri" w:cs="Amiri"/>
          <w:color w:val="111111"/>
          <w:sz w:val="28"/>
          <w:sz w:val="28"/>
          <w:szCs w:val="28"/>
          <w:rtl w:val="true"/>
          <w:lang w:bidi="ar-SA"/>
        </w:rPr>
        <w:t xml:space="preserve">أبو القاسمِ البَلخيُّ إطلاقَ القولِ بأنّ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أنّ ذلكَ أَدخَلُ في تعظيمِ اللّٰهِ عَزَّ و جَلَّ‌، و تمييزِه عمّا يَجري مِن الأوصافِ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علىٰ ما ظَنَّه؛ لِما بيّنّاه مِن إطلاقِ هذا الوصفِ علَى العِبادِ في القُرآنِ و استعمالِ أهلِ اللغةِ‌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تَوهَّمَه البَلخيُّ في التمييزِ و التخصيصِ له تَعالىٰ يَنتَقِضُ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بَينَه و بَينَهم</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w:t>
      </w:r>
      <w:r>
        <w:rPr>
          <w:rStyle w:val="FootnoteAnchor"/>
          <w:rtl w:val="true"/>
        </w:rPr>
        <w:footnoteReference w:id="1333"/>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يَصِفُ اللّٰهَ تَعالىٰ بذلكَ‌؛ فإن</w:t>
      </w:r>
      <w:r>
        <w:rPr>
          <w:rStyle w:val="FootnoteAnchor"/>
          <w:rtl w:val="true"/>
        </w:rPr>
        <w:footnoteReference w:id="1334"/>
      </w:r>
      <w:r>
        <w:rPr>
          <w:rFonts w:ascii="Amiri" w:hAnsi="Amiri" w:eastAsia="Amiri" w:cs="Amiri"/>
          <w:color w:val="111111"/>
          <w:sz w:val="28"/>
          <w:sz w:val="28"/>
          <w:szCs w:val="28"/>
          <w:rtl w:val="true"/>
          <w:lang w:bidi="ar-SA"/>
        </w:rPr>
        <w:t>كانَ في الاشتراكِ في الوصفِ بالخَلقِ نَقصٌ و إبطالٌ للتعظيمِ و المَزيّةِ‌، ففي الِاشتراكِ في الوصفِ‌</w:t>
      </w:r>
      <w:r>
        <w:rPr>
          <w:rStyle w:val="FootnoteAnchor"/>
          <w:rtl w:val="true"/>
        </w:rPr>
        <w:footnoteReference w:id="1335"/>
      </w:r>
      <w:r>
        <w:rPr>
          <w:rFonts w:ascii="Amiri" w:hAnsi="Amiri" w:eastAsia="Amiri" w:cs="Amiri"/>
          <w:color w:val="111111"/>
          <w:sz w:val="28"/>
          <w:sz w:val="28"/>
          <w:szCs w:val="28"/>
          <w:rtl w:val="true"/>
          <w:lang w:bidi="ar-SA"/>
        </w:rPr>
        <w:t>بالإنشاءِ و الِاختراعِ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يَعتَذِرُ به البَلخيُّ في الِاختراعِ و الإنشاءِ إلَى المُجبِرةِ يُعتَذَرُ إليه بمِثلِه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336"/>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العِبادِ مخلوقةٌ خَلقَ تقديرٍ، لا خَلقَ 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بأنّها</w:t>
      </w:r>
      <w:r>
        <w:rPr>
          <w:rStyle w:val="FootnoteAnchor"/>
          <w:rtl w:val="true"/>
        </w:rPr>
        <w:footnoteReference w:id="1337"/>
      </w:r>
      <w:r>
        <w:rPr>
          <w:rFonts w:ascii="Amiri" w:hAnsi="Amiri" w:eastAsia="Amiri" w:cs="Amiri"/>
          <w:color w:val="111111"/>
          <w:sz w:val="28"/>
          <w:sz w:val="28"/>
          <w:szCs w:val="28"/>
          <w:rtl w:val="true"/>
          <w:lang w:bidi="ar-SA"/>
        </w:rPr>
        <w:t>مخلوقةٌ للّٰهِ تَعالىٰ علىٰ وجهِ التقديرِ لا التكوينِ‌،</w:t>
      </w:r>
      <w:r>
        <w:rPr>
          <w:rStyle w:val="FootnoteAnchor"/>
          <w:rtl w:val="true"/>
        </w:rPr>
        <w:footnoteReference w:id="1338"/>
      </w:r>
      <w:r>
        <w:rPr>
          <w:rFonts w:ascii="Amiri" w:hAnsi="Amiri" w:eastAsia="Amiri" w:cs="Amiri"/>
          <w:color w:val="111111"/>
          <w:sz w:val="28"/>
          <w:sz w:val="28"/>
          <w:szCs w:val="28"/>
          <w:rtl w:val="true"/>
          <w:lang w:bidi="ar-SA"/>
        </w:rPr>
        <w:t>فلَم يُرِد عليه السلامُ‌</w:t>
      </w:r>
      <w:r>
        <w:rPr>
          <w:rStyle w:val="FootnoteAnchor"/>
          <w:rtl w:val="true"/>
        </w:rPr>
        <w:footnoteReference w:id="1339"/>
      </w:r>
      <w:r>
        <w:rPr>
          <w:rFonts w:ascii="Amiri" w:hAnsi="Amiri" w:eastAsia="Amiri" w:cs="Amiri"/>
          <w:color w:val="111111"/>
          <w:sz w:val="28"/>
          <w:sz w:val="28"/>
          <w:szCs w:val="28"/>
          <w:rtl w:val="true"/>
          <w:lang w:bidi="ar-SA"/>
        </w:rPr>
        <w:t>أنّها مخلوقةٌ للعِبادِ علىٰ أحَدِ الوجهَينِ لا الآخَرِ؛ لأنّه عليه السلامُ لَو أرادَ ذلكَ لم يَكُن صَحيحاً؛ لأنّ أفعالَ العِبادِ مخلوقةٌ لهم خَلقَ تقديرٍ و تكوينٍ مَعاً، و مَن المُكوِّنُ‌</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العَبدِ سِواه‌؟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معنىٰ إضافةِ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المَرويِّ عنه</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إلىٰ أنّها مخلوقةٌ للّٰهِ تَعالىٰ خَلقَ تقديرٍ، فَجارٍ علىٰ ما قَدَّمنا بيانَه، مِن أنّه تَعالىٰ لمّا كانَ مُبيِّناً لها، مُفصِّلاً</w:t>
      </w:r>
      <w:r>
        <w:rPr>
          <w:rStyle w:val="FootnoteAnchor"/>
          <w:rtl w:val="true"/>
        </w:rPr>
        <w:footnoteReference w:id="1342"/>
      </w:r>
      <w:r>
        <w:rPr>
          <w:rFonts w:ascii="Amiri" w:hAnsi="Amiri" w:eastAsia="Amiri" w:cs="Amiri"/>
          <w:color w:val="111111"/>
          <w:sz w:val="28"/>
          <w:sz w:val="28"/>
          <w:szCs w:val="28"/>
          <w:rtl w:val="true"/>
          <w:lang w:bidi="ar-SA"/>
        </w:rPr>
        <w:t>لحَسَنِها مِن قَبيحِها،</w:t>
      </w:r>
      <w:r>
        <w:rPr>
          <w:rStyle w:val="FootnoteAnchor"/>
          <w:rtl w:val="true"/>
        </w:rPr>
        <w:footnoteReference w:id="1343"/>
      </w:r>
      <w:r>
        <w:rPr>
          <w:rFonts w:ascii="Amiri" w:hAnsi="Amiri" w:eastAsia="Amiri" w:cs="Amiri"/>
          <w:color w:val="111111"/>
          <w:sz w:val="28"/>
          <w:sz w:val="28"/>
          <w:szCs w:val="28"/>
          <w:rtl w:val="true"/>
          <w:lang w:bidi="ar-SA"/>
        </w:rPr>
        <w:t>مميِّزاً خَيرَها مِن شَرِّها، كانَ بذلكَ مُقدِّراً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مُقدِّراً،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خالقٌ لها؛ كَما قالوا في مُقدِّرِ الأَديمِ و مُرتِّبِه</w:t>
      </w:r>
      <w:r>
        <w:rPr>
          <w:rStyle w:val="FootnoteAnchor"/>
          <w:rtl w:val="true"/>
        </w:rPr>
        <w:footnoteReference w:id="1344"/>
      </w:r>
      <w:r>
        <w:rPr>
          <w:rFonts w:ascii="Amiri" w:hAnsi="Amiri" w:eastAsia="Amiri" w:cs="Amiri"/>
          <w:color w:val="111111"/>
          <w:sz w:val="28"/>
          <w:sz w:val="28"/>
          <w:szCs w:val="28"/>
          <w:rtl w:val="true"/>
          <w:lang w:bidi="ar-SA"/>
        </w:rPr>
        <w:t xml:space="preserve">و مُبيِّنِ ما يَجيءُ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مَزادةٍ‌</w:t>
      </w:r>
      <w:r>
        <w:rPr>
          <w:rStyle w:val="FootnoteAnchor"/>
          <w:rtl w:val="true"/>
        </w:rPr>
        <w:footnoteReference w:id="1345"/>
      </w:r>
      <w:r>
        <w:rPr>
          <w:rFonts w:ascii="Amiri" w:hAnsi="Amiri" w:eastAsia="Amiri" w:cs="Amiri"/>
          <w:color w:val="111111"/>
          <w:sz w:val="28"/>
          <w:sz w:val="28"/>
          <w:szCs w:val="28"/>
          <w:rtl w:val="true"/>
          <w:lang w:bidi="ar-SA"/>
        </w:rPr>
        <w:t>أو غيرِها</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في الخبرِ بالمعنَى الذي أشَرنا إليه، و أَعرَبَ عنه أحسَنَ إعرابٍ‌؛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تقديرٍ، لا خَلقَ 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 أمرَينِ‌، لا جَبَر و 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Style w:val="FootnoteAnchor"/>
          <w:rtl w:val="true"/>
        </w:rPr>
        <w:footnoteReference w:id="1347"/>
      </w:r>
      <w:r>
        <w:rPr>
          <w:rFonts w:ascii="Amiri" w:hAnsi="Amiri" w:eastAsia="Amiri" w:cs="Amiri"/>
          <w:color w:val="111111"/>
          <w:sz w:val="28"/>
          <w:sz w:val="28"/>
          <w:szCs w:val="28"/>
          <w:rtl w:val="true"/>
          <w:lang w:bidi="ar-SA"/>
        </w:rPr>
        <w:t>حَسَن التخليصِ‌</w:t>
      </w:r>
      <w:r>
        <w:rPr>
          <w:rStyle w:val="FootnoteAnchor"/>
          <w:rtl w:val="true"/>
        </w:rPr>
        <w:footnoteReference w:id="1348"/>
      </w:r>
      <w:r>
        <w:rPr>
          <w:rFonts w:ascii="Amiri" w:hAnsi="Amiri" w:eastAsia="Amiri" w:cs="Amiri"/>
          <w:color w:val="111111"/>
          <w:sz w:val="28"/>
          <w:sz w:val="28"/>
          <w:szCs w:val="28"/>
          <w:rtl w:val="true"/>
          <w:lang w:bidi="ar-SA"/>
        </w:rPr>
        <w:t xml:space="preserve">و التمييزِ للحَقِّ مِن الباطلِ‌؛ لأنّ العِبادَ غيرُ مُجبَرينَ على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أَنعَمَ‌</w:t>
      </w:r>
      <w:r>
        <w:rPr>
          <w:rStyle w:val="FootnoteAnchor"/>
          <w:rtl w:val="true"/>
        </w:rPr>
        <w:footnoteReference w:id="1349"/>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مُختارونَ لها، و مُوقِعونَ لجَميعِها بحَسَبِ إيثارِهم و دَواعيهِم؛ و قد لَوَّحنا في صَدرِ هذه المَسألةِ بالدَّلالةِ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أنّهم، و إن كانوا غيرَ مُجبَرينَ‌، فالأمرُ في أفعالِهم غيرُ مُفوَّضٍ إليهم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لَو لَم يُقدِرْهم و يُمكِّنْهم بالآلاتِ و غيرِها، لَما تَمكَّنوا مِن تلكَ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عليه السلامُ مِن أن يَقتَصِرَ علىٰ نفيِ الإجبارِ عنهم؛ فيُظَنَّ أنّهم مُستَقِلّونَ بنُفوسِهم، و أنّهم غيرُ مُحتاجينَ إلَى اللّٰهِ تَعالىٰ في تلكَ الأفعالِ‌، فنَفَى التفويضَ‌؛ لِيُعلَمَ أنّ الأمرَ في تَمكُّنِهم و إقدارِهم لَيسَ إليهم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بنَفيِ التفويضِ أنّ الأمرَ في تمييزِ هذه الأفعالِ و ترتيبِها و تبيينِ‌</w:t>
      </w:r>
      <w:r>
        <w:rPr>
          <w:rStyle w:val="FootnoteAnchor"/>
          <w:rtl w:val="true"/>
        </w:rPr>
        <w:footnoteReference w:id="1350"/>
      </w:r>
      <w:r>
        <w:rPr>
          <w:rFonts w:ascii="Amiri" w:hAnsi="Amiri" w:eastAsia="Amiri" w:cs="Amiri"/>
          <w:color w:val="111111"/>
          <w:sz w:val="28"/>
          <w:sz w:val="28"/>
          <w:szCs w:val="28"/>
          <w:rtl w:val="true"/>
          <w:lang w:bidi="ar-SA"/>
        </w:rPr>
        <w:t>حَسَنِها مِن قَبيحِها</w:t>
      </w:r>
      <w:r>
        <w:rPr>
          <w:rStyle w:val="FootnoteAnchor"/>
          <w:rtl w:val="true"/>
        </w:rPr>
        <w:footnoteReference w:id="1351"/>
      </w:r>
      <w:r>
        <w:rPr>
          <w:rFonts w:ascii="Amiri" w:hAnsi="Amiri" w:eastAsia="Amiri" w:cs="Amiri"/>
          <w:color w:val="111111"/>
          <w:sz w:val="28"/>
          <w:sz w:val="28"/>
          <w:szCs w:val="28"/>
          <w:rtl w:val="true"/>
          <w:lang w:bidi="ar-SA"/>
        </w:rPr>
        <w:t>، و واجبِها مِن نَدبِها لَيسَ مُفوَّضاً</w:t>
      </w:r>
      <w:r>
        <w:rPr>
          <w:rStyle w:val="FootnoteAnchor"/>
          <w:rtl w:val="true"/>
        </w:rPr>
        <w:footnoteReference w:id="1352"/>
      </w:r>
      <w:r>
        <w:rPr>
          <w:rFonts w:ascii="Amiri" w:hAnsi="Amiri" w:eastAsia="Amiri" w:cs="Amiri"/>
          <w:color w:val="111111"/>
          <w:sz w:val="28"/>
          <w:sz w:val="28"/>
          <w:szCs w:val="28"/>
          <w:rtl w:val="true"/>
          <w:lang w:bidi="ar-SA"/>
        </w:rPr>
        <w:t xml:space="preserve">إليهم؛ بَل </w:t>
      </w:r>
    </w:p>
    <w:p>
      <w:pPr>
        <w:pStyle w:val="BookText"/>
        <w:rPr/>
      </w:pPr>
      <w:r>
        <w:rPr>
          <w:rFonts w:ascii="Amiri" w:hAnsi="Amiri" w:eastAsia="Amiri" w:cs="Amiri"/>
          <w:color w:val="111111"/>
          <w:sz w:val="28"/>
          <w:sz w:val="28"/>
          <w:szCs w:val="28"/>
          <w:rtl w:val="true"/>
          <w:lang w:bidi="ar-SA"/>
        </w:rPr>
        <w:t>هو ممّا يَختَصُّ اللّٰهُ عَزَّ و جَلَّ بالدَّلالةِ عليه و الإرشادِ إليه</w:t>
      </w:r>
      <w:r>
        <w:rPr>
          <w:rFonts w:eastAsia="Amiri" w:cs="Amiri" w:ascii="Amiri" w:hAnsi="Amiri"/>
          <w:color w:val="111111"/>
          <w:sz w:val="28"/>
          <w:szCs w:val="28"/>
          <w:rtl w:val="true"/>
          <w:lang w:bidi="ar-SA"/>
        </w:rPr>
        <w:t>.</w:t>
      </w:r>
      <w:r>
        <w:rPr>
          <w:rStyle w:val="FootnoteAnchor"/>
          <w:rtl w:val="true"/>
        </w:rPr>
        <w:footnoteReference w:id="135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أشبَهُ بالجُملةِ الأُولىٰ مِن الكلامِ‌، و تَعلُّقِ معنىٰ آخِرِ الخبرِ بأوّلِه؛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مخلوقةٌ خَلقَ تقديرٍ، لا 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أَتبَعَ الكلامَ علىٰ سَبيلِ التفسيرِ و الإيضاحِ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 أمرَينِ‌، لاجَبرَ و لا تفويضَ‌</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لِنَفيِ‌</w:t>
      </w:r>
      <w:r>
        <w:rPr>
          <w:rStyle w:val="FootnoteAnchor"/>
          <w:rtl w:val="true"/>
        </w:rPr>
        <w:footnoteReference w:id="1356"/>
      </w:r>
      <w:r>
        <w:rPr>
          <w:rFonts w:ascii="Amiri" w:hAnsi="Amiri" w:eastAsia="Amiri" w:cs="Amiri"/>
          <w:color w:val="111111"/>
          <w:sz w:val="28"/>
          <w:sz w:val="28"/>
          <w:szCs w:val="28"/>
          <w:rtl w:val="true"/>
          <w:lang w:bidi="ar-SA"/>
        </w:rPr>
        <w:t>الخَلقِ علىٰ سَبيلِ التكوينِ‌،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إثباتِ‌</w:t>
      </w:r>
      <w:r>
        <w:rPr>
          <w:rStyle w:val="FootnoteAnchor"/>
          <w:rtl w:val="true"/>
        </w:rPr>
        <w:footnoteReference w:id="1357"/>
      </w:r>
      <w:r>
        <w:rPr>
          <w:rFonts w:ascii="Amiri" w:hAnsi="Amiri" w:eastAsia="Amiri" w:cs="Amiri"/>
          <w:color w:val="111111"/>
          <w:sz w:val="28"/>
          <w:sz w:val="28"/>
          <w:szCs w:val="28"/>
          <w:rtl w:val="true"/>
          <w:lang w:bidi="ar-SA"/>
        </w:rPr>
        <w:t>الخَلقِ علىٰ سَبيلِ التقديرِ، و تنبيهٌ‌</w:t>
      </w:r>
      <w:r>
        <w:rPr>
          <w:rStyle w:val="FootnoteAnchor"/>
          <w:rtl w:val="true"/>
        </w:rPr>
        <w:footnoteReference w:id="1358"/>
      </w:r>
      <w:r>
        <w:rPr>
          <w:rFonts w:ascii="Amiri" w:hAnsi="Amiri" w:eastAsia="Amiri" w:cs="Amiri"/>
          <w:color w:val="111111"/>
          <w:sz w:val="28"/>
          <w:sz w:val="28"/>
          <w:szCs w:val="28"/>
          <w:rtl w:val="true"/>
          <w:lang w:bidi="ar-SA"/>
        </w:rPr>
        <w:t xml:space="preserve">علىٰ أنّ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w:t>
      </w:r>
      <w:r>
        <w:rPr>
          <w:rFonts w:eastAsia="Amiri" w:cs="Amiri" w:ascii="Amiri" w:hAnsi="Amiri"/>
          <w:color w:val="111111"/>
          <w:sz w:val="28"/>
          <w:szCs w:val="28"/>
          <w:rtl w:val="true"/>
          <w:lang w:bidi="ar-SA"/>
        </w:rPr>
        <w:t>.</w:t>
      </w:r>
      <w:r>
        <w:rPr>
          <w:rStyle w:val="FootnoteAnchor"/>
          <w:rtl w:val="true"/>
        </w:rPr>
        <w:footnoteReference w:id="1359"/>
      </w:r>
      <w:bookmarkStart w:id="252" w:name="pg16415_223882"/>
    </w:p>
    <w:p>
      <w:pPr>
        <w:pStyle w:val="Heading6"/>
        <w:numPr>
          <w:ilvl w:val="5"/>
          <w:numId w:val="1"/>
        </w:numPr>
        <w:rPr/>
      </w:pPr>
      <w:bookmarkStart w:id="253" w:name="__RefHeading___Toc7642402_1280447820"/>
      <w:bookmarkStart w:id="254" w:name="_Toc88"/>
      <w:bookmarkEnd w:id="252"/>
      <w:bookmarkEnd w:id="253"/>
      <w:r>
        <w:rPr>
          <w:rtl w:val="true"/>
        </w:rPr>
        <w:t>المَسألةُ الثانيةُ عَدَمُ إرادةِ اللّٰهِ تَعالَى المَعاصيَ و القَبائحَ‌</w:t>
      </w:r>
      <w:bookmarkEnd w:id="254"/>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w:t>
      </w:r>
      <w:r>
        <w:rPr>
          <w:rStyle w:val="FootnoteAnchor"/>
          <w:rtl w:val="true"/>
        </w:rPr>
        <w:footnoteReference w:id="1360"/>
      </w:r>
      <w:r>
        <w:rPr>
          <w:rFonts w:ascii="Amiri" w:hAnsi="Amiri" w:eastAsia="Amiri" w:cs="Amiri"/>
          <w:color w:val="111111"/>
          <w:sz w:val="28"/>
          <w:sz w:val="28"/>
          <w:szCs w:val="28"/>
          <w:rtl w:val="true"/>
          <w:lang w:bidi="ar-SA"/>
        </w:rPr>
        <w:t>المَعاصي بإرادةِ اللّٰهِ عَزَّ و جَلَّ و مَشيئتِه، أَم لا تَكونُ‌</w:t>
      </w:r>
      <w:r>
        <w:rPr>
          <w:rStyle w:val="FootnoteAnchor"/>
          <w:rtl w:val="true"/>
        </w:rPr>
        <w:footnoteReference w:id="1361"/>
      </w:r>
      <w:r>
        <w:rPr>
          <w:rFonts w:ascii="Amiri" w:hAnsi="Amiri" w:eastAsia="Amiri" w:cs="Amiri"/>
          <w:color w:val="111111"/>
          <w:sz w:val="28"/>
          <w:sz w:val="28"/>
          <w:szCs w:val="28"/>
          <w:rtl w:val="true"/>
          <w:lang w:bidi="ar-SA"/>
        </w:rPr>
        <w:t>بإرادةِ اللّٰهِ؟ و هَل شاءَها تَعالىٰ و رَضيَها،</w:t>
      </w:r>
      <w:r>
        <w:rPr>
          <w:rStyle w:val="FootnoteAnchor"/>
          <w:rtl w:val="true"/>
        </w:rPr>
        <w:footnoteReference w:id="1362"/>
      </w:r>
      <w:r>
        <w:rPr>
          <w:rFonts w:ascii="Amiri" w:hAnsi="Amiri" w:eastAsia="Amiri" w:cs="Amiri"/>
          <w:color w:val="111111"/>
          <w:sz w:val="28"/>
          <w:sz w:val="28"/>
          <w:szCs w:val="28"/>
          <w:rtl w:val="true"/>
          <w:lang w:bidi="ar-SA"/>
        </w:rPr>
        <w:t>أم شاءَها و لَم يَرضَها؟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لَم يُرِد شَيئاً مِن المَعاصي و القَبائحِ‌، و لا يَجوزُ أن يُريدَها و لا يَشاءَها و لا يَرضاها؛ بَل هو تَعالىٰ كارهٌ ساخِطٌ</w:t>
      </w:r>
      <w:r>
        <w:rPr>
          <w:rStyle w:val="FootnoteAnchor"/>
          <w:rtl w:val="true"/>
        </w:rPr>
        <w:footnoteReference w:id="1364"/>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سائرِ القَبائحِ و المَعاصي،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إنّما يَكونُ نَهياً بكَراهِيَةِ‌</w:t>
      </w:r>
      <w:r>
        <w:rPr>
          <w:rStyle w:val="FootnoteAnchor"/>
          <w:rtl w:val="true"/>
        </w:rPr>
        <w:footnoteReference w:id="1365"/>
      </w:r>
      <w:r>
        <w:rPr>
          <w:rFonts w:ascii="Amiri" w:hAnsi="Amiri" w:eastAsia="Amiri" w:cs="Amiri"/>
          <w:color w:val="111111"/>
          <w:sz w:val="28"/>
          <w:sz w:val="28"/>
          <w:szCs w:val="28"/>
          <w:rtl w:val="true"/>
          <w:lang w:bidi="ar-SA"/>
        </w:rPr>
        <w:t>الناهي للفِعلِ المَنهيِّ عنه؛ و قد بُيِّنَ ذلكَ في الكُتُبِ‌،</w:t>
      </w:r>
      <w:r>
        <w:rPr>
          <w:rStyle w:val="FootnoteAnchor"/>
          <w:rtl w:val="true"/>
        </w:rPr>
        <w:footnoteReference w:id="1366"/>
      </w:r>
      <w:r>
        <w:rPr>
          <w:rFonts w:ascii="Amiri" w:hAnsi="Amiri" w:eastAsia="Amiri" w:cs="Amiri"/>
          <w:color w:val="111111"/>
          <w:sz w:val="28"/>
          <w:sz w:val="28"/>
          <w:szCs w:val="28"/>
          <w:rtl w:val="true"/>
          <w:lang w:bidi="ar-SA"/>
        </w:rPr>
        <w:t>و الأمرُ فيه واضحٌ لائِحٌ‌</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ترى أنّ أحَدَنا لا يَجوزُ أن يَنهىٰ إلّا</w:t>
      </w:r>
      <w:r>
        <w:rPr>
          <w:rStyle w:val="FootnoteAnchor"/>
          <w:rtl w:val="true"/>
        </w:rPr>
        <w:footnoteReference w:id="1368"/>
      </w:r>
      <w:r>
        <w:rPr>
          <w:rFonts w:ascii="Amiri" w:hAnsi="Amiri" w:eastAsia="Amiri" w:cs="Amiri"/>
          <w:color w:val="111111"/>
          <w:sz w:val="28"/>
          <w:sz w:val="28"/>
          <w:szCs w:val="28"/>
          <w:rtl w:val="true"/>
          <w:lang w:bidi="ar-SA"/>
        </w:rPr>
        <w:t>عمّا يَكرَهُه‌؟ فلَو كانَ النهيُ في كَونِه نَهياً غيرَ مُفتَقِرٍ إلَى الكَراهِيَةِ‌</w:t>
      </w:r>
      <w:r>
        <w:rPr>
          <w:rStyle w:val="FootnoteAnchor"/>
          <w:rtl w:val="true"/>
        </w:rPr>
        <w:footnoteReference w:id="1369"/>
      </w:r>
      <w:r>
        <w:rPr>
          <w:rFonts w:ascii="Amiri" w:hAnsi="Amiri" w:eastAsia="Amiri" w:cs="Amiri"/>
          <w:color w:val="111111"/>
          <w:sz w:val="28"/>
          <w:sz w:val="28"/>
          <w:szCs w:val="28"/>
          <w:rtl w:val="true"/>
          <w:lang w:bidi="ar-SA"/>
        </w:rPr>
        <w:t>لَم يَجِبْ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w:t>
      </w:r>
      <w:r>
        <w:rPr>
          <w:rStyle w:val="FootnoteAnchor"/>
          <w:rtl w:val="true"/>
        </w:rPr>
        <w:footnoteReference w:id="1370"/>
      </w:r>
      <w:r>
        <w:rPr>
          <w:rFonts w:ascii="Amiri" w:hAnsi="Amiri" w:eastAsia="Amiri" w:cs="Amiri"/>
          <w:color w:val="111111"/>
          <w:sz w:val="28"/>
          <w:sz w:val="28"/>
          <w:szCs w:val="28"/>
          <w:rtl w:val="true"/>
          <w:lang w:bidi="ar-SA"/>
        </w:rPr>
        <w:t>لا فَرقَ بَين قولِ أحَدِنا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ناهياً له،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كارهٌ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آمِراً له،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مُريدٌ منكَ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 لجَميعِ المَعاصي و القَبائحِ‌، مِن حَيثُ كانَ ناهياً عنها</w:t>
      </w:r>
      <w:r>
        <w:rPr>
          <w:rStyle w:val="FootnoteAnchor"/>
          <w:rtl w:val="true"/>
        </w:rPr>
        <w:footnoteReference w:id="1371"/>
      </w:r>
      <w:r>
        <w:rPr>
          <w:rFonts w:ascii="Amiri" w:hAnsi="Amiri" w:eastAsia="Amiri" w:cs="Amiri"/>
          <w:color w:val="111111"/>
          <w:sz w:val="28"/>
          <w:sz w:val="28"/>
          <w:szCs w:val="28"/>
          <w:rtl w:val="true"/>
          <w:lang w:bidi="ar-SA"/>
        </w:rPr>
        <w:t>، استَحالَ أن يَكونَ مُريداً لها؛</w:t>
      </w:r>
      <w:r>
        <w:rPr>
          <w:rStyle w:val="FootnoteAnchor"/>
          <w:rtl w:val="true"/>
        </w:rPr>
        <w:footnoteReference w:id="1372"/>
      </w:r>
      <w:r>
        <w:rPr>
          <w:rFonts w:ascii="Amiri" w:hAnsi="Amiri" w:eastAsia="Amiri" w:cs="Amiri"/>
          <w:color w:val="111111"/>
          <w:sz w:val="28"/>
          <w:sz w:val="28"/>
          <w:szCs w:val="28"/>
          <w:rtl w:val="true"/>
          <w:lang w:bidi="ar-SA"/>
        </w:rPr>
        <w:t>لِاستحالةِ أن يَكونَ مُريداً</w:t>
      </w:r>
      <w:r>
        <w:rPr>
          <w:rStyle w:val="FootnoteAnchor"/>
          <w:rtl w:val="true"/>
        </w:rPr>
        <w:footnoteReference w:id="1373"/>
      </w:r>
      <w:r>
        <w:rPr>
          <w:rFonts w:ascii="Amiri" w:hAnsi="Amiri" w:eastAsia="Amiri" w:cs="Amiri"/>
          <w:color w:val="111111"/>
          <w:sz w:val="28"/>
          <w:sz w:val="28"/>
          <w:szCs w:val="28"/>
          <w:rtl w:val="true"/>
          <w:lang w:bidi="ar-SA"/>
        </w:rPr>
        <w:t>كارِهاً للأمرِ الواحدِ علىٰ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مُريداً للقَبيحِ‌، لَوَجَبَ أن يَكونَ علىٰ صفةِ نَقصٍ‌</w:t>
      </w:r>
      <w:r>
        <w:rPr>
          <w:rStyle w:val="FootnoteAnchor"/>
          <w:rtl w:val="true"/>
        </w:rPr>
        <w:footnoteReference w:id="1374"/>
      </w:r>
      <w:r>
        <w:rPr>
          <w:rFonts w:ascii="Amiri" w:hAnsi="Amiri" w:eastAsia="Amiri" w:cs="Amiri"/>
          <w:color w:val="111111"/>
          <w:sz w:val="28"/>
          <w:sz w:val="28"/>
          <w:szCs w:val="28"/>
          <w:rtl w:val="true"/>
          <w:lang w:bidi="ar-SA"/>
        </w:rPr>
        <w:t xml:space="preserve">إن كانَ مُريداً له بِلا إرادةٍ‌، و إن كانَ مُريداً له بإرادةٍ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يَفعَلُها، 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فاعلاً لقَبيحٍ‌؛ لأنّ إرادةَ القَبيحِ قَبيحةٌ‌، و فاعلَها فاعلُ القَبيحِ و مُستَحِقٌّ للذمِّ‌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r>
        <w:rPr>
          <w:rStyle w:val="FootnoteAnchor"/>
          <w:rtl w:val="true"/>
        </w:rPr>
        <w:footnoteReference w:id="1375"/>
      </w:r>
      <w:r>
        <w:rPr>
          <w:rFonts w:ascii="Amiri" w:hAnsi="Amiri" w:eastAsia="Amiri" w:cs="Amiri"/>
          <w:color w:val="111111"/>
          <w:sz w:val="28"/>
          <w:sz w:val="28"/>
          <w:szCs w:val="28"/>
          <w:rtl w:val="true"/>
          <w:lang w:bidi="ar-SA"/>
        </w:rPr>
        <w:t>خِلافَ في ذلكَ في الشاهِدِ،</w:t>
      </w:r>
      <w:r>
        <w:rPr>
          <w:rStyle w:val="FootnoteAnchor"/>
          <w:rtl w:val="true"/>
        </w:rPr>
        <w:footnoteReference w:id="1376"/>
      </w:r>
      <w:r>
        <w:rPr>
          <w:rFonts w:ascii="Amiri" w:hAnsi="Amiri" w:eastAsia="Amiri" w:cs="Amiri"/>
          <w:color w:val="111111"/>
          <w:sz w:val="28"/>
          <w:sz w:val="28"/>
          <w:szCs w:val="28"/>
          <w:rtl w:val="true"/>
          <w:lang w:bidi="ar-SA"/>
        </w:rPr>
        <w:t>كَما لا خِلافَ في قُبحِ الظلمِ مِن أحَدِنا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يَدَّعي مُخالِفونا حُسنَ إرادةِ القَبيحِ‌</w:t>
      </w:r>
      <w:r>
        <w:rPr>
          <w:rStyle w:val="FootnoteAnchor"/>
          <w:rtl w:val="true"/>
        </w:rPr>
        <w:footnoteReference w:id="1377"/>
      </w:r>
      <w:r>
        <w:rPr>
          <w:rFonts w:ascii="Amiri" w:hAnsi="Amiri" w:eastAsia="Amiri" w:cs="Amiri"/>
          <w:color w:val="111111"/>
          <w:sz w:val="28"/>
          <w:sz w:val="28"/>
          <w:szCs w:val="28"/>
          <w:rtl w:val="true"/>
          <w:lang w:bidi="ar-SA"/>
        </w:rPr>
        <w:t xml:space="preserve">إذا كانَت مِن فِعلِه تَعالىٰ‌، كما </w:t>
      </w:r>
    </w:p>
    <w:p>
      <w:pPr>
        <w:pStyle w:val="BookText"/>
        <w:rPr/>
      </w:pPr>
      <w:r>
        <w:rPr>
          <w:rFonts w:ascii="Amiri" w:hAnsi="Amiri" w:eastAsia="Amiri" w:cs="Amiri"/>
          <w:color w:val="111111"/>
          <w:sz w:val="28"/>
          <w:sz w:val="28"/>
          <w:szCs w:val="28"/>
          <w:rtl w:val="true"/>
          <w:lang w:bidi="ar-SA"/>
        </w:rPr>
        <w:t>يَدَّعونَ حُسنَ‌</w:t>
      </w:r>
      <w:r>
        <w:rPr>
          <w:rStyle w:val="FootnoteAnchor"/>
          <w:rtl w:val="true"/>
        </w:rPr>
        <w:footnoteReference w:id="1378"/>
      </w:r>
      <w:r>
        <w:rPr>
          <w:rFonts w:ascii="IRNazanin" w:hAnsi="IRNazanin" w:eastAsia="IRNazanin"/>
          <w:color w:val="111111"/>
          <w:sz w:val="28"/>
          <w:sz w:val="28"/>
          <w:szCs w:val="28"/>
          <w:rtl w:val="true"/>
          <w:lang w:bidi="fa-IR"/>
        </w:rPr>
        <w:t>ما له</w:t>
      </w:r>
      <w:r>
        <w:rPr>
          <w:rStyle w:val="FootnoteAnchor"/>
          <w:rtl w:val="true"/>
        </w:rPr>
        <w:footnoteReference w:id="1379"/>
      </w:r>
      <w:r>
        <w:rPr>
          <w:rFonts w:ascii="Amiri" w:hAnsi="Amiri" w:eastAsia="Amiri" w:cs="Amiri"/>
          <w:color w:val="111111"/>
          <w:sz w:val="28"/>
          <w:sz w:val="28"/>
          <w:szCs w:val="28"/>
          <w:rtl w:val="true"/>
          <w:lang w:bidi="ar-SA"/>
        </w:rPr>
        <w:t>صفةُ الظلمِ مِن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باطلٌ بما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أكَّدَ السمعُ دليلَ العقلِ‌؛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و إذا كانَ خَلَقَهم للعبادةِ‌، فلا يَجوزُ أن يُريدَ منهم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و لَو كانَ مُريداً له لَكانَ شائياً له و 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المُسلِمونَ علىٰ أنّه تَعالىٰ لا يَرضىٰ أن يُكفَرَ به، و يُشتَمَ أولياؤه، و يُكذَّبَ أنبياؤه و يُفتَرىٰ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تَعلُّقُ المُخالِفِ بأنّه لَو حَدَثَ مِن العبادِ ما لا يُريدُه تَعالىٰ‌، لَدَلَّ ذلكَ علىٰ ضَعفِه</w:t>
      </w:r>
      <w:r>
        <w:rPr>
          <w:rStyle w:val="FootnoteAnchor"/>
          <w:rtl w:val="true"/>
        </w:rPr>
        <w:footnoteReference w:id="1385"/>
      </w:r>
      <w:r>
        <w:rPr>
          <w:rFonts w:ascii="Amiri" w:hAnsi="Amiri" w:eastAsia="Amiri" w:cs="Amiri"/>
          <w:color w:val="111111"/>
          <w:sz w:val="28"/>
          <w:sz w:val="28"/>
          <w:szCs w:val="28"/>
          <w:rtl w:val="true"/>
          <w:lang w:bidi="ar-SA"/>
        </w:rPr>
        <w:t>قياساً علىٰ رَعيّةِ المَلِكِ إذا فَعَلوا ما يَكرَهُه و لا</w:t>
      </w:r>
      <w:r>
        <w:rPr>
          <w:rStyle w:val="FootnoteAnchor"/>
          <w:rtl w:val="true"/>
        </w:rPr>
        <w:footnoteReference w:id="1386"/>
      </w:r>
      <w:r>
        <w:rPr>
          <w:rFonts w:ascii="Amiri" w:hAnsi="Amiri" w:eastAsia="Amiri" w:cs="Amiri"/>
          <w:color w:val="111111"/>
          <w:sz w:val="28"/>
          <w:sz w:val="28"/>
          <w:szCs w:val="28"/>
          <w:rtl w:val="true"/>
          <w:lang w:bidi="ar-SA"/>
        </w:rPr>
        <w:t>يُريدُه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فباطلٌ‌؛ الجوابُ عنه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لهم أنّ جميعَ ما يُريدُه المَلِكُ مِن رَعيّتِه إذا </w:t>
      </w:r>
    </w:p>
    <w:p>
      <w:pPr>
        <w:pStyle w:val="BookText"/>
        <w:rPr/>
      </w:pPr>
      <w:r>
        <w:rPr>
          <w:rFonts w:ascii="Amiri" w:hAnsi="Amiri" w:eastAsia="Amiri" w:cs="Amiri"/>
          <w:color w:val="111111"/>
          <w:sz w:val="28"/>
          <w:sz w:val="28"/>
          <w:szCs w:val="28"/>
          <w:rtl w:val="true"/>
          <w:lang w:bidi="ar-SA"/>
        </w:rPr>
        <w:t>وَقَعَ منهم خِلافُه دَلَّ‌</w:t>
      </w:r>
      <w:r>
        <w:rPr>
          <w:rStyle w:val="FootnoteAnchor"/>
          <w:rtl w:val="true"/>
        </w:rPr>
        <w:footnoteReference w:id="1387"/>
      </w:r>
      <w:r>
        <w:rPr>
          <w:rFonts w:ascii="Amiri" w:hAnsi="Amiri" w:eastAsia="Amiri" w:cs="Amiri"/>
          <w:color w:val="111111"/>
          <w:sz w:val="28"/>
          <w:sz w:val="28"/>
          <w:szCs w:val="28"/>
          <w:rtl w:val="true"/>
          <w:lang w:bidi="ar-SA"/>
        </w:rPr>
        <w:t>علىٰ ضَعفِه؛ لأنّه لو أرادَ منهم ما يَعودُ صَلاحُه و نَفعُه عليهم لا عليه، لَم يَكُن في ارتفاعِه و وقوعِ خِلافِه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رَعيّةَ المَلِكِ المُسلِمِ يُريدُ مِن جميعِهم أن يَكونوا علىٰ دينِه، لا لنَفعٍ يَرجِعُ إليه، بَل إليهم، و قد يَكونُ مِن جُملتِهم اليَهودُ و النصارىٰ و المُخالِفُ لدينِ الإسلامِ‌، و لا يَكونُ في تَمسُّكِ هؤلاءِ بأديانِهم و اختلافِهم إلىٰ ثُبوتِ عاداتِهم</w:t>
      </w:r>
      <w:r>
        <w:rPr>
          <w:rStyle w:val="FootnoteAnchor"/>
          <w:rtl w:val="true"/>
        </w:rPr>
        <w:footnoteReference w:id="1388"/>
      </w:r>
      <w:r>
        <w:rPr>
          <w:rFonts w:ascii="Amiri" w:hAnsi="Amiri" w:eastAsia="Amiri" w:cs="Amiri"/>
          <w:color w:val="111111"/>
          <w:sz w:val="28"/>
          <w:sz w:val="28"/>
          <w:szCs w:val="28"/>
          <w:rtl w:val="true"/>
          <w:lang w:bidi="ar-SA"/>
        </w:rPr>
        <w:t>دَلالةٌ علىٰ ضَعفِ مَلِكِهم و نَقصِه‌؟</w:t>
      </w:r>
    </w:p>
    <w:p>
      <w:pPr>
        <w:pStyle w:val="BookText"/>
        <w:rPr/>
      </w:pPr>
      <w:r>
        <w:rPr>
          <w:rFonts w:ascii="Amiri" w:hAnsi="Amiri" w:eastAsia="Amiri" w:cs="Amiri"/>
          <w:color w:val="111111"/>
          <w:sz w:val="28"/>
          <w:sz w:val="28"/>
          <w:szCs w:val="28"/>
          <w:rtl w:val="true"/>
          <w:lang w:bidi="ar-SA"/>
        </w:rPr>
        <w:t>و إنّما يَضعُفُ المَلِكُ بخِلافِ رَعيّتِه له إذا كانَ مُتكثِّراً بطاعتِهم، مُنتَفِعاً بنُصرتِهم، مُعْتَضِداً</w:t>
      </w:r>
      <w:r>
        <w:rPr>
          <w:rStyle w:val="FootnoteAnchor"/>
          <w:rtl w:val="true"/>
        </w:rPr>
        <w:footnoteReference w:id="1389"/>
      </w:r>
      <w:r>
        <w:rPr>
          <w:rFonts w:ascii="Amiri" w:hAnsi="Amiri" w:eastAsia="Amiri" w:cs="Amiri"/>
          <w:color w:val="111111"/>
          <w:sz w:val="28"/>
          <w:sz w:val="28"/>
          <w:szCs w:val="28"/>
          <w:rtl w:val="true"/>
          <w:lang w:bidi="ar-SA"/>
        </w:rPr>
        <w:t>بقُوّتِّهم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خالَفوه</w:t>
      </w:r>
      <w:r>
        <w:rPr>
          <w:rStyle w:val="FootnoteAnchor"/>
          <w:rtl w:val="true"/>
        </w:rPr>
        <w:footnoteReference w:id="1390"/>
      </w:r>
      <w:r>
        <w:rPr>
          <w:rFonts w:ascii="Amiri" w:hAnsi="Amiri" w:eastAsia="Amiri" w:cs="Amiri"/>
          <w:color w:val="111111"/>
          <w:sz w:val="28"/>
          <w:sz w:val="28"/>
          <w:szCs w:val="28"/>
          <w:rtl w:val="true"/>
          <w:lang w:bidi="ar-SA"/>
        </w:rPr>
        <w:t>اقتَضَى الخِلافُ ضَعفَه؛ لِفَوتِ مَنافعِه، و انتفاءِ نُصرتِه و مَعونتِه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القَديمُ‌، تَعالىٰ عن أن يَنتَفِعَ بطاعاتِ العِبادِ، و إنّما هُم المُنتَفِعونَ بذلكَ‌؛ فلا ضَعفَ يَلحَقُه مِن مَعاصيهِم،</w:t>
      </w:r>
      <w:r>
        <w:rPr>
          <w:rStyle w:val="FootnoteAnchor"/>
          <w:rtl w:val="true"/>
        </w:rPr>
        <w:footnoteReference w:id="1391"/>
      </w:r>
      <w:r>
        <w:rPr>
          <w:rFonts w:ascii="Amiri" w:hAnsi="Amiri" w:eastAsia="Amiri" w:cs="Amiri"/>
          <w:color w:val="111111"/>
          <w:sz w:val="28"/>
          <w:sz w:val="28"/>
          <w:szCs w:val="28"/>
          <w:rtl w:val="true"/>
          <w:lang w:bidi="ar-SA"/>
        </w:rPr>
        <w:t>و لا فَوتَ نَفعٍ‌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المُحتَجَّ‌</w:t>
      </w:r>
      <w:r>
        <w:rPr>
          <w:rStyle w:val="FootnoteAnchor"/>
          <w:rtl w:val="true"/>
        </w:rPr>
        <w:footnoteReference w:id="1392"/>
      </w:r>
      <w:r>
        <w:rPr>
          <w:rFonts w:ascii="Amiri" w:hAnsi="Amiri" w:eastAsia="Amiri" w:cs="Amiri"/>
          <w:color w:val="111111"/>
          <w:sz w:val="28"/>
          <w:sz w:val="28"/>
          <w:szCs w:val="28"/>
          <w:rtl w:val="true"/>
          <w:lang w:bidi="ar-SA"/>
        </w:rPr>
        <w:t xml:space="preserve">بهذه الشُّبهةِ الضعيفةِ أن يَضعُفَ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ما نَهىٰ عنه و لَم يأمُرْ به مِن عِبادِه، قياساً علَى المَلِكِ و رَعيّتِه؛ فإنّ مَن يَضعُفُ مِن مُلوكِنا بفِعلِ رَعيّتِه لِما يَكرَهُه و لا يُريدُه، يَضعُفُ بأن يَفعَلوا ما نَهاهم عنه و لَم يأمُرْهم به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يَجِبُ أيضاً أن يَكونَ اللّٰهُ تَعالىٰ إذا كانَ آمِراً للكُفّارِ</w:t>
      </w:r>
      <w:r>
        <w:rPr>
          <w:rStyle w:val="FootnoteAnchor"/>
          <w:rtl w:val="true"/>
        </w:rPr>
        <w:footnoteReference w:id="1394"/>
      </w:r>
      <w:r>
        <w:rPr>
          <w:rFonts w:ascii="Amiri" w:hAnsi="Amiri" w:eastAsia="Amiri" w:cs="Amiri"/>
          <w:color w:val="111111"/>
          <w:sz w:val="28"/>
          <w:sz w:val="28"/>
          <w:szCs w:val="28"/>
          <w:rtl w:val="true"/>
          <w:lang w:bidi="ar-SA"/>
        </w:rPr>
        <w:t>بالإيمانِ و العُصاةِ بالطاعاتِ أن يَكونَ آمِراً لهم أن يُضعِفوه و يَغلِبوه و يَقهَروه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يَقولُه عاقلٌ‌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استَقصَينا الكلامَ في هذا البابِ في كتابِنا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 في أُصولِ الدينِ‌</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و في القَدرِ الذي أَورَدناه</w:t>
      </w:r>
      <w:r>
        <w:rPr>
          <w:rStyle w:val="FootnoteAnchor"/>
          <w:rtl w:val="true"/>
        </w:rPr>
        <w:footnoteReference w:id="1396"/>
      </w:r>
      <w:r>
        <w:rPr>
          <w:rFonts w:ascii="Amiri" w:hAnsi="Amiri" w:eastAsia="Amiri" w:cs="Amiri"/>
          <w:color w:val="111111"/>
          <w:sz w:val="28"/>
          <w:sz w:val="28"/>
          <w:szCs w:val="28"/>
          <w:rtl w:val="true"/>
          <w:lang w:bidi="ar-SA"/>
        </w:rPr>
        <w:t>هاهُنا</w:t>
      </w:r>
      <w:r>
        <w:rPr>
          <w:rStyle w:val="FootnoteAnchor"/>
          <w:rtl w:val="true"/>
        </w:rPr>
        <w:footnoteReference w:id="1397"/>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bookmarkStart w:id="255" w:name="pg16415_223887"/>
    </w:p>
    <w:p>
      <w:pPr>
        <w:pStyle w:val="Heading6"/>
        <w:numPr>
          <w:ilvl w:val="5"/>
          <w:numId w:val="1"/>
        </w:numPr>
        <w:rPr/>
      </w:pPr>
      <w:bookmarkStart w:id="256" w:name="__RefHeading___Toc7642404_1280447820"/>
      <w:bookmarkStart w:id="257" w:name="_Toc89"/>
      <w:bookmarkEnd w:id="255"/>
      <w:bookmarkEnd w:id="256"/>
      <w:r>
        <w:rPr>
          <w:rtl w:val="true"/>
        </w:rPr>
        <w:t>المَسألةُ الثالثةُ القولُ في الِاستطاعةِ‌</w:t>
      </w:r>
      <w:bookmarkEnd w:id="257"/>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القولُ في الِاستطاعةِ؟ و هَل تَكونُ قَبلَ الفِعلِ‌، أو معه‌؟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الاستطاعةَ هي القُدرةُ علَى الفِعلِ‌، و القُدرةُ التي يُفعَلُ بها الفِعلُ لا تَكونُ‌</w:t>
      </w:r>
      <w:r>
        <w:rPr>
          <w:rStyle w:val="FootnoteAnchor"/>
          <w:rtl w:val="true"/>
        </w:rPr>
        <w:footnoteReference w:id="1398"/>
      </w:r>
      <w:r>
        <w:rPr>
          <w:rFonts w:ascii="Amiri" w:hAnsi="Amiri" w:eastAsia="Amiri" w:cs="Amiri"/>
          <w:color w:val="111111"/>
          <w:sz w:val="28"/>
          <w:sz w:val="28"/>
          <w:szCs w:val="28"/>
          <w:rtl w:val="true"/>
          <w:lang w:bidi="ar-SA"/>
        </w:rPr>
        <w:t>إلّاقَبلَه، و لا تَكونُ‌</w:t>
      </w:r>
      <w:r>
        <w:rPr>
          <w:rStyle w:val="FootnoteAnchor"/>
          <w:rtl w:val="true"/>
        </w:rPr>
        <w:footnoteReference w:id="1399"/>
      </w:r>
      <w:r>
        <w:rPr>
          <w:rFonts w:ascii="Amiri" w:hAnsi="Amiri" w:eastAsia="Amiri" w:cs="Amiri"/>
          <w:color w:val="111111"/>
          <w:sz w:val="28"/>
          <w:sz w:val="28"/>
          <w:szCs w:val="28"/>
          <w:rtl w:val="true"/>
          <w:lang w:bidi="ar-SA"/>
        </w:rPr>
        <w:t>معه في حالِ وجودِه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إنّما يُحتاجُ إليها ليَحدُثَ بها الفِعلُ‌، و يَخرُجَ بها مِن العدمِ إلَى الوجودِ؛ فمتىٰ وُجِدَت</w:t>
      </w:r>
      <w:r>
        <w:rPr>
          <w:rStyle w:val="FootnoteAnchor"/>
          <w:rtl w:val="true"/>
        </w:rPr>
        <w:footnoteReference w:id="1400"/>
      </w:r>
      <w:r>
        <w:rPr>
          <w:rFonts w:ascii="Amiri" w:hAnsi="Amiri" w:eastAsia="Amiri" w:cs="Amiri"/>
          <w:color w:val="111111"/>
          <w:sz w:val="28"/>
          <w:sz w:val="28"/>
          <w:szCs w:val="28"/>
          <w:rtl w:val="true"/>
          <w:lang w:bidi="ar-SA"/>
        </w:rPr>
        <w:t>و الفِعلُ موجودٌ، فقَد وُجِدَت</w:t>
      </w:r>
      <w:r>
        <w:rPr>
          <w:rStyle w:val="FootnoteAnchor"/>
          <w:rtl w:val="true"/>
        </w:rPr>
        <w:footnoteReference w:id="1401"/>
      </w:r>
      <w:r>
        <w:rPr>
          <w:rFonts w:ascii="Amiri" w:hAnsi="Amiri" w:eastAsia="Amiri" w:cs="Amiri"/>
          <w:color w:val="111111"/>
          <w:sz w:val="28"/>
          <w:sz w:val="28"/>
          <w:szCs w:val="28"/>
          <w:rtl w:val="true"/>
          <w:lang w:bidi="ar-SA"/>
        </w:rPr>
        <w:t>في حالِ استغنائه عنها؛ لأنّه لَو</w:t>
      </w:r>
      <w:r>
        <w:rPr>
          <w:rStyle w:val="FootnoteAnchor"/>
          <w:rtl w:val="true"/>
        </w:rPr>
        <w:footnoteReference w:id="1402"/>
      </w:r>
      <w:r>
        <w:rPr>
          <w:rFonts w:ascii="Amiri" w:hAnsi="Amiri" w:eastAsia="Amiri" w:cs="Amiri"/>
          <w:color w:val="111111"/>
          <w:sz w:val="28"/>
          <w:sz w:val="28"/>
          <w:szCs w:val="28"/>
          <w:rtl w:val="true"/>
          <w:lang w:bidi="ar-SA"/>
        </w:rPr>
        <w:t>لَم يَستَغنِ بوجودِه عن مؤثِّرٍ في وجودِه، و إنّما يَستَغني في حالِ البَقاءِ عن</w:t>
      </w:r>
      <w:r>
        <w:rPr>
          <w:rStyle w:val="FootnoteAnchor"/>
          <w:rtl w:val="true"/>
        </w:rPr>
        <w:footnoteReference w:id="1403"/>
      </w:r>
      <w:r>
        <w:rPr>
          <w:rFonts w:ascii="Amiri" w:hAnsi="Amiri" w:eastAsia="Amiri" w:cs="Amiri"/>
          <w:color w:val="111111"/>
          <w:sz w:val="28"/>
          <w:sz w:val="28"/>
          <w:szCs w:val="28"/>
          <w:rtl w:val="true"/>
          <w:lang w:bidi="ar-SA"/>
        </w:rPr>
        <w:t>مؤثِّراتِ الوجودِ؛ لحُصولِ الوجودِ، لا لشَيءٍ‌</w:t>
      </w:r>
      <w:r>
        <w:rPr>
          <w:rStyle w:val="FootnoteAnchor"/>
          <w:rtl w:val="true"/>
        </w:rPr>
        <w:footnoteReference w:id="1404"/>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يُمكِنُ أن تُنزَّلَ‌</w:t>
      </w:r>
      <w:r>
        <w:rPr>
          <w:rStyle w:val="FootnoteAnchor"/>
          <w:rtl w:val="true"/>
        </w:rPr>
        <w:footnoteReference w:id="1405"/>
      </w:r>
      <w:r>
        <w:rPr>
          <w:rFonts w:ascii="Amiri" w:hAnsi="Amiri" w:eastAsia="Amiri" w:cs="Amiri"/>
          <w:color w:val="111111"/>
          <w:sz w:val="28"/>
          <w:sz w:val="28"/>
          <w:szCs w:val="28"/>
          <w:rtl w:val="true"/>
          <w:lang w:bidi="ar-SA"/>
        </w:rPr>
        <w:t>القُدرةُ في مُصاحَبتِها للفِعلِ الذي تؤثِّرُ فيه مَنزِلةَ العِلّةِ المُصاحِبةِ للمعلولِ‌؛ لأنّ القُدرةَ لَيسَت عِلّةً في المقدورِ، و لا موجِبةً له؛ بَل تأثيرُها تأثيرُ</w:t>
      </w:r>
      <w:r>
        <w:rPr>
          <w:rStyle w:val="FootnoteAnchor"/>
          <w:rtl w:val="true"/>
        </w:rPr>
        <w:footnoteReference w:id="1406"/>
      </w:r>
      <w:r>
        <w:rPr>
          <w:rFonts w:ascii="Amiri" w:hAnsi="Amiri" w:eastAsia="Amiri" w:cs="Amiri"/>
          <w:color w:val="111111"/>
          <w:sz w:val="28"/>
          <w:sz w:val="28"/>
          <w:szCs w:val="28"/>
          <w:rtl w:val="true"/>
          <w:lang w:bidi="ar-SA"/>
        </w:rPr>
        <w:t>اختيارٍ و إيثارٍ، مِن غيرِ إيجابٍ‌؛ لِما قد بُيِّنَ في مَواضِعَ كَثيرةٍ مِن الكُتُبِ‌</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 لَولا أنّها مُفارِقةٌ للعِلّةِ بغَيرِ شُبهةٍ‌، لَاحتاجَ المقدورُ في حالِ بَقائه إليها كحاجتِه في حالِ حُدوثِه؛ لأنّ العِلّةَ يَحتاجُ المعلولُ إليها في كِلا</w:t>
      </w:r>
      <w:r>
        <w:rPr>
          <w:rStyle w:val="FootnoteAnchor"/>
          <w:rtl w:val="true"/>
        </w:rPr>
        <w:footnoteReference w:id="1408"/>
      </w:r>
      <w:r>
        <w:rPr>
          <w:rFonts w:ascii="Amiri" w:hAnsi="Amiri" w:eastAsia="Amiri" w:cs="Amiri"/>
          <w:color w:val="111111"/>
          <w:sz w:val="28"/>
          <w:sz w:val="28"/>
          <w:szCs w:val="28"/>
          <w:rtl w:val="true"/>
          <w:lang w:bidi="ar-SA"/>
        </w:rPr>
        <w:t>حالتَيه؛</w:t>
      </w:r>
      <w:r>
        <w:rPr>
          <w:rStyle w:val="FootnoteAnchor"/>
          <w:rtl w:val="true"/>
        </w:rPr>
        <w:footnoteReference w:id="1409"/>
      </w:r>
      <w:r>
        <w:rPr>
          <w:rFonts w:ascii="Amiri" w:hAnsi="Amiri" w:eastAsia="Amiri" w:cs="Amiri"/>
          <w:color w:val="111111"/>
          <w:sz w:val="28"/>
          <w:sz w:val="28"/>
          <w:szCs w:val="28"/>
          <w:rtl w:val="true"/>
          <w:lang w:bidi="ar-SA"/>
        </w:rPr>
        <w:t>مِن حُدوثٍ أو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أنّ القُدرةَ يَستَغني عنها المقدورُ في حالِ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الشُّيوخُ مؤكِّدينَ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في يَدِه شَيءٌ فألقاه، لا تَخلو</w:t>
      </w:r>
      <w:r>
        <w:rPr>
          <w:rStyle w:val="FootnoteAnchor"/>
          <w:rtl w:val="true"/>
        </w:rPr>
        <w:footnoteReference w:id="1410"/>
      </w:r>
      <w:r>
        <w:rPr>
          <w:rFonts w:ascii="Amiri" w:hAnsi="Amiri" w:eastAsia="Amiri" w:cs="Amiri"/>
          <w:color w:val="111111"/>
          <w:sz w:val="28"/>
          <w:sz w:val="28"/>
          <w:szCs w:val="28"/>
          <w:rtl w:val="true"/>
          <w:lang w:bidi="ar-SA"/>
        </w:rPr>
        <w:t>استطاعةُ إلقائه مِن أن تَكونَ‌</w:t>
      </w:r>
      <w:r>
        <w:rPr>
          <w:rStyle w:val="FootnoteAnchor"/>
          <w:rtl w:val="true"/>
        </w:rPr>
        <w:footnoteReference w:id="1411"/>
      </w:r>
      <w:r>
        <w:rPr>
          <w:rFonts w:ascii="Amiri" w:hAnsi="Amiri" w:eastAsia="Amiri" w:cs="Amiri"/>
          <w:color w:val="111111"/>
          <w:sz w:val="28"/>
          <w:sz w:val="28"/>
          <w:szCs w:val="28"/>
          <w:rtl w:val="true"/>
          <w:lang w:bidi="ar-SA"/>
        </w:rPr>
        <w:t>ثابتةً و الشيءُ في يَدِه أو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ثابتةً و الشيءُ في يَدِه، فقَد دَلَّ علىٰ تَقدُّمِها</w:t>
      </w:r>
      <w:r>
        <w:rPr>
          <w:rStyle w:val="FootnoteAnchor"/>
          <w:rtl w:val="true"/>
        </w:rPr>
        <w:footnoteReference w:id="1412"/>
      </w:r>
      <w:r>
        <w:rPr>
          <w:rFonts w:ascii="Amiri" w:hAnsi="Amiri" w:eastAsia="Amiri" w:cs="Amiri"/>
          <w:color w:val="111111"/>
          <w:sz w:val="28"/>
          <w:sz w:val="28"/>
          <w:szCs w:val="28"/>
          <w:rtl w:val="true"/>
          <w:lang w:bidi="ar-SA"/>
        </w:rPr>
        <w:t>،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ثابتةً و الشيءُ خارجٌ عن يَدِه مُلقىً عنها، فقَد قَدَرَ علىٰ أن يُلقيَ ما لَيسَ في يَدِه، و 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 كَونِ الشيءِ في يَدِه و كَونِه خارجاً عنها واسطةٌ و مَنزِلةٌ ثالثةٌ‌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أيضاً علىٰ أنّ الِاستطاعةَ قَبلَ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مع الفِعلِ كانَ الكافرُ </w:t>
      </w:r>
    </w:p>
    <w:p>
      <w:pPr>
        <w:pStyle w:val="BookText"/>
        <w:rPr/>
      </w:pPr>
      <w:r>
        <w:rPr>
          <w:rFonts w:ascii="Amiri" w:hAnsi="Amiri" w:eastAsia="Amiri" w:cs="Amiri"/>
          <w:color w:val="111111"/>
          <w:sz w:val="28"/>
          <w:sz w:val="28"/>
          <w:szCs w:val="28"/>
          <w:rtl w:val="true"/>
          <w:lang w:bidi="ar-SA"/>
        </w:rPr>
        <w:t>غيرَ قادرٍ علَى الإيمانِ‌؛ لأنّه لَو قَدَرَ علَى الإيمانِ‌</w:t>
      </w:r>
      <w:r>
        <w:rPr>
          <w:rStyle w:val="FootnoteAnchor"/>
          <w:rtl w:val="true"/>
        </w:rPr>
        <w:footnoteReference w:id="1413"/>
      </w:r>
      <w:r>
        <w:rPr>
          <w:rFonts w:ascii="Amiri" w:hAnsi="Amiri" w:eastAsia="Amiri" w:cs="Amiri"/>
          <w:color w:val="111111"/>
          <w:sz w:val="28"/>
          <w:sz w:val="28"/>
          <w:szCs w:val="28"/>
          <w:rtl w:val="true"/>
          <w:lang w:bidi="ar-SA"/>
        </w:rPr>
        <w:t>لَكانَ‌</w:t>
      </w:r>
      <w:r>
        <w:rPr>
          <w:rStyle w:val="FootnoteAnchor"/>
          <w:rtl w:val="true"/>
        </w:rPr>
        <w:footnoteReference w:id="1414"/>
      </w:r>
      <w:r>
        <w:rPr>
          <w:rFonts w:ascii="Amiri" w:hAnsi="Amiri" w:eastAsia="Amiri" w:cs="Amiri"/>
          <w:color w:val="111111"/>
          <w:sz w:val="28"/>
          <w:sz w:val="28"/>
          <w:szCs w:val="28"/>
          <w:rtl w:val="true"/>
          <w:lang w:bidi="ar-SA"/>
        </w:rPr>
        <w:t>الإيمانُ موجوداً منه، علىٰ هذا المَذهبِ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قادراً علَى الإيمانِ لَما حَسُنَ أن يؤمَرَ به و يُعاقَبَ علىٰ تَركِه، كَما لا يُعاقَبُ العاجزُ عن الإيمانِ بتَركِه و لا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العاجزِ و الكافرِ علىٰ مَذاهبِهم؛ لأنّهما جميعاً غيرُ قادرَينِ علَى الإيمانِ و لا مُتمكِّنَينِ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فشَرَطَ تَوجُّهَ الأمرِ بالِاستطاعةِ له</w:t>
      </w:r>
      <w:r>
        <w:rPr>
          <w:rStyle w:val="FootnoteAnchor"/>
          <w:rtl w:val="true"/>
        </w:rPr>
        <w:footnoteReference w:id="1416"/>
      </w:r>
      <w:r>
        <w:rPr>
          <w:rFonts w:ascii="Amiri" w:hAnsi="Amiri" w:eastAsia="Amiri" w:cs="Amiri"/>
          <w:color w:val="111111"/>
          <w:sz w:val="28"/>
          <w:sz w:val="28"/>
          <w:szCs w:val="28"/>
          <w:rtl w:val="true"/>
          <w:lang w:bidi="ar-SA"/>
        </w:rPr>
        <w:t>، فلَو لا أنّها مُتقدِّمةٌ للفِعلِ‌، و أنّه يَكونُ مُستَطيعاً للحَجِّ و إن لَم يَفعَلْه، لَوَجَبَ أن يَكونَ الأمرُ بالحَجِّ إنّما تَوجَّهَ إلىٰ مَن فَعَلَه و وُجِدَ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الكلامَ في الِاستطاعةِ‌</w:t>
      </w:r>
      <w:r>
        <w:rPr>
          <w:rStyle w:val="FootnoteAnchor"/>
          <w:rtl w:val="true"/>
        </w:rPr>
        <w:footnoteReference w:id="1417"/>
      </w:r>
      <w:r>
        <w:rPr>
          <w:rFonts w:ascii="Amiri" w:hAnsi="Amiri" w:eastAsia="Amiri" w:cs="Amiri"/>
          <w:color w:val="111111"/>
          <w:sz w:val="28"/>
          <w:sz w:val="28"/>
          <w:szCs w:val="28"/>
          <w:rtl w:val="true"/>
          <w:lang w:bidi="ar-SA"/>
        </w:rPr>
        <w:t>و أحكامِها في مَواضِعَ كَثيرةٍ مِن كُتُبِنا،</w:t>
      </w:r>
      <w:r>
        <w:rPr>
          <w:rStyle w:val="FootnoteAnchor"/>
          <w:rtl w:val="true"/>
        </w:rPr>
        <w:footnoteReference w:id="1418"/>
      </w:r>
      <w:r>
        <w:rPr>
          <w:rFonts w:ascii="Amiri" w:hAnsi="Amiri" w:eastAsia="Amiri" w:cs="Amiri"/>
          <w:color w:val="111111"/>
          <w:sz w:val="28"/>
          <w:sz w:val="28"/>
          <w:szCs w:val="28"/>
          <w:rtl w:val="true"/>
          <w:lang w:bidi="ar-SA"/>
        </w:rPr>
        <w:t>و في هذه الجُملةِ مَقنَعٌ‌</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258" w:name="pg16415_223890"/>
    </w:p>
    <w:p>
      <w:pPr>
        <w:pStyle w:val="Heading6"/>
        <w:numPr>
          <w:ilvl w:val="5"/>
          <w:numId w:val="1"/>
        </w:numPr>
        <w:rPr/>
      </w:pPr>
      <w:bookmarkStart w:id="259" w:name="__RefHeading___Toc7642406_1280447820"/>
      <w:bookmarkStart w:id="260" w:name="_Toc90"/>
      <w:bookmarkEnd w:id="258"/>
      <w:bookmarkEnd w:id="259"/>
      <w:r>
        <w:rPr>
          <w:rtl w:val="true"/>
        </w:rPr>
        <w:t>المَسألةُ الرابعةُ الوعيدُ و الشفاعةُ‌</w:t>
      </w:r>
      <w:bookmarkEnd w:id="260"/>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العَبدُ المُسلِمُ خالداً مُخلَّداً في النارِ بكَبيرةٍ واحدةٍ أو تَلحَقُه الشفاعةُ إذا ماتَ مِن غيرِ تَوبةٍ؟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المُسلِمَ المؤمِنَ لا يَجوزُ أن يَكونَ مُخلَّداً في النارِ بعِقابِ مَعاصيهِ‌؛ لأنّ الإيمانَ يُستَحَقُّ به الثوابُ الدائمُ و النعيمُ المُتَّصِلُ‌، و الكَبيرةَ التي واقَعَها المؤمنُ إنّما يُستَحَقُّ بها</w:t>
      </w:r>
      <w:r>
        <w:rPr>
          <w:rStyle w:val="FootnoteAnchor"/>
          <w:rtl w:val="true"/>
        </w:rPr>
        <w:footnoteReference w:id="1420"/>
      </w:r>
      <w:r>
        <w:rPr>
          <w:rFonts w:ascii="Amiri" w:hAnsi="Amiri" w:eastAsia="Amiri" w:cs="Amiri"/>
          <w:color w:val="111111"/>
          <w:sz w:val="28"/>
          <w:sz w:val="28"/>
          <w:szCs w:val="28"/>
          <w:rtl w:val="true"/>
          <w:lang w:bidi="ar-SA"/>
        </w:rPr>
        <w:t>العِقابُ المُنقَطِعُ‌، و لا تأثيرَ لعِقابِها المُستَحَقِّ في ثَوابِ الإيمانِ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يَقَعْ تَحابُطٌ بَينَ المُستَحَقَّينِ‌، فهُما</w:t>
      </w:r>
      <w:r>
        <w:rPr>
          <w:rStyle w:val="FootnoteAnchor"/>
          <w:rtl w:val="true"/>
        </w:rPr>
        <w:footnoteReference w:id="1421"/>
      </w:r>
      <w:r>
        <w:rPr>
          <w:rFonts w:ascii="Amiri" w:hAnsi="Amiri" w:eastAsia="Amiri" w:cs="Amiri"/>
          <w:color w:val="111111"/>
          <w:sz w:val="28"/>
          <w:sz w:val="28"/>
          <w:szCs w:val="28"/>
          <w:rtl w:val="true"/>
          <w:lang w:bidi="ar-SA"/>
        </w:rPr>
        <w:t>علىٰ حالِهما؛ لَم يؤثِّرْ أحَدُهما 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خُلِّدَ المؤمنُ بعِقابِ معصيتِه في النارِ، لَوَجَبَ أن يَكونَ ممنوعاً حَقَّه مِن الثوابِ‌، و مبخوساً</w:t>
      </w:r>
      <w:r>
        <w:rPr>
          <w:rStyle w:val="FootnoteAnchor"/>
          <w:rtl w:val="true"/>
        </w:rPr>
        <w:footnoteReference w:id="1422"/>
      </w:r>
      <w:r>
        <w:rPr>
          <w:rFonts w:ascii="Amiri" w:hAnsi="Amiri" w:eastAsia="Amiri" w:cs="Amiri"/>
          <w:color w:val="111111"/>
          <w:sz w:val="28"/>
          <w:sz w:val="28"/>
          <w:szCs w:val="28"/>
          <w:rtl w:val="true"/>
          <w:lang w:bidi="ar-SA"/>
        </w:rPr>
        <w:t>نَصيبَه مِن النعيمِ‌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الشفاعةُ‌، فهي</w:t>
      </w:r>
      <w:r>
        <w:rPr>
          <w:rStyle w:val="FootnoteAnchor"/>
          <w:rtl w:val="true"/>
        </w:rPr>
        <w:footnoteReference w:id="1423"/>
      </w:r>
      <w:r>
        <w:rPr>
          <w:rFonts w:ascii="Amiri" w:hAnsi="Amiri" w:eastAsia="Amiri" w:cs="Amiri"/>
          <w:color w:val="111111"/>
          <w:sz w:val="28"/>
          <w:sz w:val="28"/>
          <w:szCs w:val="28"/>
          <w:rtl w:val="true"/>
          <w:lang w:bidi="ar-SA"/>
        </w:rPr>
        <w:t>مَرجُوّةٌ له في إسقاطِ عِقابِه، و غيرُ مقطوعٍ عليها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وَقَعَت فيه الشفاعةُ‌، أسقَطَت عقابَه؛ فلَم يَدخُلِ النارَ، و خَلَصَ 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تَقَعِ الشفاعةُ فيه، عوقِبَ في النارِ بقَدرِ استحقاقِه، و أُخرِجَ إلَى الجَنّةِ فأُثيبَ فيها</w:t>
      </w:r>
      <w:r>
        <w:rPr>
          <w:rStyle w:val="FootnoteAnchor"/>
          <w:rtl w:val="true"/>
        </w:rPr>
        <w:footnoteReference w:id="1424"/>
      </w:r>
      <w:r>
        <w:rPr>
          <w:rFonts w:ascii="Amiri" w:hAnsi="Amiri" w:eastAsia="Amiri" w:cs="Amiri"/>
          <w:color w:val="111111"/>
          <w:sz w:val="28"/>
          <w:sz w:val="28"/>
          <w:szCs w:val="28"/>
          <w:rtl w:val="true"/>
          <w:lang w:bidi="ar-SA"/>
        </w:rPr>
        <w:t>ثَواباً دائماً، كَما استَحقَّه بإيمانِه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ذَكَرتُموه يَجري مَجرَى الدعوىٰ‌</w:t>
      </w:r>
      <w:r>
        <w:rPr>
          <w:rStyle w:val="FootnoteAnchor"/>
          <w:rtl w:val="true"/>
        </w:rPr>
        <w:footnoteReference w:id="1425"/>
      </w:r>
      <w:r>
        <w:rPr>
          <w:rFonts w:ascii="Amiri" w:hAnsi="Amiri" w:eastAsia="Amiri" w:cs="Amiri"/>
          <w:color w:val="111111"/>
          <w:sz w:val="28"/>
          <w:sz w:val="28"/>
          <w:szCs w:val="28"/>
          <w:rtl w:val="true"/>
          <w:lang w:bidi="ar-SA"/>
        </w:rPr>
        <w:t>، و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و إنّما كانَ غرضُنا أن نُبيِّنَ كَيفيّةَ المَذهبِ في هذه المَسألةِ‌، و كَيفَ يُبنَى القولُ فيها علىٰ المَذاهبِ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الأدِلّةُ و البَراهينُ علىٰ صِحّةِ هذه المَذاهبِ و فَسادِ ما عَداها موجودةٌ مُستَقصاةٌ في كلامِنا علىٰ أهلِ الوَعيدِ و نُصرةِ القولِ بالإرجاءِ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مَسائلِ أهلِ المَوصِلِ‌</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غيرَ أنّا لا نُخْلي هذا الموضِعَ مِن إشارةٍ خفيفةٍ‌</w:t>
      </w:r>
      <w:r>
        <w:rPr>
          <w:rStyle w:val="FootnoteAnchor"/>
          <w:rtl w:val="true"/>
        </w:rPr>
        <w:footnoteReference w:id="1427"/>
      </w:r>
      <w:r>
        <w:rPr>
          <w:rFonts w:ascii="Amiri" w:hAnsi="Amiri" w:eastAsia="Amiri" w:cs="Amiri"/>
          <w:color w:val="111111"/>
          <w:sz w:val="28"/>
          <w:sz w:val="28"/>
          <w:szCs w:val="28"/>
          <w:rtl w:val="true"/>
          <w:lang w:bidi="ar-SA"/>
        </w:rPr>
        <w:t>لطيفةٍ إلَى الحُجّةِ و وجهِ الدَّلالةِ‌،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علىٰ أنّ‌</w:t>
      </w:r>
      <w:r>
        <w:rPr>
          <w:rStyle w:val="FootnoteAnchor"/>
          <w:rtl w:val="true"/>
        </w:rPr>
        <w:footnoteReference w:id="1428"/>
      </w:r>
      <w:r>
        <w:rPr>
          <w:rFonts w:ascii="Amiri" w:hAnsi="Amiri" w:eastAsia="Amiri" w:cs="Amiri"/>
          <w:color w:val="111111"/>
          <w:sz w:val="28"/>
          <w:sz w:val="28"/>
          <w:szCs w:val="28"/>
          <w:rtl w:val="true"/>
          <w:lang w:bidi="ar-SA"/>
        </w:rPr>
        <w:t>الايمانَ يُستحَقُّ به الثوابُ الدائمُ‌، فهو الإجماعُ و السمعُ‌؛ لأنّ العقلَ عندَنا لا يَدُلُّ علىٰ دوامِ ثَوابٍ و لا عِقابٍ‌، و إن دَلَّ علَى استحقاقِهما في الجُملةِ‌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أجمَعَ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الإيمانَ يُستحَقُّ به الثوابُ الدائمُ‌، و أنّ مَن</w:t>
      </w:r>
      <w:r>
        <w:rPr>
          <w:rStyle w:val="FootnoteAnchor"/>
          <w:rtl w:val="true"/>
        </w:rPr>
        <w:footnoteReference w:id="1429"/>
      </w:r>
      <w:r>
        <w:rPr>
          <w:rFonts w:ascii="Amiri" w:hAnsi="Amiri" w:eastAsia="Amiri" w:cs="Amiri"/>
          <w:color w:val="111111"/>
          <w:sz w:val="28"/>
          <w:sz w:val="28"/>
          <w:szCs w:val="28"/>
          <w:rtl w:val="true"/>
          <w:lang w:bidi="ar-SA"/>
        </w:rPr>
        <w:t>لَم يُحبِطْ ثَوابَه بما يَفعَلُه مِن المَعاصي المُستحَقِّ عليها العِقابُ العظيمُ يَرِدُ</w:t>
      </w:r>
      <w:r>
        <w:rPr>
          <w:rStyle w:val="FootnoteAnchor"/>
          <w:rtl w:val="true"/>
        </w:rPr>
        <w:footnoteReference w:id="1430"/>
      </w:r>
      <w:r>
        <w:rPr>
          <w:rFonts w:ascii="Amiri" w:hAnsi="Amiri" w:eastAsia="Amiri" w:cs="Amiri"/>
          <w:color w:val="111111"/>
          <w:sz w:val="28"/>
          <w:sz w:val="28"/>
          <w:szCs w:val="28"/>
          <w:rtl w:val="true"/>
          <w:lang w:bidi="ar-SA"/>
        </w:rPr>
        <w:t>القيامةَ مُستَحِقّاً مِن ثَوابِ الإيمانِ ما كانَ يَستَحِقُّه عَقيبَ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ثَبَتَت</w:t>
      </w:r>
      <w:r>
        <w:rPr>
          <w:rStyle w:val="FootnoteAnchor"/>
          <w:rtl w:val="true"/>
        </w:rPr>
        <w:footnoteReference w:id="1431"/>
      </w:r>
      <w:r>
        <w:rPr>
          <w:rFonts w:ascii="Amiri" w:hAnsi="Amiri" w:eastAsia="Amiri" w:cs="Amiri"/>
          <w:color w:val="111111"/>
          <w:sz w:val="28"/>
          <w:sz w:val="28"/>
          <w:szCs w:val="28"/>
          <w:rtl w:val="true"/>
          <w:lang w:bidi="ar-SA"/>
        </w:rPr>
        <w:t>هذه الجُملةُ‌، نَظَرنا في المعصيةِ التي يأتي بها هذا المؤمِنُ و يَفعَلُها، و هو مُحرِّمٌ لها</w:t>
      </w:r>
      <w:r>
        <w:rPr>
          <w:rStyle w:val="FootnoteAnchor"/>
          <w:rtl w:val="true"/>
        </w:rPr>
        <w:footnoteReference w:id="1432"/>
      </w:r>
      <w:r>
        <w:rPr>
          <w:rFonts w:ascii="Amiri" w:hAnsi="Amiri" w:eastAsia="Amiri" w:cs="Amiri"/>
          <w:color w:val="111111"/>
          <w:sz w:val="28"/>
          <w:sz w:val="28"/>
          <w:szCs w:val="28"/>
          <w:rtl w:val="true"/>
          <w:lang w:bidi="ar-SA"/>
        </w:rPr>
        <w:t>غيرُ مُستَحِلٍّ للإقدامِ‌</w:t>
      </w:r>
      <w:r>
        <w:rPr>
          <w:rStyle w:val="FootnoteAnchor"/>
          <w:rtl w:val="true"/>
        </w:rPr>
        <w:footnoteReference w:id="1433"/>
      </w:r>
      <w:r>
        <w:rPr>
          <w:rFonts w:ascii="Amiri" w:hAnsi="Amiri" w:eastAsia="Amiri" w:cs="Amiri"/>
          <w:color w:val="111111"/>
          <w:sz w:val="28"/>
          <w:sz w:val="28"/>
          <w:szCs w:val="28"/>
          <w:rtl w:val="true"/>
          <w:lang w:bidi="ar-SA"/>
        </w:rPr>
        <w:t>عليها،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مُستَحِقّاً عليها العِقابَ‌؛ بدليلِ العقلِ و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w:t>
      </w:r>
      <w:r>
        <w:rPr>
          <w:rStyle w:val="FootnoteAnchor"/>
          <w:rtl w:val="true"/>
        </w:rPr>
        <w:footnoteReference w:id="1434"/>
      </w:r>
      <w:r>
        <w:rPr>
          <w:rFonts w:ascii="Amiri" w:hAnsi="Amiri" w:eastAsia="Amiri" w:cs="Amiri"/>
          <w:color w:val="111111"/>
          <w:sz w:val="28"/>
          <w:sz w:val="28"/>
          <w:szCs w:val="28"/>
          <w:rtl w:val="true"/>
          <w:lang w:bidi="ar-SA"/>
        </w:rPr>
        <w:t>أنّه لا يَجوزُ أن يؤثِّرَ الثوابُ المُستحَقُّ في العِقابِ المُستحَقِّ فيُبطِلَه، و لا العِقابُ المُستحَقُّ علَى الثوابِ المُستحَقِّ فيُبطِلَه؛ لفَسادِ التحابُطِ عندَنا بَينَ الأعمالِ و بَينَ‌</w:t>
      </w:r>
      <w:r>
        <w:rPr>
          <w:rStyle w:val="FootnoteAnchor"/>
          <w:rtl w:val="true"/>
        </w:rPr>
        <w:footnoteReference w:id="1435"/>
      </w:r>
      <w:r>
        <w:rPr>
          <w:rFonts w:ascii="Amiri" w:hAnsi="Amiri" w:eastAsia="Amiri" w:cs="Amiri"/>
          <w:color w:val="111111"/>
          <w:sz w:val="28"/>
          <w:sz w:val="28"/>
          <w:szCs w:val="28"/>
          <w:rtl w:val="true"/>
          <w:lang w:bidi="ar-SA"/>
        </w:rPr>
        <w:t>المُستحَقِّ عليها؛ بما</w:t>
      </w:r>
      <w:r>
        <w:rPr>
          <w:rStyle w:val="FootnoteAnchor"/>
          <w:rtl w:val="true"/>
        </w:rPr>
        <w:footnoteReference w:id="1436"/>
      </w:r>
      <w:r>
        <w:rPr>
          <w:rFonts w:ascii="Amiri" w:hAnsi="Amiri" w:eastAsia="Amiri" w:cs="Amiri"/>
          <w:color w:val="111111"/>
          <w:sz w:val="28"/>
          <w:sz w:val="28"/>
          <w:szCs w:val="28"/>
          <w:rtl w:val="true"/>
          <w:lang w:bidi="ar-SA"/>
        </w:rPr>
        <w:t>قد بيّنّاه في مَواضِعَ كَثيرةٍ‌، خاصّةً في الكتابِ الذي أشَرنا إليه</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 مِن قَويِّ ما يَدُلُّ علىٰ نفيِ التحابُطِ بَينَ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إنّما يَنفي غيرَه و يُبطِلُه و يُحبِطُه إذا ضادَّه و نافاه</w:t>
      </w:r>
      <w:r>
        <w:rPr>
          <w:rStyle w:val="FootnoteAnchor"/>
          <w:rtl w:val="true"/>
        </w:rPr>
        <w:footnoteReference w:id="1438"/>
      </w:r>
      <w:r>
        <w:rPr>
          <w:rFonts w:ascii="Amiri" w:hAnsi="Amiri" w:eastAsia="Amiri" w:cs="Amiri"/>
          <w:color w:val="111111"/>
          <w:sz w:val="28"/>
          <w:sz w:val="28"/>
          <w:szCs w:val="28"/>
          <w:rtl w:val="true"/>
          <w:lang w:bidi="ar-SA"/>
        </w:rPr>
        <w:t>، أو نافىٰ ما</w:t>
      </w:r>
      <w:r>
        <w:rPr>
          <w:rStyle w:val="FootnoteAnchor"/>
          <w:rtl w:val="true"/>
        </w:rPr>
        <w:footnoteReference w:id="1439"/>
      </w:r>
      <w:r>
        <w:rPr>
          <w:rFonts w:ascii="Amiri" w:hAnsi="Amiri" w:eastAsia="Amiri" w:cs="Amiri"/>
          <w:color w:val="111111"/>
          <w:sz w:val="28"/>
          <w:sz w:val="28"/>
          <w:szCs w:val="28"/>
          <w:rtl w:val="true"/>
          <w:lang w:bidi="ar-SA"/>
        </w:rPr>
        <w:t>يَحتاجُ ذلك الشيءُ في وجودِه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Style w:val="FootnoteAnchor"/>
          <w:rtl w:val="true"/>
        </w:rPr>
        <w:footnoteReference w:id="1440"/>
      </w:r>
      <w:r>
        <w:rPr>
          <w:rFonts w:ascii="Amiri" w:hAnsi="Amiri" w:eastAsia="Amiri" w:cs="Amiri"/>
          <w:color w:val="111111"/>
          <w:sz w:val="28"/>
          <w:sz w:val="28"/>
          <w:szCs w:val="28"/>
          <w:rtl w:val="true"/>
          <w:lang w:bidi="ar-SA"/>
        </w:rPr>
        <w:t>تَضادَّ و لا تَنافيَ بَينَ الثوابِ و العِقابِ المُستحَقَّينِ‌؛ لأنّ الثوابَ قد يَكونُ مِن جنسِ العِقابِ‌، و لَو خالَفَه لَما انتَهىٰ إلَى التنافي و التضادِّ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هُناكَ‌</w:t>
      </w:r>
      <w:r>
        <w:rPr>
          <w:rStyle w:val="FootnoteAnchor"/>
          <w:rtl w:val="true"/>
        </w:rPr>
        <w:footnoteReference w:id="1441"/>
      </w:r>
      <w:r>
        <w:rPr>
          <w:rFonts w:ascii="Amiri" w:hAnsi="Amiri" w:eastAsia="Amiri" w:cs="Amiri"/>
          <w:color w:val="111111"/>
          <w:sz w:val="28"/>
          <w:sz w:val="28"/>
          <w:szCs w:val="28"/>
          <w:rtl w:val="true"/>
          <w:lang w:bidi="ar-SA"/>
        </w:rPr>
        <w:t>تَضادٌّ أو تَنافٍ‌</w:t>
      </w:r>
      <w:r>
        <w:rPr>
          <w:rStyle w:val="FootnoteAnchor"/>
          <w:rtl w:val="true"/>
        </w:rPr>
        <w:footnoteReference w:id="1442"/>
      </w:r>
      <w:r>
        <w:rPr>
          <w:rFonts w:ascii="Amiri" w:hAnsi="Amiri" w:eastAsia="Amiri" w:cs="Amiri"/>
          <w:color w:val="111111"/>
          <w:sz w:val="28"/>
          <w:sz w:val="28"/>
          <w:szCs w:val="28"/>
          <w:rtl w:val="true"/>
          <w:lang w:bidi="ar-SA"/>
        </w:rPr>
        <w:t>لَكانَ علَى الوجودِ؛ كتَنافي</w:t>
      </w:r>
      <w:r>
        <w:rPr>
          <w:rStyle w:val="FootnoteAnchor"/>
          <w:rtl w:val="true"/>
        </w:rPr>
        <w:footnoteReference w:id="1443"/>
      </w:r>
      <w:r>
        <w:rPr>
          <w:rFonts w:ascii="Amiri" w:hAnsi="Amiri" w:eastAsia="Amiri" w:cs="Amiri"/>
          <w:color w:val="111111"/>
          <w:sz w:val="28"/>
          <w:sz w:val="28"/>
          <w:szCs w:val="28"/>
          <w:rtl w:val="true"/>
          <w:lang w:bidi="ar-SA"/>
        </w:rPr>
        <w:t xml:space="preserve">سائرِ </w:t>
      </w:r>
    </w:p>
    <w:p>
      <w:pPr>
        <w:pStyle w:val="BookText"/>
        <w:rPr/>
      </w:pPr>
      <w:r>
        <w:rPr>
          <w:rFonts w:ascii="Amiri" w:hAnsi="Amiri" w:eastAsia="Amiri" w:cs="Amiri"/>
          <w:color w:val="111111"/>
          <w:sz w:val="28"/>
          <w:sz w:val="28"/>
          <w:szCs w:val="28"/>
          <w:rtl w:val="true"/>
          <w:lang w:bidi="ar-SA"/>
        </w:rPr>
        <w:t>المُتَضادّاتِ‌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المُستحَقُّ مِن الثوابِ و العِقابِ لا يَكونُ إلّامعدوماً، و التنافي لا يَصِحُّ بَينَ المعدوماتِ‌؛ فكَيفَ يُعقَلُ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المُستحَقَّ مِن العِقابِ المعدومِ أبطَلَ المُستحَقَّ مِن الثوابِ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بَطَلَ الإحباطُ، فلا بُدَّ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 إلَى الإيمانِ المَعاصيَ الموسومةَ بالكبائرِ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يَرِدَ القيامةَ و هو مُستَحِقٌّ لثَوابِ إيمانِه و عِقابِ معصيتِه؛ فإن لَم يُغفَر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ابتداءً‌، أو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عوقِبَ بقَدرِ استحقاقِه، ثُمَّ نُقِلَ إلَى الجَنّةِ‌، فخُلِّدَ</w:t>
      </w:r>
      <w:r>
        <w:rPr>
          <w:rStyle w:val="FootnoteAnchor"/>
          <w:rtl w:val="true"/>
        </w:rPr>
        <w:footnoteReference w:id="1444"/>
      </w:r>
      <w:r>
        <w:rPr>
          <w:rFonts w:ascii="Amiri" w:hAnsi="Amiri" w:eastAsia="Amiri" w:cs="Amiri"/>
          <w:color w:val="111111"/>
          <w:sz w:val="28"/>
          <w:sz w:val="28"/>
          <w:szCs w:val="28"/>
          <w:rtl w:val="true"/>
          <w:lang w:bidi="ar-SA"/>
        </w:rPr>
        <w:t>فيها بقَدرِ استحقاقِه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ألّاجَوَّزتم أن يُستحَقَّ بكَبائرِ</w:t>
      </w:r>
      <w:r>
        <w:rPr>
          <w:rStyle w:val="FootnoteAnchor"/>
          <w:rtl w:val="true"/>
        </w:rPr>
        <w:footnoteReference w:id="1446"/>
      </w:r>
      <w:r>
        <w:rPr>
          <w:rFonts w:ascii="Amiri" w:hAnsi="Amiri" w:eastAsia="Amiri" w:cs="Amiri"/>
          <w:color w:val="111111"/>
          <w:sz w:val="28"/>
          <w:sz w:val="28"/>
          <w:szCs w:val="28"/>
          <w:rtl w:val="true"/>
          <w:lang w:bidi="ar-SA"/>
        </w:rPr>
        <w:t>الذُّنوبِ العِقابُ الدائمُ؟</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يَستَحِقُّ العِقابَ الدائمَ مَن يَستَحِقُّ الثوابَ الدائمَ‌، و في فِعلِ‌</w:t>
      </w:r>
      <w:r>
        <w:rPr>
          <w:rStyle w:val="FootnoteAnchor"/>
          <w:rtl w:val="true"/>
        </w:rPr>
        <w:footnoteReference w:id="1447"/>
      </w:r>
      <w:r>
        <w:rPr>
          <w:rFonts w:ascii="Amiri" w:hAnsi="Amiri" w:eastAsia="Amiri" w:cs="Amiri"/>
          <w:color w:val="111111"/>
          <w:sz w:val="28"/>
          <w:sz w:val="28"/>
          <w:szCs w:val="28"/>
          <w:rtl w:val="true"/>
          <w:lang w:bidi="ar-SA"/>
        </w:rPr>
        <w:t>أحَدِ المُستحَقَّينِ قَطعٌ عن المُستحَقِّ الآخَرِ؟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ألّاجَوَّزتم أن يُثابَ أحياناً في الجَنّةِ و يُعاقَبَ‌</w:t>
      </w:r>
      <w:r>
        <w:rPr>
          <w:rStyle w:val="FootnoteAnchor"/>
          <w:rtl w:val="true"/>
        </w:rPr>
        <w:footnoteReference w:id="1448"/>
      </w:r>
      <w:r>
        <w:rPr>
          <w:rFonts w:ascii="Amiri" w:hAnsi="Amiri" w:eastAsia="Amiri" w:cs="Amiri"/>
          <w:color w:val="111111"/>
          <w:sz w:val="28"/>
          <w:sz w:val="28"/>
          <w:szCs w:val="28"/>
          <w:rtl w:val="true"/>
          <w:lang w:bidi="ar-SA"/>
        </w:rPr>
        <w:t>أحياناً في النارِ، و يُوَفَّرَ عليه في حال ثَوابِه ما فاتَه مِن الثوابِ في أوقاتِ عِقابِه تَوفيراً واجباً، و يُوَفَّرَ عليه</w:t>
      </w:r>
      <w:r>
        <w:rPr>
          <w:rStyle w:val="FootnoteAnchor"/>
          <w:rtl w:val="true"/>
        </w:rPr>
        <w:footnoteReference w:id="1449"/>
      </w:r>
      <w:r>
        <w:rPr>
          <w:rFonts w:ascii="Amiri" w:hAnsi="Amiri" w:eastAsia="Amiri" w:cs="Amiri"/>
          <w:color w:val="111111"/>
          <w:sz w:val="28"/>
          <w:sz w:val="28"/>
          <w:szCs w:val="28"/>
          <w:rtl w:val="true"/>
          <w:lang w:bidi="ar-SA"/>
        </w:rPr>
        <w:t xml:space="preserve">في أوقاتِ عِقابِه ما فاتَه منه في أوقاتِ ثَوابِه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لَيسَ بواجبٍ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يَزالُ علىٰ هذا أبَداً سَرمَداً مُعاقَباً مُثاباً؟ فكَيفَ زَعمتم أنّ الدائمَينِ مِن الثوابِ و العِقابِ لا يَجتَمِعُ استحقاقُهما؟ </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غيرُ مانعٍ مِن أن يَجريَ الأمرُ علىٰ ما ذُكِرَ في السؤالِ‌، غيرَ أنّ السمعَ و الإجماعَ مَنَعا منه؛ و لا خِلافَ بَينَ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مَذاهبِها</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أُدخِلَ الجَنّةَ و أُثيبَ‌</w:t>
      </w:r>
      <w:r>
        <w:rPr>
          <w:rStyle w:val="FootnoteAnchor"/>
          <w:rtl w:val="true"/>
        </w:rPr>
        <w:footnoteReference w:id="1451"/>
      </w:r>
      <w:r>
        <w:rPr>
          <w:rFonts w:ascii="Amiri" w:hAnsi="Amiri" w:eastAsia="Amiri" w:cs="Amiri"/>
          <w:color w:val="111111"/>
          <w:sz w:val="28"/>
          <w:sz w:val="28"/>
          <w:szCs w:val="28"/>
          <w:rtl w:val="true"/>
          <w:lang w:bidi="ar-SA"/>
        </w:rPr>
        <w:t>فيها لا يَخرُجُ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الإجماعُ يَمنَعُ مِن هذا التنزيلِ و</w:t>
      </w:r>
      <w:r>
        <w:rPr>
          <w:rStyle w:val="FootnoteAnchor"/>
          <w:rtl w:val="true"/>
        </w:rPr>
        <w:footnoteReference w:id="1452"/>
      </w:r>
      <w:r>
        <w:rPr>
          <w:rFonts w:ascii="Amiri" w:hAnsi="Amiri" w:eastAsia="Amiri" w:cs="Amiri"/>
          <w:color w:val="111111"/>
          <w:sz w:val="28"/>
          <w:sz w:val="28"/>
          <w:szCs w:val="28"/>
          <w:rtl w:val="true"/>
          <w:lang w:bidi="ar-SA"/>
        </w:rPr>
        <w:t>التقديرِ الذي</w:t>
      </w:r>
      <w:r>
        <w:rPr>
          <w:rStyle w:val="FootnoteAnchor"/>
          <w:rtl w:val="true"/>
        </w:rPr>
        <w:footnoteReference w:id="1453"/>
      </w:r>
      <w:r>
        <w:rPr>
          <w:rFonts w:ascii="Amiri" w:hAnsi="Amiri" w:eastAsia="Amiri" w:cs="Amiri"/>
          <w:color w:val="111111"/>
          <w:sz w:val="28"/>
          <w:sz w:val="28"/>
          <w:szCs w:val="28"/>
          <w:rtl w:val="true"/>
          <w:lang w:bidi="ar-SA"/>
        </w:rPr>
        <w:t>تَضمَّنَه</w:t>
      </w:r>
      <w:r>
        <w:rPr>
          <w:rStyle w:val="FootnoteAnchor"/>
          <w:rtl w:val="true"/>
        </w:rPr>
        <w:footnoteReference w:id="1454"/>
      </w:r>
      <w:r>
        <w:rPr>
          <w:rFonts w:ascii="Amiri" w:hAnsi="Amiri" w:eastAsia="Amiri" w:cs="Amiri"/>
          <w:color w:val="111111"/>
          <w:sz w:val="28"/>
          <w:sz w:val="28"/>
          <w:szCs w:val="28"/>
          <w:rtl w:val="true"/>
          <w:lang w:bidi="ar-SA"/>
        </w:rPr>
        <w:t>السؤالُ‌، فلَم يَبقَ بَعدَه إلّاما ذَكرناه مِن القَطعِ علىٰ أنّ عِقابَ المَعاصي التي لَيسَت بكُفرٍ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مَرجُوّةٌ في إسقاطِ عِقابِ المَعاصي الواقعةِ من المؤمِنينَ‌؛ لأنّ الإجماعَ حاصلٌ علىٰ أنّ للنبيِّ صَلَّى اللّٰهُ عليه و آلِه شَفاعةً في أُمّتِه مقبولةً مسموعةً‌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حقيقةُ الشفاعةِ و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إسقاطِ العِقابِ عن مُستَحِقّه، و إنّما تُستَعمَلُ‌</w:t>
      </w:r>
      <w:r>
        <w:rPr>
          <w:rStyle w:val="FootnoteAnchor"/>
          <w:rtl w:val="true"/>
        </w:rPr>
        <w:footnoteReference w:id="1455"/>
      </w:r>
      <w:r>
        <w:rPr>
          <w:rFonts w:ascii="Amiri" w:hAnsi="Amiri" w:eastAsia="Amiri" w:cs="Amiri"/>
          <w:color w:val="111111"/>
          <w:sz w:val="28"/>
          <w:sz w:val="28"/>
          <w:szCs w:val="28"/>
          <w:rtl w:val="true"/>
          <w:lang w:bidi="ar-SA"/>
        </w:rPr>
        <w:t>في طَلَبِ إيصالِ المَنافعِ مَجازاً و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أنّ طَلَبَ إسقاطِ الضرَرِ و العِقابِ يَكونُ شَفاعةً علَى الحقيقةِ‌، فلَم يَبقَ إلّا أن نُبيِّنَ أنّ طَلَبَ إيصالِ النفعِ لَيسَ بشَفاعةٍ حقيقةً‌؛</w:t>
      </w:r>
      <w:r>
        <w:rPr>
          <w:rStyle w:val="FootnoteAnchor"/>
          <w:rtl w:val="true"/>
        </w:rPr>
        <w:footnoteReference w:id="1456"/>
      </w:r>
      <w:r>
        <w:rPr>
          <w:rFonts w:ascii="Amiri" w:hAnsi="Amiri" w:eastAsia="Amiri" w:cs="Amiri"/>
          <w:color w:val="111111"/>
          <w:sz w:val="28"/>
          <w:sz w:val="28"/>
          <w:szCs w:val="28"/>
          <w:rtl w:val="true"/>
          <w:lang w:bidi="ar-SA"/>
        </w:rPr>
        <w:t>و الذي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شَفاعةً علَى التحقيقِ‌، لَكُنّا شافعِينَ في النبيِّ صَلَّى اللّٰهُ عليه و آلِه؛ لأنّا مُتعبَّدونَ بأن نَطلُبَ له عليه السلامُ مِن اللّٰهِ عَزَّ و جَلَّ الزيادةَ مِن كَراماتِه، و التعليةَ لمَنازلِه، و التوفيرَ مِن كُلِّ خَيرٍ </w:t>
      </w:r>
    </w:p>
    <w:p>
      <w:pPr>
        <w:pStyle w:val="BookText"/>
        <w:rPr/>
      </w:pPr>
      <w:r>
        <w:rPr>
          <w:rFonts w:ascii="Amiri" w:hAnsi="Amiri" w:eastAsia="Amiri" w:cs="Amiri"/>
          <w:color w:val="111111"/>
          <w:sz w:val="28"/>
          <w:sz w:val="28"/>
          <w:szCs w:val="28"/>
          <w:rtl w:val="true"/>
          <w:lang w:bidi="ar-SA"/>
        </w:rPr>
        <w:t>لحُظوظِه</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و لا إشكالَ في أنّا غيرُ شافعِينَ فيه عليه السلامُ‌؛ لا لفظاً و 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1458"/>
      </w:r>
      <w:r>
        <w:rPr>
          <w:rFonts w:ascii="Amiri" w:hAnsi="Amiri" w:eastAsia="Amiri" w:cs="Amiri"/>
          <w:color w:val="111111"/>
          <w:sz w:val="28"/>
          <w:sz w:val="28"/>
          <w:szCs w:val="28"/>
          <w:rtl w:val="true"/>
          <w:lang w:bidi="ar-SA"/>
        </w:rPr>
        <w:t>لَم يَسُغِ‌</w:t>
      </w:r>
      <w:r>
        <w:rPr>
          <w:rStyle w:val="FootnoteAnchor"/>
          <w:rtl w:val="true"/>
        </w:rPr>
        <w:footnoteReference w:id="1459"/>
      </w:r>
      <w:r>
        <w:rPr>
          <w:rFonts w:ascii="Amiri" w:hAnsi="Amiri" w:eastAsia="Amiri" w:cs="Amiri"/>
          <w:color w:val="111111"/>
          <w:sz w:val="28"/>
          <w:sz w:val="28"/>
          <w:szCs w:val="28"/>
          <w:rtl w:val="true"/>
          <w:lang w:bidi="ar-SA"/>
        </w:rPr>
        <w:t>القولُ بأنّا شافعونَ‌</w:t>
      </w:r>
      <w:r>
        <w:rPr>
          <w:rStyle w:val="FootnoteAnchor"/>
          <w:rtl w:val="true"/>
        </w:rPr>
        <w:footnoteReference w:id="1460"/>
      </w:r>
      <w:r>
        <w:rPr>
          <w:rFonts w:ascii="Amiri" w:hAnsi="Amiri" w:eastAsia="Amiri" w:cs="Amiri"/>
          <w:color w:val="111111"/>
          <w:sz w:val="28"/>
          <w:sz w:val="28"/>
          <w:szCs w:val="28"/>
          <w:rtl w:val="true"/>
          <w:lang w:bidi="ar-SA"/>
        </w:rPr>
        <w:t>له لنُقصانِ رُتبَتِنا عن رُتبَتِه، و الشافعُ يَجبُ‌</w:t>
      </w:r>
      <w:r>
        <w:rPr>
          <w:rStyle w:val="FootnoteAnchor"/>
          <w:rtl w:val="true"/>
        </w:rPr>
        <w:footnoteReference w:id="1461"/>
      </w:r>
      <w:r>
        <w:rPr>
          <w:rFonts w:ascii="Amiri" w:hAnsi="Amiri" w:eastAsia="Amiri" w:cs="Amiri"/>
          <w:color w:val="111111"/>
          <w:sz w:val="28"/>
          <w:sz w:val="28"/>
          <w:szCs w:val="28"/>
          <w:rtl w:val="true"/>
          <w:lang w:bidi="ar-SA"/>
        </w:rPr>
        <w:t>أن يَكونَ أعلىٰ رُتبةً مِن المشفوعِ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منهم للرُّتبةِ‌</w:t>
      </w:r>
      <w:r>
        <w:rPr>
          <w:rStyle w:val="FootnoteAnchor"/>
          <w:rtl w:val="true"/>
        </w:rPr>
        <w:footnoteReference w:id="1462"/>
      </w:r>
      <w:r>
        <w:rPr>
          <w:rFonts w:ascii="Amiri" w:hAnsi="Amiri" w:eastAsia="Amiri" w:cs="Amiri"/>
          <w:color w:val="111111"/>
          <w:sz w:val="28"/>
          <w:sz w:val="28"/>
          <w:szCs w:val="28"/>
          <w:rtl w:val="true"/>
          <w:lang w:bidi="ar-SA"/>
        </w:rPr>
        <w:t xml:space="preserve">غلطٌ فاحشٌ‌؛ لأنّ الرُّتبةَ إنّما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تُعتَبَرُ</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المُخاطِبِ و المُخاطَبِ‌، و لا يَعتَبِرُها أحَدٌ بَينَ المُخاطِبِ و المُخاطَبِ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الآمِرَ لا بُدَّ أن يَكونَ أعلىٰ رُتبةً مِن المأمورِ، و الناهيَ لا بُدَّ أن يَكونَ أعلىٰ مَنزِلةً مِن المَنهيِّ‌، و لا اعتبارَ</w:t>
      </w:r>
      <w:r>
        <w:rPr>
          <w:rStyle w:val="FootnoteAnchor"/>
          <w:rtl w:val="true"/>
        </w:rPr>
        <w:footnoteReference w:id="1464"/>
      </w:r>
      <w:r>
        <w:rPr>
          <w:rFonts w:ascii="Amiri" w:hAnsi="Amiri" w:eastAsia="Amiri" w:cs="Amiri"/>
          <w:color w:val="111111"/>
          <w:sz w:val="28"/>
          <w:sz w:val="28"/>
          <w:szCs w:val="28"/>
          <w:rtl w:val="true"/>
          <w:lang w:bidi="ar-SA"/>
        </w:rPr>
        <w:t xml:space="preserve">بمَن يَتعلَّقُ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مُنخَفِضَ الرُّتبةِ‌</w:t>
      </w:r>
      <w:r>
        <w:rPr>
          <w:rStyle w:val="FootnoteAnchor"/>
          <w:rtl w:val="true"/>
        </w:rPr>
        <w:footnoteReference w:id="1465"/>
      </w:r>
      <w:r>
        <w:rPr>
          <w:rFonts w:ascii="Amiri" w:hAnsi="Amiri" w:eastAsia="Amiri" w:cs="Amiri"/>
          <w:color w:val="111111"/>
          <w:sz w:val="28"/>
          <w:sz w:val="28"/>
          <w:szCs w:val="28"/>
          <w:rtl w:val="true"/>
          <w:lang w:bidi="ar-SA"/>
        </w:rPr>
        <w:t>أو عاليَ المكانِ‌؛ بَل الِاعتبارُ في الرُّتبةِ بَينَ المُتَخاطِبَينِ؟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الشفاعةُ يُعتَبَرُ فيها الرُّتبةُ‌</w:t>
      </w:r>
      <w:r>
        <w:rPr>
          <w:rStyle w:val="FootnoteAnchor"/>
          <w:rtl w:val="true"/>
        </w:rPr>
        <w:footnoteReference w:id="1466"/>
      </w:r>
      <w:r>
        <w:rPr>
          <w:rFonts w:ascii="Amiri" w:hAnsi="Amiri" w:eastAsia="Amiri" w:cs="Amiri"/>
          <w:color w:val="111111"/>
          <w:sz w:val="28"/>
          <w:sz w:val="28"/>
          <w:szCs w:val="28"/>
          <w:rtl w:val="true"/>
          <w:lang w:bidi="ar-SA"/>
        </w:rPr>
        <w:t>لا مَحالةَ‌</w:t>
      </w:r>
      <w:r>
        <w:rPr>
          <w:rStyle w:val="FootnoteAnchor"/>
          <w:rtl w:val="true"/>
        </w:rPr>
        <w:footnoteReference w:id="1467"/>
      </w:r>
      <w:r>
        <w:rPr>
          <w:rFonts w:ascii="Amiri" w:hAnsi="Amiri" w:eastAsia="Amiri" w:cs="Amiri"/>
          <w:color w:val="111111"/>
          <w:sz w:val="28"/>
          <w:sz w:val="28"/>
          <w:szCs w:val="28"/>
          <w:rtl w:val="true"/>
          <w:lang w:bidi="ar-SA"/>
        </w:rPr>
        <w:t>، لكِنْ بَينَ الشافعِ و المشفوعِ إليه، لا</w:t>
      </w:r>
      <w:r>
        <w:rPr>
          <w:rStyle w:val="FootnoteAnchor"/>
          <w:rtl w:val="true"/>
        </w:rPr>
        <w:footnoteReference w:id="1468"/>
      </w:r>
      <w:r>
        <w:rPr>
          <w:rFonts w:ascii="Amiri" w:hAnsi="Amiri" w:eastAsia="Amiri" w:cs="Amiri"/>
          <w:color w:val="111111"/>
          <w:sz w:val="28"/>
          <w:sz w:val="28"/>
          <w:szCs w:val="28"/>
          <w:rtl w:val="true"/>
          <w:lang w:bidi="ar-SA"/>
        </w:rPr>
        <w:t>يُسمّىٰ شافعاً إلّاإذا كانَ‌</w:t>
      </w:r>
      <w:r>
        <w:rPr>
          <w:rStyle w:val="FootnoteAnchor"/>
          <w:rtl w:val="true"/>
        </w:rPr>
        <w:footnoteReference w:id="1469"/>
      </w:r>
      <w:r>
        <w:rPr>
          <w:rFonts w:ascii="Amiri" w:hAnsi="Amiri" w:eastAsia="Amiri" w:cs="Amiri"/>
          <w:color w:val="111111"/>
          <w:sz w:val="28"/>
          <w:sz w:val="28"/>
          <w:szCs w:val="28"/>
          <w:rtl w:val="true"/>
          <w:lang w:bidi="ar-SA"/>
        </w:rPr>
        <w:t>أدوَنَ رُتبةً مِن المشفوعِ إليه</w:t>
      </w:r>
      <w:r>
        <w:rPr>
          <w:rStyle w:val="FootnoteAnchor"/>
          <w:rtl w:val="true"/>
        </w:rPr>
        <w:footnoteReference w:id="1470"/>
      </w:r>
      <w:r>
        <w:rPr>
          <w:rFonts w:ascii="Amiri" w:hAnsi="Amiri" w:eastAsia="Amiri" w:cs="Amiri"/>
          <w:color w:val="111111"/>
          <w:sz w:val="28"/>
          <w:sz w:val="28"/>
          <w:szCs w:val="28"/>
          <w:rtl w:val="true"/>
          <w:lang w:bidi="ar-SA"/>
        </w:rPr>
        <w:t xml:space="preserve">، و حُكمُ المشفوعِ‌ </w:t>
      </w:r>
    </w:p>
    <w:p>
      <w:pPr>
        <w:pStyle w:val="BookText"/>
        <w:rPr/>
      </w:pPr>
      <w:r>
        <w:rPr>
          <w:rFonts w:ascii="Amiri" w:hAnsi="Amiri" w:eastAsia="Amiri" w:cs="Amiri"/>
          <w:color w:val="111111"/>
          <w:sz w:val="28"/>
          <w:sz w:val="28"/>
          <w:szCs w:val="28"/>
          <w:rtl w:val="true"/>
          <w:lang w:bidi="ar-SA"/>
        </w:rPr>
        <w:t>فيه في أنّه لا اعتبارَ برُتبتِه</w:t>
      </w:r>
      <w:r>
        <w:rPr>
          <w:rStyle w:val="FootnoteAnchor"/>
          <w:rtl w:val="true"/>
        </w:rPr>
        <w:footnoteReference w:id="1471"/>
      </w:r>
      <w:r>
        <w:rPr>
          <w:rFonts w:ascii="Amiri" w:hAnsi="Amiri" w:eastAsia="Amiri" w:cs="Amiri"/>
          <w:color w:val="111111"/>
          <w:sz w:val="28"/>
          <w:sz w:val="28"/>
          <w:szCs w:val="28"/>
          <w:rtl w:val="true"/>
          <w:lang w:bidi="ar-SA"/>
        </w:rPr>
        <w:t>حُكمُ المأمورِ فيه في ذلكَ‌</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أنّ‌</w:t>
      </w:r>
      <w:r>
        <w:rPr>
          <w:rStyle w:val="FootnoteAnchor"/>
          <w:rtl w:val="true"/>
        </w:rPr>
        <w:footnoteReference w:id="1473"/>
      </w:r>
      <w:r>
        <w:rPr>
          <w:rFonts w:ascii="Amiri" w:hAnsi="Amiri" w:eastAsia="Amiri" w:cs="Amiri"/>
          <w:color w:val="111111"/>
          <w:sz w:val="28"/>
          <w:sz w:val="28"/>
          <w:szCs w:val="28"/>
          <w:rtl w:val="true"/>
          <w:lang w:bidi="ar-SA"/>
        </w:rPr>
        <w:t>شَفاعةَ النبيِّ صَلَّى اللّٰهُ عليه و آلِه إنّما هي في إسقاطِ العِقابِ دونَ إيصالِ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المُتَظاهِرُ</w:t>
      </w:r>
      <w:r>
        <w:rPr>
          <w:rStyle w:val="FootnoteAnchor"/>
          <w:rtl w:val="true"/>
        </w:rPr>
        <w:footnoteReference w:id="1474"/>
      </w:r>
      <w:r>
        <w:rPr>
          <w:rFonts w:ascii="Amiri" w:hAnsi="Amiri" w:eastAsia="Amiri" w:cs="Amiri"/>
          <w:color w:val="111111"/>
          <w:sz w:val="28"/>
          <w:sz w:val="28"/>
          <w:szCs w:val="28"/>
          <w:rtl w:val="true"/>
          <w:lang w:bidi="ar-SA"/>
        </w:rPr>
        <w:t xml:space="preserve">المُجمَعُ علىٰ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الخِلافُ 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شَفاعتي لأهلِ الكَبائرِ مِن أُمّتي</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فهَل تخصيصُ أهلِ الكَبائرِ بالشفاعةِ إلّالأجلِ استحقاقِهم للعِقابِ؟</w:t>
      </w:r>
    </w:p>
    <w:p>
      <w:pPr>
        <w:pStyle w:val="BookText"/>
        <w:rPr/>
      </w:pPr>
      <w:r>
        <w:rPr>
          <w:rFonts w:ascii="Amiri" w:hAnsi="Amiri" w:eastAsia="Amiri" w:cs="Amiri"/>
          <w:color w:val="111111"/>
          <w:sz w:val="28"/>
          <w:sz w:val="28"/>
          <w:szCs w:val="28"/>
          <w:rtl w:val="true"/>
          <w:lang w:bidi="ar-SA"/>
        </w:rPr>
        <w:t>و لَو كانَت الشفاعةُ في المَنافعِ‌، لَم يَكُن لهذا القولِ معنىً‌؛ لأنّ أهلَ‌</w:t>
      </w:r>
      <w:r>
        <w:rPr>
          <w:rStyle w:val="FootnoteAnchor"/>
          <w:rtl w:val="true"/>
        </w:rPr>
        <w:footnoteReference w:id="1476"/>
      </w:r>
      <w:r>
        <w:rPr>
          <w:rFonts w:ascii="Amiri" w:hAnsi="Amiri" w:eastAsia="Amiri" w:cs="Amiri"/>
          <w:color w:val="111111"/>
          <w:sz w:val="28"/>
          <w:sz w:val="28"/>
          <w:szCs w:val="28"/>
          <w:rtl w:val="true"/>
          <w:lang w:bidi="ar-SA"/>
        </w:rPr>
        <w:t>الكَبائرِ كغَيرِهم في الانتفاعِ بزيادةِ‌</w:t>
      </w:r>
      <w:r>
        <w:rPr>
          <w:rStyle w:val="FootnoteAnchor"/>
          <w:rtl w:val="true"/>
        </w:rPr>
        <w:footnoteReference w:id="1477"/>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w:t>
      </w:r>
      <w:r>
        <w:rPr>
          <w:rStyle w:val="FootnoteAnchor"/>
          <w:rtl w:val="true"/>
        </w:rPr>
        <w:footnoteReference w:id="1478"/>
      </w:r>
      <w:r>
        <w:rPr>
          <w:rFonts w:ascii="Amiri" w:hAnsi="Amiri" w:eastAsia="Amiri" w:cs="Amiri"/>
          <w:color w:val="111111"/>
          <w:sz w:val="28"/>
          <w:sz w:val="28"/>
          <w:szCs w:val="28"/>
          <w:rtl w:val="true"/>
          <w:lang w:bidi="ar-SA"/>
        </w:rPr>
        <w:t>هذا واضحٌ لِمَن تأمَّلَه</w:t>
      </w:r>
      <w:r>
        <w:rPr>
          <w:rFonts w:eastAsia="Amiri" w:cs="Amiri" w:ascii="Amiri" w:hAnsi="Amiri"/>
          <w:color w:val="111111"/>
          <w:sz w:val="28"/>
          <w:szCs w:val="28"/>
          <w:rtl w:val="true"/>
          <w:lang w:bidi="ar-SA"/>
        </w:rPr>
        <w:t xml:space="preserve">. </w:t>
      </w:r>
      <w:bookmarkStart w:id="261" w:name="pg16415_223897"/>
    </w:p>
    <w:p>
      <w:pPr>
        <w:pStyle w:val="Heading6"/>
        <w:numPr>
          <w:ilvl w:val="5"/>
          <w:numId w:val="1"/>
        </w:numPr>
        <w:rPr/>
      </w:pPr>
      <w:bookmarkStart w:id="262" w:name="__RefHeading___Toc7642408_1280447820"/>
      <w:bookmarkStart w:id="263" w:name="_Toc91"/>
      <w:bookmarkEnd w:id="261"/>
      <w:bookmarkEnd w:id="262"/>
      <w:r>
        <w:rPr>
          <w:rtl w:val="true"/>
        </w:rPr>
        <w:t>المَسألةُ الخامسةُ القُرآنُ مُحدَثٌ غيرُ مخلوقٍ‌</w:t>
      </w:r>
      <w:bookmarkEnd w:id="263"/>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هَل هو مخلوقٌ أو غيرُ مخلوقٍ؟</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مُحدَثٌ لا مَحالةَ‌، و أماراتُ الحَدَثِ في الكلامِ أبيَنُ و أظهَرُ منها في الأجسامِ و كَثيرٍ مِن الأعراضِ‌؛ لأنّ الكلامَ يُعلَمُ تَجدُّدُه بالإدراكِ‌</w:t>
      </w:r>
      <w:r>
        <w:rPr>
          <w:rStyle w:val="FootnoteAnchor"/>
          <w:rtl w:val="true"/>
        </w:rPr>
        <w:footnoteReference w:id="1479"/>
      </w:r>
      <w:r>
        <w:rPr>
          <w:rFonts w:ascii="Amiri" w:hAnsi="Amiri" w:eastAsia="Amiri" w:cs="Amiri"/>
          <w:color w:val="111111"/>
          <w:sz w:val="28"/>
          <w:sz w:val="28"/>
          <w:szCs w:val="28"/>
          <w:rtl w:val="true"/>
          <w:lang w:bidi="ar-SA"/>
        </w:rPr>
        <w:t>، و تَقضّيهِ‌</w:t>
      </w:r>
      <w:r>
        <w:rPr>
          <w:rStyle w:val="FootnoteAnchor"/>
          <w:rtl w:val="true"/>
        </w:rPr>
        <w:footnoteReference w:id="1480"/>
      </w:r>
      <w:r>
        <w:rPr>
          <w:rFonts w:ascii="Amiri" w:hAnsi="Amiri" w:eastAsia="Amiri" w:cs="Amiri"/>
          <w:color w:val="111111"/>
          <w:sz w:val="28"/>
          <w:sz w:val="28"/>
          <w:szCs w:val="28"/>
          <w:rtl w:val="true"/>
          <w:lang w:bidi="ar-SA"/>
        </w:rPr>
        <w:t>بفَقدِ الإدراكِ‌، و المُتجدِّدُ لا يَكونُ إلّامُحدَثاً، و المُتَقضّي</w:t>
      </w:r>
      <w:r>
        <w:rPr>
          <w:rStyle w:val="FootnoteAnchor"/>
          <w:rtl w:val="true"/>
        </w:rPr>
        <w:footnoteReference w:id="1481"/>
      </w:r>
      <w:r>
        <w:rPr>
          <w:rFonts w:ascii="Amiri" w:hAnsi="Amiri" w:eastAsia="Amiri" w:cs="Amiri"/>
          <w:color w:val="111111"/>
          <w:sz w:val="28"/>
          <w:sz w:val="28"/>
          <w:szCs w:val="28"/>
          <w:rtl w:val="true"/>
          <w:lang w:bidi="ar-SA"/>
        </w:rPr>
        <w:t>لا يَكونُ قَديماً، و ما لَيسَ بقَديمٍ و هو موجودٌ فمُحدَثٌ‌؛</w:t>
      </w:r>
      <w:r>
        <w:rPr>
          <w:rStyle w:val="FootnoteAnchor"/>
          <w:rtl w:val="true"/>
        </w:rPr>
        <w:footnoteReference w:id="1482"/>
      </w:r>
      <w:r>
        <w:rPr>
          <w:rFonts w:ascii="Amiri" w:hAnsi="Amiri" w:eastAsia="Amiri" w:cs="Amiri"/>
          <w:color w:val="111111"/>
          <w:sz w:val="28"/>
          <w:sz w:val="28"/>
          <w:szCs w:val="28"/>
          <w:rtl w:val="true"/>
          <w:lang w:bidi="ar-SA"/>
        </w:rPr>
        <w:t>فكَيفَ لا يَكونُ القُرآنُ مُحدَثاً؟</w:t>
      </w:r>
    </w:p>
    <w:p>
      <w:pPr>
        <w:pStyle w:val="BookText"/>
        <w:rPr/>
      </w:pPr>
      <w:r>
        <w:rPr>
          <w:rFonts w:ascii="Amiri" w:hAnsi="Amiri" w:eastAsia="Amiri" w:cs="Amiri"/>
          <w:color w:val="111111"/>
          <w:sz w:val="28"/>
          <w:sz w:val="28"/>
          <w:szCs w:val="28"/>
          <w:rtl w:val="true"/>
          <w:lang w:bidi="ar-SA"/>
        </w:rPr>
        <w:t>و له أوّلٌ و آخِرٌ و أبعاضٌ و أجزاءٌ‌؛</w:t>
      </w:r>
      <w:r>
        <w:rPr>
          <w:rStyle w:val="FootnoteAnchor"/>
          <w:rtl w:val="true"/>
        </w:rPr>
        <w:footnoteReference w:id="1483"/>
      </w:r>
      <w:r>
        <w:rPr>
          <w:rFonts w:ascii="IRNazanin" w:hAnsi="IRNazanin" w:eastAsia="IRNazanin"/>
          <w:color w:val="111111"/>
          <w:sz w:val="28"/>
          <w:sz w:val="28"/>
          <w:szCs w:val="28"/>
          <w:rtl w:val="true"/>
          <w:lang w:bidi="fa-IR"/>
        </w:rPr>
        <w:t>و</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الحَدَثِ‌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موصوفٌ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 و لا يَليقُ بهذه الأوصافِ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وَصَفَه اللّٰهُ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و أضافَه إلَى العَرَبيّةِ‌؛ و معلومٌ أنّ العَرَبيّةَ‌</w:t>
      </w:r>
      <w:r>
        <w:rPr>
          <w:rStyle w:val="FootnoteAnchor"/>
          <w:rtl w:val="true"/>
        </w:rPr>
        <w:footnoteReference w:id="1488"/>
      </w:r>
      <w:r>
        <w:rPr>
          <w:rFonts w:ascii="IRNazanin" w:hAnsi="IRNazanin" w:eastAsia="IRNazanin"/>
          <w:color w:val="111111"/>
          <w:sz w:val="28"/>
          <w:sz w:val="28"/>
          <w:szCs w:val="28"/>
          <w:rtl w:val="true"/>
          <w:lang w:bidi="fa-IR"/>
        </w:rPr>
        <w:t>لها</w:t>
      </w:r>
      <w:r>
        <w:rPr>
          <w:rStyle w:val="FootnoteAnchor"/>
          <w:rtl w:val="true"/>
        </w:rPr>
        <w:footnoteReference w:id="1489"/>
      </w:r>
      <w:r>
        <w:rPr>
          <w:rFonts w:ascii="Amiri" w:hAnsi="Amiri" w:eastAsia="Amiri" w:cs="Amiri"/>
          <w:color w:val="111111"/>
          <w:sz w:val="28"/>
          <w:sz w:val="28"/>
          <w:szCs w:val="28"/>
          <w:rtl w:val="true"/>
          <w:lang w:bidi="ar-SA"/>
        </w:rPr>
        <w:t>أوّلٌ‌، فما</w:t>
      </w:r>
      <w:r>
        <w:rPr>
          <w:rStyle w:val="FootnoteAnchor"/>
          <w:rtl w:val="true"/>
        </w:rPr>
        <w:footnoteReference w:id="1490"/>
      </w:r>
      <w:r>
        <w:rPr>
          <w:rFonts w:ascii="Amiri" w:hAnsi="Amiri" w:eastAsia="Amiri" w:cs="Amiri"/>
          <w:color w:val="111111"/>
          <w:sz w:val="28"/>
          <w:sz w:val="28"/>
          <w:szCs w:val="28"/>
          <w:rtl w:val="true"/>
          <w:lang w:bidi="ar-SA"/>
        </w:rPr>
        <w:t>أُضيفَ إليها لا بُدَّ أن يَكونَ مُحدَثاً ذا أوّلٍ‌</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وَصَفَ اللّٰهُ تَعالَى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مُصرِّحاً غيرَ مُلوِّحٍ‌، و لا يَجوزُ أن يَصِفَه بغَيرِ ما يَستَحِقُّه مِن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الوصفُ للقُرآنِ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فالواجبُ الامتناعُ منه، و العُدولُ‌</w:t>
      </w:r>
      <w:r>
        <w:rPr>
          <w:rStyle w:val="FootnoteAnchor"/>
          <w:rtl w:val="true"/>
        </w:rPr>
        <w:footnoteReference w:id="1493"/>
      </w:r>
      <w:r>
        <w:rPr>
          <w:rFonts w:ascii="Amiri" w:hAnsi="Amiri" w:eastAsia="Amiri" w:cs="Amiri"/>
          <w:color w:val="111111"/>
          <w:sz w:val="28"/>
          <w:sz w:val="28"/>
          <w:szCs w:val="28"/>
          <w:rtl w:val="true"/>
          <w:lang w:bidi="ar-SA"/>
        </w:rPr>
        <w:t>عن إطلاقِه؛ لأنّ اللغةَ العربيّةَ تَقتَضي فيما وُصِفَ مِن الكلامِ بأنّه مخلوقٌ أو مُختَلَقٌ أنّه مكذوبٌ مُضافٌ إلىٰ غيرِ فاعلِه، و لهذا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و لا فَرقَ بَينَ قولِ العَرَبيِّ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كلامَكَ و اختَلَقتَه؛ و 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مَخلوقةٌ‌، إذا أُضيفَت إلىٰ غيرِ قائلِها و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تَعارُفٌ ظاهرٌ في هذه اللفظةِ‌، يَمنَعُ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عن أئمّتِنا عليهم السلامُ في هذا المعنىٰ أخبارٌ كثيرةٌ تَمنَعُ مِن وصفِ‌ </w:t>
      </w:r>
    </w:p>
    <w:p>
      <w:pPr>
        <w:pStyle w:val="BookText"/>
        <w:rPr/>
      </w:pPr>
      <w:r>
        <w:rPr>
          <w:rFonts w:ascii="Amiri" w:hAnsi="Amiri" w:eastAsia="Amiri" w:cs="Amiri"/>
          <w:color w:val="111111"/>
          <w:sz w:val="28"/>
          <w:sz w:val="28"/>
          <w:szCs w:val="28"/>
          <w:rtl w:val="true"/>
          <w:lang w:bidi="ar-SA"/>
        </w:rPr>
        <w:t>القُرآنِ بأنّه مخلوقٌ‌، و أنّهم عليهم السلامُ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خالقٌ‌، و لا مخلوقٌ‌</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قالَ في قِصّةِ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ما حَكَّمتُ مخلوقاً، و إنّما حَكَّمتُ كِتابَ اللّٰهِ عَزَّ و جَلَّ‌</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يُشبِهُ أن يَكونَ الوجهُ في منعِ أئمّتِنا عليهم السلامُ مِن وصفِ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 إن لَم يُصرِّحوا به عليهم السلامُ‌</w:t>
      </w:r>
      <w:r>
        <w:rPr>
          <w:rFonts w:eastAsia="Amiri" w:cs="Amiri" w:ascii="Amiri" w:hAnsi="Amiri"/>
          <w:color w:val="111111"/>
          <w:sz w:val="28"/>
          <w:szCs w:val="28"/>
          <w:rtl w:val="true"/>
          <w:lang w:bidi="ar-SA"/>
        </w:rPr>
        <w:t xml:space="preserve">. </w:t>
      </w:r>
      <w:bookmarkStart w:id="264" w:name="pg16415_223900"/>
    </w:p>
    <w:p>
      <w:pPr>
        <w:pStyle w:val="Heading6"/>
        <w:numPr>
          <w:ilvl w:val="5"/>
          <w:numId w:val="1"/>
        </w:numPr>
        <w:rPr/>
      </w:pPr>
      <w:bookmarkStart w:id="265" w:name="__RefHeading___Toc7642410_1280447820"/>
      <w:bookmarkStart w:id="266" w:name="_Toc92"/>
      <w:bookmarkEnd w:id="264"/>
      <w:bookmarkEnd w:id="265"/>
      <w:r>
        <w:rPr>
          <w:rtl w:val="true"/>
        </w:rPr>
        <w:t>المَسألةُ السادسةُ حُكمُ المُخالِفِ في الفُروعِ‌</w:t>
      </w:r>
      <w:bookmarkEnd w:id="266"/>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تمهيدَه</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 في 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مَجرَى الخِلافِ في أُصولِ الدينِ؟</w:t>
      </w:r>
    </w:p>
    <w:p>
      <w:pPr>
        <w:pStyle w:val="BookText"/>
        <w:rPr/>
      </w:pPr>
      <w:r>
        <w:rPr>
          <w:rFonts w:ascii="Amiri" w:hAnsi="Amiri" w:eastAsia="Amiri" w:cs="Amiri"/>
          <w:color w:val="111111"/>
          <w:sz w:val="28"/>
          <w:sz w:val="28"/>
          <w:szCs w:val="28"/>
          <w:rtl w:val="true"/>
          <w:lang w:bidi="ar-SA"/>
        </w:rPr>
        <w:t>و هَل المُخالِفُ في الأمرَينِ علىٰ حُكمٍ واحدٍ في</w:t>
      </w:r>
      <w:r>
        <w:rPr>
          <w:rStyle w:val="FootnoteAnchor"/>
          <w:rtl w:val="true"/>
        </w:rPr>
        <w:footnoteReference w:id="1500"/>
      </w:r>
      <w:r>
        <w:rPr>
          <w:rFonts w:ascii="Amiri" w:hAnsi="Amiri" w:eastAsia="Amiri" w:cs="Amiri"/>
          <w:color w:val="111111"/>
          <w:sz w:val="28"/>
          <w:sz w:val="28"/>
          <w:szCs w:val="28"/>
          <w:rtl w:val="true"/>
          <w:lang w:bidi="ar-SA"/>
        </w:rPr>
        <w:t>الضلالِ و الأحكامِ؟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فُروعَ الدينِ عندَنا كأُصولِه؛ في أنّ علىٰ كُلِّ‌</w:t>
      </w:r>
      <w:r>
        <w:rPr>
          <w:rStyle w:val="FootnoteAnchor"/>
          <w:rtl w:val="true"/>
        </w:rPr>
        <w:footnoteReference w:id="1501"/>
      </w:r>
      <w:r>
        <w:rPr>
          <w:rFonts w:ascii="Amiri" w:hAnsi="Amiri" w:eastAsia="Amiri" w:cs="Amiri"/>
          <w:color w:val="111111"/>
          <w:sz w:val="28"/>
          <w:sz w:val="28"/>
          <w:szCs w:val="28"/>
          <w:rtl w:val="true"/>
          <w:lang w:bidi="ar-SA"/>
        </w:rPr>
        <w:t xml:space="preserve">واحدٍ منها أدِلَّةً قاطعةً واضحةً لائحةً‌، و أنّ التوَصُّلَ إلَى العِلمِ بكُلِّ واحدٍ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الأُصولَ و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صَحيحٌ‌، و أنّ الظنَّ لا مَجالَ له في شَيءٍ مِن ذلكَ‌، و لا الاجتهادَ</w:t>
      </w:r>
      <w:r>
        <w:rPr>
          <w:rStyle w:val="FootnoteAnchor"/>
          <w:rtl w:val="true"/>
        </w:rPr>
        <w:footnoteReference w:id="1502"/>
      </w:r>
      <w:r>
        <w:rPr>
          <w:rFonts w:ascii="Amiri" w:hAnsi="Amiri" w:eastAsia="Amiri" w:cs="Amiri"/>
          <w:color w:val="111111"/>
          <w:sz w:val="28"/>
          <w:sz w:val="28"/>
          <w:szCs w:val="28"/>
          <w:rtl w:val="true"/>
          <w:lang w:bidi="ar-SA"/>
        </w:rPr>
        <w:t>المُفضي إلَى الظنِّ دونَ العِلمِ‌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 أنّ مَن خالَفَ في فَرعٍ‌</w:t>
      </w:r>
      <w:r>
        <w:rPr>
          <w:rStyle w:val="FootnoteAnchor"/>
          <w:rtl w:val="true"/>
        </w:rPr>
        <w:footnoteReference w:id="1503"/>
      </w:r>
      <w:r>
        <w:rPr>
          <w:rFonts w:ascii="Amiri" w:hAnsi="Amiri" w:eastAsia="Amiri" w:cs="Amiri"/>
          <w:color w:val="111111"/>
          <w:sz w:val="28"/>
          <w:sz w:val="28"/>
          <w:szCs w:val="28"/>
          <w:rtl w:val="true"/>
          <w:lang w:bidi="ar-SA"/>
        </w:rPr>
        <w:t xml:space="preserve">كُلِّفَ إصابتَه و إدراكَ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نُصِبَت </w:t>
      </w:r>
    </w:p>
    <w:p>
      <w:pPr>
        <w:pStyle w:val="BookText"/>
        <w:rPr/>
      </w:pPr>
      <w:r>
        <w:rPr>
          <w:rFonts w:ascii="Amiri" w:hAnsi="Amiri" w:eastAsia="Amiri" w:cs="Amiri"/>
          <w:color w:val="111111"/>
          <w:sz w:val="28"/>
          <w:sz w:val="28"/>
          <w:szCs w:val="28"/>
          <w:rtl w:val="true"/>
          <w:lang w:bidi="ar-SA"/>
        </w:rPr>
        <w:t>له الأدِلّةُ الدالّةُ عليه و الموصِلةُ إليه، يَكونُ عاصياً مُستَحِقّاً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أحكامِه؛ و هَل له أحكامُ أهلِ‌</w:t>
      </w:r>
      <w:r>
        <w:rPr>
          <w:rStyle w:val="FootnoteAnchor"/>
          <w:rtl w:val="true"/>
        </w:rPr>
        <w:footnoteReference w:id="1504"/>
      </w:r>
      <w:r>
        <w:rPr>
          <w:rFonts w:ascii="Amiri" w:hAnsi="Amiri" w:eastAsia="Amiri" w:cs="Amiri"/>
          <w:color w:val="111111"/>
          <w:sz w:val="28"/>
          <w:sz w:val="28"/>
          <w:szCs w:val="28"/>
          <w:rtl w:val="true"/>
          <w:lang w:bidi="ar-SA"/>
        </w:rPr>
        <w:t>الكُفرِ أَو غيرِهم‌؟</w:t>
      </w:r>
    </w:p>
    <w:p>
      <w:pPr>
        <w:pStyle w:val="BookText"/>
        <w:rPr/>
      </w:pPr>
      <w:r>
        <w:rPr>
          <w:rFonts w:ascii="Amiri" w:hAnsi="Amiri" w:eastAsia="Amiri" w:cs="Amiri"/>
          <w:color w:val="111111"/>
          <w:sz w:val="28"/>
          <w:sz w:val="28"/>
          <w:szCs w:val="28"/>
          <w:rtl w:val="true"/>
          <w:lang w:bidi="ar-SA"/>
        </w:rPr>
        <w:t>فطريقُه السمعُ‌، و لا مَجالَ لأدِلّةِ العقلِ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الشيعةُ الإماميّةُ 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شَذَّ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مُخالِفَها في الفُروعِ كمُخالِفِها في الأُصولِ في الأحكامِ‌</w:t>
      </w:r>
      <w:r>
        <w:rPr>
          <w:rFonts w:eastAsia="Amiri" w:cs="Amiri" w:ascii="Amiri" w:hAnsi="Amiri"/>
          <w:color w:val="111111"/>
          <w:sz w:val="28"/>
          <w:szCs w:val="28"/>
          <w:rtl w:val="true"/>
          <w:lang w:bidi="ar-SA"/>
        </w:rPr>
        <w:t>.</w:t>
      </w:r>
      <w:r>
        <w:rPr>
          <w:rStyle w:val="FootnoteAnchor"/>
          <w:rtl w:val="true"/>
        </w:rPr>
        <w:footnoteReference w:id="150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Style w:val="FootnoteAnchor"/>
          <w:rtl w:val="true"/>
        </w:rPr>
        <w:footnoteReference w:id="1506"/>
      </w:r>
      <w:r>
        <w:rPr>
          <w:rFonts w:ascii="Amiri" w:hAnsi="Amiri" w:eastAsia="Amiri" w:cs="Amiri"/>
          <w:color w:val="111111"/>
          <w:sz w:val="28"/>
          <w:sz w:val="28"/>
          <w:szCs w:val="28"/>
          <w:rtl w:val="true"/>
          <w:lang w:bidi="ar-SA"/>
        </w:rPr>
        <w:t>هذا نَظَرٌ و تفصيلٌ يَضيقُ الوقتُ عنه</w:t>
      </w:r>
      <w:r>
        <w:rPr>
          <w:rFonts w:eastAsia="Amiri" w:cs="Amiri" w:ascii="Amiri" w:hAnsi="Amiri"/>
          <w:color w:val="111111"/>
          <w:sz w:val="28"/>
          <w:szCs w:val="28"/>
          <w:rtl w:val="true"/>
          <w:lang w:bidi="ar-SA"/>
        </w:rPr>
        <w:t xml:space="preserve">. </w:t>
      </w:r>
      <w:bookmarkStart w:id="267" w:name="pg16415_223902"/>
    </w:p>
    <w:p>
      <w:pPr>
        <w:pStyle w:val="Heading6"/>
        <w:numPr>
          <w:ilvl w:val="5"/>
          <w:numId w:val="1"/>
        </w:numPr>
        <w:rPr/>
      </w:pPr>
      <w:bookmarkStart w:id="268" w:name="__RefHeading___Toc7642412_1280447820"/>
      <w:bookmarkStart w:id="269" w:name="_Toc93"/>
      <w:bookmarkEnd w:id="267"/>
      <w:bookmarkEnd w:id="268"/>
      <w:r>
        <w:rPr>
          <w:rtl w:val="true"/>
        </w:rPr>
        <w:t>المَسألةُ السابعةُ حُكمُ مُرتَكِبِ الكَبائرِ</w:t>
      </w:r>
      <w:bookmarkEnd w:id="269"/>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شارِبِ الخَمرِ، و الزاني، و مَن جَرىٰ مَجراهما مِن أهلِ المَعاصي الكَبائرِ، هل يَكونونَ‌</w:t>
      </w:r>
      <w:r>
        <w:rPr>
          <w:rStyle w:val="FootnoteAnchor"/>
          <w:rtl w:val="true"/>
        </w:rPr>
        <w:footnoteReference w:id="1507"/>
      </w:r>
      <w:r>
        <w:rPr>
          <w:rFonts w:ascii="Amiri" w:hAnsi="Amiri" w:eastAsia="Amiri" w:cs="Amiri"/>
          <w:color w:val="111111"/>
          <w:sz w:val="28"/>
          <w:sz w:val="28"/>
          <w:szCs w:val="28"/>
          <w:rtl w:val="true"/>
          <w:lang w:bidi="ar-SA"/>
        </w:rPr>
        <w:t>كُفّاراً باللّٰهِ تَعالىٰ و رَسولِه صَلَّى اللّٰهُ عليه و آلِه إذا لَم يَستَحِلّوا</w:t>
      </w:r>
      <w:r>
        <w:rPr>
          <w:rStyle w:val="FootnoteAnchor"/>
          <w:rtl w:val="true"/>
        </w:rPr>
        <w:footnoteReference w:id="1508"/>
      </w:r>
      <w:r>
        <w:rPr>
          <w:rFonts w:ascii="IRNazanin" w:hAnsi="IRNazanin" w:eastAsia="IRNazanin"/>
          <w:color w:val="111111"/>
          <w:sz w:val="28"/>
          <w:sz w:val="28"/>
          <w:szCs w:val="28"/>
          <w:rtl w:val="true"/>
          <w:lang w:bidi="fa-IR"/>
        </w:rPr>
        <w:t>ما</w:t>
      </w:r>
      <w:r>
        <w:rPr>
          <w:rStyle w:val="FootnoteAnchor"/>
          <w:rtl w:val="true"/>
        </w:rPr>
        <w:footnoteReference w:id="1509"/>
      </w:r>
      <w:r>
        <w:rPr>
          <w:rFonts w:ascii="Amiri" w:hAnsi="Amiri" w:eastAsia="Amiri" w:cs="Amiri"/>
          <w:color w:val="111111"/>
          <w:sz w:val="28"/>
          <w:sz w:val="28"/>
          <w:szCs w:val="28"/>
          <w:rtl w:val="true"/>
          <w:lang w:bidi="ar-SA"/>
        </w:rPr>
        <w:t>فَعَلوه‌؟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مُرتَكِبي هذه المَعاصي المذكورةِ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 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فالمُستَحِلُّ لا يَكونُ إلّاكافراً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لإجماعِ الأُمّةِ علىٰ تكفيرِه؛ لأنّه لا يَستَحِلُّ الخمرَ و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الضروريِّ بأنّ النبيَّ صَلَّى اللّٰهُ عليه و آلِه حَرَّمَهما، و كانَ مِن دينِه عليه السلامُ حَظْرُهما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هو شاكٌّ في نُبوّتِه عليه السلامُ و غيرُ مُصدِّقٍ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النبوّةِ كُفرٌ، فما لا بُدَّ مِن مُصاحَبةِ الشكِّ في النبوّةِ له كُفرٌ أيضاً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المُحرِّمُ لهذه المعاصي مع الإقدامِ عليها فلَيسَ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كافراً، لَوَجَبَ أن يَكونَ مُرتَدّاً؛ لأنّ كُفرَه بَعدَ إيمانٍ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مُرتَدّاً، لَكانَ مالُه </w:t>
      </w:r>
    </w:p>
    <w:p>
      <w:pPr>
        <w:pStyle w:val="BookText"/>
        <w:rPr/>
      </w:pPr>
      <w:r>
        <w:rPr>
          <w:rFonts w:ascii="Amiri" w:hAnsi="Amiri" w:eastAsia="Amiri" w:cs="Amiri"/>
          <w:color w:val="111111"/>
          <w:sz w:val="28"/>
          <w:sz w:val="28"/>
          <w:szCs w:val="28"/>
          <w:rtl w:val="true"/>
          <w:lang w:bidi="ar-SA"/>
        </w:rPr>
        <w:t>مُباحاً، و عَقدُ نِكاحِه مُنفَسِخاً، و لَم تَجُز مُوارَثتُه، و لا مُناكَحتُه، و لا دَفنُه في مَقابرِ المُسلِمينَ‌؛ لأنّ الكُفرَ يَمنَعُ مِن هذه الأحكامِ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المَذاهبُ إنّما قالَ بها</w:t>
      </w:r>
      <w:r>
        <w:rPr>
          <w:rStyle w:val="FootnoteAnchor"/>
          <w:rtl w:val="true"/>
        </w:rPr>
        <w:footnoteReference w:id="1510"/>
      </w:r>
      <w:r>
        <w:rPr>
          <w:rFonts w:ascii="Amiri" w:hAnsi="Amiri" w:eastAsia="Amiri" w:cs="Amiri"/>
          <w:color w:val="111111"/>
          <w:sz w:val="28"/>
          <w:sz w:val="28"/>
          <w:szCs w:val="28"/>
          <w:rtl w:val="true"/>
          <w:lang w:bidi="ar-SA"/>
        </w:rPr>
        <w:t>الخَوارجُ‌، و خالَفوا فيه</w:t>
      </w:r>
      <w:r>
        <w:rPr>
          <w:rStyle w:val="FootnoteAnchor"/>
          <w:rtl w:val="true"/>
        </w:rPr>
        <w:footnoteReference w:id="1511"/>
      </w:r>
      <w:r>
        <w:rPr>
          <w:rFonts w:ascii="Amiri" w:hAnsi="Amiri" w:eastAsia="Amiri" w:cs="Amiri"/>
          <w:color w:val="111111"/>
          <w:sz w:val="28"/>
          <w:sz w:val="28"/>
          <w:szCs w:val="28"/>
          <w:rtl w:val="true"/>
          <w:lang w:bidi="ar-SA"/>
        </w:rPr>
        <w:t>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مُتقدِّمٌ لقَولِهم؛ فلا شُبهةَ في أنّ أحَداً قَبلَ حُدوثِ الخَوارجِ ما قالَ في الفاسقِ المَليِّ‌</w:t>
      </w:r>
      <w:r>
        <w:rPr>
          <w:rStyle w:val="FootnoteAnchor"/>
          <w:rtl w:val="true"/>
        </w:rPr>
        <w:footnoteReference w:id="1512"/>
      </w:r>
      <w:r>
        <w:rPr>
          <w:rFonts w:ascii="Amiri" w:hAnsi="Amiri" w:eastAsia="Amiri" w:cs="Amiri"/>
          <w:color w:val="111111"/>
          <w:sz w:val="28"/>
          <w:sz w:val="28"/>
          <w:szCs w:val="28"/>
          <w:rtl w:val="true"/>
          <w:lang w:bidi="ar-SA"/>
        </w:rPr>
        <w:t>أنّه كافرٌ و لا له أحكامُ الكُفّارِ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الكلامُ في هذا الباب قد بيّنّاه و أشبَعناه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أهلِ المَوصِلِ‌</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bookmarkStart w:id="270" w:name="pg16415_223904"/>
    </w:p>
    <w:p>
      <w:pPr>
        <w:pStyle w:val="Heading6"/>
        <w:numPr>
          <w:ilvl w:val="5"/>
          <w:numId w:val="1"/>
        </w:numPr>
        <w:rPr/>
      </w:pPr>
      <w:bookmarkStart w:id="271" w:name="__RefHeading___Toc7642414_1280447820"/>
      <w:bookmarkStart w:id="272" w:name="_Toc94"/>
      <w:bookmarkEnd w:id="270"/>
      <w:bookmarkEnd w:id="271"/>
      <w:r>
        <w:rPr>
          <w:rtl w:val="true"/>
        </w:rPr>
        <w:t>المَسألةُ الثامنةُ اعتبارُ الرؤيةِ في الشُّهورِ</w:t>
      </w:r>
      <w:bookmarkEnd w:id="272"/>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شَعبانَ 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تَلحَقُهما</w:t>
      </w:r>
      <w:r>
        <w:rPr>
          <w:rStyle w:val="FootnoteAnchor"/>
          <w:rtl w:val="true"/>
        </w:rPr>
        <w:footnoteReference w:id="1514"/>
      </w:r>
      <w:r>
        <w:rPr>
          <w:rFonts w:ascii="Amiri" w:hAnsi="Amiri" w:eastAsia="Amiri" w:cs="Amiri"/>
          <w:color w:val="111111"/>
          <w:sz w:val="28"/>
          <w:sz w:val="28"/>
          <w:szCs w:val="28"/>
          <w:rtl w:val="true"/>
          <w:lang w:bidi="ar-SA"/>
        </w:rPr>
        <w:t>الزيادةُ و النقصانُ‌، فيَكونُ أحَدُهما تارةً ثَلاثينَ‌، و تارةً تِسعةً و عِشرينَ؟</w:t>
      </w:r>
    </w:p>
    <w:p>
      <w:pPr>
        <w:pStyle w:val="BookText"/>
        <w:rPr/>
      </w:pPr>
      <w:r>
        <w:rPr>
          <w:rFonts w:ascii="Amiri" w:hAnsi="Amiri" w:eastAsia="Amiri" w:cs="Amiri"/>
          <w:color w:val="111111"/>
          <w:sz w:val="28"/>
          <w:sz w:val="28"/>
          <w:szCs w:val="28"/>
          <w:rtl w:val="true"/>
          <w:lang w:bidi="ar-SA"/>
        </w:rPr>
        <w:t>و عمّن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الزيادةَ و النقصانَ تَلحَقُهما و سائرَ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يَصيرُ كافراً بذلكَ‌،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الصحيحَ مِن المَذهبِ اعتبارُ الرؤيةِ في الشُّهورِ كُلِّها، دونَ العَدَدِ، و أنّ شَهرَ رَمَضانَ كغَيرِه مِن الشُّهورِ في أنّه يَجوزُ أن يَكونَ تامّاً و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يَقُلْ بخِلافِ ذلكَ مِن أصحابِنا إلّاشُذّاذٌ خالَفوا الأُصولَ‌، و قَلَّدوا قوماً مِن الغُلاةِ‌؛ تَمسَّكوا بأخبارٍ رُويَت عن أئمّتِنا عليهم السلامُ غيرِ صَحيحةٍ و لا مُعتَمَدةٍ و لا ثابتةٍ‌، و لأكثَرِها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يُمكِنُ تخريجُه</w:t>
      </w:r>
      <w:r>
        <w:rPr>
          <w:rStyle w:val="FootnoteAnchor"/>
          <w:rtl w:val="true"/>
        </w:rPr>
        <w:footnoteReference w:id="151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يُبينُ عمّا ذَكرناه و 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المُسلِمينَ في أنّ رؤيةَ الأهِلّةِ مُعتَبَرةٌ‌، و أنّ النبيَّ صَلَّى اللّٰهُ عليه و آلِه كانَ يَطلُبُ الأهِلّةَ‌، و أنّ المُسلِمينَ‌</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1517"/>
      </w:r>
      <w:r>
        <w:rPr>
          <w:rFonts w:ascii="Amiri" w:hAnsi="Amiri" w:eastAsia="Amiri" w:cs="Amiri"/>
          <w:color w:val="111111"/>
          <w:sz w:val="28"/>
          <w:sz w:val="28"/>
          <w:szCs w:val="28"/>
          <w:rtl w:val="true"/>
          <w:lang w:bidi="ar-SA"/>
        </w:rPr>
        <w:t>ابتداءِ الإسلامِ و إلىٰ‌</w:t>
      </w:r>
      <w:r>
        <w:rPr>
          <w:rStyle w:val="FootnoteAnchor"/>
          <w:rtl w:val="true"/>
        </w:rPr>
        <w:footnoteReference w:id="1518"/>
      </w:r>
      <w:r>
        <w:rPr>
          <w:rFonts w:ascii="Amiri" w:hAnsi="Amiri" w:eastAsia="Amiri" w:cs="Amiri"/>
          <w:color w:val="111111"/>
          <w:sz w:val="28"/>
          <w:sz w:val="28"/>
          <w:szCs w:val="28"/>
          <w:rtl w:val="true"/>
          <w:lang w:bidi="ar-SA"/>
        </w:rPr>
        <w:t>وقتِنا هذا، يَطلُبونَ رؤيةَ الأهِلّةِ‌</w:t>
      </w:r>
      <w:r>
        <w:rPr>
          <w:rStyle w:val="FootnoteAnchor"/>
          <w:rtl w:val="true"/>
        </w:rPr>
        <w:footnoteReference w:id="1519"/>
      </w:r>
      <w:r>
        <w:rPr>
          <w:rFonts w:ascii="Amiri" w:hAnsi="Amiri" w:eastAsia="Amiri" w:cs="Amiri"/>
          <w:color w:val="111111"/>
          <w:sz w:val="28"/>
          <w:sz w:val="28"/>
          <w:szCs w:val="28"/>
          <w:rtl w:val="true"/>
          <w:lang w:bidi="ar-SA"/>
        </w:rPr>
        <w:t>و يَعتَمِدونَها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العَدَدُ مُعتَبَراً مُعتَمَداً، لَكانَ هذا مِن فِعلِ النبيِّ صَلَّى اللّٰهُ عليه و آلِه و فِعلِ المُسلِمينَ‌</w:t>
      </w:r>
      <w:r>
        <w:rPr>
          <w:rStyle w:val="FootnoteAnchor"/>
          <w:rtl w:val="true"/>
        </w:rPr>
        <w:footnoteReference w:id="1520"/>
      </w:r>
      <w:r>
        <w:rPr>
          <w:rFonts w:ascii="Amiri" w:hAnsi="Amiri" w:eastAsia="Amiri" w:cs="Amiri"/>
          <w:color w:val="111111"/>
          <w:sz w:val="28"/>
          <w:sz w:val="28"/>
          <w:szCs w:val="28"/>
          <w:rtl w:val="true"/>
          <w:lang w:bidi="ar-SA"/>
        </w:rPr>
        <w:t>عَبَثاً، لا طائلَ فيه، و لا حُكمَ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النبيِّ صَلَّى اللّٰهُ عليه و آلِه، مِن عِدّةِ طُرُقٍ ما هو شائعٌ ذائعٌ‌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أفطِروا لرؤيتِه؛ فإن غُمَّ‌</w:t>
      </w:r>
      <w:r>
        <w:rPr>
          <w:rStyle w:val="FootnoteAnchor"/>
          <w:rtl w:val="true"/>
        </w:rPr>
        <w:footnoteReference w:id="1521"/>
      </w:r>
      <w:r>
        <w:rPr>
          <w:rFonts w:ascii="Amiri" w:hAnsi="Amiri" w:eastAsia="Amiri" w:cs="Amiri"/>
          <w:color w:val="111111"/>
          <w:sz w:val="28"/>
          <w:sz w:val="28"/>
          <w:szCs w:val="28"/>
          <w:rtl w:val="true"/>
          <w:lang w:bidi="ar-SA"/>
        </w:rPr>
        <w:t>عليكم، فأكمِلوا العِدّةَ ثَلاثينَ‌، فعُدّوا ثَلاثينَ‌</w:t>
      </w:r>
      <w:r>
        <w:rPr>
          <w:rStyle w:val="FootnoteAnchor"/>
          <w:rtl w:val="true"/>
        </w:rPr>
        <w:footnoteReference w:id="1522"/>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الرؤيةَ المُقدَّمةَ‌، و جَعَل العَدَدَ مرجوعاً إليه</w:t>
      </w:r>
      <w:r>
        <w:rPr>
          <w:rStyle w:val="FootnoteAnchor"/>
          <w:rtl w:val="true"/>
        </w:rPr>
        <w:footnoteReference w:id="1524"/>
      </w:r>
      <w:r>
        <w:rPr>
          <w:rFonts w:ascii="Amiri" w:hAnsi="Amiri" w:eastAsia="Amiri" w:cs="Amiri"/>
          <w:color w:val="111111"/>
          <w:sz w:val="28"/>
          <w:sz w:val="28"/>
          <w:szCs w:val="28"/>
          <w:rtl w:val="true"/>
          <w:lang w:bidi="ar-SA"/>
        </w:rPr>
        <w:t>بَعدَ تَعذُّرِ الرؤيةِ‌؛ و هذا تصريحٌ بخِلافٍ مِن مَذهبِ مَن يَعتَمِدُ</w:t>
      </w:r>
      <w:r>
        <w:rPr>
          <w:rStyle w:val="FootnoteAnchor"/>
          <w:rtl w:val="true"/>
        </w:rPr>
        <w:footnoteReference w:id="1525"/>
      </w:r>
      <w:r>
        <w:rPr>
          <w:rFonts w:ascii="Amiri" w:hAnsi="Amiri" w:eastAsia="Amiri" w:cs="Amiri"/>
          <w:color w:val="111111"/>
          <w:sz w:val="28"/>
          <w:sz w:val="28"/>
          <w:szCs w:val="28"/>
          <w:rtl w:val="true"/>
          <w:lang w:bidi="ar-SA"/>
        </w:rPr>
        <w:t>علَى العَدَدِ، و لا يَعتَبِرُ الرؤيةَ‌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و لَيسَ يَكونُ ميقاتاً إلّابأن تَكونَ‌</w:t>
      </w:r>
      <w:r>
        <w:rPr>
          <w:rStyle w:val="FootnoteAnchor"/>
          <w:rtl w:val="true"/>
        </w:rPr>
        <w:footnoteReference w:id="1527"/>
      </w:r>
      <w:r>
        <w:rPr>
          <w:rFonts w:ascii="Amiri" w:hAnsi="Amiri" w:eastAsia="Amiri" w:cs="Amiri"/>
          <w:color w:val="111111"/>
          <w:sz w:val="28"/>
          <w:sz w:val="28"/>
          <w:szCs w:val="28"/>
          <w:rtl w:val="true"/>
          <w:lang w:bidi="ar-SA"/>
        </w:rPr>
        <w:t>الرؤيةُ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مَذهبُ أهلِ العَدَدِ </w:t>
      </w:r>
    </w:p>
    <w:p>
      <w:pPr>
        <w:pStyle w:val="BookText"/>
        <w:rPr/>
      </w:pPr>
      <w:r>
        <w:rPr>
          <w:rFonts w:ascii="Amiri" w:hAnsi="Amiri" w:eastAsia="Amiri" w:cs="Amiri"/>
          <w:color w:val="111111"/>
          <w:sz w:val="28"/>
          <w:sz w:val="28"/>
          <w:szCs w:val="28"/>
          <w:rtl w:val="true"/>
          <w:lang w:bidi="ar-SA"/>
        </w:rPr>
        <w:t>صَحيحاً، لَسَقَطَ</w:t>
      </w:r>
      <w:r>
        <w:rPr>
          <w:rStyle w:val="FootnoteAnchor"/>
          <w:rtl w:val="true"/>
        </w:rPr>
        <w:footnoteReference w:id="1528"/>
      </w:r>
      <w:r>
        <w:rPr>
          <w:rFonts w:ascii="Amiri" w:hAnsi="Amiri" w:eastAsia="Amiri" w:cs="Amiri"/>
          <w:color w:val="111111"/>
          <w:sz w:val="28"/>
          <w:sz w:val="28"/>
          <w:szCs w:val="28"/>
          <w:rtl w:val="true"/>
          <w:lang w:bidi="ar-SA"/>
        </w:rPr>
        <w:t>حُكمُ المواقيتِ بالأهِلّةِ‌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الحَلَبيُّ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الهِلالَ فصُمْ‌، و إذا</w:t>
      </w:r>
      <w:r>
        <w:rPr>
          <w:rStyle w:val="FootnoteAnchor"/>
          <w:rtl w:val="true"/>
        </w:rPr>
        <w:footnoteReference w:id="1529"/>
      </w:r>
      <w:r>
        <w:rPr>
          <w:rFonts w:ascii="Amiri" w:hAnsi="Amiri" w:eastAsia="Amiri" w:cs="Amiri"/>
          <w:color w:val="111111"/>
          <w:sz w:val="28"/>
          <w:sz w:val="28"/>
          <w:szCs w:val="28"/>
          <w:rtl w:val="true"/>
          <w:lang w:bidi="ar-SA"/>
        </w:rPr>
        <w:t>رأيتَه فأفطِرْ</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و رَوىٰ مُحمّدُ بنُ مُسلِمٍ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 إذا</w:t>
      </w:r>
      <w:r>
        <w:rPr>
          <w:rStyle w:val="FootnoteAnchor"/>
          <w:rtl w:val="true"/>
        </w:rPr>
        <w:footnoteReference w:id="1531"/>
      </w:r>
      <w:r>
        <w:rPr>
          <w:rFonts w:ascii="Amiri" w:hAnsi="Amiri" w:eastAsia="Amiri" w:cs="Amiri"/>
          <w:color w:val="111111"/>
          <w:sz w:val="28"/>
          <w:sz w:val="28"/>
          <w:szCs w:val="28"/>
          <w:rtl w:val="true"/>
          <w:lang w:bidi="ar-SA"/>
        </w:rPr>
        <w:t>رأيتُموه فأفطِروا، و لَيسَ بالرأيِ‌</w:t>
      </w:r>
      <w:r>
        <w:rPr>
          <w:rStyle w:val="FootnoteAnchor"/>
          <w:rtl w:val="true"/>
        </w:rPr>
        <w:footnoteReference w:id="1532"/>
      </w:r>
      <w:r>
        <w:rPr>
          <w:rFonts w:ascii="Amiri" w:hAnsi="Amiri" w:eastAsia="Amiri" w:cs="Amiri"/>
          <w:color w:val="111111"/>
          <w:sz w:val="28"/>
          <w:sz w:val="28"/>
          <w:szCs w:val="28"/>
          <w:rtl w:val="true"/>
          <w:lang w:bidi="ar-SA"/>
        </w:rPr>
        <w:t>و لا بالظنِّ‌</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الفُضَيلُ بنُ عُثمانَ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أهلِ القِبلةِ إلّاالرؤيةُ‌، و لَيسَ علَى المُسلِمينَ إلّاالرؤيةُ‌</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أصحابِنا و أُصولُهم مشحونةٌ بالأخبارِ الدالّةِ علَى اعتمادِ الرؤيةِ و اعتبارِها</w:t>
      </w:r>
      <w:r>
        <w:rPr>
          <w:rStyle w:val="FootnoteAnchor"/>
          <w:rtl w:val="true"/>
        </w:rPr>
        <w:footnoteReference w:id="1535"/>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تَعلُّقُ المُخالِفِ في هذا البابِ‌، إنّما</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أبي عبدِ اللّٰهِ‌ </w:t>
      </w:r>
    </w:p>
    <w:p>
      <w:pPr>
        <w:pStyle w:val="BookText"/>
        <w:rPr/>
      </w:pPr>
      <w:r>
        <w:rPr>
          <w:rFonts w:ascii="Amiri" w:hAnsi="Amiri" w:eastAsia="Amiri" w:cs="Amiri"/>
          <w:color w:val="111111"/>
          <w:sz w:val="28"/>
          <w:sz w:val="28"/>
          <w:szCs w:val="28"/>
          <w:rtl w:val="true"/>
          <w:lang w:bidi="ar-SA"/>
        </w:rPr>
        <w:t>عليه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تَمَّ شَعبانُ قَطُّ، و لا نَقَصَ رَمَضانُ قَطُّ</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 هذا شاذٌّ ضَعيفٌ‌، لا يُلتَفَتُ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وجهٌ يُطابِقُ الحقَّ‌؛ و هو أن يَكونَ المُرادُ بنَفيِ النقصانِ عن شَهرِ رَمَضانَ نُقصانَ الفَضيلةِ و الكمالِ و ثَوابِ الأعمالِ الصالحةِ فيه؛ و معلومٌ أنّه أفضَلُ الشُّهورِ و أشرَفُها، و أنّ الأعمالَ فيه أكثَرُ ثَواباً و أجَلُّ‌</w:t>
      </w:r>
      <w:r>
        <w:rPr>
          <w:rStyle w:val="FootnoteAnchor"/>
          <w:rtl w:val="true"/>
        </w:rPr>
        <w:footnoteReference w:id="1538"/>
      </w:r>
      <w:r>
        <w:rPr>
          <w:rFonts w:ascii="Amiri" w:hAnsi="Amiri" w:eastAsia="Amiri" w:cs="Amiri"/>
          <w:color w:val="111111"/>
          <w:sz w:val="28"/>
          <w:sz w:val="28"/>
          <w:szCs w:val="28"/>
          <w:rtl w:val="true"/>
          <w:lang w:bidi="ar-SA"/>
        </w:rPr>
        <w:t>مَوقِعاً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التمامِ عن شَعبانَ أيضاً يَكونُ محمولاً علىٰ هذا المعنىٰ‌؛ لأنّه بالإضافةِ إلىٰ شَهرِ رَمَضانَ أنقَصُ و أخفَضُ‌؛ بالتفسيرِ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تَضمَّنَه السؤالُ مِن تكفيرِ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و شَعبانَ تَلحَقُهما الزيادةُ و النقصانُ‌، كسائرِ الشُّهورِ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 المَذهبُ الذي ذَكرناه، دونَ ما عَداه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تكفيرِ مَن قالَ في</w:t>
      </w:r>
      <w:r>
        <w:rPr>
          <w:rStyle w:val="FootnoteAnchor"/>
          <w:rtl w:val="true"/>
        </w:rPr>
        <w:footnoteReference w:id="1539"/>
      </w:r>
      <w:r>
        <w:rPr>
          <w:rFonts w:ascii="Amiri" w:hAnsi="Amiri" w:eastAsia="Amiri" w:cs="Amiri"/>
          <w:color w:val="111111"/>
          <w:sz w:val="28"/>
          <w:sz w:val="28"/>
          <w:szCs w:val="28"/>
          <w:rtl w:val="true"/>
          <w:lang w:bidi="ar-SA"/>
        </w:rPr>
        <w:t>الفُروعِ خِلافَ‌</w:t>
      </w:r>
      <w:r>
        <w:rPr>
          <w:rStyle w:val="FootnoteAnchor"/>
          <w:rtl w:val="true"/>
        </w:rPr>
        <w:footnoteReference w:id="1540"/>
      </w:r>
      <w:r>
        <w:rPr>
          <w:rFonts w:ascii="Amiri" w:hAnsi="Amiri" w:eastAsia="Amiri" w:cs="Amiri"/>
          <w:color w:val="111111"/>
          <w:sz w:val="28"/>
          <w:sz w:val="28"/>
          <w:szCs w:val="28"/>
          <w:rtl w:val="true"/>
          <w:lang w:bidi="ar-SA"/>
        </w:rPr>
        <w:t>الحقِّ قد تَقدَّمَ بيانُه</w:t>
      </w:r>
      <w:r>
        <w:rPr>
          <w:rFonts w:eastAsia="Amiri" w:cs="Amiri" w:ascii="Amiri" w:hAnsi="Amiri"/>
          <w:color w:val="111111"/>
          <w:sz w:val="28"/>
          <w:szCs w:val="28"/>
          <w:rtl w:val="true"/>
          <w:lang w:bidi="ar-SA"/>
        </w:rPr>
        <w:t>.</w:t>
      </w:r>
      <w:r>
        <w:rPr>
          <w:rStyle w:val="FootnoteAnchor"/>
          <w:rtl w:val="true"/>
        </w:rPr>
        <w:footnoteReference w:id="1541"/>
      </w:r>
      <w:bookmarkStart w:id="273" w:name="pg16415_223908"/>
    </w:p>
    <w:p>
      <w:pPr>
        <w:pStyle w:val="Heading6"/>
        <w:numPr>
          <w:ilvl w:val="5"/>
          <w:numId w:val="1"/>
        </w:numPr>
        <w:rPr/>
      </w:pPr>
      <w:bookmarkStart w:id="274" w:name="__RefHeading___Toc7642416_1280447820"/>
      <w:bookmarkStart w:id="275" w:name="_Toc95"/>
      <w:bookmarkEnd w:id="273"/>
      <w:bookmarkEnd w:id="274"/>
      <w:r>
        <w:rPr>
          <w:rtl w:val="true"/>
        </w:rPr>
        <w:t>المَسألةُ التاسعةُ حُكمُ شُربِ الفُقّاعِ‌</w:t>
      </w:r>
      <w:bookmarkEnd w:id="275"/>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تسديدَه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حَرامٌ؟</w:t>
      </w:r>
    </w:p>
    <w:p>
      <w:pPr>
        <w:pStyle w:val="BookText"/>
        <w:rPr/>
      </w:pPr>
      <w:r>
        <w:rPr>
          <w:rFonts w:ascii="Amiri" w:hAnsi="Amiri" w:eastAsia="Amiri" w:cs="Amiri"/>
          <w:color w:val="111111"/>
          <w:sz w:val="28"/>
          <w:sz w:val="28"/>
          <w:szCs w:val="28"/>
          <w:rtl w:val="true"/>
          <w:lang w:bidi="ar-SA"/>
        </w:rPr>
        <w:t>و عن مُستَحِلِّ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صورتُه‌؟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المُعتَمَدَ في تحريمِ شُربِ الفُقّاعِ علىٰ إجماعِ الشيعةِ الإماميّةِ‌؛ إذ هُم لا يَختَلِفونَ في تحريمِه، و إيجابِ الحَدِّ علىٰ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معلومٌ مِن دينِهم ضَرورةً‌، كما أنّه معلومٌ مِن دينِهم تحريمُ سائرِ المُسكِراتِ مِن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أهلِ الحقِّ حُجّةٌ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الواردةُ عن الأئمّةِ عليهم السلامُ و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مُتَظاهِرةٌ مُتَناصِرةٌ‌،</w:t>
      </w:r>
      <w:r>
        <w:rPr>
          <w:rStyle w:val="FootnoteAnchor"/>
          <w:rtl w:val="true"/>
        </w:rPr>
        <w:footnoteReference w:id="1542"/>
      </w:r>
      <w:r>
        <w:rPr>
          <w:rFonts w:ascii="Amiri" w:hAnsi="Amiri" w:eastAsia="Amiri" w:cs="Amiri"/>
          <w:color w:val="111111"/>
          <w:sz w:val="28"/>
          <w:sz w:val="28"/>
          <w:szCs w:val="28"/>
          <w:rtl w:val="true"/>
          <w:lang w:bidi="ar-SA"/>
        </w:rPr>
        <w:t>فاشيةٌ شائعةٌ‌، لَولا خَوفُ التطويلِ لَذَكرناها</w:t>
      </w:r>
      <w:r>
        <w:rPr>
          <w:rFonts w:eastAsia="Amiri" w:cs="Amiri" w:ascii="Amiri" w:hAnsi="Amiri"/>
          <w:color w:val="111111"/>
          <w:sz w:val="28"/>
          <w:szCs w:val="28"/>
          <w:rtl w:val="true"/>
          <w:lang w:bidi="ar-SA"/>
        </w:rPr>
        <w:t>.</w:t>
      </w:r>
      <w:r>
        <w:rPr>
          <w:rStyle w:val="FootnoteAnchor"/>
          <w:rtl w:val="true"/>
        </w:rPr>
        <w:footnoteReference w:id="154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يَنبَغي أن يُعجَبَ مِن تحريمِ شُربِه و هو غيرُ مُسكِرٍ؛ لأنّ التحريمَ غيرُ واقفٍ علَى الإسكارِ،</w:t>
      </w:r>
      <w:r>
        <w:rPr>
          <w:rStyle w:val="FootnoteAnchor"/>
          <w:rtl w:val="true"/>
        </w:rPr>
        <w:footnoteReference w:id="1544"/>
      </w:r>
      <w:r>
        <w:rPr>
          <w:rFonts w:ascii="Amiri" w:hAnsi="Amiri" w:eastAsia="Amiri" w:cs="Amiri"/>
          <w:color w:val="111111"/>
          <w:sz w:val="28"/>
          <w:sz w:val="28"/>
          <w:szCs w:val="28"/>
          <w:rtl w:val="true"/>
          <w:lang w:bidi="ar-SA"/>
        </w:rPr>
        <w:t xml:space="preserve">و إنّما هو بَحسَبِ ما يَعلَمُه اللّٰهُ تَعالىٰ مِن الصلاحِ‌ </w:t>
      </w:r>
    </w:p>
    <w:p>
      <w:pPr>
        <w:pStyle w:val="BookText"/>
        <w:rPr/>
      </w:pPr>
      <w:r>
        <w:rPr>
          <w:rFonts w:ascii="Amiri" w:hAnsi="Amiri" w:eastAsia="Amiri" w:cs="Amiri"/>
          <w:color w:val="111111"/>
          <w:sz w:val="28"/>
          <w:sz w:val="28"/>
          <w:szCs w:val="28"/>
          <w:rtl w:val="true"/>
          <w:lang w:bidi="ar-SA"/>
        </w:rPr>
        <w:t>و الفَسادِ؛ ألا تَرىٰ أنّ شُربَ قليلِ الخَمرِ مُحرَّمٌ و إن لَم يَكُن مُسكِراً؟</w:t>
      </w:r>
    </w:p>
    <w:p>
      <w:pPr>
        <w:pStyle w:val="BookText"/>
        <w:rPr/>
      </w:pPr>
      <w:r>
        <w:rPr>
          <w:rFonts w:ascii="Amiri" w:hAnsi="Amiri" w:eastAsia="Amiri" w:cs="Amiri"/>
          <w:color w:val="111111"/>
          <w:sz w:val="28"/>
          <w:sz w:val="28"/>
          <w:szCs w:val="28"/>
          <w:rtl w:val="true"/>
          <w:lang w:bidi="ar-SA"/>
        </w:rPr>
        <w:t>و لَيسَ يَجوزُ الشكُّ في تحريمِ الفُقّاعِ إلّامع الشكِّ في صِحّةِ إجماعِ الإماميةِ‌، و معلومٌ صِحّةُ إجماعِ الإماميّةِ‌،</w:t>
      </w:r>
      <w:r>
        <w:rPr>
          <w:rStyle w:val="FootnoteAnchor"/>
          <w:rtl w:val="true"/>
        </w:rPr>
        <w:footnoteReference w:id="1545"/>
      </w:r>
      <w:r>
        <w:rPr>
          <w:rFonts w:ascii="Amiri" w:hAnsi="Amiri" w:eastAsia="Amiri" w:cs="Amiri"/>
          <w:color w:val="111111"/>
          <w:sz w:val="28"/>
          <w:sz w:val="28"/>
          <w:szCs w:val="28"/>
          <w:rtl w:val="true"/>
          <w:lang w:bidi="ar-SA"/>
        </w:rPr>
        <w:t>فما يَبتَني</w:t>
      </w:r>
      <w:r>
        <w:rPr>
          <w:rStyle w:val="FootnoteAnchor"/>
          <w:rtl w:val="true"/>
        </w:rPr>
        <w:footnoteReference w:id="1546"/>
      </w:r>
      <w:r>
        <w:rPr>
          <w:rFonts w:ascii="Amiri" w:hAnsi="Amiri" w:eastAsia="Amiri" w:cs="Amiri"/>
          <w:color w:val="111111"/>
          <w:sz w:val="28"/>
          <w:sz w:val="28"/>
          <w:szCs w:val="28"/>
          <w:rtl w:val="true"/>
          <w:lang w:bidi="ar-SA"/>
        </w:rPr>
        <w:t>عليه و يَتفرَّعُ منه</w:t>
      </w:r>
      <w:r>
        <w:rPr>
          <w:rStyle w:val="FootnoteAnchor"/>
          <w:rtl w:val="true"/>
        </w:rPr>
        <w:footnoteReference w:id="1547"/>
      </w:r>
      <w:r>
        <w:rPr>
          <w:rFonts w:ascii="Amiri" w:hAnsi="Amiri" w:eastAsia="Amiri" w:cs="Amiri"/>
          <w:color w:val="111111"/>
          <w:sz w:val="28"/>
          <w:sz w:val="28"/>
          <w:szCs w:val="28"/>
          <w:rtl w:val="true"/>
          <w:lang w:bidi="ar-SA"/>
        </w:rPr>
        <w:t>تَجِبُ صِحّتُه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يَستَحِلُّ شُربَ الفُقّاعِ عندَ الإماميّةِ‌،</w:t>
      </w:r>
      <w:r>
        <w:rPr>
          <w:rStyle w:val="FootnoteAnchor"/>
          <w:rtl w:val="true"/>
        </w:rPr>
        <w:footnoteReference w:id="1548"/>
      </w:r>
      <w:r>
        <w:rPr>
          <w:rFonts w:ascii="Amiri" w:hAnsi="Amiri" w:eastAsia="Amiri" w:cs="Amiri"/>
          <w:color w:val="111111"/>
          <w:sz w:val="28"/>
          <w:sz w:val="28"/>
          <w:szCs w:val="28"/>
          <w:rtl w:val="true"/>
          <w:lang w:bidi="ar-SA"/>
        </w:rPr>
        <w:t>جارٍ عندَهم مَجرىٰ مُستَحِلِّ المُسكِرِ التَّمْريِّ و الخَمرِ</w:t>
      </w:r>
      <w:r>
        <w:rPr>
          <w:rFonts w:eastAsia="Amiri" w:cs="Amiri" w:ascii="Amiri" w:hAnsi="Amiri"/>
          <w:color w:val="111111"/>
          <w:sz w:val="28"/>
          <w:szCs w:val="28"/>
          <w:rtl w:val="true"/>
          <w:lang w:bidi="ar-SA"/>
        </w:rPr>
        <w:t xml:space="preserve">. </w:t>
      </w:r>
      <w:bookmarkStart w:id="276" w:name="pg16415_223910"/>
    </w:p>
    <w:p>
      <w:pPr>
        <w:pStyle w:val="Heading6"/>
        <w:numPr>
          <w:ilvl w:val="5"/>
          <w:numId w:val="1"/>
        </w:numPr>
        <w:rPr/>
      </w:pPr>
      <w:bookmarkStart w:id="277" w:name="__RefHeading___Toc7642418_1280447820"/>
      <w:bookmarkStart w:id="278" w:name="_Toc96"/>
      <w:bookmarkEnd w:id="276"/>
      <w:bookmarkEnd w:id="277"/>
      <w:r>
        <w:rPr>
          <w:rtl w:val="true"/>
        </w:rPr>
        <w:t>المَسألةُ العاشِرةُ حُكمُ عبادةِ الكافرِ</w:t>
      </w:r>
      <w:bookmarkEnd w:id="278"/>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الكافرِ و حَجِّه و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معصيةً أو طاعةً؟ و هَل تَقَعُ منه حَسَنةً أو قَبيحةً؟</w:t>
      </w:r>
    </w:p>
    <w:p>
      <w:pPr>
        <w:pStyle w:val="BookText"/>
        <w:rPr/>
      </w:pPr>
      <w:r>
        <w:rPr>
          <w:rFonts w:ascii="Amiri" w:hAnsi="Amiri" w:eastAsia="Amiri" w:cs="Amiri"/>
          <w:color w:val="111111"/>
          <w:sz w:val="28"/>
          <w:sz w:val="28"/>
          <w:szCs w:val="28"/>
          <w:rtl w:val="true"/>
          <w:lang w:bidi="ar-SA"/>
        </w:rPr>
        <w:t>و بيانِ الصحيحِ مِن ذلكَ علىٰ مَذاهبِ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الكافرَ لا يَقَعُ منه</w:t>
      </w:r>
      <w:r>
        <w:rPr>
          <w:rStyle w:val="FootnoteAnchor"/>
          <w:rtl w:val="true"/>
        </w:rPr>
        <w:footnoteReference w:id="1549"/>
      </w:r>
      <w:r>
        <w:rPr>
          <w:rFonts w:ascii="Amiri" w:hAnsi="Amiri" w:eastAsia="Amiri" w:cs="Amiri"/>
          <w:color w:val="111111"/>
          <w:sz w:val="28"/>
          <w:sz w:val="28"/>
          <w:szCs w:val="28"/>
          <w:rtl w:val="true"/>
          <w:lang w:bidi="ar-SA"/>
        </w:rPr>
        <w:t>في حالِ كُفرِه شَيءٌ مِن الطاعاتِ‌؛ لأنّ الطاعةَ يُستَحَقُّ بها المَدحُ و الثوابُ‌، و معلومٌ أنّ الكافرَ في حالِ‌</w:t>
      </w:r>
      <w:r>
        <w:rPr>
          <w:rStyle w:val="FootnoteAnchor"/>
          <w:rtl w:val="true"/>
        </w:rPr>
        <w:footnoteReference w:id="1550"/>
      </w:r>
      <w:r>
        <w:rPr>
          <w:rFonts w:ascii="Amiri" w:hAnsi="Amiri" w:eastAsia="Amiri" w:cs="Amiri"/>
          <w:color w:val="111111"/>
          <w:sz w:val="28"/>
          <w:sz w:val="28"/>
          <w:szCs w:val="28"/>
          <w:rtl w:val="true"/>
          <w:lang w:bidi="ar-SA"/>
        </w:rPr>
        <w:t>كُفرِه لا يَستَحِقُّ مَدحاً و لا ثَواباً، و لا يَحسُنُ مَدحُه علىٰ وجهٍ مِن الوجوهِ‌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يَقولُ بجوازِ وقوعِ الطاعاتِ مِن الكُفّارِ مَن يَقولُ بالتحابُطِ</w:t>
      </w:r>
      <w:r>
        <w:rPr>
          <w:rStyle w:val="FootnoteAnchor"/>
          <w:rtl w:val="true"/>
        </w:rPr>
        <w:footnoteReference w:id="1551"/>
      </w:r>
      <w:r>
        <w:rPr>
          <w:rFonts w:ascii="Amiri" w:hAnsi="Amiri" w:eastAsia="Amiri" w:cs="Amiri"/>
          <w:color w:val="111111"/>
          <w:sz w:val="28"/>
          <w:sz w:val="28"/>
          <w:szCs w:val="28"/>
          <w:rtl w:val="true"/>
          <w:lang w:bidi="ar-SA"/>
        </w:rPr>
        <w:t>بَينَ الثوابِ و العِقابِ‌، و يَزعُمُ أنّ ثَوابَ طاعاتِ الكُفّارِ تَقَعُ مُحبِطةً لِعقابِه علىٰ مقدارِ ثَوابِه؛ و قد بيّنّا فَسادَ</w:t>
      </w:r>
      <w:r>
        <w:rPr>
          <w:rStyle w:val="FootnoteAnchor"/>
          <w:rtl w:val="true"/>
        </w:rPr>
        <w:footnoteReference w:id="1552"/>
      </w:r>
      <w:r>
        <w:rPr>
          <w:rFonts w:ascii="Amiri" w:hAnsi="Amiri" w:eastAsia="Amiri" w:cs="Amiri"/>
          <w:color w:val="111111"/>
          <w:sz w:val="28"/>
          <w:sz w:val="28"/>
          <w:szCs w:val="28"/>
          <w:rtl w:val="true"/>
          <w:lang w:bidi="ar-SA"/>
        </w:rPr>
        <w:t>التحابُطِ،</w:t>
      </w:r>
      <w:r>
        <w:rPr>
          <w:rStyle w:val="FootnoteAnchor"/>
          <w:rtl w:val="true"/>
        </w:rPr>
        <w:footnoteReference w:id="1553"/>
      </w:r>
      <w:r>
        <w:rPr>
          <w:rFonts w:ascii="Amiri" w:hAnsi="Amiri" w:eastAsia="Amiri" w:cs="Amiri"/>
          <w:color w:val="111111"/>
          <w:sz w:val="28"/>
          <w:sz w:val="28"/>
          <w:szCs w:val="28"/>
          <w:rtl w:val="true"/>
          <w:lang w:bidi="ar-SA"/>
        </w:rPr>
        <w:t xml:space="preserve">و دَلَّلنا علىٰ أنّ الصحيحَ خِلافُه،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Style w:val="FootnoteAnchor"/>
          <w:rtl w:val="true"/>
        </w:rPr>
        <w:footnoteReference w:id="1554"/>
      </w:r>
      <w:r>
        <w:rPr>
          <w:rFonts w:ascii="Amiri" w:hAnsi="Amiri" w:eastAsia="Amiri" w:cs="Amiri"/>
          <w:color w:val="111111"/>
          <w:sz w:val="28"/>
          <w:sz w:val="28"/>
          <w:szCs w:val="28"/>
          <w:rtl w:val="true"/>
          <w:lang w:bidi="ar-SA"/>
        </w:rPr>
        <w:t xml:space="preserve">نَفيِ‌ </w:t>
      </w:r>
    </w:p>
    <w:p>
      <w:pPr>
        <w:pStyle w:val="BookText"/>
        <w:rPr/>
      </w:pPr>
      <w:r>
        <w:rPr>
          <w:rFonts w:ascii="Amiri" w:hAnsi="Amiri" w:eastAsia="Amiri" w:cs="Amiri"/>
          <w:color w:val="111111"/>
          <w:sz w:val="28"/>
          <w:sz w:val="28"/>
          <w:szCs w:val="28"/>
          <w:rtl w:val="true"/>
          <w:lang w:bidi="ar-SA"/>
        </w:rPr>
        <w:t xml:space="preserve">التحابُطِ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بأنّ الطاعةَ لا تَقَعُ مِن الكافرِ في حالِ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للعِيانِ‌؛ لأنّا نَرَى اليَهودَ و النصارىٰ يَتقرَّبونَ‌</w:t>
      </w:r>
      <w:r>
        <w:rPr>
          <w:rStyle w:val="FootnoteAnchor"/>
          <w:rtl w:val="true"/>
        </w:rPr>
        <w:footnoteReference w:id="1555"/>
      </w:r>
      <w:r>
        <w:rPr>
          <w:rFonts w:ascii="Amiri" w:hAnsi="Amiri" w:eastAsia="Amiri" w:cs="Amiri"/>
          <w:color w:val="111111"/>
          <w:sz w:val="28"/>
          <w:sz w:val="28"/>
          <w:szCs w:val="28"/>
          <w:rtl w:val="true"/>
          <w:lang w:bidi="ar-SA"/>
        </w:rPr>
        <w:t xml:space="preserve">إلَى اللّٰهِ تَعالىٰ بكَثيرٍ مِن العباداتِ‌، و يَتصدَّقونَ لوَجهِ اللّٰهِ عَزَّ و جَلَّ‌، و يَفعَلونَ في كَثيرٍ مِن أبوابِ البِرِّ مِثلَ ما يَفعَلُه المؤمِنُ‌؛ و لَو لَم يَكُن في ذلكَ إلّاأنّهم عارفونَ باللّٰهِ عَزَّ و جَلَّ و بنُبوّةِ أنبيائه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يُنكِرُه</w:t>
      </w:r>
      <w:r>
        <w:rPr>
          <w:rStyle w:val="FootnoteAnchor"/>
          <w:rtl w:val="true"/>
        </w:rPr>
        <w:footnoteReference w:id="1556"/>
      </w:r>
      <w:r>
        <w:rPr>
          <w:rFonts w:ascii="Amiri" w:hAnsi="Amiri" w:eastAsia="Amiri" w:cs="Amiri"/>
          <w:color w:val="111111"/>
          <w:sz w:val="28"/>
          <w:sz w:val="28"/>
          <w:szCs w:val="28"/>
          <w:rtl w:val="true"/>
          <w:lang w:bidi="ar-SA"/>
        </w:rPr>
        <w:t>مِن وقوعِ الطاعاتِ مِن الكُفّارِ دَفعٌ للعِيانِ‌؛ و أيُّ‌</w:t>
      </w:r>
      <w:r>
        <w:rPr>
          <w:rStyle w:val="FootnoteAnchor"/>
          <w:rtl w:val="true"/>
        </w:rPr>
        <w:footnoteReference w:id="1557"/>
      </w:r>
      <w:r>
        <w:rPr>
          <w:rFonts w:ascii="Amiri" w:hAnsi="Amiri" w:eastAsia="Amiri" w:cs="Amiri"/>
          <w:color w:val="111111"/>
          <w:sz w:val="28"/>
          <w:sz w:val="28"/>
          <w:szCs w:val="28"/>
          <w:rtl w:val="true"/>
          <w:lang w:bidi="ar-SA"/>
        </w:rPr>
        <w:t>عِيانٍ يَدخُلُ في كَونِ الطاعةِ طاعةً‌، و الوجهُ الذي تَقَعُ‌</w:t>
      </w:r>
      <w:r>
        <w:rPr>
          <w:rStyle w:val="FootnoteAnchor"/>
          <w:rtl w:val="true"/>
        </w:rPr>
        <w:footnoteReference w:id="1558"/>
      </w:r>
      <w:r>
        <w:rPr>
          <w:rFonts w:ascii="Amiri" w:hAnsi="Amiri" w:eastAsia="Amiri" w:cs="Amiri"/>
          <w:color w:val="111111"/>
          <w:sz w:val="28"/>
          <w:sz w:val="28"/>
          <w:szCs w:val="28"/>
          <w:rtl w:val="true"/>
          <w:lang w:bidi="ar-SA"/>
        </w:rPr>
        <w:t>عليه الطاعةُ فتَكونُ‌</w:t>
      </w:r>
      <w:r>
        <w:rPr>
          <w:rStyle w:val="FootnoteAnchor"/>
          <w:rtl w:val="true"/>
        </w:rPr>
        <w:footnoteReference w:id="1559"/>
      </w:r>
      <w:r>
        <w:rPr>
          <w:rFonts w:ascii="Amiri" w:hAnsi="Amiri" w:eastAsia="Amiri" w:cs="Amiri"/>
          <w:color w:val="111111"/>
          <w:sz w:val="28"/>
          <w:sz w:val="28"/>
          <w:szCs w:val="28"/>
          <w:rtl w:val="true"/>
          <w:lang w:bidi="ar-SA"/>
        </w:rPr>
        <w:t>طاعةً‌، مستورٌ عن الخَلقِ‌؛ لا يَعلَمُه إلّا عَلّامُ الغُيوبِ‌،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يُمكِنُ أن</w:t>
      </w:r>
      <w:r>
        <w:rPr>
          <w:rStyle w:val="FootnoteAnchor"/>
          <w:rtl w:val="true"/>
        </w:rPr>
        <w:footnoteReference w:id="1560"/>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ما ظاهرُه</w:t>
      </w:r>
      <w:r>
        <w:rPr>
          <w:rStyle w:val="FootnoteAnchor"/>
          <w:rtl w:val="true"/>
        </w:rPr>
        <w:footnoteReference w:id="1561"/>
      </w:r>
      <w:r>
        <w:rPr>
          <w:rFonts w:ascii="Amiri" w:hAnsi="Amiri" w:eastAsia="Amiri" w:cs="Amiri"/>
          <w:color w:val="111111"/>
          <w:sz w:val="28"/>
          <w:sz w:val="28"/>
          <w:szCs w:val="28"/>
          <w:rtl w:val="true"/>
          <w:lang w:bidi="ar-SA"/>
        </w:rPr>
        <w:t>الطاعةُ مِن الكُفّارِ؛ فأمّا القَطعُ علىٰ أنّ ذلكَ طاعةٌ و قُربةٌ علَى الحقيقةِ‌، فلا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الطاعاتِ لا يَقَعُ‌</w:t>
      </w:r>
      <w:r>
        <w:rPr>
          <w:rStyle w:val="FootnoteAnchor"/>
          <w:rtl w:val="true"/>
        </w:rPr>
        <w:footnoteReference w:id="1562"/>
      </w:r>
      <w:r>
        <w:rPr>
          <w:rFonts w:ascii="Amiri" w:hAnsi="Amiri" w:eastAsia="Amiri" w:cs="Amiri"/>
          <w:color w:val="111111"/>
          <w:sz w:val="28"/>
          <w:sz w:val="28"/>
          <w:szCs w:val="28"/>
          <w:rtl w:val="true"/>
          <w:lang w:bidi="ar-SA"/>
        </w:rPr>
        <w:t>منهم، قَطَعنا علىٰ أنّ ما ظاهرُه الطاعةُ لَيسَ بطاعةٍ علَى الحَقيقةِ‌؛ لأنّ الطاعةَ تَفتَقِرُ إلىٰ قُصودٍ و وجوهٍ لا يَطَّلِعُ العبادُ عليها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مَعرِفةُ الكُفّارِ باللّٰهِ تَعالىٰ و بأنبيائه عليهم السلامُ‌، فالقولُ فيها كالقولِ في </w:t>
      </w:r>
    </w:p>
    <w:p>
      <w:pPr>
        <w:pStyle w:val="BookText"/>
        <w:rPr/>
      </w:pPr>
      <w:r>
        <w:rPr>
          <w:rFonts w:ascii="Amiri" w:hAnsi="Amiri" w:eastAsia="Amiri" w:cs="Amiri"/>
          <w:color w:val="111111"/>
          <w:sz w:val="28"/>
          <w:sz w:val="28"/>
          <w:szCs w:val="28"/>
          <w:rtl w:val="true"/>
          <w:lang w:bidi="ar-SA"/>
        </w:rPr>
        <w:t>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أنّهم غيرُ عارفينَ‌؛ و كَيفَ يَكونونَ عارفينَ‌، و المَعرفةُ باللّٰهِ تَعالىٰ و رُسُلِه صَلَّى اللّٰهُ عليهم يُستَحَقُّ‌</w:t>
      </w:r>
      <w:r>
        <w:rPr>
          <w:rStyle w:val="FootnoteAnchor"/>
          <w:rtl w:val="true"/>
        </w:rPr>
        <w:footnoteReference w:id="1563"/>
      </w:r>
      <w:r>
        <w:rPr>
          <w:rFonts w:ascii="Amiri" w:hAnsi="Amiri" w:eastAsia="Amiri" w:cs="Amiri"/>
          <w:color w:val="111111"/>
          <w:sz w:val="28"/>
          <w:sz w:val="28"/>
          <w:szCs w:val="28"/>
          <w:rtl w:val="true"/>
          <w:lang w:bidi="ar-SA"/>
        </w:rPr>
        <w:t>عليها أجزَلُ الثوابِ و المَدحِ و التعظيمِ‌، و الكافرُ لا يَستَحِقُّ شَيئاً مِن ذلكَ؟</w:t>
      </w:r>
    </w:p>
    <w:p>
      <w:pPr>
        <w:pStyle w:val="BookText"/>
        <w:rPr/>
      </w:pPr>
      <w:r>
        <w:rPr>
          <w:rFonts w:ascii="Amiri" w:hAnsi="Amiri" w:eastAsia="Amiri" w:cs="Amiri"/>
          <w:color w:val="111111"/>
          <w:sz w:val="28"/>
          <w:sz w:val="28"/>
          <w:szCs w:val="28"/>
          <w:rtl w:val="true"/>
          <w:lang w:bidi="ar-SA"/>
        </w:rPr>
        <w:t>و لا مُعوَّلَ علىٰ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نَظَروا في الأدِلّةِ التي تُوَلِّدُ المَعرفةَ المُفضيةَ إلَى العِلمِ‌؛ فكَيفَ لا يَكونونَ عارفينَ‌، و النظَرُ في الأدِلَّةِ يُوَلِّدُ المَعرفةَ؟</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أوّلاً لا نَعلَمُ أنّهم نَظَروا في الأدِلّةِ‌؛ لأنّ ذلكَ ممّا لا يُعلَمُ‌</w:t>
      </w:r>
      <w:r>
        <w:rPr>
          <w:rStyle w:val="FootnoteAnchor"/>
          <w:rtl w:val="true"/>
        </w:rPr>
        <w:footnoteReference w:id="1564"/>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عَلِمناه، فلا نَعلَمُ أنّهم نَظَروا فيها مِن الوجهِ الذي يُفضي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عَلِمنا ذلكَ‌، لَم نَعلَمْ تَكامُلَ باقي الشروطِ في تَوَلُّدِ العِلمِ لهم، و لا انتفاءَ ما إذا عَرَضَ مَنَعَ مِن حُصولِ العِلمِ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كُلُّه غيرَ معلومٍ‌، فهو علَى التجويزِ و الشكِّ‌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قَطَعَ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لا يَستَحِقّونَ ثَواباً، مَنَعْنا قاطِعينَ مِن أن تَقَعَ منهم طاعةٌ أو مَعرِفةٌ باللّٰهِ جَلَّ و عَزَّ</w:t>
      </w:r>
      <w:r>
        <w:rPr>
          <w:rFonts w:eastAsia="Amiri" w:cs="Amiri" w:ascii="Amiri" w:hAnsi="Amiri"/>
          <w:color w:val="111111"/>
          <w:sz w:val="28"/>
          <w:szCs w:val="28"/>
          <w:rtl w:val="true"/>
          <w:lang w:bidi="ar-SA"/>
        </w:rPr>
        <w:t xml:space="preserve">. </w:t>
      </w:r>
      <w:bookmarkStart w:id="279" w:name="pg16415_223913"/>
    </w:p>
    <w:p>
      <w:pPr>
        <w:pStyle w:val="Heading6"/>
        <w:numPr>
          <w:ilvl w:val="5"/>
          <w:numId w:val="1"/>
        </w:numPr>
        <w:rPr/>
      </w:pPr>
      <w:bookmarkStart w:id="280" w:name="__RefHeading___Toc7642420_1280447820"/>
      <w:bookmarkStart w:id="281" w:name="_Toc97"/>
      <w:bookmarkEnd w:id="279"/>
      <w:bookmarkEnd w:id="280"/>
      <w:r>
        <w:rPr>
          <w:rtl w:val="true"/>
        </w:rPr>
        <w:t>المَسألةُ الحاديةَ عَشَرَ عَدَدُ أُصولِ الدينِ‌</w:t>
      </w:r>
      <w:bookmarkEnd w:id="281"/>
    </w:p>
    <w:p>
      <w:pPr>
        <w:pStyle w:val="BookText"/>
        <w:rPr/>
      </w:pPr>
      <w:r>
        <w:rPr>
          <w:rFonts w:ascii="Amiri" w:hAnsi="Amiri" w:eastAsia="Amiri" w:cs="Amiri"/>
          <w:color w:val="111111"/>
          <w:sz w:val="28"/>
          <w:sz w:val="28"/>
          <w:szCs w:val="28"/>
          <w:rtl w:val="true"/>
          <w:lang w:bidi="ar-SA"/>
        </w:rPr>
        <w:t xml:space="preserve">و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تمهيدَه</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عَدَدِ أُصولِ الدينِ‌، و كَيفَ القولُ فيه‌؟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سَطَرَه المُتكلِّمونَ‌</w:t>
      </w:r>
      <w:r>
        <w:rPr>
          <w:rStyle w:val="FootnoteAnchor"/>
          <w:rtl w:val="true"/>
        </w:rPr>
        <w:footnoteReference w:id="1566"/>
      </w:r>
      <w:r>
        <w:rPr>
          <w:rFonts w:ascii="Amiri" w:hAnsi="Amiri" w:eastAsia="Amiri" w:cs="Amiri"/>
          <w:color w:val="111111"/>
          <w:sz w:val="28"/>
          <w:sz w:val="28"/>
          <w:szCs w:val="28"/>
          <w:rtl w:val="true"/>
          <w:lang w:bidi="ar-SA"/>
        </w:rPr>
        <w:t>في عَدَدِ أُصولِ الدينِ أنّها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الوَعدُ و الوَعيدُ، و المَنزِلةُ بَينَ المَنزِلتَينِ‌، 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لهم</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أخلَلتم بها؟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داخلةٌ في أبوابِ العَدلِ‌</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كانَت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كدخولِ الألطافِ و الأعواضِ و ما يَجري مَجرىٰ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فالوَعدُ و الوَعيدُ، و المَنزِلةُ بَينَ المَنزِلتَينِ‌، و الأمرُ بالمعروفِ و النهيُ عن المُنكرِ أيضاً مِن بابِ الألطافِ‌، و يدخُلُ اللطفُ في بابِ العَدلِ كدخولِ النبوّةِ‌؛ فلِمَ‌</w:t>
      </w:r>
      <w:r>
        <w:rPr>
          <w:rStyle w:val="FootnoteAnchor"/>
          <w:rtl w:val="true"/>
        </w:rPr>
        <w:footnoteReference w:id="1569"/>
      </w:r>
      <w:r>
        <w:rPr>
          <w:rFonts w:ascii="Amiri" w:hAnsi="Amiri" w:eastAsia="Amiri" w:cs="Amiri"/>
          <w:color w:val="111111"/>
          <w:sz w:val="28"/>
          <w:sz w:val="28"/>
          <w:szCs w:val="28"/>
          <w:rtl w:val="true"/>
          <w:lang w:bidi="ar-SA"/>
        </w:rPr>
        <w:t xml:space="preserve">ذَكرتم هذه الأُصولَ مُفصَّلةً‌، و لَم تَكتَفوا بدخولِها في جُملةِ أبوابِ العَدلِ‌ </w:t>
      </w:r>
      <w:bookmarkStart w:id="282" w:name="pg16415_223914"/>
    </w:p>
    <w:p>
      <w:pPr>
        <w:pStyle w:val="BookText"/>
        <w:rPr/>
      </w:pPr>
      <w:bookmarkEnd w:id="282"/>
      <w:r>
        <w:rPr>
          <w:rFonts w:ascii="Amiri" w:hAnsi="Amiri" w:eastAsia="Amiri" w:cs="Amiri"/>
          <w:color w:val="111111"/>
          <w:sz w:val="28"/>
          <w:sz w:val="28"/>
          <w:szCs w:val="28"/>
          <w:rtl w:val="true"/>
          <w:lang w:bidi="ar-SA"/>
        </w:rPr>
        <w:t>مُجمَلةً؟ و حَيثُ فَصَّلتم المُجمَلَ‌، و لَم تَكتَفوا بالإجمالِ‌، فألّا فَعَلتم ذلكَ بالنبوّةِ؟</w:t>
      </w:r>
    </w:p>
    <w:p>
      <w:pPr>
        <w:pStyle w:val="BookText"/>
        <w:rPr/>
      </w:pPr>
      <w:r>
        <w:rPr>
          <w:rFonts w:ascii="Amiri" w:hAnsi="Amiri" w:eastAsia="Amiri" w:cs="Amiri"/>
          <w:color w:val="111111"/>
          <w:sz w:val="28"/>
          <w:sz w:val="28"/>
          <w:szCs w:val="28"/>
          <w:rtl w:val="true"/>
          <w:lang w:bidi="ar-SA"/>
        </w:rPr>
        <w:t>و هذا سؤالٌ لائِحٌ‌</w:t>
      </w:r>
      <w:r>
        <w:rPr>
          <w:rStyle w:val="FootnoteAnchor"/>
          <w:rtl w:val="true"/>
        </w:rPr>
        <w:footnoteReference w:id="1570"/>
      </w:r>
      <w:r>
        <w:rPr>
          <w:rFonts w:ascii="IRNazanin" w:hAnsi="IRNazanin" w:eastAsia="IRNazanin"/>
          <w:color w:val="111111"/>
          <w:sz w:val="28"/>
          <w:sz w:val="28"/>
          <w:szCs w:val="28"/>
          <w:rtl w:val="true"/>
          <w:lang w:bidi="fa-IR"/>
        </w:rPr>
        <w:t>، و له</w:t>
      </w:r>
      <w:r>
        <w:rPr>
          <w:rStyle w:val="FootnoteAnchor"/>
          <w:rtl w:val="true"/>
        </w:rPr>
        <w:footnoteReference w:id="1571"/>
      </w:r>
      <w:r>
        <w:rPr>
          <w:rFonts w:ascii="Amiri" w:hAnsi="Amiri" w:eastAsia="Amiri" w:cs="Amiri"/>
          <w:color w:val="111111"/>
          <w:sz w:val="28"/>
          <w:sz w:val="28"/>
          <w:szCs w:val="28"/>
          <w:rtl w:val="true"/>
          <w:lang w:bidi="ar-SA"/>
        </w:rPr>
        <w:t>اقتَصَرَ بعضُ المتأخِّرينَ على أنّ أُصولَ الدينِ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جَعَلَ باقيَ الأُصولِ المذكورةِ داخِلاً في أبوابِ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الإجمالَ‌، اقتَصَرَ علىٰ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العَدلِ‌؛ فالنبوّةُ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واجبةٌ عندَنا، و مِن كِبارِ الأُصولِ و مُهِمِّها </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داخِلتانِ في أبوابِ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التفصيلَ و الشرحَ‌، وَجَبَ أن يُضيفَ إلىٰ ما ذَكَروه مِن الأُصولِ الخَمسةِ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الإمامةَ‌؛ و إلّا</w:t>
      </w:r>
      <w:r>
        <w:rPr>
          <w:rStyle w:val="FootnoteAnchor"/>
          <w:rtl w:val="true"/>
        </w:rPr>
        <w:footnoteReference w:id="1573"/>
      </w:r>
      <w:r>
        <w:rPr>
          <w:rFonts w:ascii="Amiri" w:hAnsi="Amiri" w:eastAsia="Amiri" w:cs="Amiri"/>
          <w:color w:val="111111"/>
          <w:sz w:val="28"/>
          <w:sz w:val="28"/>
          <w:szCs w:val="28"/>
          <w:rtl w:val="true"/>
          <w:lang w:bidi="ar-SA"/>
        </w:rPr>
        <w:t>كانَ مُخِلاًّ ببعضِ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بيِّنٌ لِمَن تأمَّلَه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7642422_1280447820"/>
      <w:bookmarkStart w:id="284" w:name="_Toc98"/>
      <w:bookmarkEnd w:id="283"/>
      <w:r>
        <w:rPr>
          <w:rtl w:val="true"/>
        </w:rPr>
        <w:t>خاتمة</w:t>
      </w:r>
      <w:bookmarkEnd w:id="28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أجَبنا عن المَسائلِ بكَمالِها، و اعتَمَدنا علَى الِاختصارِ و الِاقتصارِ و الإشارةِ‌، دونَ البَسطِ في العِبارةِ‌؛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مَسألةٍ مِن هذه المَسائلِ متىٰ‌</w:t>
      </w:r>
      <w:r>
        <w:rPr>
          <w:rStyle w:val="FootnoteAnchor"/>
          <w:rtl w:val="true"/>
        </w:rPr>
        <w:footnoteReference w:id="1574"/>
      </w:r>
      <w:r>
        <w:rPr>
          <w:rFonts w:ascii="Amiri" w:hAnsi="Amiri" w:eastAsia="Amiri" w:cs="Amiri"/>
          <w:color w:val="111111"/>
          <w:sz w:val="28"/>
          <w:sz w:val="28"/>
          <w:szCs w:val="28"/>
          <w:rtl w:val="true"/>
          <w:lang w:bidi="ar-SA"/>
        </w:rPr>
        <w:t>بُسِطَ القولُ فيه و فُرِّعَ‌</w:t>
      </w:r>
      <w:r>
        <w:rPr>
          <w:rStyle w:val="FootnoteAnchor"/>
          <w:rtl w:val="true"/>
        </w:rPr>
        <w:footnoteReference w:id="1575"/>
      </w:r>
      <w:r>
        <w:rPr>
          <w:rFonts w:ascii="Amiri" w:hAnsi="Amiri" w:eastAsia="Amiri" w:cs="Amiri"/>
          <w:color w:val="111111"/>
          <w:sz w:val="28"/>
          <w:sz w:val="28"/>
          <w:szCs w:val="28"/>
          <w:rtl w:val="true"/>
          <w:lang w:bidi="ar-SA"/>
        </w:rPr>
        <w:t>، زادَ علىٰ قَدرِ حَجمِ جوابِنا عن جميعِ المَسائلِ‌، لِكنّ ضيقَ الوقتِ و إعجالَ مُتنجِّزِ</w:t>
      </w:r>
      <w:r>
        <w:rPr>
          <w:rStyle w:val="FootnoteAnchor"/>
          <w:rtl w:val="true"/>
        </w:rPr>
        <w:footnoteReference w:id="1576"/>
      </w:r>
      <w:r>
        <w:rPr>
          <w:rFonts w:ascii="Amiri" w:hAnsi="Amiri" w:eastAsia="Amiri" w:cs="Amiri"/>
          <w:color w:val="111111"/>
          <w:sz w:val="28"/>
          <w:sz w:val="28"/>
          <w:szCs w:val="28"/>
          <w:rtl w:val="true"/>
          <w:lang w:bidi="ar-SA"/>
        </w:rPr>
        <w:t>الجوابِ اقتَضَيا ما اعتَمَدناه مِن الإجمالِ دونَ التفصيلِ‌، و إن كُنّا ما أخلَلنا بمُحتاجٍ إليه</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وليُّ التوفيقِ و التسديدِ لِما يُرضيهِ من قولٍ و عملٍ‌، و هو حَسبُنا و نِعمَ الوكيلُ‌، و صَلَواتُه</w:t>
      </w:r>
      <w:r>
        <w:rPr>
          <w:rStyle w:val="FootnoteAnchor"/>
          <w:rtl w:val="true"/>
        </w:rPr>
        <w:footnoteReference w:id="1577"/>
      </w:r>
      <w:r>
        <w:rPr>
          <w:rFonts w:ascii="Amiri" w:hAnsi="Amiri" w:eastAsia="Amiri" w:cs="Amiri"/>
          <w:color w:val="111111"/>
          <w:sz w:val="28"/>
          <w:sz w:val="28"/>
          <w:szCs w:val="28"/>
          <w:rtl w:val="true"/>
          <w:lang w:bidi="ar-SA"/>
        </w:rPr>
        <w:t>علىٰ خِيَرَتِه</w:t>
      </w:r>
      <w:r>
        <w:rPr>
          <w:rStyle w:val="FootnoteAnchor"/>
          <w:rtl w:val="true"/>
        </w:rPr>
        <w:footnoteReference w:id="1578"/>
      </w:r>
      <w:r>
        <w:rPr>
          <w:rFonts w:ascii="Amiri" w:hAnsi="Amiri" w:eastAsia="Amiri" w:cs="Amiri"/>
          <w:color w:val="111111"/>
          <w:sz w:val="28"/>
          <w:sz w:val="28"/>
          <w:szCs w:val="28"/>
          <w:rtl w:val="true"/>
          <w:lang w:bidi="ar-SA"/>
        </w:rPr>
        <w:t>مِن</w:t>
      </w:r>
      <w:r>
        <w:rPr>
          <w:rStyle w:val="FootnoteAnchor"/>
          <w:rtl w:val="true"/>
        </w:rPr>
        <w:footnoteReference w:id="1579"/>
      </w:r>
      <w:r>
        <w:rPr>
          <w:rFonts w:ascii="Amiri" w:hAnsi="Amiri" w:eastAsia="Amiri" w:cs="Amiri"/>
          <w:color w:val="111111"/>
          <w:sz w:val="28"/>
          <w:sz w:val="28"/>
          <w:szCs w:val="28"/>
          <w:rtl w:val="true"/>
          <w:lang w:bidi="ar-SA"/>
        </w:rPr>
        <w:t>خَلقِه سيِّدِنا مُحمَّدٍ النبيِّ و آلِه الطاهرينَ و سَلامُه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6415_223917"/>
      <w:bookmarkStart w:id="286" w:name="pg16415_223917"/>
      <w:bookmarkEnd w:id="286"/>
    </w:p>
    <w:p>
      <w:pPr>
        <w:pStyle w:val="Heading4"/>
        <w:numPr>
          <w:ilvl w:val="3"/>
          <w:numId w:val="1"/>
        </w:numPr>
        <w:rPr/>
      </w:pPr>
      <w:bookmarkStart w:id="287" w:name="pg16415_223917"/>
      <w:bookmarkStart w:id="288" w:name="__RefHeading___Toc7642424_1280447820"/>
      <w:bookmarkStart w:id="289" w:name="_Toc99"/>
      <w:bookmarkEnd w:id="287"/>
      <w:bookmarkEnd w:id="288"/>
      <w:r>
        <w:rPr>
          <w:rtl w:val="true"/>
        </w:rPr>
        <w:t>(</w:t>
      </w:r>
      <w:r>
        <w:rPr/>
        <w:t>29</w:t>
      </w:r>
      <w:r>
        <w:rPr>
          <w:rtl w:val="true"/>
        </w:rPr>
        <w:t xml:space="preserve">) </w:t>
      </w:r>
      <w:r>
        <w:rPr>
          <w:rtl w:val="true"/>
        </w:rPr>
        <w:t>جوابات المسائل النيليّات</w:t>
      </w:r>
      <w:bookmarkEnd w:id="28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0" w:name="__RefHeading___Toc7642426_1280447820"/>
      <w:bookmarkStart w:id="291" w:name="_Toc100"/>
      <w:bookmarkEnd w:id="290"/>
      <w:r>
        <w:rPr>
          <w:rtl w:val="true"/>
        </w:rPr>
        <w:t>اشارة</w:t>
      </w:r>
      <w:bookmarkEnd w:id="29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6415_223919"/>
      <w:bookmarkStart w:id="293" w:name="pg16415_223919"/>
      <w:bookmarkEnd w:id="293"/>
    </w:p>
    <w:p>
      <w:pPr>
        <w:pStyle w:val="Heading5"/>
        <w:numPr>
          <w:ilvl w:val="4"/>
          <w:numId w:val="1"/>
        </w:numPr>
        <w:rPr/>
      </w:pPr>
      <w:bookmarkStart w:id="294" w:name="pg16415_223919"/>
      <w:bookmarkStart w:id="295" w:name="__RefHeading___Toc7642428_1280447820"/>
      <w:bookmarkStart w:id="296" w:name="_Toc101"/>
      <w:bookmarkEnd w:id="294"/>
      <w:bookmarkEnd w:id="295"/>
      <w:r>
        <w:rPr>
          <w:rtl w:val="true"/>
        </w:rPr>
        <w:t>مقدّمة التحقيق</w:t>
      </w:r>
      <w:bookmarkEnd w:id="296"/>
    </w:p>
    <w:p>
      <w:pPr>
        <w:pStyle w:val="Heading6"/>
        <w:numPr>
          <w:ilvl w:val="5"/>
          <w:numId w:val="1"/>
        </w:numPr>
        <w:rPr/>
      </w:pPr>
      <w:bookmarkStart w:id="297" w:name="__RefHeading___Toc7642430_1280447820"/>
      <w:bookmarkStart w:id="298" w:name="_Toc102"/>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من المسائل المهمّة التي وُجّهت إلى الشريف المرتضى، و التي تعكس مجموعة مهمّة من آرائه و أفكاره الكلاميّة هي المسائل النيليّات أو المصريّات، و هي تحتوي على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سقطت منها خمس مسائل من أوّلها، فإنّها تبدأ من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يدري فلعلّه قد سقط من آخرها أيضاً عدّة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جاء في آخرها في بعض النسخ لا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ما سنح من الأجوبة لهذه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منه أنّ المسائل كاملة من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فالمتبقّي منها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7642432_1280447820"/>
      <w:bookmarkStart w:id="300" w:name="_Toc103"/>
      <w:bookmarkEnd w:id="299"/>
      <w:r>
        <w:rPr>
          <w:rtl w:val="true"/>
        </w:rPr>
        <w:t>نسبة الرسالة و عنوانها</w:t>
      </w:r>
      <w:bookmarkEnd w:id="300"/>
    </w:p>
    <w:p>
      <w:pPr>
        <w:pStyle w:val="BookText"/>
        <w:rPr/>
      </w:pPr>
      <w:r>
        <w:rPr>
          <w:rFonts w:ascii="Amiri" w:hAnsi="Amiri" w:eastAsia="Amiri" w:cs="Amiri"/>
          <w:color w:val="111111"/>
          <w:sz w:val="28"/>
          <w:sz w:val="28"/>
          <w:szCs w:val="28"/>
          <w:rtl w:val="true"/>
          <w:lang w:bidi="ar-SA"/>
        </w:rPr>
        <w:t xml:space="preserve">أمّا نسبة الرسالة إلى الشريف المرتضى صحيحة؛ بدليل الإرجاع في 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كتابه الذخيرة، إضافة إلى ملائمة الأفكار المطروحة فيها مع أفكاره التي نعرفها، مثل رأيه حول حقيقة الإنسان، و حقيقة العقل، و حقيقة الكلام و المتكلّم، و نفي الطبائع، و إثبات الخلأ، و استحالة الإيجاد على القادر بقدرة زائدة، و نفي عالم الذرّ أو الميثاق، و بطلان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من آراء الشريف المرتضى التي تبنّاها في مختلف كتبه، و تبنّاها أيضاً في هذه المسائل ممّا يقوّي إلىٰ حدّ كبير نسبتها إليه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أُخرىٰ ينبغي الإشارة إلى أنّ أحداً من أصحاب الفهارس المتقدّمين لم يَنسب مسائل للمرتضى باسم النيليّات، و إنّما نسبت إليه مسائل باسم المصريّات، و حينئذ يجب البحث عن حقيقة المسائل التي بأيدينا، و معرفة الاسم الصحيح أو </w:t>
      </w:r>
    </w:p>
    <w:p>
      <w:pPr>
        <w:pStyle w:val="BookText"/>
        <w:rPr/>
      </w:pPr>
      <w:r>
        <w:rPr>
          <w:rFonts w:ascii="Amiri" w:hAnsi="Amiri" w:eastAsia="Amiri" w:cs="Amiri"/>
          <w:color w:val="111111"/>
          <w:sz w:val="28"/>
          <w:sz w:val="28"/>
          <w:szCs w:val="28"/>
          <w:rtl w:val="true"/>
          <w:lang w:bidi="ar-SA"/>
        </w:rPr>
        <w:t>الأقرب إلى الصحّة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بعض المخطوطات تسميتها ب‍ ‍النيليّات، كما جاء في بعضها الآخر تسميتها ب‍ ‍المصريّات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لقد نسب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الشريف المرتضى ثلاث مجموعات من المسائل المصريّات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منها مكوّنة من خمس مسائل، و الثانية من تسع، و الثالثة لم يتّضح عددها لوجود سقط في نسخ فهرس البُصروي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فالأُولى و الثانية منها لا تنطبقان على المسائل التي بأيدينا؛ لأنّها مكوّنة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على الأقلّ‌، لا من خمس، و لا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احتمال أنّ المسائل التي بأيدينا هي المصريّات الثالثة، فهو مجرّد احتمال لا يقوّيه شيء، سوى احتمال أنّ العدد الساقط من نسخ فهرس البُصروي هو 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تقدّم آنفاً أنّه لم يتّضح لنا عدد المصريّات الثالثة؛ لوجود سقط في نسخ فهرس البُصروي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يتطابق مع العدد الموجود بين أيدينا من النيليّات أو المصريّات، و هو مجرّد احتمال ليس هناك 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الظاهر أنّ المسائل التي وصلت إلينا ليست واحدة من المصريّات التي ذكرها البُصروي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الظاهر عدم إمكان تقبّل أن تكون المسائل التي بأيدينا مرسلة من بلاد مصر؛ و ذلك لأنّه قد جاء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النيليّات؛ أي أنّها مرسلة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بدايتها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ممّا وُجد من المسائل الواردة من النيل و 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المقصود بهذا النيل نهر النيل الذي يجري في مصر؛ لأنّ المسائل تُسمّى عادة باسم الشخصيّات التي أرسلتها، أو المدن المرسلة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لأن تنسب إلى نهر، أو بحر، أو ما شاكل ذلك؛ فإنّه لا يصحّ أن يقال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المسائل واردة من دجلة أو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أمر غير متعارف، خاصّة و أنّ كلّ نهر يمرّ من خلال عشرات المدن، فمن أيِّها أُرسلت المسائل‌؟ </w:t>
      </w:r>
    </w:p>
    <w:p>
      <w:pPr>
        <w:pStyle w:val="BookText"/>
        <w:rPr/>
      </w:pPr>
      <w:r>
        <w:rPr>
          <w:rFonts w:ascii="Amiri" w:hAnsi="Amiri" w:eastAsia="Amiri" w:cs="Amiri"/>
          <w:color w:val="111111"/>
          <w:sz w:val="28"/>
          <w:sz w:val="28"/>
          <w:szCs w:val="28"/>
          <w:rtl w:val="true"/>
          <w:lang w:bidi="ar-SA"/>
        </w:rPr>
        <w:t xml:space="preserve">و على هذا، فالظاهر أنّ المقصود بالنيل الذي أُرسلت منه المسائل منطقة محددة و معروفة بهذا الاسم، و هناك مدينة مشهورة تقع في العراق و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 فيكون الأرجح أن تكون المسائل النيليّات مرسلة منها</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سوف يكون معقولاً أن تُرسل مسائل من هذه المدينة،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مسائل واردة من النيل؛ 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في بعض النسخ أنّها مسائل واردة من نيل مصر، فالظاهرّ أنّ المقصود مدينة النيل أيضاً، لا نهر النيل؛ و ذلك لأنّ ياقوتاً الحموي قال عند حديثه عن مدينة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في سواد الكوفة، قرب حلّة بني مزيد، يخترقها خليج كبير، يتخلّج من الفرات الكبير، حفره الحجّاج بن يوسف، و سماه بنيل مصر</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خليج يمرّ من وسط مدينة النيل، و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بعض النسخ من أنّ المسائل مرسلة من نيل مصر، لا يدلّ على أنّها مرسلة من بلاد مصر؛ بل هو يتناسب مع إرساله من الخليج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هذا الخليج يمرّ من مدينة النيل، لذلك يمكن نسبة المسائل إليه، و إرادة مدينة النيل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حمل النسخ التي سَمّت المسائل باسم المصريّات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ناظرة إلى 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حفره الحجّاج في وسط مدينة النيل؛ فإنّ النسبة إلى المضاف و المضاف إليه تكون عادة إلى المضاف إليه،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حينئذٍ إلى نيل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حمل تسميتها ب‍ ‍المصريّات </w:t>
      </w:r>
      <w:bookmarkStart w:id="301" w:name="pg16415_223922"/>
    </w:p>
    <w:p>
      <w:pPr>
        <w:pStyle w:val="BookText"/>
        <w:rPr/>
      </w:pPr>
      <w:bookmarkEnd w:id="301"/>
      <w:r>
        <w:rPr>
          <w:rFonts w:ascii="Amiri" w:hAnsi="Amiri" w:eastAsia="Amiri" w:cs="Amiri"/>
          <w:color w:val="111111"/>
          <w:sz w:val="28"/>
          <w:sz w:val="28"/>
          <w:szCs w:val="28"/>
          <w:rtl w:val="true"/>
          <w:lang w:bidi="ar-SA"/>
        </w:rPr>
        <w:t>على خطأ النساخ، و تصوّرهم أنّها مرسلة من بلاد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الأرجح و الأقرب إلى الصحّة تسمية المسائل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النيليّات</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7642434_1280447820"/>
      <w:bookmarkStart w:id="303" w:name="_Toc104"/>
      <w:bookmarkEnd w:id="302"/>
      <w:r>
        <w:rPr>
          <w:rtl w:val="true"/>
        </w:rPr>
        <w:t>محتوى الرسالة</w:t>
      </w:r>
      <w:r>
        <w:rPr>
          <w:rtl w:val="true"/>
        </w:rPr>
        <w:t>:</w:t>
      </w:r>
      <w:bookmarkEnd w:id="303"/>
    </w:p>
    <w:p>
      <w:pPr>
        <w:pStyle w:val="BookText"/>
        <w:rPr/>
      </w:pPr>
      <w:r>
        <w:rPr>
          <w:rFonts w:ascii="Amiri" w:hAnsi="Amiri" w:eastAsia="Amiri" w:cs="Amiri"/>
          <w:color w:val="111111"/>
          <w:sz w:val="28"/>
          <w:sz w:val="28"/>
          <w:szCs w:val="28"/>
          <w:rtl w:val="true"/>
          <w:lang w:bidi="ar-SA"/>
        </w:rPr>
        <w:t>و تعتبر هذه المسائل من المسائل المهمّة التي تعكس مجموعة من البحوث الكلاميّة و غير الكلاميّة التي كان يؤمن بها الشريف المرتضى و فيما يلي تعريف بأهمّ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الحشرات و استحقاقها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الشريف المرتضى في هذه المسألة عن سؤال حول سبب ما ذهب إليه ثمامة بن الأشرس حول خلق الحشرات، فقد ذهب إلى أنّها حوادث لا مُحدِث لها، و أنّه هل لها عوض إذا قُتلت بلا ذنب‌؟ فأجاب بأنّ سبب ما قاله ثمامة هو أنّه رأى أنّ الحشرات حادثة، فبحث عن مُحدثِها، فوجد أنّ الإنسان غير قادر على خلقها لتعذّر ذلك عليه، كما رأى أنّه لا يمكن للقديم تعالى أن يخلقها؛ لأنّه لا فائدة فيها، فيكون خلقها عبثاً، و هو تعالى منزّه عن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 مُحدِثاً لها، قال إنّها حوادث لا مُحدِث لها، و لو كان قد علم وجه الحكمة في خلقها لجوّز خلقها على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عوضها إذا قُتلت بلا ذنب فهو ثابت لها كغيرها، و الدليل واحد، و هو أنّه لولاه للزم الظلم</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الرعد و البرق و الغيم، و وجود جبال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الشريف المرتضى معاني هذه الأُمور وفق ما توصّل إليه العلم في عصره،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الغيم جسم كثيف، و الرعد صوت يحصل من اصطكاك أجرام السحاب، و البرق يتوقّد نتيجة اصطدام هذه الأجرام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جبال البَرَد المشار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مِنَ اَلسَّمٰاءِ مِنْ جِبٰالٍ فِيهٰا مِنْ بَرَدٍ</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 فقد سُئل عن أنّها موجودة حقّاً أم لا؟ فأجاب بأنّه ما دام ذلك من كلام اللّٰه تعالى،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خلقُها في حال نزول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بناء على القول بعموم 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يقم الشريف المرتضى هنا بتأويل لفظ الجبال الوارد في الآية؛ لأنّه لا يتعارض مع دليل عقلي أو مشاهدات تجريبية كانت في عصره أو أيّ أمر آخر مقطوع به كإجماع أو خبر متواتر، و لعلّه إذا كان يعيش في عصرنا لقام بتأويل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يتعارض مع آخِر ما توصّل إليه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إلى 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السائل في هذه المسائل العشر إلى مجموعة أبحاث مترابطة تدور حول بحث الفاعلية وصفات الفاعل بصورة رئيسية، و قد عُطفت في السؤال على بعضها البعض بقول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الأبحاث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تعقّل عدم كون الفاعل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السؤال أنّه إذا كان ينبغي أن يكون الفاعل حيّاً، فما المانع من كونه جسماً؟ و مقصوده بالفاعل الفاعل القاصد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بأنّ الدليل لم يدلّ مباشرة على لزوم أن يكون الفاعل حيّاً، بل دلّ في البداية على لزوم كونه قادراً، و بما أنّ القادر لا يكون إلّاحيّاً لذلك لزم أن يكون الفاعل حيّاً أيضاً؛ بينما لا يتوقّف كون الفاعل قادراً على كونه جسماً، و لذلك لم يلزم أن يكون الفاعل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الفرق بين لزوم كون الفاعل حيّاً، و عدم لزوم كونه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بالنسبة إلى مطلق الفاعل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كذلك فلماذا لزم أن يكون الفاعل منّا جسماً؟ </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منّا قادر بقدرة زائدة على ذاته، و حيّ بحياة زائدة أيضاً، و الحياة و القدرة الزائدتان لا توجبان هاتين الصفتين لمن يتّصِف بهما إلّابعد أن تختصّا به غاية الاختصاص، و لا يكون ذلك إلّابالحلول في محلّهما</w:t>
      </w:r>
      <w:r>
        <w:rPr>
          <w:rStyle w:val="FootnoteAnchor"/>
          <w:rtl w:val="true"/>
        </w:rPr>
        <w:footnoteReference w:id="1586"/>
      </w:r>
      <w:r>
        <w:rPr>
          <w:rFonts w:ascii="Amiri" w:hAnsi="Amiri" w:eastAsia="Amiri" w:cs="Amiri"/>
          <w:color w:val="111111"/>
          <w:sz w:val="28"/>
          <w:sz w:val="28"/>
          <w:szCs w:val="28"/>
          <w:rtl w:val="true"/>
          <w:lang w:bidi="ar-SA"/>
        </w:rPr>
        <w:t>، و هو الجسم، فيصير المحلّ آلة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لزم أن يكون الفاعل منّا جسماً، بينما الفاعل القديم الذي هو قادر لنفسه وحيّ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قادر لا بقدرة زائدة على ذاته، و حيّ لا بحياة 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له إلى الجسم كي يكون فاعلاً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تعقّل مَن لا مثل له و لا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السائل عن كيفيّة إمكان تعقّل وجود موجود لا مثل له و لا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بالتفريق بين مفهومَي المثل و الضدّ و مفهوم الخلاف، بأنّ كلّ ذات لا بدّ لها من مخالف؛ لتميّزها عن غيرها بنفسها، نعم لا يجب أن تُعلم حقيقة المخالف لها، بل يكفي أن يُعلم أنّ لها مخالفاً؛ بينما مفهومَا المثل و الضدّ لا يجب في كلّ ذات أن تتّصف بهما أو أن لا تتّصف، فذلك أمر تابع للدليل، و إذا قام الدليل على أنّ القديم تعالى لا مثل له و لا ضدّ لزم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لقد قام الدليل على أنّ القدرة التي يُقدر بها لا مثل لها؛ لأنّه يلزم من وجود مثل لها أن تتعلّق قدرتان بمقدور واحد، و هو محال بحسب رأي الشريف المرتضى</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تعقّل فاعل من دون لمس أو 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السائل أيضاً عن كيفيّة إمكان تعقّل وجود فاعل يفعل الفعل من دون لمس المفعول أو الاتّصال 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الشريف المرتضى بشيء قريب ممّا تقدّم، و هو أنّ الفاعل إنّما يحتاج في أن يكون فاعلاً الى القدرة و الحياة مثلاً، و ليس الملامسة و الاتّصال دخيلَين في كونه قادراً أو حيّاً، فلا حاجة إليهما في كون الفاعل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مطلق 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بالنسبة لنا فهناك حاجة إلى الملامسة و الاتّصال في أفعالنا؛ و ذلك لأنّه تقدّم أنّنا قادرون و أحياء بقدرة و حياة زائدتين، و هما يحتاجان إلى محلّهما و هو الجسم الذي صار آلة لتحقّق آثار القدرة و الحياة، فصارت هناك حاجة إلى الملامسة و الاتّصال لأجل استعمال محلّ القدرة و الحياة الذي هو الجسم؛ فإنّ الجسم لا يفعل إلّا بملامسة أو 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القديم تعالى القادر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بلا قدرة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له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استحالة كون خالق الأجسام جسماً أقدره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السائل عن وجه استبعاد أن توجد الأجسام بواسطة جسم آخر يكون القديم تعالى أعطاه القدرة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بأنّه قد ثبت أنّ القدرة الزائدة على الذات غير قادرة على إيجاد جسمٍ‌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الجسم إنّما يَفعل بقدرة زائدة عليه، فلا يمكنه أن يوجِد جسماً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فالأجسام إذن لا تدخل تحت مقدور القُدَر الزائدة، نعم القادر لنفسه قادر على إيجاد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الشريف المرتضى بأنّه أمكننا بهذا الجواب أن نجيب على المفوّضة القائلين بأنّ شؤون الخلق و الرزق في هذا العالَم مفوَّضة إلى رسول اللّٰه صلّى اللّٰه عليه و آله و أمير المؤمنين 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يشير بذلك إلى رأيه حول حقيقة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أعمّ من الإنسان و المَلَك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إلى أنّ حقيقته هو مجموع هذا الجسم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المُشاهَدة</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 xml:space="preserve">، فتكون حقيقة رسول اللّٰه صلّى اللّٰه عليه و آله و أمير المؤمنين عليه السلام جسماً أيضاً، و بذلك ينطبق عليهما ما تقدّم من عدم قدرة الجسم على إيجاد </w:t>
      </w:r>
    </w:p>
    <w:p>
      <w:pPr>
        <w:pStyle w:val="BookText"/>
        <w:rPr/>
      </w:pPr>
      <w:r>
        <w:rPr>
          <w:rFonts w:ascii="Amiri" w:hAnsi="Amiri" w:eastAsia="Amiri" w:cs="Amiri"/>
          <w:color w:val="111111"/>
          <w:sz w:val="28"/>
          <w:sz w:val="28"/>
          <w:szCs w:val="28"/>
          <w:rtl w:val="true"/>
          <w:lang w:bidi="ar-SA"/>
        </w:rPr>
        <w:t>جسم آخر، فلا يمكن أن يكون خلق هذا العالم الجسماني مفوّضاً إليهما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استحالة إقدار اللّٰه تعالى جسماً على اختراع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السائل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الجسم لا يقدر على إيجاد الأجسام بالمباشرة و لا بالتولّد، فلماذا لا يمكن أن يعطيه اللّٰه تعالى القدرة على أن يوجدها بطريقة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الشريف المرتضى بما تقدّم من أنّ القدرة الزائدة على الذات لا تفعل إلّابواسطة استعمال محلّها و هو الجسم، و قد يُستعمل المحلّ للقيام بالفعل و ذلك في الفعل المباشر، كما يُستعمل ليكون سبباً لحصول الفعل و ذلك في الفعل المتولّد، و لا شيء من هذين الأمرين موجود في الفعل المخترع، ففي الفعل المخترع لا يتمّ استعمال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مباشرة و لا بعنوان سبب للفعل، و لذلك يستحيل أن يوجِد الجسمُ القادرُ بقدرة زائدة جسماً آخر بطريقة الاختراع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صدور الخير و الشرّ من فاعل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إمكان نسبة مخلوقات العالَم إلى فاعلَين، على أساس أنّ العالَم ينقسم إلى خير و شرّ، و لا يمكن لفاعل واحد أن يخلقهما معاً، فتحتّم أن يكون لكلّ منهما فاعل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الشريف المرتضى برفض المقدّمة القائلة إنّ الفاعل الواحد لا يمكنه خلق الخير و الشر معاً، بل هو أمر ممكن و غير مستحيل، فلا تبقى ضرورة لافتراض فاعلَين لهما، و بالتالي فاعلَين للعالَم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تعقّل كون الخالق لا جسماً و لا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السائل عن إمكان وجود موجود مجرّد عن المادّة، لا هو ظلمة و لا ضياء، و لا يقع في زمان و لا مكان، و ليس جسماً أو جوهراً و لا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بأنّ حقيقة الظلمة و الضياء و الزمان و المكان حقائق ملازِمة للجسمية، و قد ثبت أنّ الجسم محدَث لكونه متجدّداً، فإذا أثبتنا وجود قديم غير جسماني لزم أن تنتفي عنه هذه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تعقّل حدوث شيء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سأل عن إمكان حدوث شيء لا من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الشريف المرتضى من خلال توضيح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شيء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معقول؛ لأنّ الشيء لا يوجد من أمر موجود و إلّاصار له وجودان، فهو إذا حدث و صار موجوداً استغنى بوجوده هذا عن وجودٍ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معقول أيضاً؛ لأنّ الأشياء وجدت من العدم، و بذلك صار حدوث شيء لا من شيء أمراً معقولاً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 إحداث الطبائع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السائل عن إمكان أن يكون العالَم مخلوقاً للطبائع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بجواب مبنائي، حيث صرّح بما ذهب إليه من أنّ الطبائع غير معقولة أساساً</w:t>
      </w:r>
      <w:r>
        <w:rPr>
          <w:rStyle w:val="FootnoteAnchor"/>
          <w:rtl w:val="true"/>
        </w:rPr>
        <w:footnoteReference w:id="1589"/>
      </w:r>
      <w:r>
        <w:rPr>
          <w:rFonts w:ascii="Amiri" w:hAnsi="Amiri" w:eastAsia="Amiri" w:cs="Amiri"/>
          <w:color w:val="111111"/>
          <w:sz w:val="28"/>
          <w:sz w:val="28"/>
          <w:szCs w:val="28"/>
          <w:rtl w:val="true"/>
          <w:lang w:bidi="ar-SA"/>
        </w:rPr>
        <w:t>، و أنّنا لا نتباحث مع أصحاب الطبائع لأنّها أُمور لا تعقل، و كلّ ما أسندوه إليها نسنده نحن إلى عرض أو غيره ممّا قام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إثبات أنّ الطبائع معقولة، و حينئذ يمكن الكلام عن إسناد ما يراد إسناده إليها، و إلّابطل الكلام من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صفات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أيضاً سؤالاً آخر حول الطبائع، و هو ما المانع من اتّصافها بالحياة و القدرة و العلم و غير ذلك من الصفات‌؟ فأجاب الشريف المرتضى بنفس جواب المسألة السابقة من أنّ الطبائع غير معقولة أساساً، فلا معنى للبحث عن أنّ لها صفات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بعض خصوصيات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السائل عدّة أسئلة متعلّقة بمواضيع مختلفة حول جبرئيل عليه السلام،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جبرئيل بصورة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السائل عن نزول جبرئيل بصورة الصحابي دحية الكلبي، و أنّه كيف يمكن لجبرئيل أن يتصوّر بصورة غير صورته‌؟ و هل هو قادر على ذلك أو كان ذلك بقدرة اللّٰه تعالى‌؟ ثمّ ما يُسمع من القرآن عند</w:t>
      </w:r>
    </w:p>
    <w:p>
      <w:pPr>
        <w:pStyle w:val="BookText"/>
        <w:rPr/>
      </w:pPr>
      <w:r>
        <w:rPr>
          <w:rFonts w:ascii="Amiri" w:hAnsi="Amiri" w:eastAsia="Amiri" w:cs="Amiri"/>
          <w:color w:val="111111"/>
          <w:sz w:val="28"/>
          <w:sz w:val="28"/>
          <w:szCs w:val="28"/>
          <w:rtl w:val="true"/>
          <w:lang w:bidi="ar-SA"/>
        </w:rPr>
        <w:t>تصوّره بصورة دحية، إن كان يُسمع من صورةٍ لغير جبرئيل فإشكاله واضح؛ لأنّنا نعلم أنّ المؤدّي للوحي و القرآن هو جبرئيل لا غيره، و إن كان يُسمع من صورة جبرئيل، فكيف نقول إنّه يُسمع من صورة بشريّة و هي صورة دحية‌؟ ثمّ لقد ورد في الرواية قدرة إبليس و الجنّ على التصوّر، فما هو الصحيح في ذلك‌؟</w:t>
      </w:r>
    </w:p>
    <w:p>
      <w:pPr>
        <w:pStyle w:val="BookText"/>
        <w:rPr/>
      </w:pPr>
      <w:r>
        <w:rPr>
          <w:rFonts w:ascii="Amiri" w:hAnsi="Amiri" w:eastAsia="Amiri" w:cs="Amiri"/>
          <w:color w:val="111111"/>
          <w:sz w:val="28"/>
          <w:sz w:val="28"/>
          <w:szCs w:val="28"/>
          <w:rtl w:val="true"/>
          <w:lang w:bidi="ar-SA"/>
        </w:rPr>
        <w:t>فأجاب الشريف المرتضى بأنّ نزوله بهذه الصورة كان بطلب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تصوّره بصورة دحية فلم يكن بقدرته؛ لأنّه غير قادر على ذلك، و إنّما كان بقدرة اللّٰه تعالى القادر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عدم قدرة جبرئيل على التصوّر هو ما تقدّم من أنّ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أعمّ من الإنسان و المَلَك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إيجاد الأجسام؛ لأنّه قادر بقدرة زائدة على ذاته، و في التصوّر يتمّ إيجاد جسم شبيه بجسم المتصوَّر، و هو جسم دحية في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يُسمع من القرآن عند تصوّر جبرئيل بصورة دحية فقد كان من جبرئيل على الحقيقة 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إبليس و الجنّ فغير قادرين أيضاً على التصوّر؛ لما تقدّم من كونهم قادرين بقدرة زائدة، إلّاأن تقتضي المصلحة ذلك، فيقوم اللّٰه تعالى بتصويرهم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تلقّي جبرئيل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متعلّق ببحث حقيقة الوحي، و هو من الأبحاث المهمّة في عصرنا، و قد كان يشغل ذهن السائل قبل ألف سنة، و هو أنّه كيف كان يتلقّى جبرئيل الوحي، هل كان يأخذه من اللّٰه تعالى مباشرة، أو من وراء حجاب‌؟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الشريف المرتضى بما يتوافق مع مبناه حول حقيقة المَلَك، فهو جسم حاله حال كلّ الأحياء من البشر و الجنّ كما تقدّم، و الجسم لكي يتلقّى معرفة فالعادة تقتضي إمّا أن يسمعها أو أن يقرأها، و لذلك احتمل الشريف المرتضى أن يقوم اللّٰه تعالى بخلق كلام فيسمعه جبرئيل، أو يكون قد قرأ مضمون الوحي في اللوح المحفوظ، و وعاه ثمّ بلّغه إلى النبيّ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مدى معرفة جبرئيل باللّٰه تعالى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السائل عن ذلك، و هل ما يعلمه جبرئيل من صفاته تعالى أكثر مما نعلمه، أو مثله‌؟ و هل يمكن لجبرئيل أن يُخطر اللّٰهَ تعالى في ذهنه و وهمه، أو أنّ ما يطرأ على ذهنه أمرٌ مخالف لحقيقته تعالى الذي لا تدركه الأوهام‌؟ هذا ما ظهر لنا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الشريف المرتضى بأنّ ما يعلمه جبرئيل من صفاته تعالى تابع للدليل الذي يقوم عنده، و هو بذلك مساوي لباقي العلماء و المتكلّمين من البشر، فالكلّ تابع للدليل، و هم في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لما يخطره جبرئيل في ذهنه فلا يجوز، و السبب في ذلك هو ما كان يذهب إليه الشريف المرتضى من عصمة جبرئيل، و أنّه لا يفعل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مهمّة، فهو قد أشار هنا إلى أنّ جبرئيل لم يكن معصوماً في تلقي الوحي و تبليغه فحسب، بل كان معصوماً عن فعل مطلق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جبرئيل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السائل عن مكان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الشريف المرتضى بما روي من أنّه في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جواب مقتضب ناشئ من عدم وجود دليل قطعي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الصفة في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سَأل عن ما ذهب إليه بعض المعتزلة من أنّ كونه تعالى سميعاً بصيراً مريداً هي صفات زائدة و مستقلّة عن الصفات الأُخرى، خلافاً لمن أرجع هذه الصفات إلى صفة العلم مثلاً، فسأل هل أنّهم يجعلون هذه الصفات مثل صفتي العلم و القدرة، أو لا؟</w:t>
      </w:r>
    </w:p>
    <w:p>
      <w:pPr>
        <w:pStyle w:val="BookText"/>
        <w:rPr/>
      </w:pPr>
      <w:r>
        <w:rPr>
          <w:rFonts w:ascii="Amiri" w:hAnsi="Amiri" w:eastAsia="Amiri" w:cs="Amiri"/>
          <w:color w:val="111111"/>
          <w:sz w:val="28"/>
          <w:sz w:val="28"/>
          <w:szCs w:val="28"/>
          <w:rtl w:val="true"/>
          <w:lang w:bidi="ar-SA"/>
        </w:rPr>
        <w:t>و أجاب الشريف المرتضى ببيان معنى الصفة التي هي قول الواصف، و هي بحسب الاصطلاح تعني ما تكون عليه الذات من الحال التي تختصّ بها، أعمّ من أن يكون ذلك للذات، أو لمعنى من المعاني أو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القدرة و العلم فلا يسمّيان صفة، و إنّما الصفة هي ما أوجبته القدرة و العلم من كونه قادراً و عالماً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تعالى، كيف يكون‌؟ و سأل السائل عن الكلام الإلهي، </w:t>
      </w:r>
    </w:p>
    <w:p>
      <w:pPr>
        <w:pStyle w:val="BookText"/>
        <w:rPr/>
      </w:pPr>
      <w:r>
        <w:rPr>
          <w:rFonts w:ascii="Amiri" w:hAnsi="Amiri" w:eastAsia="Amiri" w:cs="Amiri"/>
          <w:color w:val="111111"/>
          <w:sz w:val="28"/>
          <w:sz w:val="28"/>
          <w:szCs w:val="28"/>
          <w:rtl w:val="true"/>
          <w:lang w:bidi="ar-SA"/>
        </w:rPr>
        <w:t>هل تكلّم به أو أحدثه، و كأنّه تصوّر أنّه تعالى إذا تكلّم فكلامه يكون قديماً، خلافاً لِما لو أحدثه، و لذلك أجابه الشريف المرتضى بأنّه إذا أحدثه يصدق عليه أنّه تكلّم أيضاً، و لا تعارض بين الأمرين، فالمتكلّم هو فاعل الكلام، فإذا فعل الكلام فقد تكلّم به و أحدثه؛ فمعناهما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أيضاً عن كيفيّة كلامه تعالى مع موسى عليه السلام من خلال الشجرة، مع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 و الكلام من خلال الشجرة لا يعدّ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الشريف المرتضى بأنّه إذا أكمل الآية لوجد أصنافاً أُخرى غير الوحي،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حجاب، أو إرسال الرسول، فيمكن أن يكون الكلام من خلال الشجرة داخلاً تحت الصنف الذي هو من وراء حجاب، و بذلك يرتفع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سبب الإشكال عدم قراءة الآية بصورة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 و الميثاق و العقل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السائل عن عدّة أُمور بدأت بالسؤال عن الكعبة، ثمّ تسلسلت الأسئلة إلى أُمور أُخرى، و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الكعبة كانت قِبلة لمن كان قبلنا، أم أنّها قبلة لنا و لإبراهيم عليه السلام فقط؟ فأجاب الشريف المرتضى بأنّه ممّا لا شكّ فيه أنّها قبلتنا، و أمّا كونها قبلة لمن كان قبلنا، فهو أمر غير مقطوع به، بل هو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هو الجواب المنطقي عند فقدان الدليل على الإيجاب أو السلب في أيّ مسألة علمية، و قد تكرّر أكثر من مرّة في كلامه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بمناسبة الكلام عن الكعبة انتقل السائل إلى السؤال عن الحجر الأسود، و ما ورد من استحباب مخاطبة الحاجّ إيّاه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وفيتُ بعهدي و تعاهدتُ ميثاقي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أشكل على ذلك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 الحجر ما يُقال له، أو أنّه يحصل عنده علم بذلك يوم القيامة‌؟ و أجاب الشريف المرتضى بعقلانيّته المعهودة، فأنكر أن يَسمع الحجر شيئاً؛ لأنّه جماد، و السمع يتوقّف على وجود الحياة، و لذلك فنحن متعبَّدون فقط بمخاطبة الحجر لمصلحةٍ مّا، لا لكونه يَسمع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الثاني متعلّق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كلام الحاجّ للحجر، فقد أورد عليه 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كنّا عقلاء في عالم أخذ الميثاق فلا بدّ أن نذكره، و إن لم نكن عقلاء فمن القبيح أن يؤخذ الميثاق من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القول بالميثاق يقوّي شبهة التناسخ؛ فإنّهم يُلزموننا بما روي من أنّ الأرواح خلقت قبل الأبدان بألفي عام، و هذا يتناسب مع القول بالميثاق ممّا يؤدّي إلى تقوية شبهة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الشريف المرتضى على الإشكالين الأخيرين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يتناسب مع تصور أنّ المقصود بالميثاق في كلام الحاجّ هو ميثاق عالم الذرّ المذكور في القرآن، بينما ليس الأمر كذلك، فإنّ المقصود هو الميثاق الذي أخذه اللّٰه تعالى من الحاجّ على لسان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يرد إشكال على تكليم الحاجّ للحجر من هذه الناحية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بالذكر أنّ هذا الكلام لا يعني إيمان الشريف المرتضى بعالم الذرّ، فهو قد ذهب إلى إنكار هذا العالم، و استدلّ بنفس ما ذكره السائل من ضرورة تذكّر ذلك العالم على فرض وجوده</w:t>
      </w:r>
      <w:r>
        <w:rPr>
          <w:rStyle w:val="FootnoteAnchor"/>
          <w:rtl w:val="true"/>
        </w:rPr>
        <w:footnoteReference w:id="1591"/>
      </w:r>
      <w:r>
        <w:rPr>
          <w:rFonts w:ascii="Amiri" w:hAnsi="Amiri" w:eastAsia="Amiri" w:cs="Amiri"/>
          <w:color w:val="111111"/>
          <w:sz w:val="28"/>
          <w:sz w:val="28"/>
          <w:szCs w:val="28"/>
          <w:rtl w:val="true"/>
          <w:lang w:bidi="ar-SA"/>
        </w:rPr>
        <w:t>، و إنّما كان مقصوده هنا إنكار أن يكون الميثاق المذكور في كلام الحاجّ هو نفس ميثاق الذرّ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بطلان التناسخ بأدلّة قطعيّة، وبذلك لا يمكن تقوية شبهة التناسخ من خلال القول بالميثاق أو خلق الأرواح قبل الأبدان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بمناسبة الكلام عن خلق الأرواح انتقل السائل إلى السؤال عن الأرواح، و هل هي قديمة و مخلوقة قبل الأبدان أم لا؟ و كأنّ السائل و غيره فهموا من تقدّم خلق الأرواح على الأبدان بألفي عام أنّ الأرواح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بأنّ هذه من الدعاوى الباطلة، و قد ثبت بالدليل حدوث جميع الأجسام، سواء كانت أرواحاً أم لا، فإنّ الروح جسم؛ لأنّ غاية ما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حية، و الحيّ بكلّ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إنسان أو مَلَك أو جنّ أو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الأجسام، و بذلك لا تكون الأرواح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الإشارة هنا إلى أنّ الشريف المرتضى سوف يصرّح بأنّ الروح ليست حيّة، لكنّه مع ذلك يقول بأنّها جسم؛ لأنّ تعريفه للروح هي أنّها هواء متردّد في مخارق الحيّ‌، و الهواء جسم و إن كان رقيقاً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الأسئلة المتعلقة بالروح السؤال عن حال الأرواح بعد مفارقة الأبدان، هل يكون لديها حسّ أم لا؟ و هل يقع الحساب عليها فقط، أو عليها و على الأبدان معاً؟ فأجاب الشريف المرتضى بأن الحسّ من خصوصيات الحيّ‌، و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تحلّ فيه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هذا الجسم الذي نشاهده و الذي يحس و يدرِك، و الإدراك عند المتكلّمين يعني المعرفة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اتّضح هذا، فإذا كانت الأرواح بعد انفرادها غير حيّة، فهي لا تحسّ‌؛ لإن الحسّ هو الإدراك و الإدراك هو الحسّ كما تقدم آنفاً، و المقتضي للإدراك هو كون المدرِك حياً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فُقدت الحياة فُقد الإدراك و الحسّ‌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اتّضح الجواب عن السؤال الآخر، و هو وقوع الحساب على الروح، فقد أجاب الشريف المرتضى بأنّ الحساب على الحيّ‌، و بما أنّ الروح تابعة في كونها </w:t>
      </w:r>
    </w:p>
    <w:p>
      <w:pPr>
        <w:pStyle w:val="BookText"/>
        <w:rPr/>
      </w:pPr>
      <w:r>
        <w:rPr>
          <w:rFonts w:ascii="Amiri" w:hAnsi="Amiri" w:eastAsia="Amiri" w:cs="Amiri"/>
          <w:color w:val="111111"/>
          <w:sz w:val="28"/>
          <w:sz w:val="28"/>
          <w:szCs w:val="28"/>
          <w:rtl w:val="true"/>
          <w:lang w:bidi="ar-SA"/>
        </w:rPr>
        <w:t xml:space="preserve">حيّة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فالحساب يقع على من تكون تابعة له، لا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سؤال آخر عن جانب آخر من الروح، و هو حال نوم الإنسان، فما المقدار الذي يفارق منها البدن، و ما الذي يبقى‌؟ و أجاب الشريف المرتضى من خلال تعريف الروح، حيث عرّفها بأنّها الهواء المتردّد و المتحرّك في مَخارق و فراغات جسم الحيّ‌، و هذا الهواء موجود في حالتي النوم و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هذا الكلام أنّ الروح لا تفارق البدن في حال النوم، و لا حتّى جزء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لمناسبة البحث عن الروح و البدن، تطرّق السائل للسؤال عن علاقة العقل و البدن، و عن مستقرّ العقل منه‌؟ و هل يتساوى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الأنبياء و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أم لبعض الناس مزيّة على الآخرين فيه‌؟ فأجاب الشريف المرتضى بأنّ مستقرّ العقل و مكانه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السؤال الآخر، فبما أنّ الشريف المرتضى ذهب إلى أنّ العقل عبارة عن مجموعة من العلوم المعيّنة التي يمتلكها المكلّف، لذلك صرّح هنا بأنّ جميع البشر متساوون في العقل، و لا مزيّة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فيه؛ لتساويهم في تلك العلوم التي تشكّل العقل، نعم لبعض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على غيرهم في امتلاكهم علوماً أُخرى غير علوم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طرح السائل سؤالاً آخر عن العقل، و هو هل يكبر العقل مع الصبي، أي هل تزداد العلوم التي يتكوّن منها العقل في الصبي، أو أنّه يحصل على علوم معيّنة و ثابتة ليست فيها زيادة‌؟ فأجاب الشريف المرتضى بأنّ هناك خلافاً حول غير العاقل، هل يملك شيئاً من العقل، أي هل يمتلك بعض العلوم التي يتكوّن منها العقل، أو لا؟ و يعني بغير العاقل الصبي الذي وقع محلاًّ للسؤال، فإنّ العقل هو مدار التكليف، فالذي يحصل على مقدار من العلوم بحيث يصير مكلّفاً يسمّى عاقلاً، و الذي لم يحصل </w:t>
      </w:r>
    </w:p>
    <w:p>
      <w:pPr>
        <w:pStyle w:val="BookText"/>
        <w:rPr/>
      </w:pPr>
      <w:r>
        <w:rPr>
          <w:rFonts w:ascii="Amiri" w:hAnsi="Amiri" w:eastAsia="Amiri" w:cs="Amiri"/>
          <w:color w:val="111111"/>
          <w:sz w:val="28"/>
          <w:sz w:val="28"/>
          <w:szCs w:val="28"/>
          <w:rtl w:val="true"/>
          <w:lang w:bidi="ar-SA"/>
        </w:rPr>
        <w:t xml:space="preserve">على ذلك المقدار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غير عاقل أو جاهل</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الشريف المرتضى عن السؤال الأخير بأنّ ذلك راجع إلى اختيار اللّٰه تعالى، فيمكنه أن يَخلق في الأطفال العقل، أي أن يعطيهم العلوم التي يكونون بها من العقلاء، و قد فعل ذلك بالفعل في حقّ عيسى و بعض أئمّتنا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 السائل أيضاً عن عدد أرواح الإنسان، و مكانها، و مكان العقل منها، و هل هو داخل فيها أو خارج عنها؟ فأجاب الشريف المرتضى بأنّ الروح واحدة، و ذلك اعتماداً على ما تقدّم من أنّ حقيقتها عبارة عن الهواء المتردّد في مَخارق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متردّداً في مَخارق غير الحيّ‌، فهو مجرّد هواء و لا يسمّى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الهواء واحد غير متنوّع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مكان الروح فهو مَخارق الحيّ و فراغاته، كما هو مذكور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مكان العقل منها، فالروح ليست إلّاهواء، فهي ليست عاقلة حتّى يُسأل عن مكان العقل منها، و قد تقدّم أنّ مكان العقل هو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بمناسبة الكلام عن عدد أرواح الإنسان، تعرّض السائل للسؤال عن حقيقة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بأنّها مسألة مطوّلة و قد تقدّمت بعض الإشارات إليها، و هو أنّ الإنسان حيّ‌، و حقيقة الحيّ هو هذا الجسم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السائل عن أنّه إذا كان اللّٰه تعالى قديماً، فكيف يمكننا القطع بأنّ أوّل شيء خلقه هو السماوات و الأرض‌؟ فهل هناك دليل قطعي من الشرع أو غيره‌؟ فأجاب الشريف المرتضى بعدم وجود قطع على شيء من ذلك؛ لعدم قيام دليل قطعي على ذلك، و لذلك يبقى الأمر في حيّز الإمكان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الفراغ و نهايته و علم الباري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الشريف </w:t>
      </w:r>
    </w:p>
    <w:p>
      <w:pPr>
        <w:pStyle w:val="BookText"/>
        <w:rPr/>
      </w:pPr>
      <w:r>
        <w:rPr>
          <w:rFonts w:ascii="Amiri" w:hAnsi="Amiri" w:eastAsia="Amiri" w:cs="Amiri"/>
          <w:color w:val="111111"/>
          <w:sz w:val="28"/>
          <w:sz w:val="28"/>
          <w:szCs w:val="28"/>
          <w:rtl w:val="true"/>
          <w:lang w:bidi="ar-SA"/>
        </w:rPr>
        <w:t>المرتضى إلى القول بالخلأ، و أنّ العالم ليس كلّه ملأ، بل هناك خلأ إلى جانبه</w:t>
      </w:r>
      <w:r>
        <w:rPr>
          <w:rStyle w:val="FootnoteAnchor"/>
          <w:rtl w:val="true"/>
        </w:rPr>
        <w:footnoteReference w:id="1593"/>
      </w:r>
      <w:r>
        <w:rPr>
          <w:rFonts w:ascii="Amiri" w:hAnsi="Amiri" w:eastAsia="Amiri" w:cs="Amiri"/>
          <w:color w:val="111111"/>
          <w:sz w:val="28"/>
          <w:sz w:val="28"/>
          <w:szCs w:val="28"/>
          <w:rtl w:val="true"/>
          <w:lang w:bidi="ar-SA"/>
        </w:rPr>
        <w:t xml:space="preserve">، و لذلك أورد السائل أسئلته و إشكالاته على الخلأ و الفراغ، فسأل عن حقيقة الفراغ و معناه، و هل له نهاية‌؟ و باعتبار أنّ السماوات و الأرض سبع طبقات، فهل يوجد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الطبقة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قطعاً أو لا؟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هناك فراغ، و إنّما ينقطع الفراغ بانقطاع السماوات و الأرضين السبع، فحينئذ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يوجد بعد هذه السماوات و الأرضين‌؟ أي ماذا يوجد بعد الملأ، فإذا لم يوجد هناك خلأ و فراغ فماذا؟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هناك فراغ،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الفراغ فماذا يوجد بعده‌؟ و كأنّ السائل تصوّر أنّ الفراغ لا بدّ أن ينتهي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بأنّ حقيقة الفراغ لا شيء، فلا هو جوهر و لا عرض، و لا قديم و لا حادث، و لا هو ذات و لا معلوم كباقي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يوصف على الحقيقة بالتناهي و عدمه، بل يوصف بذلك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وراء السماوات و الأرضين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الطبقة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نعرفها، و القرآن الكريم نطق بما يدلّ على سبع طبقات فقط، و أمّا غير ذلك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جابَرقا و جابَرسا، و حكم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سأل عنه السائل، سؤاله عن حقيقة مدينتَي جابَرقا و جابَرسا الواردتين في كلام الإمام الحسن عليه السلام، و هل لهما وجود؟ و ما هو تكليف أهلها؟ فباعتبار وقوع إحدى المدينتين في شرق الأرض و الأُخرى في غربها و بُعدهما عنّا بحيث يُحتمل أن لا تكون دعوة الإسلام قد وصلت إليهم، لذلك سأل عن نوع تكليف أهلها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الشريف المرتضى بأنّ الخبر المشار إليه خبر واحد، و لذلك لا يمكن القطع على محتواه و على وجود هاتين المدينتين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تكليف أهلها على فرض </w:t>
      </w:r>
    </w:p>
    <w:p>
      <w:pPr>
        <w:pStyle w:val="BookText"/>
        <w:rPr/>
      </w:pPr>
      <w:r>
        <w:rPr>
          <w:rFonts w:ascii="Amiri" w:hAnsi="Amiri" w:eastAsia="Amiri" w:cs="Amiri"/>
          <w:color w:val="111111"/>
          <w:sz w:val="28"/>
          <w:sz w:val="28"/>
          <w:szCs w:val="28"/>
          <w:rtl w:val="true"/>
          <w:lang w:bidi="ar-SA"/>
        </w:rPr>
        <w:t>وجودهما، فالأمر دائر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دعوة الإسلام قد وصلت إليهم، و قامت عليهم الحجّة، فهُم مكلّفون بنفس تكاليفنا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تكون قد وصلت إليهم، فهُم مكلّفون بما يمليه عليهم العقل من تكاليف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الأطفال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حكم أطفال المؤمنين و الكافرين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بأنّ المرويّ دخول أطفال المؤمنين الجنّة، إمّا تفضلاً من اللّٰه تعالى عليهم، و إمّا لأجل أن يزيد سرور آبائهم بذلك، فيكون دخول هؤلاء الأطفال إلى الجنّة أحد أنواع الثواب الذي يصل إلى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الشريف المرتضى ذلك إلى المرويّ يدلّ على عدم قطعه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أطفال الكافرين فيبدو أنّه لا توجد في حقّهم رواية يمكن الركون إليها، و لذلك اكتفى في الجواب بذكر ما يدلّ عليه العقل، و هو أنّ كلّ غير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الأطفال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 يوم القيامة كي يحصل على أعواض آلامه في الدنيا، ثمّ يصير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قاتل إماماً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عقاب مَن قاتل الإمام و هو مؤمن بالشريعة كلّها، و مات من دون توبة، فهل يكون عقابه منقطعاً، حتّى إذا انتهى عقابه خرج من النار و دخل الجنّة‌؟ فأجاب الشريف المرتضى بضرس قاطع و هو أنّ من قاتل الإمام كافرٌ، و عقابه كعقاب سائر الكفّار عقابٌ دائمٌ في النار غير منقطع، فلا يسقط بعفو و لا شفاعة، و لا يسقط إلّابأن يتوب في حياته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الملائكة و الجنّ بعد انتهاء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عن حال الملائكة بعد انتهاء التكليف و دخول أهل الجنّة إلى الجنّة، فهل الجنّة التي يدخلها الملائكة هي نفس جنّة بني آدم أو غيرها؟ و هل يمكن للبشر أن يروهم‌؟ و هل هم يأكلون و يشربون كالبشر، أم هم مشغولون بالتسبيح و التقديس فقط؟ و هل </w:t>
      </w:r>
    </w:p>
    <w:p>
      <w:pPr>
        <w:pStyle w:val="BookText"/>
        <w:rPr/>
      </w:pPr>
      <w:r>
        <w:rPr>
          <w:rFonts w:ascii="Amiri" w:hAnsi="Amiri" w:eastAsia="Amiri" w:cs="Amiri"/>
          <w:color w:val="111111"/>
          <w:sz w:val="28"/>
          <w:sz w:val="28"/>
          <w:szCs w:val="28"/>
          <w:rtl w:val="true"/>
          <w:lang w:bidi="ar-SA"/>
        </w:rPr>
        <w:t>يسقط التكليف عنهم هناك في الجنّة‌؟ و أكثر هذه الأسئلة تشمل الجنّ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الشريف المرتضى بجواز أن تكون جنّتهم نفس جنّة بني آدم أو غيرها، فإنّ الجنان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رؤية البشر لهم فهو أمر ممكن؛ لأنّهم 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 حقيقة الحيّ أنّه جسم، و الملائكة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أجسامهم شفافة و رقيقة لذلك لا يمكن رؤيتهم إلّابتقوية شعاع بصر البشر كي يصبحوا قادرين على رؤية الأجسام الشفّافة، أو بتكثيف أجسام الملائكة، و كلّ ذلك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أكلهم و شربهم فجائز أن يكون و أن لا يكون، فاللّٰه تعالى يثيبهم بما فيه لذّتهم، فإن كانت في الأكل و الشرب جاز، و إن كانت في غير ذلك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تكليفهم فالذي يدلّ عليه العقل هو أنّه يَسقط عنهم؛ لأنّه لا يمكن أن يكونوا مكلّفين و مثابين في آن واحد؛ فإنّ التكليف مأخوذ من الكلفة و المشقّة، و هي لا تجتمع مع الثواب الخالي من ذلك</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الكلام في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الانتهاء من التعريف بما ورد من بحوث في هذه المسائل يمكن تقديم فهرس مختصر لها من خلال تصنيفها إلى عدّة أصناف، نقوم بذكرها هنا باختصار، و نشير إلى عنوان و رقم المسألة التي تعرّضت إليها، و ذلك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الطبيعيات؛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حدوث حشرات الأرض و البراغيث، أو عدم حدوثها، كما ذهب إليه 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البحث عن حقيقة الرعد و البرق و الغيم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حقيقة الفراغ، أو الخلأ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الإلهيّة؛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نفي الجسميّة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المثل، و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تعالى، و حقيقة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304" w:name="pg16415_223938"/>
    </w:p>
    <w:p>
      <w:pPr>
        <w:pStyle w:val="BookText"/>
        <w:rPr/>
      </w:pPr>
      <w:bookmarkEnd w:id="30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لطيف الكلام؛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قدرة الجسم على خلق و إبداع جسم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كيفيّة حدوث شيء لا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نفي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تصوّر جبرئيل بصورة دحية الكلبي، و كيفيّة سماعه للوحي، و غير ذلك من الأبحاث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الأطفال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مصير مَن قاتل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الملائكة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كلاميّة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الكلام مع الحجر الأسود، و حقيقة الميثاق، و بطلان التناسخ، و حقيقة الروح، و الإنسان،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ما 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تكليف أهل جابرقا و جابرسا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أهمّ الأبحاث المطروحة في المسائل النيليّات، و هي تعكس الكثير من آراء الشريف المرتضى الكلاميّة التي تبنّاها في مختلف كتبه و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المسائل النيليات قد طبعت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قوبلت الطبعة الجديدة مع 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أُشير إليها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الأُخرىٰ في ضمن مسائل المرتضى،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النيليات</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642436_1280447820"/>
      <w:bookmarkStart w:id="306" w:name="_Toc105"/>
      <w:bookmarkEnd w:id="305"/>
      <w:r>
        <w:rPr>
          <w:rtl w:val="true"/>
        </w:rPr>
        <w:t>مخطوطات الرسالة</w:t>
      </w:r>
      <w:bookmarkEnd w:id="306"/>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432/4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و هي بخطّ الشيخ محمّد بن طاهر السماوي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307" w:name="pg16415_223941"/>
    </w:p>
    <w:p>
      <w:pPr>
        <w:pStyle w:val="Heading5"/>
        <w:numPr>
          <w:ilvl w:val="4"/>
          <w:numId w:val="1"/>
        </w:numPr>
        <w:rPr/>
      </w:pPr>
      <w:bookmarkStart w:id="308" w:name="__RefHeading___Toc7642438_1280447820"/>
      <w:bookmarkStart w:id="309" w:name="_Toc106"/>
      <w:bookmarkEnd w:id="307"/>
      <w:bookmarkEnd w:id="308"/>
      <w:r>
        <w:rPr>
          <w:rtl w:val="true"/>
        </w:rPr>
        <w:t>جواباتُ المَسائلِ النيليّاتِ‌</w:t>
      </w:r>
      <w:bookmarkEnd w:id="309"/>
    </w:p>
    <w:p>
      <w:pPr>
        <w:pStyle w:val="Heading6"/>
        <w:numPr>
          <w:ilvl w:val="5"/>
          <w:numId w:val="1"/>
        </w:numPr>
        <w:rPr/>
      </w:pPr>
      <w:bookmarkStart w:id="310" w:name="__RefHeading___Toc7642440_1280447820"/>
      <w:bookmarkStart w:id="311" w:name="_Toc107"/>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جواباتُ المَسائلِ النيليّاتِ‌</w:t>
      </w:r>
      <w:r>
        <w:rPr>
          <w:rStyle w:val="FootnoteAnchor"/>
          <w:rtl w:val="true"/>
        </w:rPr>
        <w:footnoteReference w:id="1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w:t>
      </w:r>
      <w:r>
        <w:rPr>
          <w:rStyle w:val="FootnoteAnchor"/>
          <w:rtl w:val="true"/>
        </w:rPr>
        <w:footnoteReference w:id="1596"/>
      </w:r>
      <w:r>
        <w:rPr>
          <w:rFonts w:ascii="Amiri" w:hAnsi="Amiri" w:eastAsia="Amiri" w:cs="Amiri"/>
          <w:color w:val="111111"/>
          <w:sz w:val="28"/>
          <w:sz w:val="28"/>
          <w:szCs w:val="28"/>
          <w:rtl w:val="true"/>
          <w:lang w:bidi="ar-SA"/>
        </w:rPr>
        <w:t>ممّا</w:t>
      </w:r>
      <w:r>
        <w:rPr>
          <w:rStyle w:val="FootnoteAnchor"/>
          <w:rtl w:val="true"/>
        </w:rPr>
        <w:footnoteReference w:id="1597"/>
      </w:r>
      <w:r>
        <w:rPr>
          <w:rFonts w:ascii="Amiri" w:hAnsi="Amiri" w:eastAsia="Amiri" w:cs="Amiri"/>
          <w:color w:val="111111"/>
          <w:sz w:val="28"/>
          <w:sz w:val="28"/>
          <w:szCs w:val="28"/>
          <w:rtl w:val="true"/>
          <w:lang w:bidi="ar-SA"/>
        </w:rPr>
        <w:t>وُجِدَ</w:t>
      </w:r>
      <w:r>
        <w:rPr>
          <w:rStyle w:val="FootnoteAnchor"/>
          <w:rtl w:val="true"/>
        </w:rPr>
        <w:footnoteReference w:id="1598"/>
      </w:r>
      <w:r>
        <w:rPr>
          <w:rFonts w:ascii="Amiri" w:hAnsi="Amiri" w:eastAsia="Amiri" w:cs="Amiri"/>
          <w:color w:val="111111"/>
          <w:sz w:val="28"/>
          <w:sz w:val="28"/>
          <w:szCs w:val="28"/>
          <w:rtl w:val="true"/>
          <w:lang w:bidi="ar-SA"/>
        </w:rPr>
        <w:t>مِن المَسائلِ الواردةِ مِن النِّيلِ و جوابِها، سِوىٰ ما شَذَّ مِنها</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7642442_1280447820"/>
      <w:bookmarkStart w:id="313" w:name="_Toc108"/>
      <w:bookmarkEnd w:id="312"/>
      <w:r>
        <w:rPr>
          <w:rtl w:val="true"/>
        </w:rPr>
        <w:t>المَسألةُ السادسةُ‌ إحداثُ الحَشَراتِ و استحقاقُها للعِوَضِ‌</w:t>
      </w:r>
      <w:bookmarkEnd w:id="313"/>
    </w:p>
    <w:p>
      <w:pPr>
        <w:pStyle w:val="BookText"/>
        <w:rPr/>
      </w:pPr>
      <w:r>
        <w:rPr>
          <w:rFonts w:ascii="Amiri" w:hAnsi="Amiri" w:eastAsia="Amiri" w:cs="Amiri"/>
          <w:color w:val="111111"/>
          <w:sz w:val="28"/>
          <w:sz w:val="28"/>
          <w:szCs w:val="28"/>
          <w:rtl w:val="true"/>
          <w:lang w:bidi="ar-SA"/>
        </w:rPr>
        <w:t>المَسألةُ السادسةُ‌</w:t>
      </w:r>
      <w:r>
        <w:rPr>
          <w:rStyle w:val="FootnoteAnchor"/>
          <w:rtl w:val="true"/>
        </w:rPr>
        <w:footnoteReference w:id="1599"/>
      </w:r>
      <w:r>
        <w:rPr>
          <w:rFonts w:ascii="Amiri" w:hAnsi="Amiri" w:eastAsia="Amiri" w:cs="Amiri"/>
          <w:color w:val="111111"/>
          <w:sz w:val="28"/>
          <w:sz w:val="28"/>
          <w:szCs w:val="28"/>
          <w:rtl w:val="true"/>
          <w:lang w:bidi="ar-SA"/>
        </w:rPr>
        <w:t>إحداثُ الحَشَراتِ و استحقاقُها للعِوَضِ‌</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ثُمامةَ‌</w:t>
      </w:r>
      <w:r>
        <w:rPr>
          <w:rStyle w:val="FootnoteAnchor"/>
          <w:rtl w:val="true"/>
        </w:rPr>
        <w:footnoteReference w:id="1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حَشَراتِ الأرضِ و البَراغيثَ‌</w:t>
      </w:r>
      <w:r>
        <w:rPr>
          <w:rStyle w:val="FootnoteAnchor"/>
          <w:rtl w:val="true"/>
        </w:rPr>
        <w:footnoteReference w:id="1601"/>
      </w:r>
      <w:r>
        <w:rPr>
          <w:rFonts w:ascii="Amiri" w:hAnsi="Amiri" w:eastAsia="Amiri" w:cs="Amiri"/>
          <w:color w:val="111111"/>
          <w:sz w:val="28"/>
          <w:sz w:val="28"/>
          <w:szCs w:val="28"/>
          <w:rtl w:val="true"/>
          <w:lang w:bidi="ar-SA"/>
        </w:rPr>
        <w:t>حَوادثُ لا مُحدِثَ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w:t>
      </w:r>
    </w:p>
    <w:p>
      <w:pPr>
        <w:pStyle w:val="BookText"/>
        <w:rPr/>
      </w:pPr>
      <w:r>
        <w:rPr>
          <w:rFonts w:ascii="Amiri" w:hAnsi="Amiri" w:eastAsia="Amiri" w:cs="Amiri"/>
          <w:color w:val="111111"/>
          <w:sz w:val="28"/>
          <w:sz w:val="28"/>
          <w:szCs w:val="28"/>
          <w:rtl w:val="true"/>
          <w:lang w:bidi="ar-SA"/>
        </w:rPr>
        <w:t>طَريقٍ قالَه</w:t>
      </w:r>
      <w:r>
        <w:rPr>
          <w:rStyle w:val="FootnoteAnchor"/>
          <w:rtl w:val="true"/>
        </w:rPr>
        <w:footnoteReference w:id="1602"/>
      </w:r>
      <w:r>
        <w:rPr>
          <w:rFonts w:ascii="Amiri" w:hAnsi="Amiri" w:eastAsia="Amiri" w:cs="Amiri"/>
          <w:color w:val="111111"/>
          <w:sz w:val="28"/>
          <w:sz w:val="28"/>
          <w:szCs w:val="28"/>
          <w:rtl w:val="true"/>
          <w:lang w:bidi="ar-SA"/>
        </w:rPr>
        <w:t>؟ و إلىٰ أيِّ شَيءٍ ذَهَبَ؟ و ما يُقتَلُ‌</w:t>
      </w:r>
      <w:r>
        <w:rPr>
          <w:rStyle w:val="FootnoteAnchor"/>
          <w:rtl w:val="true"/>
        </w:rPr>
        <w:footnoteReference w:id="1603"/>
      </w:r>
      <w:r>
        <w:rPr>
          <w:rFonts w:ascii="IRNazanin" w:hAnsi="IRNazanin" w:eastAsia="IRNazanin"/>
          <w:color w:val="111111"/>
          <w:sz w:val="28"/>
          <w:sz w:val="28"/>
          <w:szCs w:val="28"/>
          <w:rtl w:val="true"/>
          <w:lang w:bidi="fa-IR"/>
        </w:rPr>
        <w:t>منها</w:t>
      </w:r>
      <w:r>
        <w:rPr>
          <w:rStyle w:val="FootnoteAnchor"/>
          <w:rtl w:val="true"/>
        </w:rPr>
        <w:footnoteReference w:id="1604"/>
      </w:r>
      <w:r>
        <w:rPr>
          <w:rFonts w:ascii="IRNazanin" w:hAnsi="IRNazanin" w:eastAsia="IRNazanin"/>
          <w:color w:val="111111"/>
          <w:sz w:val="28"/>
          <w:sz w:val="28"/>
          <w:szCs w:val="28"/>
          <w:rtl w:val="true"/>
          <w:lang w:bidi="fa-IR"/>
        </w:rPr>
        <w:t>و من</w:t>
      </w:r>
      <w:r>
        <w:rPr>
          <w:rStyle w:val="FootnoteAnchor"/>
          <w:rtl w:val="true"/>
        </w:rPr>
        <w:footnoteReference w:id="1605"/>
      </w:r>
      <w:r>
        <w:rPr>
          <w:rFonts w:ascii="Amiri" w:hAnsi="Amiri" w:eastAsia="Amiri" w:cs="Amiri"/>
          <w:color w:val="111111"/>
          <w:sz w:val="28"/>
          <w:sz w:val="28"/>
          <w:szCs w:val="28"/>
          <w:rtl w:val="true"/>
          <w:lang w:bidi="ar-SA"/>
        </w:rPr>
        <w:t>القُمَّلِ‌</w:t>
      </w:r>
      <w:r>
        <w:rPr>
          <w:rStyle w:val="FootnoteAnchor"/>
          <w:rtl w:val="true"/>
        </w:rPr>
        <w:footnoteReference w:id="1606"/>
      </w:r>
      <w:r>
        <w:rPr>
          <w:rFonts w:ascii="Amiri" w:hAnsi="Amiri" w:eastAsia="Amiri" w:cs="Amiri"/>
          <w:color w:val="111111"/>
          <w:sz w:val="28"/>
          <w:sz w:val="28"/>
          <w:szCs w:val="28"/>
          <w:rtl w:val="true"/>
          <w:lang w:bidi="ar-SA"/>
        </w:rPr>
        <w:t>و الصِّئْبانِ‌</w:t>
      </w:r>
      <w:r>
        <w:rPr>
          <w:rStyle w:val="FootnoteAnchor"/>
          <w:rtl w:val="true"/>
        </w:rPr>
        <w:footnoteReference w:id="1607"/>
      </w:r>
      <w:r>
        <w:rPr>
          <w:rFonts w:ascii="Amiri" w:hAnsi="Amiri" w:eastAsia="Amiri" w:cs="Amiri"/>
          <w:color w:val="111111"/>
          <w:sz w:val="28"/>
          <w:sz w:val="28"/>
          <w:szCs w:val="28"/>
          <w:rtl w:val="true"/>
          <w:lang w:bidi="ar-SA"/>
        </w:rPr>
        <w:t>أيضاً بغَيرِ ذَنبٍ‌، له عِوَضٌ أم لا؟ و إن كانَ لَيسَ له عِوَضٌ فما بالُ غيرِه له عِوَضٌ‌</w:t>
      </w:r>
      <w:r>
        <w:rPr>
          <w:rStyle w:val="FootnoteAnchor"/>
          <w:rtl w:val="true"/>
        </w:rPr>
        <w:footnoteReference w:id="16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رَأَى استحالةَ حُدوثِها مِنّا</w:t>
      </w:r>
      <w:r>
        <w:rPr>
          <w:rStyle w:val="FootnoteAnchor"/>
          <w:rtl w:val="true"/>
        </w:rPr>
        <w:footnoteReference w:id="1609"/>
      </w:r>
      <w:r>
        <w:rPr>
          <w:rFonts w:ascii="Amiri" w:hAnsi="Amiri" w:eastAsia="Amiri" w:cs="Amiri"/>
          <w:color w:val="111111"/>
          <w:sz w:val="28"/>
          <w:sz w:val="28"/>
          <w:szCs w:val="28"/>
          <w:rtl w:val="true"/>
          <w:lang w:bidi="ar-SA"/>
        </w:rPr>
        <w:t>لِتَعذُّرِ فِعلِ الأجسامِ و بِنيةِ‌</w:t>
      </w:r>
      <w:r>
        <w:rPr>
          <w:rStyle w:val="FootnoteAnchor"/>
          <w:rtl w:val="true"/>
        </w:rPr>
        <w:footnoteReference w:id="1610"/>
      </w:r>
      <w:r>
        <w:rPr>
          <w:rFonts w:ascii="Amiri" w:hAnsi="Amiri" w:eastAsia="Amiri" w:cs="Amiri"/>
          <w:color w:val="111111"/>
          <w:sz w:val="28"/>
          <w:sz w:val="28"/>
          <w:szCs w:val="28"/>
          <w:rtl w:val="true"/>
          <w:lang w:bidi="ar-SA"/>
        </w:rPr>
        <w:t>الحياةِ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خَفيَ عليه وجهُ الحِكمةِ و المَصلَحةِ في وقوعِها مِن القَديمِ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وقوعُها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تَعذُّرَ وقوعِها مِن الفاعلِ القَديمِ و تَعذُّرَ وقوعِها مِن الفاعلِ‌</w:t>
      </w:r>
      <w:r>
        <w:rPr>
          <w:rStyle w:val="FootnoteAnchor"/>
          <w:rtl w:val="true"/>
        </w:rPr>
        <w:footnoteReference w:id="1611"/>
      </w:r>
      <w:r>
        <w:rPr>
          <w:rFonts w:ascii="Amiri" w:hAnsi="Amiri" w:eastAsia="Amiri" w:cs="Amiri"/>
          <w:color w:val="111111"/>
          <w:sz w:val="28"/>
          <w:sz w:val="28"/>
          <w:szCs w:val="28"/>
          <w:rtl w:val="true"/>
          <w:lang w:bidi="ar-SA"/>
        </w:rPr>
        <w:t>المُحدَثِ و قد ثَبَتَ حُدوثُها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حَوادثُ لا مُحدِثَ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وجهَ الحِكمةِ فيها</w:t>
      </w:r>
      <w:r>
        <w:rPr>
          <w:rStyle w:val="FootnoteAnchor"/>
          <w:rtl w:val="true"/>
        </w:rPr>
        <w:footnoteReference w:id="1612"/>
      </w:r>
      <w:r>
        <w:rPr>
          <w:rFonts w:ascii="Amiri" w:hAnsi="Amiri" w:eastAsia="Amiri" w:cs="Amiri"/>
          <w:color w:val="111111"/>
          <w:sz w:val="28"/>
          <w:sz w:val="28"/>
          <w:szCs w:val="28"/>
          <w:rtl w:val="true"/>
          <w:lang w:bidi="ar-SA"/>
        </w:rPr>
        <w:t>لَأضافَها إلَى القَديمِ تَعالىٰ‌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العِوَضُ فهو ثابتٌ فيما يَدخُلُ عليها مِن الآلامِ كما يَستَحِقُّه غيرُها مِن المؤلَماتِ‌؛ و الدليلُ علىٰ ثُبوتِ العِوَضِ في المَوضِعَينِ واحدٌ</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bookmarkStart w:id="314" w:name="pg16415_223943"/>
    </w:p>
    <w:p>
      <w:pPr>
        <w:pStyle w:val="Heading6"/>
        <w:numPr>
          <w:ilvl w:val="5"/>
          <w:numId w:val="1"/>
        </w:numPr>
        <w:rPr/>
      </w:pPr>
      <w:bookmarkStart w:id="315" w:name="__RefHeading___Toc7642444_1280447820"/>
      <w:bookmarkStart w:id="316" w:name="_Toc109"/>
      <w:bookmarkEnd w:id="314"/>
      <w:bookmarkEnd w:id="315"/>
      <w:r>
        <w:rPr>
          <w:rtl w:val="true"/>
        </w:rPr>
        <w:t>المسألةُ السابعةُ‌ ماهيّةُ الرعدِ و البَرقِ و الغَيمِ‌، و وجودُ جبالِ البَرَدِ</w:t>
      </w:r>
      <w:bookmarkEnd w:id="316"/>
    </w:p>
    <w:p>
      <w:pPr>
        <w:pStyle w:val="BookText"/>
        <w:rPr/>
      </w:pPr>
      <w:r>
        <w:rPr>
          <w:rFonts w:ascii="Amiri" w:hAnsi="Amiri" w:eastAsia="Amiri" w:cs="Amiri"/>
          <w:color w:val="111111"/>
          <w:sz w:val="28"/>
          <w:sz w:val="28"/>
          <w:szCs w:val="28"/>
          <w:rtl w:val="true"/>
          <w:lang w:bidi="ar-SA"/>
        </w:rPr>
        <w:t>المسألةُ السابعةُ‌</w:t>
      </w:r>
      <w:r>
        <w:rPr>
          <w:rStyle w:val="FootnoteAnchor"/>
          <w:rtl w:val="true"/>
        </w:rPr>
        <w:footnoteReference w:id="1614"/>
      </w:r>
      <w:r>
        <w:rPr>
          <w:rFonts w:ascii="Amiri" w:hAnsi="Amiri" w:eastAsia="Amiri" w:cs="Amiri"/>
          <w:color w:val="111111"/>
          <w:sz w:val="28"/>
          <w:sz w:val="28"/>
          <w:szCs w:val="28"/>
          <w:rtl w:val="true"/>
          <w:lang w:bidi="ar-SA"/>
        </w:rPr>
        <w:t>ماهيّةُ الرعدِ و البَرقِ و الغَيمِ‌، و وجودُ جبالِ البَرَدِ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قولُه</w:t>
      </w:r>
      <w:r>
        <w:rPr>
          <w:rStyle w:val="FootnoteAnchor"/>
          <w:rtl w:val="true"/>
        </w:rPr>
        <w:footnoteReference w:id="161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مِنَ اَلسَّمٰاءِ مِنْ جِبٰالٍ فِيهٰا مِنْ بَرَدٍ</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هَل هُناكَ‌</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أم 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كَثيفٌ‌، و هو مُشاهَدٌ لا يُمكِنُ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أنّهما مَلَكانِ‌</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نَقولُه هو أنّ الرعدَ صَوتٌ مِن اصطكاكِ أجرامِ السحابِ‌، و البَرقُ يَتَّقِدُ</w:t>
      </w:r>
      <w:r>
        <w:rPr>
          <w:rStyle w:val="FootnoteAnchor"/>
          <w:rtl w:val="true"/>
        </w:rPr>
        <w:footnoteReference w:id="1619"/>
      </w:r>
      <w:r>
        <w:rPr>
          <w:rFonts w:ascii="Amiri" w:hAnsi="Amiri" w:eastAsia="Amiri" w:cs="Amiri"/>
          <w:color w:val="111111"/>
          <w:sz w:val="28"/>
          <w:sz w:val="28"/>
          <w:szCs w:val="28"/>
          <w:rtl w:val="true"/>
          <w:lang w:bidi="ar-SA"/>
        </w:rPr>
        <w:t>أيضاً مِن تصادُمِها</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فيه أنّه كلامُ اللّٰهِ‌، و أنّه لا يَمتَنِعُ أن تَكونَ‌</w:t>
      </w:r>
      <w:r>
        <w:rPr>
          <w:rStyle w:val="FootnoteAnchor"/>
          <w:rtl w:val="true"/>
        </w:rPr>
        <w:footnoteReference w:id="1621"/>
      </w:r>
      <w:r>
        <w:rPr>
          <w:rFonts w:ascii="Amiri" w:hAnsi="Amiri" w:eastAsia="Amiri" w:cs="Amiri"/>
          <w:color w:val="111111"/>
          <w:sz w:val="28"/>
          <w:sz w:val="28"/>
          <w:szCs w:val="28"/>
          <w:rtl w:val="true"/>
          <w:lang w:bidi="ar-SA"/>
        </w:rPr>
        <w:t>جبالُ البَرَدِ مخلوقةً في</w:t>
      </w:r>
      <w:r>
        <w:rPr>
          <w:rStyle w:val="FootnoteAnchor"/>
          <w:rtl w:val="true"/>
        </w:rPr>
        <w:footnoteReference w:id="1622"/>
      </w:r>
      <w:r>
        <w:rPr>
          <w:rFonts w:ascii="Amiri" w:hAnsi="Amiri" w:eastAsia="Amiri" w:cs="Amiri"/>
          <w:color w:val="111111"/>
          <w:sz w:val="28"/>
          <w:sz w:val="28"/>
          <w:szCs w:val="28"/>
          <w:rtl w:val="true"/>
          <w:lang w:bidi="ar-SA"/>
        </w:rPr>
        <w:t>حالِ ما يَنزِلُ البَرَدُ</w:t>
      </w:r>
      <w:r>
        <w:rPr>
          <w:rFonts w:eastAsia="Amiri" w:cs="Amiri" w:ascii="Amiri" w:hAnsi="Amiri"/>
          <w:color w:val="111111"/>
          <w:sz w:val="28"/>
          <w:szCs w:val="28"/>
          <w:rtl w:val="true"/>
          <w:lang w:bidi="ar-SA"/>
        </w:rPr>
        <w:t xml:space="preserve">. </w:t>
      </w:r>
      <w:bookmarkStart w:id="317" w:name="pg16415_223944"/>
    </w:p>
    <w:p>
      <w:pPr>
        <w:pStyle w:val="Heading6"/>
        <w:numPr>
          <w:ilvl w:val="5"/>
          <w:numId w:val="1"/>
        </w:numPr>
        <w:rPr/>
      </w:pPr>
      <w:bookmarkStart w:id="318" w:name="__RefHeading___Toc7642446_1280447820"/>
      <w:bookmarkStart w:id="319" w:name="_Toc110"/>
      <w:bookmarkEnd w:id="317"/>
      <w:bookmarkEnd w:id="318"/>
      <w:r>
        <w:rPr>
          <w:rtl w:val="true"/>
        </w:rPr>
        <w:t>المسألةُ الثامنةُ‌ تَعقُّلُ عدمِ كَونِ الفاعلِ جسماً</w:t>
      </w:r>
      <w:bookmarkEnd w:id="319"/>
    </w:p>
    <w:p>
      <w:pPr>
        <w:pStyle w:val="BookText"/>
        <w:rPr/>
      </w:pPr>
      <w:r>
        <w:rPr>
          <w:rFonts w:ascii="Amiri" w:hAnsi="Amiri" w:eastAsia="Amiri" w:cs="Amiri"/>
          <w:color w:val="111111"/>
          <w:sz w:val="28"/>
          <w:sz w:val="28"/>
          <w:szCs w:val="28"/>
          <w:rtl w:val="true"/>
          <w:lang w:bidi="ar-SA"/>
        </w:rPr>
        <w:t>المسألةُ الثامنةُ‌</w:t>
      </w:r>
      <w:r>
        <w:rPr>
          <w:rStyle w:val="FootnoteAnchor"/>
          <w:rtl w:val="true"/>
        </w:rPr>
        <w:footnoteReference w:id="1623"/>
      </w:r>
      <w:r>
        <w:rPr>
          <w:rFonts w:ascii="Amiri" w:hAnsi="Amiri" w:eastAsia="Amiri" w:cs="Amiri"/>
          <w:color w:val="111111"/>
          <w:sz w:val="28"/>
          <w:sz w:val="28"/>
          <w:szCs w:val="28"/>
          <w:rtl w:val="true"/>
          <w:lang w:bidi="ar-SA"/>
        </w:rPr>
        <w:t>تَعقُّلُ عدمِ كَونِ الفاعلِ جسماً</w:t>
      </w:r>
    </w:p>
    <w:p>
      <w:pPr>
        <w:pStyle w:val="BookText"/>
        <w:rPr/>
      </w:pPr>
      <w:r>
        <w:rPr>
          <w:rFonts w:ascii="Amiri" w:hAnsi="Amiri" w:eastAsia="Amiri" w:cs="Amiri"/>
          <w:color w:val="111111"/>
          <w:sz w:val="28"/>
          <w:sz w:val="28"/>
          <w:szCs w:val="28"/>
          <w:rtl w:val="true"/>
          <w:lang w:bidi="ar-SA"/>
        </w:rPr>
        <w:t>إذا كانَ الفاعلُ لا يَكونُ إلّاحَيّاً، فما يُنكَرُ أن لا يَكونَ إلّاجسماً؟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الفاعلَ لا يَكونُ إلّاقادراً، و كَونُ الحَيِّ حَيّاً يُصحِّحُ كَونَه</w:t>
      </w:r>
      <w:r>
        <w:rPr>
          <w:rStyle w:val="FootnoteAnchor"/>
          <w:rtl w:val="true"/>
        </w:rPr>
        <w:footnoteReference w:id="1624"/>
      </w:r>
      <w:r>
        <w:rPr>
          <w:rFonts w:ascii="Amiri" w:hAnsi="Amiri" w:eastAsia="Amiri" w:cs="Amiri"/>
          <w:color w:val="111111"/>
          <w:sz w:val="28"/>
          <w:sz w:val="28"/>
          <w:szCs w:val="28"/>
          <w:rtl w:val="true"/>
          <w:lang w:bidi="ar-SA"/>
        </w:rPr>
        <w:t>قادراً؛ فمِن هذا الوجهِ وَجَبَ‌</w:t>
      </w:r>
      <w:r>
        <w:rPr>
          <w:rStyle w:val="FootnoteAnchor"/>
          <w:rtl w:val="true"/>
        </w:rPr>
        <w:footnoteReference w:id="1625"/>
      </w:r>
      <w:r>
        <w:rPr>
          <w:rFonts w:ascii="Amiri" w:hAnsi="Amiri" w:eastAsia="Amiri" w:cs="Amiri"/>
          <w:color w:val="111111"/>
          <w:sz w:val="28"/>
          <w:sz w:val="28"/>
          <w:szCs w:val="28"/>
          <w:rtl w:val="true"/>
          <w:lang w:bidi="ar-SA"/>
        </w:rPr>
        <w:t>أن يَكونَ الفاعلُ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كَونُه جسماً مُصحِّحاً لكَونِه فاعلاً و لا قادراً، فلا يَجِبُ ذلكَ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الفاعلُ مِنّا إنّما احتاجَ إلىٰ كَونِه جسماً؛ لأنّه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للقُدرةِ و الحياةِ تأثيرٌ في مَحلِّهما، فيَصيرُ مَحلُّهما آلةً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626"/>
      </w:r>
      <w:r>
        <w:rPr>
          <w:rFonts w:ascii="Amiri" w:hAnsi="Amiri" w:eastAsia="Amiri" w:cs="Amiri"/>
          <w:color w:val="111111"/>
          <w:sz w:val="28"/>
          <w:sz w:val="28"/>
          <w:szCs w:val="28"/>
          <w:rtl w:val="true"/>
          <w:lang w:bidi="ar-SA"/>
        </w:rPr>
        <w:t>يَحتاجُ إلىٰ ذلكَ‌؛ ففارَقَ‌</w:t>
      </w:r>
      <w:r>
        <w:rPr>
          <w:rStyle w:val="FootnoteAnchor"/>
          <w:rtl w:val="true"/>
        </w:rPr>
        <w:footnoteReference w:id="1627"/>
      </w:r>
      <w:r>
        <w:rPr>
          <w:rFonts w:ascii="Amiri" w:hAnsi="Amiri" w:eastAsia="Amiri" w:cs="Amiri"/>
          <w:color w:val="111111"/>
          <w:sz w:val="28"/>
          <w:sz w:val="28"/>
          <w:szCs w:val="28"/>
          <w:rtl w:val="true"/>
          <w:lang w:bidi="ar-SA"/>
        </w:rPr>
        <w:t>كَونُه جسماً لكَونِه حَيّاً</w:t>
      </w:r>
      <w:r>
        <w:rPr>
          <w:rFonts w:eastAsia="Amiri" w:cs="Amiri" w:ascii="Amiri" w:hAnsi="Amiri"/>
          <w:color w:val="111111"/>
          <w:sz w:val="28"/>
          <w:szCs w:val="28"/>
          <w:rtl w:val="true"/>
          <w:lang w:bidi="ar-SA"/>
        </w:rPr>
        <w:t xml:space="preserve">. </w:t>
      </w:r>
      <w:bookmarkStart w:id="320" w:name="pg16415_223945"/>
    </w:p>
    <w:p>
      <w:pPr>
        <w:pStyle w:val="Heading6"/>
        <w:numPr>
          <w:ilvl w:val="5"/>
          <w:numId w:val="1"/>
        </w:numPr>
        <w:rPr/>
      </w:pPr>
      <w:bookmarkStart w:id="321" w:name="__RefHeading___Toc7642448_1280447820"/>
      <w:bookmarkStart w:id="322" w:name="_Toc111"/>
      <w:bookmarkEnd w:id="320"/>
      <w:bookmarkEnd w:id="321"/>
      <w:r>
        <w:rPr>
          <w:rtl w:val="true"/>
        </w:rPr>
        <w:t>المسألةُ التاسعةُ تَعقُّلُ مَن لا مِثلَ له و لا ضِدَّ</w:t>
      </w:r>
      <w:bookmarkEnd w:id="32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مَن لا مِثلَ له و لا ضِدَّ؟</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إثباتَ المِثلِ و الضدِّ و الخِلافِ تابعٌ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إثباتُ مُخالِفٍ للذاتِ لا بُدَّ منه؛ لأنّ تَميُّزَها مِن غيرِها نفسُها، إلّاأنّه يَكفي أن يُعلَمَ أنّ لها مُخالِفاً علىٰ جهةِ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إثباتُ ضِدٍّ و مِثلٍ فمنه بُدٌّ</w:t>
      </w:r>
      <w:r>
        <w:rPr>
          <w:rStyle w:val="FootnoteAnchor"/>
          <w:rtl w:val="true"/>
        </w:rPr>
        <w:footnoteReference w:id="1628"/>
      </w:r>
      <w:r>
        <w:rPr>
          <w:rFonts w:ascii="Amiri" w:hAnsi="Amiri" w:eastAsia="Amiri" w:cs="Amiri"/>
          <w:color w:val="111111"/>
          <w:sz w:val="28"/>
          <w:sz w:val="28"/>
          <w:szCs w:val="28"/>
          <w:rtl w:val="true"/>
          <w:lang w:bidi="ar-SA"/>
        </w:rPr>
        <w:t>و يَجوزُ أن يَكونَ و يَجوزُ أن لا يَكونَ‌؛ بحَسَبِ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التي يُقدَرُ</w:t>
      </w:r>
      <w:r>
        <w:rPr>
          <w:rStyle w:val="FootnoteAnchor"/>
          <w:rtl w:val="true"/>
        </w:rPr>
        <w:footnoteReference w:id="1629"/>
      </w:r>
      <w:r>
        <w:rPr>
          <w:rFonts w:ascii="Amiri" w:hAnsi="Amiri" w:eastAsia="Amiri" w:cs="Amiri"/>
          <w:color w:val="111111"/>
          <w:sz w:val="28"/>
          <w:sz w:val="28"/>
          <w:szCs w:val="28"/>
          <w:rtl w:val="true"/>
          <w:lang w:bidi="ar-SA"/>
        </w:rPr>
        <w:t>بها لا مِثلَ لواحدِها؛ لأنّه لا يَصِحُّ أن تَتعلَّقَ‌</w:t>
      </w:r>
      <w:r>
        <w:rPr>
          <w:rStyle w:val="FootnoteAnchor"/>
          <w:rtl w:val="true"/>
        </w:rPr>
        <w:footnoteReference w:id="1630"/>
      </w:r>
      <w:r>
        <w:rPr>
          <w:rFonts w:ascii="Amiri" w:hAnsi="Amiri" w:eastAsia="Amiri" w:cs="Amiri"/>
          <w:color w:val="111111"/>
          <w:sz w:val="28"/>
          <w:sz w:val="28"/>
          <w:szCs w:val="28"/>
          <w:rtl w:val="true"/>
          <w:lang w:bidi="ar-SA"/>
        </w:rPr>
        <w:t>قُدرتانِ بمقدورٍ واحدٍ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الدليلُ قد دَلَّ علىٰ أنّ القَديمَ تَعالىٰ لا مِثلَ له و لا ضِدَّ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بيّنّاه في مَوضِعِه </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وَجَبَ أن نَقولَ‌</w:t>
      </w:r>
      <w:r>
        <w:rPr>
          <w:rStyle w:val="FootnoteAnchor"/>
          <w:rtl w:val="true"/>
        </w:rPr>
        <w:footnoteReference w:id="1632"/>
      </w:r>
      <w:r>
        <w:rPr>
          <w:rFonts w:ascii="IRNazanin" w:hAnsi="IRNazanin" w:eastAsia="IRNazanin"/>
          <w:color w:val="111111"/>
          <w:sz w:val="28"/>
          <w:sz w:val="28"/>
          <w:szCs w:val="28"/>
          <w:rtl w:val="true"/>
          <w:lang w:bidi="fa-IR"/>
        </w:rPr>
        <w:t>به، و لا</w:t>
      </w:r>
      <w:r>
        <w:rPr>
          <w:rStyle w:val="FootnoteAnchor"/>
          <w:rtl w:val="true"/>
        </w:rPr>
        <w:footnoteReference w:id="1633"/>
      </w:r>
      <w:r>
        <w:rPr>
          <w:rFonts w:ascii="Amiri" w:hAnsi="Amiri" w:eastAsia="Amiri" w:cs="Amiri"/>
          <w:color w:val="111111"/>
          <w:sz w:val="28"/>
          <w:sz w:val="28"/>
          <w:szCs w:val="28"/>
          <w:rtl w:val="true"/>
          <w:lang w:bidi="ar-SA"/>
        </w:rPr>
        <w:t>عَجَبَ فيما دَلَّ الدليلُ عليه</w:t>
      </w:r>
      <w:r>
        <w:rPr>
          <w:rFonts w:eastAsia="Amiri" w:cs="Amiri" w:ascii="Amiri" w:hAnsi="Amiri"/>
          <w:color w:val="111111"/>
          <w:sz w:val="28"/>
          <w:szCs w:val="28"/>
          <w:rtl w:val="true"/>
          <w:lang w:bidi="ar-SA"/>
        </w:rPr>
        <w:t xml:space="preserve">. </w:t>
      </w:r>
      <w:bookmarkStart w:id="323" w:name="pg16415_223946"/>
    </w:p>
    <w:p>
      <w:pPr>
        <w:pStyle w:val="Heading6"/>
        <w:numPr>
          <w:ilvl w:val="5"/>
          <w:numId w:val="1"/>
        </w:numPr>
        <w:rPr/>
      </w:pPr>
      <w:bookmarkStart w:id="324" w:name="__RefHeading___Toc7642450_1280447820"/>
      <w:bookmarkStart w:id="325" w:name="_Toc112"/>
      <w:bookmarkEnd w:id="323"/>
      <w:bookmarkEnd w:id="324"/>
      <w:r>
        <w:rPr>
          <w:rtl w:val="true"/>
        </w:rPr>
        <w:t>المسألةُ العاشرةُ تَعقُّلُ فاعلٍ مِن دونِ لمسٍ أو اتّصالٍ‌</w:t>
      </w:r>
      <w:bookmarkEnd w:id="32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فاعِلٌ‌</w:t>
      </w:r>
      <w:r>
        <w:rPr>
          <w:rStyle w:val="FootnoteAnchor"/>
          <w:rtl w:val="true"/>
        </w:rPr>
        <w:footnoteReference w:id="1634"/>
      </w:r>
      <w:r>
        <w:rPr>
          <w:rFonts w:ascii="Amiri" w:hAnsi="Amiri" w:eastAsia="Amiri" w:cs="Amiri"/>
          <w:color w:val="111111"/>
          <w:sz w:val="28"/>
          <w:sz w:val="28"/>
          <w:szCs w:val="28"/>
          <w:rtl w:val="true"/>
          <w:lang w:bidi="ar-SA"/>
        </w:rPr>
        <w:t>مِن غيرِ مُلامَسةٍ و لا اتّصالٍ؟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الفاعلَ إنّما يَحتاجُ في</w:t>
      </w:r>
      <w:r>
        <w:rPr>
          <w:rStyle w:val="FootnoteAnchor"/>
          <w:rtl w:val="true"/>
        </w:rPr>
        <w:footnoteReference w:id="1635"/>
      </w:r>
      <w:r>
        <w:rPr>
          <w:rFonts w:ascii="Amiri" w:hAnsi="Amiri" w:eastAsia="Amiri" w:cs="Amiri"/>
          <w:color w:val="111111"/>
          <w:sz w:val="28"/>
          <w:sz w:val="28"/>
          <w:szCs w:val="28"/>
          <w:rtl w:val="true"/>
          <w:lang w:bidi="ar-SA"/>
        </w:rPr>
        <w:t>كَونِه فاعلاً إلىٰ ما يُصحِّحُ‌</w:t>
      </w:r>
      <w:r>
        <w:rPr>
          <w:rStyle w:val="FootnoteAnchor"/>
          <w:rtl w:val="true"/>
        </w:rPr>
        <w:footnoteReference w:id="1636"/>
      </w:r>
      <w:r>
        <w:rPr>
          <w:rFonts w:ascii="Amiri" w:hAnsi="Amiri" w:eastAsia="Amiri" w:cs="Amiri"/>
          <w:color w:val="111111"/>
          <w:sz w:val="28"/>
          <w:sz w:val="28"/>
          <w:szCs w:val="28"/>
          <w:rtl w:val="true"/>
          <w:lang w:bidi="ar-SA"/>
        </w:rPr>
        <w:t>الفِعلَ‌</w:t>
      </w:r>
      <w:r>
        <w:rPr>
          <w:rStyle w:val="FootnoteAnchor"/>
          <w:rtl w:val="true"/>
        </w:rPr>
        <w:footnoteReference w:id="1637"/>
      </w:r>
      <w:r>
        <w:rPr>
          <w:rFonts w:ascii="Amiri" w:hAnsi="Amiri" w:eastAsia="Amiri" w:cs="Amiri"/>
          <w:color w:val="111111"/>
          <w:sz w:val="28"/>
          <w:sz w:val="28"/>
          <w:szCs w:val="28"/>
          <w:rtl w:val="true"/>
          <w:lang w:bidi="ar-SA"/>
        </w:rPr>
        <w:t>، مِن كَونِه قادراً و ما يَجري مَجراه، و لَيسَ المُلامَسةُ و الاتّصالُ مِن ذلكَ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أنّه إنّما احتيجَ‌</w:t>
      </w:r>
      <w:r>
        <w:rPr>
          <w:rStyle w:val="FootnoteAnchor"/>
          <w:rtl w:val="true"/>
        </w:rPr>
        <w:footnoteReference w:id="1638"/>
      </w:r>
      <w:r>
        <w:rPr>
          <w:rFonts w:ascii="Amiri" w:hAnsi="Amiri" w:eastAsia="Amiri" w:cs="Amiri"/>
          <w:color w:val="111111"/>
          <w:sz w:val="28"/>
          <w:sz w:val="28"/>
          <w:szCs w:val="28"/>
          <w:rtl w:val="true"/>
          <w:lang w:bidi="ar-SA"/>
        </w:rPr>
        <w:t>إلَى الجسميّةِ فينا</w:t>
      </w:r>
      <w:r>
        <w:rPr>
          <w:rStyle w:val="FootnoteAnchor"/>
          <w:rtl w:val="true"/>
        </w:rPr>
        <w:footnoteReference w:id="1639"/>
      </w:r>
      <w:r>
        <w:rPr>
          <w:rFonts w:ascii="Amiri" w:hAnsi="Amiri" w:eastAsia="Amiri" w:cs="Amiri"/>
          <w:color w:val="111111"/>
          <w:sz w:val="28"/>
          <w:sz w:val="28"/>
          <w:szCs w:val="28"/>
          <w:rtl w:val="true"/>
          <w:lang w:bidi="ar-SA"/>
        </w:rPr>
        <w:t>لأجلِ القُدرةِ و الحياةِ‌،</w:t>
      </w:r>
      <w:r>
        <w:rPr>
          <w:rStyle w:val="FootnoteAnchor"/>
          <w:rtl w:val="true"/>
        </w:rPr>
        <w:footnoteReference w:id="1640"/>
      </w:r>
      <w:r>
        <w:rPr>
          <w:rFonts w:ascii="Amiri" w:hAnsi="Amiri" w:eastAsia="Amiri" w:cs="Amiri"/>
          <w:color w:val="111111"/>
          <w:sz w:val="28"/>
          <w:sz w:val="28"/>
          <w:szCs w:val="28"/>
          <w:rtl w:val="true"/>
          <w:lang w:bidi="ar-SA"/>
        </w:rPr>
        <w:t>فصارَ مَحلُّهما آلةً في استعمالِهما، فاحتيجَ إلى الاتّصالِ و المُلامَسةِ‌</w:t>
      </w:r>
      <w:r>
        <w:rPr>
          <w:rStyle w:val="FootnoteAnchor"/>
          <w:rtl w:val="true"/>
        </w:rPr>
        <w:footnoteReference w:id="1641"/>
      </w:r>
      <w:r>
        <w:rPr>
          <w:rFonts w:ascii="Amiri" w:hAnsi="Amiri" w:eastAsia="Amiri" w:cs="Amiri"/>
          <w:color w:val="111111"/>
          <w:sz w:val="28"/>
          <w:sz w:val="28"/>
          <w:szCs w:val="28"/>
          <w:rtl w:val="true"/>
          <w:lang w:bidi="ar-SA"/>
        </w:rPr>
        <w:t>لأجلِ استعمالِ مَحلِّ‌</w:t>
      </w:r>
      <w:r>
        <w:rPr>
          <w:rStyle w:val="FootnoteAnchor"/>
          <w:rtl w:val="true"/>
        </w:rPr>
        <w:footnoteReference w:id="1642"/>
      </w:r>
      <w:r>
        <w:rPr>
          <w:rFonts w:ascii="Amiri" w:hAnsi="Amiri" w:eastAsia="Amiri" w:cs="Amiri"/>
          <w:color w:val="111111"/>
          <w:sz w:val="28"/>
          <w:sz w:val="28"/>
          <w:szCs w:val="28"/>
          <w:rtl w:val="true"/>
          <w:lang w:bidi="ar-SA"/>
        </w:rPr>
        <w:t xml:space="preserve">القُدرةِ و الحياةِ‌؛ فمَن هو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ذلكَ‌</w:t>
      </w:r>
      <w:r>
        <w:rPr>
          <w:rFonts w:eastAsia="Amiri" w:cs="Amiri" w:ascii="Amiri" w:hAnsi="Amiri"/>
          <w:color w:val="111111"/>
          <w:sz w:val="28"/>
          <w:szCs w:val="28"/>
          <w:rtl w:val="true"/>
          <w:lang w:bidi="ar-SA"/>
        </w:rPr>
        <w:t xml:space="preserve">. </w:t>
      </w:r>
      <w:bookmarkStart w:id="326" w:name="pg16415_223947"/>
    </w:p>
    <w:p>
      <w:pPr>
        <w:pStyle w:val="Heading6"/>
        <w:numPr>
          <w:ilvl w:val="5"/>
          <w:numId w:val="1"/>
        </w:numPr>
        <w:rPr/>
      </w:pPr>
      <w:bookmarkStart w:id="327" w:name="__RefHeading___Toc7642452_1280447820"/>
      <w:bookmarkStart w:id="328" w:name="_Toc113"/>
      <w:bookmarkEnd w:id="326"/>
      <w:bookmarkEnd w:id="327"/>
      <w:r>
        <w:rPr>
          <w:rtl w:val="true"/>
        </w:rPr>
        <w:t>المسألةُ الحاديةَ عَشَرَ استحالةُ كَونِ خالقِ الأجسامِ جسماً أقدَرَه اللّٰهُ علىٰ ذلكَ‌</w:t>
      </w:r>
      <w:bookmarkEnd w:id="32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بَعُدَ</w:t>
      </w:r>
      <w:r>
        <w:rPr>
          <w:rStyle w:val="FootnoteAnchor"/>
          <w:rtl w:val="true"/>
        </w:rPr>
        <w:footnoteReference w:id="1643"/>
      </w:r>
      <w:r>
        <w:rPr>
          <w:rFonts w:ascii="Amiri" w:hAnsi="Amiri" w:eastAsia="Amiri" w:cs="Amiri"/>
          <w:color w:val="111111"/>
          <w:sz w:val="28"/>
          <w:sz w:val="28"/>
          <w:szCs w:val="28"/>
          <w:rtl w:val="true"/>
          <w:lang w:bidi="ar-SA"/>
        </w:rPr>
        <w:t>أن تَكونَ الأجسامُ خَلْقَ غيرِه ممّن</w:t>
      </w:r>
      <w:r>
        <w:rPr>
          <w:rStyle w:val="FootnoteAnchor"/>
          <w:rtl w:val="true"/>
        </w:rPr>
        <w:footnoteReference w:id="1644"/>
      </w:r>
      <w:r>
        <w:rPr>
          <w:rFonts w:ascii="Amiri" w:hAnsi="Amiri" w:eastAsia="Amiri" w:cs="Amiri"/>
          <w:color w:val="111111"/>
          <w:sz w:val="28"/>
          <w:sz w:val="28"/>
          <w:szCs w:val="28"/>
          <w:rtl w:val="true"/>
          <w:lang w:bidi="ar-SA"/>
        </w:rPr>
        <w:t>أقدَرَه عليها مِن جسمٍ آخَرَ؟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ثَبَتَ أنّ القُدَرَ لا يَصِحُّ بها</w:t>
      </w:r>
      <w:r>
        <w:rPr>
          <w:rStyle w:val="FootnoteAnchor"/>
          <w:rtl w:val="true"/>
        </w:rPr>
        <w:footnoteReference w:id="1645"/>
      </w:r>
      <w:r>
        <w:rPr>
          <w:rFonts w:ascii="Amiri" w:hAnsi="Amiri" w:eastAsia="Amiri" w:cs="Amiri"/>
          <w:color w:val="111111"/>
          <w:sz w:val="28"/>
          <w:sz w:val="28"/>
          <w:szCs w:val="28"/>
          <w:rtl w:val="true"/>
          <w:lang w:bidi="ar-SA"/>
        </w:rPr>
        <w:t xml:space="preserve">فِعلُ الأجسامِ‌، و كانَ وقوعُ الأجسامِ بها مُحالاً، لَم يَصِحَّ ما ذُكِرَ في السؤالِ‌؛ و قد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و غيرِهما مِن كُتُبِ الشيوخِ‌</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تَوصَّلنا إلىٰ إبطالِ قولِ المُفوِّضةِ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فَوَّضَ إلىٰ محمّدٍ صَلَّى اللّٰهُ عَلَيه و آلِه و عليٍّ عليه السلامُ الخَلقَ و الرزقَ و غيرَ ذلكَ‌</w:t>
      </w:r>
      <w:r>
        <w:rPr>
          <w:rFonts w:eastAsia="Amiri" w:cs="Amiri" w:ascii="Amiri" w:hAnsi="Amiri"/>
          <w:color w:val="111111"/>
          <w:sz w:val="28"/>
          <w:szCs w:val="28"/>
          <w:rtl w:val="true"/>
          <w:lang w:bidi="ar-SA"/>
        </w:rPr>
        <w:t>.</w:t>
      </w:r>
      <w:r>
        <w:rPr>
          <w:rStyle w:val="FootnoteAnchor"/>
          <w:rtl w:val="true"/>
        </w:rPr>
        <w:footnoteReference w:id="1647"/>
      </w:r>
      <w:bookmarkStart w:id="329" w:name="pg16415_223948"/>
    </w:p>
    <w:p>
      <w:pPr>
        <w:pStyle w:val="Heading6"/>
        <w:numPr>
          <w:ilvl w:val="5"/>
          <w:numId w:val="1"/>
        </w:numPr>
        <w:rPr/>
      </w:pPr>
      <w:bookmarkStart w:id="330" w:name="__RefHeading___Toc7642454_1280447820"/>
      <w:bookmarkStart w:id="331" w:name="_Toc114"/>
      <w:bookmarkEnd w:id="329"/>
      <w:bookmarkEnd w:id="330"/>
      <w:r>
        <w:rPr>
          <w:rtl w:val="true"/>
        </w:rPr>
        <w:t>المسألةُ الثانيةَ عَشَرَ استحالةُ إقدارِ اللّٰهِ تعالىٰ جسماً علَى اختراعِ الأجسامِ‌</w:t>
      </w:r>
      <w:bookmarkEnd w:id="33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w:t>
      </w:r>
      <w:r>
        <w:rPr>
          <w:rStyle w:val="FootnoteAnchor"/>
          <w:rtl w:val="true"/>
        </w:rPr>
        <w:footnoteReference w:id="1648"/>
      </w:r>
      <w:r>
        <w:rPr>
          <w:rFonts w:ascii="Amiri" w:hAnsi="Amiri" w:eastAsia="Amiri" w:cs="Amiri"/>
          <w:color w:val="111111"/>
          <w:sz w:val="28"/>
          <w:sz w:val="28"/>
          <w:szCs w:val="28"/>
          <w:rtl w:val="true"/>
          <w:lang w:bidi="ar-SA"/>
        </w:rPr>
        <w:t>أن يُعطيَه قُدرةً علَى الاختراعِ مِن غيرِ مُباشَرةٍ و لا تَولِدةٍ‌</w:t>
      </w:r>
      <w:r>
        <w:rPr>
          <w:rStyle w:val="FootnoteAnchor"/>
          <w:rtl w:val="true"/>
        </w:rPr>
        <w:footnoteReference w:id="16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إذا كانَ مُستَحيلاً بالقُدرةِ فِعلُ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القُدرةَ لا يَصِحُّ الفِعلُ بها إلّاباستعمالِ مَحلِّها في الفِعلِ إن كانَ مُباشَراً أو في سببِ الفِعلِ إن كانَ مُتولِّداً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أن يَقَعَ بها مُختَرَعاً؛ لاستحالةِ الوجهَينِ فيه</w:t>
      </w:r>
      <w:r>
        <w:rPr>
          <w:rFonts w:eastAsia="Amiri" w:cs="Amiri" w:ascii="Amiri" w:hAnsi="Amiri"/>
          <w:color w:val="111111"/>
          <w:sz w:val="28"/>
          <w:szCs w:val="28"/>
          <w:rtl w:val="true"/>
          <w:lang w:bidi="ar-SA"/>
        </w:rPr>
        <w:t>.</w:t>
      </w:r>
      <w:r>
        <w:rPr>
          <w:rStyle w:val="FootnoteAnchor"/>
          <w:rtl w:val="true"/>
        </w:rPr>
        <w:footnoteReference w:id="1650"/>
      </w:r>
      <w:bookmarkStart w:id="332" w:name="pg16415_223949"/>
    </w:p>
    <w:p>
      <w:pPr>
        <w:pStyle w:val="Heading6"/>
        <w:numPr>
          <w:ilvl w:val="5"/>
          <w:numId w:val="1"/>
        </w:numPr>
        <w:rPr/>
      </w:pPr>
      <w:bookmarkStart w:id="333" w:name="__RefHeading___Toc7642456_1280447820"/>
      <w:bookmarkStart w:id="334" w:name="_Toc115"/>
      <w:bookmarkEnd w:id="332"/>
      <w:bookmarkEnd w:id="333"/>
      <w:r>
        <w:rPr>
          <w:rtl w:val="true"/>
        </w:rPr>
        <w:t>المسألةُ الثالثةَ عَشَرَ إمكانُ صدورِ الخيرِ و الشرِّ من فاعلٍ واحدٍ</w:t>
      </w:r>
      <w:bookmarkEnd w:id="33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تَرجِعُ الأفعالُ‌</w:t>
      </w:r>
      <w:r>
        <w:rPr>
          <w:rStyle w:val="FootnoteAnchor"/>
          <w:rtl w:val="true"/>
        </w:rPr>
        <w:footnoteReference w:id="1651"/>
      </w:r>
      <w:r>
        <w:rPr>
          <w:rFonts w:ascii="Amiri" w:hAnsi="Amiri" w:eastAsia="Amiri" w:cs="Amiri"/>
          <w:color w:val="111111"/>
          <w:sz w:val="28"/>
          <w:sz w:val="28"/>
          <w:szCs w:val="28"/>
          <w:rtl w:val="true"/>
          <w:lang w:bidi="ar-SA"/>
        </w:rPr>
        <w:t>إلَى اثنَينِ‌، مِن حَيثُ كانَ في العالَمِ خَيرٌ و شَرٌّ، و لا يَجوزُ أن يَكونَ الخَيرُ و الشرُّ مِن فاعلٍ واحدٍ؟</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الخَيرَ و الشرَّ لا يَستَحيلُ وقوعُهما مِن فاعلٍ واحدٍ؛ و لهذا يَفعَلُ الواحدُ مِنّا الخيرَ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فما المُلزِمُ لنا أن يَكونا فاعلَينِ؟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كانَ يَجِبُ ذلكَ لَو كانَ الخيرُ يَقَعُ مِن فاعلٍ و يَستَحيلُ‌</w:t>
      </w:r>
      <w:r>
        <w:rPr>
          <w:rStyle w:val="FootnoteAnchor"/>
          <w:rtl w:val="true"/>
        </w:rPr>
        <w:footnoteReference w:id="1653"/>
      </w:r>
      <w:r>
        <w:rPr>
          <w:rFonts w:ascii="Amiri" w:hAnsi="Amiri" w:eastAsia="Amiri" w:cs="Amiri"/>
          <w:color w:val="111111"/>
          <w:sz w:val="28"/>
          <w:sz w:val="28"/>
          <w:szCs w:val="28"/>
          <w:rtl w:val="true"/>
          <w:lang w:bidi="ar-SA"/>
        </w:rPr>
        <w:t>أن يَقَعَ الشرُّ منه، و الشرُّ يَقَعُ مِن</w:t>
      </w:r>
      <w:r>
        <w:rPr>
          <w:rStyle w:val="FootnoteAnchor"/>
          <w:rtl w:val="true"/>
        </w:rPr>
        <w:footnoteReference w:id="1654"/>
      </w:r>
      <w:r>
        <w:rPr>
          <w:rFonts w:ascii="Amiri" w:hAnsi="Amiri" w:eastAsia="Amiri" w:cs="Amiri"/>
          <w:color w:val="111111"/>
          <w:sz w:val="28"/>
          <w:sz w:val="28"/>
          <w:szCs w:val="28"/>
          <w:rtl w:val="true"/>
          <w:lang w:bidi="ar-SA"/>
        </w:rPr>
        <w:t>فاعلٍ و الخيرُ</w:t>
      </w:r>
      <w:r>
        <w:rPr>
          <w:rStyle w:val="FootnoteAnchor"/>
          <w:rtl w:val="true"/>
        </w:rPr>
        <w:footnoteReference w:id="1655"/>
      </w:r>
      <w:r>
        <w:rPr>
          <w:rFonts w:ascii="Amiri" w:hAnsi="Amiri" w:eastAsia="Amiri" w:cs="Amiri"/>
          <w:color w:val="111111"/>
          <w:sz w:val="28"/>
          <w:sz w:val="28"/>
          <w:szCs w:val="28"/>
          <w:rtl w:val="true"/>
          <w:lang w:bidi="ar-SA"/>
        </w:rPr>
        <w:t>يَستَحيلُ أن يَقَعَ منه</w:t>
      </w:r>
      <w:r>
        <w:rPr>
          <w:rStyle w:val="FootnoteAnchor"/>
          <w:rtl w:val="true"/>
        </w:rPr>
        <w:footnoteReference w:id="1656"/>
      </w:r>
      <w:r>
        <w:rPr>
          <w:rFonts w:ascii="Amiri" w:hAnsi="Amiri" w:eastAsia="Amiri" w:cs="Amiri"/>
          <w:color w:val="111111"/>
          <w:sz w:val="28"/>
          <w:sz w:val="28"/>
          <w:szCs w:val="28"/>
          <w:rtl w:val="true"/>
          <w:lang w:bidi="ar-SA"/>
        </w:rPr>
        <w:t>و إذا لَم يَكُن كذلكَ‌</w:t>
      </w:r>
      <w:r>
        <w:rPr>
          <w:rStyle w:val="FootnoteAnchor"/>
          <w:rtl w:val="true"/>
        </w:rPr>
        <w:footnoteReference w:id="1657"/>
      </w:r>
      <w:r>
        <w:rPr>
          <w:rFonts w:ascii="Amiri" w:hAnsi="Amiri" w:eastAsia="Amiri" w:cs="Amiri"/>
          <w:color w:val="111111"/>
          <w:sz w:val="28"/>
          <w:sz w:val="28"/>
          <w:szCs w:val="28"/>
          <w:rtl w:val="true"/>
          <w:lang w:bidi="ar-SA"/>
        </w:rPr>
        <w:t>فلا وجهَ‌</w:t>
      </w:r>
      <w:r>
        <w:rPr>
          <w:rStyle w:val="FootnoteAnchor"/>
          <w:rtl w:val="true"/>
        </w:rPr>
        <w:footnoteReference w:id="1658"/>
      </w:r>
      <w:r>
        <w:rPr>
          <w:rFonts w:ascii="Amiri" w:hAnsi="Amiri" w:eastAsia="Amiri" w:cs="Amiri"/>
          <w:color w:val="111111"/>
          <w:sz w:val="28"/>
          <w:sz w:val="28"/>
          <w:szCs w:val="28"/>
          <w:rtl w:val="true"/>
          <w:lang w:bidi="ar-SA"/>
        </w:rPr>
        <w:t>لإثباتِ اثنَينِ‌</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bookmarkStart w:id="335" w:name="pg16415_223950"/>
    </w:p>
    <w:p>
      <w:pPr>
        <w:pStyle w:val="Heading6"/>
        <w:numPr>
          <w:ilvl w:val="5"/>
          <w:numId w:val="1"/>
        </w:numPr>
        <w:rPr/>
      </w:pPr>
      <w:bookmarkStart w:id="336" w:name="__RefHeading___Toc7642458_1280447820"/>
      <w:bookmarkStart w:id="337" w:name="_Toc116"/>
      <w:bookmarkEnd w:id="335"/>
      <w:bookmarkEnd w:id="336"/>
      <w:r>
        <w:rPr>
          <w:rtl w:val="true"/>
        </w:rPr>
        <w:t>المسألةُ الرابعةَ عَشَرَ تَعقُّلُ كَونِ الخالقِ لا جسماً و لا عَرَضاً</w:t>
      </w:r>
      <w:bookmarkEnd w:id="33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مَن</w:t>
      </w:r>
      <w:r>
        <w:rPr>
          <w:rStyle w:val="FootnoteAnchor"/>
          <w:rtl w:val="true"/>
        </w:rPr>
        <w:footnoteReference w:id="1660"/>
      </w:r>
      <w:r>
        <w:rPr>
          <w:rFonts w:ascii="Amiri" w:hAnsi="Amiri" w:eastAsia="Amiri" w:cs="Amiri"/>
          <w:color w:val="111111"/>
          <w:sz w:val="28"/>
          <w:sz w:val="28"/>
          <w:szCs w:val="28"/>
          <w:rtl w:val="true"/>
          <w:lang w:bidi="ar-SA"/>
        </w:rPr>
        <w:t>هو لا ظُلمةٌ و لا ضياءٌ‌، و لا زمانٌ و لا مكانٌ‌، و لا شَيءٌ مِن الأجسامِ و الأعراضِ؟</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لجسمٍ فيه سَوادٌ،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لجسمٍ‌</w:t>
      </w:r>
      <w:r>
        <w:rPr>
          <w:rStyle w:val="FootnoteAnchor"/>
          <w:rtl w:val="true"/>
        </w:rPr>
        <w:footnoteReference w:id="1662"/>
      </w:r>
      <w:r>
        <w:rPr>
          <w:rFonts w:ascii="Amiri" w:hAnsi="Amiri" w:eastAsia="Amiri" w:cs="Amiri"/>
          <w:color w:val="111111"/>
          <w:sz w:val="28"/>
          <w:sz w:val="28"/>
          <w:szCs w:val="28"/>
          <w:rtl w:val="true"/>
          <w:lang w:bidi="ar-SA"/>
        </w:rPr>
        <w:t xml:space="preserve">فيه بياضٌ‌،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لحَرَكاتِ الفَلَكِ‌،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لِما اعتَمَدَ عليه جسمٌ آخَرُ، و كانَ جميعُ ذلكَ مُعلَّقاً بالأجسامِ و الأعراضِ التي قد ثَبَتَ أنّها مُحدَثةٌ‌، فالمُحدَثُ لا بُدَّ أن يَكونَ وجودُه مُتجدِّداً؛ فقَبلَ أن يَتجدَّدَ وجودُه</w:t>
      </w:r>
      <w:r>
        <w:rPr>
          <w:rStyle w:val="FootnoteAnchor"/>
          <w:rtl w:val="true"/>
        </w:rPr>
        <w:footnoteReference w:id="1663"/>
      </w:r>
      <w:r>
        <w:rPr>
          <w:rFonts w:ascii="Amiri" w:hAnsi="Amiri" w:eastAsia="Amiri" w:cs="Amiri"/>
          <w:color w:val="111111"/>
          <w:sz w:val="28"/>
          <w:sz w:val="28"/>
          <w:szCs w:val="28"/>
          <w:rtl w:val="true"/>
          <w:lang w:bidi="ar-SA"/>
        </w:rPr>
        <w:t>لَم يَكُن و لا يُتصوَّرُ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w:t>
      </w:r>
      <w:r>
        <w:rPr>
          <w:rStyle w:val="FootnoteAnchor"/>
          <w:rtl w:val="true"/>
        </w:rPr>
        <w:footnoteReference w:id="1664"/>
      </w:r>
      <w:r>
        <w:rPr>
          <w:rFonts w:ascii="Amiri" w:hAnsi="Amiri" w:eastAsia="Amiri" w:cs="Amiri"/>
          <w:color w:val="111111"/>
          <w:sz w:val="28"/>
          <w:sz w:val="28"/>
          <w:szCs w:val="28"/>
          <w:rtl w:val="true"/>
          <w:lang w:bidi="ar-SA"/>
        </w:rPr>
        <w:t>عُقِلَ نفيُ‌</w:t>
      </w:r>
      <w:r>
        <w:rPr>
          <w:rStyle w:val="FootnoteAnchor"/>
          <w:rtl w:val="true"/>
        </w:rPr>
        <w:footnoteReference w:id="1665"/>
      </w:r>
      <w:r>
        <w:rPr>
          <w:rFonts w:ascii="Amiri" w:hAnsi="Amiri" w:eastAsia="Amiri" w:cs="Amiri"/>
          <w:color w:val="111111"/>
          <w:sz w:val="28"/>
          <w:sz w:val="28"/>
          <w:szCs w:val="28"/>
          <w:rtl w:val="true"/>
          <w:lang w:bidi="ar-SA"/>
        </w:rPr>
        <w:t>الظُّلمةِ و الضَّوءِ و الزمانِ و المكانِ‌؛ لأنّه مُتعلِّقٌ‌</w:t>
      </w:r>
      <w:r>
        <w:rPr>
          <w:rStyle w:val="FootnoteAnchor"/>
          <w:rtl w:val="true"/>
        </w:rPr>
        <w:footnoteReference w:id="1666"/>
      </w:r>
      <w:r>
        <w:rPr>
          <w:rFonts w:ascii="Amiri" w:hAnsi="Amiri" w:eastAsia="Amiri" w:cs="Amiri"/>
          <w:color w:val="111111"/>
          <w:sz w:val="28"/>
          <w:sz w:val="28"/>
          <w:szCs w:val="28"/>
          <w:rtl w:val="true"/>
          <w:lang w:bidi="ar-SA"/>
        </w:rPr>
        <w:t>بوجودِ الأجسامِ و الاعراضِ‌، و قَبلَ وجودِها لا يَجِبُ أن يَكونَ شَيئاً</w:t>
      </w:r>
      <w:r>
        <w:rPr>
          <w:rFonts w:eastAsia="Amiri" w:cs="Amiri" w:ascii="Amiri" w:hAnsi="Amiri"/>
          <w:color w:val="111111"/>
          <w:sz w:val="28"/>
          <w:szCs w:val="28"/>
          <w:rtl w:val="true"/>
          <w:lang w:bidi="ar-SA"/>
        </w:rPr>
        <w:t>.</w:t>
      </w:r>
      <w:r>
        <w:rPr>
          <w:rStyle w:val="FootnoteAnchor"/>
          <w:rtl w:val="true"/>
        </w:rPr>
        <w:footnoteReference w:id="1667"/>
      </w:r>
      <w:bookmarkStart w:id="338" w:name="pg16415_223951"/>
    </w:p>
    <w:p>
      <w:pPr>
        <w:pStyle w:val="Heading6"/>
        <w:numPr>
          <w:ilvl w:val="5"/>
          <w:numId w:val="1"/>
        </w:numPr>
        <w:rPr/>
      </w:pPr>
      <w:bookmarkStart w:id="339" w:name="__RefHeading___Toc7642460_1280447820"/>
      <w:bookmarkStart w:id="340" w:name="_Toc117"/>
      <w:bookmarkEnd w:id="338"/>
      <w:bookmarkEnd w:id="339"/>
      <w:r>
        <w:rPr>
          <w:rtl w:val="true"/>
        </w:rPr>
        <w:t>المسألةُ الخامسةَ عَشَرَ تَعقُّلُ حُدوثِ شَيءٍ لا مِن شَيءٍ‌</w:t>
      </w:r>
      <w:bookmarkEnd w:id="34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حُدوثُ شَيءٍ لا</w:t>
      </w:r>
      <w:r>
        <w:rPr>
          <w:rStyle w:val="FootnoteAnchor"/>
          <w:rtl w:val="true"/>
        </w:rPr>
        <w:footnoteReference w:id="1668"/>
      </w:r>
      <w:r>
        <w:rPr>
          <w:rFonts w:ascii="Amiri" w:hAnsi="Amiri" w:eastAsia="Amiri" w:cs="Amiri"/>
          <w:color w:val="111111"/>
          <w:sz w:val="28"/>
          <w:sz w:val="28"/>
          <w:szCs w:val="28"/>
          <w:rtl w:val="true"/>
          <w:lang w:bidi="ar-SA"/>
        </w:rPr>
        <w:t>مِن شَيءٍ؟</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حُدوثُ شيءٍ لا</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يُعقَلُ ذلكَ‌؛ لأنّ الشيءَ إذا كانَ موجوداً و مُحدَثاً</w:t>
      </w:r>
      <w:r>
        <w:rPr>
          <w:rStyle w:val="FootnoteAnchor"/>
          <w:rtl w:val="true"/>
        </w:rPr>
        <w:footnoteReference w:id="1670"/>
      </w:r>
      <w:r>
        <w:rPr>
          <w:rFonts w:ascii="Amiri" w:hAnsi="Amiri" w:eastAsia="Amiri" w:cs="Amiri"/>
          <w:color w:val="111111"/>
          <w:sz w:val="28"/>
          <w:sz w:val="28"/>
          <w:szCs w:val="28"/>
          <w:rtl w:val="true"/>
          <w:lang w:bidi="ar-SA"/>
        </w:rPr>
        <w:t>، فقَد صَحَّ وجودُه و إحداثُه، و استَغنىٰ بوجودِه عن وجودٍ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 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حَدَثَت الأشياءُ إلّامِن أشياءَ معدومةٍ‌؛ لأنّ الأجسامَ و الأعراضَ كانَت معدومةً قَبلَ وجودِها ثُمَّ وُجِدَت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w:t>
      </w:r>
      <w:r>
        <w:rPr>
          <w:rStyle w:val="FootnoteAnchor"/>
          <w:rtl w:val="true"/>
        </w:rPr>
        <w:footnoteReference w:id="1671"/>
      </w:r>
      <w:r>
        <w:rPr>
          <w:rFonts w:ascii="Amiri" w:hAnsi="Amiri" w:eastAsia="Amiri" w:cs="Amiri"/>
          <w:color w:val="111111"/>
          <w:sz w:val="28"/>
          <w:sz w:val="28"/>
          <w:szCs w:val="28"/>
          <w:rtl w:val="true"/>
          <w:lang w:bidi="ar-SA"/>
        </w:rPr>
        <w:t xml:space="preserve">عُقِلَ حُدوثُ شيءٍ‌،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 موجودٍ</w:t>
      </w:r>
      <w:r>
        <w:rPr>
          <w:rFonts w:eastAsia="Amiri" w:cs="Amiri" w:ascii="Amiri" w:hAnsi="Amiri"/>
          <w:color w:val="111111"/>
          <w:sz w:val="28"/>
          <w:szCs w:val="28"/>
          <w:rtl w:val="true"/>
          <w:lang w:bidi="ar-SA"/>
        </w:rPr>
        <w:t xml:space="preserve">». </w:t>
      </w:r>
      <w:bookmarkStart w:id="341" w:name="pg16415_223952"/>
    </w:p>
    <w:p>
      <w:pPr>
        <w:pStyle w:val="Heading6"/>
        <w:numPr>
          <w:ilvl w:val="5"/>
          <w:numId w:val="1"/>
        </w:numPr>
        <w:rPr/>
      </w:pPr>
      <w:bookmarkStart w:id="342" w:name="__RefHeading___Toc7642462_1280447820"/>
      <w:bookmarkStart w:id="343" w:name="_Toc118"/>
      <w:bookmarkEnd w:id="341"/>
      <w:bookmarkEnd w:id="342"/>
      <w:r>
        <w:rPr>
          <w:rtl w:val="true"/>
        </w:rPr>
        <w:t>المسألةُ السادسةَ عَشَرَ إشكالُ إحداثِ الطبائعِ للعالَمِ‌</w:t>
      </w:r>
      <w:bookmarkEnd w:id="343"/>
    </w:p>
    <w:p>
      <w:pPr>
        <w:pStyle w:val="BookText"/>
        <w:rPr/>
      </w:pPr>
      <w:r>
        <w:rPr>
          <w:rFonts w:ascii="Amiri" w:hAnsi="Amiri" w:eastAsia="Amiri" w:cs="Amiri"/>
          <w:color w:val="111111"/>
          <w:sz w:val="28"/>
          <w:sz w:val="28"/>
          <w:szCs w:val="28"/>
          <w:rtl w:val="true"/>
          <w:lang w:bidi="ar-SA"/>
        </w:rPr>
        <w:t>المسألةُ السادسةَ عَشَرَ</w:t>
      </w:r>
      <w:r>
        <w:rPr>
          <w:rStyle w:val="FootnoteAnchor"/>
          <w:rtl w:val="true"/>
        </w:rPr>
        <w:footnoteReference w:id="1672"/>
      </w:r>
      <w:r>
        <w:rPr>
          <w:rFonts w:ascii="Amiri" w:hAnsi="Amiri" w:eastAsia="Amiri" w:cs="Amiri"/>
          <w:color w:val="111111"/>
          <w:sz w:val="28"/>
          <w:sz w:val="28"/>
          <w:szCs w:val="28"/>
          <w:rtl w:val="true"/>
          <w:lang w:bidi="ar-SA"/>
        </w:rPr>
        <w:t>إشكالُ إحداثِ الطبائعِ للعالَمِ‌</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قَديمُ العالَمِ‌</w:t>
      </w:r>
      <w:r>
        <w:rPr>
          <w:rStyle w:val="FootnoteAnchor"/>
          <w:rtl w:val="true"/>
        </w:rPr>
        <w:footnoteReference w:id="1673"/>
      </w:r>
      <w:r>
        <w:rPr>
          <w:rFonts w:ascii="Amiri" w:hAnsi="Amiri" w:eastAsia="Amiri" w:cs="Amiri"/>
          <w:color w:val="111111"/>
          <w:sz w:val="28"/>
          <w:sz w:val="28"/>
          <w:szCs w:val="28"/>
          <w:rtl w:val="true"/>
          <w:lang w:bidi="ar-SA"/>
        </w:rPr>
        <w:t>شَيئاً أحدَثَته الطبائعُ‌</w:t>
      </w:r>
      <w:r>
        <w:rPr>
          <w:rStyle w:val="FootnoteAnchor"/>
          <w:rtl w:val="true"/>
        </w:rPr>
        <w:footnoteReference w:id="16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يَنبَغي أن تَكونَ‌</w:t>
      </w:r>
      <w:r>
        <w:rPr>
          <w:rStyle w:val="FootnoteAnchor"/>
          <w:rtl w:val="true"/>
        </w:rPr>
        <w:footnoteReference w:id="1675"/>
      </w:r>
      <w:r>
        <w:rPr>
          <w:rFonts w:ascii="Amiri" w:hAnsi="Amiri" w:eastAsia="Amiri" w:cs="Amiri"/>
          <w:color w:val="111111"/>
          <w:sz w:val="28"/>
          <w:sz w:val="28"/>
          <w:szCs w:val="28"/>
          <w:rtl w:val="true"/>
          <w:lang w:bidi="ar-SA"/>
        </w:rPr>
        <w:t>الطبائعُ‌</w:t>
      </w:r>
      <w:r>
        <w:rPr>
          <w:rStyle w:val="FootnoteAnchor"/>
          <w:rtl w:val="true"/>
        </w:rPr>
        <w:footnoteReference w:id="1676"/>
      </w:r>
      <w:r>
        <w:rPr>
          <w:rFonts w:ascii="Amiri" w:hAnsi="Amiri" w:eastAsia="Amiri" w:cs="Amiri"/>
          <w:color w:val="111111"/>
          <w:sz w:val="28"/>
          <w:sz w:val="28"/>
          <w:szCs w:val="28"/>
          <w:rtl w:val="true"/>
          <w:lang w:bidi="ar-SA"/>
        </w:rPr>
        <w:t>أوّلاً معقولةً‌</w:t>
      </w:r>
      <w:r>
        <w:rPr>
          <w:rStyle w:val="FootnoteAnchor"/>
          <w:rtl w:val="true"/>
        </w:rPr>
        <w:footnoteReference w:id="1677"/>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أوجَبَته الطبائعُ‌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لا نُكلِّمُ أصحابَ الطبائعِ‌</w:t>
      </w:r>
      <w:r>
        <w:rPr>
          <w:rStyle w:val="FootnoteAnchor"/>
          <w:rtl w:val="true"/>
        </w:rPr>
        <w:footnoteReference w:id="1678"/>
      </w:r>
      <w:r>
        <w:rPr>
          <w:rFonts w:ascii="Amiri" w:hAnsi="Amiri" w:eastAsia="Amiri" w:cs="Amiri"/>
          <w:color w:val="111111"/>
          <w:sz w:val="28"/>
          <w:sz w:val="28"/>
          <w:szCs w:val="28"/>
          <w:rtl w:val="true"/>
          <w:lang w:bidi="ar-SA"/>
        </w:rPr>
        <w:t>إلّابأنّها لا تُعقَلُ‌؛ لأنّ كُلَّ ما يُضيفونَه</w:t>
      </w:r>
      <w:r>
        <w:rPr>
          <w:rStyle w:val="FootnoteAnchor"/>
          <w:rtl w:val="true"/>
        </w:rPr>
        <w:footnoteReference w:id="1679"/>
      </w:r>
      <w:r>
        <w:rPr>
          <w:rFonts w:ascii="Amiri" w:hAnsi="Amiri" w:eastAsia="Amiri" w:cs="Amiri"/>
          <w:color w:val="111111"/>
          <w:sz w:val="28"/>
          <w:sz w:val="28"/>
          <w:szCs w:val="28"/>
          <w:rtl w:val="true"/>
          <w:lang w:bidi="ar-SA"/>
        </w:rPr>
        <w:t>إلَى الطبعِ مُضافٌ عندَنا إلىٰ عَرَضٍ مِن الأعراضِ‌، أو إلىٰ غيرِه ممّا دَلَّ الدليلُ عليه؛ فمَن ادَّعىٰ أنّه يَرجِعُ إلىٰ طبعٍ‌، فعَلَيه الدَّلالةُ‌؛ فإذا أثبَتَ‌</w:t>
      </w:r>
      <w:r>
        <w:rPr>
          <w:rStyle w:val="FootnoteAnchor"/>
          <w:rtl w:val="true"/>
        </w:rPr>
        <w:footnoteReference w:id="1680"/>
      </w:r>
      <w:r>
        <w:rPr>
          <w:rFonts w:ascii="Amiri" w:hAnsi="Amiri" w:eastAsia="Amiri" w:cs="Amiri"/>
          <w:color w:val="111111"/>
          <w:sz w:val="28"/>
          <w:sz w:val="28"/>
          <w:szCs w:val="28"/>
          <w:rtl w:val="true"/>
          <w:lang w:bidi="ar-SA"/>
        </w:rPr>
        <w:t>أنّ الطبائعَ‌</w:t>
      </w:r>
      <w:r>
        <w:rPr>
          <w:rStyle w:val="FootnoteAnchor"/>
          <w:rtl w:val="true"/>
        </w:rPr>
        <w:footnoteReference w:id="168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معقولةٌ صَحَّ‌</w:t>
      </w:r>
      <w:r>
        <w:rPr>
          <w:rStyle w:val="FootnoteAnchor"/>
          <w:rtl w:val="true"/>
        </w:rPr>
        <w:footnoteReference w:id="1682"/>
      </w:r>
      <w:r>
        <w:rPr>
          <w:rFonts w:ascii="Amiri" w:hAnsi="Amiri" w:eastAsia="Amiri" w:cs="Amiri"/>
          <w:color w:val="111111"/>
          <w:sz w:val="28"/>
          <w:sz w:val="28"/>
          <w:szCs w:val="28"/>
          <w:rtl w:val="true"/>
          <w:lang w:bidi="ar-SA"/>
        </w:rPr>
        <w:t>إثباتُ إضافةِ ما يُريدُ إضافتَه إليها</w:t>
      </w:r>
      <w:r>
        <w:rPr>
          <w:rStyle w:val="FootnoteAnchor"/>
          <w:rtl w:val="true"/>
        </w:rPr>
        <w:footnoteReference w:id="1683"/>
      </w:r>
      <w:r>
        <w:rPr>
          <w:rFonts w:ascii="Amiri" w:hAnsi="Amiri" w:eastAsia="Amiri" w:cs="Amiri"/>
          <w:color w:val="111111"/>
          <w:sz w:val="28"/>
          <w:sz w:val="28"/>
          <w:szCs w:val="28"/>
          <w:rtl w:val="true"/>
          <w:lang w:bidi="ar-SA"/>
        </w:rPr>
        <w:t>، و إذا لَم تَكُن معقولةً‌</w:t>
      </w:r>
      <w:r>
        <w:rPr>
          <w:rStyle w:val="FootnoteAnchor"/>
          <w:rtl w:val="true"/>
        </w:rPr>
        <w:footnoteReference w:id="1684"/>
      </w:r>
      <w:r>
        <w:rPr>
          <w:rFonts w:ascii="Amiri" w:hAnsi="Amiri" w:eastAsia="Amiri" w:cs="Amiri"/>
          <w:color w:val="111111"/>
          <w:sz w:val="28"/>
          <w:sz w:val="28"/>
          <w:szCs w:val="28"/>
          <w:rtl w:val="true"/>
          <w:lang w:bidi="ar-SA"/>
        </w:rPr>
        <w:t>فقد بَطَلَ ما قالَه مِن أصلِه و استَغنَينا عن الكلامِ معه</w:t>
      </w:r>
      <w:r>
        <w:rPr>
          <w:rFonts w:eastAsia="Amiri" w:cs="Amiri" w:ascii="Amiri" w:hAnsi="Amiri"/>
          <w:color w:val="111111"/>
          <w:sz w:val="28"/>
          <w:szCs w:val="28"/>
          <w:rtl w:val="true"/>
          <w:lang w:bidi="ar-SA"/>
        </w:rPr>
        <w:t>.</w:t>
      </w:r>
      <w:r>
        <w:rPr>
          <w:rStyle w:val="FootnoteAnchor"/>
          <w:rtl w:val="true"/>
        </w:rPr>
        <w:footnoteReference w:id="1685"/>
      </w:r>
      <w:bookmarkStart w:id="344" w:name="pg16415_223954"/>
    </w:p>
    <w:p>
      <w:pPr>
        <w:pStyle w:val="Heading6"/>
        <w:numPr>
          <w:ilvl w:val="5"/>
          <w:numId w:val="1"/>
        </w:numPr>
        <w:rPr/>
      </w:pPr>
      <w:bookmarkStart w:id="345" w:name="__RefHeading___Toc7642464_1280447820"/>
      <w:bookmarkStart w:id="346" w:name="_Toc119"/>
      <w:bookmarkEnd w:id="344"/>
      <w:bookmarkEnd w:id="345"/>
      <w:r>
        <w:rPr>
          <w:rtl w:val="true"/>
        </w:rPr>
        <w:t>المسألةُ السابعةَ عَشَرَ إنكارُ صفاتِ الطبائعِ‌</w:t>
      </w:r>
      <w:bookmarkEnd w:id="346"/>
    </w:p>
    <w:p>
      <w:pPr>
        <w:pStyle w:val="BookText"/>
        <w:rPr/>
      </w:pPr>
      <w:r>
        <w:rPr>
          <w:rFonts w:ascii="Amiri" w:hAnsi="Amiri" w:eastAsia="Amiri" w:cs="Amiri"/>
          <w:color w:val="111111"/>
          <w:sz w:val="28"/>
          <w:sz w:val="28"/>
          <w:szCs w:val="28"/>
          <w:rtl w:val="true"/>
          <w:lang w:bidi="ar-SA"/>
        </w:rPr>
        <w:t>المسألةُ السابعةَ عَشَرَ</w:t>
      </w:r>
      <w:r>
        <w:rPr>
          <w:rStyle w:val="FootnoteAnchor"/>
          <w:rtl w:val="true"/>
        </w:rPr>
        <w:footnoteReference w:id="1686"/>
      </w:r>
      <w:r>
        <w:rPr>
          <w:rFonts w:ascii="Amiri" w:hAnsi="Amiri" w:eastAsia="Amiri" w:cs="Amiri"/>
          <w:color w:val="111111"/>
          <w:sz w:val="28"/>
          <w:sz w:val="28"/>
          <w:szCs w:val="28"/>
          <w:rtl w:val="true"/>
          <w:lang w:bidi="ar-SA"/>
        </w:rPr>
        <w:t>إنكارُ صفاتِ الطبائعِ‌</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يُنكَرُ أن تَكونَ‌</w:t>
      </w:r>
      <w:r>
        <w:rPr>
          <w:rStyle w:val="FootnoteAnchor"/>
          <w:rtl w:val="true"/>
        </w:rPr>
        <w:footnoteReference w:id="1687"/>
      </w:r>
      <w:r>
        <w:rPr>
          <w:rFonts w:ascii="Amiri" w:hAnsi="Amiri" w:eastAsia="Amiri" w:cs="Amiri"/>
          <w:color w:val="111111"/>
          <w:sz w:val="28"/>
          <w:sz w:val="28"/>
          <w:szCs w:val="28"/>
          <w:rtl w:val="true"/>
          <w:lang w:bidi="ar-SA"/>
        </w:rPr>
        <w:t>الطبائعُ حَيّةً قادرةً عالِمةً قَديمةً مُستَغنيةً بنفسِها</w:t>
      </w:r>
      <w:r>
        <w:rPr>
          <w:rStyle w:val="FootnoteAnchor"/>
          <w:rtl w:val="true"/>
        </w:rPr>
        <w:footnoteReference w:id="1688"/>
      </w:r>
      <w:r>
        <w:rPr>
          <w:rFonts w:ascii="Amiri" w:hAnsi="Amiri" w:eastAsia="Amiri" w:cs="Amiri"/>
          <w:color w:val="111111"/>
          <w:sz w:val="28"/>
          <w:sz w:val="28"/>
          <w:szCs w:val="28"/>
          <w:rtl w:val="true"/>
          <w:lang w:bidi="ar-SA"/>
        </w:rPr>
        <w:t>عن مَحلٍّ أو غيرِه‌؟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المَسألةَ تَجري مَجرَى التي قَبلَها، و إنّما يَصِحُّ الكلامُ في أنّ الطبائعَ حَيّةٌ أو قادرةٌ‌</w:t>
      </w:r>
      <w:r>
        <w:rPr>
          <w:rStyle w:val="FootnoteAnchor"/>
          <w:rtl w:val="true"/>
        </w:rPr>
        <w:footnoteReference w:id="1689"/>
      </w:r>
      <w:r>
        <w:rPr>
          <w:rFonts w:ascii="Amiri" w:hAnsi="Amiri" w:eastAsia="Amiri" w:cs="Amiri"/>
          <w:color w:val="111111"/>
          <w:sz w:val="28"/>
          <w:sz w:val="28"/>
          <w:szCs w:val="28"/>
          <w:rtl w:val="true"/>
          <w:lang w:bidi="ar-SA"/>
        </w:rPr>
        <w:t>أو عالمةٌ أو قَديمةٌ أو غيرُ ذلكَ إذا ثَبَتَت الطبائعُ‌؛ فأمّا إذا لَم تَثبُتْ‌، فلا معنىٰ للكلامِ في صفاتِها؛ لأنّ الصفاتِ فَرعٌ‌، و إذا</w:t>
      </w:r>
      <w:r>
        <w:rPr>
          <w:rStyle w:val="FootnoteAnchor"/>
          <w:rtl w:val="true"/>
        </w:rPr>
        <w:footnoteReference w:id="1690"/>
      </w:r>
      <w:r>
        <w:rPr>
          <w:rFonts w:ascii="Amiri" w:hAnsi="Amiri" w:eastAsia="Amiri" w:cs="Amiri"/>
          <w:color w:val="111111"/>
          <w:sz w:val="28"/>
          <w:sz w:val="28"/>
          <w:szCs w:val="28"/>
          <w:rtl w:val="true"/>
          <w:lang w:bidi="ar-SA"/>
        </w:rPr>
        <w:t>بَطَلَ الأصلُ بَطَلَ فَرعُه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bookmarkStart w:id="347" w:name="pg16415_223955"/>
    </w:p>
    <w:p>
      <w:pPr>
        <w:pStyle w:val="Heading6"/>
        <w:numPr>
          <w:ilvl w:val="5"/>
          <w:numId w:val="1"/>
        </w:numPr>
        <w:rPr/>
      </w:pPr>
      <w:bookmarkStart w:id="348" w:name="__RefHeading___Toc7642466_1280447820"/>
      <w:bookmarkStart w:id="349" w:name="_Toc120"/>
      <w:bookmarkEnd w:id="347"/>
      <w:bookmarkEnd w:id="348"/>
      <w:r>
        <w:rPr>
          <w:rtl w:val="true"/>
        </w:rPr>
        <w:t>المسألةُ الثامنةَ عَشَرَ تَمثُّلُ جَبرَئيلَ في صورةِ دِحيةَ الكَلبيِّ‌</w:t>
      </w:r>
      <w:bookmarkEnd w:id="349"/>
    </w:p>
    <w:p>
      <w:pPr>
        <w:pStyle w:val="BookText"/>
        <w:rPr/>
      </w:pPr>
      <w:r>
        <w:rPr>
          <w:rFonts w:ascii="Amiri" w:hAnsi="Amiri" w:eastAsia="Amiri" w:cs="Amiri"/>
          <w:color w:val="111111"/>
          <w:sz w:val="28"/>
          <w:sz w:val="28"/>
          <w:szCs w:val="28"/>
          <w:rtl w:val="true"/>
          <w:lang w:bidi="ar-SA"/>
        </w:rPr>
        <w:t>نُزولُ جَبرَئيلَ عليه السلامُ بالوحيِ في صورةِ دحيةَ‌</w:t>
      </w:r>
      <w:r>
        <w:rPr>
          <w:rStyle w:val="FootnoteAnchor"/>
          <w:rtl w:val="true"/>
        </w:rPr>
        <w:footnoteReference w:id="1692"/>
      </w:r>
      <w:r>
        <w:rPr>
          <w:rFonts w:ascii="Amiri" w:hAnsi="Amiri" w:eastAsia="Amiri" w:cs="Amiri"/>
          <w:color w:val="111111"/>
          <w:sz w:val="28"/>
          <w:sz w:val="28"/>
          <w:szCs w:val="28"/>
          <w:rtl w:val="true"/>
          <w:lang w:bidi="ar-SA"/>
        </w:rPr>
        <w:t>الكَلبيِّ‌</w:t>
      </w:r>
      <w:r>
        <w:rPr>
          <w:rStyle w:val="FootnoteAnchor"/>
          <w:rtl w:val="true"/>
        </w:rPr>
        <w:footnoteReference w:id="1693"/>
      </w:r>
      <w:r>
        <w:rPr>
          <w:rFonts w:ascii="Amiri" w:hAnsi="Amiri" w:eastAsia="Amiri" w:cs="Amiri"/>
          <w:color w:val="111111"/>
          <w:sz w:val="28"/>
          <w:sz w:val="28"/>
          <w:szCs w:val="28"/>
          <w:rtl w:val="true"/>
          <w:lang w:bidi="ar-SA"/>
        </w:rPr>
        <w:t>، كَيفَ كانَ يَتصوَّرُ بغَيرِ صورَتِه‌؟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عليها، أو القَديمُ تَعالىٰ يُشكِّلُ صورةً‌</w:t>
      </w:r>
      <w:r>
        <w:rPr>
          <w:rStyle w:val="FootnoteAnchor"/>
          <w:rtl w:val="true"/>
        </w:rPr>
        <w:footnoteReference w:id="1694"/>
      </w:r>
      <w:r>
        <w:rPr>
          <w:rFonts w:ascii="Amiri" w:hAnsi="Amiri" w:eastAsia="Amiri" w:cs="Amiri"/>
          <w:color w:val="111111"/>
          <w:sz w:val="28"/>
          <w:sz w:val="28"/>
          <w:szCs w:val="28"/>
          <w:rtl w:val="true"/>
          <w:lang w:bidi="ar-SA"/>
        </w:rPr>
        <w:t>و لَيسَت صورةَ جَبرَئيلَ؟ فإن كانَ الذي يُسمَعُ‌</w:t>
      </w:r>
      <w:r>
        <w:rPr>
          <w:rStyle w:val="FootnoteAnchor"/>
          <w:rtl w:val="true"/>
        </w:rPr>
        <w:footnoteReference w:id="1695"/>
      </w:r>
      <w:r>
        <w:rPr>
          <w:rFonts w:ascii="Amiri" w:hAnsi="Amiri" w:eastAsia="Amiri" w:cs="Amiri"/>
          <w:color w:val="111111"/>
          <w:sz w:val="28"/>
          <w:sz w:val="28"/>
          <w:szCs w:val="28"/>
          <w:rtl w:val="true"/>
          <w:lang w:bidi="ar-SA"/>
        </w:rPr>
        <w:t>مِن القُرآنِ مِن صورةٍ غيرِ جَبرَئيلَ‌، ففيه ما فيه؛ و إن كانَ مِن جَبرَئيلَ‌، فكَيفَ يَتصوَّرُ بصورةِ البَشَرِ؟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جَبرَئيلَ‌؛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قد</w:t>
      </w:r>
      <w:r>
        <w:rPr>
          <w:rStyle w:val="FootnoteAnchor"/>
          <w:rtl w:val="true"/>
        </w:rPr>
        <w:footnoteReference w:id="1696"/>
      </w:r>
      <w:r>
        <w:rPr>
          <w:rFonts w:ascii="Amiri" w:hAnsi="Amiri" w:eastAsia="Amiri" w:cs="Amiri"/>
          <w:color w:val="111111"/>
          <w:sz w:val="28"/>
          <w:sz w:val="28"/>
          <w:szCs w:val="28"/>
          <w:rtl w:val="true"/>
          <w:lang w:bidi="ar-SA"/>
        </w:rPr>
        <w:t>يَتصوَّرُ، و كذلكَ الجِنُّ‌</w:t>
      </w:r>
      <w:r>
        <w:rPr>
          <w:rStyle w:val="FootnoteAnchor"/>
          <w:rtl w:val="true"/>
        </w:rPr>
        <w:footnoteReference w:id="1697"/>
      </w:r>
      <w:r>
        <w:rPr>
          <w:rFonts w:ascii="Amiri" w:hAnsi="Amiri" w:eastAsia="Amiri" w:cs="Amiri"/>
          <w:color w:val="111111"/>
          <w:sz w:val="28"/>
          <w:sz w:val="28"/>
          <w:szCs w:val="28"/>
          <w:rtl w:val="true"/>
          <w:lang w:bidi="ar-SA"/>
        </w:rPr>
        <w:t>أُريدُ أن</w:t>
      </w:r>
      <w:r>
        <w:rPr>
          <w:rStyle w:val="FootnoteAnchor"/>
          <w:rtl w:val="true"/>
        </w:rPr>
        <w:footnoteReference w:id="1698"/>
      </w:r>
      <w:r>
        <w:rPr>
          <w:rFonts w:ascii="Amiri" w:hAnsi="Amiri" w:eastAsia="Amiri" w:cs="Amiri"/>
          <w:color w:val="111111"/>
          <w:sz w:val="28"/>
          <w:sz w:val="28"/>
          <w:szCs w:val="28"/>
          <w:rtl w:val="true"/>
          <w:lang w:bidi="ar-SA"/>
        </w:rPr>
        <w:t>توضِحَ‌</w:t>
      </w:r>
      <w:r>
        <w:rPr>
          <w:rStyle w:val="FootnoteAnchor"/>
          <w:rtl w:val="true"/>
        </w:rPr>
        <w:footnoteReference w:id="1699"/>
      </w:r>
      <w:r>
        <w:rPr>
          <w:rFonts w:ascii="Amiri" w:hAnsi="Amiri" w:eastAsia="Amiri" w:cs="Amiri"/>
          <w:color w:val="111111"/>
          <w:sz w:val="28"/>
          <w:sz w:val="28"/>
          <w:szCs w:val="28"/>
          <w:rtl w:val="true"/>
          <w:lang w:bidi="ar-SA"/>
        </w:rPr>
        <w:t>أمرَ ذلكَ‌</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كانَ يَسمَعُه</w:t>
      </w:r>
      <w:r>
        <w:rPr>
          <w:rStyle w:val="FootnoteAnchor"/>
          <w:rtl w:val="true"/>
        </w:rPr>
        <w:footnoteReference w:id="1701"/>
      </w:r>
      <w:r>
        <w:rPr>
          <w:rFonts w:ascii="Amiri" w:hAnsi="Amiri" w:eastAsia="Amiri" w:cs="Amiri"/>
          <w:color w:val="111111"/>
          <w:sz w:val="28"/>
          <w:sz w:val="28"/>
          <w:szCs w:val="28"/>
          <w:rtl w:val="true"/>
          <w:lang w:bidi="ar-SA"/>
        </w:rPr>
        <w:t xml:space="preserve">جَبرَئيلُ عليه السلامُ مِن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702"/>
      </w:r>
      <w:r>
        <w:rPr>
          <w:rFonts w:ascii="Amiri" w:hAnsi="Amiri" w:eastAsia="Amiri" w:cs="Amiri"/>
          <w:color w:val="111111"/>
          <w:sz w:val="28"/>
          <w:sz w:val="28"/>
          <w:szCs w:val="28"/>
          <w:rtl w:val="true"/>
          <w:lang w:bidi="ar-SA"/>
        </w:rPr>
        <w:t>الباري تَعالىٰ أو</w:t>
      </w:r>
      <w:r>
        <w:rPr>
          <w:rStyle w:val="FootnoteAnchor"/>
          <w:rtl w:val="true"/>
        </w:rPr>
        <w:footnoteReference w:id="1703"/>
      </w:r>
      <w:r>
        <w:rPr>
          <w:rFonts w:ascii="Amiri" w:hAnsi="Amiri" w:eastAsia="Amiri" w:cs="Amiri"/>
          <w:color w:val="111111"/>
          <w:sz w:val="28"/>
          <w:sz w:val="28"/>
          <w:szCs w:val="28"/>
          <w:rtl w:val="true"/>
          <w:lang w:bidi="ar-SA"/>
        </w:rPr>
        <w:t>مِن وَراءِ‌</w:t>
      </w:r>
      <w:r>
        <w:rPr>
          <w:rStyle w:val="FootnoteAnchor"/>
          <w:rtl w:val="true"/>
        </w:rPr>
        <w:footnoteReference w:id="1704"/>
      </w:r>
      <w:r>
        <w:rPr>
          <w:rFonts w:ascii="Amiri" w:hAnsi="Amiri" w:eastAsia="Amiri" w:cs="Amiri"/>
          <w:color w:val="111111"/>
          <w:sz w:val="28"/>
          <w:sz w:val="28"/>
          <w:szCs w:val="28"/>
          <w:rtl w:val="true"/>
          <w:lang w:bidi="ar-SA"/>
        </w:rPr>
        <w:t>حِجابٍ؟ و كَيفَ كانَ يَبلُغُه‌؟</w:t>
      </w:r>
    </w:p>
    <w:p>
      <w:pPr>
        <w:pStyle w:val="BookText"/>
        <w:rPr/>
      </w:pPr>
      <w:r>
        <w:rPr>
          <w:rFonts w:ascii="Amiri" w:hAnsi="Amiri" w:eastAsia="Amiri" w:cs="Amiri"/>
          <w:color w:val="111111"/>
          <w:sz w:val="28"/>
          <w:sz w:val="28"/>
          <w:szCs w:val="28"/>
          <w:rtl w:val="true"/>
          <w:lang w:bidi="ar-SA"/>
        </w:rPr>
        <w:t>و هَل جَبرَئيلُ يَعلَمُ مِن صفاتِ الباري تَعالىٰ أكثَرَ ممّا نَعلَمُه أو مِثلَه‌؟</w:t>
      </w:r>
    </w:p>
    <w:p>
      <w:pPr>
        <w:pStyle w:val="BookText"/>
        <w:rPr/>
      </w:pPr>
      <w:r>
        <w:rPr>
          <w:rFonts w:ascii="Amiri" w:hAnsi="Amiri" w:eastAsia="Amiri" w:cs="Amiri"/>
          <w:color w:val="111111"/>
          <w:sz w:val="28"/>
          <w:sz w:val="28"/>
          <w:szCs w:val="28"/>
          <w:rtl w:val="true"/>
          <w:lang w:bidi="ar-SA"/>
        </w:rPr>
        <w:t>و أينَ مَحلُّه مِن السماءِ؟</w:t>
      </w:r>
    </w:p>
    <w:p>
      <w:pPr>
        <w:pStyle w:val="BookText"/>
        <w:rPr/>
      </w:pPr>
      <w:r>
        <w:rPr>
          <w:rFonts w:ascii="Amiri" w:hAnsi="Amiri" w:eastAsia="Amiri" w:cs="Amiri"/>
          <w:color w:val="111111"/>
          <w:sz w:val="28"/>
          <w:sz w:val="28"/>
          <w:szCs w:val="28"/>
          <w:rtl w:val="true"/>
          <w:lang w:bidi="ar-SA"/>
        </w:rPr>
        <w:t>و هَل القَديمُ إذا خَطَرَ ببالِ جَبرَئيلَ يَكونُ مُتجوِّزاً</w:t>
      </w:r>
      <w:r>
        <w:rPr>
          <w:rStyle w:val="FootnoteAnchor"/>
          <w:rtl w:val="true"/>
        </w:rPr>
        <w:footnoteReference w:id="1705"/>
      </w:r>
      <w:r>
        <w:rPr>
          <w:rFonts w:ascii="Amiri" w:hAnsi="Amiri" w:eastAsia="Amiri" w:cs="Amiri"/>
          <w:color w:val="111111"/>
          <w:sz w:val="28"/>
          <w:sz w:val="28"/>
          <w:szCs w:val="28"/>
          <w:rtl w:val="true"/>
          <w:lang w:bidi="ar-SA"/>
        </w:rPr>
        <w:t>فيه مِثلَنا، و يَكونُ سُبحانَه لا تُدرِكُه الأوهامُ و</w:t>
      </w:r>
      <w:r>
        <w:rPr>
          <w:rStyle w:val="FootnoteAnchor"/>
          <w:rtl w:val="true"/>
        </w:rPr>
        <w:footnoteReference w:id="1706"/>
      </w:r>
      <w:r>
        <w:rPr>
          <w:rFonts w:ascii="Amiri" w:hAnsi="Amiri" w:eastAsia="Amiri" w:cs="Amiri"/>
          <w:color w:val="111111"/>
          <w:sz w:val="28"/>
          <w:sz w:val="28"/>
          <w:szCs w:val="28"/>
          <w:rtl w:val="true"/>
          <w:lang w:bidi="ar-SA"/>
        </w:rPr>
        <w:t>مُنزَّهاً</w:t>
      </w:r>
      <w:r>
        <w:rPr>
          <w:rStyle w:val="FootnoteAnchor"/>
          <w:rtl w:val="true"/>
        </w:rPr>
        <w:footnoteReference w:id="1707"/>
      </w:r>
      <w:r>
        <w:rPr>
          <w:rFonts w:ascii="Amiri" w:hAnsi="Amiri" w:eastAsia="Amiri" w:cs="Amiri"/>
          <w:color w:val="111111"/>
          <w:sz w:val="28"/>
          <w:sz w:val="28"/>
          <w:szCs w:val="28"/>
          <w:rtl w:val="true"/>
          <w:lang w:bidi="ar-SA"/>
        </w:rPr>
        <w:t>علينا و علىٰ‌</w:t>
      </w:r>
      <w:r>
        <w:rPr>
          <w:rStyle w:val="FootnoteAnchor"/>
          <w:rtl w:val="true"/>
        </w:rPr>
        <w:footnoteReference w:id="1708"/>
      </w:r>
      <w:r>
        <w:rPr>
          <w:rFonts w:ascii="Amiri" w:hAnsi="Amiri" w:eastAsia="Amiri" w:cs="Amiri"/>
          <w:color w:val="111111"/>
          <w:sz w:val="28"/>
          <w:sz w:val="28"/>
          <w:szCs w:val="28"/>
          <w:rtl w:val="true"/>
          <w:lang w:bidi="ar-SA"/>
        </w:rPr>
        <w:t>جميعِ المَلائكةِ أيضاً؟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نُزولَ جَبرَئيلَ عليه السلامُ بصورةِ دِحيةَ كان بمَسألةٍ‌</w:t>
      </w:r>
      <w:r>
        <w:rPr>
          <w:rStyle w:val="FootnoteAnchor"/>
          <w:rtl w:val="true"/>
        </w:rPr>
        <w:footnoteReference w:id="1709"/>
      </w:r>
      <w:r>
        <w:rPr>
          <w:rFonts w:ascii="Amiri" w:hAnsi="Amiri" w:eastAsia="Amiri" w:cs="Amiri"/>
          <w:color w:val="111111"/>
          <w:sz w:val="28"/>
          <w:sz w:val="28"/>
          <w:szCs w:val="28"/>
          <w:rtl w:val="true"/>
          <w:lang w:bidi="ar-SA"/>
        </w:rPr>
        <w:t>مِن النبيِّ صَلَّى اللّٰهُ عليه و آلِه 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تَصوُّرُه فلَيسَ بقُدرتِه، بَل اللّٰهُ تَعالىٰ يُصوِّرُه كذلكَ‌؛ صورةً‌</w:t>
      </w:r>
      <w:r>
        <w:rPr>
          <w:rStyle w:val="FootnoteAnchor"/>
          <w:rtl w:val="true"/>
        </w:rPr>
        <w:footnoteReference w:id="1710"/>
      </w:r>
      <w:r>
        <w:rPr>
          <w:rFonts w:ascii="Amiri" w:hAnsi="Amiri" w:eastAsia="Amiri" w:cs="Amiri"/>
          <w:color w:val="111111"/>
          <w:sz w:val="28"/>
          <w:sz w:val="28"/>
          <w:szCs w:val="28"/>
          <w:rtl w:val="true"/>
          <w:lang w:bidi="ar-SA"/>
        </w:rPr>
        <w:t>حقيقيّةً‌</w:t>
      </w:r>
      <w:r>
        <w:rPr>
          <w:rStyle w:val="FootnoteAnchor"/>
          <w:rtl w:val="true"/>
        </w:rPr>
        <w:footnoteReference w:id="1711"/>
      </w:r>
      <w:r>
        <w:rPr>
          <w:rFonts w:ascii="Amiri" w:hAnsi="Amiri" w:eastAsia="Amiri" w:cs="Amiri"/>
          <w:color w:val="111111"/>
          <w:sz w:val="28"/>
          <w:sz w:val="28"/>
          <w:szCs w:val="28"/>
          <w:rtl w:val="true"/>
          <w:lang w:bidi="ar-SA"/>
        </w:rPr>
        <w:t>لا شَكليّةً‌</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كانَ يَسمَعُه النبيُّ صَلَّى اللّٰهُ عليه و آلِه و سَلَّمَ مِن القُرآنِ مِن جَبرَئيلَ‌، في الحقيقةِ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إبليسُ و الجِنُّ‌، فلَيسَ يَقدِرُ</w:t>
      </w:r>
      <w:r>
        <w:rPr>
          <w:rStyle w:val="FootnoteAnchor"/>
          <w:rtl w:val="true"/>
        </w:rPr>
        <w:footnoteReference w:id="1713"/>
      </w:r>
      <w:r>
        <w:rPr>
          <w:rFonts w:ascii="Amiri" w:hAnsi="Amiri" w:eastAsia="Amiri" w:cs="Amiri"/>
          <w:color w:val="111111"/>
          <w:sz w:val="28"/>
          <w:sz w:val="28"/>
          <w:szCs w:val="28"/>
          <w:rtl w:val="true"/>
          <w:lang w:bidi="ar-SA"/>
        </w:rPr>
        <w:t>علَى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قادرٍ بقُدرةٍ فحُكمُهم سَواءٌ في أنّهم لا يَصِحُّ أن يُصوِّروا نُفوسَهم؛ بَل إنِ‌</w:t>
      </w:r>
      <w:r>
        <w:rPr>
          <w:rStyle w:val="FootnoteAnchor"/>
          <w:rtl w:val="true"/>
        </w:rPr>
        <w:footnoteReference w:id="1714"/>
      </w:r>
      <w:r>
        <w:rPr>
          <w:rFonts w:ascii="Amiri" w:hAnsi="Amiri" w:eastAsia="Amiri" w:cs="Amiri"/>
          <w:color w:val="111111"/>
          <w:sz w:val="28"/>
          <w:sz w:val="28"/>
          <w:szCs w:val="28"/>
          <w:rtl w:val="true"/>
          <w:lang w:bidi="ar-SA"/>
        </w:rPr>
        <w:t>اقتَضَت المَصلَحةُ أن يَتصوَّرَ بعضُهم بصورةٍ صَوَّرَه</w:t>
      </w:r>
      <w:r>
        <w:rPr>
          <w:rStyle w:val="FootnoteAnchor"/>
          <w:rtl w:val="true"/>
        </w:rPr>
        <w:footnoteReference w:id="1715"/>
      </w:r>
      <w:r>
        <w:rPr>
          <w:rFonts w:ascii="Amiri" w:hAnsi="Amiri" w:eastAsia="Amiri" w:cs="Amiri"/>
          <w:color w:val="111111"/>
          <w:sz w:val="28"/>
          <w:sz w:val="28"/>
          <w:szCs w:val="28"/>
          <w:rtl w:val="true"/>
          <w:lang w:bidi="ar-SA"/>
        </w:rPr>
        <w:t>اللّٰهُ تَعالىٰ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جَبرَئيلُ عليه السلامُ و سَماعُه الوحيَ‌، فيَجوزُ أن يَتكلَّمَ اللّٰهُ تَعالىٰ بكلامٍ يَسمَعُه فيَتعلَّمُه</w:t>
      </w:r>
      <w:r>
        <w:rPr>
          <w:rStyle w:val="FootnoteAnchor"/>
          <w:rtl w:val="true"/>
        </w:rPr>
        <w:footnoteReference w:id="1716"/>
      </w:r>
      <w:r>
        <w:rPr>
          <w:rFonts w:ascii="Amiri" w:hAnsi="Amiri" w:eastAsia="Amiri" w:cs="Amiri"/>
          <w:color w:val="111111"/>
          <w:sz w:val="28"/>
          <w:sz w:val="28"/>
          <w:szCs w:val="28"/>
          <w:rtl w:val="true"/>
          <w:lang w:bidi="ar-SA"/>
        </w:rPr>
        <w:t>، و يَجوزُ أن يَقرأَه مِن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يَعلَمُ جَبرَئيلُ مِن صفاتِ اللّٰهِ تَعالىٰ‌، فطريقُه</w:t>
      </w:r>
      <w:r>
        <w:rPr>
          <w:rStyle w:val="FootnoteAnchor"/>
          <w:rtl w:val="true"/>
        </w:rPr>
        <w:footnoteReference w:id="1717"/>
      </w:r>
      <w:r>
        <w:rPr>
          <w:rFonts w:ascii="Amiri" w:hAnsi="Amiri" w:eastAsia="Amiri" w:cs="Amiri"/>
          <w:color w:val="111111"/>
          <w:sz w:val="28"/>
          <w:sz w:val="28"/>
          <w:szCs w:val="28"/>
          <w:rtl w:val="true"/>
          <w:lang w:bidi="ar-SA"/>
        </w:rPr>
        <w:t>الدليلُ‌، و هو و العلماءُ فيه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مَحلُّه مِن السماءِ‌، فقَد رُويَ أنّه في السماءِ الرابعةِ‌</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يَخطُرُ ببالِه، فلا يَجوزُ أن يَتجوَّزَ فيه؛ لأنّ جَبرَئيلَ عليه السلامُ معصومٌ لا يَصِحُّ أن يَفعَلَ قَبيحاً</w:t>
      </w:r>
      <w:r>
        <w:rPr>
          <w:rFonts w:eastAsia="Amiri" w:cs="Amiri" w:ascii="Amiri" w:hAnsi="Amiri"/>
          <w:color w:val="111111"/>
          <w:sz w:val="28"/>
          <w:szCs w:val="28"/>
          <w:rtl w:val="true"/>
          <w:lang w:bidi="ar-SA"/>
        </w:rPr>
        <w:t xml:space="preserve">. </w:t>
      </w:r>
      <w:bookmarkStart w:id="350" w:name="pg16415_223958"/>
    </w:p>
    <w:p>
      <w:pPr>
        <w:pStyle w:val="Heading6"/>
        <w:numPr>
          <w:ilvl w:val="5"/>
          <w:numId w:val="1"/>
        </w:numPr>
        <w:rPr/>
      </w:pPr>
      <w:bookmarkStart w:id="351" w:name="__RefHeading___Toc7642468_1280447820"/>
      <w:bookmarkStart w:id="352" w:name="_Toc121"/>
      <w:bookmarkEnd w:id="350"/>
      <w:bookmarkEnd w:id="351"/>
      <w:r>
        <w:rPr>
          <w:rtl w:val="true"/>
        </w:rPr>
        <w:t xml:space="preserve">المسألةُ التاسعةَ عَشَرَ معنَى </w:t>
      </w:r>
      <w:r>
        <w:rPr>
          <w:rtl w:val="true"/>
        </w:rPr>
        <w:t>«</w:t>
      </w:r>
      <w:r>
        <w:rPr>
          <w:rtl w:val="true"/>
        </w:rPr>
        <w:t>الصفةِ‌</w:t>
      </w:r>
      <w:r>
        <w:rPr>
          <w:rtl w:val="true"/>
        </w:rPr>
        <w:t xml:space="preserve">» </w:t>
      </w:r>
      <w:r>
        <w:rPr>
          <w:rtl w:val="true"/>
        </w:rPr>
        <w:t>في القَديمِ تَعالىٰ‌</w:t>
      </w:r>
      <w:bookmarkEnd w:id="352"/>
    </w:p>
    <w:p>
      <w:pPr>
        <w:pStyle w:val="BookText"/>
        <w:rPr/>
      </w:pPr>
      <w:r>
        <w:rPr>
          <w:rFonts w:ascii="Amiri" w:hAnsi="Amiri" w:eastAsia="Amiri" w:cs="Amiri"/>
          <w:color w:val="111111"/>
          <w:sz w:val="28"/>
          <w:sz w:val="28"/>
          <w:szCs w:val="28"/>
          <w:rtl w:val="true"/>
          <w:lang w:bidi="ar-SA"/>
        </w:rPr>
        <w:t>المسألةُ التاسعةَ عَشَرَ</w:t>
      </w:r>
      <w:r>
        <w:rPr>
          <w:rStyle w:val="FootnoteAnchor"/>
          <w:rtl w:val="true"/>
        </w:rPr>
        <w:footnoteReference w:id="1719"/>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القَديمِ تَعالىٰ‌</w:t>
      </w:r>
    </w:p>
    <w:p>
      <w:pPr>
        <w:pStyle w:val="BookText"/>
        <w:rPr/>
      </w:pPr>
      <w:r>
        <w:rPr>
          <w:rFonts w:ascii="Amiri" w:hAnsi="Amiri" w:eastAsia="Amiri" w:cs="Amiri"/>
          <w:color w:val="111111"/>
          <w:sz w:val="28"/>
          <w:sz w:val="28"/>
          <w:szCs w:val="28"/>
          <w:rtl w:val="true"/>
          <w:lang w:bidi="ar-SA"/>
        </w:rPr>
        <w:t>قولُ أبي عليٍّ الجُبّائيِّ‌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للقَديمِ‌</w:t>
      </w:r>
      <w:r>
        <w:rPr>
          <w:rStyle w:val="FootnoteAnchor"/>
          <w:rtl w:val="true"/>
        </w:rPr>
        <w:footnoteReference w:id="1720"/>
      </w:r>
      <w:r>
        <w:rPr>
          <w:rFonts w:ascii="Amiri" w:hAnsi="Amiri" w:eastAsia="Amiri" w:cs="Amiri"/>
          <w:color w:val="111111"/>
          <w:sz w:val="28"/>
          <w:sz w:val="28"/>
          <w:szCs w:val="28"/>
          <w:rtl w:val="true"/>
          <w:lang w:bidi="ar-SA"/>
        </w:rPr>
        <w:t>تَعالىٰ بكَونِه سَميعاً بَصيراً صفةٌ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البَصريّونَ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بكَونِه مُريداً صفةٌ زائدةٌ‌</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 xml:space="preserve">أُريدُ أن توضِحَ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يَجعلونَها</w:t>
      </w:r>
      <w:r>
        <w:rPr>
          <w:rStyle w:val="FootnoteAnchor"/>
          <w:rtl w:val="true"/>
        </w:rPr>
        <w:footnoteReference w:id="1722"/>
      </w:r>
      <w:r>
        <w:rPr>
          <w:rFonts w:ascii="Amiri" w:hAnsi="Amiri" w:eastAsia="Amiri" w:cs="Amiri"/>
          <w:color w:val="111111"/>
          <w:sz w:val="28"/>
          <w:sz w:val="28"/>
          <w:szCs w:val="28"/>
          <w:rtl w:val="true"/>
          <w:lang w:bidi="ar-SA"/>
        </w:rPr>
        <w:t>مِثلَ القُدرةِ و العِلمِ أو غيرَ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الصفةَ في الأصلِ هي قولُ الواصفِ‌؛ فأمّا الصفةُ التي تُقالُ له</w:t>
      </w:r>
      <w:r>
        <w:rPr>
          <w:rStyle w:val="FootnoteAnchor"/>
          <w:rtl w:val="true"/>
        </w:rPr>
        <w:footnoteReference w:id="1724"/>
      </w:r>
      <w:r>
        <w:rPr>
          <w:rFonts w:ascii="Amiri" w:hAnsi="Amiri" w:eastAsia="Amiri" w:cs="Amiri"/>
          <w:color w:val="111111"/>
          <w:sz w:val="28"/>
          <w:sz w:val="28"/>
          <w:szCs w:val="28"/>
          <w:rtl w:val="true"/>
          <w:lang w:bidi="ar-SA"/>
        </w:rPr>
        <w:t>بكَونِه قادراً أو عالِماً</w:t>
      </w:r>
      <w:r>
        <w:rPr>
          <w:rStyle w:val="FootnoteAnchor"/>
          <w:rtl w:val="true"/>
        </w:rPr>
        <w:footnoteReference w:id="1725"/>
      </w:r>
      <w:r>
        <w:rPr>
          <w:rFonts w:ascii="Amiri" w:hAnsi="Amiri" w:eastAsia="Amiri" w:cs="Amiri"/>
          <w:color w:val="111111"/>
          <w:sz w:val="28"/>
          <w:sz w:val="28"/>
          <w:szCs w:val="28"/>
          <w:rtl w:val="true"/>
          <w:lang w:bidi="ar-SA"/>
        </w:rPr>
        <w:t>أو غيرَ</w:t>
      </w:r>
      <w:r>
        <w:rPr>
          <w:rStyle w:val="FootnoteAnchor"/>
          <w:rtl w:val="true"/>
        </w:rPr>
        <w:footnoteReference w:id="1726"/>
      </w:r>
      <w:r>
        <w:rPr>
          <w:rFonts w:ascii="Amiri" w:hAnsi="Amiri" w:eastAsia="Amiri" w:cs="Amiri"/>
          <w:color w:val="111111"/>
          <w:sz w:val="28"/>
          <w:sz w:val="28"/>
          <w:szCs w:val="28"/>
          <w:rtl w:val="true"/>
          <w:lang w:bidi="ar-SA"/>
        </w:rPr>
        <w:t>ذلكَ‌، فالمُرادُ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w:t>
      </w:r>
      <w:r>
        <w:rPr>
          <w:rStyle w:val="FootnoteAnchor"/>
          <w:rtl w:val="true"/>
        </w:rPr>
        <w:footnoteReference w:id="1727"/>
      </w:r>
      <w:r>
        <w:rPr>
          <w:rFonts w:ascii="Amiri" w:hAnsi="Amiri" w:eastAsia="Amiri" w:cs="Amiri"/>
          <w:color w:val="111111"/>
          <w:sz w:val="28"/>
          <w:sz w:val="28"/>
          <w:szCs w:val="28"/>
          <w:rtl w:val="true"/>
          <w:lang w:bidi="ar-SA"/>
        </w:rPr>
        <w:t>الذاتُ مِن الحالِ التي تَختَصُّ بها؛ سَواءٌ كانَت للنفسِ‌، أو للمعنىٰ‌، أو لفاعلٍ‌</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عندَنا صفةً‌؛ إنّما</w:t>
      </w:r>
      <w:r>
        <w:rPr>
          <w:rStyle w:val="FootnoteAnchor"/>
          <w:rtl w:val="true"/>
        </w:rPr>
        <w:footnoteReference w:id="1728"/>
      </w:r>
      <w:r>
        <w:rPr>
          <w:rFonts w:ascii="Amiri" w:hAnsi="Amiri" w:eastAsia="Amiri" w:cs="Amiri"/>
          <w:color w:val="111111"/>
          <w:sz w:val="28"/>
          <w:sz w:val="28"/>
          <w:szCs w:val="28"/>
          <w:rtl w:val="true"/>
          <w:lang w:bidi="ar-SA"/>
        </w:rPr>
        <w:t>يُسمّيها بذلكَ‌</w:t>
      </w:r>
      <w:r>
        <w:rPr>
          <w:rStyle w:val="FootnoteAnchor"/>
          <w:rtl w:val="true"/>
        </w:rPr>
        <w:footnoteReference w:id="1729"/>
      </w:r>
      <w:r>
        <w:rPr>
          <w:rFonts w:ascii="Amiri" w:hAnsi="Amiri" w:eastAsia="Amiri" w:cs="Amiri"/>
          <w:color w:val="111111"/>
          <w:sz w:val="28"/>
          <w:sz w:val="28"/>
          <w:szCs w:val="28"/>
          <w:rtl w:val="true"/>
          <w:lang w:bidi="ar-SA"/>
        </w:rPr>
        <w:t>الصفاتيّةُ‌</w:t>
      </w:r>
      <w:r>
        <w:rPr>
          <w:rStyle w:val="FootnoteAnchor"/>
          <w:rtl w:val="true"/>
        </w:rPr>
        <w:footnoteReference w:id="1730"/>
      </w:r>
      <w:r>
        <w:rPr>
          <w:rFonts w:ascii="Amiri" w:hAnsi="Amiri" w:eastAsia="Amiri" w:cs="Amiri"/>
          <w:color w:val="111111"/>
          <w:sz w:val="28"/>
          <w:sz w:val="28"/>
          <w:szCs w:val="28"/>
          <w:rtl w:val="true"/>
          <w:lang w:bidi="ar-SA"/>
        </w:rPr>
        <w:t>أصحابُ الأشعَريِّ‌</w:t>
      </w:r>
      <w:r>
        <w:rPr>
          <w:rStyle w:val="FootnoteAnchor"/>
          <w:rtl w:val="true"/>
        </w:rPr>
        <w:footnoteReference w:id="1731"/>
      </w:r>
      <w:r>
        <w:rPr>
          <w:rFonts w:ascii="Amiri" w:hAnsi="Amiri" w:eastAsia="Amiri" w:cs="Amiri"/>
          <w:color w:val="111111"/>
          <w:sz w:val="28"/>
          <w:sz w:val="28"/>
          <w:szCs w:val="28"/>
          <w:rtl w:val="true"/>
          <w:lang w:bidi="ar-SA"/>
        </w:rPr>
        <w:t>، فأمّا</w:t>
      </w:r>
      <w:r>
        <w:rPr>
          <w:rStyle w:val="FootnoteAnchor"/>
          <w:rtl w:val="true"/>
        </w:rPr>
        <w:footnoteReference w:id="1732"/>
      </w:r>
      <w:r>
        <w:rPr>
          <w:rFonts w:ascii="Amiri" w:hAnsi="Amiri" w:eastAsia="Amiri" w:cs="Amiri"/>
          <w:color w:val="111111"/>
          <w:sz w:val="28"/>
          <w:sz w:val="28"/>
          <w:szCs w:val="28"/>
          <w:rtl w:val="true"/>
          <w:lang w:bidi="ar-SA"/>
        </w:rPr>
        <w:t xml:space="preserve">نحنُ فنُسمّي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أوجَبَته القُدرةُ و العِلمُ‌، مِن كَونِه قادراً أو عالِماً أو ما يَجري مَجرىٰ ذلكَ‌</w:t>
      </w:r>
      <w:r>
        <w:rPr>
          <w:rFonts w:eastAsia="Amiri" w:cs="Amiri" w:ascii="Amiri" w:hAnsi="Amiri"/>
          <w:color w:val="111111"/>
          <w:sz w:val="28"/>
          <w:szCs w:val="28"/>
          <w:rtl w:val="true"/>
          <w:lang w:bidi="ar-SA"/>
        </w:rPr>
        <w:t xml:space="preserve">. </w:t>
      </w:r>
      <w:bookmarkStart w:id="353" w:name="pg16415_223960"/>
    </w:p>
    <w:p>
      <w:pPr>
        <w:pStyle w:val="Heading6"/>
        <w:numPr>
          <w:ilvl w:val="5"/>
          <w:numId w:val="1"/>
        </w:numPr>
        <w:rPr/>
      </w:pPr>
      <w:bookmarkStart w:id="354" w:name="__RefHeading___Toc7642470_1280447820"/>
      <w:bookmarkStart w:id="355" w:name="_Toc122"/>
      <w:bookmarkEnd w:id="353"/>
      <w:bookmarkEnd w:id="354"/>
      <w:r>
        <w:rPr>
          <w:rtl w:val="true"/>
        </w:rPr>
        <w:t>المسألةُ العِشرونَ كلامُ اللّٰهِ تَعالىٰ‌؛ كَيفَ يَكونُ؟</w:t>
      </w:r>
      <w:bookmarkEnd w:id="355"/>
    </w:p>
    <w:p>
      <w:pPr>
        <w:pStyle w:val="BookText"/>
        <w:rPr/>
      </w:pPr>
      <w:r>
        <w:rPr>
          <w:rFonts w:ascii="Amiri" w:hAnsi="Amiri" w:eastAsia="Amiri" w:cs="Amiri"/>
          <w:color w:val="111111"/>
          <w:sz w:val="28"/>
          <w:sz w:val="28"/>
          <w:szCs w:val="28"/>
          <w:rtl w:val="true"/>
          <w:lang w:bidi="ar-SA"/>
        </w:rPr>
        <w:t>كلامُ اللّٰهِ تَعالىٰ‌؛ هل تَكلَّمَ‌</w:t>
      </w:r>
      <w:r>
        <w:rPr>
          <w:rStyle w:val="FootnoteAnchor"/>
          <w:rtl w:val="true"/>
        </w:rPr>
        <w:footnoteReference w:id="1733"/>
      </w:r>
      <w:r>
        <w:rPr>
          <w:rFonts w:ascii="Amiri" w:hAnsi="Amiri" w:eastAsia="Amiri" w:cs="Amiri"/>
          <w:color w:val="111111"/>
          <w:sz w:val="28"/>
          <w:sz w:val="28"/>
          <w:szCs w:val="28"/>
          <w:rtl w:val="true"/>
          <w:lang w:bidi="ar-SA"/>
        </w:rPr>
        <w:t>به، أو أحدَثَه مِثلَ غيرِه مِن المُحدَثاتِ؟</w:t>
      </w:r>
    </w:p>
    <w:p>
      <w:pPr>
        <w:pStyle w:val="BookText"/>
        <w:rPr/>
      </w:pPr>
      <w:r>
        <w:rPr>
          <w:rFonts w:ascii="Amiri" w:hAnsi="Amiri" w:eastAsia="Amiri" w:cs="Amiri"/>
          <w:color w:val="111111"/>
          <w:sz w:val="28"/>
          <w:sz w:val="28"/>
          <w:szCs w:val="28"/>
          <w:rtl w:val="true"/>
          <w:lang w:bidi="ar-SA"/>
        </w:rPr>
        <w:t>و كلامُه لموسىٰ عليه السلامُ مِن الشجَرةِ‌؛ كَيفَ كانَ؟ و قد قالَ‌</w:t>
      </w:r>
      <w:r>
        <w:rPr>
          <w:rStyle w:val="FootnoteAnchor"/>
          <w:rtl w:val="true"/>
        </w:rPr>
        <w:footnoteReference w:id="173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أحدَثَه فقَد تَكلَّمَ به؛ لأنّ المُتكلِّمَ هو فاعلُ الكلامِ‌،</w:t>
      </w:r>
      <w:r>
        <w:rPr>
          <w:rStyle w:val="FootnoteAnchor"/>
          <w:rtl w:val="true"/>
        </w:rPr>
        <w:footnoteReference w:id="1736"/>
      </w:r>
      <w:r>
        <w:rPr>
          <w:rFonts w:ascii="Amiri" w:hAnsi="Amiri" w:eastAsia="Amiri" w:cs="Amiri"/>
          <w:color w:val="111111"/>
          <w:sz w:val="28"/>
          <w:sz w:val="28"/>
          <w:szCs w:val="28"/>
          <w:rtl w:val="true"/>
          <w:lang w:bidi="ar-SA"/>
        </w:rPr>
        <w:t>فإذا فَعَلَ الكلامَ فقَد تَكلَّمَ به و قد أحدَثَه، و المعنىٰ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موسىٰ عليه السلامُ مِن الشجَرةِ‌، فإنّ اللّٰهَ‌</w:t>
      </w:r>
      <w:r>
        <w:rPr>
          <w:rStyle w:val="FootnoteAnchor"/>
          <w:rtl w:val="true"/>
        </w:rPr>
        <w:footnoteReference w:id="1737"/>
      </w:r>
      <w:r>
        <w:rPr>
          <w:rFonts w:ascii="Amiri" w:hAnsi="Amiri" w:eastAsia="Amiri" w:cs="Amiri"/>
          <w:color w:val="111111"/>
          <w:sz w:val="28"/>
          <w:sz w:val="28"/>
          <w:szCs w:val="28"/>
          <w:rtl w:val="true"/>
          <w:lang w:bidi="ar-SA"/>
        </w:rPr>
        <w:t>تَعالىٰ كَلَّمَه؛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 فأخبَرَ تَعالىٰ بأنّه كَلَّمَه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وَرٰاءِ حِجٰابٍ 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فمَيَّزَ</w:t>
      </w:r>
      <w:r>
        <w:rPr>
          <w:rStyle w:val="FootnoteAnchor"/>
          <w:rtl w:val="true"/>
        </w:rPr>
        <w:footnoteReference w:id="1740"/>
      </w:r>
      <w:r>
        <w:rPr>
          <w:rFonts w:ascii="Amiri" w:hAnsi="Amiri" w:eastAsia="Amiri" w:cs="Amiri"/>
          <w:color w:val="111111"/>
          <w:sz w:val="28"/>
          <w:sz w:val="28"/>
          <w:szCs w:val="28"/>
          <w:rtl w:val="true"/>
          <w:lang w:bidi="ar-SA"/>
        </w:rPr>
        <w:t>بعضَها مِن</w:t>
      </w:r>
      <w:r>
        <w:rPr>
          <w:rStyle w:val="FootnoteAnchor"/>
          <w:rtl w:val="true"/>
        </w:rPr>
        <w:footnoteReference w:id="1741"/>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bookmarkStart w:id="356" w:name="pg16415_223961"/>
    </w:p>
    <w:p>
      <w:pPr>
        <w:pStyle w:val="Heading6"/>
        <w:numPr>
          <w:ilvl w:val="5"/>
          <w:numId w:val="1"/>
        </w:numPr>
        <w:rPr/>
      </w:pPr>
      <w:bookmarkStart w:id="357" w:name="__RefHeading___Toc7642472_1280447820"/>
      <w:bookmarkStart w:id="358" w:name="_Toc123"/>
      <w:bookmarkEnd w:id="356"/>
      <w:bookmarkEnd w:id="357"/>
      <w:r>
        <w:rPr>
          <w:rtl w:val="true"/>
        </w:rPr>
        <w:t xml:space="preserve">المسألةُ الحاديةُ و العِشرونَ حول </w:t>
      </w:r>
      <w:r>
        <w:rPr>
          <w:rtl w:val="true"/>
        </w:rPr>
        <w:t>«</w:t>
      </w:r>
      <w:r>
        <w:rPr>
          <w:rtl w:val="true"/>
        </w:rPr>
        <w:t>الكَعبةِ‌</w:t>
      </w:r>
      <w:r>
        <w:rPr>
          <w:rtl w:val="true"/>
        </w:rPr>
        <w:t xml:space="preserve">» </w:t>
      </w:r>
      <w:r>
        <w:rPr>
          <w:rtl w:val="true"/>
        </w:rPr>
        <w:t xml:space="preserve">و </w:t>
      </w:r>
      <w:r>
        <w:rPr>
          <w:rtl w:val="true"/>
        </w:rPr>
        <w:t>«</w:t>
      </w:r>
      <w:r>
        <w:rPr>
          <w:rtl w:val="true"/>
        </w:rPr>
        <w:t>الميثاقِ‌</w:t>
      </w:r>
      <w:r>
        <w:rPr>
          <w:rtl w:val="true"/>
        </w:rPr>
        <w:t xml:space="preserve">» </w:t>
      </w:r>
      <w:r>
        <w:rPr>
          <w:rtl w:val="true"/>
        </w:rPr>
        <w:t xml:space="preserve">و </w:t>
      </w:r>
      <w:r>
        <w:rPr>
          <w:rtl w:val="true"/>
        </w:rPr>
        <w:t>«</w:t>
      </w:r>
      <w:r>
        <w:rPr>
          <w:rtl w:val="true"/>
        </w:rPr>
        <w:t>العَقلِ‌</w:t>
      </w:r>
      <w:r>
        <w:rPr>
          <w:rtl w:val="true"/>
        </w:rPr>
        <w:t xml:space="preserve">» </w:t>
      </w:r>
      <w:r>
        <w:rPr>
          <w:rtl w:val="true"/>
        </w:rPr>
        <w:t xml:space="preserve">و </w:t>
      </w:r>
      <w:r>
        <w:rPr>
          <w:rtl w:val="true"/>
        </w:rPr>
        <w:t>«</w:t>
      </w:r>
      <w:r>
        <w:rPr>
          <w:rtl w:val="true"/>
        </w:rPr>
        <w:t>الروحِ‌</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قِبلةَ مَن تَقدَّمَنا، أو لنا و لإبراهيمَ‌</w:t>
      </w:r>
      <w:r>
        <w:rPr>
          <w:rStyle w:val="FootnoteAnchor"/>
          <w:rtl w:val="true"/>
        </w:rPr>
        <w:footnoteReference w:id="1742"/>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و قولُ الحاجِّ‌</w:t>
      </w:r>
      <w:r>
        <w:rPr>
          <w:rStyle w:val="FootnoteAnchor"/>
          <w:rtl w:val="true"/>
        </w:rPr>
        <w:footnoteReference w:id="1743"/>
      </w:r>
      <w:r>
        <w:rPr>
          <w:rFonts w:ascii="Amiri" w:hAnsi="Amiri" w:eastAsia="Amiri" w:cs="Amiri"/>
          <w:color w:val="111111"/>
          <w:sz w:val="28"/>
          <w:sz w:val="28"/>
          <w:szCs w:val="28"/>
          <w:rtl w:val="true"/>
          <w:lang w:bidi="ar-SA"/>
        </w:rPr>
        <w:t>للحَجَرِ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وَفَيتُ بعَهدي، و تَعاهَدتُ‌</w:t>
      </w:r>
      <w:r>
        <w:rPr>
          <w:rStyle w:val="FootnoteAnchor"/>
          <w:rtl w:val="true"/>
        </w:rPr>
        <w:footnoteReference w:id="1744"/>
      </w:r>
      <w:r>
        <w:rPr>
          <w:rFonts w:ascii="Amiri" w:hAnsi="Amiri" w:eastAsia="Amiri" w:cs="Amiri"/>
          <w:color w:val="111111"/>
          <w:sz w:val="28"/>
          <w:sz w:val="28"/>
          <w:szCs w:val="28"/>
          <w:rtl w:val="true"/>
          <w:lang w:bidi="ar-SA"/>
        </w:rPr>
        <w:t>ميثاقي</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أيَسمَعُ الحَجَرُ ذلكَ‌، أو يَحدُثُ فيه يَومَ القيامةِ العِلمُ بذلكَ؟</w:t>
      </w:r>
    </w:p>
    <w:p>
      <w:pPr>
        <w:pStyle w:val="BookText"/>
        <w:rPr/>
      </w:pPr>
      <w:r>
        <w:rPr>
          <w:rFonts w:ascii="IRNazanin" w:hAnsi="IRNazanin" w:eastAsia="IRNazanin"/>
          <w:color w:val="111111"/>
          <w:sz w:val="28"/>
          <w:sz w:val="28"/>
          <w:szCs w:val="28"/>
          <w:rtl w:val="true"/>
          <w:lang w:bidi="fa-IR"/>
        </w:rPr>
        <w:t>و هذا</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فإن كانَ هُناكَ ميثاقٌ‌، فيَجِبُ أن نَذكُرَه إن كُنّا عُقَلاءَ في ذلكَ الوقتِ‌، و إن كُنّا غيرَ ذلكَ فحوشِيَ أن يأخُذَ</w:t>
      </w:r>
      <w:r>
        <w:rPr>
          <w:rStyle w:val="FootnoteAnchor"/>
          <w:rtl w:val="true"/>
        </w:rPr>
        <w:footnoteReference w:id="1747"/>
      </w:r>
      <w:r>
        <w:rPr>
          <w:rFonts w:ascii="Amiri" w:hAnsi="Amiri" w:eastAsia="Amiri" w:cs="Amiri"/>
          <w:color w:val="111111"/>
          <w:sz w:val="28"/>
          <w:sz w:val="28"/>
          <w:szCs w:val="28"/>
          <w:rtl w:val="true"/>
          <w:lang w:bidi="ar-SA"/>
        </w:rPr>
        <w:t>الميثاقَ علىٰ غيرِ عاقلٍ‌</w:t>
      </w:r>
      <w:r>
        <w:rPr>
          <w:rFonts w:eastAsia="Amiri" w:cs="Amiri" w:ascii="Amiri" w:hAnsi="Amiri"/>
          <w:color w:val="111111"/>
          <w:sz w:val="28"/>
          <w:szCs w:val="28"/>
          <w:rtl w:val="true"/>
          <w:lang w:bidi="ar-SA"/>
        </w:rPr>
        <w:t>.</w:t>
      </w:r>
      <w:r>
        <w:rPr>
          <w:rStyle w:val="FootnoteAnchor"/>
          <w:rtl w:val="true"/>
        </w:rPr>
        <w:footnoteReference w:id="174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Style w:val="FootnoteAnchor"/>
          <w:rtl w:val="true"/>
        </w:rPr>
        <w:footnoteReference w:id="1749"/>
      </w:r>
      <w:r>
        <w:rPr>
          <w:rFonts w:ascii="Amiri" w:hAnsi="Amiri" w:eastAsia="Amiri" w:cs="Amiri"/>
          <w:color w:val="111111"/>
          <w:sz w:val="28"/>
          <w:sz w:val="28"/>
          <w:szCs w:val="28"/>
          <w:rtl w:val="true"/>
          <w:lang w:bidi="ar-SA"/>
        </w:rPr>
        <w:t>فهذا ممّا يَقوىٰ به مَذهَبُ‌</w:t>
      </w:r>
      <w:r>
        <w:rPr>
          <w:rStyle w:val="FootnoteAnchor"/>
          <w:rtl w:val="true"/>
        </w:rPr>
        <w:footnoteReference w:id="1750"/>
      </w:r>
      <w:r>
        <w:rPr>
          <w:rFonts w:ascii="Amiri" w:hAnsi="Amiri" w:eastAsia="Amiri" w:cs="Amiri"/>
          <w:color w:val="111111"/>
          <w:sz w:val="28"/>
          <w:sz w:val="28"/>
          <w:szCs w:val="28"/>
          <w:rtl w:val="true"/>
          <w:lang w:bidi="ar-SA"/>
        </w:rPr>
        <w:t>أصحابِ التناسُخِ‌؛ لأنّهم يَحتَجّونَ‌</w:t>
      </w:r>
      <w:r>
        <w:rPr>
          <w:rStyle w:val="FootnoteAnchor"/>
          <w:rtl w:val="true"/>
        </w:rPr>
        <w:footnoteReference w:id="1751"/>
      </w:r>
      <w:r>
        <w:rPr>
          <w:rFonts w:ascii="Amiri" w:hAnsi="Amiri" w:eastAsia="Amiri" w:cs="Amiri"/>
          <w:color w:val="111111"/>
          <w:sz w:val="28"/>
          <w:sz w:val="28"/>
          <w:szCs w:val="28"/>
          <w:rtl w:val="true"/>
          <w:lang w:bidi="ar-SA"/>
        </w:rPr>
        <w:t xml:space="preserve">علينا </w:t>
      </w:r>
    </w:p>
    <w:p>
      <w:pPr>
        <w:pStyle w:val="BookText"/>
        <w:rPr/>
      </w:pPr>
      <w:r>
        <w:rPr>
          <w:rFonts w:ascii="Amiri" w:hAnsi="Amiri" w:eastAsia="Amiri" w:cs="Amiri"/>
          <w:color w:val="111111"/>
          <w:sz w:val="28"/>
          <w:sz w:val="28"/>
          <w:szCs w:val="28"/>
          <w:rtl w:val="true"/>
          <w:lang w:bidi="ar-SA"/>
        </w:rPr>
        <w:t>بأنّ الأرواحَ مخلوقةٌ قَبلَ الأبدانِ بألفَي عامٍ‌</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و أُريدُ أيضاً أن تَشرَحَ صورةَ الأرواحِ‌؛ هل خُلِقَت قَبلَ الأبدانِ‌، أم لا؟ فأكثَرُ</w:t>
      </w:r>
      <w:r>
        <w:rPr>
          <w:rStyle w:val="FootnoteAnchor"/>
          <w:rtl w:val="true"/>
        </w:rPr>
        <w:footnoteReference w:id="1753"/>
      </w:r>
      <w:r>
        <w:rPr>
          <w:rFonts w:ascii="Amiri" w:hAnsi="Amiri" w:eastAsia="Amiri" w:cs="Amiri"/>
          <w:color w:val="111111"/>
          <w:sz w:val="28"/>
          <w:sz w:val="28"/>
          <w:szCs w:val="28"/>
          <w:rtl w:val="true"/>
          <w:lang w:bidi="ar-SA"/>
        </w:rPr>
        <w:t>تَعلُّقِهم بهذا الخبرِ و كَونِ الأرواحِ قَديمةً قَبلَ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الأرواحُ إذا فارَقَت الأبدانَ‌، هل تُحِسُّ‌، أم لا؟ و هل الحِسابُ‌</w:t>
      </w:r>
      <w:r>
        <w:rPr>
          <w:rStyle w:val="FootnoteAnchor"/>
          <w:rtl w:val="true"/>
        </w:rPr>
        <w:footnoteReference w:id="1754"/>
      </w:r>
      <w:r>
        <w:rPr>
          <w:rFonts w:ascii="Amiri" w:hAnsi="Amiri" w:eastAsia="Amiri" w:cs="Amiri"/>
          <w:color w:val="111111"/>
          <w:sz w:val="28"/>
          <w:sz w:val="28"/>
          <w:szCs w:val="28"/>
          <w:rtl w:val="true"/>
          <w:lang w:bidi="ar-SA"/>
        </w:rPr>
        <w:t>عليها و علَى الأبدانِ‌، أو عليها وَحدَها؟</w:t>
      </w:r>
    </w:p>
    <w:p>
      <w:pPr>
        <w:pStyle w:val="BookText"/>
        <w:rPr/>
      </w:pPr>
      <w:r>
        <w:rPr>
          <w:rFonts w:ascii="Amiri" w:hAnsi="Amiri" w:eastAsia="Amiri" w:cs="Amiri"/>
          <w:color w:val="111111"/>
          <w:sz w:val="28"/>
          <w:sz w:val="28"/>
          <w:szCs w:val="28"/>
          <w:rtl w:val="true"/>
          <w:lang w:bidi="ar-SA"/>
        </w:rPr>
        <w:t>و إذا نامَ الإنسانُ ما يُعدَمُ‌</w:t>
      </w:r>
      <w:r>
        <w:rPr>
          <w:rStyle w:val="FootnoteAnchor"/>
          <w:rtl w:val="true"/>
        </w:rPr>
        <w:footnoteReference w:id="1755"/>
      </w:r>
      <w:r>
        <w:rPr>
          <w:rFonts w:ascii="Amiri" w:hAnsi="Amiri" w:eastAsia="Amiri" w:cs="Amiri"/>
          <w:color w:val="111111"/>
          <w:sz w:val="28"/>
          <w:sz w:val="28"/>
          <w:szCs w:val="28"/>
          <w:rtl w:val="true"/>
          <w:lang w:bidi="ar-SA"/>
        </w:rPr>
        <w:t>مِن البَدَنِ منها، و ما الذي يَبقىٰ فيه‌؟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مُستَقَرُّه مِن البَدَنِ؟ و هَل هو في العالَم سَواءٌ‌، أو يَتَفاضَلُ الناسُ فيه‌؟ و هَل الأنبياءُ و الأئمّةُ عليهم السلامُ لهم علينا مَزيّةٌ فيه، أو نحنُ و هم فيه سَواءٌ؟</w:t>
      </w:r>
    </w:p>
    <w:p>
      <w:pPr>
        <w:pStyle w:val="BookText"/>
        <w:rPr/>
      </w:pPr>
      <w:r>
        <w:rPr>
          <w:rFonts w:ascii="Amiri" w:hAnsi="Amiri" w:eastAsia="Amiri" w:cs="Amiri"/>
          <w:color w:val="111111"/>
          <w:sz w:val="28"/>
          <w:sz w:val="28"/>
          <w:szCs w:val="28"/>
          <w:rtl w:val="true"/>
          <w:lang w:bidi="ar-SA"/>
        </w:rPr>
        <w:t>فإن كانَ‌</w:t>
      </w:r>
      <w:r>
        <w:rPr>
          <w:rStyle w:val="FootnoteAnchor"/>
          <w:rtl w:val="true"/>
        </w:rPr>
        <w:footnoteReference w:id="1756"/>
      </w:r>
      <w:r>
        <w:rPr>
          <w:rFonts w:ascii="Amiri" w:hAnsi="Amiri" w:eastAsia="Amiri" w:cs="Amiri"/>
          <w:color w:val="111111"/>
          <w:sz w:val="28"/>
          <w:sz w:val="28"/>
          <w:szCs w:val="28"/>
          <w:rtl w:val="true"/>
          <w:lang w:bidi="ar-SA"/>
        </w:rPr>
        <w:t>اكتسابَ علومٍ فلا بُدَّ مِن أصلٍ‌؛ أيَّما أعني</w:t>
      </w:r>
      <w:r>
        <w:rPr>
          <w:rStyle w:val="FootnoteAnchor"/>
          <w:rtl w:val="true"/>
        </w:rPr>
        <w:footnoteReference w:id="1757"/>
      </w:r>
      <w:r>
        <w:rPr>
          <w:rFonts w:ascii="Amiri" w:hAnsi="Amiri" w:eastAsia="Amiri" w:cs="Amiri"/>
          <w:color w:val="111111"/>
          <w:sz w:val="28"/>
          <w:sz w:val="28"/>
          <w:szCs w:val="28"/>
          <w:rtl w:val="true"/>
          <w:lang w:bidi="ar-SA"/>
        </w:rPr>
        <w:t>بذلكَ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يَكبُرُ مع الصبيِّ كُلَّما كَبُرَ، أو الذي يَكسِبُه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كَم</w:t>
      </w:r>
      <w:r>
        <w:rPr>
          <w:rStyle w:val="FootnoteAnchor"/>
          <w:rtl w:val="true"/>
        </w:rPr>
        <w:footnoteReference w:id="1758"/>
      </w:r>
      <w:r>
        <w:rPr>
          <w:rFonts w:ascii="Amiri" w:hAnsi="Amiri" w:eastAsia="Amiri" w:cs="Amiri"/>
          <w:color w:val="111111"/>
          <w:sz w:val="28"/>
          <w:sz w:val="28"/>
          <w:szCs w:val="28"/>
          <w:rtl w:val="true"/>
          <w:lang w:bidi="ar-SA"/>
        </w:rPr>
        <w:t>روحاً</w:t>
      </w:r>
      <w:r>
        <w:rPr>
          <w:rStyle w:val="FootnoteAnchor"/>
          <w:rtl w:val="true"/>
        </w:rPr>
        <w:footnoteReference w:id="17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مُستَقَرُّها؟</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و أينَ مُستَقَرُّ العقلِ منها</w:t>
      </w:r>
      <w:r>
        <w:rPr>
          <w:rStyle w:val="FootnoteAnchor"/>
          <w:rtl w:val="true"/>
        </w:rPr>
        <w:footnoteReference w:id="1761"/>
      </w:r>
      <w:r>
        <w:rPr>
          <w:rFonts w:ascii="Amiri" w:hAnsi="Amiri" w:eastAsia="Amiri" w:cs="Amiri"/>
          <w:color w:val="111111"/>
          <w:sz w:val="28"/>
          <w:sz w:val="28"/>
          <w:szCs w:val="28"/>
          <w:rtl w:val="true"/>
          <w:lang w:bidi="ar-SA"/>
        </w:rPr>
        <w:t xml:space="preserve">؟ و هل هو داخلٌ فيها، أو خارجٌ عنها؟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الكَعبةَ معلومٌ أنّها قِبلتُنا؛ و أمّا كَونُها قِبلةَ مَن تَقدَّمَنا فغَيرُ معلومٍ‌، و هو 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الحاجِّ للحَجَرِ، فإنّا تُعُبِّدنا بذلكَ أن نَقولَ هذا اللفظَ عندَ الحَجَرِ؛ و كَيفَ يَجوزُ أن يَسمَعَ الحَجَرُ، و السمعُ يَفتَقِرُ إلىٰ كَونِه حَيّاً، و معلومٌ أنّه جَمادٌ؟</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الميثاقُ له أصلٌ؟</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فحوشِيَ أن يأخُذَ الميثاقَ علىٰ غيرِ 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كلامُ مَن يَعتَقِدُ أنّ الميثاقَ المَعنيَّ‌</w:t>
      </w:r>
      <w:r>
        <w:rPr>
          <w:rStyle w:val="FootnoteAnchor"/>
          <w:rtl w:val="true"/>
        </w:rPr>
        <w:footnoteReference w:id="1764"/>
      </w:r>
      <w:r>
        <w:rPr>
          <w:rFonts w:ascii="Amiri" w:hAnsi="Amiri" w:eastAsia="Amiri" w:cs="Amiri"/>
          <w:color w:val="111111"/>
          <w:sz w:val="28"/>
          <w:sz w:val="28"/>
          <w:szCs w:val="28"/>
          <w:rtl w:val="true"/>
          <w:lang w:bidi="ar-SA"/>
        </w:rPr>
        <w:t>هُنا</w:t>
      </w:r>
      <w:r>
        <w:rPr>
          <w:rStyle w:val="FootnoteAnchor"/>
          <w:rtl w:val="true"/>
        </w:rPr>
        <w:footnoteReference w:id="1765"/>
      </w:r>
      <w:r>
        <w:rPr>
          <w:rFonts w:ascii="IRNazanin" w:hAnsi="IRNazanin" w:eastAsia="IRNazanin"/>
          <w:color w:val="111111"/>
          <w:sz w:val="28"/>
          <w:sz w:val="28"/>
          <w:szCs w:val="28"/>
          <w:rtl w:val="true"/>
          <w:lang w:bidi="fa-IR"/>
        </w:rPr>
        <w:t>هو</w:t>
      </w:r>
      <w:r>
        <w:rPr>
          <w:rStyle w:val="FootnoteAnchor"/>
          <w:rtl w:val="true"/>
        </w:rPr>
        <w:footnoteReference w:id="1766"/>
      </w:r>
      <w:r>
        <w:rPr>
          <w:rFonts w:ascii="Amiri" w:hAnsi="Amiri" w:eastAsia="Amiri" w:cs="Amiri"/>
          <w:color w:val="111111"/>
          <w:sz w:val="28"/>
          <w:sz w:val="28"/>
          <w:szCs w:val="28"/>
          <w:rtl w:val="true"/>
          <w:lang w:bidi="ar-SA"/>
        </w:rPr>
        <w:t>ميثاقُ الذَّرِّ،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نعنيه</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الأمرُ كذلكَ‌؛ لأنّ الميثاقَ الذي نَعنيهِ‌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Style w:val="FootnoteAnchor"/>
          <w:rtl w:val="true"/>
        </w:rPr>
        <w:footnoteReference w:id="1769"/>
      </w:r>
      <w:r>
        <w:rPr>
          <w:rFonts w:ascii="Amiri" w:hAnsi="Amiri" w:eastAsia="Amiri" w:cs="Amiri"/>
          <w:color w:val="111111"/>
          <w:sz w:val="28"/>
          <w:sz w:val="28"/>
          <w:szCs w:val="28"/>
          <w:rtl w:val="true"/>
          <w:lang w:bidi="ar-SA"/>
        </w:rPr>
        <w:t>هو الميثاقُ الذي أخَذَه اللّٰهُ تَعالىٰ علينا بالحَجِّ علىٰ لسانِ نبيِّه صَلَّى اللّٰهُ عليه و آلِه؛ و إذا كانَ كذلكَ‌، فلا مَسألةَ‌</w:t>
      </w:r>
      <w:r>
        <w:rPr>
          <w:rStyle w:val="FootnoteAnchor"/>
          <w:rtl w:val="true"/>
        </w:rPr>
        <w:footnoteReference w:id="1770"/>
      </w:r>
      <w:r>
        <w:rPr>
          <w:rFonts w:ascii="Amiri" w:hAnsi="Amiri" w:eastAsia="Amiri" w:cs="Amiri"/>
          <w:color w:val="111111"/>
          <w:sz w:val="28"/>
          <w:sz w:val="28"/>
          <w:szCs w:val="28"/>
          <w:rtl w:val="true"/>
          <w:lang w:bidi="ar-SA"/>
        </w:rPr>
        <w:t>علينا إلّافي خِطابِه للحَجَرِ،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عبادةٌ مِن اللّٰهِ تَعالىٰ لنا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يُقوّي مَذهَبَ‌</w:t>
      </w:r>
      <w:r>
        <w:rPr>
          <w:rStyle w:val="FootnoteAnchor"/>
          <w:rtl w:val="true"/>
        </w:rPr>
        <w:footnoteReference w:id="1771"/>
      </w:r>
      <w:r>
        <w:rPr>
          <w:rFonts w:ascii="Amiri" w:hAnsi="Amiri" w:eastAsia="Amiri" w:cs="Amiri"/>
          <w:color w:val="111111"/>
          <w:sz w:val="28"/>
          <w:sz w:val="28"/>
          <w:szCs w:val="28"/>
          <w:rtl w:val="true"/>
          <w:lang w:bidi="ar-SA"/>
        </w:rPr>
        <w:t>أهلِ 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بيّنّا في مَواضِعَ مِن كلامِنا و كلامِ شُيوخِنا بُطلانَ التناسُخِ‌، بأدلّةٍ لا يُمكِنُ دخولُ الشُّبهةِ عليها، فكَيفَ يُرجَعُ عنها</w:t>
      </w:r>
      <w:r>
        <w:rPr>
          <w:rStyle w:val="FootnoteAnchor"/>
          <w:rtl w:val="true"/>
        </w:rPr>
        <w:footnoteReference w:id="1772"/>
      </w:r>
      <w:r>
        <w:rPr>
          <w:rFonts w:ascii="Amiri" w:hAnsi="Amiri" w:eastAsia="Amiri" w:cs="Amiri"/>
          <w:color w:val="111111"/>
          <w:sz w:val="28"/>
          <w:sz w:val="28"/>
          <w:szCs w:val="28"/>
          <w:rtl w:val="true"/>
          <w:lang w:bidi="ar-SA"/>
        </w:rPr>
        <w:t>بمِثلِ ذلكَ؟</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مخلوقةٌ قَبلَ الأبدانِ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جُملةِ الدَّعاوَى الباطلةِ التي يَفتَقِرونَ في تصحيحِها إلَى الأدلّةِ الظاهرةِ‌، 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فقَد دَلَّلنا علىٰ حُدوثِ الأجسامِ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كانَت</w:t>
      </w:r>
      <w:r>
        <w:rPr>
          <w:rStyle w:val="FootnoteAnchor"/>
          <w:rtl w:val="true"/>
        </w:rPr>
        <w:footnoteReference w:id="1773"/>
      </w:r>
      <w:r>
        <w:rPr>
          <w:rFonts w:ascii="Amiri" w:hAnsi="Amiri" w:eastAsia="Amiri" w:cs="Amiri"/>
          <w:color w:val="111111"/>
          <w:sz w:val="28"/>
          <w:sz w:val="28"/>
          <w:szCs w:val="28"/>
          <w:rtl w:val="true"/>
          <w:lang w:bidi="ar-SA"/>
        </w:rPr>
        <w:t xml:space="preserve">أو غيرَ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دَلَّلنا علىٰ حاجتِها إلىٰ مُحدِثٍ‌؛ في مَواضِعَ‌</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و عُمدةُ كلامِهم علىٰ أنّ الروحَ نفسَها حَيّةٌ‌، و الحَيُّ عندَنا هو الجسمُ الذي الروحُ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مَبنيّةٌ علىٰ معرفةِ الإنسانِ الحَيِّ الفَعّالِ‌، مَن هو؟</w:t>
      </w:r>
      <w:r>
        <w:rPr>
          <w:rStyle w:val="FootnoteAnchor"/>
          <w:rtl w:val="true"/>
        </w:rPr>
        <w:footnoteReference w:id="1775"/>
      </w:r>
      <w:r>
        <w:rPr>
          <w:rFonts w:ascii="Amiri" w:hAnsi="Amiri" w:eastAsia="Amiri" w:cs="Amiri"/>
          <w:color w:val="111111"/>
          <w:sz w:val="28"/>
          <w:sz w:val="28"/>
          <w:szCs w:val="28"/>
          <w:rtl w:val="true"/>
          <w:lang w:bidi="ar-SA"/>
        </w:rPr>
        <w:t>فإذا عُرِفَ سَقَطَ كلامُهم و ثَبَتَ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يُسلِّمُ لهم أنّ الأرواحَ قديمةٌ‌، و الأرواحُ عندَنا مِن جُملةِ‌</w:t>
      </w:r>
      <w:r>
        <w:rPr>
          <w:rStyle w:val="FootnoteAnchor"/>
          <w:rtl w:val="true"/>
        </w:rPr>
        <w:footnoteReference w:id="1776"/>
      </w:r>
      <w:r>
        <w:rPr>
          <w:rFonts w:ascii="Amiri" w:hAnsi="Amiri" w:eastAsia="Amiri" w:cs="Amiri"/>
          <w:color w:val="111111"/>
          <w:sz w:val="28"/>
          <w:sz w:val="28"/>
          <w:szCs w:val="28"/>
          <w:rtl w:val="true"/>
          <w:lang w:bidi="ar-SA"/>
        </w:rPr>
        <w:t>الأجسامِ‌، و قد دَلَّلنا علىٰ حُدوثِها؟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الأرواحُ إذا فارَقَت الأبدانَ‌، هل تُحِسُّ؟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يُحِسُّ هو الحَيُّ‌، و الحَيُّ هو الذي تَحُلُّه الحياةُ‌، و هو الجُملةُ التي تُدرِكُ المُدرَكاتِ‌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الأرواحُ إذا انفَرَدَت لا يَكونُ لها هذا الحُكمُ‌</w:t>
      </w:r>
      <w:r>
        <w:rPr>
          <w:rStyle w:val="FootnoteAnchor"/>
          <w:rtl w:val="true"/>
        </w:rPr>
        <w:footnoteReference w:id="1777"/>
      </w:r>
      <w:r>
        <w:rPr>
          <w:rFonts w:ascii="Amiri" w:hAnsi="Amiri" w:eastAsia="Amiri" w:cs="Amiri"/>
          <w:color w:val="111111"/>
          <w:sz w:val="28"/>
          <w:sz w:val="28"/>
          <w:szCs w:val="28"/>
          <w:rtl w:val="true"/>
          <w:lang w:bidi="ar-SA"/>
        </w:rPr>
        <w:t xml:space="preserve">، لَم </w:t>
      </w:r>
    </w:p>
    <w:p>
      <w:pPr>
        <w:pStyle w:val="BookText"/>
        <w:rPr/>
      </w:pPr>
      <w:r>
        <w:rPr>
          <w:rFonts w:ascii="Amiri" w:hAnsi="Amiri" w:eastAsia="Amiri" w:cs="Amiri"/>
          <w:color w:val="111111"/>
          <w:sz w:val="28"/>
          <w:sz w:val="28"/>
          <w:szCs w:val="28"/>
          <w:rtl w:val="true"/>
          <w:lang w:bidi="ar-SA"/>
        </w:rPr>
        <w:t>يَجُز أن تُحِسَّ‌؛ لأنّ الحِسَّ عبارةٌ عن الإدراكِ‌</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الحِسابُ عليها، أو علَى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فالحسابُ‌</w:t>
      </w:r>
      <w:r>
        <w:rPr>
          <w:rStyle w:val="FootnoteAnchor"/>
          <w:rtl w:val="true"/>
        </w:rPr>
        <w:footnoteReference w:id="1779"/>
      </w:r>
      <w:r>
        <w:rPr>
          <w:rFonts w:ascii="Amiri" w:hAnsi="Amiri" w:eastAsia="Amiri" w:cs="Amiri"/>
          <w:color w:val="111111"/>
          <w:sz w:val="28"/>
          <w:sz w:val="28"/>
          <w:szCs w:val="28"/>
          <w:rtl w:val="true"/>
          <w:lang w:bidi="ar-SA"/>
        </w:rPr>
        <w:t>علَى الحَيِّ المُكلَّفِ المأمورِ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الأرواحُ لا تَقومُ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w:t>
      </w:r>
      <w:r>
        <w:rPr>
          <w:rStyle w:val="FootnoteAnchor"/>
          <w:rtl w:val="true"/>
        </w:rPr>
        <w:footnoteReference w:id="1780"/>
      </w:r>
      <w:r>
        <w:rPr>
          <w:rFonts w:ascii="Amiri" w:hAnsi="Amiri" w:eastAsia="Amiri" w:cs="Amiri"/>
          <w:color w:val="111111"/>
          <w:sz w:val="28"/>
          <w:sz w:val="28"/>
          <w:szCs w:val="28"/>
          <w:rtl w:val="true"/>
          <w:lang w:bidi="ar-SA"/>
        </w:rPr>
        <w:t xml:space="preserve">كونِها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تابِعةٌ‌، فالحِسابُ علىٰ مَن هي تابعةٌ له، 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w:t>
      </w:r>
      <w:r>
        <w:rPr>
          <w:rStyle w:val="FootnoteAnchor"/>
          <w:rtl w:val="true"/>
        </w:rPr>
        <w:footnoteReference w:id="1781"/>
      </w:r>
      <w:r>
        <w:rPr>
          <w:rFonts w:ascii="Amiri" w:hAnsi="Amiri" w:eastAsia="Amiri" w:cs="Amiri"/>
          <w:color w:val="111111"/>
          <w:sz w:val="28"/>
          <w:sz w:val="28"/>
          <w:szCs w:val="28"/>
          <w:rtl w:val="true"/>
          <w:lang w:bidi="ar-SA"/>
        </w:rPr>
        <w:t xml:space="preserve">نامَ الإنسانُ‌، ما الذي يُعدَمُ مِن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الذي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فالروحُ عندَنا عبارةٌ عن الهَواءِ المُتردِّدِ في مَخارِقِ الحَيِّ‌، و هذا الهَواءُ الحالُّ في حالتَي النومِ و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العقلُ‌؛ أينَ مُستَقَرُّه‌؟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فمُستَقَرُّه القَلبُ‌، و قد ذَكَرنا ذلكَ في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فيه سَواءٌ لا يَتَفاضَلونَ‌، و لا مَزيّةَ للأنبياءِ عليهم السلامُ علينا فيه، و إنّما المَزيّةُ في علومٍ أُخَرَ</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يَكبُرُ مع الصَّبيِّ؟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فِعلِ اللّٰهِ تَعالىٰ‌، و هو مجموعُ عُلومٍ‌</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و بَينَ‌</w:t>
      </w:r>
      <w:r>
        <w:rPr>
          <w:rStyle w:val="FootnoteAnchor"/>
          <w:rtl w:val="true"/>
        </w:rPr>
        <w:footnoteReference w:id="1784"/>
      </w:r>
      <w:r>
        <w:rPr>
          <w:rFonts w:ascii="Amiri" w:hAnsi="Amiri" w:eastAsia="Amiri" w:cs="Amiri"/>
          <w:color w:val="111111"/>
          <w:sz w:val="28"/>
          <w:sz w:val="28"/>
          <w:szCs w:val="28"/>
          <w:rtl w:val="true"/>
          <w:lang w:bidi="ar-SA"/>
        </w:rPr>
        <w:t>الناسِ فيه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يَكونُ فيمن لَيسَ بعاقلٍ بعضُه</w:t>
      </w:r>
      <w:r>
        <w:rPr>
          <w:rStyle w:val="FootnoteAnchor"/>
          <w:rtl w:val="true"/>
        </w:rPr>
        <w:footnoteReference w:id="1785"/>
      </w:r>
      <w:r>
        <w:rPr>
          <w:rFonts w:ascii="Amiri" w:hAnsi="Amiri" w:eastAsia="Amiri" w:cs="Amiri"/>
          <w:color w:val="111111"/>
          <w:sz w:val="28"/>
          <w:sz w:val="28"/>
          <w:szCs w:val="28"/>
          <w:rtl w:val="true"/>
          <w:lang w:bidi="ar-SA"/>
        </w:rPr>
        <w:t>، أم لا؟ و الصحيحُ‌</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يَفعَلُه مَتىٰ شاءَ أن</w:t>
      </w:r>
      <w:r>
        <w:rPr>
          <w:rStyle w:val="FootnoteAnchor"/>
          <w:rtl w:val="true"/>
        </w:rPr>
        <w:footnoteReference w:id="1787"/>
      </w:r>
      <w:r>
        <w:rPr>
          <w:rFonts w:ascii="Amiri" w:hAnsi="Amiri" w:eastAsia="Amiri" w:cs="Amiri"/>
          <w:color w:val="111111"/>
          <w:sz w:val="28"/>
          <w:sz w:val="28"/>
          <w:szCs w:val="28"/>
          <w:rtl w:val="true"/>
          <w:lang w:bidi="ar-SA"/>
        </w:rPr>
        <w:t>يَفعَلَه؛ صَغيراً كانَ مَن يَفعَلُه فيه، أو كَبيراً؛ لأنّه يَتعلَّقُ به باختيارِه تَعالىٰ مَتَى اختارَ</w:t>
      </w:r>
      <w:r>
        <w:rPr>
          <w:rStyle w:val="FootnoteAnchor"/>
          <w:rtl w:val="true"/>
        </w:rPr>
        <w:footnoteReference w:id="1788"/>
      </w:r>
      <w:r>
        <w:rPr>
          <w:rFonts w:ascii="Amiri" w:hAnsi="Amiri" w:eastAsia="Amiri" w:cs="Amiri"/>
          <w:color w:val="111111"/>
          <w:sz w:val="28"/>
          <w:sz w:val="28"/>
          <w:szCs w:val="28"/>
          <w:rtl w:val="true"/>
          <w:lang w:bidi="ar-SA"/>
        </w:rPr>
        <w:t>أن يَفعَلَه فَعَلَه، و قد فَعَلَه لعيسىٰ عليه السلامُ في المَهدِ و لغَيرِه مِن أئمّتِنا عليهم السلامُ‌</w:t>
      </w:r>
      <w:r>
        <w:rPr>
          <w:rStyle w:val="FootnoteAnchor"/>
          <w:rtl w:val="true"/>
        </w:rPr>
        <w:footnoteReference w:id="1789"/>
      </w:r>
      <w:r>
        <w:rPr>
          <w:rFonts w:ascii="Amiri" w:hAnsi="Amiri" w:eastAsia="Amiri" w:cs="Amiri"/>
          <w:color w:val="111111"/>
          <w:sz w:val="28"/>
          <w:sz w:val="28"/>
          <w:szCs w:val="28"/>
          <w:rtl w:val="true"/>
          <w:lang w:bidi="ar-SA"/>
        </w:rPr>
        <w:t>و هُم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الروحُ في الإنسانِ كَم</w:t>
      </w:r>
      <w:r>
        <w:rPr>
          <w:rStyle w:val="FootnoteAnchor"/>
          <w:rtl w:val="true"/>
        </w:rPr>
        <w:footnoteReference w:id="1790"/>
      </w:r>
      <w:r>
        <w:rPr>
          <w:rFonts w:ascii="Amiri" w:hAnsi="Amiri" w:eastAsia="Amiri" w:cs="Amiri"/>
          <w:color w:val="111111"/>
          <w:sz w:val="28"/>
          <w:sz w:val="28"/>
          <w:szCs w:val="28"/>
          <w:rtl w:val="true"/>
          <w:lang w:bidi="ar-SA"/>
        </w:rPr>
        <w:t>روحاً</w:t>
      </w:r>
      <w:r>
        <w:rPr>
          <w:rStyle w:val="FootnoteAnchor"/>
          <w:rtl w:val="true"/>
        </w:rPr>
        <w:footnoteReference w:id="17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w:t>
      </w:r>
      <w:r>
        <w:rPr>
          <w:rStyle w:val="FootnoteAnchor"/>
          <w:rtl w:val="true"/>
        </w:rPr>
        <w:footnoteReference w:id="1792"/>
      </w:r>
      <w:r>
        <w:rPr>
          <w:rFonts w:ascii="Amiri" w:hAnsi="Amiri" w:eastAsia="Amiri" w:cs="Amiri"/>
          <w:color w:val="111111"/>
          <w:sz w:val="28"/>
          <w:sz w:val="28"/>
          <w:szCs w:val="28"/>
          <w:rtl w:val="true"/>
          <w:lang w:bidi="ar-SA"/>
        </w:rPr>
        <w:t>روحٌ واحدةٌ‌،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Style w:val="FootnoteAnchor"/>
          <w:rtl w:val="true"/>
        </w:rPr>
        <w:footnoteReference w:id="1793"/>
      </w:r>
      <w:r>
        <w:rPr>
          <w:rFonts w:ascii="Amiri" w:hAnsi="Amiri" w:eastAsia="Amiri" w:cs="Amiri"/>
          <w:color w:val="111111"/>
          <w:sz w:val="28"/>
          <w:sz w:val="28"/>
          <w:szCs w:val="28"/>
          <w:rtl w:val="true"/>
          <w:lang w:bidi="ar-SA"/>
        </w:rPr>
        <w:t>عبارةٌ عن الهَواءِ المُتردِّدِ في مَخارِقِ الحَيِّ‌، و إذا لَم يَكُن في مَخارِقِ‌</w:t>
      </w:r>
      <w:r>
        <w:rPr>
          <w:rStyle w:val="FootnoteAnchor"/>
          <w:rtl w:val="true"/>
        </w:rPr>
        <w:footnoteReference w:id="1794"/>
      </w:r>
      <w:r>
        <w:rPr>
          <w:rFonts w:ascii="Amiri" w:hAnsi="Amiri" w:eastAsia="Amiri" w:cs="Amiri"/>
          <w:color w:val="111111"/>
          <w:sz w:val="28"/>
          <w:sz w:val="28"/>
          <w:szCs w:val="28"/>
          <w:rtl w:val="true"/>
          <w:lang w:bidi="ar-SA"/>
        </w:rPr>
        <w:t>حَيٍّ فهو هَواءٌ لا روحٌ‌</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 مُستَقَرُّها؟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w:t>
      </w:r>
      <w:r>
        <w:rPr>
          <w:rStyle w:val="FootnoteAnchor"/>
          <w:rtl w:val="true"/>
        </w:rPr>
        <w:footnoteReference w:id="1796"/>
      </w:r>
      <w:r>
        <w:rPr>
          <w:rFonts w:ascii="Amiri" w:hAnsi="Amiri" w:eastAsia="Amiri" w:cs="Amiri"/>
          <w:color w:val="111111"/>
          <w:sz w:val="28"/>
          <w:sz w:val="28"/>
          <w:szCs w:val="28"/>
          <w:rtl w:val="true"/>
          <w:lang w:bidi="ar-SA"/>
        </w:rPr>
        <w:t>مُستَقَرُّ العقلِ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الروحُ هي العاقلةَ‌، فتَكونَ‌</w:t>
      </w:r>
      <w:r>
        <w:rPr>
          <w:rStyle w:val="FootnoteAnchor"/>
          <w:rtl w:val="true"/>
        </w:rPr>
        <w:footnoteReference w:id="1797"/>
      </w:r>
      <w:r>
        <w:rPr>
          <w:rFonts w:ascii="Amiri" w:hAnsi="Amiri" w:eastAsia="Amiri" w:cs="Amiri"/>
          <w:color w:val="111111"/>
          <w:sz w:val="28"/>
          <w:sz w:val="28"/>
          <w:szCs w:val="28"/>
          <w:rtl w:val="true"/>
          <w:lang w:bidi="ar-SA"/>
        </w:rPr>
        <w:t>الروحُ داخلةً في العقلِ و لا العقلُ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الإنسانُ‌؛ مَن هو؟</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المسألةُ أصلٌ لجميعِ هذه المَسائلِ‌، و هي مَسألةٌ طويلةٌ لا يَحتَمِلُها هذا المَوضِعُ‌،</w:t>
      </w:r>
      <w:r>
        <w:rPr>
          <w:rStyle w:val="FootnoteAnchor"/>
          <w:rtl w:val="true"/>
        </w:rPr>
        <w:footnoteReference w:id="1798"/>
      </w:r>
      <w:r>
        <w:rPr>
          <w:rFonts w:ascii="Amiri" w:hAnsi="Amiri" w:eastAsia="Amiri" w:cs="Amiri"/>
          <w:color w:val="111111"/>
          <w:sz w:val="28"/>
          <w:sz w:val="28"/>
          <w:szCs w:val="28"/>
          <w:rtl w:val="true"/>
          <w:lang w:bidi="ar-SA"/>
        </w:rPr>
        <w:t>و قد أشَرنا إلىٰ بعضِها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bookmarkStart w:id="359" w:name="pg16415_223968"/>
    </w:p>
    <w:p>
      <w:pPr>
        <w:pStyle w:val="Heading6"/>
        <w:numPr>
          <w:ilvl w:val="5"/>
          <w:numId w:val="1"/>
        </w:numPr>
        <w:rPr/>
      </w:pPr>
      <w:bookmarkStart w:id="360" w:name="__RefHeading___Toc7642474_1280447820"/>
      <w:bookmarkStart w:id="361" w:name="_Toc124"/>
      <w:bookmarkEnd w:id="359"/>
      <w:bookmarkEnd w:id="360"/>
      <w:r>
        <w:rPr>
          <w:rtl w:val="true"/>
        </w:rPr>
        <w:t>المسألةُ الثانيةُ و العِشرونَ أوّلُ ما خَلَقَ اللّٰهُ تعالىٰ‌</w:t>
      </w:r>
      <w:bookmarkEnd w:id="361"/>
    </w:p>
    <w:p>
      <w:pPr>
        <w:pStyle w:val="BookText"/>
        <w:rPr/>
      </w:pPr>
      <w:r>
        <w:rPr>
          <w:rFonts w:ascii="Amiri" w:hAnsi="Amiri" w:eastAsia="Amiri" w:cs="Amiri"/>
          <w:color w:val="111111"/>
          <w:sz w:val="28"/>
          <w:sz w:val="28"/>
          <w:szCs w:val="28"/>
          <w:rtl w:val="true"/>
          <w:lang w:bidi="ar-SA"/>
        </w:rPr>
        <w:t>إذا كانَ القَديمُ تَعالىٰ قَديماً فيما لَم يَزَلْ‌، فكَيفَ يُقطَعُ عليه أنّ بِنيَةَ‌</w:t>
      </w:r>
      <w:r>
        <w:rPr>
          <w:rStyle w:val="FootnoteAnchor"/>
          <w:rtl w:val="true"/>
        </w:rPr>
        <w:footnoteReference w:id="1800"/>
      </w:r>
      <w:r>
        <w:rPr>
          <w:rFonts w:ascii="Amiri" w:hAnsi="Amiri" w:eastAsia="Amiri" w:cs="Amiri"/>
          <w:color w:val="111111"/>
          <w:sz w:val="28"/>
          <w:sz w:val="28"/>
          <w:szCs w:val="28"/>
          <w:rtl w:val="true"/>
          <w:lang w:bidi="ar-SA"/>
        </w:rPr>
        <w:t>السماواتِ و الأرضِ و ما فيهما أوّلُ و ابتداءُ‌</w:t>
      </w:r>
      <w:r>
        <w:rPr>
          <w:rStyle w:val="FootnoteAnchor"/>
          <w:rtl w:val="true"/>
        </w:rPr>
        <w:footnoteReference w:id="1801"/>
      </w:r>
      <w:r>
        <w:rPr>
          <w:rFonts w:ascii="Amiri" w:hAnsi="Amiri" w:eastAsia="Amiri" w:cs="Amiri"/>
          <w:color w:val="111111"/>
          <w:sz w:val="28"/>
          <w:sz w:val="28"/>
          <w:szCs w:val="28"/>
          <w:rtl w:val="true"/>
          <w:lang w:bidi="ar-SA"/>
        </w:rPr>
        <w:t>خَلقِه‌؟ فهَل الشريعةُ تَقطَعُ بذلكَ أو غيرِه‌؟ توضِحْ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قَديمٌ فيما لَم يَزَلْ‌؛ كَيفَ‌</w:t>
      </w:r>
      <w:r>
        <w:rPr>
          <w:rStyle w:val="FootnoteAnchor"/>
          <w:rtl w:val="true"/>
        </w:rPr>
        <w:footnoteReference w:id="1802"/>
      </w:r>
      <w:r>
        <w:rPr>
          <w:rFonts w:ascii="Amiri" w:hAnsi="Amiri" w:eastAsia="Amiri" w:cs="Amiri"/>
          <w:color w:val="111111"/>
          <w:sz w:val="28"/>
          <w:sz w:val="28"/>
          <w:szCs w:val="28"/>
          <w:rtl w:val="true"/>
          <w:lang w:bidi="ar-SA"/>
        </w:rPr>
        <w:t>يُقطَعُ بذلكَ؟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نَقطَعُ علىٰ أنّ السماواتِ و الأرضَ أوّلُ ما خُلِقَ‌، و ذلكَ مُجوَّزٌ</w:t>
      </w:r>
      <w:r>
        <w:rPr>
          <w:rStyle w:val="FootnoteAnchor"/>
          <w:rtl w:val="true"/>
        </w:rPr>
        <w:footnoteReference w:id="1803"/>
      </w:r>
      <w:r>
        <w:rPr>
          <w:rFonts w:ascii="Amiri" w:hAnsi="Amiri" w:eastAsia="Amiri" w:cs="Amiri"/>
          <w:color w:val="111111"/>
          <w:sz w:val="28"/>
          <w:sz w:val="28"/>
          <w:szCs w:val="28"/>
          <w:rtl w:val="true"/>
          <w:lang w:bidi="ar-SA"/>
        </w:rPr>
        <w:t>، و اللّٰهُ‌</w:t>
      </w:r>
      <w:r>
        <w:rPr>
          <w:rStyle w:val="FootnoteAnchor"/>
          <w:rtl w:val="true"/>
        </w:rPr>
        <w:footnoteReference w:id="1804"/>
      </w:r>
      <w:r>
        <w:rPr>
          <w:rFonts w:ascii="Amiri" w:hAnsi="Amiri" w:eastAsia="Amiri" w:cs="Amiri"/>
          <w:color w:val="111111"/>
          <w:sz w:val="28"/>
          <w:sz w:val="28"/>
          <w:szCs w:val="28"/>
          <w:rtl w:val="true"/>
          <w:lang w:bidi="ar-SA"/>
        </w:rPr>
        <w:t>تَعالىٰ هو العالِمُ بذلكَ‌؛ و لَيسَ في العقلِ و لا في الشرعِ ما يُقطَعُ به علىٰ‌</w:t>
      </w:r>
      <w:r>
        <w:rPr>
          <w:rStyle w:val="FootnoteAnchor"/>
          <w:rtl w:val="true"/>
        </w:rPr>
        <w:footnoteReference w:id="1805"/>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bookmarkStart w:id="362" w:name="pg16415_223969"/>
    </w:p>
    <w:p>
      <w:pPr>
        <w:pStyle w:val="Heading6"/>
        <w:numPr>
          <w:ilvl w:val="5"/>
          <w:numId w:val="1"/>
        </w:numPr>
        <w:rPr/>
      </w:pPr>
      <w:bookmarkStart w:id="363" w:name="__RefHeading___Toc7642476_1280447820"/>
      <w:bookmarkStart w:id="364" w:name="_Toc125"/>
      <w:bookmarkEnd w:id="362"/>
      <w:bookmarkEnd w:id="363"/>
      <w:r>
        <w:rPr>
          <w:rtl w:val="true"/>
        </w:rPr>
        <w:t xml:space="preserve">المسألة الثالثةُ و العِشرونَ في </w:t>
      </w:r>
      <w:r>
        <w:rPr>
          <w:rtl w:val="true"/>
        </w:rPr>
        <w:t>«</w:t>
      </w:r>
      <w:r>
        <w:rPr>
          <w:rtl w:val="true"/>
        </w:rPr>
        <w:t>الفَراغِ‌</w:t>
      </w:r>
      <w:r>
        <w:rPr>
          <w:rtl w:val="true"/>
        </w:rPr>
        <w:t xml:space="preserve">» </w:t>
      </w:r>
      <w:r>
        <w:rPr>
          <w:rtl w:val="true"/>
        </w:rPr>
        <w:t>و نِهايتِه و عِلمِ الباري بها</w:t>
      </w:r>
      <w:bookmarkEnd w:id="364"/>
    </w:p>
    <w:p>
      <w:pPr>
        <w:pStyle w:val="BookText"/>
        <w:rPr/>
      </w:pPr>
      <w:r>
        <w:rPr>
          <w:rFonts w:ascii="Amiri" w:hAnsi="Amiri" w:eastAsia="Amiri" w:cs="Amiri"/>
          <w:color w:val="111111"/>
          <w:sz w:val="28"/>
          <w:sz w:val="28"/>
          <w:szCs w:val="28"/>
          <w:rtl w:val="true"/>
          <w:lang w:bidi="ar-SA"/>
        </w:rPr>
        <w:t>الفَراغُ له نِهايةٌ؟ و القَديمُ تَعالىٰ يَعلَمُ مُنتَهىٰ نِهايتِه‌؟</w:t>
      </w:r>
    </w:p>
    <w:p>
      <w:pPr>
        <w:pStyle w:val="BookText"/>
        <w:rPr/>
      </w:pPr>
      <w:r>
        <w:rPr>
          <w:rFonts w:ascii="Amiri" w:hAnsi="Amiri" w:eastAsia="Amiri" w:cs="Amiri"/>
          <w:color w:val="111111"/>
          <w:sz w:val="28"/>
          <w:sz w:val="28"/>
          <w:szCs w:val="28"/>
          <w:rtl w:val="true"/>
          <w:lang w:bidi="ar-SA"/>
        </w:rPr>
        <w:t>و هذا الفَراغُ‌؛ أيُّ شَيءٍ هو؟</w:t>
      </w:r>
    </w:p>
    <w:p>
      <w:pPr>
        <w:pStyle w:val="BookText"/>
        <w:rPr/>
      </w:pPr>
      <w:r>
        <w:rPr>
          <w:rFonts w:ascii="Amiri" w:hAnsi="Amiri" w:eastAsia="Amiri" w:cs="Amiri"/>
          <w:color w:val="111111"/>
          <w:sz w:val="28"/>
          <w:sz w:val="28"/>
          <w:szCs w:val="28"/>
          <w:rtl w:val="true"/>
          <w:lang w:bidi="ar-SA"/>
        </w:rPr>
        <w:t>و كذلكَ الطبقةُ الثامنةُ‌</w:t>
      </w:r>
      <w:r>
        <w:rPr>
          <w:rStyle w:val="FootnoteAnchor"/>
          <w:rtl w:val="true"/>
        </w:rPr>
        <w:footnoteReference w:id="1806"/>
      </w:r>
      <w:r>
        <w:rPr>
          <w:rFonts w:ascii="Amiri" w:hAnsi="Amiri" w:eastAsia="Amiri" w:cs="Amiri"/>
          <w:color w:val="111111"/>
          <w:sz w:val="28"/>
          <w:sz w:val="28"/>
          <w:szCs w:val="28"/>
          <w:rtl w:val="true"/>
          <w:lang w:bidi="ar-SA"/>
        </w:rPr>
        <w:t>مِن الأرضِ و الثامنةُ مِن السماءِ‌؛ يُقطَعُ‌</w:t>
      </w:r>
      <w:r>
        <w:rPr>
          <w:rStyle w:val="FootnoteAnchor"/>
          <w:rtl w:val="true"/>
        </w:rPr>
        <w:footnoteReference w:id="1807"/>
      </w:r>
      <w:r>
        <w:rPr>
          <w:rFonts w:ascii="Amiri" w:hAnsi="Amiri" w:eastAsia="Amiri" w:cs="Amiri"/>
          <w:color w:val="111111"/>
          <w:sz w:val="28"/>
          <w:sz w:val="28"/>
          <w:szCs w:val="28"/>
          <w:rtl w:val="true"/>
          <w:lang w:bidi="ar-SA"/>
        </w:rPr>
        <w:t>أنّ هُناكَ فَراغاً أم لا؟</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طالَبتُكَ‌</w:t>
      </w:r>
      <w:r>
        <w:rPr>
          <w:rStyle w:val="FootnoteAnchor"/>
          <w:rtl w:val="true"/>
        </w:rPr>
        <w:footnoteReference w:id="1808"/>
      </w:r>
      <w:r>
        <w:rPr>
          <w:rFonts w:ascii="Amiri" w:hAnsi="Amiri" w:eastAsia="Amiri" w:cs="Amiri"/>
          <w:color w:val="111111"/>
          <w:sz w:val="28"/>
          <w:sz w:val="28"/>
          <w:szCs w:val="28"/>
          <w:rtl w:val="true"/>
          <w:lang w:bidi="ar-SA"/>
        </w:rPr>
        <w:t>بما وَراءَ المَلاءِ‌، و هَل القَديمُ تَعالىٰ يَعلَمُ أنّ هُناكَ نِهايةً؟</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طالَبتُكَ‌</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وَراءَ النهايةِ؟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الفَراغَ لا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مُتَناهٍ‌</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علىٰ وجهِ الحقيقةِ‌، و إنّما يوصَفُ بذلكَ مَجازاً و اتّساعاً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الفراغُ‌؛ أيُّ شَيءٍ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جَوهَرٌ و لا عَرَضٌ‌، و لا قَديمٌ و لا مُحدَثٌ‌، و لا هو ذاتٌ‌، و لا معلومٌ كالمعلوماتِ‌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الطبقةُ الثامنةُ‌</w:t>
      </w:r>
      <w:r>
        <w:rPr>
          <w:rStyle w:val="FootnoteAnchor"/>
          <w:rtl w:val="true"/>
        </w:rPr>
        <w:footnoteReference w:id="181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فما نَعرِفُها، و الذي نَطَقَ به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طِبٰاقاً</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ذلكَ‌، فلا طريقَ يُقطَعُ به؛ مِن عقلٍ و لا شَرعٍ‌</w:t>
      </w:r>
      <w:r>
        <w:rPr>
          <w:rFonts w:eastAsia="Amiri" w:cs="Amiri" w:ascii="Amiri" w:hAnsi="Amiri"/>
          <w:color w:val="111111"/>
          <w:sz w:val="28"/>
          <w:szCs w:val="28"/>
          <w:rtl w:val="true"/>
          <w:lang w:bidi="ar-SA"/>
        </w:rPr>
        <w:t xml:space="preserve">. </w:t>
      </w:r>
      <w:bookmarkStart w:id="365" w:name="pg16415_223971"/>
    </w:p>
    <w:p>
      <w:pPr>
        <w:pStyle w:val="Heading6"/>
        <w:numPr>
          <w:ilvl w:val="5"/>
          <w:numId w:val="1"/>
        </w:numPr>
        <w:rPr/>
      </w:pPr>
      <w:bookmarkStart w:id="366" w:name="__RefHeading___Toc7642478_1280447820"/>
      <w:bookmarkStart w:id="367" w:name="_Toc126"/>
      <w:bookmarkEnd w:id="365"/>
      <w:bookmarkEnd w:id="366"/>
      <w:r>
        <w:rPr>
          <w:rtl w:val="true"/>
        </w:rPr>
        <w:t xml:space="preserve">المسألةُ الرابعةُ و العِشرونَ وجودُ </w:t>
      </w:r>
      <w:r>
        <w:rPr>
          <w:rtl w:val="true"/>
        </w:rPr>
        <w:t>«</w:t>
      </w:r>
      <w:r>
        <w:rPr>
          <w:rtl w:val="true"/>
        </w:rPr>
        <w:t>جابَرْقا</w:t>
      </w:r>
      <w:r>
        <w:rPr>
          <w:rtl w:val="true"/>
        </w:rPr>
        <w:t xml:space="preserve">» </w:t>
      </w:r>
      <w:r>
        <w:rPr>
          <w:rtl w:val="true"/>
        </w:rPr>
        <w:t xml:space="preserve">و </w:t>
      </w:r>
      <w:r>
        <w:rPr>
          <w:rtl w:val="true"/>
        </w:rPr>
        <w:t>«</w:t>
      </w:r>
      <w:r>
        <w:rPr>
          <w:rtl w:val="true"/>
        </w:rPr>
        <w:t>جابَرْسا</w:t>
      </w:r>
      <w:r>
        <w:rPr>
          <w:rtl w:val="true"/>
        </w:rPr>
        <w:t xml:space="preserve">» </w:t>
      </w:r>
      <w:r>
        <w:rPr>
          <w:rtl w:val="true"/>
        </w:rPr>
        <w:t>و حُكمُ أهلِها</w:t>
      </w:r>
      <w:bookmarkEnd w:id="367"/>
    </w:p>
    <w:p>
      <w:pPr>
        <w:pStyle w:val="BookText"/>
        <w:rPr/>
      </w:pPr>
      <w:r>
        <w:rPr>
          <w:rFonts w:ascii="Amiri" w:hAnsi="Amiri" w:eastAsia="Amiri" w:cs="Amiri"/>
          <w:color w:val="111111"/>
          <w:sz w:val="28"/>
          <w:sz w:val="28"/>
          <w:szCs w:val="28"/>
          <w:rtl w:val="true"/>
          <w:lang w:bidi="ar-SA"/>
        </w:rPr>
        <w:t>قولُ الحَسَنِ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جابَرْقا و جابَرْسا حُجّةٌ للّٰهِ غيرُنا</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و روي ما هو قريب منه في الفصول المهمّة لابن الصبّاغ،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المصدرَين الأوّلَين أنّ جابَرقا و جابَرسا مدينتان، إحداهما في المشرق و الأُخرىٰ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الرواية مرويّة عن الإمام الحسن عليه السلام يتحدّث فيها عن نفسه و عن أخيه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تحقيقٌ؟ و ما تكليفُهم‌؟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الخبرَ قد وَرَدَ بذلكَ‌، و لا يُقطَعُ عليه بصِحّةٍ و لا بُطلانٍ‌؛ لأنّه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w:t>
      </w:r>
      <w:r>
        <w:rPr>
          <w:rStyle w:val="FootnoteAnchor"/>
          <w:rtl w:val="true"/>
        </w:rPr>
        <w:footnoteReference w:id="1815"/>
      </w:r>
      <w:r>
        <w:rPr>
          <w:rFonts w:ascii="Amiri" w:hAnsi="Amiri" w:eastAsia="Amiri" w:cs="Amiri"/>
          <w:color w:val="111111"/>
          <w:sz w:val="28"/>
          <w:sz w:val="28"/>
          <w:szCs w:val="28"/>
          <w:rtl w:val="true"/>
          <w:lang w:bidi="ar-SA"/>
        </w:rPr>
        <w:t>علىٰ صحّتِه؛ فإن كانَ‌</w:t>
      </w:r>
      <w:r>
        <w:rPr>
          <w:rStyle w:val="FootnoteAnchor"/>
          <w:rtl w:val="true"/>
        </w:rPr>
        <w:footnoteReference w:id="1816"/>
      </w:r>
      <w:r>
        <w:rPr>
          <w:rFonts w:ascii="Amiri" w:hAnsi="Amiri" w:eastAsia="Amiri" w:cs="Amiri"/>
          <w:color w:val="111111"/>
          <w:sz w:val="28"/>
          <w:sz w:val="28"/>
          <w:szCs w:val="28"/>
          <w:rtl w:val="true"/>
          <w:lang w:bidi="ar-SA"/>
        </w:rPr>
        <w:t>قد اتَّصَلَ بِهم خبرُ نبيِّنا عليه السلامُ‌، فهُم مُتعبَّدونَ بما في العقلِ و بِشريعتِه</w:t>
      </w:r>
      <w:r>
        <w:rPr>
          <w:rStyle w:val="FootnoteAnchor"/>
          <w:rtl w:val="true"/>
        </w:rPr>
        <w:footnoteReference w:id="1817"/>
      </w:r>
      <w:r>
        <w:rPr>
          <w:rFonts w:ascii="Amiri" w:hAnsi="Amiri" w:eastAsia="Amiri" w:cs="Amiri"/>
          <w:color w:val="111111"/>
          <w:sz w:val="28"/>
          <w:sz w:val="28"/>
          <w:szCs w:val="28"/>
          <w:rtl w:val="true"/>
          <w:lang w:bidi="ar-SA"/>
        </w:rPr>
        <w:t>، و يَجرون مَجرانا؛ و إن لَم يَكُن قد اتَّصَلَ بِهم خبرُ نبيِّنا عليه السلامُ‌، فهُم مُتعبَّدونَ بما في العقلِ فَقَط</w:t>
      </w:r>
      <w:r>
        <w:rPr>
          <w:rFonts w:eastAsia="Amiri" w:cs="Amiri" w:ascii="Amiri" w:hAnsi="Amiri"/>
          <w:color w:val="111111"/>
          <w:sz w:val="28"/>
          <w:szCs w:val="28"/>
          <w:rtl w:val="true"/>
          <w:lang w:bidi="ar-SA"/>
        </w:rPr>
        <w:t xml:space="preserve">. </w:t>
      </w:r>
      <w:bookmarkStart w:id="368" w:name="pg16415_223972"/>
    </w:p>
    <w:p>
      <w:pPr>
        <w:pStyle w:val="Heading6"/>
        <w:numPr>
          <w:ilvl w:val="5"/>
          <w:numId w:val="1"/>
        </w:numPr>
        <w:rPr/>
      </w:pPr>
      <w:bookmarkStart w:id="369" w:name="__RefHeading___Toc7642480_1280447820"/>
      <w:bookmarkStart w:id="370" w:name="_Toc127"/>
      <w:bookmarkEnd w:id="368"/>
      <w:bookmarkEnd w:id="369"/>
      <w:r>
        <w:rPr>
          <w:rtl w:val="true"/>
        </w:rPr>
        <w:t>المسألةُ الخامسةُ و العِشرونَ حُكمُ الأطفالِ يَومَ القيامةِ‌</w:t>
      </w:r>
      <w:bookmarkEnd w:id="370"/>
    </w:p>
    <w:p>
      <w:pPr>
        <w:pStyle w:val="BookText"/>
        <w:rPr/>
      </w:pPr>
      <w:r>
        <w:rPr>
          <w:rFonts w:ascii="Amiri" w:hAnsi="Amiri" w:eastAsia="Amiri" w:cs="Amiri"/>
          <w:color w:val="111111"/>
          <w:sz w:val="28"/>
          <w:sz w:val="28"/>
          <w:szCs w:val="28"/>
          <w:rtl w:val="true"/>
          <w:lang w:bidi="ar-SA"/>
        </w:rPr>
        <w:t>الأطفالُ ما حُكمُهم يَومَ القيامة، أطفالُ المؤمنينَ و الكافِرينَ‌؛ أعني</w:t>
      </w:r>
      <w:r>
        <w:rPr>
          <w:rStyle w:val="FootnoteAnchor"/>
          <w:rtl w:val="true"/>
        </w:rPr>
        <w:footnoteReference w:id="1818"/>
      </w:r>
      <w:r>
        <w:rPr>
          <w:rFonts w:ascii="Amiri" w:hAnsi="Amiri" w:eastAsia="Amiri" w:cs="Amiri"/>
          <w:color w:val="111111"/>
          <w:sz w:val="28"/>
          <w:sz w:val="28"/>
          <w:szCs w:val="28"/>
          <w:rtl w:val="true"/>
          <w:lang w:bidi="ar-SA"/>
        </w:rPr>
        <w:t>مَن له أربَعونَ يَوماً و ما زادَ عليه‌؟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Style w:val="FootnoteAnchor"/>
          <w:rtl w:val="true"/>
        </w:rPr>
        <w:footnoteReference w:id="1819"/>
      </w:r>
      <w:r>
        <w:rPr>
          <w:rFonts w:ascii="Amiri" w:hAnsi="Amiri" w:eastAsia="Amiri" w:cs="Amiri"/>
          <w:color w:val="111111"/>
          <w:sz w:val="28"/>
          <w:sz w:val="28"/>
          <w:szCs w:val="28"/>
          <w:rtl w:val="true"/>
          <w:lang w:bidi="ar-SA"/>
        </w:rPr>
        <w:t>المَرويَّ أنّ أطفالَ المؤمنينَ‌</w:t>
      </w:r>
      <w:r>
        <w:rPr>
          <w:rStyle w:val="FootnoteAnchor"/>
          <w:rtl w:val="true"/>
        </w:rPr>
        <w:footnoteReference w:id="1820"/>
      </w:r>
      <w:r>
        <w:rPr>
          <w:rFonts w:ascii="Amiri" w:hAnsi="Amiri" w:eastAsia="Amiri" w:cs="Amiri"/>
          <w:color w:val="111111"/>
          <w:sz w:val="28"/>
          <w:sz w:val="28"/>
          <w:szCs w:val="28"/>
          <w:rtl w:val="true"/>
          <w:lang w:bidi="ar-SA"/>
        </w:rPr>
        <w:t>يَدخُلونَ الجَنّةَ تَفضُّلاً عليهم</w:t>
      </w:r>
      <w:r>
        <w:rPr>
          <w:rStyle w:val="FootnoteAnchor"/>
          <w:rtl w:val="true"/>
        </w:rPr>
        <w:footnoteReference w:id="1821"/>
      </w:r>
      <w:r>
        <w:rPr>
          <w:rFonts w:ascii="Amiri" w:hAnsi="Amiri" w:eastAsia="Amiri" w:cs="Amiri"/>
          <w:color w:val="111111"/>
          <w:sz w:val="28"/>
          <w:sz w:val="28"/>
          <w:szCs w:val="28"/>
          <w:rtl w:val="true"/>
          <w:lang w:bidi="ar-SA"/>
        </w:rPr>
        <w:t>، أو لِيَزيدَ</w:t>
      </w:r>
      <w:r>
        <w:rPr>
          <w:rStyle w:val="FootnoteAnchor"/>
          <w:rtl w:val="true"/>
        </w:rPr>
        <w:footnoteReference w:id="1822"/>
      </w:r>
      <w:r>
        <w:rPr>
          <w:rFonts w:ascii="Amiri" w:hAnsi="Amiri" w:eastAsia="Amiri" w:cs="Amiri"/>
          <w:color w:val="111111"/>
          <w:sz w:val="28"/>
          <w:sz w:val="28"/>
          <w:szCs w:val="28"/>
          <w:rtl w:val="true"/>
          <w:lang w:bidi="ar-SA"/>
        </w:rPr>
        <w:t>بذلكَ سُرورُ آبائهم، فيَكونَ مِن جُملةِ ثَوابِ الآباءِ‌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823"/>
      </w:r>
      <w:r>
        <w:rPr>
          <w:rFonts w:ascii="Amiri" w:hAnsi="Amiri" w:eastAsia="Amiri" w:cs="Amiri"/>
          <w:color w:val="111111"/>
          <w:sz w:val="28"/>
          <w:sz w:val="28"/>
          <w:szCs w:val="28"/>
          <w:rtl w:val="true"/>
          <w:lang w:bidi="ar-SA"/>
        </w:rPr>
        <w:t>أولادُ الكُفّارِ، فحُكمُهم حُكمُ غيرِهم ممّن لَيسَ بعاقلٍ في أنّه يُعادُ للعِوَضِ‌</w:t>
      </w:r>
      <w:r>
        <w:rPr>
          <w:rStyle w:val="FootnoteAnchor"/>
          <w:rtl w:val="true"/>
        </w:rPr>
        <w:footnoteReference w:id="1824"/>
      </w:r>
      <w:r>
        <w:rPr>
          <w:rFonts w:ascii="Amiri" w:hAnsi="Amiri" w:eastAsia="Amiri" w:cs="Amiri"/>
          <w:color w:val="111111"/>
          <w:sz w:val="28"/>
          <w:sz w:val="28"/>
          <w:szCs w:val="28"/>
          <w:rtl w:val="true"/>
          <w:lang w:bidi="ar-SA"/>
        </w:rPr>
        <w:t>، ثُمَّ يَصيرُ تُراباً</w:t>
      </w:r>
      <w:r>
        <w:rPr>
          <w:rFonts w:eastAsia="Amiri" w:cs="Amiri" w:ascii="Amiri" w:hAnsi="Amiri"/>
          <w:color w:val="111111"/>
          <w:sz w:val="28"/>
          <w:szCs w:val="28"/>
          <w:rtl w:val="true"/>
          <w:lang w:bidi="ar-SA"/>
        </w:rPr>
        <w:t xml:space="preserve">. </w:t>
      </w:r>
      <w:bookmarkStart w:id="371" w:name="pg16415_223973"/>
    </w:p>
    <w:p>
      <w:pPr>
        <w:pStyle w:val="Heading6"/>
        <w:numPr>
          <w:ilvl w:val="5"/>
          <w:numId w:val="1"/>
        </w:numPr>
        <w:rPr/>
      </w:pPr>
      <w:bookmarkStart w:id="372" w:name="__RefHeading___Toc7642482_1280447820"/>
      <w:bookmarkStart w:id="373" w:name="_Toc128"/>
      <w:bookmarkEnd w:id="371"/>
      <w:bookmarkEnd w:id="372"/>
      <w:r>
        <w:rPr>
          <w:rtl w:val="true"/>
        </w:rPr>
        <w:t>الَمسألةُ السادسةُ و العِشرونَ عِقابُ مَن قاتَلَ إماماً عادلاً</w:t>
      </w:r>
      <w:bookmarkEnd w:id="373"/>
    </w:p>
    <w:p>
      <w:pPr>
        <w:pStyle w:val="BookText"/>
        <w:rPr/>
      </w:pPr>
      <w:r>
        <w:rPr>
          <w:rFonts w:ascii="Amiri" w:hAnsi="Amiri" w:eastAsia="Amiri" w:cs="Amiri"/>
          <w:color w:val="111111"/>
          <w:sz w:val="28"/>
          <w:sz w:val="28"/>
          <w:szCs w:val="28"/>
          <w:rtl w:val="true"/>
          <w:lang w:bidi="ar-SA"/>
        </w:rPr>
        <w:t>مَن قاتَلَ إماماً عادلاً و هو مؤمِنٌ بجميعِ الشريعةِ إلّاخُروجَه علَى الإمامِ‌، و قُتِلَ‌، و لَم تَصِحَّ منه تَوبةٌ‌؛ هَل يَجوزُ أن يُقتَصَّ منه بقَدرِ ظُلمِه للإمامِ‌</w:t>
      </w:r>
      <w:r>
        <w:rPr>
          <w:rStyle w:val="FootnoteAnchor"/>
          <w:rtl w:val="true"/>
        </w:rPr>
        <w:footnoteReference w:id="1825"/>
      </w:r>
      <w:r>
        <w:rPr>
          <w:rFonts w:ascii="Amiri" w:hAnsi="Amiri" w:eastAsia="Amiri" w:cs="Amiri"/>
          <w:color w:val="111111"/>
          <w:sz w:val="28"/>
          <w:sz w:val="28"/>
          <w:szCs w:val="28"/>
          <w:rtl w:val="true"/>
          <w:lang w:bidi="ar-SA"/>
        </w:rPr>
        <w:t>و يَدخُلَ الجَنَّةَ؟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مُقاتَلةُ الإمامِ العادلِ كُفرٌ باللّٰهِ تَعالىٰ‌، و</w:t>
      </w:r>
      <w:r>
        <w:rPr>
          <w:rStyle w:val="FootnoteAnchor"/>
          <w:rtl w:val="true"/>
        </w:rPr>
        <w:footnoteReference w:id="1826"/>
      </w:r>
      <w:r>
        <w:rPr>
          <w:rFonts w:ascii="Amiri" w:hAnsi="Amiri" w:eastAsia="Amiri" w:cs="Amiri"/>
          <w:color w:val="111111"/>
          <w:sz w:val="28"/>
          <w:sz w:val="28"/>
          <w:szCs w:val="28"/>
          <w:rtl w:val="true"/>
          <w:lang w:bidi="ar-SA"/>
        </w:rPr>
        <w:t>عِقابُ فاعلِه عِقابُ الكُفّارِ علىٰ وجهِ الدوامِ‌، و لا يَصِحُّ العفوُ عنه و لا</w:t>
      </w:r>
      <w:r>
        <w:rPr>
          <w:rStyle w:val="FootnoteAnchor"/>
          <w:rtl w:val="true"/>
        </w:rPr>
        <w:footnoteReference w:id="1827"/>
      </w:r>
      <w:r>
        <w:rPr>
          <w:rFonts w:ascii="Amiri" w:hAnsi="Amiri" w:eastAsia="Amiri" w:cs="Amiri"/>
          <w:color w:val="111111"/>
          <w:sz w:val="28"/>
          <w:sz w:val="28"/>
          <w:szCs w:val="28"/>
          <w:rtl w:val="true"/>
          <w:lang w:bidi="ar-SA"/>
        </w:rPr>
        <w:t>الشفاعةُ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عِقابُه إلّابالتوبةِ‌</w:t>
      </w:r>
      <w:r>
        <w:rPr>
          <w:rFonts w:eastAsia="Amiri" w:cs="Amiri" w:ascii="Amiri" w:hAnsi="Amiri"/>
          <w:color w:val="111111"/>
          <w:sz w:val="28"/>
          <w:szCs w:val="28"/>
          <w:rtl w:val="true"/>
          <w:lang w:bidi="ar-SA"/>
        </w:rPr>
        <w:t xml:space="preserve">. </w:t>
      </w:r>
      <w:bookmarkStart w:id="374" w:name="pg16415_223974"/>
    </w:p>
    <w:p>
      <w:pPr>
        <w:pStyle w:val="Heading6"/>
        <w:numPr>
          <w:ilvl w:val="5"/>
          <w:numId w:val="1"/>
        </w:numPr>
        <w:rPr/>
      </w:pPr>
      <w:bookmarkStart w:id="375" w:name="__RefHeading___Toc7642484_1280447820"/>
      <w:bookmarkStart w:id="376" w:name="_Toc129"/>
      <w:bookmarkEnd w:id="374"/>
      <w:bookmarkEnd w:id="375"/>
      <w:r>
        <w:rPr>
          <w:rtl w:val="true"/>
        </w:rPr>
        <w:t>المسألةُ السابعةُ و العِشرونَ حُكمُ المَلائكةِ و الجِنِّ بَعدَ انتهاءِ التكليفِ‌</w:t>
      </w:r>
      <w:bookmarkEnd w:id="376"/>
    </w:p>
    <w:p>
      <w:pPr>
        <w:pStyle w:val="BookText"/>
        <w:rPr/>
      </w:pPr>
      <w:r>
        <w:rPr>
          <w:rFonts w:ascii="Amiri" w:hAnsi="Amiri" w:eastAsia="Amiri" w:cs="Amiri"/>
          <w:color w:val="111111"/>
          <w:sz w:val="28"/>
          <w:sz w:val="28"/>
          <w:szCs w:val="28"/>
          <w:rtl w:val="true"/>
          <w:lang w:bidi="ar-SA"/>
        </w:rPr>
        <w:t>إذا حَصَلَ أهلُ الجَنّةِ في الجَنّةِ‌، ما حُكمُ المَلائكةِ؟ هَل يَكونونَ‌</w:t>
      </w:r>
      <w:r>
        <w:rPr>
          <w:rStyle w:val="FootnoteAnchor"/>
          <w:rtl w:val="true"/>
        </w:rPr>
        <w:footnoteReference w:id="1828"/>
      </w:r>
      <w:r>
        <w:rPr>
          <w:rFonts w:ascii="Amiri" w:hAnsi="Amiri" w:eastAsia="Amiri" w:cs="Amiri"/>
          <w:color w:val="111111"/>
          <w:sz w:val="28"/>
          <w:sz w:val="28"/>
          <w:szCs w:val="28"/>
          <w:rtl w:val="true"/>
          <w:lang w:bidi="ar-SA"/>
        </w:rPr>
        <w:t>في جَنّةِ بَني آدَمَ أو غيرِها؟</w:t>
      </w:r>
    </w:p>
    <w:p>
      <w:pPr>
        <w:pStyle w:val="BookText"/>
        <w:rPr/>
      </w:pPr>
      <w:r>
        <w:rPr>
          <w:rFonts w:ascii="Amiri" w:hAnsi="Amiri" w:eastAsia="Amiri" w:cs="Amiri"/>
          <w:color w:val="111111"/>
          <w:sz w:val="28"/>
          <w:sz w:val="28"/>
          <w:szCs w:val="28"/>
          <w:rtl w:val="true"/>
          <w:lang w:bidi="ar-SA"/>
        </w:rPr>
        <w:t>و هل يَراهُم البَشَرُ؟</w:t>
      </w:r>
    </w:p>
    <w:p>
      <w:pPr>
        <w:pStyle w:val="BookText"/>
        <w:rPr/>
      </w:pPr>
      <w:r>
        <w:rPr>
          <w:rFonts w:ascii="Amiri" w:hAnsi="Amiri" w:eastAsia="Amiri" w:cs="Amiri"/>
          <w:color w:val="111111"/>
          <w:sz w:val="28"/>
          <w:sz w:val="28"/>
          <w:szCs w:val="28"/>
          <w:rtl w:val="true"/>
          <w:lang w:bidi="ar-SA"/>
        </w:rPr>
        <w:t>و هُم يأكُلونَ و يَشرَبون مِثلَ البَشَرِ، أو تهليلٌ و</w:t>
      </w:r>
      <w:r>
        <w:rPr>
          <w:rStyle w:val="FootnoteAnchor"/>
          <w:rtl w:val="true"/>
        </w:rPr>
        <w:footnoteReference w:id="1829"/>
      </w:r>
      <w:r>
        <w:rPr>
          <w:rFonts w:ascii="Amiri" w:hAnsi="Amiri" w:eastAsia="Amiri" w:cs="Amiri"/>
          <w:color w:val="111111"/>
          <w:sz w:val="28"/>
          <w:sz w:val="28"/>
          <w:szCs w:val="28"/>
          <w:rtl w:val="true"/>
          <w:lang w:bidi="ar-SA"/>
        </w:rPr>
        <w:t>تسبيحٌ و تقديسٌ؟</w:t>
      </w:r>
    </w:p>
    <w:p>
      <w:pPr>
        <w:pStyle w:val="BookText"/>
        <w:rPr/>
      </w:pPr>
      <w:r>
        <w:rPr>
          <w:rFonts w:ascii="Amiri" w:hAnsi="Amiri" w:eastAsia="Amiri" w:cs="Amiri"/>
          <w:color w:val="111111"/>
          <w:sz w:val="28"/>
          <w:sz w:val="28"/>
          <w:szCs w:val="28"/>
          <w:rtl w:val="true"/>
          <w:lang w:bidi="ar-SA"/>
        </w:rPr>
        <w:t>و هَل يَسقُطُ عنهم التكليفُ؟</w:t>
      </w:r>
    </w:p>
    <w:p>
      <w:pPr>
        <w:pStyle w:val="BookText"/>
        <w:rPr/>
      </w:pPr>
      <w:r>
        <w:rPr>
          <w:rFonts w:ascii="Amiri" w:hAnsi="Amiri" w:eastAsia="Amiri" w:cs="Amiri"/>
          <w:color w:val="111111"/>
          <w:sz w:val="28"/>
          <w:sz w:val="28"/>
          <w:szCs w:val="28"/>
          <w:rtl w:val="true"/>
          <w:lang w:bidi="ar-SA"/>
        </w:rPr>
        <w:t>و كذلكَ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يَجوزُ أن يَكونوا في الجَنّةِ مع بَني آدَمَ‌، و يَجوزُ أن يَكونوا في جَنّةٍ سِواها؛ فإنّ الجِنانَ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w:t>
      </w:r>
      <w:r>
        <w:rPr>
          <w:rStyle w:val="FootnoteAnchor"/>
          <w:rtl w:val="true"/>
        </w:rPr>
        <w:footnoteReference w:id="1830"/>
      </w:r>
      <w:r>
        <w:rPr>
          <w:rFonts w:ascii="Amiri" w:hAnsi="Amiri" w:eastAsia="Amiri" w:cs="Amiri"/>
          <w:color w:val="111111"/>
          <w:sz w:val="28"/>
          <w:sz w:val="28"/>
          <w:szCs w:val="28"/>
          <w:rtl w:val="true"/>
          <w:lang w:bidi="ar-SA"/>
        </w:rPr>
        <w:t>و جَنّةُ عَدنٍ‌،</w:t>
      </w:r>
      <w:r>
        <w:rPr>
          <w:rStyle w:val="FootnoteAnchor"/>
          <w:rtl w:val="true"/>
        </w:rPr>
        <w:footnoteReference w:id="1831"/>
      </w:r>
      <w:r>
        <w:rPr>
          <w:rFonts w:ascii="Amiri" w:hAnsi="Amiri" w:eastAsia="Amiri" w:cs="Amiri"/>
          <w:color w:val="111111"/>
          <w:sz w:val="28"/>
          <w:sz w:val="28"/>
          <w:szCs w:val="28"/>
          <w:rtl w:val="true"/>
          <w:lang w:bidi="ar-SA"/>
        </w:rPr>
        <w:t>و جَنّةُ المأوىٰ‌،</w:t>
      </w:r>
      <w:r>
        <w:rPr>
          <w:rStyle w:val="FootnoteAnchor"/>
          <w:rtl w:val="true"/>
        </w:rPr>
        <w:footnoteReference w:id="1832"/>
      </w:r>
      <w:r>
        <w:rPr>
          <w:rFonts w:ascii="Amiri" w:hAnsi="Amiri" w:eastAsia="Amiri" w:cs="Amiri"/>
          <w:color w:val="111111"/>
          <w:sz w:val="28"/>
          <w:sz w:val="28"/>
          <w:szCs w:val="28"/>
          <w:rtl w:val="true"/>
          <w:lang w:bidi="ar-SA"/>
        </w:rPr>
        <w:t>و غيرُ ذلكَ ممّا لَم يَذكُرْه اللّٰهُ تَعالىٰ‌</w:t>
      </w:r>
      <w:r>
        <w:rPr>
          <w:rFonts w:eastAsia="Amiri" w:cs="Amiri" w:ascii="Amiri" w:hAnsi="Amiri"/>
          <w:color w:val="111111"/>
          <w:sz w:val="28"/>
          <w:szCs w:val="28"/>
          <w:rtl w:val="true"/>
          <w:lang w:bidi="ar-SA"/>
        </w:rPr>
        <w:t>.</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834"/>
      </w:r>
      <w:r>
        <w:rPr>
          <w:rFonts w:ascii="Amiri" w:hAnsi="Amiri" w:eastAsia="Amiri" w:cs="Amiri"/>
          <w:color w:val="111111"/>
          <w:sz w:val="28"/>
          <w:sz w:val="28"/>
          <w:szCs w:val="28"/>
          <w:rtl w:val="true"/>
          <w:lang w:bidi="ar-SA"/>
        </w:rPr>
        <w:t>رؤيةُ البَشَرِ لهم، فلا تَصِحُّ‌</w:t>
      </w:r>
      <w:r>
        <w:rPr>
          <w:rStyle w:val="FootnoteAnchor"/>
          <w:rtl w:val="true"/>
        </w:rPr>
        <w:footnoteReference w:id="1835"/>
      </w:r>
      <w:r>
        <w:rPr>
          <w:rFonts w:ascii="Amiri" w:hAnsi="Amiri" w:eastAsia="Amiri" w:cs="Amiri"/>
          <w:color w:val="111111"/>
          <w:sz w:val="28"/>
          <w:sz w:val="28"/>
          <w:szCs w:val="28"/>
          <w:rtl w:val="true"/>
          <w:lang w:bidi="ar-SA"/>
        </w:rPr>
        <w:t>إلّاعلىٰ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يُقوّيَ اللّٰهُ تَعالىٰ شُعاعَ بَصَرِ البَشَرِ</w:t>
      </w:r>
      <w:r>
        <w:rPr>
          <w:rStyle w:val="FootnoteAnchor"/>
          <w:rtl w:val="true"/>
        </w:rPr>
        <w:footnoteReference w:id="1836"/>
      </w:r>
      <w:r>
        <w:rPr>
          <w:rFonts w:ascii="Amiri" w:hAnsi="Amiri" w:eastAsia="Amiri" w:cs="Amiri"/>
          <w:color w:val="111111"/>
          <w:sz w:val="28"/>
          <w:sz w:val="28"/>
          <w:szCs w:val="28"/>
          <w:rtl w:val="true"/>
          <w:lang w:bidi="ar-SA"/>
        </w:rPr>
        <w:t>، أو يُكثِّفَ‌</w:t>
      </w:r>
      <w:r>
        <w:rPr>
          <w:rStyle w:val="FootnoteAnchor"/>
          <w:rtl w:val="true"/>
        </w:rPr>
        <w:footnoteReference w:id="1837"/>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838"/>
      </w:r>
      <w:r>
        <w:rPr>
          <w:rFonts w:ascii="Amiri" w:hAnsi="Amiri" w:eastAsia="Amiri" w:cs="Amiri"/>
          <w:color w:val="111111"/>
          <w:sz w:val="28"/>
          <w:sz w:val="28"/>
          <w:szCs w:val="28"/>
          <w:rtl w:val="true"/>
          <w:lang w:bidi="ar-SA"/>
        </w:rPr>
        <w:t>الأكلُ و الشُّربُ فمُجوَّزٌ، و اللّٰهُ تَعالىٰ يُثيبُهم</w:t>
      </w:r>
      <w:r>
        <w:rPr>
          <w:rStyle w:val="FootnoteAnchor"/>
          <w:rtl w:val="true"/>
        </w:rPr>
        <w:footnoteReference w:id="1839"/>
      </w:r>
      <w:r>
        <w:rPr>
          <w:rFonts w:ascii="Amiri" w:hAnsi="Amiri" w:eastAsia="Amiri" w:cs="Amiri"/>
          <w:color w:val="111111"/>
          <w:sz w:val="28"/>
          <w:sz w:val="28"/>
          <w:szCs w:val="28"/>
          <w:rtl w:val="true"/>
          <w:lang w:bidi="ar-SA"/>
        </w:rPr>
        <w:t>بما فيه لَذَّتُهم، فإن جَعَلَ لَذّتَهم في الأكلِ و الشُّربِ جازَ، و إن جَعَلَها في غيرِه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التكليفُ‌، فإنّه يَسقُطُ عنهم؛ لأنّه لا يَصِحُّ أن يَكونوا مُكلَّفينَ مُثابينَ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الجِنِّ يَجري هذا المَجرىٰ‌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سَنَحَ مِن الأجوبةِ لهذه المسائلِ‌، و الحمدُ للّٰهِ رَبِّ العالَمينَ‌</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6415_223977"/>
      <w:bookmarkStart w:id="378" w:name="pg16415_223977"/>
      <w:bookmarkEnd w:id="378"/>
    </w:p>
    <w:p>
      <w:pPr>
        <w:pStyle w:val="Heading4"/>
        <w:numPr>
          <w:ilvl w:val="3"/>
          <w:numId w:val="1"/>
        </w:numPr>
        <w:rPr/>
      </w:pPr>
      <w:bookmarkStart w:id="379" w:name="pg16415_223977"/>
      <w:bookmarkStart w:id="380" w:name="__RefHeading___Toc7642486_1280447820"/>
      <w:bookmarkStart w:id="381" w:name="_Toc130"/>
      <w:bookmarkEnd w:id="379"/>
      <w:bookmarkEnd w:id="380"/>
      <w:r>
        <w:rPr>
          <w:rtl w:val="true"/>
        </w:rPr>
        <w:t>(</w:t>
      </w:r>
      <w:r>
        <w:rPr/>
        <w:t>30</w:t>
      </w:r>
      <w:r>
        <w:rPr>
          <w:rtl w:val="true"/>
        </w:rPr>
        <w:t xml:space="preserve">) </w:t>
      </w:r>
      <w:r>
        <w:rPr>
          <w:rtl w:val="true"/>
        </w:rPr>
        <w:t>مقدِّمة في الأُصول الاعتقاديّة</w:t>
      </w:r>
      <w:bookmarkEnd w:id="38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2" w:name="__RefHeading___Toc7642488_1280447820"/>
      <w:bookmarkStart w:id="383" w:name="_Toc131"/>
      <w:bookmarkEnd w:id="382"/>
      <w:r>
        <w:rPr>
          <w:rtl w:val="true"/>
        </w:rPr>
        <w:t>اشارة</w:t>
      </w:r>
      <w:bookmarkEnd w:id="38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6415_223979"/>
      <w:bookmarkStart w:id="385" w:name="pg16415_223979"/>
      <w:bookmarkEnd w:id="385"/>
    </w:p>
    <w:p>
      <w:pPr>
        <w:pStyle w:val="Heading5"/>
        <w:numPr>
          <w:ilvl w:val="4"/>
          <w:numId w:val="1"/>
        </w:numPr>
        <w:rPr/>
      </w:pPr>
      <w:bookmarkStart w:id="386" w:name="pg16415_223979"/>
      <w:bookmarkStart w:id="387" w:name="__RefHeading___Toc7642490_1280447820"/>
      <w:bookmarkStart w:id="388" w:name="_Toc132"/>
      <w:bookmarkEnd w:id="386"/>
      <w:bookmarkEnd w:id="387"/>
      <w:r>
        <w:rPr>
          <w:rtl w:val="true"/>
        </w:rPr>
        <w:t>مقدّمة التحقيق</w:t>
      </w:r>
      <w:bookmarkEnd w:id="388"/>
    </w:p>
    <w:p>
      <w:pPr>
        <w:pStyle w:val="Heading6"/>
        <w:numPr>
          <w:ilvl w:val="5"/>
          <w:numId w:val="1"/>
        </w:numPr>
        <w:rPr/>
      </w:pPr>
      <w:bookmarkStart w:id="389" w:name="__RefHeading___Toc7642492_1280447820"/>
      <w:bookmarkStart w:id="390" w:name="_Toc133"/>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دأب العلماء و المؤلّفون على إعداد مؤلّفات من أحجام و أنماط مختلفة تتراوح بين المطوّل و المتوسّط و المختصر، حيث يضمّنون في الأوّل الاستدلالات مفصّلة و مناقشات لا آخِر لها، فيما يقتصرون في الثاني على عرض أهمّ الاستدلالات مع ترك المناقشات المطوّلة، و يكتفون في الثالث بذكر الآراء و النظريّات النهائيّة للمؤلّف من دون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فائدة النمط الأوّل و الثاني فواضحة، حيث يُكتبان عادة لأصحاب الاختصاص، و لمن يريد التعمّق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فله فوائد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حفظ مسائل العلم المبحوث عنه؛ فإنّ حفظ عدّة مسائل مختصرة أسهل بكثير من حفظ نصوص 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بعرض سريع لأفكار المؤلّف؛ فإذا كان المؤلّف ذا شخصيّة علميّة مهمّة، فسوف يهتمّ الباحثون بمعرفة أفكاره و آرائه، و النصُّ المختصر أفضل طريقة و أسرعها للتعرّف على تلك الأفكار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شرحها بسهولة؛ فإنّ من يريد تدريس أحد العلوم أو شرح مسائله، فهو بحاجة إلى خطّة للعمل يسير على أساسها، و يَعرف من أين يبدأ و إلى أين ينتهي، و النصّ المختصر أفضل وسيلة لذلك؛ فإنّه يوفّر المادّة اللازمة التي يحتاجها الشارح و المدرّس للعلم</w:t>
      </w:r>
      <w:r>
        <w:rPr>
          <w:rFonts w:eastAsia="Amiri" w:cs="Amiri" w:ascii="Amiri" w:hAnsi="Amiri"/>
          <w:color w:val="111111"/>
          <w:sz w:val="28"/>
          <w:szCs w:val="28"/>
          <w:rtl w:val="true"/>
          <w:lang w:bidi="ar-SA"/>
        </w:rPr>
        <w:t xml:space="preserve">. </w:t>
      </w:r>
      <w:bookmarkStart w:id="391" w:name="pg16415_223980"/>
    </w:p>
    <w:p>
      <w:pPr>
        <w:pStyle w:val="BookText"/>
        <w:rPr/>
      </w:pPr>
      <w:bookmarkEnd w:id="391"/>
      <w:r>
        <w:rPr>
          <w:rFonts w:ascii="Amiri" w:hAnsi="Amiri" w:eastAsia="Amiri" w:cs="Amiri"/>
          <w:color w:val="111111"/>
          <w:sz w:val="28"/>
          <w:sz w:val="28"/>
          <w:szCs w:val="28"/>
          <w:rtl w:val="true"/>
          <w:lang w:bidi="ar-SA"/>
        </w:rPr>
        <w:t>و قد كان المتكلّمون أحدَ أصناف العلماء الذين أولوا اهتماماً خاصّاً بتأليف الكتب الكلاميّة وفقاً للأنماط و الأحجام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 كتاب المغني للقاضي عبد الجبّار الذي ألّفه في عشرين مجلّداً، و قد لا نجد في تاريخ علم الكلام دورة كلاميّة بهذا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الملخّص و الذخيرة للشريف المرتضى، فهما كتابان متوسّطان من حيث الحجم، خاصّة بالنسبة إلى كتاب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النكت في مقدّمات الأُصول للشيخ المفيد، و جُمَل العلم و العمل للشريف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النمط الأخير الرسالة محلّ بحثنا، فهي رسالة مختصرة للغاية؛ لكنّها تحتوي على دورة كلاميّة كاملة</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7642494_1280447820"/>
      <w:bookmarkStart w:id="393" w:name="_Toc134"/>
      <w:bookmarkEnd w:id="392"/>
      <w:r>
        <w:rPr>
          <w:rtl w:val="true"/>
        </w:rPr>
        <w:t>نسبتها إلى المؤلّف</w:t>
      </w:r>
      <w:bookmarkEnd w:id="393"/>
    </w:p>
    <w:p>
      <w:pPr>
        <w:pStyle w:val="BookText"/>
        <w:rPr/>
      </w:pPr>
      <w:r>
        <w:rPr>
          <w:rFonts w:ascii="Amiri" w:hAnsi="Amiri" w:eastAsia="Amiri" w:cs="Amiri"/>
          <w:color w:val="111111"/>
          <w:sz w:val="28"/>
          <w:sz w:val="28"/>
          <w:szCs w:val="28"/>
          <w:rtl w:val="true"/>
          <w:lang w:bidi="ar-SA"/>
        </w:rPr>
        <w:t>و هذه الرسالة تتناسب مع أن تكون من مؤلّفات الشريف المرتضى؛ فهي موافقة للنظام الكلامي الإمامي، و ألفاظها تتلائم مع ألفاظ المرتضى و عصره، كما أنّ الآراء المطروحة فيها تتلائم مع آرائه الكلاميّة التي نعرفها، و من تلك الآراء المطروحة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الواجبات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بحدوث الأجسام على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قدرته تعالى على 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الملخّص،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إلى وجوب الإمامة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على إمامة الأئمّة الاثني عشر، و هو من آراء الشريف المرتضى البديهيّة</w:t>
      </w:r>
      <w:r>
        <w:rPr>
          <w:rFonts w:eastAsia="Amiri" w:cs="Amiri" w:ascii="Amiri" w:hAnsi="Amiri"/>
          <w:color w:val="111111"/>
          <w:sz w:val="28"/>
          <w:szCs w:val="28"/>
          <w:rtl w:val="true"/>
          <w:lang w:bidi="ar-SA"/>
        </w:rPr>
        <w:t xml:space="preserve">. </w:t>
      </w:r>
      <w:bookmarkStart w:id="394" w:name="pg16415_223981"/>
    </w:p>
    <w:p>
      <w:pPr>
        <w:pStyle w:val="BookText"/>
        <w:rPr/>
      </w:pPr>
      <w:bookmarkEnd w:id="39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الشفاعة هي إسقاط المضارّ، لا زيادة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التحابط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نقطة ينبغي الإشارة إليها، و هي أنّه عند التعرّض إلى مبحث إعجاز القرآن في هذه الرسالة، لم يتعرّض مؤلّف الرسالة إلى نظريّة الصرفة التي كان يتبنّاها الشريف المرتضى، و يهتمّ بها كثيراً، حتّى إنّه ألّف كتاباً لها مستقلاًّ،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 عن جهة إعجاز القرآن، أو الصرفة، و هو أمر يثير الاستغراب،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ترك الإشارة إلى نظريّته مجاراة للنظريّة المشهورة؛ لكن هذا مُستبعد من الشريف المرتضى، فهو قد عوّدنا على إبراز آرائه و عدم التردّد في إظهارها في كلّ فرصة و في مختلف كتبه و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هذا المبحث من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صَرَفهم إلى 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يعبّر عن نظريّة الصرفة؛ فإنّ معنى الصرفة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سلب المشركين العلومَ التي تمكّنهم من معارضة القرآن</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 لا صَرْفُهم إلى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بغداد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ضمن المجموعة الثانية من نفائس المخطوطات، بتحقيق المرحوم الشيخ محمّد حسن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 في ضمن كتاب عقيدة الشيعة،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7642496_1280447820"/>
      <w:bookmarkStart w:id="396" w:name="_Toc135"/>
      <w:bookmarkEnd w:id="395"/>
      <w:r>
        <w:rPr>
          <w:rtl w:val="true"/>
        </w:rPr>
        <w:t>مخطوطات الرسالة</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14673/11</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بأصفهان، المرقّمة </w:t>
      </w:r>
      <w:r>
        <w:rPr>
          <w:rFonts w:eastAsia="Amiri" w:cs="Amiri" w:ascii="Amiri" w:hAnsi="Amiri"/>
          <w:color w:val="111111"/>
          <w:sz w:val="28"/>
          <w:szCs w:val="28"/>
          <w:lang w:bidi="ar-SA"/>
        </w:rPr>
        <w:t>914/3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10006/4</w:t>
      </w:r>
      <w:r>
        <w:rPr>
          <w:rFonts w:ascii="Amiri" w:hAnsi="Amiri" w:eastAsia="Amiri" w:cs="Amiri"/>
          <w:color w:val="111111"/>
          <w:sz w:val="28"/>
          <w:sz w:val="28"/>
          <w:szCs w:val="28"/>
          <w:rtl w:val="true"/>
          <w:lang w:bidi="ar-SA"/>
        </w:rPr>
        <w:t xml:space="preserve">؛ و هي تحتوي على خمس رسائل، لا يتعلّق بالشريف المرتضى منها إلّاهذه الرسالة، و هي الرسالة الرابعة من المجموعة؛ و الرسالة الأُولى منها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نسخها في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بالخطّ النسخي</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97" w:name="pg16415_223983"/>
    </w:p>
    <w:p>
      <w:pPr>
        <w:pStyle w:val="Heading5"/>
        <w:numPr>
          <w:ilvl w:val="4"/>
          <w:numId w:val="1"/>
        </w:numPr>
        <w:rPr/>
      </w:pPr>
      <w:bookmarkStart w:id="398" w:name="__RefHeading___Toc7642498_1280447820"/>
      <w:bookmarkStart w:id="399" w:name="_Toc136"/>
      <w:bookmarkEnd w:id="397"/>
      <w:bookmarkEnd w:id="398"/>
      <w:r>
        <w:rPr>
          <w:rtl w:val="true"/>
        </w:rPr>
        <w:t>مُقدِّمةٌ في الأُصولِ الاعتقاديّةِ‌</w:t>
      </w:r>
      <w:bookmarkEnd w:id="399"/>
    </w:p>
    <w:p>
      <w:pPr>
        <w:pStyle w:val="Heading6"/>
        <w:numPr>
          <w:ilvl w:val="5"/>
          <w:numId w:val="1"/>
        </w:numPr>
        <w:rPr/>
      </w:pPr>
      <w:bookmarkStart w:id="400" w:name="__RefHeading___Toc7642500_1280447820"/>
      <w:bookmarkStart w:id="401" w:name="_Toc137"/>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843"/>
      </w:r>
    </w:p>
    <w:p>
      <w:pPr>
        <w:pStyle w:val="Heading6"/>
        <w:numPr>
          <w:ilvl w:val="5"/>
          <w:numId w:val="1"/>
        </w:numPr>
        <w:rPr/>
      </w:pPr>
      <w:bookmarkStart w:id="402" w:name="__RefHeading___Toc7642502_1280447820"/>
      <w:bookmarkStart w:id="403" w:name="_Toc138"/>
      <w:bookmarkEnd w:id="402"/>
      <w:r>
        <w:rPr>
          <w:rtl w:val="true"/>
        </w:rPr>
        <w:t>فَصلٌ في إثباتِ الصانعِ و صفاتِه</w:t>
      </w:r>
      <w:bookmarkEnd w:id="403"/>
    </w:p>
    <w:p>
      <w:pPr>
        <w:pStyle w:val="BookText"/>
        <w:rPr/>
      </w:pPr>
      <w:r>
        <w:rPr>
          <w:rFonts w:ascii="Amiri" w:hAnsi="Amiri" w:eastAsia="Amiri" w:cs="Amiri"/>
          <w:color w:val="111111"/>
          <w:sz w:val="28"/>
          <w:sz w:val="28"/>
          <w:szCs w:val="28"/>
          <w:rtl w:val="true"/>
          <w:lang w:bidi="ar-SA"/>
        </w:rPr>
        <w:t>اِعلَمْ أنّ أوّلَ فعلٍ يَجِبُ علَى العاقلِ‌</w:t>
      </w:r>
      <w:r>
        <w:rPr>
          <w:rStyle w:val="FootnoteAnchor"/>
          <w:rtl w:val="true"/>
        </w:rPr>
        <w:footnoteReference w:id="1844"/>
      </w:r>
      <w:r>
        <w:rPr>
          <w:rFonts w:ascii="Amiri" w:hAnsi="Amiri" w:eastAsia="Amiri" w:cs="Amiri"/>
          <w:color w:val="111111"/>
          <w:sz w:val="28"/>
          <w:sz w:val="28"/>
          <w:szCs w:val="28"/>
          <w:rtl w:val="true"/>
          <w:lang w:bidi="ar-SA"/>
        </w:rPr>
        <w:t>مِن أفعالِ قَلبِه</w:t>
      </w:r>
      <w:r>
        <w:rPr>
          <w:rStyle w:val="FootnoteAnchor"/>
          <w:rtl w:val="true"/>
        </w:rPr>
        <w:footnoteReference w:id="1845"/>
      </w:r>
      <w:r>
        <w:rPr>
          <w:rFonts w:ascii="Amiri" w:hAnsi="Amiri" w:eastAsia="Amiri" w:cs="Amiri"/>
          <w:color w:val="111111"/>
          <w:sz w:val="28"/>
          <w:sz w:val="28"/>
          <w:szCs w:val="28"/>
          <w:rtl w:val="true"/>
          <w:lang w:bidi="ar-SA"/>
        </w:rPr>
        <w:t>ما هو ذَريعةٌ إلَى العِلمِ برَبِّه، و لا طَريقَ إلىٰ ذلك إلّاالنظَرُ في حُدوثِ الأجسامِ و ما يَجري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حُدوثِ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خُلوِّها مِن المَعاني المُتجدِّدةِ‌، و ما لَم يَخلُ‌</w:t>
      </w:r>
      <w:r>
        <w:rPr>
          <w:rStyle w:val="FootnoteAnchor"/>
          <w:rtl w:val="true"/>
        </w:rPr>
        <w:footnoteReference w:id="1846"/>
      </w:r>
      <w:r>
        <w:rPr>
          <w:rFonts w:ascii="Amiri" w:hAnsi="Amiri" w:eastAsia="Amiri" w:cs="Amiri"/>
          <w:color w:val="111111"/>
          <w:sz w:val="28"/>
          <w:sz w:val="28"/>
          <w:szCs w:val="28"/>
          <w:rtl w:val="true"/>
          <w:lang w:bidi="ar-SA"/>
        </w:rPr>
        <w:t>مِن المُتجدِّدِ</w:t>
      </w:r>
      <w:r>
        <w:rPr>
          <w:rStyle w:val="FootnoteAnchor"/>
          <w:rtl w:val="true"/>
        </w:rPr>
        <w:footnoteReference w:id="1847"/>
      </w:r>
      <w:r>
        <w:rPr>
          <w:rFonts w:ascii="Amiri" w:hAnsi="Amiri" w:eastAsia="Amiri" w:cs="Amiri"/>
          <w:color w:val="111111"/>
          <w:sz w:val="28"/>
          <w:sz w:val="28"/>
          <w:szCs w:val="28"/>
          <w:rtl w:val="true"/>
          <w:lang w:bidi="ar-SA"/>
        </w:rPr>
        <w:t>يَجِبُ أن يَكونَ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حُدوثُها، فليُقَسْ علىٰ أفعالِنا، يُعلَمْ أنّ لها</w:t>
      </w:r>
      <w:r>
        <w:rPr>
          <w:rStyle w:val="FootnoteAnchor"/>
          <w:rtl w:val="true"/>
        </w:rPr>
        <w:footnoteReference w:id="1848"/>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كونِه قادراً؛ لِاستِحالَةِ وُقوعِ الفِعلِ ممَّن ليسَ بقادرٍ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كونِه عالِماً</w:t>
      </w:r>
      <w:r>
        <w:rPr>
          <w:rStyle w:val="FootnoteAnchor"/>
          <w:rtl w:val="true"/>
        </w:rPr>
        <w:footnoteReference w:id="1849"/>
      </w:r>
      <w:r>
        <w:rPr>
          <w:rFonts w:ascii="Amiri" w:hAnsi="Amiri" w:eastAsia="Amiri" w:cs="Amiri"/>
          <w:color w:val="111111"/>
          <w:sz w:val="28"/>
          <w:sz w:val="28"/>
          <w:szCs w:val="28"/>
          <w:rtl w:val="true"/>
          <w:lang w:bidi="ar-SA"/>
        </w:rPr>
        <w:t>لأنّ الفعلَ المُحكَمَ لا يَقَعُ إلّامِن 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أن يَكونَ تَعالىٰ قادراً عالِماً لنفسِه؛ لاستغنائه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كَونِه حَيّاً؛ لحصولِ الفَرقِ بَينَ مَن يَصِحُّ كَونُه حَيّاً قادراً عالِماً و مَن لا يَصِحُّ‌، و رجوعُ الفَرقِ إلىٰ ما</w:t>
      </w:r>
      <w:r>
        <w:rPr>
          <w:rStyle w:val="FootnoteAnchor"/>
          <w:rtl w:val="true"/>
        </w:rPr>
        <w:footnoteReference w:id="1850"/>
      </w:r>
      <w:r>
        <w:rPr>
          <w:rFonts w:ascii="Amiri" w:hAnsi="Amiri" w:eastAsia="Amiri" w:cs="Amiri"/>
          <w:color w:val="111111"/>
          <w:sz w:val="28"/>
          <w:sz w:val="28"/>
          <w:szCs w:val="28"/>
          <w:rtl w:val="true"/>
          <w:lang w:bidi="ar-SA"/>
        </w:rPr>
        <w:t>يَرجِعُ كَونُه قادراً عالِماً إليه يُبطِلُ‌</w:t>
      </w:r>
      <w:r>
        <w:rPr>
          <w:rStyle w:val="FootnoteAnchor"/>
          <w:rtl w:val="true"/>
        </w:rPr>
        <w:footnoteReference w:id="1851"/>
      </w:r>
      <w:r>
        <w:rPr>
          <w:rFonts w:ascii="Amiri" w:hAnsi="Amiri" w:eastAsia="Amiri" w:cs="Amiri"/>
          <w:color w:val="111111"/>
          <w:sz w:val="28"/>
          <w:sz w:val="28"/>
          <w:szCs w:val="28"/>
          <w:rtl w:val="true"/>
          <w:lang w:bidi="ar-SA"/>
        </w:rPr>
        <w:t>البِنيةَ و ما في معناها،</w:t>
      </w:r>
      <w:r>
        <w:rPr>
          <w:rStyle w:val="FootnoteAnchor"/>
          <w:rtl w:val="true"/>
        </w:rPr>
        <w:footnoteReference w:id="1852"/>
      </w:r>
      <w:r>
        <w:rPr>
          <w:rFonts w:ascii="Amiri" w:hAnsi="Amiri" w:eastAsia="Amiri" w:cs="Amiri"/>
          <w:color w:val="111111"/>
          <w:sz w:val="28"/>
          <w:sz w:val="28"/>
          <w:szCs w:val="28"/>
          <w:rtl w:val="true"/>
          <w:lang w:bidi="ar-SA"/>
        </w:rPr>
        <w:t>و رجوعُه إلىٰ غيرِ النفسِ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حَيّاً، و لَم تَكُن</w:t>
      </w:r>
      <w:r>
        <w:rPr>
          <w:rStyle w:val="FootnoteAnchor"/>
          <w:rtl w:val="true"/>
        </w:rPr>
        <w:footnoteReference w:id="1853"/>
      </w:r>
      <w:r>
        <w:rPr>
          <w:rFonts w:ascii="Amiri" w:hAnsi="Amiri" w:eastAsia="Amiri" w:cs="Amiri"/>
          <w:color w:val="111111"/>
          <w:sz w:val="28"/>
          <w:sz w:val="28"/>
          <w:szCs w:val="28"/>
          <w:rtl w:val="true"/>
          <w:lang w:bidi="ar-SA"/>
        </w:rPr>
        <w:t>به آفةٌ‌، وَجَبَ أن يَكونَ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تَعلَّقَ كَونُه قادراً بكَونِه موجوداً، وَجَبَ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كَونِه قَديماً؛ و إلّالَم تَتوقَّفِ الحَوادثُ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وجوبُ هذه الصِّفاتِ يَدُلُّ علىٰ أنّ لها مُقتَضِياً، و المُقتَضي لذلكَ صفةُ ذاتِه</w:t>
      </w:r>
      <w:r>
        <w:rPr>
          <w:rStyle w:val="FootnoteAnchor"/>
          <w:rtl w:val="true"/>
        </w:rPr>
        <w:footnoteReference w:id="1855"/>
      </w:r>
      <w:r>
        <w:rPr>
          <w:rFonts w:ascii="Amiri" w:hAnsi="Amiri" w:eastAsia="Amiri" w:cs="Amiri"/>
          <w:color w:val="111111"/>
          <w:sz w:val="28"/>
          <w:sz w:val="28"/>
          <w:szCs w:val="28"/>
          <w:rtl w:val="true"/>
          <w:lang w:bidi="ar-SA"/>
        </w:rPr>
        <w:t>التي خالَفَ بها جَميعَ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تَعالىٰ مُدرِكاً عند وجودِ</w:t>
      </w:r>
      <w:r>
        <w:rPr>
          <w:rStyle w:val="FootnoteAnchor"/>
          <w:rtl w:val="true"/>
        </w:rPr>
        <w:footnoteReference w:id="1856"/>
      </w:r>
      <w:r>
        <w:rPr>
          <w:rFonts w:ascii="Amiri" w:hAnsi="Amiri" w:eastAsia="Amiri" w:cs="Amiri"/>
          <w:color w:val="111111"/>
          <w:sz w:val="28"/>
          <w:sz w:val="28"/>
          <w:szCs w:val="28"/>
          <w:rtl w:val="true"/>
          <w:lang w:bidi="ar-SA"/>
        </w:rPr>
        <w:t>المُدرَكاتِ‌؛ مِن حَيثُ كَونِه</w:t>
      </w:r>
      <w:r>
        <w:rPr>
          <w:rStyle w:val="FootnoteAnchor"/>
          <w:rtl w:val="true"/>
        </w:rPr>
        <w:footnoteReference w:id="1857"/>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عالِماً، و استَحالَ عليه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فَعَلَ الفعلَ لغرضٍ يَخُصُّه، فلا بُدَّ أن يَكونَ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كَونُه مُريداً، ثَبَتَ كَونُه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استحقاقُه لهاتَينِ‌</w:t>
      </w:r>
      <w:r>
        <w:rPr>
          <w:rStyle w:val="FootnoteAnchor"/>
          <w:rtl w:val="true"/>
        </w:rPr>
        <w:footnoteReference w:id="1858"/>
      </w:r>
      <w:r>
        <w:rPr>
          <w:rFonts w:ascii="Amiri" w:hAnsi="Amiri" w:eastAsia="Amiri" w:cs="Amiri"/>
          <w:color w:val="111111"/>
          <w:sz w:val="28"/>
          <w:sz w:val="28"/>
          <w:szCs w:val="28"/>
          <w:rtl w:val="true"/>
          <w:lang w:bidi="ar-SA"/>
        </w:rPr>
        <w:t>الصِّفتَينِ لمعنىً ظاهرٌ؛ لتجدُّدِ مقتضاهُما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استحالةُ قِدَمِ المعنىٰ بوُجوبِ ثُبوتِ‌ </w:t>
      </w:r>
      <w:bookmarkStart w:id="404" w:name="pg16415_223985"/>
    </w:p>
    <w:p>
      <w:pPr>
        <w:pStyle w:val="BookText"/>
        <w:rPr/>
      </w:pPr>
      <w:bookmarkEnd w:id="404"/>
      <w:r>
        <w:rPr>
          <w:rFonts w:ascii="Amiri" w:hAnsi="Amiri" w:eastAsia="Amiri" w:cs="Amiri"/>
          <w:color w:val="111111"/>
          <w:sz w:val="28"/>
          <w:sz w:val="28"/>
          <w:szCs w:val="28"/>
          <w:rtl w:val="true"/>
          <w:lang w:bidi="ar-SA"/>
        </w:rPr>
        <w:t>حُدوثِه؛ و بُطلانُ حلولِه فيه أو في غيرِه يَقتَضي وجودَه لا في مَحلٍّ‌</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و لا بُدَّ مِن كَونِه غَنيّاً؛ لأنّه لَيسَ بمُحتاجٍ‌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إثباتُ ما زادَ عن هذه الصِّفاتِ‌؛ لأنّه يُفضي إلَى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يُدرَكَ بشَيءٍ مِن الحَواسِّ‌؛ لأنّ ذلكَ يؤَدّي إلىٰ قِدَمِ المُدرِكاتِ‌، أو إلىٰ حدوثِه؛ و 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كَونِه واحداً؛ لأنّه لَو كانَ معه ثانٍ‌، لَكانَ إمّا فاعلاً لفِعلِه، أو مانعاً له؛ و كِلاهما باطلانِ‌</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7642504_1280447820"/>
      <w:bookmarkStart w:id="406" w:name="_Toc139"/>
      <w:bookmarkEnd w:id="405"/>
      <w:r>
        <w:rPr>
          <w:rtl w:val="true"/>
        </w:rPr>
        <w:t>فَصلٌ في العَدلِ‌</w:t>
      </w:r>
      <w:bookmarkEnd w:id="406"/>
    </w:p>
    <w:p>
      <w:pPr>
        <w:pStyle w:val="BookText"/>
        <w:rPr/>
      </w:pPr>
      <w:r>
        <w:rPr>
          <w:rFonts w:ascii="Amiri" w:hAnsi="Amiri" w:eastAsia="Amiri" w:cs="Amiri"/>
          <w:color w:val="111111"/>
          <w:sz w:val="28"/>
          <w:sz w:val="28"/>
          <w:szCs w:val="28"/>
          <w:rtl w:val="true"/>
          <w:lang w:bidi="ar-SA"/>
        </w:rPr>
        <w:t>يَجِبُ العِلمُ بأ نّه تَعالىٰ قادرٌ علىٰ فعلِ القَبيحِ‌؛ بثُبوتِ 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يَفعَلَه؛ مِن حَيثُ كانَ عالِماً بقُبحِه، و قُبحُ ذلكَ في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مُسكةٌ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جميعِ أفعالِه و 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إلىٰ إثبات كَونِه</w:t>
      </w:r>
      <w:r>
        <w:rPr>
          <w:rStyle w:val="FootnoteAnchor"/>
          <w:rtl w:val="true"/>
        </w:rPr>
        <w:footnoteReference w:id="1860"/>
      </w:r>
      <w:r>
        <w:rPr>
          <w:rFonts w:ascii="Amiri" w:hAnsi="Amiri" w:eastAsia="Amiri" w:cs="Amiri"/>
          <w:color w:val="111111"/>
          <w:sz w:val="28"/>
          <w:sz w:val="28"/>
          <w:szCs w:val="28"/>
          <w:rtl w:val="true"/>
          <w:lang w:bidi="ar-SA"/>
        </w:rPr>
        <w:t>مُتكلِّماً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مُحدَثٌ‌؛ لأنّه مِن جِنسِ كلامِنا، و</w:t>
      </w:r>
      <w:r>
        <w:rPr>
          <w:rStyle w:val="FootnoteAnchor"/>
          <w:rtl w:val="true"/>
        </w:rPr>
        <w:footnoteReference w:id="1861"/>
      </w:r>
      <w:r>
        <w:rPr>
          <w:rFonts w:ascii="Amiri" w:hAnsi="Amiri" w:eastAsia="Amiri" w:cs="Amiri"/>
          <w:color w:val="111111"/>
          <w:sz w:val="28"/>
          <w:sz w:val="28"/>
          <w:szCs w:val="28"/>
          <w:rtl w:val="true"/>
          <w:lang w:bidi="ar-SA"/>
        </w:rPr>
        <w:t>كانَ فيه مِن الآيِ ما يَدُلُّ علىٰ حُدوثِه</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7642506_1280447820"/>
      <w:bookmarkStart w:id="408" w:name="_Toc140"/>
      <w:bookmarkEnd w:id="407"/>
      <w:r>
        <w:rPr>
          <w:rtl w:val="true"/>
        </w:rPr>
        <w:t>فَصلٌ في النُّبوَّةِ‌</w:t>
      </w:r>
      <w:bookmarkEnd w:id="40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نُبوَّةِ نبيِّنا مُحمّدٍ صلَّى اللّٰهُ عليه و آلِه القُرآنُ‌، الذي تَحَدّىٰ به العَرَبَ فعَجَزوا عن مُعارَضَتِه، معَ تَقريعِه لهُم و تَوبيخِه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بقَريبٍ‌</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مِن الضَّرورةِ اشتهارُ عُلوِّ طَبَقتِهم في الفَصاحةِ‌، كالأعشىٰ‌</w:t>
      </w:r>
      <w:r>
        <w:rPr>
          <w:rStyle w:val="FootnoteAnchor"/>
          <w:rtl w:val="true"/>
        </w:rPr>
        <w:footnoteReference w:id="1863"/>
      </w:r>
      <w:r>
        <w:rPr>
          <w:rFonts w:ascii="Amiri" w:hAnsi="Amiri" w:eastAsia="Amiri" w:cs="Amiri"/>
          <w:color w:val="111111"/>
          <w:sz w:val="28"/>
          <w:sz w:val="28"/>
          <w:szCs w:val="28"/>
          <w:rtl w:val="true"/>
          <w:lang w:bidi="ar-SA"/>
        </w:rPr>
        <w:t>، و المُغيرةِ‌</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و يحتمل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الموضح عن جهة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الوليد بن المغيرة بن عبد اللّٰه بن عمرو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قضاة العرب في الجاهليّة، و من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عِدل قريش كلّها؛ كانت قريش تكسو البيت جميعُها، و الوليد يكسوه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الإسلام و هو شيخ هَرِم فعاداه و قاوم دعوته، و هو الذي وصف النبيّ صلّى اللّٰه عليه و آله بأنّه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الهجرة بثلاثة أشهر، و دُفن بالحجون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والد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يَجري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عُدولُهم عن المُعارَضةِ يَدُلُّ علىٰ عَجزِهم، و صَرفُهم إلَى المُحارَبةِ يَدُلُّ علىٰ صِدقِه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6415_223987"/>
    </w:p>
    <w:p>
      <w:pPr>
        <w:pStyle w:val="Heading6"/>
        <w:numPr>
          <w:ilvl w:val="5"/>
          <w:numId w:val="1"/>
        </w:numPr>
        <w:rPr/>
      </w:pPr>
      <w:bookmarkStart w:id="410" w:name="__RefHeading___Toc7642508_1280447820"/>
      <w:bookmarkStart w:id="411" w:name="_Toc141"/>
      <w:bookmarkEnd w:id="409"/>
      <w:bookmarkEnd w:id="410"/>
      <w:r>
        <w:rPr>
          <w:rtl w:val="true"/>
        </w:rPr>
        <w:t>فَصلٌ في الإمامةِ‌</w:t>
      </w:r>
      <w:bookmarkEnd w:id="411"/>
    </w:p>
    <w:p>
      <w:pPr>
        <w:pStyle w:val="BookText"/>
        <w:rPr/>
      </w:pPr>
      <w:r>
        <w:rPr>
          <w:rFonts w:ascii="Amiri" w:hAnsi="Amiri" w:eastAsia="Amiri" w:cs="Amiri"/>
          <w:color w:val="111111"/>
          <w:sz w:val="28"/>
          <w:sz w:val="28"/>
          <w:szCs w:val="28"/>
          <w:rtl w:val="true"/>
          <w:lang w:bidi="ar-SA"/>
        </w:rPr>
        <w:t>الإمامةُ‌</w:t>
      </w:r>
      <w:r>
        <w:rPr>
          <w:rStyle w:val="FootnoteAnchor"/>
          <w:rtl w:val="true"/>
        </w:rPr>
        <w:footnoteReference w:id="1865"/>
      </w:r>
      <w:r>
        <w:rPr>
          <w:rFonts w:ascii="Amiri" w:hAnsi="Amiri" w:eastAsia="Amiri" w:cs="Amiri"/>
          <w:color w:val="111111"/>
          <w:sz w:val="28"/>
          <w:sz w:val="28"/>
          <w:szCs w:val="28"/>
          <w:rtl w:val="true"/>
          <w:lang w:bidi="ar-SA"/>
        </w:rPr>
        <w:t>تَجِبُ بشَرطِ انتفاءِ العِصمة عن المُكلَّفينَ‌؛ و إلّافلا وَجهَ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إلىٰ وُجوبِها العقلُ‌؛ بخِلافِ ما يَذهَبُ إليه المُعتَزِلةُ و مَن ضارَعَهم</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وَجَبَت لقُربِ المُكلَّفينَ مِن الصَّلاحِ و بُعدِهم مِن الفَسادِ، فدَليلُ الألطافِ مُتناوِلٌ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كَونِ الإمامِ معصوماً؛ و إلّاأَدّىٰ ذلكَ إلىٰ أن تَكونَ عِلّةُ الحاجةِ إليه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يَقتَضي وُجودَ ما لا يَتناهىٰ مِن الرؤساءِ أو الإخلالَ بالواجب في عَدلِه تعالىٰ‌،</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و كِلاهُما باطلانِ‌</w:t>
      </w:r>
      <w:r>
        <w:rPr>
          <w:rStyle w:val="FootnoteAnchor"/>
          <w:rtl w:val="true"/>
        </w:rPr>
        <w:footnoteReference w:id="1868"/>
      </w:r>
      <w:r>
        <w:rPr>
          <w:rFonts w:ascii="Amiri" w:hAnsi="Amiri" w:eastAsia="Amiri" w:cs="Amiri"/>
          <w:color w:val="111111"/>
          <w:sz w:val="28"/>
          <w:sz w:val="28"/>
          <w:szCs w:val="28"/>
          <w:rtl w:val="true"/>
          <w:lang w:bidi="ar-SA"/>
        </w:rPr>
        <w:t>و ذلكَ يؤدّي إلىٰ رئيسٍ مَعصومٍ يَكونُ رئيساً للكُلِّ‌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وُجوبُ الرئاسةِ و وُجوبُ العِصمةِ ثَبَتَت</w:t>
      </w:r>
      <w:r>
        <w:rPr>
          <w:rStyle w:val="FootnoteAnchor"/>
          <w:rtl w:val="true"/>
        </w:rPr>
        <w:footnoteReference w:id="1869"/>
      </w:r>
      <w:r>
        <w:rPr>
          <w:rFonts w:ascii="Amiri" w:hAnsi="Amiri" w:eastAsia="Amiri" w:cs="Amiri"/>
          <w:color w:val="111111"/>
          <w:sz w:val="28"/>
          <w:sz w:val="28"/>
          <w:szCs w:val="28"/>
          <w:rtl w:val="true"/>
          <w:lang w:bidi="ar-SA"/>
        </w:rPr>
        <w:t xml:space="preserve">إمامةُ الِاثنَي عَشَرَ، الذينَ أوّلُهم أميرُ المؤمنينَ‌، ثُمَّ الحَسَنُ‌، ثُمَّ الحُسَينُ‌، ثُمَّ عليٌّ‌، ثُمَّ مُحمّدٌ، ثُمَّ جعفرٌ، ثُمَّ موسىٰ‌، ثُمَّ عليٌّ‌، ثُمَّ مُحمّدٌ، ثُمَّ عليٌّ‌، ثُمَّ الحَسَنُ‌، ثُمَّ الحُجّةُ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أثبَتَ هٰذَينِ الشَّرطَينِ‌</w:t>
      </w:r>
      <w:r>
        <w:rPr>
          <w:rStyle w:val="FootnoteAnchor"/>
          <w:rtl w:val="true"/>
        </w:rPr>
        <w:footnoteReference w:id="1870"/>
      </w:r>
      <w:r>
        <w:rPr>
          <w:rFonts w:ascii="Amiri" w:hAnsi="Amiri" w:eastAsia="Amiri" w:cs="Amiri"/>
          <w:color w:val="111111"/>
          <w:sz w:val="28"/>
          <w:sz w:val="28"/>
          <w:szCs w:val="28"/>
          <w:rtl w:val="true"/>
          <w:lang w:bidi="ar-SA"/>
        </w:rPr>
        <w:t>المُقَدَّمَينِ‌</w:t>
      </w:r>
      <w:r>
        <w:rPr>
          <w:rStyle w:val="FootnoteAnchor"/>
          <w:rtl w:val="true"/>
        </w:rPr>
        <w:footnoteReference w:id="1871"/>
      </w:r>
      <w:r>
        <w:rPr>
          <w:rFonts w:ascii="Amiri" w:hAnsi="Amiri" w:eastAsia="Amiri" w:cs="Amiri"/>
          <w:color w:val="111111"/>
          <w:sz w:val="28"/>
          <w:sz w:val="28"/>
          <w:szCs w:val="28"/>
          <w:rtl w:val="true"/>
          <w:lang w:bidi="ar-SA"/>
        </w:rPr>
        <w:t>و جَعَلَ الإمامةَ في غيرِهم،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872"/>
      </w:r>
      <w:r>
        <w:rPr>
          <w:rFonts w:ascii="Amiri" w:hAnsi="Amiri" w:eastAsia="Amiri" w:cs="Amiri"/>
          <w:color w:val="111111"/>
          <w:sz w:val="28"/>
          <w:sz w:val="28"/>
          <w:szCs w:val="28"/>
          <w:rtl w:val="true"/>
          <w:lang w:bidi="ar-SA"/>
        </w:rPr>
        <w:t>خارجٌ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ثاني عَشَرَهم قد </w:t>
      </w:r>
      <w:bookmarkStart w:id="412" w:name="pg16415_223988"/>
    </w:p>
    <w:p>
      <w:pPr>
        <w:pStyle w:val="BookText"/>
        <w:rPr/>
      </w:pPr>
      <w:bookmarkEnd w:id="412"/>
      <w:r>
        <w:rPr>
          <w:rFonts w:ascii="Amiri" w:hAnsi="Amiri" w:eastAsia="Amiri" w:cs="Amiri"/>
          <w:color w:val="111111"/>
          <w:sz w:val="28"/>
          <w:sz w:val="28"/>
          <w:szCs w:val="28"/>
          <w:rtl w:val="true"/>
          <w:lang w:bidi="ar-SA"/>
        </w:rPr>
        <w:t>غابَ قَطَعنا علىٰ حُسنِ غَيبتِه؛ لثُبوتِ عصمتِه</w:t>
      </w:r>
      <w:r>
        <w:rPr>
          <w:rFonts w:eastAsia="Amiri" w:cs="Amiri" w:ascii="Amiri" w:hAnsi="Amiri"/>
          <w:color w:val="111111"/>
          <w:sz w:val="28"/>
          <w:szCs w:val="28"/>
          <w:rtl w:val="true"/>
          <w:lang w:bidi="ar-SA"/>
        </w:rPr>
        <w:t>.</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و حُكمُ مَن حارَبَ إماماً عادلاً حُكمُ مَن حارَبَ النبيَّ صَلَّى اللّٰهُ عليه و آلِه و تَجِبُ مُحارَبتُه و يَستَحِقُّ الخُلودَ في النار إلىٰ أن يَتوبَ و يُراجِعَ التَّوبةَ علىٰ شُروطِها الصَّحيحةِ‌</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7642510_1280447820"/>
      <w:bookmarkStart w:id="414" w:name="_Toc142"/>
      <w:bookmarkEnd w:id="413"/>
      <w:r>
        <w:rPr>
          <w:rtl w:val="true"/>
        </w:rPr>
        <w:t>فَصلٌ في الوَعدِ و الوَعيدِ</w:t>
      </w:r>
      <w:bookmarkEnd w:id="414"/>
    </w:p>
    <w:p>
      <w:pPr>
        <w:pStyle w:val="BookText"/>
        <w:rPr/>
      </w:pPr>
      <w:r>
        <w:rPr>
          <w:rFonts w:ascii="Amiri" w:hAnsi="Amiri" w:eastAsia="Amiri" w:cs="Amiri"/>
          <w:color w:val="111111"/>
          <w:sz w:val="28"/>
          <w:sz w:val="28"/>
          <w:szCs w:val="28"/>
          <w:rtl w:val="true"/>
          <w:lang w:bidi="ar-SA"/>
        </w:rPr>
        <w:t>يَجِبُ العِلمُ بما يُستَحَقُّ علَى الأفعالِ التي أمَرَ اللّٰهُ بها و نَهىٰ عنها، فيُعلَمَ أنّ الثَّوابَ يُستَحَقُّ بالطاعةِ إذا فُعِلَت علَى الوَجهِ الذي أمَرَ اللّٰهُ تَعالىٰ به، و أنّ العِقابَ يُستَحَقُّ بالمَعصيةِ إذا فُعِلَت علَى الوَجهِ الذي نَهَى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استَحَقَّ ثَواباً</w:t>
      </w:r>
      <w:r>
        <w:rPr>
          <w:rStyle w:val="FootnoteAnchor"/>
          <w:rtl w:val="true"/>
        </w:rPr>
        <w:footnoteReference w:id="1874"/>
      </w:r>
      <w:r>
        <w:rPr>
          <w:rFonts w:ascii="Amiri" w:hAnsi="Amiri" w:eastAsia="Amiri" w:cs="Amiri"/>
          <w:color w:val="111111"/>
          <w:sz w:val="28"/>
          <w:sz w:val="28"/>
          <w:szCs w:val="28"/>
          <w:rtl w:val="true"/>
          <w:lang w:bidi="ar-SA"/>
        </w:rPr>
        <w:t>، أُوصِلَ إليه دائماً</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استَحَقَّ ثَواباً و عِقاباً</w:t>
      </w:r>
      <w:r>
        <w:rPr>
          <w:rStyle w:val="FootnoteAnchor"/>
          <w:rtl w:val="true"/>
        </w:rPr>
        <w:footnoteReference w:id="1876"/>
      </w:r>
      <w:r>
        <w:rPr>
          <w:rFonts w:ascii="Amiri" w:hAnsi="Amiri" w:eastAsia="Amiri" w:cs="Amiri"/>
          <w:color w:val="111111"/>
          <w:sz w:val="28"/>
          <w:sz w:val="28"/>
          <w:szCs w:val="28"/>
          <w:rtl w:val="true"/>
          <w:lang w:bidi="ar-SA"/>
        </w:rPr>
        <w:t>، و حَضَرَ عَرصةَ القيامةِ‌، فلا تَخلو</w:t>
      </w:r>
      <w:r>
        <w:rPr>
          <w:rStyle w:val="FootnoteAnchor"/>
          <w:rtl w:val="true"/>
        </w:rPr>
        <w:footnoteReference w:id="1877"/>
      </w: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يَعفوَ اللّٰهُ عنه إمّا ابتداءً‌، أو يَشفَعَ فيه النَّبِيُّ صَلَّى اللّٰهُ عليه و آلِه؛ فإنّ له شَفاعةً‌، و هي حقيقةٌ في إسقاطِ</w:t>
      </w:r>
      <w:r>
        <w:rPr>
          <w:rStyle w:val="FootnoteAnchor"/>
          <w:rtl w:val="true"/>
        </w:rPr>
        <w:footnoteReference w:id="1878"/>
      </w:r>
      <w:r>
        <w:rPr>
          <w:rFonts w:ascii="Amiri" w:hAnsi="Amiri" w:eastAsia="Amiri" w:cs="Amiri"/>
          <w:color w:val="111111"/>
          <w:sz w:val="28"/>
          <w:sz w:val="28"/>
          <w:szCs w:val="28"/>
          <w:rtl w:val="true"/>
          <w:lang w:bidi="ar-SA"/>
        </w:rPr>
        <w:t>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 في زيادةِ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تَذهَبُ‌</w:t>
      </w:r>
      <w:r>
        <w:rPr>
          <w:rStyle w:val="FootnoteAnchor"/>
          <w:rtl w:val="true"/>
        </w:rPr>
        <w:footnoteReference w:id="1879"/>
      </w:r>
      <w:r>
        <w:rPr>
          <w:rFonts w:ascii="Amiri" w:hAnsi="Amiri" w:eastAsia="Amiri" w:cs="Amiri"/>
          <w:color w:val="111111"/>
          <w:sz w:val="28"/>
          <w:sz w:val="28"/>
          <w:szCs w:val="28"/>
          <w:rtl w:val="true"/>
          <w:lang w:bidi="ar-SA"/>
        </w:rPr>
        <w:t xml:space="preserve">إليه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يؤَدّي إلىٰ أن يَكونوا شافِعينَ في النَّبِيِّ صَلَّى اللّٰهُ عليه </w:t>
      </w:r>
      <w:bookmarkStart w:id="415" w:name="pg16415_223989"/>
    </w:p>
    <w:p>
      <w:pPr>
        <w:pStyle w:val="BookText"/>
        <w:rPr/>
      </w:pPr>
      <w:bookmarkEnd w:id="415"/>
      <w:r>
        <w:rPr>
          <w:rFonts w:ascii="Amiri" w:hAnsi="Amiri" w:eastAsia="Amiri" w:cs="Amiri"/>
          <w:color w:val="111111"/>
          <w:sz w:val="28"/>
          <w:sz w:val="28"/>
          <w:szCs w:val="28"/>
          <w:rtl w:val="true"/>
          <w:lang w:bidi="ar-SA"/>
        </w:rPr>
        <w:t>و آلِه بَل في جميعِ الأنبياءِ صَلَّى اللّٰهُ عليهم، و هذا حَدٌّ لا يَرتَكِبُه إلّامؤوفُ العقلِ فاسدُ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إلىٰ ما يَستَحِقُّه مِن العِقابِ‌، و يُعادُ إلَى الثَّوابِ الدائمِ‌</w:t>
      </w:r>
      <w:r>
        <w:rPr>
          <w:rStyle w:val="FootnoteAnchor"/>
          <w:rtl w:val="true"/>
        </w:rPr>
        <w:footnoteReference w:id="1880"/>
      </w:r>
      <w:r>
        <w:rPr>
          <w:rFonts w:ascii="Amiri" w:hAnsi="Amiri" w:eastAsia="Amiri" w:cs="Amiri"/>
          <w:color w:val="111111"/>
          <w:sz w:val="28"/>
          <w:sz w:val="28"/>
          <w:szCs w:val="28"/>
          <w:rtl w:val="true"/>
          <w:lang w:bidi="ar-SA"/>
        </w:rPr>
        <w:t>بخِلافِ ما تَذهَبُ إليه المُعتَزِلةُ القائلونَ بالإحباطِ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استَحَقَّ عِقاباً</w:t>
      </w:r>
      <w:r>
        <w:rPr>
          <w:rStyle w:val="FootnoteAnchor"/>
          <w:rtl w:val="true"/>
        </w:rPr>
        <w:footnoteReference w:id="1881"/>
      </w:r>
      <w:r>
        <w:rPr>
          <w:rFonts w:ascii="Amiri" w:hAnsi="Amiri" w:eastAsia="Amiri" w:cs="Amiri"/>
          <w:color w:val="111111"/>
          <w:sz w:val="28"/>
          <w:sz w:val="28"/>
          <w:szCs w:val="28"/>
          <w:rtl w:val="true"/>
          <w:lang w:bidi="ar-SA"/>
        </w:rPr>
        <w:t>، فعِقابُه دائمٌ‌</w:t>
      </w:r>
      <w:r>
        <w:rPr>
          <w:rStyle w:val="FootnoteAnchor"/>
          <w:rtl w:val="true"/>
        </w:rPr>
        <w:footnoteReference w:id="1882"/>
      </w:r>
      <w:r>
        <w:rPr>
          <w:rFonts w:ascii="Amiri" w:hAnsi="Amiri" w:eastAsia="Amiri" w:cs="Amiri"/>
          <w:color w:val="111111"/>
          <w:sz w:val="28"/>
          <w:sz w:val="28"/>
          <w:szCs w:val="28"/>
          <w:rtl w:val="true"/>
          <w:lang w:bidi="ar-SA"/>
        </w:rPr>
        <w:t>بلا خِلافٍ‌؛ و ذلكَ يَختَصُّ بالكُفّارِ</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7642512_1280447820"/>
      <w:bookmarkStart w:id="417" w:name="_Toc143"/>
      <w:bookmarkEnd w:id="416"/>
      <w:r>
        <w:rPr>
          <w:rtl w:val="true"/>
        </w:rPr>
        <w:t>فَصلٌ في الأمرِ بالمَعروفِ و النهيِ عنِ المُنكرِ</w:t>
      </w:r>
      <w:bookmarkEnd w:id="417"/>
    </w:p>
    <w:p>
      <w:pPr>
        <w:pStyle w:val="BookText"/>
        <w:rPr/>
      </w:pPr>
      <w:r>
        <w:rPr>
          <w:rFonts w:ascii="Amiri" w:hAnsi="Amiri" w:eastAsia="Amiri" w:cs="Amiri"/>
          <w:color w:val="111111"/>
          <w:sz w:val="28"/>
          <w:sz w:val="28"/>
          <w:szCs w:val="28"/>
          <w:rtl w:val="true"/>
          <w:lang w:bidi="ar-SA"/>
        </w:rPr>
        <w:t>و الأمرُ بالمعروفِ و النهيُ عن المُنكَرِ يَجِبان إذا لَم يؤَدّيا إلَى الفَسادِ فيهما؛ قَلَّ بِهما، أو كَثُرَ بِهما</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الواجبِ واجبٌ‌</w:t>
      </w:r>
      <w:r>
        <w:rPr>
          <w:rStyle w:val="FootnoteAnchor"/>
          <w:rtl w:val="true"/>
        </w:rPr>
        <w:footnoteReference w:id="1884"/>
      </w:r>
      <w:r>
        <w:rPr>
          <w:rFonts w:ascii="Amiri" w:hAnsi="Amiri" w:eastAsia="Amiri" w:cs="Amiri"/>
          <w:color w:val="111111"/>
          <w:sz w:val="28"/>
          <w:sz w:val="28"/>
          <w:szCs w:val="28"/>
          <w:rtl w:val="true"/>
          <w:lang w:bidi="ar-SA"/>
        </w:rPr>
        <w:t>، و المندوبِ‌</w:t>
      </w:r>
      <w:r>
        <w:rPr>
          <w:rStyle w:val="FootnoteAnchor"/>
          <w:rtl w:val="true"/>
        </w:rPr>
        <w:footnoteReference w:id="1885"/>
      </w:r>
      <w:r>
        <w:rPr>
          <w:rFonts w:ascii="Amiri" w:hAnsi="Amiri" w:eastAsia="Amiri" w:cs="Amiri"/>
          <w:color w:val="111111"/>
          <w:sz w:val="28"/>
          <w:sz w:val="28"/>
          <w:szCs w:val="28"/>
          <w:rtl w:val="true"/>
          <w:lang w:bidi="ar-SA"/>
        </w:rPr>
        <w:t>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المُنكَرِ كُلِّه واجبٌ‌؛ لأنّه لَيسَ في المُنكَرِ ما هو مُستَحَبُّ التَّركِ‌</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7642514_1280447820"/>
      <w:bookmarkStart w:id="419" w:name="_Toc144"/>
      <w:bookmarkEnd w:id="418"/>
      <w:r>
        <w:rPr>
          <w:rtl w:val="true"/>
        </w:rPr>
        <w:t>فَصلٌ في المَعادِ</w:t>
      </w:r>
      <w:bookmarkEnd w:id="419"/>
    </w:p>
    <w:p>
      <w:pPr>
        <w:pStyle w:val="BookText"/>
        <w:rPr/>
      </w:pPr>
      <w:r>
        <w:rPr>
          <w:rFonts w:ascii="Amiri" w:hAnsi="Amiri" w:eastAsia="Amiri" w:cs="Amiri"/>
          <w:color w:val="111111"/>
          <w:sz w:val="28"/>
          <w:sz w:val="28"/>
          <w:szCs w:val="28"/>
          <w:rtl w:val="true"/>
          <w:lang w:bidi="ar-SA"/>
        </w:rPr>
        <w:t>و يَجِبُ الإيمانُ بعَذابِ القَبرِ، و بفَناءِ العالَمِ و الإعادةِ إلَى الحِسابِ‌، و الميزانِ‌، و الصِّراطِ، و الجَنّةِ و النارِ؛ فمَن عَرَفَ ذلكَ مَعرِفةً صَحيحةً بتحقيقٍ‌، كانَ مُستَحِقّاً للثوابِ‌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 بالصوابِ‌،</w:t>
      </w:r>
      <w:r>
        <w:rPr>
          <w:rStyle w:val="FootnoteAnchor"/>
          <w:rtl w:val="true"/>
        </w:rPr>
        <w:footnoteReference w:id="1886"/>
      </w:r>
      <w:r>
        <w:rPr>
          <w:rFonts w:ascii="Amiri" w:hAnsi="Amiri" w:eastAsia="Amiri" w:cs="Amiri"/>
          <w:color w:val="111111"/>
          <w:sz w:val="28"/>
          <w:sz w:val="28"/>
          <w:szCs w:val="28"/>
          <w:rtl w:val="true"/>
          <w:lang w:bidi="ar-SA"/>
        </w:rPr>
        <w:t>و صَلَّى اللّٰهُ علىٰ سَيّدِنا مُحمّدٍ و آلِه الطيِّبينَ الطاهِرينَ‌</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6415_223991"/>
      <w:bookmarkStart w:id="421" w:name="pg16415_223991"/>
      <w:bookmarkEnd w:id="421"/>
    </w:p>
    <w:p>
      <w:pPr>
        <w:pStyle w:val="Heading4"/>
        <w:numPr>
          <w:ilvl w:val="3"/>
          <w:numId w:val="1"/>
        </w:numPr>
        <w:rPr/>
      </w:pPr>
      <w:bookmarkStart w:id="422" w:name="pg16415_223991"/>
      <w:bookmarkStart w:id="423" w:name="__RefHeading___Toc7642516_1280447820"/>
      <w:bookmarkStart w:id="424" w:name="_Toc145"/>
      <w:bookmarkEnd w:id="422"/>
      <w:bookmarkEnd w:id="423"/>
      <w:r>
        <w:rPr>
          <w:rtl w:val="true"/>
        </w:rPr>
        <w:t>(</w:t>
      </w:r>
      <w:r>
        <w:rPr/>
        <w:t>31</w:t>
      </w:r>
      <w:r>
        <w:rPr>
          <w:rtl w:val="true"/>
        </w:rPr>
        <w:t xml:space="preserve">) </w:t>
      </w:r>
      <w:r>
        <w:rPr>
          <w:rtl w:val="true"/>
        </w:rPr>
        <w:t>مسألة في الإنسان</w:t>
      </w:r>
      <w:bookmarkEnd w:id="42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5" w:name="__RefHeading___Toc7642518_1280447820"/>
      <w:bookmarkStart w:id="426" w:name="_Toc146"/>
      <w:bookmarkEnd w:id="425"/>
      <w:r>
        <w:rPr>
          <w:rtl w:val="true"/>
        </w:rPr>
        <w:t>اشارة</w:t>
      </w:r>
      <w:bookmarkEnd w:id="42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6415_223993"/>
      <w:bookmarkStart w:id="428" w:name="pg16415_223993"/>
      <w:bookmarkEnd w:id="428"/>
    </w:p>
    <w:p>
      <w:pPr>
        <w:pStyle w:val="Heading5"/>
        <w:numPr>
          <w:ilvl w:val="4"/>
          <w:numId w:val="1"/>
        </w:numPr>
        <w:rPr/>
      </w:pPr>
      <w:bookmarkStart w:id="429" w:name="pg16415_223993"/>
      <w:bookmarkStart w:id="430" w:name="__RefHeading___Toc7642520_1280447820"/>
      <w:bookmarkStart w:id="431" w:name="_Toc147"/>
      <w:bookmarkEnd w:id="429"/>
      <w:bookmarkEnd w:id="430"/>
      <w:r>
        <w:rPr>
          <w:rtl w:val="true"/>
        </w:rPr>
        <w:t>مقدّمة التحقيق</w:t>
      </w:r>
      <w:bookmarkEnd w:id="431"/>
    </w:p>
    <w:p>
      <w:pPr>
        <w:pStyle w:val="Heading6"/>
        <w:numPr>
          <w:ilvl w:val="5"/>
          <w:numId w:val="1"/>
        </w:numPr>
        <w:rPr/>
      </w:pPr>
      <w:bookmarkStart w:id="432" w:name="__RefHeading___Toc7642522_1280447820"/>
      <w:bookmarkStart w:id="433" w:name="_Toc148"/>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تحدّث المتكلّمون كثيراً عن التكاليف التي ينبغي على المكلّف القيام بها، فبحثوا عن أوّل الواجبات على المكلّف، و عن تكليفه بالاعتقاد بمجموعة من العقائد التي هي شرط الإيمان، فلولا الاعتقاد بها لخرج المكلّف عن الإيمان، مثل وجوب الاعتقاد بالتوحيد، و النبوّة، و المعاد،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اهتمامهم بمبحث التكليف، أخذوا يبحثون عن شروطه، و عن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شروطه، و عن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تتوجّه إليه التكاليف، فجرّهم هذا البحث إلى البحث عن حقيقة المكلَّف و ماهيّته، فظهر بحث جديد طرح على طاولة البحث الكلامي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 خلاف بين المتكلّمين حول ذلك، فذهب البعض إلى أنّ حقيقة الإنسان هو هذا الجسم المُشاهَد، و أنّه ليست فيه أيّ جهة مجرّدة روحانيّة، فيما ذهب آخرون إلى اعتبار حقيقته هي روحه المجرّدة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الإماميّة فكانت نظريّة تجرّد حقيقة الإنسان هي النظريّة المتداوَلة بينهم لعدّة قرون، فقد ذهب إليها هشام بن الحكم في عصر الحضور، و استمرّ على القول بها مجموعة من متكلّمي القرن الثالث و الرابع و الخامس، مثل 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 xml:space="preserve">، و أبي الجيش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أبي سهل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أبي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يعلى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الشيخ المفيد و صهره و الجالس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وصلت النوبة إلى الشريف المرتضى قام باختيار النظريّة الأُخرى القائلة بجسمانية حقيقة الإنسان، و استدلّ عليها، و دافع عنها في أكثر من كتاب و رسالة</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ألّف الرسالة محلّ البحث حول هذا الموضوع أيضاً، و هي من الرسائل الجديدة التي عُثر عليها في ضمن مخطوطات رسائل الشريف المرتضى الأُخرى، و هي متطابقة إلى حدّ كبير جدّاً مع عبارات بحث حقيقة الإنسان من كتاب الذخيرة</w:t>
      </w:r>
      <w:r>
        <w:rPr>
          <w:rStyle w:val="FootnoteAnchor"/>
          <w:rtl w:val="true"/>
        </w:rPr>
        <w:footnoteReference w:id="1893"/>
      </w:r>
      <w:r>
        <w:rPr>
          <w:rFonts w:ascii="Amiri" w:hAnsi="Amiri" w:eastAsia="Amiri" w:cs="Amiri"/>
          <w:color w:val="111111"/>
          <w:sz w:val="28"/>
          <w:sz w:val="28"/>
          <w:szCs w:val="28"/>
          <w:rtl w:val="true"/>
          <w:lang w:bidi="ar-SA"/>
        </w:rPr>
        <w:t>، حتّى يمكن الاستعانة بنسخة هذه الرسالة لتصحيح بعض ألفاظ و عبارات هذا البحث من الذخيرة، فإنّ التطابق وصل أحياناً إلى نقل عين عبارات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خلوّ الرسالة من أيّ فائدة زائدة على ما في الذخيرة، بل فيها بعض الفوائد التي يمكن الإشارة إلى بعضها، مثل وجود إشارة إلى كتاب الإنسان لأبي سهل النوبختي، أو مناقشة تعريف الفلاسفة للإنسان بصورة مفصّلة، أو الإشارة في خاتمة الرسالة إلى إشكال حول النظريّة المختارة و الجواب عليه، و غير ذلك من الفوائد، و كلّها غير مذكورة في الذخيرة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التطابق الكبير بين الرسالة و كتاب الذخيرة يعتبر شاهداً جيّداً على تصحيح نسبة الرسالة إلى الشريف المرتضى، كما أنّ ورود نسخة الرسالة في ذيل نسخة المسائل الطرابلسيات الأُولى قد يعتبر شاهداً آخر على ذلك</w:t>
      </w:r>
      <w:r>
        <w:rPr>
          <w:rFonts w:eastAsia="Amiri" w:cs="Amiri" w:ascii="Amiri" w:hAnsi="Amiri"/>
          <w:color w:val="111111"/>
          <w:sz w:val="28"/>
          <w:szCs w:val="28"/>
          <w:rtl w:val="true"/>
          <w:lang w:bidi="ar-SA"/>
        </w:rPr>
        <w:t xml:space="preserve">. </w:t>
      </w:r>
      <w:bookmarkStart w:id="434" w:name="pg16415_223995"/>
    </w:p>
    <w:p>
      <w:pPr>
        <w:pStyle w:val="Heading6"/>
        <w:numPr>
          <w:ilvl w:val="5"/>
          <w:numId w:val="1"/>
        </w:numPr>
        <w:rPr/>
      </w:pPr>
      <w:bookmarkStart w:id="435" w:name="__RefHeading___Toc7642524_1280447820"/>
      <w:bookmarkStart w:id="436" w:name="_Toc149"/>
      <w:bookmarkEnd w:id="434"/>
      <w:bookmarkEnd w:id="435"/>
      <w:r>
        <w:rPr>
          <w:rtl w:val="true"/>
        </w:rPr>
        <w:t>محتوى الرسالة</w:t>
      </w:r>
      <w:bookmarkEnd w:id="436"/>
    </w:p>
    <w:p>
      <w:pPr>
        <w:pStyle w:val="BookText"/>
        <w:rPr/>
      </w:pPr>
      <w:r>
        <w:rPr>
          <w:rFonts w:ascii="Amiri" w:hAnsi="Amiri" w:eastAsia="Amiri" w:cs="Amiri"/>
          <w:color w:val="111111"/>
          <w:sz w:val="28"/>
          <w:sz w:val="28"/>
          <w:szCs w:val="28"/>
          <w:rtl w:val="true"/>
          <w:lang w:bidi="ar-SA"/>
        </w:rPr>
        <w:t>تعرّض الشريف المرتضى في البداية إلى الأقوال المطروحة حول حقيقة الإنسان، فبدأ بنظريّته القائلة بأنّ الإنسان هو هذه الجملة المشاهَدة، أي هذا المجموع المشاهَد من جسم الإنسان ككلّ‌، لا خصوص اليد و الرجل مثلاً، بل الكلّ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أنّ البحث غير خاصّ بالإنسان، بل هو عامّ يشمل الملائكة و الجنّ‌، فالبحث يُطرح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الحيّ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يبدو أنّه لأهمّية الإنسان عرف البحث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الاسم العامّ الآخر ليس أقلّ شهرة بين المتكلّمين من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الشريف المرتضى عند بيانه لنظريّته أنّ التمثال المصنوع من خشب أو شمع على صورة إنسان لا يسمّى إنساناً حقيقة؛ لاشتراط الأعراض الخاصّة بالإنسان في إطلاق هذا الاسم، و هذه الأعراض غير موجودة في التمثال الخشبي أو الشمعي، نعم الإنسان الميّت يسمّى إنساناً على الحقيقة، و لا يمنع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هو الحيّ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ذلك على الميّت؛ فإنّ أهل اللغة يسمّون الميّت بأنّه إنسان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وفقاً لهذه النظريّة ستكون أطراف الإنسان من يد و رجل داخلةً في حقيقة الإنسان إذا كانت فيها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قطعت وصف الشخص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يعني أنّه ناقص في كونه حيّاً، بل هو ناقص اليد أو ناقص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النظريّات الأُخرى حول حقيقة الإنسان،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المتكلّمين إلى أنّ الإنسان هو حقيقة مجرّدة ليس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عرض حالّ في هذا الجسم المشاهَد، و هو يفعل في هذا الجسم و يدبّره و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آخرون إلى أنّه جزء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رقيق منساب في جميع جسم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الفلاسفة إلى أنّه الحيّ الميّت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الشريف المرتضى على نظريّته بما يلي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حقيقة الإنسان مجرّدة، و كان الإنسان يفعل في جسمه و </w:t>
      </w:r>
    </w:p>
    <w:p>
      <w:pPr>
        <w:pStyle w:val="BookText"/>
        <w:rPr/>
      </w:pPr>
      <w:r>
        <w:rPr>
          <w:rFonts w:ascii="Amiri" w:hAnsi="Amiri" w:eastAsia="Amiri" w:cs="Amiri"/>
          <w:color w:val="111111"/>
          <w:sz w:val="28"/>
          <w:sz w:val="28"/>
          <w:szCs w:val="28"/>
          <w:rtl w:val="true"/>
          <w:lang w:bidi="ar-SA"/>
        </w:rPr>
        <w:t>يدبّره، فيلزم أن يفعل ذلك بالاختراع لا المباشرة و لا بالتولّد، أي يفعل في جسمه عن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باطل؛ لأنّنا نشعر بثقل الشيء إذا حملناه بيد واحدة، فإذا استعنّا باليد الأُخرى خفّ عليه حمله، و هذا يدلّ على أنّ القدرة موجودة في اليدين، بينما على القول بالاختراع تكون القدرة في أمر مجرّد و منفصل عن الجسم، فينبغي أن لا يكون هناك فرق بين حمل الشيء بيد واحدة أو يدين؛ لأنّ القدرة ليست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الإشكال يرد على القائل بأنّ الإنسان معنى في القلب؛ فإنّ القدرة تكون في هذا المعنى، لا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يعاني من أمراض شديدة قد يصل به الأمر إلى العجز عن تحريك يده مع أنّ اليد في حدّ ذاتها قابلة للحركة، فلو كان الإنسان يخترع أفعاله في جسده لكان ينبغي أن يقدر هذا المريض على تحريك يده؛ لأنّه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قادر على أُمور أُخرى من إرادة و كراهة و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قابليّة الحركة؛ لأنّ غير المريض يمكن أن يمسك بيد هذا المريض و يحرّكها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يحرّكها على نحو التولّد، و كلامنا حول أنّ المرض يمنع من اختراع الحركة في اليد و ابتدائها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إذا لم تتقبّل الحركة لم تتقبّلها على أيّ نحو كان، سواء بالتولّد أو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قادر على اختراع الحركة في يد هذا المريض، و هذا يعني أنّ المرض لم يمنع من اختراع الحركة أو توليدها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هذا دلّ على أنّ القدرة كانت موجودة في اليد ثمّ زالت، و لهذا عجز المريض عن تحريكها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الدليل يُبطل قول من ذهب إلى تجرّد حقيقة الإنسان أو كونه جزءاً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القول الأخير أيضاً أنّه لو كان كذلك لم يمكن تحريك الأطراف؛ لأنّ هذا المعنى الذي في القلب إمّا أن يَفعل بالاختراع وقد تقدّم بطلانه، و إمّا بالتولّد، و هو باطل أيضاً؛ لأنّه يستلزم أن نشعر عند تحريك اليد مثلاً بحركة على نحو </w:t>
      </w:r>
    </w:p>
    <w:p>
      <w:pPr>
        <w:pStyle w:val="BookText"/>
        <w:rPr/>
      </w:pPr>
      <w:r>
        <w:rPr>
          <w:rFonts w:ascii="Amiri" w:hAnsi="Amiri" w:eastAsia="Amiri" w:cs="Amiri"/>
          <w:color w:val="111111"/>
          <w:sz w:val="28"/>
          <w:sz w:val="28"/>
          <w:szCs w:val="28"/>
          <w:rtl w:val="true"/>
          <w:lang w:bidi="ar-SA"/>
        </w:rPr>
        <w:t>الجذب و الدفع في القلب، مثل أن تكون هناك أربطة و أعصاب توصل بين القلب و اليد فيشدّها القلب و يجرّها أو يدفعها، ممّا يؤدي إلى حصول الحركة في اليد، مع أنّه لا يوجد شيء من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يبطل القول بتجرّد الإنسان أنّنا نشعر بوجود الإرادة في قلبنا، فإذا أكثرنا من الفكر و البحث العلمي شعرنا بالتعب في قلبنا، و هذا يدلّ على أنّ الإرادة و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أهمّ خصائص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هذا القلب المادّي، فلا يكون الإنسان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يبطله أيضاً أنّه بناءً عليه لا يكون الإنسان مختصّاً بهذا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جسم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الاختصاص يكون بالمجاورة أو الحلول، و لا شيء من ذلك بين الإنسان و هذا الجسم، فلا يكون هذا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بالاختصاص بالإنسانيّة من أيّ جسم آخر مثل جسم عمرو أو بكر،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يبطله أيضاً أنّهم لا يمكنهم أن يفسّروا موت الإنسان عند قطع رأسه أو قطع جسده من الوسط، فإنّ نقص الجسم لا يؤثّر على حقيقة الإنسان المجرّدة، ثمّ لماذا مات الإنسان بهذا النقص و لم يمت بقطع يده أو رجله، مع أنّه نقص أيضاً؟</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و ذمّ و أمر و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بهذا الشخص الجسماني الذي نشاهده واقفاً أمامنا، فهذه الأُمور متوجّهة إليه، فيجب أن يكون هذا الجسم هو الإنسان، فلا يصحّ تركه و اللجوء إلى أمر غير معلوم كالحقيقة المجرّدة، و إلّاأدّى ذلك إلى الجهالات و السفسطة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ندرك و نحسّ بكلّ أعضائنا، فلا بدّ أن تكون الحياة حالّة في الأعضاء، و إلّاكانت كالشعر و الظفر الخالية من الإدراك 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نسأل عن مكان هذه الحياة، فهي لا يمكن أن تحلّ كلّ أعضاء الجسم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عندنا أحياء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يمكن أن توجب الحياةَ لغير هذا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تختصّ بجسم معيّن آخر، فلا ترجيح لجسم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أنّها تحلّ هذا الجسم ككلّ‌، أي أنّها تحلّ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أشكل على قول النظّام باليد الشلّاء، فهي لا تتحرّك، و لو كان الحيّ غير هذه الجملة لحرّكها، خاصّة و هي لم تخرج من قابلية الحركة؛ لقدرة اللّٰه تعالى على تحريكها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قول النظّام أيضاً بأنّه ما المقصود بالروح‌؟ هل المقصود الحياة التي هي عرض، أو الهواء المتنقّل في فجوات و فراغات الجسم‌؟ و على كلا المعنيين لا يمكن أن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أيضاً بأنّ الإدراك و الحسّ يقع بأطراف الجسم، فلو كان المحرّك شيئاً داخل الجسم لكان تحريكه بالشدّ و الدفع،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أيضاً بأنّه لا يمكن للنظّام أن يفسّر وقوع الموت بقطع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 بأنّ الإنسان جسم رقيق منساب في الجسم فقال في التفريق بين قطع الرأس و اليد أنّه عند قطع اليد يتقلّص الظاهر فقط و ينقص دون الباطن، فلا يتحقّق الموت، بينما عند قطع الرأس ينقطع الظاهر و الباطن فيتحقّق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أنّه إذا جاز تقلّص الظاهر فقط في قطع اليد جاز كذلك في قطع الرأس، و حينئذ يجوز أن يبقى من قُطع رأسه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ذكر الشريف المرتضى إشكالين أوردا على النظريّة المختارة،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ترجع صفة واحدة إلى مجموعة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يتحقّق الحيّ من انضمام غير حيّ إلى غير حيّ؟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اقتضى ذلك، فلا معنى للتعجّب ممّا اقتضاه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وجدنا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كالمدح 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متوجّهة إلى الجملة، فعلمنا أنّها هي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عجب من ضمّ شيء غير حيّ إلى غير حيّ فيحصل الحيّ‌، فقد يضمّ ما ليس بمعجز إلى أمر آخر غير معجز، فيحصل أمر معجز</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الإنسان هو هذه الجملة، لتغيّرت حقيقته بحصول السمنة و الهزال</w:t>
      </w:r>
      <w:r>
        <w:rPr>
          <w:rFonts w:eastAsia="Amiri" w:cs="Amiri" w:ascii="Amiri" w:hAnsi="Amiri"/>
          <w:color w:val="111111"/>
          <w:sz w:val="28"/>
          <w:szCs w:val="28"/>
          <w:rtl w:val="true"/>
          <w:lang w:bidi="ar-SA"/>
        </w:rPr>
        <w:t xml:space="preserve">. </w:t>
      </w:r>
      <w:bookmarkStart w:id="437" w:name="pg16415_223999"/>
    </w:p>
    <w:p>
      <w:pPr>
        <w:pStyle w:val="BookText"/>
        <w:rPr/>
      </w:pPr>
      <w:bookmarkEnd w:id="43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ثابتة و لا تتغيّر بالسمن و الهزال، فنحن نعلم أنّ الإنسان حيّ قادر، و هذا العلم لا يتغيّر بزيادة اللحم أو قلّته</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642526_1280447820"/>
      <w:bookmarkStart w:id="439" w:name="_Toc150"/>
      <w:bookmarkEnd w:id="438"/>
      <w:r>
        <w:rPr>
          <w:rtl w:val="true"/>
        </w:rPr>
        <w:t>مخطوطات الرسالة</w:t>
      </w:r>
      <w:bookmarkEnd w:id="439"/>
    </w:p>
    <w:p>
      <w:pPr>
        <w:pStyle w:val="BookText"/>
        <w:rPr/>
      </w:pPr>
      <w:r>
        <w:rPr>
          <w:rFonts w:ascii="Amiri" w:hAnsi="Amiri" w:eastAsia="Amiri" w:cs="Amiri"/>
          <w:color w:val="111111"/>
          <w:sz w:val="28"/>
          <w:sz w:val="28"/>
          <w:szCs w:val="28"/>
          <w:rtl w:val="true"/>
          <w:lang w:bidi="ar-SA"/>
        </w:rPr>
        <w:t>مخطوطات هذه المسألة هي نفس مخطوطات الطرابلسيّات الأُولى،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المخطوطة، كُتبت بخطّ النستعليق، و هي من مخطوطات القرن الحادي عشر، ورد عنوان المخطوط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جوابات مسائل شتّى التي قد سئل السيّد المرتضى رضي اللّٰه عنه عنها، و هو ذو فوائد كثيرة في أنواع المطالب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في الفهرس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آية اللّٰه السيّد البروجردي في قم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المخطوطة، و عليها تملّك المحدّث السيّد عبد اللّٰه بن محمّدرضا شبّر و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باللّٰه الغني عبده عبد اللّٰه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ملاحظات بخطّ آية اللّٰه السيّد البروجردي، و في آخرها علامة البلاغ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المدرسة الجعفريّة في قائن بخراسان،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ضمن مجموعة استنسخها الملّا محمّد اللاري بخطّ نسخ جميل، و فرغ منها في غرّة شهر المحرّم سنة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نسخة مصحّحة،</w:t>
      </w:r>
    </w:p>
    <w:p>
      <w:pPr>
        <w:pStyle w:val="BookText"/>
        <w:rPr/>
      </w:pPr>
      <w:r>
        <w:rPr>
          <w:rFonts w:ascii="Amiri" w:hAnsi="Amiri" w:eastAsia="Amiri" w:cs="Amiri"/>
          <w:color w:val="111111"/>
          <w:sz w:val="28"/>
          <w:sz w:val="28"/>
          <w:szCs w:val="28"/>
          <w:rtl w:val="true"/>
          <w:lang w:bidi="ar-SA"/>
        </w:rPr>
        <w:t xml:space="preserve">استكتبها الشيخ محمّد ابن خاتون العاملي، و عليها تملّك السلطان محمود القائني في سنة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كتبت عناوينها بالشنجرف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مصوّرتها في مركز إحياء التراث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ملك العامّة في طهران، برقم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w:t>
      </w:r>
      <w:r>
        <w:rPr>
          <w:rStyle w:val="FootnoteAnchor"/>
          <w:rtl w:val="true"/>
        </w:rPr>
        <w:footnoteReference w:id="1895"/>
      </w:r>
      <w:r>
        <w:rPr>
          <w:rFonts w:ascii="Amiri" w:hAnsi="Amiri" w:eastAsia="Amiri" w:cs="Amiri"/>
          <w:color w:val="111111"/>
          <w:sz w:val="28"/>
          <w:sz w:val="28"/>
          <w:szCs w:val="28"/>
          <w:rtl w:val="true"/>
          <w:lang w:bidi="ar-SA"/>
        </w:rPr>
        <w:t xml:space="preserve">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مجموعة، كتبت بخطّ النسخ، و فُرغ من نسخها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كُتبت عناوينها بالشنجرف، و ورد عنوانها في الفهرست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في المسائل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مجموعة، استنسخها سليمان بن المولى مبارك بن إبراهيم بن عبد اللّٰه بن معين الدين القرشي، بخطّ النسخ، غير مورّخة، و في بعض مواضع النسخة بياض، و الظاهر أنّها نسخت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لما ورد في أوّل المخطوطة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بخطّ كمال الدين خفري است كه در كلكته سنة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ترقيم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كتابت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بن القاضي عبد الوهّاب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440" w:name="pg16415_224001"/>
    </w:p>
    <w:p>
      <w:pPr>
        <w:pStyle w:val="Heading5"/>
        <w:numPr>
          <w:ilvl w:val="4"/>
          <w:numId w:val="1"/>
        </w:numPr>
        <w:rPr/>
      </w:pPr>
      <w:bookmarkStart w:id="441" w:name="__RefHeading___Toc7642528_1280447820"/>
      <w:bookmarkStart w:id="442" w:name="_Toc151"/>
      <w:bookmarkEnd w:id="440"/>
      <w:bookmarkEnd w:id="441"/>
      <w:r>
        <w:rPr>
          <w:rtl w:val="true"/>
        </w:rPr>
        <w:t>مسألةٌ في الإنسانِ‌</w:t>
      </w:r>
      <w:bookmarkEnd w:id="442"/>
    </w:p>
    <w:p>
      <w:pPr>
        <w:pStyle w:val="Heading6"/>
        <w:numPr>
          <w:ilvl w:val="5"/>
          <w:numId w:val="1"/>
        </w:numPr>
        <w:rPr/>
      </w:pPr>
      <w:bookmarkStart w:id="443" w:name="__RefHeading___Toc7642530_1280447820"/>
      <w:bookmarkStart w:id="444" w:name="_Toc152"/>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مسألةٌ في</w:t>
      </w:r>
      <w:r>
        <w:rPr>
          <w:rStyle w:val="FootnoteAnchor"/>
          <w:rtl w:val="true"/>
        </w:rPr>
        <w:footnoteReference w:id="1896"/>
      </w:r>
      <w:r>
        <w:rPr>
          <w:rFonts w:ascii="Amiri" w:hAnsi="Amiri" w:eastAsia="Amiri" w:cs="Amiri"/>
          <w:color w:val="111111"/>
          <w:sz w:val="28"/>
          <w:sz w:val="28"/>
          <w:szCs w:val="28"/>
          <w:rtl w:val="true"/>
          <w:lang w:bidi="ar-SA"/>
        </w:rPr>
        <w:t>الإنسانِ‌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Style w:val="FootnoteAnchor"/>
          <w:rtl w:val="true"/>
        </w:rPr>
        <w:footnoteReference w:id="1897"/>
      </w:r>
      <w:r>
        <w:rPr>
          <w:rFonts w:ascii="Amiri" w:hAnsi="Amiri" w:eastAsia="Amiri" w:cs="Amiri"/>
          <w:color w:val="111111"/>
          <w:sz w:val="28"/>
          <w:sz w:val="28"/>
          <w:szCs w:val="28"/>
          <w:rtl w:val="true"/>
          <w:lang w:bidi="ar-SA"/>
        </w:rPr>
        <w:t>في هذهِ المسألةِ‌</w:t>
      </w:r>
      <w:r>
        <w:rPr>
          <w:rStyle w:val="FootnoteAnchor"/>
          <w:rtl w:val="true"/>
        </w:rPr>
        <w:footnoteReference w:id="1898"/>
      </w:r>
      <w:r>
        <w:rPr>
          <w:rFonts w:ascii="Amiri" w:hAnsi="Amiri" w:eastAsia="Amiri" w:cs="Amiri"/>
          <w:color w:val="111111"/>
          <w:sz w:val="28"/>
          <w:sz w:val="28"/>
          <w:szCs w:val="28"/>
          <w:rtl w:val="true"/>
          <w:lang w:bidi="ar-SA"/>
        </w:rPr>
        <w:t>أن نُبيِّنَ كلاماً وجيزاً فيها يُطَّلَعُ به علىٰ أُصولِها و طَريقِ الكلامِ فيها، و أنّ مَن ضَبَطَ ما نورِدُه تَمكَّنَ مِن نَقضِ‌</w:t>
      </w:r>
      <w:r>
        <w:rPr>
          <w:rStyle w:val="FootnoteAnchor"/>
          <w:rtl w:val="true"/>
        </w:rPr>
        <w:footnoteReference w:id="1899"/>
      </w:r>
      <w:r>
        <w:rPr>
          <w:rFonts w:ascii="Amiri" w:hAnsi="Amiri" w:eastAsia="Amiri" w:cs="Amiri"/>
          <w:color w:val="111111"/>
          <w:sz w:val="28"/>
          <w:sz w:val="28"/>
          <w:szCs w:val="28"/>
          <w:rtl w:val="true"/>
          <w:lang w:bidi="ar-SA"/>
        </w:rPr>
        <w:t>كلامِ المُخالِفينَ في هذه المسألة علَى افتراقِهم، و تَمكَّنَ مِن مَعرِفةِ فَسادِ ما أَورَدَه أبو سَهلٍ النَّيبَختيُّ‌</w:t>
      </w:r>
      <w:r>
        <w:rPr>
          <w:rStyle w:val="FootnoteAnchor"/>
          <w:rtl w:val="true"/>
        </w:rPr>
        <w:footnoteReference w:id="1900"/>
      </w:r>
      <w:r>
        <w:rPr>
          <w:rFonts w:ascii="Amiri" w:hAnsi="Amiri" w:eastAsia="Amiri" w:cs="Amiri"/>
          <w:color w:val="111111"/>
          <w:sz w:val="28"/>
          <w:sz w:val="28"/>
          <w:szCs w:val="28"/>
          <w:rtl w:val="true"/>
          <w:lang w:bidi="ar-SA"/>
        </w:rPr>
        <w:t>رَحِمَه اللّٰهُ في كتابِه في الإنسانِ‌</w:t>
      </w:r>
      <w:r>
        <w:rPr>
          <w:rStyle w:val="FootnoteAnchor"/>
          <w:rtl w:val="true"/>
        </w:rPr>
        <w:footnoteReference w:id="1901"/>
      </w:r>
      <w:r>
        <w:rPr>
          <w:rFonts w:ascii="Amiri" w:hAnsi="Amiri" w:eastAsia="Amiri" w:cs="Amiri"/>
          <w:color w:val="111111"/>
          <w:sz w:val="28"/>
          <w:sz w:val="28"/>
          <w:szCs w:val="28"/>
          <w:rtl w:val="true"/>
          <w:lang w:bidi="ar-SA"/>
        </w:rPr>
        <w:t>، فهذا أَولىٰ من التشاغُلِ بنَقضِ ذلكَ الكتابِ‌؛ لقِلّةِ إفادتِه</w:t>
      </w:r>
      <w:r>
        <w:rPr>
          <w:rStyle w:val="FootnoteAnchor"/>
          <w:rtl w:val="true"/>
        </w:rPr>
        <w:footnoteReference w:id="1902"/>
      </w:r>
      <w:r>
        <w:rPr>
          <w:rFonts w:ascii="Amiri" w:hAnsi="Amiri" w:eastAsia="Amiri" w:cs="Amiri"/>
          <w:color w:val="111111"/>
          <w:sz w:val="28"/>
          <w:sz w:val="28"/>
          <w:szCs w:val="28"/>
          <w:rtl w:val="true"/>
          <w:lang w:bidi="ar-SA"/>
        </w:rPr>
        <w:t>، و كَثرةِ الفائدةِ فيما نورِدُه و نَعتَمِدُه</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7642532_1280447820"/>
      <w:bookmarkStart w:id="446" w:name="_Toc153"/>
      <w:bookmarkEnd w:id="445"/>
      <w:r>
        <w:rPr>
          <w:rtl w:val="true"/>
        </w:rPr>
        <w:t>بيان الأقوال في حقيقة الإنسان</w:t>
      </w:r>
      <w:bookmarkEnd w:id="44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Style w:val="FootnoteAnchor"/>
          <w:rtl w:val="true"/>
        </w:rPr>
        <w:footnoteReference w:id="1903"/>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قومٌ‌</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r>
        <w:rPr>
          <w:rStyle w:val="FootnoteAnchor"/>
          <w:rtl w:val="true"/>
        </w:rPr>
        <w:footnoteReference w:id="1905"/>
      </w:r>
      <w:r>
        <w:rPr>
          <w:rFonts w:ascii="Amiri" w:hAnsi="Amiri" w:eastAsia="Amiri" w:cs="Amiri"/>
          <w:color w:val="111111"/>
          <w:sz w:val="28"/>
          <w:sz w:val="28"/>
          <w:szCs w:val="28"/>
          <w:rtl w:val="true"/>
          <w:lang w:bidi="ar-SA"/>
        </w:rPr>
        <w:t>تَتعلَّقُ الأحكامُ به مِن أمرٍ و نَهيٍ و مَدحٍ و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الحَيُّ الفَعّالُ‌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إذا كانَ مَبنيّاً مِن هذه البِنيةِ‌، و قد يُسَمَّى</w:t>
      </w:r>
      <w:r>
        <w:rPr>
          <w:rStyle w:val="FootnoteAnchor"/>
          <w:rtl w:val="true"/>
        </w:rPr>
        <w:footnoteReference w:id="1907"/>
      </w:r>
      <w:r>
        <w:rPr>
          <w:rFonts w:ascii="Amiri" w:hAnsi="Amiri" w:eastAsia="Amiri" w:cs="Amiri"/>
          <w:color w:val="111111"/>
          <w:sz w:val="28"/>
          <w:sz w:val="28"/>
          <w:szCs w:val="28"/>
          <w:rtl w:val="true"/>
          <w:lang w:bidi="ar-SA"/>
        </w:rPr>
        <w:t xml:space="preserve">الحَيُّ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بأسماءٍ أُخَرَ موضوعةٍ لذلكَ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الفَلاسفةُ تُسَمّي الحَيَّ الفَعّالَ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الفَعّالَ هو ذاتٌ مِن الذواتِ‌، لَيسَت بجَوهرٍ مُتَحَيِّزٍ و لا</w:t>
      </w:r>
      <w:r>
        <w:rPr>
          <w:rStyle w:val="FootnoteAnchor"/>
          <w:rtl w:val="true"/>
        </w:rPr>
        <w:footnoteReference w:id="1908"/>
      </w:r>
      <w:r>
        <w:rPr>
          <w:rFonts w:ascii="Amiri" w:hAnsi="Amiri" w:eastAsia="Amiri" w:cs="Amiri"/>
          <w:color w:val="111111"/>
          <w:sz w:val="28"/>
          <w:sz w:val="28"/>
          <w:szCs w:val="28"/>
          <w:rtl w:val="true"/>
          <w:lang w:bidi="ar-SA"/>
        </w:rPr>
        <w:t>عَرَضٍ حالٍّ في هذه الجُملةِ‌، و إن كانَ فاعلاً</w:t>
      </w:r>
      <w:r>
        <w:rPr>
          <w:rStyle w:val="FootnoteAnchor"/>
          <w:rtl w:val="true"/>
        </w:rPr>
        <w:footnoteReference w:id="1909"/>
      </w:r>
      <w:r>
        <w:rPr>
          <w:rFonts w:ascii="Amiri" w:hAnsi="Amiri" w:eastAsia="Amiri" w:cs="Amiri"/>
          <w:color w:val="111111"/>
          <w:sz w:val="28"/>
          <w:sz w:val="28"/>
          <w:szCs w:val="28"/>
          <w:rtl w:val="true"/>
          <w:lang w:bidi="ar-SA"/>
        </w:rPr>
        <w:t>فيها و مُصَرِّفاً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المَذهبُ يُحكىٰ عن مُعمَّرٍ</w:t>
      </w:r>
      <w:r>
        <w:rPr>
          <w:rStyle w:val="FootnoteAnchor"/>
          <w:rtl w:val="true"/>
        </w:rPr>
        <w:footnoteReference w:id="1910"/>
      </w:r>
      <w:r>
        <w:rPr>
          <w:rFonts w:ascii="Amiri" w:hAnsi="Amiri" w:eastAsia="Amiri" w:cs="Amiri"/>
          <w:color w:val="111111"/>
          <w:sz w:val="28"/>
          <w:sz w:val="28"/>
          <w:szCs w:val="28"/>
          <w:rtl w:val="true"/>
          <w:lang w:bidi="ar-SA"/>
        </w:rPr>
        <w:t>، و كانَ أبو مُحمّدٍ</w:t>
      </w:r>
      <w:r>
        <w:rPr>
          <w:rStyle w:val="FootnoteAnchor"/>
          <w:rtl w:val="true"/>
        </w:rPr>
        <w:footnoteReference w:id="1911"/>
      </w:r>
      <w:r>
        <w:rPr>
          <w:rFonts w:ascii="Amiri" w:hAnsi="Amiri" w:eastAsia="Amiri" w:cs="Amiri"/>
          <w:color w:val="111111"/>
          <w:sz w:val="28"/>
          <w:sz w:val="28"/>
          <w:szCs w:val="28"/>
          <w:rtl w:val="true"/>
          <w:lang w:bidi="ar-SA"/>
        </w:rPr>
        <w:t>الحَسَنُ بنُ موسىٰ‌</w:t>
      </w:r>
      <w:r>
        <w:rPr>
          <w:rStyle w:val="FootnoteAnchor"/>
          <w:rtl w:val="true"/>
        </w:rPr>
        <w:footnoteReference w:id="1912"/>
      </w:r>
      <w:r>
        <w:rPr>
          <w:rFonts w:ascii="Amiri" w:hAnsi="Amiri" w:eastAsia="Amiri" w:cs="Amiri"/>
          <w:color w:val="111111"/>
          <w:sz w:val="28"/>
          <w:sz w:val="28"/>
          <w:szCs w:val="28"/>
          <w:rtl w:val="true"/>
          <w:lang w:bidi="ar-SA"/>
        </w:rPr>
        <w:t xml:space="preserve">و أبو سَهلٍ النَّوبَختيّانِ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يَذهَبانِ إليه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الفُوَطيُّ‌</w:t>
      </w:r>
      <w:r>
        <w:rPr>
          <w:rStyle w:val="FootnoteAnchor"/>
          <w:rtl w:val="true"/>
        </w:rPr>
        <w:footnoteReference w:id="1913"/>
      </w:r>
      <w:r>
        <w:rPr>
          <w:rFonts w:ascii="Amiri" w:hAnsi="Amiri" w:eastAsia="Amiri" w:cs="Amiri"/>
          <w:color w:val="111111"/>
          <w:sz w:val="28"/>
          <w:sz w:val="28"/>
          <w:szCs w:val="28"/>
          <w:rtl w:val="true"/>
          <w:lang w:bidi="ar-SA"/>
        </w:rPr>
        <w:t>و ابنُ الراوَنديِّ‌</w:t>
      </w:r>
      <w:r>
        <w:rPr>
          <w:rStyle w:val="FootnoteAnchor"/>
          <w:rtl w:val="true"/>
        </w:rPr>
        <w:footnoteReference w:id="1914"/>
      </w:r>
      <w:r>
        <w:rPr>
          <w:rFonts w:ascii="Amiri" w:hAnsi="Amiri" w:eastAsia="Amiri" w:cs="Amiri"/>
          <w:color w:val="111111"/>
          <w:sz w:val="28"/>
          <w:sz w:val="28"/>
          <w:szCs w:val="28"/>
          <w:rtl w:val="true"/>
          <w:lang w:bidi="ar-SA"/>
        </w:rPr>
        <w:t xml:space="preserve">يَذهَبانِ جَميعاً إلىٰ أ نّه جُزءٌ في </w:t>
      </w:r>
      <w:bookmarkStart w:id="447" w:name="pg16415_224003"/>
    </w:p>
    <w:p>
      <w:pPr>
        <w:pStyle w:val="BookText"/>
        <w:rPr/>
      </w:pPr>
      <w:bookmarkEnd w:id="447"/>
      <w:r>
        <w:rPr>
          <w:rFonts w:ascii="Amiri" w:hAnsi="Amiri" w:eastAsia="Amiri" w:cs="Amiri"/>
          <w:color w:val="111111"/>
          <w:sz w:val="28"/>
          <w:sz w:val="28"/>
          <w:szCs w:val="28"/>
          <w:rtl w:val="true"/>
          <w:lang w:bidi="ar-SA"/>
        </w:rPr>
        <w:t>القَلبِ مِن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النظّامُ‌</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الروحُ‌، و هي الحياةُ المُداخِلةُ‌</w:t>
      </w:r>
      <w:r>
        <w:rPr>
          <w:rStyle w:val="FootnoteAnchor"/>
          <w:rtl w:val="true"/>
        </w:rPr>
        <w:footnoteReference w:id="1916"/>
      </w:r>
      <w:r>
        <w:rPr>
          <w:rFonts w:ascii="Amiri" w:hAnsi="Amiri" w:eastAsia="Amiri" w:cs="Amiri"/>
          <w:color w:val="111111"/>
          <w:sz w:val="28"/>
          <w:sz w:val="28"/>
          <w:szCs w:val="28"/>
          <w:rtl w:val="true"/>
          <w:lang w:bidi="ar-SA"/>
        </w:rPr>
        <w:t>لهذه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المتأخِّرينَ‌، و هو ابنُ الإخشيدِ</w:t>
      </w:r>
      <w:r>
        <w:rPr>
          <w:rStyle w:val="FootnoteAnchor"/>
          <w:rtl w:val="true"/>
        </w:rPr>
        <w:footnoteReference w:id="1917"/>
      </w:r>
      <w:r>
        <w:rPr>
          <w:rFonts w:ascii="Amiri" w:hAnsi="Amiri" w:eastAsia="Amiri" w:cs="Amiri"/>
          <w:color w:val="111111"/>
          <w:sz w:val="28"/>
          <w:sz w:val="28"/>
          <w:szCs w:val="28"/>
          <w:rtl w:val="true"/>
          <w:lang w:bidi="ar-SA"/>
        </w:rPr>
        <w:t>، إلىٰ أ نّه جسمٌ رقيقٌ مُنسابٌ في جميعِ هذه الجُملةِ‌</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7642534_1280447820"/>
      <w:bookmarkStart w:id="449" w:name="_Toc154"/>
      <w:bookmarkEnd w:id="448"/>
      <w:r>
        <w:rPr>
          <w:rtl w:val="true"/>
        </w:rPr>
        <w:t>بيان القول المختار</w:t>
      </w:r>
      <w:bookmarkEnd w:id="449"/>
    </w:p>
    <w:p>
      <w:pPr>
        <w:pStyle w:val="BookText"/>
        <w:rPr/>
      </w:pPr>
      <w:r>
        <w:rPr>
          <w:rFonts w:ascii="Amiri" w:hAnsi="Amiri" w:eastAsia="Amiri" w:cs="Amiri"/>
          <w:color w:val="111111"/>
          <w:sz w:val="28"/>
          <w:sz w:val="28"/>
          <w:szCs w:val="28"/>
          <w:rtl w:val="true"/>
          <w:lang w:bidi="ar-SA"/>
        </w:rPr>
        <w:t xml:space="preserve">و نَحنُ نَدُلُّ علَى المَذهبِ الصحيحِ مِن هذا الكلامِ‌؛ فإنّ الفلاسفةَ حَدّوا الإنسانَ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المائتُ الناطقُ‌</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 و الصحيحُ ما قَدَّمناه مِن أ نّه عبارةٌ عن هذا الشخصِ المَبنيِّ البِنيةَ المخصوصةَ‌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يَكونَ ما نُحِتَ مِن حَجَرٍ أو خَشَبٍ علىٰ صورةِ الإنسان لا يُسَمّىٰ بأنّه إنسانٌ علَى الحقيقةِ‌، و إن كانَ أبو عليٍّ الجُبّائيُّ قد رَكِبَ ذلكَ‌، و خالَفَه أبو هاشمٍ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هذه الصورةِ مع التحيُّزِ و الصِّفاتِ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الصحيحُ‌؛ لأنّ تَسميةَ الإنسانِ بأنّه إنسانٌ يَجري مَجرىٰ </w:t>
      </w:r>
      <w:bookmarkStart w:id="450" w:name="pg16415_224004"/>
    </w:p>
    <w:p>
      <w:pPr>
        <w:pStyle w:val="BookText"/>
        <w:rPr/>
      </w:pPr>
      <w:bookmarkEnd w:id="450"/>
      <w:r>
        <w:rPr>
          <w:rFonts w:ascii="Amiri" w:hAnsi="Amiri" w:eastAsia="Amiri" w:cs="Amiri"/>
          <w:color w:val="111111"/>
          <w:sz w:val="28"/>
          <w:sz w:val="28"/>
          <w:szCs w:val="28"/>
          <w:rtl w:val="true"/>
          <w:lang w:bidi="ar-SA"/>
        </w:rPr>
        <w:t>تسميةِ النخلةِ بأنّها نَخلةٌ‌، فكَما لا يَقَعُ اسمُ النخلةِ علىٰ ما صُوِّرَ مِن طينٍ أو شَمعٍ علىٰ صورةِ النخلةِ‌، و اعتُبِرَ في ذلكَ الأعراضُ المخصوصةُ التي تَختَصُّ بالنخلةِ‌، فكذلكَ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الإنسانُ الميّتُ فيوصَفُ بهذا الاسمِ‌</w:t>
      </w:r>
      <w:r>
        <w:rPr>
          <w:rStyle w:val="FootnoteAnchor"/>
          <w:rtl w:val="true"/>
        </w:rPr>
        <w:footnoteReference w:id="1919"/>
      </w:r>
      <w:r>
        <w:rPr>
          <w:rFonts w:ascii="Amiri" w:hAnsi="Amiri" w:eastAsia="Amiri" w:cs="Amiri"/>
          <w:color w:val="111111"/>
          <w:sz w:val="28"/>
          <w:sz w:val="28"/>
          <w:szCs w:val="28"/>
          <w:rtl w:val="true"/>
          <w:lang w:bidi="ar-SA"/>
        </w:rPr>
        <w:t>علَى التحقيقِ‌، و لَيسَ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Style w:val="FootnoteAnchor"/>
          <w:rtl w:val="true"/>
        </w:rPr>
        <w:footnoteReference w:id="1920"/>
      </w:r>
      <w:r>
        <w:rPr>
          <w:rFonts w:ascii="Amiri" w:hAnsi="Amiri" w:eastAsia="Amiri" w:cs="Amiri"/>
          <w:color w:val="111111"/>
          <w:sz w:val="28"/>
          <w:sz w:val="28"/>
          <w:szCs w:val="28"/>
          <w:rtl w:val="true"/>
          <w:lang w:bidi="ar-SA"/>
        </w:rPr>
        <w:t>مؤثِّراً في إجزائه</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أطرافَ الإنسانِ‌</w:t>
      </w:r>
      <w:r>
        <w:rPr>
          <w:rStyle w:val="FootnoteAnchor"/>
          <w:rtl w:val="true"/>
        </w:rPr>
        <w:footnoteReference w:id="1922"/>
      </w:r>
      <w:r>
        <w:rPr>
          <w:rFonts w:ascii="Amiri" w:hAnsi="Amiri" w:eastAsia="Amiri" w:cs="Amiri"/>
          <w:color w:val="111111"/>
          <w:sz w:val="28"/>
          <w:sz w:val="28"/>
          <w:szCs w:val="28"/>
          <w:rtl w:val="true"/>
          <w:lang w:bidi="ar-SA"/>
        </w:rPr>
        <w:t>إذا كانَ فيها حياةٌ‌، داخلةٌ تَحتَ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قُطِعَت يدُه أو رِجلُه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يُفسَّرَ هذا النقصانُ لئلّا يوهِمَ أ نّه</w:t>
      </w:r>
      <w:r>
        <w:rPr>
          <w:rStyle w:val="FootnoteAnchor"/>
          <w:rtl w:val="true"/>
        </w:rPr>
        <w:footnoteReference w:id="1923"/>
      </w:r>
      <w:r>
        <w:rPr>
          <w:rFonts w:ascii="Amiri" w:hAnsi="Amiri" w:eastAsia="Amiri" w:cs="Amiri"/>
          <w:color w:val="111111"/>
          <w:sz w:val="28"/>
          <w:sz w:val="28"/>
          <w:szCs w:val="28"/>
          <w:rtl w:val="true"/>
          <w:lang w:bidi="ar-SA"/>
        </w:rPr>
        <w:t>ناقصٌ في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و الظُّفرَ لَيسا مِن جُملةِ الحَيِّ‌؛ لأنّه لا حياةَ فيهما و لا يَقَعُ الإدراكُ بِهما</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7642536_1280447820"/>
      <w:bookmarkStart w:id="452" w:name="_Toc155"/>
      <w:bookmarkEnd w:id="451"/>
      <w:r>
        <w:rPr>
          <w:rtl w:val="true"/>
        </w:rPr>
        <w:t>مناقشة تعريف الفلاسفة للإنسان</w:t>
      </w:r>
      <w:bookmarkEnd w:id="4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الحَدُّ المَحكيُّ‌</w:t>
      </w:r>
      <w:r>
        <w:rPr>
          <w:rStyle w:val="FootnoteAnchor"/>
          <w:rtl w:val="true"/>
        </w:rPr>
        <w:footnoteReference w:id="1924"/>
      </w:r>
      <w:r>
        <w:rPr>
          <w:rFonts w:ascii="Amiri" w:hAnsi="Amiri" w:eastAsia="Amiri" w:cs="Amiri"/>
          <w:color w:val="111111"/>
          <w:sz w:val="28"/>
          <w:sz w:val="28"/>
          <w:szCs w:val="28"/>
          <w:rtl w:val="true"/>
          <w:lang w:bidi="ar-SA"/>
        </w:rPr>
        <w:t>عن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اعتُرِضَ بأنّ في العربِ مَن أثبَتَ الجِنَّ و الملائكةَ‌، و أثبَتَ لهُما هذه الأوصافَ التي أضافوها إلَى الإنسانِ‌، و إن لَم يُسَمّوها</w:t>
      </w:r>
      <w:r>
        <w:rPr>
          <w:rStyle w:val="FootnoteAnchor"/>
          <w:rtl w:val="true"/>
        </w:rPr>
        <w:footnoteReference w:id="1925"/>
      </w:r>
      <w:r>
        <w:rPr>
          <w:rFonts w:ascii="Amiri" w:hAnsi="Amiri" w:eastAsia="Amiri" w:cs="Amiri"/>
          <w:color w:val="111111"/>
          <w:sz w:val="28"/>
          <w:sz w:val="28"/>
          <w:szCs w:val="28"/>
          <w:rtl w:val="true"/>
          <w:lang w:bidi="ar-SA"/>
        </w:rPr>
        <w:t>بالإنسانِ‌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لهُم أن يُخطِّئوا العربَ‌</w:t>
      </w:r>
      <w:r>
        <w:rPr>
          <w:rStyle w:val="FootnoteAnchor"/>
          <w:rtl w:val="true"/>
        </w:rPr>
        <w:footnoteReference w:id="1926"/>
      </w:r>
      <w:r>
        <w:rPr>
          <w:rFonts w:ascii="Amiri" w:hAnsi="Amiri" w:eastAsia="Amiri" w:cs="Amiri"/>
          <w:color w:val="111111"/>
          <w:sz w:val="28"/>
          <w:sz w:val="28"/>
          <w:szCs w:val="28"/>
          <w:rtl w:val="true"/>
          <w:lang w:bidi="ar-SA"/>
        </w:rPr>
        <w:t>و يُجهِّلوهم</w:t>
      </w:r>
      <w:r>
        <w:rPr>
          <w:rStyle w:val="FootnoteAnchor"/>
          <w:rtl w:val="true"/>
        </w:rPr>
        <w:footnoteReference w:id="1927"/>
      </w:r>
      <w:r>
        <w:rPr>
          <w:rFonts w:ascii="Amiri" w:hAnsi="Amiri" w:eastAsia="Amiri" w:cs="Amiri"/>
          <w:color w:val="111111"/>
          <w:sz w:val="28"/>
          <w:sz w:val="28"/>
          <w:szCs w:val="28"/>
          <w:rtl w:val="true"/>
          <w:lang w:bidi="ar-SA"/>
        </w:rPr>
        <w:t>في إثباتِ الجِنِّ و المَلائكةِ‌؛ لأنّ خَطأَهم</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أَخطأوا</w:t>
      </w:r>
      <w:r>
        <w:rPr>
          <w:rStyle w:val="FootnoteAnchor"/>
          <w:rtl w:val="true"/>
        </w:rPr>
        <w:footnoteReference w:id="1929"/>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فيما ذَكرناه؛ لأنّ عبارتَهم تَجري علَى اعتقادِهم، لا علىٰ حَسَبِ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أنّهم يُسَمّونَ‌</w:t>
      </w:r>
      <w:r>
        <w:rPr>
          <w:rStyle w:val="FootnoteAnchor"/>
          <w:rtl w:val="true"/>
        </w:rPr>
        <w:footnoteReference w:id="1930"/>
      </w:r>
      <w:r>
        <w:rPr>
          <w:rFonts w:ascii="Amiri" w:hAnsi="Amiri" w:eastAsia="Amiri" w:cs="Amiri"/>
          <w:color w:val="111111"/>
          <w:sz w:val="28"/>
          <w:sz w:val="28"/>
          <w:szCs w:val="28"/>
          <w:rtl w:val="true"/>
          <w:lang w:bidi="ar-SA"/>
        </w:rPr>
        <w:t xml:space="preserve">الأصنامَ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اعتَقَدوا أنّ العبادةَ تَحِقُّ لهم‌؟ فهُم مُصيبونَ في الِاسمِ و إن كانوا مُخطِئينَ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يَجِبُ لَو كانَ حَدُّ الإنسانِ ما ذَكروه أن يَصِفَ‌</w:t>
      </w:r>
      <w:r>
        <w:rPr>
          <w:rStyle w:val="FootnoteAnchor"/>
          <w:rtl w:val="true"/>
        </w:rPr>
        <w:footnoteReference w:id="1931"/>
      </w:r>
      <w:r>
        <w:rPr>
          <w:rFonts w:ascii="Amiri" w:hAnsi="Amiri" w:eastAsia="Amiri" w:cs="Amiri"/>
          <w:color w:val="111111"/>
          <w:sz w:val="28"/>
          <w:sz w:val="28"/>
          <w:szCs w:val="28"/>
          <w:rtl w:val="true"/>
          <w:lang w:bidi="ar-SA"/>
        </w:rPr>
        <w:t>أهلُ اللُّغةِ‌</w:t>
      </w:r>
      <w:r>
        <w:rPr>
          <w:rStyle w:val="FootnoteAnchor"/>
          <w:rtl w:val="true"/>
        </w:rPr>
        <w:footnoteReference w:id="1932"/>
      </w:r>
      <w:r>
        <w:rPr>
          <w:rFonts w:ascii="Amiri" w:hAnsi="Amiri" w:eastAsia="Amiri" w:cs="Amiri"/>
          <w:color w:val="111111"/>
          <w:sz w:val="28"/>
          <w:sz w:val="28"/>
          <w:szCs w:val="28"/>
          <w:rtl w:val="true"/>
          <w:lang w:bidi="ar-SA"/>
        </w:rPr>
        <w:t xml:space="preserve">ما أَثبَتوه مِن الجِنِّ و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مُخطِئينَ أو مُصيبِينَ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w:t>
      </w:r>
      <w:r>
        <w:rPr>
          <w:rStyle w:val="FootnoteAnchor"/>
          <w:rtl w:val="true"/>
        </w:rPr>
        <w:footnoteReference w:id="1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الميّتَ لَيسَ بحَيٍّ‌، و لا خِلافَ بَينَ أهلِ اللُّغةِ في أ نّه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حَيٌّ‌، و إنسانٌ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كذلكَ في الحالِ‌، بَل مَن يَجوزُ أن يَحصُلَ علىٰ هذه الصِّفةِ‌، كَما لَم نُرِد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 xml:space="preserve">إثباتَ الصِّفةِ في الحالِ و إنّما أرَدنا جوازَها؛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لَتَناقَضَ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مائتٌ‌</w:t>
      </w:r>
      <w:r>
        <w:rPr>
          <w:rFonts w:eastAsia="Amiri" w:cs="Amiri" w:ascii="Amiri" w:hAnsi="Amiri"/>
          <w:color w:val="111111"/>
          <w:sz w:val="28"/>
          <w:szCs w:val="28"/>
          <w:rtl w:val="true"/>
          <w:lang w:bidi="ar-SA"/>
        </w:rPr>
        <w:t>».</w:t>
      </w:r>
      <w:r>
        <w:rPr>
          <w:rStyle w:val="FootnoteAnchor"/>
          <w:rtl w:val="true"/>
        </w:rPr>
        <w:footnoteReference w:id="193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يُفهَمُ مِن حَدِّكم في لُغتِنا</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يُكلَّمونَ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إلّاإثباتَ الصِّفةِ‌ </w:t>
      </w:r>
    </w:p>
    <w:p>
      <w:pPr>
        <w:pStyle w:val="BookText"/>
        <w:rPr/>
      </w:pPr>
      <w:r>
        <w:rPr>
          <w:rFonts w:ascii="Amiri" w:hAnsi="Amiri" w:eastAsia="Amiri" w:cs="Amiri"/>
          <w:color w:val="111111"/>
          <w:sz w:val="28"/>
          <w:sz w:val="28"/>
          <w:szCs w:val="28"/>
          <w:rtl w:val="true"/>
          <w:lang w:bidi="ar-SA"/>
        </w:rPr>
        <w:t>دونَ جوازِها؛ لأنّهم لا يَصِفونَ‌</w:t>
      </w:r>
      <w:r>
        <w:rPr>
          <w:rStyle w:val="FootnoteAnchor"/>
          <w:rtl w:val="true"/>
        </w:rPr>
        <w:footnoteReference w:id="1937"/>
      </w:r>
      <w:r>
        <w:rPr>
          <w:rFonts w:ascii="Amiri" w:hAnsi="Amiri" w:eastAsia="Amiri" w:cs="Amiri"/>
          <w:color w:val="111111"/>
          <w:sz w:val="28"/>
          <w:sz w:val="28"/>
          <w:szCs w:val="28"/>
          <w:rtl w:val="true"/>
          <w:lang w:bidi="ar-SA"/>
        </w:rPr>
        <w:t>مَن يَجوزُ أن يَكونَ حَيّاً بأنّه حَيٌّ‌،</w:t>
      </w:r>
      <w:r>
        <w:rPr>
          <w:rStyle w:val="FootnoteAnchor"/>
          <w:rtl w:val="true"/>
        </w:rPr>
        <w:footnoteReference w:id="1938"/>
      </w:r>
      <w:r>
        <w:rPr>
          <w:rFonts w:ascii="Amiri" w:hAnsi="Amiri" w:eastAsia="Amiri" w:cs="Amiri"/>
          <w:color w:val="111111"/>
          <w:sz w:val="28"/>
          <w:sz w:val="28"/>
          <w:szCs w:val="28"/>
          <w:rtl w:val="true"/>
          <w:lang w:bidi="ar-SA"/>
        </w:rPr>
        <w:t>كَما لا يَصِفونَ مَن يَجوزُ أن يَكونَ مُتحرِّكاً بأنّه مُتحرِّكٌ‌، و عالِماً بأنّه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فلَيسَ يَخلو مِن أن يُريدوا بالنطقِ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يُريدوا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 علىٰ ما يَذهَبونَ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أرادوا الأوّلَ فيَجِبُ أن لا يَكونَ الأخرَسُ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أرادوا الثانيَ فغَيرُ معروفٍ في لُغتِنا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التمييزُ</w:t>
      </w:r>
      <w:r>
        <w:rPr>
          <w:rStyle w:val="FootnoteAnchor"/>
          <w:rtl w:val="true"/>
        </w:rPr>
        <w:footnoteReference w:id="1940"/>
      </w:r>
      <w:r>
        <w:rPr>
          <w:rFonts w:ascii="Amiri" w:hAnsi="Amiri" w:eastAsia="Amiri" w:cs="Amiri"/>
          <w:color w:val="111111"/>
          <w:sz w:val="28"/>
          <w:sz w:val="28"/>
          <w:szCs w:val="28"/>
          <w:rtl w:val="true"/>
          <w:lang w:bidi="ar-SA"/>
        </w:rPr>
        <w:t>، و مَن حَدَّ بلُغتِنا فيَجِبُ أن يوافِقَ حَدُّه موضوعاتِ لُغتِنا و إلّاكانَ مُخطئاً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الحَدَّ إنّما يُذكَرُ فيه ما يَبينُ به</w:t>
      </w:r>
      <w:r>
        <w:rPr>
          <w:rStyle w:val="FootnoteAnchor"/>
          <w:rtl w:val="true"/>
        </w:rPr>
        <w:footnoteReference w:id="1941"/>
      </w:r>
      <w:r>
        <w:rPr>
          <w:rFonts w:ascii="Amiri" w:hAnsi="Amiri" w:eastAsia="Amiri" w:cs="Amiri"/>
          <w:color w:val="111111"/>
          <w:sz w:val="28"/>
          <w:sz w:val="28"/>
          <w:szCs w:val="28"/>
          <w:rtl w:val="true"/>
          <w:lang w:bidi="ar-SA"/>
        </w:rPr>
        <w:t>المحدودُ مِن غيرِه، و لا يَدخُلُ فيه ما يُشارِكُ المحدودُ فيه غيرَه،</w:t>
      </w:r>
      <w:r>
        <w:rPr>
          <w:rStyle w:val="FootnoteAnchor"/>
          <w:rtl w:val="true"/>
        </w:rPr>
        <w:footnoteReference w:id="1942"/>
      </w:r>
      <w:r>
        <w:rPr>
          <w:rFonts w:ascii="Amiri" w:hAnsi="Amiri" w:eastAsia="Amiri" w:cs="Amiri"/>
          <w:color w:val="111111"/>
          <w:sz w:val="28"/>
          <w:sz w:val="28"/>
          <w:szCs w:val="28"/>
          <w:rtl w:val="true"/>
          <w:lang w:bidi="ar-SA"/>
        </w:rPr>
        <w:t xml:space="preserve">و قد عَلِمنا أنّ الإنسانَ لا يَبينُ مِن البَهائمِ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مائتاً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أدخَلوا</w:t>
      </w:r>
      <w:r>
        <w:rPr>
          <w:rStyle w:val="FootnoteAnchor"/>
          <w:rtl w:val="true"/>
        </w:rPr>
        <w:footnoteReference w:id="1943"/>
      </w:r>
      <w:r>
        <w:rPr>
          <w:rFonts w:ascii="Amiri" w:hAnsi="Amiri" w:eastAsia="Amiri" w:cs="Amiri"/>
          <w:color w:val="111111"/>
          <w:sz w:val="28"/>
          <w:sz w:val="28"/>
          <w:szCs w:val="28"/>
          <w:rtl w:val="true"/>
          <w:lang w:bidi="ar-SA"/>
        </w:rPr>
        <w:t>ذلكَ في الحدودِ،</w:t>
      </w:r>
      <w:r>
        <w:rPr>
          <w:rStyle w:val="FootnoteAnchor"/>
          <w:rtl w:val="true"/>
        </w:rPr>
        <w:footnoteReference w:id="1944"/>
      </w:r>
      <w:r>
        <w:rPr>
          <w:rFonts w:ascii="Amiri" w:hAnsi="Amiri" w:eastAsia="Amiri" w:cs="Amiri"/>
          <w:color w:val="111111"/>
          <w:sz w:val="28"/>
          <w:sz w:val="28"/>
          <w:szCs w:val="28"/>
          <w:rtl w:val="true"/>
          <w:lang w:bidi="ar-SA"/>
        </w:rPr>
        <w:t xml:space="preserve">و قد كانَ يَجِبُ أن يَقتَصِروا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معنَى التمييزِ</w:t>
      </w:r>
      <w:r>
        <w:rPr>
          <w:rStyle w:val="FootnoteAnchor"/>
          <w:rtl w:val="true"/>
        </w:rPr>
        <w:footnoteReference w:id="1945"/>
      </w:r>
      <w:r>
        <w:rPr>
          <w:rFonts w:ascii="Amiri" w:hAnsi="Amiri" w:eastAsia="Amiri" w:cs="Amiri"/>
          <w:color w:val="111111"/>
          <w:sz w:val="28"/>
          <w:sz w:val="28"/>
          <w:szCs w:val="28"/>
          <w:rtl w:val="true"/>
          <w:lang w:bidi="ar-SA"/>
        </w:rPr>
        <w:t>فهو الذي يَبينُ به الإنسانُ مِن غيرِه‌؟ و هذا يَدُلُّ علَى اختلالِ حَدِّهم و فَسادِه</w:t>
      </w:r>
      <w:r>
        <w:rPr>
          <w:rStyle w:val="FootnoteAnchor"/>
          <w:rtl w:val="true"/>
        </w:rPr>
        <w:footnoteReference w:id="1946"/>
      </w:r>
      <w:r>
        <w:rPr>
          <w:rFonts w:ascii="Amiri" w:hAnsi="Amiri" w:eastAsia="Amiri" w:cs="Amiri"/>
          <w:color w:val="111111"/>
          <w:sz w:val="28"/>
          <w:sz w:val="28"/>
          <w:szCs w:val="28"/>
          <w:rtl w:val="true"/>
          <w:lang w:bidi="ar-SA"/>
        </w:rPr>
        <w:t>، مع أنّهم عندَ أنفُسِهم أهلُ التحقيقِ‌، و أربابُ التمييزِ</w:t>
      </w:r>
      <w:r>
        <w:rPr>
          <w:rStyle w:val="FootnoteAnchor"/>
          <w:rtl w:val="true"/>
        </w:rPr>
        <w:footnoteReference w:id="1947"/>
      </w:r>
      <w:r>
        <w:rPr>
          <w:rFonts w:ascii="Amiri" w:hAnsi="Amiri" w:eastAsia="Amiri" w:cs="Amiri"/>
          <w:color w:val="111111"/>
          <w:sz w:val="28"/>
          <w:sz w:val="28"/>
          <w:szCs w:val="28"/>
          <w:rtl w:val="true"/>
          <w:lang w:bidi="ar-SA"/>
        </w:rPr>
        <w:t>و التحديدِ</w:t>
      </w:r>
      <w:r>
        <w:rPr>
          <w:rFonts w:eastAsia="Amiri" w:cs="Amiri" w:ascii="Amiri" w:hAnsi="Amiri"/>
          <w:color w:val="111111"/>
          <w:sz w:val="28"/>
          <w:szCs w:val="28"/>
          <w:rtl w:val="true"/>
          <w:lang w:bidi="ar-SA"/>
        </w:rPr>
        <w:t xml:space="preserve">! </w:t>
      </w:r>
      <w:bookmarkStart w:id="453" w:name="pg16415_224007"/>
    </w:p>
    <w:p>
      <w:pPr>
        <w:pStyle w:val="Heading6"/>
        <w:numPr>
          <w:ilvl w:val="5"/>
          <w:numId w:val="1"/>
        </w:numPr>
        <w:rPr/>
      </w:pPr>
      <w:bookmarkStart w:id="454" w:name="__RefHeading___Toc7642538_1280447820"/>
      <w:bookmarkStart w:id="455" w:name="_Toc156"/>
      <w:bookmarkEnd w:id="453"/>
      <w:bookmarkEnd w:id="454"/>
      <w:r>
        <w:rPr>
          <w:rtl w:val="true"/>
        </w:rPr>
        <w:t>أدلّة القول المختار في حقيقة الإنسان</w:t>
      </w:r>
      <w:bookmarkEnd w:id="455"/>
    </w:p>
    <w:p>
      <w:pPr>
        <w:pStyle w:val="BookText"/>
        <w:rPr/>
      </w:pPr>
      <w:r>
        <w:rPr>
          <w:rFonts w:ascii="Amiri" w:hAnsi="Amiri" w:eastAsia="Amiri" w:cs="Amiri"/>
          <w:color w:val="111111"/>
          <w:sz w:val="28"/>
          <w:sz w:val="28"/>
          <w:szCs w:val="28"/>
          <w:rtl w:val="true"/>
          <w:lang w:bidi="ar-SA"/>
        </w:rPr>
        <w:t>و الذي يَدُلُّ علىٰ صِحّةِ ما ذَهَبنا إليه في الحَيِّ‌</w:t>
      </w:r>
      <w:r>
        <w:rPr>
          <w:rStyle w:val="FootnoteAnchor"/>
          <w:rtl w:val="true"/>
        </w:rPr>
        <w:footnoteReference w:id="1948"/>
      </w:r>
      <w:r>
        <w:rPr>
          <w:rFonts w:ascii="Amiri" w:hAnsi="Amiri" w:eastAsia="Amiri" w:cs="Amiri"/>
          <w:color w:val="111111"/>
          <w:sz w:val="28"/>
          <w:sz w:val="28"/>
          <w:szCs w:val="28"/>
          <w:rtl w:val="true"/>
          <w:lang w:bidi="ar-SA"/>
        </w:rPr>
        <w:t>الفعّالِ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في هذه الجُملةِ لَو كانَ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949"/>
      </w:r>
      <w:r>
        <w:rPr>
          <w:rFonts w:ascii="Amiri" w:hAnsi="Amiri" w:eastAsia="Amiri" w:cs="Amiri"/>
          <w:color w:val="111111"/>
          <w:sz w:val="28"/>
          <w:sz w:val="28"/>
          <w:szCs w:val="28"/>
          <w:rtl w:val="true"/>
          <w:lang w:bidi="ar-SA"/>
        </w:rPr>
        <w:t xml:space="preserve">ما ذَهَبَ إليه مُعمَّرٌ و كُلُّ مَن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الفاعلُ يَختَرِعُ الأفعالَ في هذه الجُملةِ و يَبتَدئُها</w:t>
      </w:r>
      <w:r>
        <w:rPr>
          <w:rStyle w:val="FootnoteAnchor"/>
          <w:rtl w:val="true"/>
        </w:rPr>
        <w:footnoteReference w:id="1950"/>
      </w:r>
      <w:r>
        <w:rPr>
          <w:rFonts w:ascii="Amiri" w:hAnsi="Amiri" w:eastAsia="Amiri" w:cs="Amiri"/>
          <w:color w:val="111111"/>
          <w:sz w:val="28"/>
          <w:sz w:val="28"/>
          <w:szCs w:val="28"/>
          <w:rtl w:val="true"/>
          <w:lang w:bidi="ar-SA"/>
        </w:rPr>
        <w:t>لأنّ علىٰ مَذهبِهم أنّ القُدرةَ قائمةٌ بالإنسانِ الحَيِّ الفَعّالِ لا بهذه الجُملةِ‌، و المعلومُ بُطلانُ ذلكَ ضَرورةً‌؛ لأنّ أحَدَنا قد يَتعذَّرُ عليه حَملُ بعضِ الأجسامِ أو يَثقُلُ إذا حَمَلَه بإحدىٰ يَدَيه، فإذا استَعانَ بالأُخرىٰ تأتَّى المُتعذِّرُ و خَفَّ المُستَثقَلُ‌، و هذا</w:t>
      </w:r>
      <w:r>
        <w:rPr>
          <w:rStyle w:val="FootnoteAnchor"/>
          <w:rtl w:val="true"/>
        </w:rPr>
        <w:footnoteReference w:id="1951"/>
      </w:r>
      <w:r>
        <w:rPr>
          <w:rFonts w:ascii="Amiri" w:hAnsi="Amiri" w:eastAsia="Amiri" w:cs="Amiri"/>
          <w:color w:val="111111"/>
          <w:sz w:val="28"/>
          <w:sz w:val="28"/>
          <w:szCs w:val="28"/>
          <w:rtl w:val="true"/>
          <w:lang w:bidi="ar-SA"/>
        </w:rPr>
        <w:t xml:space="preserve">الحُكمُ معلومٌ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مع القولِ بالاختراعِ‌؛ فإنّ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في الحَيِّ الذي أثبَتوه و</w:t>
      </w:r>
      <w:r>
        <w:rPr>
          <w:rStyle w:val="FootnoteAnchor"/>
          <w:rtl w:val="true"/>
        </w:rPr>
        <w:footnoteReference w:id="1952"/>
      </w:r>
      <w:r>
        <w:rPr>
          <w:rFonts w:ascii="Amiri" w:hAnsi="Amiri" w:eastAsia="Amiri" w:cs="Amiri"/>
          <w:color w:val="111111"/>
          <w:sz w:val="28"/>
          <w:sz w:val="28"/>
          <w:szCs w:val="28"/>
          <w:rtl w:val="true"/>
          <w:lang w:bidi="ar-SA"/>
        </w:rPr>
        <w:t>إنّ هذه الأعضاءَ لَيسَت بمَحَلٍّ للقُدرةِ‌</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هذا الفَرقُ المعلومُ ضَرورةً إلّاعلىٰ مَذهبِ مَن أثبَتَ في كُلِّ واحدٍ مِن اليَدَينِ قُدَراً</w:t>
      </w:r>
      <w:r>
        <w:rPr>
          <w:rStyle w:val="FootnoteAnchor"/>
          <w:rtl w:val="true"/>
        </w:rPr>
        <w:footnoteReference w:id="1954"/>
      </w:r>
      <w:r>
        <w:rPr>
          <w:rFonts w:ascii="Amiri" w:hAnsi="Amiri" w:eastAsia="Amiri" w:cs="Amiri"/>
          <w:color w:val="111111"/>
          <w:sz w:val="28"/>
          <w:sz w:val="28"/>
          <w:szCs w:val="28"/>
          <w:rtl w:val="true"/>
          <w:lang w:bidi="ar-SA"/>
        </w:rPr>
        <w:t>و أ نّه لا يَصِحُّ أن يُفعَلَ بإحدىٰ قُدرةِ اليدَينِ‌</w:t>
      </w:r>
      <w:r>
        <w:rPr>
          <w:rStyle w:val="FootnoteAnchor"/>
          <w:rtl w:val="true"/>
        </w:rPr>
        <w:footnoteReference w:id="1955"/>
      </w:r>
      <w:r>
        <w:rPr>
          <w:rFonts w:ascii="Amiri" w:hAnsi="Amiri" w:eastAsia="Amiri" w:cs="Amiri"/>
          <w:color w:val="111111"/>
          <w:sz w:val="28"/>
          <w:sz w:val="28"/>
          <w:szCs w:val="28"/>
          <w:rtl w:val="true"/>
          <w:lang w:bidi="ar-SA"/>
        </w:rPr>
        <w:t>في الأُخرىٰ‌، فلهذا خَفَّ‌</w:t>
      </w:r>
      <w:r>
        <w:rPr>
          <w:rStyle w:val="FootnoteAnchor"/>
          <w:rtl w:val="true"/>
        </w:rPr>
        <w:footnoteReference w:id="1956"/>
      </w:r>
      <w:r>
        <w:rPr>
          <w:rFonts w:ascii="Amiri" w:hAnsi="Amiri" w:eastAsia="Amiri" w:cs="Amiri"/>
          <w:color w:val="111111"/>
          <w:sz w:val="28"/>
          <w:sz w:val="28"/>
          <w:szCs w:val="28"/>
          <w:rtl w:val="true"/>
          <w:lang w:bidi="ar-SA"/>
        </w:rPr>
        <w:t>عند الاستعانةِ‌</w:t>
      </w:r>
      <w:r>
        <w:rPr>
          <w:rStyle w:val="FootnoteAnchor"/>
          <w:rtl w:val="true"/>
        </w:rPr>
        <w:footnoteReference w:id="1957"/>
      </w:r>
      <w:r>
        <w:rPr>
          <w:rFonts w:ascii="Amiri" w:hAnsi="Amiri" w:eastAsia="Amiri" w:cs="Amiri"/>
          <w:color w:val="111111"/>
          <w:sz w:val="28"/>
          <w:sz w:val="28"/>
          <w:szCs w:val="28"/>
          <w:rtl w:val="true"/>
          <w:lang w:bidi="ar-SA"/>
        </w:rPr>
        <w:t>ما ثَقُلَ‌؛ لأنّه استَعمَلَ قُدَراً ما كانَ استَعمَلَها قَبلَ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القُدرةَ قائمةٌ في الحَيِّ الذي لَيسَ بهذه الجُملةِ‌، فإنّما</w:t>
      </w:r>
      <w:r>
        <w:rPr>
          <w:rStyle w:val="FootnoteAnchor"/>
          <w:rtl w:val="true"/>
        </w:rPr>
        <w:footnoteReference w:id="1958"/>
      </w:r>
      <w:r>
        <w:rPr>
          <w:rFonts w:ascii="Amiri" w:hAnsi="Amiri" w:eastAsia="Amiri" w:cs="Amiri"/>
          <w:color w:val="111111"/>
          <w:sz w:val="28"/>
          <w:sz w:val="28"/>
          <w:szCs w:val="28"/>
          <w:rtl w:val="true"/>
          <w:lang w:bidi="ar-SA"/>
        </w:rPr>
        <w:t>يَختَرِعُ الفعلَ بها اختراعاً في هذه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يَمتَنِعُ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يَمينِه بجميعِ قُدَرِه، فلا يَخِفَّ‌</w:t>
      </w:r>
      <w:r>
        <w:rPr>
          <w:rStyle w:val="FootnoteAnchor"/>
          <w:rtl w:val="true"/>
        </w:rPr>
        <w:footnoteReference w:id="1959"/>
      </w:r>
      <w:r>
        <w:rPr>
          <w:rFonts w:ascii="Amiri" w:hAnsi="Amiri" w:eastAsia="Amiri" w:cs="Amiri"/>
          <w:color w:val="111111"/>
          <w:sz w:val="28"/>
          <w:sz w:val="28"/>
          <w:szCs w:val="28"/>
          <w:rtl w:val="true"/>
          <w:lang w:bidi="ar-SA"/>
        </w:rPr>
        <w:t>عليه ما يَستَثقِلُ‌</w:t>
      </w:r>
      <w:r>
        <w:rPr>
          <w:rStyle w:val="FootnoteAnchor"/>
          <w:rtl w:val="true"/>
        </w:rPr>
        <w:footnoteReference w:id="1960"/>
      </w:r>
      <w:r>
        <w:rPr>
          <w:rFonts w:ascii="Amiri" w:hAnsi="Amiri" w:eastAsia="Amiri" w:cs="Amiri"/>
          <w:color w:val="111111"/>
          <w:sz w:val="28"/>
          <w:sz w:val="28"/>
          <w:szCs w:val="28"/>
          <w:rtl w:val="true"/>
          <w:lang w:bidi="ar-SA"/>
        </w:rPr>
        <w:t>في حَملِه بيدَيه؛ لأنّ القُدرةَ في الحالَينِ واحدةٌ‌، و قد عُلِمَ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راموا</w:t>
      </w:r>
      <w:r>
        <w:rPr>
          <w:rStyle w:val="FootnoteAnchor"/>
          <w:rtl w:val="true"/>
        </w:rPr>
        <w:footnoteReference w:id="1961"/>
      </w:r>
      <w:r>
        <w:rPr>
          <w:rFonts w:ascii="Amiri" w:hAnsi="Amiri" w:eastAsia="Amiri" w:cs="Amiri"/>
          <w:color w:val="111111"/>
          <w:sz w:val="28"/>
          <w:sz w:val="28"/>
          <w:szCs w:val="28"/>
          <w:rtl w:val="true"/>
          <w:lang w:bidi="ar-SA"/>
        </w:rPr>
        <w:t>أن يَذكُروا وجهاً في خِفّةِ المحمولِ مع الاستعانةِ‌، لَم يَجِدوه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يُبطِلُ أيضاً مَذهبَ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 الفَعّالَ‌</w:t>
      </w:r>
      <w:r>
        <w:rPr>
          <w:rStyle w:val="FootnoteAnchor"/>
          <w:rtl w:val="true"/>
        </w:rPr>
        <w:footnoteReference w:id="1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اليدَينِ علىٰ مَذهبِهم لَيسا</w:t>
      </w:r>
      <w:r>
        <w:rPr>
          <w:rStyle w:val="FootnoteAnchor"/>
          <w:rtl w:val="true"/>
        </w:rPr>
        <w:footnoteReference w:id="1963"/>
      </w:r>
      <w:r>
        <w:rPr>
          <w:rFonts w:ascii="Amiri" w:hAnsi="Amiri" w:eastAsia="Amiri" w:cs="Amiri"/>
          <w:color w:val="111111"/>
          <w:sz w:val="28"/>
          <w:sz w:val="28"/>
          <w:szCs w:val="28"/>
          <w:rtl w:val="true"/>
          <w:lang w:bidi="ar-SA"/>
        </w:rPr>
        <w:t>بمَحالِّ القُدرةِ‌، و إنّما تَحُلُّ‌</w:t>
      </w:r>
      <w:r>
        <w:rPr>
          <w:rStyle w:val="FootnoteAnchor"/>
          <w:rtl w:val="true"/>
        </w:rPr>
        <w:footnoteReference w:id="1964"/>
      </w:r>
      <w:r>
        <w:rPr>
          <w:rFonts w:ascii="Amiri" w:hAnsi="Amiri" w:eastAsia="Amiri" w:cs="Amiri"/>
          <w:color w:val="111111"/>
          <w:sz w:val="28"/>
          <w:sz w:val="28"/>
          <w:szCs w:val="28"/>
          <w:rtl w:val="true"/>
          <w:lang w:bidi="ar-SA"/>
        </w:rPr>
        <w:t>القُدرةُ المعنَى الذي في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المَريضَ المُدنِفَ‌</w:t>
      </w:r>
      <w:r>
        <w:rPr>
          <w:rStyle w:val="FootnoteAnchor"/>
          <w:rtl w:val="true"/>
        </w:rPr>
        <w:footnoteReference w:id="1965"/>
      </w:r>
      <w:r>
        <w:rPr>
          <w:rFonts w:ascii="Amiri" w:hAnsi="Amiri" w:eastAsia="Amiri" w:cs="Amiri"/>
          <w:color w:val="111111"/>
          <w:sz w:val="28"/>
          <w:sz w:val="28"/>
          <w:szCs w:val="28"/>
          <w:rtl w:val="true"/>
          <w:lang w:bidi="ar-SA"/>
        </w:rPr>
        <w:t>قد يَنتَهي به المرضُ إلىٰ تَعذُّرِ تحريكِ يدِه</w:t>
      </w:r>
      <w:r>
        <w:rPr>
          <w:rStyle w:val="FootnoteAnchor"/>
          <w:rtl w:val="true"/>
        </w:rPr>
        <w:footnoteReference w:id="1966"/>
      </w:r>
      <w:r>
        <w:rPr>
          <w:rFonts w:ascii="Amiri" w:hAnsi="Amiri" w:eastAsia="Amiri" w:cs="Amiri"/>
          <w:color w:val="111111"/>
          <w:sz w:val="28"/>
          <w:sz w:val="28"/>
          <w:szCs w:val="28"/>
          <w:rtl w:val="true"/>
          <w:lang w:bidi="ar-SA"/>
        </w:rPr>
        <w:t>عليه مع احتمالِه</w:t>
      </w:r>
      <w:r>
        <w:rPr>
          <w:rStyle w:val="FootnoteAnchor"/>
          <w:rtl w:val="true"/>
        </w:rPr>
        <w:footnoteReference w:id="1967"/>
      </w:r>
      <w:r>
        <w:rPr>
          <w:rFonts w:ascii="Amiri" w:hAnsi="Amiri" w:eastAsia="Amiri" w:cs="Amiri"/>
          <w:color w:val="111111"/>
          <w:sz w:val="28"/>
          <w:sz w:val="28"/>
          <w:szCs w:val="28"/>
          <w:rtl w:val="true"/>
          <w:lang w:bidi="ar-SA"/>
        </w:rPr>
        <w:t>للحركةِ‌، فلَو كانَ الإنسانُ مِنّا مُختَرِعاً لَجازَ أن يَختَرِعَ بقُدَرِه التي هي قائمةٌ به الأفعالَ في الأعضاءِ مع المرضِ‌؛ لأنّه قادرٌ، و المَحَلُّ مُحتَمِلٌ‌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لهُم أن يَنفوا مع المرضِ كَونَه قادراً؛ لأنّا نَعلَمُ أنّ الإنسانَ مع تَعذُّرِ حركةِ أطرافِه عليه عند المرضِ قد يُريدُ و يَكرَهُ و يَعتَقِدُ، فلَولا أ نّه قادرٌ علىٰ هذه المَعاني </w:t>
      </w:r>
      <w:bookmarkStart w:id="456" w:name="pg16415_224009"/>
    </w:p>
    <w:p>
      <w:pPr>
        <w:pStyle w:val="BookText"/>
        <w:rPr/>
      </w:pPr>
      <w:bookmarkEnd w:id="456"/>
      <w:r>
        <w:rPr>
          <w:rFonts w:ascii="Amiri" w:hAnsi="Amiri" w:eastAsia="Amiri" w:cs="Amiri"/>
          <w:color w:val="111111"/>
          <w:sz w:val="28"/>
          <w:sz w:val="28"/>
          <w:szCs w:val="28"/>
          <w:rtl w:val="true"/>
          <w:lang w:bidi="ar-SA"/>
        </w:rPr>
        <w:t>لَما صَحَّ منه أن يَفعَلَها، فقَد كانَ يَجِبُ أن يَفعَلَ بهذه القُدرةِ الحركةَ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يَكونَ المرضُ أخرَجَ العضوَ مِن احتمالِ الحركةِ‌؛ لأنّ غيرَ المريضِ يُحرِّكُها</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المرضَ إنّما أخرَجَ العضوَ مِن صِحّةِ ابتداءِ الحركةِ‌</w:t>
      </w:r>
      <w:r>
        <w:rPr>
          <w:rStyle w:val="FootnoteAnchor"/>
          <w:rtl w:val="true"/>
        </w:rPr>
        <w:footnoteReference w:id="1969"/>
      </w:r>
      <w:r>
        <w:rPr>
          <w:rFonts w:ascii="Amiri" w:hAnsi="Amiri" w:eastAsia="Amiri" w:cs="Amiri"/>
          <w:color w:val="111111"/>
          <w:sz w:val="28"/>
          <w:sz w:val="28"/>
          <w:szCs w:val="28"/>
          <w:rtl w:val="true"/>
          <w:lang w:bidi="ar-SA"/>
        </w:rPr>
        <w:t>فيه، و لَم يُخرِجْه مِن أن يَقَعَ علىٰ سَبيلِ التوليدِ؛ و غيرُ هذا المريضِ مِنّا إنّما يُحرِّكُ يدَ المريضِ مِنّا علىٰ سَبيلِ التوليدِ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بالمُحالِ‌؛ لأنّ ما أخرَجَ المَحلَّ مِن احتمالِ معنىً‌</w:t>
      </w:r>
      <w:r>
        <w:rPr>
          <w:rStyle w:val="FootnoteAnchor"/>
          <w:rtl w:val="true"/>
        </w:rPr>
        <w:footnoteReference w:id="1970"/>
      </w:r>
      <w:r>
        <w:rPr>
          <w:rFonts w:ascii="Amiri" w:hAnsi="Amiri" w:eastAsia="Amiri" w:cs="Amiri"/>
          <w:color w:val="111111"/>
          <w:sz w:val="28"/>
          <w:sz w:val="28"/>
          <w:szCs w:val="28"/>
          <w:rtl w:val="true"/>
          <w:lang w:bidi="ar-SA"/>
        </w:rPr>
        <w:t>مِن المَعاني أخرَجَه مِن احتمالِه علىٰ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 القَديمَ تَعالىٰ يَصِحُّ أن يَبتدئَ و يَخترعَ الحركةَ في أطرافِ المريضِ‌، فعَلِمنا أنّ المرضَ لا يُخرِجُ العضوَ مِن احتمالِ الحركةِ‌؛ مُبتدأةً و لا مُتولِّدةً‌</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نَفَى القُدرةَ علَى الحركةِ‌، و هي باقيةٌ في الحَيِّ علىٰ ما كانَت عليه، فلا يُخرِجُ المَحلَّ مِن احتمالِ الحركةِ‌؛ و كَيفَ يُخرِجُه مِن ذلكَ و الحياةُ لا تَحتاجُ في وجودِها في المَحلِّ إلىٰ معنىً زائدٍ علىٰ وجودِ المَحلِّ‌، و لَيسَت ممّا يَحتاجُ إلىٰ بِنيةٍ‌</w:t>
      </w:r>
      <w:r>
        <w:rPr>
          <w:rStyle w:val="FootnoteAnchor"/>
          <w:rtl w:val="true"/>
        </w:rPr>
        <w:footnoteReference w:id="1972"/>
      </w:r>
      <w:r>
        <w:rPr>
          <w:rFonts w:ascii="Amiri" w:hAnsi="Amiri" w:eastAsia="Amiri" w:cs="Amiri"/>
          <w:color w:val="111111"/>
          <w:sz w:val="28"/>
          <w:sz w:val="28"/>
          <w:szCs w:val="28"/>
          <w:rtl w:val="true"/>
          <w:lang w:bidi="ar-SA"/>
        </w:rPr>
        <w:t>و أعراضٍ مخصوصةٍ؟</w:t>
      </w:r>
    </w:p>
    <w:p>
      <w:pPr>
        <w:pStyle w:val="Heading6"/>
        <w:numPr>
          <w:ilvl w:val="5"/>
          <w:numId w:val="1"/>
        </w:numPr>
        <w:rPr/>
      </w:pPr>
      <w:bookmarkStart w:id="457" w:name="__RefHeading___Toc7642540_1280447820"/>
      <w:bookmarkStart w:id="458" w:name="_Toc157"/>
      <w:bookmarkEnd w:id="457"/>
      <w:r>
        <w:rPr>
          <w:rtl w:val="true"/>
        </w:rPr>
        <w:t>مناقشة سائر الأقوال في حقيقة الإنسان</w:t>
      </w:r>
      <w:bookmarkEnd w:id="45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الدليلُ يُبطِلُ مَذهبَ مُعمَّرٍ و مَن وافَقَه من بَني نَيبَختَ و مَذهبَ ابنِ الراوَنديِّ و مَن وافَقَه في أنّ الحَيَّ جُزءٌ في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يُبطِلُ‌ مَذهبَ‌</w:t>
      </w:r>
      <w:r>
        <w:rPr>
          <w:rStyle w:val="FootnoteAnchor"/>
          <w:rtl w:val="true"/>
        </w:rPr>
        <w:footnoteReference w:id="1973"/>
      </w:r>
      <w:r>
        <w:rPr>
          <w:rFonts w:ascii="Amiri" w:hAnsi="Amiri" w:eastAsia="Amiri" w:cs="Amiri"/>
          <w:color w:val="111111"/>
          <w:sz w:val="28"/>
          <w:sz w:val="28"/>
          <w:szCs w:val="28"/>
          <w:rtl w:val="true"/>
          <w:lang w:bidi="ar-SA"/>
        </w:rPr>
        <w:t>ابنِ الراوَنديِّ و مَن وافَقَه 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لَو كانَ معنىً في القَلبِ لَما صَحَّ ظهورُ الحركةِ في الأطرافِ‌؛ لأنّها إن كانَت علىٰ جِهةِ الاختراعِ فقَد أبطلناه، و إن كانَت علىٰ سَبيلِ التوليدِ فنَحنُ نَعلَمُ خِلافَه؛ لأنّ ذلكَ يَقتَضي أن نَجِدَ جَذباً و دَفعاً</w:t>
      </w:r>
      <w:r>
        <w:rPr>
          <w:rStyle w:val="FootnoteAnchor"/>
          <w:rtl w:val="true"/>
        </w:rPr>
        <w:footnoteReference w:id="1974"/>
      </w:r>
      <w:r>
        <w:rPr>
          <w:rFonts w:ascii="Amiri" w:hAnsi="Amiri" w:eastAsia="Amiri" w:cs="Amiri"/>
          <w:color w:val="111111"/>
          <w:sz w:val="28"/>
          <w:sz w:val="28"/>
          <w:szCs w:val="28"/>
          <w:rtl w:val="true"/>
          <w:lang w:bidi="ar-SA"/>
        </w:rPr>
        <w:t>مِن ناحيةِ القَلبِ‌، و قد عَلِمنا أنّ اليدَ تَتحرَّكُ مِن غيرِ أن يَسريَ إليها مِن القَلبِ حركةٌ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975"/>
      </w:r>
      <w:r>
        <w:rPr>
          <w:rFonts w:ascii="Amiri" w:hAnsi="Amiri" w:eastAsia="Amiri" w:cs="Amiri"/>
          <w:color w:val="111111"/>
          <w:sz w:val="28"/>
          <w:sz w:val="28"/>
          <w:szCs w:val="28"/>
          <w:rtl w:val="true"/>
          <w:lang w:bidi="ar-SA"/>
        </w:rPr>
        <w:t>ممّا يُبطِلُ‌ مَذهبَ مُعمَّرٍ و مَن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يَجِدُ كَونَه مُريداً مِن ناحيةِ قَلبِه، فإذا أدمَنَ الفِكرَ و النظَرَ وَجَدَ التعَبَ و الألَمَ في جِهةِ قَلبِه؛ فلَولا أنّ القَلبَ‌</w:t>
      </w:r>
      <w:r>
        <w:rPr>
          <w:rStyle w:val="FootnoteAnchor"/>
          <w:rtl w:val="true"/>
        </w:rPr>
        <w:footnoteReference w:id="1976"/>
      </w:r>
      <w:r>
        <w:rPr>
          <w:rFonts w:ascii="Amiri" w:hAnsi="Amiri" w:eastAsia="Amiri" w:cs="Amiri"/>
          <w:color w:val="111111"/>
          <w:sz w:val="28"/>
          <w:sz w:val="28"/>
          <w:szCs w:val="28"/>
          <w:rtl w:val="true"/>
          <w:lang w:bidi="ar-SA"/>
        </w:rPr>
        <w:t>مَحلٌّ للإرادةِ و النظَرِ لَم تَكُن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يُفسِدُ هذا المَذهبَ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 لَو كانَ غيرَ مُجاوِرٍ لهذه</w:t>
      </w:r>
      <w:r>
        <w:rPr>
          <w:rStyle w:val="FootnoteAnchor"/>
          <w:rtl w:val="true"/>
        </w:rPr>
        <w:footnoteReference w:id="1977"/>
      </w:r>
      <w:r>
        <w:rPr>
          <w:rFonts w:ascii="Amiri" w:hAnsi="Amiri" w:eastAsia="Amiri" w:cs="Amiri"/>
          <w:color w:val="111111"/>
          <w:sz w:val="28"/>
          <w:sz w:val="28"/>
          <w:szCs w:val="28"/>
          <w:rtl w:val="true"/>
          <w:lang w:bidi="ar-SA"/>
        </w:rPr>
        <w:t>الجُملةِ‌</w:t>
      </w:r>
      <w:r>
        <w:rPr>
          <w:rStyle w:val="FootnoteAnchor"/>
          <w:rtl w:val="true"/>
        </w:rPr>
        <w:footnoteReference w:id="1978"/>
      </w:r>
      <w:r>
        <w:rPr>
          <w:rFonts w:ascii="Amiri" w:hAnsi="Amiri" w:eastAsia="Amiri" w:cs="Amiri"/>
          <w:color w:val="111111"/>
          <w:sz w:val="28"/>
          <w:sz w:val="28"/>
          <w:szCs w:val="28"/>
          <w:rtl w:val="true"/>
          <w:lang w:bidi="ar-SA"/>
        </w:rPr>
        <w:t>و لا حالٍّ فيها، و إنّما يَختَرِعُ الفعلَ فيها</w:t>
      </w:r>
      <w:r>
        <w:rPr>
          <w:rStyle w:val="FootnoteAnchor"/>
          <w:rtl w:val="true"/>
        </w:rPr>
        <w:footnoteReference w:id="1979"/>
      </w:r>
      <w:r>
        <w:rPr>
          <w:rFonts w:ascii="Amiri" w:hAnsi="Amiri" w:eastAsia="Amiri" w:cs="Amiri"/>
          <w:color w:val="111111"/>
          <w:sz w:val="28"/>
          <w:sz w:val="28"/>
          <w:szCs w:val="28"/>
          <w:rtl w:val="true"/>
          <w:lang w:bidi="ar-SA"/>
        </w:rPr>
        <w:t>اختراعاً، لَم يَكُن بعضُ الجُمَلِ بذلكَ أحَقَّ مِن بعضٍ‌؛ لأنّه لا وجهَ للاختصاصِ به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تَختَصَّ بعضُ الأحياءِ‌</w:t>
      </w:r>
      <w:r>
        <w:rPr>
          <w:rStyle w:val="FootnoteAnchor"/>
          <w:rtl w:val="true"/>
        </w:rPr>
        <w:footnoteReference w:id="1981"/>
      </w:r>
      <w:r>
        <w:rPr>
          <w:rFonts w:ascii="Amiri" w:hAnsi="Amiri" w:eastAsia="Amiri" w:cs="Amiri"/>
          <w:color w:val="111111"/>
          <w:sz w:val="28"/>
          <w:sz w:val="28"/>
          <w:szCs w:val="28"/>
          <w:rtl w:val="true"/>
          <w:lang w:bidi="ar-SA"/>
        </w:rPr>
        <w:t>بصِحّةِ الفعلِ في بعضِ هذه الأشخاصِ دونَ بعضٍ‌؛ لوجهٍ‌</w:t>
      </w:r>
      <w:r>
        <w:rPr>
          <w:rStyle w:val="FootnoteAnchor"/>
          <w:rtl w:val="true"/>
        </w:rPr>
        <w:footnoteReference w:id="1982"/>
      </w:r>
      <w:r>
        <w:rPr>
          <w:rFonts w:ascii="Amiri" w:hAnsi="Amiri" w:eastAsia="Amiri" w:cs="Amiri"/>
          <w:color w:val="111111"/>
          <w:sz w:val="28"/>
          <w:sz w:val="28"/>
          <w:szCs w:val="28"/>
          <w:rtl w:val="true"/>
          <w:lang w:bidi="ar-SA"/>
        </w:rPr>
        <w:t>مِن التعلُّقِ غيرِ معلومٍ علىٰ سَبيلِ التفصيلِ‌، كقَولِهم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الحالَّ مِن الأعراضِ في المَحلِّ يَختَصُّ ببعضِ الجواهرِ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كانَ به الحَيُّ زَيداً بعَينِه لا يَجوزُ أن يُضَمَّ إلىٰ حَيٍّ آخَرَ؟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حَكَمنا باختصاصِ العَرَضِ بمَحلِّه لَم يَجُز أن يوجَدَ في غيرِه مِن المَحالِّ علىٰ وجهٍ مِن الوجوهِ‌، و كذلكَ الجواهرُ التي تَختَصُّ زَيداً لا يَجوزُ أن تَختَصَّ بغَيرِه علىٰ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في الفاعلِ في هذا الجسدِ بخِلافِ ذلكَ‌؛ لأنّهم يَذهَبونَ إلىٰ أ نّه لَو زيدَت في هذا</w:t>
      </w:r>
      <w:r>
        <w:rPr>
          <w:rStyle w:val="FootnoteAnchor"/>
          <w:rtl w:val="true"/>
        </w:rPr>
        <w:footnoteReference w:id="1983"/>
      </w:r>
      <w:r>
        <w:rPr>
          <w:rFonts w:ascii="Amiri" w:hAnsi="Amiri" w:eastAsia="Amiri" w:cs="Amiri"/>
          <w:color w:val="111111"/>
          <w:sz w:val="28"/>
          <w:sz w:val="28"/>
          <w:szCs w:val="28"/>
          <w:rtl w:val="true"/>
          <w:lang w:bidi="ar-SA"/>
        </w:rPr>
        <w:t>الجسدِ أجزاءٌ كَثيرةٌ‌</w:t>
      </w:r>
      <w:r>
        <w:rPr>
          <w:rStyle w:val="FootnoteAnchor"/>
          <w:rtl w:val="true"/>
        </w:rPr>
        <w:footnoteReference w:id="1984"/>
      </w:r>
      <w:r>
        <w:rPr>
          <w:rFonts w:ascii="Amiri" w:hAnsi="Amiri" w:eastAsia="Amiri" w:cs="Amiri"/>
          <w:color w:val="111111"/>
          <w:sz w:val="28"/>
          <w:sz w:val="28"/>
          <w:szCs w:val="28"/>
          <w:rtl w:val="true"/>
          <w:lang w:bidi="ar-SA"/>
        </w:rPr>
        <w:t>و انضَمَّت إليه و بُنيَت معه لَكانَ ذلكَ الفاعلُ يَفعَلُ فيها علىٰ وجهٍ ما كانَ فاعلاً فيما كانَ فيما قَبلَها،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985"/>
      </w:r>
      <w:r>
        <w:rPr>
          <w:rFonts w:ascii="Amiri" w:hAnsi="Amiri" w:eastAsia="Amiri" w:cs="Amiri"/>
          <w:color w:val="111111"/>
          <w:sz w:val="28"/>
          <w:sz w:val="28"/>
          <w:szCs w:val="28"/>
          <w:rtl w:val="true"/>
          <w:lang w:bidi="ar-SA"/>
        </w:rPr>
        <w:t xml:space="preserve">تعالىٰ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التي إذا انضَمَّت إلىٰ هذه الجُملةِ صَحَّ الفعلُ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يؤمِنُكم مِن أن يَبنيَ اللّٰهُ تَعالىٰ هذه الأجزاءَ التي إذا زادَها في جسمِ زَيدٍ فَعَلَ زَيدٌ</w:t>
      </w:r>
      <w:r>
        <w:rPr>
          <w:rStyle w:val="FootnoteAnchor"/>
          <w:rtl w:val="true"/>
        </w:rPr>
        <w:footnoteReference w:id="1986"/>
      </w:r>
      <w:r>
        <w:rPr>
          <w:rFonts w:ascii="Amiri" w:hAnsi="Amiri" w:eastAsia="Amiri" w:cs="Amiri"/>
          <w:color w:val="111111"/>
          <w:sz w:val="28"/>
          <w:sz w:val="28"/>
          <w:szCs w:val="28"/>
          <w:rtl w:val="true"/>
          <w:lang w:bidi="ar-SA"/>
        </w:rPr>
        <w:t>فيها شَخصاً آخَرَ</w:t>
      </w:r>
      <w:r>
        <w:rPr>
          <w:rStyle w:val="FootnoteAnchor"/>
          <w:rtl w:val="true"/>
        </w:rPr>
        <w:footnoteReference w:id="1987"/>
      </w:r>
      <w:r>
        <w:rPr>
          <w:rFonts w:ascii="Amiri" w:hAnsi="Amiri" w:eastAsia="Amiri" w:cs="Amiri"/>
          <w:color w:val="111111"/>
          <w:sz w:val="28"/>
          <w:sz w:val="28"/>
          <w:szCs w:val="28"/>
          <w:rtl w:val="true"/>
          <w:lang w:bidi="ar-SA"/>
        </w:rPr>
        <w:t>، ففَعَلَ فيه زَيدٌ</w:t>
      </w:r>
      <w:r>
        <w:rPr>
          <w:rStyle w:val="FootnoteAnchor"/>
          <w:rtl w:val="true"/>
        </w:rPr>
        <w:footnoteReference w:id="1988"/>
      </w:r>
      <w:r>
        <w:rPr>
          <w:rFonts w:ascii="Amiri" w:hAnsi="Amiri" w:eastAsia="Amiri" w:cs="Amiri"/>
          <w:color w:val="111111"/>
          <w:sz w:val="28"/>
          <w:sz w:val="28"/>
          <w:szCs w:val="28"/>
          <w:rtl w:val="true"/>
          <w:lang w:bidi="ar-SA"/>
        </w:rPr>
        <w:t>كما يَفعَلُ في الشخصِ الأوّلِ؟ لأنّ هذه الأجزاءَ ممّا يَصِحُّ أن يَفعَلَ فيها</w:t>
      </w:r>
      <w:r>
        <w:rPr>
          <w:rStyle w:val="FootnoteAnchor"/>
          <w:rtl w:val="true"/>
        </w:rPr>
        <w:footnoteReference w:id="1989"/>
      </w:r>
      <w:r>
        <w:rPr>
          <w:rFonts w:ascii="Amiri" w:hAnsi="Amiri" w:eastAsia="Amiri" w:cs="Amiri"/>
          <w:color w:val="111111"/>
          <w:sz w:val="28"/>
          <w:sz w:val="28"/>
          <w:szCs w:val="28"/>
          <w:rtl w:val="true"/>
          <w:lang w:bidi="ar-SA"/>
        </w:rPr>
        <w:t>زَيدٌ و ممّا يَختَصُّ بالتعلُّقِ بها، و لَيسَ لغَيرِه تَعلُّقٌ بها؟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يُبطِلُ‌ أيضاً هذا المَذهبَ أ نّه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w:t>
      </w:r>
      <w:r>
        <w:rPr>
          <w:rStyle w:val="FootnoteAnchor"/>
          <w:rtl w:val="true"/>
        </w:rPr>
        <w:footnoteReference w:id="1990"/>
      </w:r>
      <w:r>
        <w:rPr>
          <w:rFonts w:ascii="Amiri" w:hAnsi="Amiri" w:eastAsia="Amiri" w:cs="Amiri"/>
          <w:color w:val="111111"/>
          <w:sz w:val="28"/>
          <w:sz w:val="28"/>
          <w:szCs w:val="28"/>
          <w:rtl w:val="true"/>
          <w:lang w:bidi="ar-SA"/>
        </w:rPr>
        <w:t>الحَيِّ الفاعلِ القادرِ مِن صِفاتِه و عدمِه عندَ ضَربِ رَقَبةِ‌</w:t>
      </w:r>
      <w:r>
        <w:rPr>
          <w:rStyle w:val="FootnoteAnchor"/>
          <w:rtl w:val="true"/>
        </w:rPr>
        <w:footnoteReference w:id="1991"/>
      </w:r>
      <w:r>
        <w:rPr>
          <w:rFonts w:ascii="Amiri" w:hAnsi="Amiri" w:eastAsia="Amiri" w:cs="Amiri"/>
          <w:color w:val="111111"/>
          <w:sz w:val="28"/>
          <w:sz w:val="28"/>
          <w:szCs w:val="28"/>
          <w:rtl w:val="true"/>
          <w:lang w:bidi="ar-SA"/>
        </w:rPr>
        <w:t>هذا الرجُلِ أو قَطعِ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لنَقصِ‌ </w:t>
      </w:r>
      <w:bookmarkStart w:id="459" w:name="pg16415_224012"/>
    </w:p>
    <w:p>
      <w:pPr>
        <w:pStyle w:val="BookText"/>
        <w:rPr/>
      </w:pPr>
      <w:bookmarkEnd w:id="459"/>
      <w:r>
        <w:rPr>
          <w:rFonts w:ascii="Amiri" w:hAnsi="Amiri" w:eastAsia="Amiri" w:cs="Amiri"/>
          <w:color w:val="111111"/>
          <w:sz w:val="28"/>
          <w:sz w:val="28"/>
          <w:szCs w:val="28"/>
          <w:rtl w:val="true"/>
          <w:lang w:bidi="ar-SA"/>
        </w:rPr>
        <w:t>بِنيةِ هذا الجسمِ تأثيرٌ في خروجِ ذلكَ الحَيِّ مِن صِفاتِه؛ لأنّ الحَيَّ إنّما يَجِبُ أن يَخرُجَ مِن صِفاتِه عندَ ظهورِ ضِدِّها أو ما يَجري مَجرَى الضِّدِّ، و أيُّ وجهٍ لانتفائها و وجوبِ الخروجِ عنها؟</w:t>
      </w:r>
    </w:p>
    <w:p>
      <w:pPr>
        <w:pStyle w:val="BookText"/>
        <w:rPr/>
      </w:pPr>
      <w:r>
        <w:rPr>
          <w:rFonts w:ascii="Amiri" w:hAnsi="Amiri" w:eastAsia="Amiri" w:cs="Amiri"/>
          <w:color w:val="111111"/>
          <w:sz w:val="28"/>
          <w:sz w:val="28"/>
          <w:szCs w:val="28"/>
          <w:rtl w:val="true"/>
          <w:lang w:bidi="ar-SA"/>
        </w:rPr>
        <w:t>و ما رَضوا بأن ذَهَبوا إلىٰ أنّ الحَيَّ القادرَ العالِمَ يَخرُجُ عن صِفاتِه كُلِّها بقَطعِ وَسَطِ هذا الجسدِ، حتّىٰ‌</w:t>
      </w:r>
      <w:r>
        <w:rPr>
          <w:rStyle w:val="FootnoteAnchor"/>
          <w:rtl w:val="true"/>
        </w:rPr>
        <w:footnoteReference w:id="1992"/>
      </w:r>
      <w:r>
        <w:rPr>
          <w:rFonts w:ascii="Amiri" w:hAnsi="Amiri" w:eastAsia="Amiri" w:cs="Amiri"/>
          <w:color w:val="111111"/>
          <w:sz w:val="28"/>
          <w:sz w:val="28"/>
          <w:szCs w:val="28"/>
          <w:rtl w:val="true"/>
          <w:lang w:bidi="ar-SA"/>
        </w:rPr>
        <w:t>زادوا علىٰ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قُطِعَ وَسَطُه عُدِمَ ذلكَ الحَيُّ الموجودُ و خَرَجَ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يُعقَلُ مِن قولِهم و لا يَصِحُّ تَصوُّرُه؛ لأنّا إذا أَوجَبنا خروجَ الحَيِّ مِن كَونِه حَيّاً بنَقضِ‌</w:t>
      </w:r>
      <w:r>
        <w:rPr>
          <w:rStyle w:val="FootnoteAnchor"/>
          <w:rtl w:val="true"/>
        </w:rPr>
        <w:footnoteReference w:id="1993"/>
      </w:r>
      <w:r>
        <w:rPr>
          <w:rFonts w:ascii="Amiri" w:hAnsi="Amiri" w:eastAsia="Amiri" w:cs="Amiri"/>
          <w:color w:val="111111"/>
          <w:sz w:val="28"/>
          <w:sz w:val="28"/>
          <w:szCs w:val="28"/>
          <w:rtl w:val="true"/>
          <w:lang w:bidi="ar-SA"/>
        </w:rPr>
        <w:t>بِنيةِ الحياةِ فقَد أحَلنا علىٰ أمرٍ مفهومٍ‌، و إذا قُلنا إنّ عدمَ المَحلِّ يوجِبُ عدمَ الحالِّ فقَد أشَرنا أيضاً إلىٰ معقولٍ‌، و لا وجهَ يُعقَلُ لخروجِ الحَيِّ مِن صِفاتِه و وجودِه بنَقصِ‌</w:t>
      </w:r>
      <w:r>
        <w:rPr>
          <w:rStyle w:val="FootnoteAnchor"/>
          <w:rtl w:val="true"/>
        </w:rPr>
        <w:footnoteReference w:id="1994"/>
      </w:r>
      <w:r>
        <w:rPr>
          <w:rFonts w:ascii="Amiri" w:hAnsi="Amiri" w:eastAsia="Amiri" w:cs="Amiri"/>
          <w:color w:val="111111"/>
          <w:sz w:val="28"/>
          <w:sz w:val="28"/>
          <w:szCs w:val="28"/>
          <w:rtl w:val="true"/>
          <w:lang w:bidi="ar-SA"/>
        </w:rPr>
        <w:t>هذا الجسدِ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خَرَجَ ذلكَ الحَيُّ مِن كَونِه علىٰ صِفاتِه و بَطَلَ و تَلاشىٰ بقَطعِ الوسطِ، و لَم يَخرُجْ بقَطعِ اليَدِ و الرِّجلِ‌، و الحُكمُ واحدٌ فيما لَيسَ بمُجاوِرٍ لهذه الجُملةِ و لا حالٍّ فيها؟</w:t>
      </w:r>
    </w:p>
    <w:p>
      <w:pPr>
        <w:pStyle w:val="Heading6"/>
        <w:numPr>
          <w:ilvl w:val="5"/>
          <w:numId w:val="1"/>
        </w:numPr>
        <w:rPr/>
      </w:pPr>
      <w:bookmarkStart w:id="460" w:name="__RefHeading___Toc7642542_1280447820"/>
      <w:bookmarkStart w:id="461" w:name="_Toc158"/>
      <w:bookmarkEnd w:id="460"/>
      <w:r>
        <w:rPr>
          <w:rtl w:val="true"/>
        </w:rPr>
        <w:t>عودة إلى أدلّة القول المختار في حقيقة الإنسان</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ابتداءً علىٰ أنّ الحَيَّ هو هذه الجُملةُ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نَجِدُ أحكاماً تَظهَرُ مِن هذه الجُملةِ يُمكِنُ أن تَكونَ مُتعلِّقةً بها و مُستَنِدةً إليها، فيَجِبُ أن لا تَتعدّاها؛ </w:t>
      </w:r>
    </w:p>
    <w:p>
      <w:pPr>
        <w:pStyle w:val="BookText"/>
        <w:rPr/>
      </w:pPr>
      <w:r>
        <w:rPr>
          <w:rFonts w:ascii="Amiri" w:hAnsi="Amiri" w:eastAsia="Amiri" w:cs="Amiri"/>
          <w:color w:val="111111"/>
          <w:sz w:val="28"/>
          <w:sz w:val="28"/>
          <w:szCs w:val="28"/>
          <w:rtl w:val="true"/>
          <w:lang w:bidi="ar-SA"/>
        </w:rPr>
        <w:t>لأنّ تَعلُّقَها بغَيرِها مع أ نّه غيرُ معلومٍ و التجاوزَ بها عن الجُملةِ المعلومةِ يؤَدّي إلىٰ كُلِّ جَهالةٍ‌، و إلىٰ‌</w:t>
      </w:r>
      <w:r>
        <w:rPr>
          <w:rStyle w:val="FootnoteAnchor"/>
          <w:rtl w:val="true"/>
        </w:rPr>
        <w:footnoteReference w:id="1995"/>
      </w:r>
      <w:r>
        <w:rPr>
          <w:rFonts w:ascii="Amiri" w:hAnsi="Amiri" w:eastAsia="Amiri" w:cs="Amiri"/>
          <w:color w:val="111111"/>
          <w:sz w:val="28"/>
          <w:sz w:val="28"/>
          <w:szCs w:val="28"/>
          <w:rtl w:val="true"/>
          <w:lang w:bidi="ar-SA"/>
        </w:rPr>
        <w:t>أن تَكونَ الصِّفاتُ و ما يُستَحَقُّ علَى المَعاني مُتعلِّقةً بغَيرِها من طَبعٍ أو غيرِه؛ و أن يَكونَ السوادُ لَم يَنفِه البياضُ‌</w:t>
      </w:r>
      <w:r>
        <w:rPr>
          <w:rStyle w:val="FootnoteAnchor"/>
          <w:rtl w:val="true"/>
        </w:rPr>
        <w:footnoteReference w:id="1996"/>
      </w:r>
      <w:r>
        <w:rPr>
          <w:rFonts w:ascii="Amiri" w:hAnsi="Amiri" w:eastAsia="Amiri" w:cs="Amiri"/>
          <w:color w:val="111111"/>
          <w:sz w:val="28"/>
          <w:sz w:val="28"/>
          <w:szCs w:val="28"/>
          <w:rtl w:val="true"/>
          <w:lang w:bidi="ar-SA"/>
        </w:rPr>
        <w:t>الطارئُ علىٰ مَحلِّه بَل نَفاه سِواه</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استحقاقِ المَدحِ و الذَّمِّ علَى الأفعالِ في تجويزِ تعليقِه بغَيرِ المعقولِ الذي ظَهَرَ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صِحّةِ مَذهبِنا في الإنسانِ و بُطلانِ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الإدراكَ يَقَعُ بكُلِّ أعضاءِ هذه الجُملةِ‌، فلَو لَم يَكُن في هذه الأعضاءِ حياةٌ لَكانَت كالشَّعرِ و الظُّفرِ لا يُدرَكُ بِهما؛ و إذَن كان لا بُدَّ مِن حياةٍ تَحُلُّ الأعضاءَ‌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مُحالٌ أن توجِبَ هذه الحياةُ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حَلَّته؛ لأنّ ذلكَ يَقتَضي كَونَ هذه الجُملةِ أحياءً كثيرينَ‌، فكانَت لا تَتصرَّفُ بإرادةٍ واحدةٍ و لا تَكونُ كالشيءِ الواحدِ، و لا يَمتَنِعُ وقوعُ الاختلافِ و التمانُعِ مِن هؤلاءِ الأحياءِ و يَجروا مَجرىٰ أحياءٍ كَثيرينَ ضُمَّ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مُحالٌ أن تَكونَ هذه الحياةُ توجِبُ الحُكمَ لغَيرِ هذه الجُملةِ‌؛ لفَقدِ الاختصاصِ و لأنّه لَيسَ أحَدٌ بذلكَ 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توجِبُ الحياةُ الموجودةُ في البعضِ حُكماً لبعضٍ إذا فُقِدَ</w:t>
      </w:r>
      <w:r>
        <w:rPr>
          <w:rStyle w:val="FootnoteAnchor"/>
          <w:rtl w:val="true"/>
        </w:rPr>
        <w:footnoteReference w:id="1998"/>
      </w:r>
      <w:r>
        <w:rPr>
          <w:rFonts w:ascii="Amiri" w:hAnsi="Amiri" w:eastAsia="Amiri" w:cs="Amiri"/>
          <w:color w:val="111111"/>
          <w:sz w:val="28"/>
          <w:sz w:val="28"/>
          <w:szCs w:val="28"/>
          <w:rtl w:val="true"/>
          <w:lang w:bidi="ar-SA"/>
        </w:rPr>
        <w:t>لفَقدِ</w:t>
      </w:r>
      <w:r>
        <w:rPr>
          <w:rStyle w:val="FootnoteAnchor"/>
          <w:rtl w:val="true"/>
        </w:rPr>
        <w:footnoteReference w:id="1999"/>
      </w:r>
      <w:r>
        <w:rPr>
          <w:rFonts w:ascii="Amiri" w:hAnsi="Amiri" w:eastAsia="Amiri" w:cs="Amiri"/>
          <w:color w:val="111111"/>
          <w:sz w:val="28"/>
          <w:sz w:val="28"/>
          <w:szCs w:val="28"/>
          <w:rtl w:val="true"/>
          <w:lang w:bidi="ar-SA"/>
        </w:rPr>
        <w:t>الاختصاصِ‌</w:t>
      </w:r>
      <w:r>
        <w:rPr>
          <w:rStyle w:val="FootnoteAnchor"/>
          <w:rtl w:val="true"/>
        </w:rPr>
        <w:footnoteReference w:id="200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يَصِحَّ كَونُ‌ </w:t>
      </w:r>
      <w:bookmarkStart w:id="462" w:name="pg16415_224014"/>
    </w:p>
    <w:p>
      <w:pPr>
        <w:pStyle w:val="BookText"/>
        <w:rPr/>
      </w:pPr>
      <w:bookmarkEnd w:id="462"/>
      <w:r>
        <w:rPr>
          <w:rFonts w:ascii="Amiri" w:hAnsi="Amiri" w:eastAsia="Amiri" w:cs="Amiri"/>
          <w:color w:val="111111"/>
          <w:sz w:val="28"/>
          <w:sz w:val="28"/>
          <w:szCs w:val="28"/>
          <w:rtl w:val="true"/>
          <w:lang w:bidi="ar-SA"/>
        </w:rPr>
        <w:t xml:space="preserve">الحَيِّ غيرَ هذه الجُملةِ و لا بعضَها و لا كُلَّ جُزءٍ منها، فقَد ثَبَتَ مَذهبُنا بأنّ الحَيَّ بهذه الحياةِ الموجودةِ في أحَدِ الأجزاءِ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هذا الجزءُ بعضٌ لها</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7642544_1280447820"/>
      <w:bookmarkStart w:id="464" w:name="_Toc159"/>
      <w:bookmarkEnd w:id="463"/>
      <w:r>
        <w:rPr>
          <w:rtl w:val="true"/>
        </w:rPr>
        <w:t>عودة لمناقشة الأقوال الأُخرىٰ في حقيقة الإنسان</w:t>
      </w:r>
      <w:bookmarkEnd w:id="464"/>
    </w:p>
    <w:p>
      <w:pPr>
        <w:pStyle w:val="BookText"/>
        <w:rPr/>
      </w:pPr>
      <w:r>
        <w:rPr>
          <w:rFonts w:ascii="Amiri" w:hAnsi="Amiri" w:eastAsia="Amiri" w:cs="Amiri"/>
          <w:color w:val="111111"/>
          <w:sz w:val="28"/>
          <w:sz w:val="28"/>
          <w:szCs w:val="28"/>
          <w:rtl w:val="true"/>
          <w:lang w:bidi="ar-SA"/>
        </w:rPr>
        <w:t>و قد بَطَلَ مَذهبُ النظّامِ بجميعِ ما ذَكرناه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قد يُحرِّكُ يدَه في جِهتَينِ مُختَلِفتَينِ‌</w:t>
      </w:r>
      <w:r>
        <w:rPr>
          <w:rStyle w:val="FootnoteAnchor"/>
          <w:rtl w:val="true"/>
        </w:rPr>
        <w:footnoteReference w:id="2001"/>
      </w:r>
      <w:r>
        <w:rPr>
          <w:rFonts w:ascii="Amiri" w:hAnsi="Amiri" w:eastAsia="Amiri" w:cs="Amiri"/>
          <w:color w:val="111111"/>
          <w:sz w:val="28"/>
          <w:sz w:val="28"/>
          <w:szCs w:val="28"/>
          <w:rtl w:val="true"/>
          <w:lang w:bidi="ar-SA"/>
        </w:rPr>
        <w:t>في الحالِ الواحدةِ‌؛ فلَو كانَ الحَيُّ شَيئاً غيرَ هذا الجسمِ‌، لَم يَصِحَّ ابتداءُ الحركاتِ مع اختلافِها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 إذ شُلَّت لَم يَكُن قَبضُها و بَسطُها علَى الحَدِّ الذي كانَ يُمكِنُ و هي صَحيحةٌ‌؛ فلَولا أنّ هذه الأعضاءَ مِن جُملةِ الحَيِّ لَما وَجَبَ ذلكَ‌، و لَو كانَ الحَيُّ مُنفَصِلاً عنها لَم يؤثِّرْ تَغيُّرُ صِفاتِها في فِعلِه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 القولُ بأنّها خَرَجَت بالشَّلِّ مِن احتمالِ الحركةِ‌؛ لأنّ اللّٰهَ تَعالىٰ يُحرِّكُها، و غيرَ هذه الجُملةِ التي اليدُ الشَّلّاءُ مُتَّصِلةٌ بها أيضاً يُحرِّكُها؛ فلَو كانَت غيرَ مُحتَمِلةٍ للحركةِ لَم يَجِبْ‌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أشاروا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إلَى الحياةِ التي نَقولُ‌</w:t>
      </w:r>
      <w:r>
        <w:rPr>
          <w:rStyle w:val="FootnoteAnchor"/>
          <w:rtl w:val="true"/>
        </w:rPr>
        <w:footnoteReference w:id="2003"/>
      </w:r>
      <w:r>
        <w:rPr>
          <w:rFonts w:ascii="Amiri" w:hAnsi="Amiri" w:eastAsia="Amiri" w:cs="Amiri"/>
          <w:color w:val="111111"/>
          <w:sz w:val="28"/>
          <w:sz w:val="28"/>
          <w:szCs w:val="28"/>
          <w:rtl w:val="true"/>
          <w:lang w:bidi="ar-SA"/>
        </w:rPr>
        <w:t>بأنّها</w:t>
      </w:r>
      <w:r>
        <w:rPr>
          <w:rStyle w:val="FootnoteAnchor"/>
          <w:rtl w:val="true"/>
        </w:rPr>
        <w:footnoteReference w:id="2004"/>
      </w:r>
      <w:r>
        <w:rPr>
          <w:rFonts w:ascii="Amiri" w:hAnsi="Amiri" w:eastAsia="Amiri" w:cs="Amiri"/>
          <w:color w:val="111111"/>
          <w:sz w:val="28"/>
          <w:sz w:val="28"/>
          <w:szCs w:val="28"/>
          <w:rtl w:val="true"/>
          <w:lang w:bidi="ar-SA"/>
        </w:rPr>
        <w:t>عَرَضٌ‌، فالحياةُ‌</w:t>
      </w:r>
      <w:r>
        <w:rPr>
          <w:rStyle w:val="FootnoteAnchor"/>
          <w:rtl w:val="true"/>
        </w:rPr>
        <w:footnoteReference w:id="2005"/>
      </w:r>
      <w:r>
        <w:rPr>
          <w:rFonts w:ascii="Amiri" w:hAnsi="Amiri" w:eastAsia="Amiri" w:cs="Amiri"/>
          <w:color w:val="111111"/>
          <w:sz w:val="28"/>
          <w:sz w:val="28"/>
          <w:szCs w:val="28"/>
          <w:rtl w:val="true"/>
          <w:lang w:bidi="ar-SA"/>
        </w:rPr>
        <w:t>لا يَصِحُّ فيها أن تَكونَ حَيّةً عالِمةً قادرةً‌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w:t>
      </w:r>
      <w:r>
        <w:rPr>
          <w:rStyle w:val="FootnoteAnchor"/>
          <w:rtl w:val="true"/>
        </w:rPr>
        <w:footnoteReference w:id="2006"/>
      </w:r>
      <w:r>
        <w:rPr>
          <w:rFonts w:ascii="IRNazanin" w:hAnsi="IRNazanin" w:eastAsia="IRNazanin"/>
          <w:color w:val="111111"/>
          <w:sz w:val="28"/>
          <w:sz w:val="28"/>
          <w:szCs w:val="28"/>
          <w:rtl w:val="true"/>
          <w:lang w:bidi="fa-IR"/>
        </w:rPr>
        <w:t>به</w:t>
      </w:r>
      <w:r>
        <w:rPr>
          <w:rStyle w:val="FootnoteAnchor"/>
          <w:rtl w:val="true"/>
        </w:rPr>
        <w:footnoteReference w:id="2007"/>
      </w:r>
      <w:r>
        <w:rPr>
          <w:rFonts w:ascii="Amiri" w:hAnsi="Amiri" w:eastAsia="Amiri" w:cs="Amiri"/>
          <w:color w:val="111111"/>
          <w:sz w:val="28"/>
          <w:sz w:val="28"/>
          <w:szCs w:val="28"/>
          <w:rtl w:val="true"/>
          <w:lang w:bidi="ar-SA"/>
        </w:rPr>
        <w:t xml:space="preserve">الهَواءَ المُتردِّدَ في مَنافذِ </w:t>
      </w:r>
    </w:p>
    <w:p>
      <w:pPr>
        <w:pStyle w:val="BookText"/>
        <w:rPr/>
      </w:pPr>
      <w:r>
        <w:rPr>
          <w:rFonts w:ascii="Amiri" w:hAnsi="Amiri" w:eastAsia="Amiri" w:cs="Amiri"/>
          <w:color w:val="111111"/>
          <w:sz w:val="28"/>
          <w:sz w:val="28"/>
          <w:szCs w:val="28"/>
          <w:rtl w:val="true"/>
          <w:lang w:bidi="ar-SA"/>
        </w:rPr>
        <w:t>الجسمِ‌، فذلكَ أيضاً ممّا لا يَصِحُّ أن تَحُلَّه</w:t>
      </w:r>
      <w:r>
        <w:rPr>
          <w:rStyle w:val="FootnoteAnchor"/>
          <w:rtl w:val="true"/>
        </w:rPr>
        <w:footnoteReference w:id="2008"/>
      </w:r>
      <w:r>
        <w:rPr>
          <w:rFonts w:ascii="Amiri" w:hAnsi="Amiri" w:eastAsia="Amiri" w:cs="Amiri"/>
          <w:color w:val="111111"/>
          <w:sz w:val="28"/>
          <w:sz w:val="28"/>
          <w:szCs w:val="28"/>
          <w:rtl w:val="true"/>
          <w:lang w:bidi="ar-SA"/>
        </w:rPr>
        <w:t>الحياةُ و لا يُدرَكَ الألَمُ و اللَّذّةُ به و هو علىٰ صِفتِه؛ و إن لَم يُرَدْ به ذلكَ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الإدراكَ يَقَعُ بظاهرِ الجسمِ‌، فيَجِبُ أن تكونَ‌</w:t>
      </w:r>
      <w:r>
        <w:rPr>
          <w:rStyle w:val="FootnoteAnchor"/>
          <w:rtl w:val="true"/>
        </w:rPr>
        <w:footnoteReference w:id="2009"/>
      </w:r>
      <w:r>
        <w:rPr>
          <w:rFonts w:ascii="Amiri" w:hAnsi="Amiri" w:eastAsia="Amiri" w:cs="Amiri"/>
          <w:color w:val="111111"/>
          <w:sz w:val="28"/>
          <w:sz w:val="28"/>
          <w:szCs w:val="28"/>
          <w:rtl w:val="true"/>
          <w:lang w:bidi="ar-SA"/>
        </w:rPr>
        <w:t>الحياةُ في الظاهرِ موجودةً و الفعلُ يَقَعُ ابتداءً في الأطرافِ‌؛ فلَو كانَ المُحرِّكُ لها شَيئاً مُداخِلاً لهذا الجسمِ لَكانَت الحركةُ علىٰ سَبيلِ الجَذبِ و الدفعِ‌، و معلومٌ ضَرورةً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فما</w:t>
      </w:r>
      <w:r>
        <w:rPr>
          <w:rStyle w:val="FootnoteAnchor"/>
          <w:rtl w:val="true"/>
        </w:rPr>
        <w:footnoteReference w:id="2010"/>
      </w:r>
      <w:r>
        <w:rPr>
          <w:rFonts w:ascii="Amiri" w:hAnsi="Amiri" w:eastAsia="Amiri" w:cs="Amiri"/>
          <w:color w:val="111111"/>
          <w:sz w:val="28"/>
          <w:sz w:val="28"/>
          <w:szCs w:val="28"/>
          <w:rtl w:val="true"/>
          <w:lang w:bidi="ar-SA"/>
        </w:rPr>
        <w:t>السببُ الموجِبُ لتلَفِ هذه الرُّوحِ المُداخِلةِ عندَ قَطعِ الوسطِ و الرأسِ؟ و كَيفَ لَم تَتلَفْ عندَ قَطعِ اليَدِ و الرِّجلِ؟ فعلىٰ مَذهبِ النظّامِ لا وجهَ لذلكَ يُعقَلُ‌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r>
        <w:rPr>
          <w:rStyle w:val="FootnoteAnchor"/>
          <w:rtl w:val="true"/>
        </w:rPr>
        <w:footnoteReference w:id="2011"/>
      </w:r>
      <w:r>
        <w:rPr>
          <w:rFonts w:ascii="Amiri" w:hAnsi="Amiri" w:eastAsia="Amiri" w:cs="Amiri"/>
          <w:color w:val="111111"/>
          <w:sz w:val="28"/>
          <w:sz w:val="28"/>
          <w:szCs w:val="28"/>
          <w:rtl w:val="true"/>
          <w:lang w:bidi="ar-SA"/>
        </w:rPr>
        <w:t>ما قَدَّمناه و ما خَصَّصنا به النظّامَ مِن الكلامِ يُبطِلُ قولَ مَن ذَهَبَ في الإنسانِ إلىٰ‌</w:t>
      </w:r>
      <w:r>
        <w:rPr>
          <w:rStyle w:val="FootnoteAnchor"/>
          <w:rtl w:val="true"/>
        </w:rPr>
        <w:footnoteReference w:id="2012"/>
      </w:r>
      <w:r>
        <w:rPr>
          <w:rFonts w:ascii="Amiri" w:hAnsi="Amiri" w:eastAsia="Amiri" w:cs="Amiri"/>
          <w:color w:val="111111"/>
          <w:sz w:val="28"/>
          <w:sz w:val="28"/>
          <w:szCs w:val="28"/>
          <w:rtl w:val="true"/>
          <w:lang w:bidi="ar-SA"/>
        </w:rPr>
        <w:t>أ نّه جسمٌ رقيقٌ مُنسابٌ في جميعِ هذه الجُملةِ‌؛ لمُضاهاةِ‌</w:t>
      </w:r>
      <w:r>
        <w:rPr>
          <w:rStyle w:val="FootnoteAnchor"/>
          <w:rtl w:val="true"/>
        </w:rPr>
        <w:footnoteReference w:id="2013"/>
      </w:r>
      <w:r>
        <w:rPr>
          <w:rFonts w:ascii="Amiri" w:hAnsi="Amiri" w:eastAsia="Amiri" w:cs="Amiri"/>
          <w:color w:val="111111"/>
          <w:sz w:val="28"/>
          <w:sz w:val="28"/>
          <w:szCs w:val="28"/>
          <w:rtl w:val="true"/>
          <w:lang w:bidi="ar-SA"/>
        </w:rPr>
        <w:t>هذا المَذهبِ لمَذهبِ النظّامِ‌، و إنّما احتَرَسَ‌</w:t>
      </w:r>
      <w:r>
        <w:rPr>
          <w:rStyle w:val="FootnoteAnchor"/>
          <w:rtl w:val="true"/>
        </w:rPr>
        <w:footnoteReference w:id="2014"/>
      </w:r>
      <w:r>
        <w:rPr>
          <w:rFonts w:ascii="Amiri" w:hAnsi="Amiri" w:eastAsia="Amiri" w:cs="Amiri"/>
          <w:color w:val="111111"/>
          <w:sz w:val="28"/>
          <w:sz w:val="28"/>
          <w:szCs w:val="28"/>
          <w:rtl w:val="true"/>
          <w:lang w:bidi="ar-SA"/>
        </w:rPr>
        <w:t>الذاهبُ إليه ممّا يَلزَمُ النظّامَ في الفَرقِ بَينَ قَطعِ‌</w:t>
      </w:r>
      <w:r>
        <w:rPr>
          <w:rStyle w:val="FootnoteAnchor"/>
          <w:rtl w:val="true"/>
        </w:rPr>
        <w:footnoteReference w:id="2015"/>
      </w:r>
      <w:r>
        <w:rPr>
          <w:rFonts w:ascii="Amiri" w:hAnsi="Amiri" w:eastAsia="Amiri" w:cs="Amiri"/>
          <w:color w:val="111111"/>
          <w:sz w:val="28"/>
          <w:sz w:val="28"/>
          <w:szCs w:val="28"/>
          <w:rtl w:val="true"/>
          <w:lang w:bidi="ar-SA"/>
        </w:rPr>
        <w:t xml:space="preserve">الرأسِ و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إذا قُطِعَت تَقلَّصَ الباطنُ فلَم يَتلَفْ‌، فإذا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قائله و مُرتَضيهِ تعليلٌ بالباطلِ‌</w:t>
      </w:r>
      <w:r>
        <w:rPr>
          <w:rStyle w:val="FootnoteAnchor"/>
          <w:rtl w:val="true"/>
        </w:rPr>
        <w:footnoteReference w:id="2017"/>
      </w:r>
      <w:r>
        <w:rPr>
          <w:rFonts w:ascii="IRNazanin" w:hAnsi="IRNazanin" w:eastAsia="IRNazanin"/>
          <w:color w:val="111111"/>
          <w:sz w:val="28"/>
          <w:sz w:val="28"/>
          <w:szCs w:val="28"/>
          <w:rtl w:val="true"/>
          <w:lang w:bidi="fa-IR"/>
        </w:rPr>
        <w:t xml:space="preserve">، </w:t>
      </w:r>
      <w:bookmarkStart w:id="465" w:name="pg16415_224016"/>
    </w:p>
    <w:p>
      <w:pPr>
        <w:pStyle w:val="BookText"/>
        <w:rPr/>
      </w:pPr>
      <w:bookmarkEnd w:id="465"/>
      <w:r>
        <w:rPr>
          <w:rFonts w:ascii="IRNazanin" w:hAnsi="IRNazanin" w:eastAsia="IRNazanin"/>
          <w:color w:val="111111"/>
          <w:sz w:val="28"/>
          <w:sz w:val="28"/>
          <w:szCs w:val="28"/>
          <w:rtl w:val="true"/>
          <w:lang w:bidi="fa-IR"/>
        </w:rPr>
        <w:t>و إذا</w:t>
      </w:r>
      <w:r>
        <w:rPr>
          <w:rStyle w:val="FootnoteAnchor"/>
          <w:rtl w:val="true"/>
        </w:rPr>
        <w:footnoteReference w:id="2018"/>
      </w:r>
      <w:r>
        <w:rPr>
          <w:rFonts w:ascii="Amiri" w:hAnsi="Amiri" w:eastAsia="Amiri" w:cs="Amiri"/>
          <w:color w:val="111111"/>
          <w:sz w:val="28"/>
          <w:sz w:val="28"/>
          <w:szCs w:val="28"/>
          <w:rtl w:val="true"/>
          <w:lang w:bidi="ar-SA"/>
        </w:rPr>
        <w:t>جازَ التقلُّصُ في اليدِ جازَ في الرأسِ و الوسطِ، و إذا جَوَّزناه لَم نأمَنْ‌</w:t>
      </w:r>
      <w:r>
        <w:rPr>
          <w:rStyle w:val="FootnoteAnchor"/>
          <w:rtl w:val="true"/>
        </w:rPr>
        <w:footnoteReference w:id="2019"/>
      </w:r>
      <w:r>
        <w:rPr>
          <w:rFonts w:ascii="Amiri" w:hAnsi="Amiri" w:eastAsia="Amiri" w:cs="Amiri"/>
          <w:color w:val="111111"/>
          <w:sz w:val="28"/>
          <w:sz w:val="28"/>
          <w:szCs w:val="28"/>
          <w:rtl w:val="true"/>
          <w:lang w:bidi="ar-SA"/>
        </w:rPr>
        <w:t>فيمَن قُطِعَ رأسُه و وسطُه أن يَبقىٰ حَيّاً</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7642546_1280447820"/>
      <w:bookmarkStart w:id="467" w:name="_Toc160"/>
      <w:bookmarkEnd w:id="466"/>
      <w:r>
        <w:rPr>
          <w:rtl w:val="true"/>
        </w:rPr>
        <w:t>مناقشة إشكالات القول المختار</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 قَوَّى الشُّبهةَ في الإنسانِ حتّىٰ ذَهَبَ القومُ في الخَطإ إلىٰ كُلِّ مَذهبٍ أنّهم استَبعَدوا أن تَرجِعَ‌</w:t>
      </w:r>
      <w:r>
        <w:rPr>
          <w:rStyle w:val="FootnoteAnchor"/>
          <w:rtl w:val="true"/>
        </w:rPr>
        <w:footnoteReference w:id="2020"/>
      </w:r>
      <w:r>
        <w:rPr>
          <w:rFonts w:ascii="Amiri" w:hAnsi="Amiri" w:eastAsia="Amiri" w:cs="Amiri"/>
          <w:color w:val="111111"/>
          <w:sz w:val="28"/>
          <w:sz w:val="28"/>
          <w:szCs w:val="28"/>
          <w:rtl w:val="true"/>
          <w:lang w:bidi="ar-SA"/>
        </w:rPr>
        <w:t>الصِّفةُ الواحدةُ إلىٰ جُملةٍ مِن الأجزاءِ‌، و أن يَنضَمَّ ما لَيسَ بحَيٍّ فيَصيرَ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Style w:val="FootnoteAnchor"/>
          <w:rtl w:val="true"/>
        </w:rPr>
        <w:footnoteReference w:id="2021"/>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لا يَدخُلُ تَحتَ العِلمِ الضروريِّ فإنّما يُرجَعُ فيه إلَى الدليلِ فيُنقادُ له كائناً ما كانَ‌، و لا معنىٰ للتعجُّبِ ممّا تَسوقُ‌</w:t>
      </w:r>
      <w:r>
        <w:rPr>
          <w:rStyle w:val="FootnoteAnchor"/>
          <w:rtl w:val="true"/>
        </w:rPr>
        <w:footnoteReference w:id="2022"/>
      </w:r>
      <w:r>
        <w:rPr>
          <w:rFonts w:ascii="Amiri" w:hAnsi="Amiri" w:eastAsia="Amiri" w:cs="Amiri"/>
          <w:color w:val="111111"/>
          <w:sz w:val="28"/>
          <w:sz w:val="28"/>
          <w:szCs w:val="28"/>
          <w:rtl w:val="true"/>
          <w:lang w:bidi="ar-SA"/>
        </w:rPr>
        <w:t>إليه الأدِلّةُ‌، فإنّما التعجُّبُ مِن قولٍ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الصِّفةِ الواحدةِ إلىٰ جُملةِ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في العقلِ‌، الخارجِ عن المُستَحيلِ‌؛ فإذا دَلَّ عليه الدليلُ وَجَبَ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الجوازِ كرجوعِ الصِّفاتِ الكَثيرةِ إلَى الذاتِ الواحدةِ‌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عَلِمنا أنّ الحَيَّ هو هذه الجُملةُ دونَ بعضِها؛ لأنّ الأحكامَ المعقولةَ تَرجِعُ إلَى الجُملةِ دونَ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و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الإنسانُ يَعلَمُ ضَرورةً أ نّه مُدرِكٌ واحدٌ و مُريدٌ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اعتَبَرنا ذلكَ وَجَدنا الحَيَّ منّا يَفتَقِرُ إلىٰ معنىً يَكونُ به حَيّاً، و عَلِمنا أنّ الحياةَ لا توجِبُ له هذا الحُكمَ إلّامع غايةِ‌ </w:t>
      </w:r>
    </w:p>
    <w:p>
      <w:pPr>
        <w:pStyle w:val="BookText"/>
        <w:rPr/>
      </w:pPr>
      <w:r>
        <w:rPr>
          <w:rFonts w:ascii="IRNazanin" w:hAnsi="IRNazanin" w:eastAsia="IRNazanin"/>
          <w:color w:val="111111"/>
          <w:sz w:val="28"/>
          <w:sz w:val="28"/>
          <w:szCs w:val="28"/>
          <w:rtl w:val="true"/>
          <w:lang w:bidi="fa-IR"/>
        </w:rPr>
        <w:t>الاختصاصِ به</w:t>
      </w:r>
      <w:r>
        <w:rPr>
          <w:rStyle w:val="FootnoteAnchor"/>
          <w:rtl w:val="true"/>
        </w:rPr>
        <w:footnoteReference w:id="2023"/>
      </w:r>
      <w:r>
        <w:rPr>
          <w:rFonts w:ascii="Amiri" w:hAnsi="Amiri" w:eastAsia="Amiri" w:cs="Amiri"/>
          <w:color w:val="111111"/>
          <w:sz w:val="28"/>
          <w:sz w:val="28"/>
          <w:szCs w:val="28"/>
          <w:rtl w:val="true"/>
          <w:lang w:bidi="ar-SA"/>
        </w:rPr>
        <w:t>، فإنِ استَحالَ حلولُ الحياةِ الواحدةِ في جميعِ الأجزاءِ استَحالَ أيضاً أن يَكونَ المَحلُّ بها حَيّاً؛ لِما تَقدَّمَ ذِكرُه، فلَم يَبقَ في تَعلُّقِ الحياةِ بالجُملةِ و إيجابِها الحالَ إلّا</w:t>
      </w:r>
      <w:r>
        <w:rPr>
          <w:rStyle w:val="FootnoteAnchor"/>
          <w:rtl w:val="true"/>
        </w:rPr>
        <w:footnoteReference w:id="2024"/>
      </w:r>
      <w:r>
        <w:rPr>
          <w:rFonts w:ascii="Amiri" w:hAnsi="Amiri" w:eastAsia="Amiri" w:cs="Amiri"/>
          <w:color w:val="111111"/>
          <w:sz w:val="28"/>
          <w:sz w:val="28"/>
          <w:szCs w:val="28"/>
          <w:rtl w:val="true"/>
          <w:lang w:bidi="ar-SA"/>
        </w:rPr>
        <w:t>ما ذَهبنا إليه مِن حلولِ بعضِها و إيجابِها الحُكمَ لها</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و لمّا وَجَدنا الحَيَّ يَخرُجُ مِن كَونِه حَيّاً عندَ نَقضِ‌</w:t>
      </w:r>
      <w:r>
        <w:rPr>
          <w:rStyle w:val="FootnoteAnchor"/>
          <w:rtl w:val="true"/>
        </w:rPr>
        <w:footnoteReference w:id="2026"/>
      </w:r>
      <w:r>
        <w:rPr>
          <w:rFonts w:ascii="Amiri" w:hAnsi="Amiri" w:eastAsia="Amiri" w:cs="Amiri"/>
          <w:color w:val="111111"/>
          <w:sz w:val="28"/>
          <w:sz w:val="28"/>
          <w:szCs w:val="28"/>
          <w:rtl w:val="true"/>
          <w:lang w:bidi="ar-SA"/>
        </w:rPr>
        <w:t>بِنيةِ بعضِ هذا الجسمِ‌، عَلِمنا أنّ الحَيَّ يَفتَقِرُ إلىٰ بِنيَةٍ‌</w:t>
      </w:r>
      <w:r>
        <w:rPr>
          <w:rStyle w:val="FootnoteAnchor"/>
          <w:rtl w:val="true"/>
        </w:rPr>
        <w:footnoteReference w:id="2027"/>
      </w:r>
      <w:r>
        <w:rPr>
          <w:rFonts w:ascii="Amiri" w:hAnsi="Amiri" w:eastAsia="Amiri" w:cs="Amiri"/>
          <w:color w:val="111111"/>
          <w:sz w:val="28"/>
          <w:sz w:val="28"/>
          <w:szCs w:val="28"/>
          <w:rtl w:val="true"/>
          <w:lang w:bidi="ar-SA"/>
        </w:rPr>
        <w:t>، و أنّا لا نَقِفُ‌</w:t>
      </w:r>
      <w:r>
        <w:rPr>
          <w:rStyle w:val="FootnoteAnchor"/>
          <w:rtl w:val="true"/>
        </w:rPr>
        <w:footnoteReference w:id="2028"/>
      </w:r>
      <w:r>
        <w:rPr>
          <w:rFonts w:ascii="Amiri" w:hAnsi="Amiri" w:eastAsia="Amiri" w:cs="Amiri"/>
          <w:color w:val="111111"/>
          <w:sz w:val="28"/>
          <w:sz w:val="28"/>
          <w:szCs w:val="28"/>
          <w:rtl w:val="true"/>
          <w:lang w:bidi="ar-SA"/>
        </w:rPr>
        <w:t>علىٰ تفصيلِ ذلكَ و تحديدِه</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يَمتَنِعُ أن يُضَمَّ‌</w:t>
      </w:r>
      <w:r>
        <w:rPr>
          <w:rStyle w:val="FootnoteAnchor"/>
          <w:rtl w:val="true"/>
        </w:rPr>
        <w:footnoteReference w:id="2030"/>
      </w:r>
      <w:r>
        <w:rPr>
          <w:rFonts w:ascii="Amiri" w:hAnsi="Amiri" w:eastAsia="Amiri" w:cs="Amiri"/>
          <w:color w:val="111111"/>
          <w:sz w:val="28"/>
          <w:sz w:val="28"/>
          <w:szCs w:val="28"/>
          <w:rtl w:val="true"/>
          <w:lang w:bidi="ar-SA"/>
        </w:rPr>
        <w:t>ما لَيسَ بذي صِفةٍ إلىٰ ما لَيسَ له تلكَ الصِّفةُ فتَحصُلَ‌</w:t>
      </w:r>
      <w:r>
        <w:rPr>
          <w:rStyle w:val="FootnoteAnchor"/>
          <w:rtl w:val="true"/>
        </w:rPr>
        <w:footnoteReference w:id="2031"/>
      </w:r>
      <w:r>
        <w:rPr>
          <w:rFonts w:ascii="Amiri" w:hAnsi="Amiri" w:eastAsia="Amiri" w:cs="Amiri"/>
          <w:color w:val="111111"/>
          <w:sz w:val="28"/>
          <w:sz w:val="28"/>
          <w:szCs w:val="28"/>
          <w:rtl w:val="true"/>
          <w:lang w:bidi="ar-SA"/>
        </w:rPr>
        <w:t>الصِّفةُ التي ما كانَت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 نّه قد يُضَمُّ ما لَيسَ بمُعجِزٍ و لا خارقٍ للعادةِ‌</w:t>
      </w:r>
      <w:r>
        <w:rPr>
          <w:rStyle w:val="FootnoteAnchor"/>
          <w:rtl w:val="true"/>
        </w:rPr>
        <w:footnoteReference w:id="2032"/>
      </w:r>
      <w:r>
        <w:rPr>
          <w:rFonts w:ascii="Amiri" w:hAnsi="Amiri" w:eastAsia="Amiri" w:cs="Amiri"/>
          <w:color w:val="111111"/>
          <w:sz w:val="28"/>
          <w:sz w:val="28"/>
          <w:szCs w:val="28"/>
          <w:rtl w:val="true"/>
          <w:lang w:bidi="ar-SA"/>
        </w:rPr>
        <w:t>إلىٰ ما لَيسَ كذلكَ‌</w:t>
      </w:r>
      <w:r>
        <w:rPr>
          <w:rStyle w:val="FootnoteAnchor"/>
          <w:rtl w:val="true"/>
        </w:rPr>
        <w:footnoteReference w:id="2033"/>
      </w:r>
      <w:r>
        <w:rPr>
          <w:rFonts w:ascii="Amiri" w:hAnsi="Amiri" w:eastAsia="Amiri" w:cs="Amiri"/>
          <w:color w:val="111111"/>
          <w:sz w:val="28"/>
          <w:sz w:val="28"/>
          <w:szCs w:val="28"/>
          <w:rtl w:val="true"/>
          <w:lang w:bidi="ar-SA"/>
        </w:rPr>
        <w:t>فيصيرُ مُعجِزاً و خارقاً للعادةِ‌، و ما لَيسَ بمُحكَمٍ مِن الأفعالِ و لا دالٍّ علىٰ كَونِ فاعلِه</w:t>
      </w:r>
      <w:r>
        <w:rPr>
          <w:rStyle w:val="FootnoteAnchor"/>
          <w:rtl w:val="true"/>
        </w:rPr>
        <w:footnoteReference w:id="2034"/>
      </w:r>
      <w:r>
        <w:rPr>
          <w:rFonts w:ascii="Amiri" w:hAnsi="Amiri" w:eastAsia="Amiri" w:cs="Amiri"/>
          <w:color w:val="111111"/>
          <w:sz w:val="28"/>
          <w:sz w:val="28"/>
          <w:szCs w:val="28"/>
          <w:rtl w:val="true"/>
          <w:lang w:bidi="ar-SA"/>
        </w:rPr>
        <w:t>عالِماً إلىٰ ما لَيسَ كذلكَ‌</w:t>
      </w:r>
      <w:r>
        <w:rPr>
          <w:rStyle w:val="FootnoteAnchor"/>
          <w:rtl w:val="true"/>
        </w:rPr>
        <w:footnoteReference w:id="2035"/>
      </w:r>
      <w:r>
        <w:rPr>
          <w:rFonts w:ascii="Amiri" w:hAnsi="Amiri" w:eastAsia="Amiri" w:cs="Amiri"/>
          <w:color w:val="111111"/>
          <w:sz w:val="28"/>
          <w:sz w:val="28"/>
          <w:szCs w:val="28"/>
          <w:rtl w:val="true"/>
          <w:lang w:bidi="ar-SA"/>
        </w:rPr>
        <w:t>فيَصيرُ</w:t>
      </w:r>
      <w:r>
        <w:rPr>
          <w:rStyle w:val="FootnoteAnchor"/>
          <w:rtl w:val="true"/>
        </w:rPr>
        <w:footnoteReference w:id="2036"/>
      </w:r>
      <w:r>
        <w:rPr>
          <w:rFonts w:ascii="Amiri" w:hAnsi="Amiri" w:eastAsia="Amiri" w:cs="Amiri"/>
          <w:color w:val="111111"/>
          <w:sz w:val="28"/>
          <w:sz w:val="28"/>
          <w:szCs w:val="28"/>
          <w:rtl w:val="true"/>
          <w:lang w:bidi="ar-SA"/>
        </w:rPr>
        <w:t>بالاجتماعِ‌</w:t>
      </w:r>
      <w:r>
        <w:rPr>
          <w:rStyle w:val="FootnoteAnchor"/>
          <w:rtl w:val="true"/>
        </w:rPr>
        <w:footnoteReference w:id="2037"/>
      </w:r>
      <w:r>
        <w:rPr>
          <w:rFonts w:ascii="Amiri" w:hAnsi="Amiri" w:eastAsia="Amiri" w:cs="Amiri"/>
          <w:color w:val="111111"/>
          <w:sz w:val="28"/>
          <w:sz w:val="28"/>
          <w:szCs w:val="28"/>
          <w:rtl w:val="true"/>
          <w:lang w:bidi="ar-SA"/>
        </w:rPr>
        <w:t>دَلالةً علَى العِلمِ‌، و ما لَيسَ بجسمٍ‌</w:t>
      </w:r>
      <w:r>
        <w:rPr>
          <w:rStyle w:val="FootnoteAnchor"/>
          <w:rtl w:val="true"/>
        </w:rPr>
        <w:footnoteReference w:id="2038"/>
      </w:r>
      <w:r>
        <w:rPr>
          <w:rFonts w:ascii="Amiri" w:hAnsi="Amiri" w:eastAsia="Amiri" w:cs="Amiri"/>
          <w:color w:val="111111"/>
          <w:sz w:val="28"/>
          <w:sz w:val="28"/>
          <w:szCs w:val="28"/>
          <w:rtl w:val="true"/>
          <w:lang w:bidi="ar-SA"/>
        </w:rPr>
        <w:t xml:space="preserve">إلىٰ ما لَيسَ بجسمٍ‌ </w:t>
      </w:r>
      <w:bookmarkStart w:id="468" w:name="pg16415_224018"/>
    </w:p>
    <w:p>
      <w:pPr>
        <w:pStyle w:val="BookText"/>
        <w:rPr/>
      </w:pPr>
      <w:bookmarkEnd w:id="468"/>
      <w:r>
        <w:rPr>
          <w:rFonts w:ascii="Amiri" w:hAnsi="Amiri" w:eastAsia="Amiri" w:cs="Amiri"/>
          <w:color w:val="111111"/>
          <w:sz w:val="28"/>
          <w:sz w:val="28"/>
          <w:szCs w:val="28"/>
          <w:rtl w:val="true"/>
          <w:lang w:bidi="ar-SA"/>
        </w:rPr>
        <w:t>فيَصيرُ جسماً، و المَحلُّ لَيسَ بمُتحرِّكٍ قَبلَ‌</w:t>
      </w:r>
      <w:r>
        <w:rPr>
          <w:rStyle w:val="FootnoteAnchor"/>
          <w:rtl w:val="true"/>
        </w:rPr>
        <w:footnoteReference w:id="2039"/>
      </w:r>
      <w:r>
        <w:rPr>
          <w:rFonts w:ascii="Amiri" w:hAnsi="Amiri" w:eastAsia="Amiri" w:cs="Amiri"/>
          <w:color w:val="111111"/>
          <w:sz w:val="28"/>
          <w:sz w:val="28"/>
          <w:szCs w:val="28"/>
          <w:rtl w:val="true"/>
          <w:lang w:bidi="ar-SA"/>
        </w:rPr>
        <w:t>وجودِ الحركةِ‌؛ فإذا وُجِدَت الحركةُ فيه و هي أيضاً غيرُ مُتحرِّكةٍ‌، صارَ متحرِّكاً؟</w:t>
      </w:r>
    </w:p>
    <w:p>
      <w:pPr>
        <w:pStyle w:val="Heading6"/>
        <w:numPr>
          <w:ilvl w:val="5"/>
          <w:numId w:val="1"/>
        </w:numPr>
        <w:rPr/>
      </w:pPr>
      <w:bookmarkStart w:id="469" w:name="__RefHeading___Toc7642548_1280447820"/>
      <w:bookmarkStart w:id="470" w:name="_Toc161"/>
      <w:bookmarkEnd w:id="469"/>
      <w:r>
        <w:rPr>
          <w:rtl w:val="true"/>
        </w:rPr>
        <w:t>الإشكال الثاني</w:t>
      </w:r>
      <w:bookmarkEnd w:id="470"/>
    </w:p>
    <w:p>
      <w:pPr>
        <w:pStyle w:val="BookText"/>
        <w:rPr/>
      </w:pPr>
      <w:r>
        <w:rPr>
          <w:rFonts w:ascii="Amiri" w:hAnsi="Amiri" w:eastAsia="Amiri" w:cs="Amiri"/>
          <w:color w:val="111111"/>
          <w:sz w:val="28"/>
          <w:sz w:val="28"/>
          <w:szCs w:val="28"/>
          <w:rtl w:val="true"/>
          <w:lang w:bidi="ar-SA"/>
        </w:rPr>
        <w:t>و مِن شُبَهِهم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الحيُّ القادرُ هو الجُملةَ المُشاهَدةَ‌</w:t>
      </w:r>
      <w:r>
        <w:rPr>
          <w:rStyle w:val="FootnoteAnchor"/>
          <w:rtl w:val="true"/>
        </w:rPr>
        <w:footnoteReference w:id="2040"/>
      </w:r>
      <w:r>
        <w:rPr>
          <w:rFonts w:ascii="Amiri" w:hAnsi="Amiri" w:eastAsia="Amiri" w:cs="Amiri"/>
          <w:color w:val="111111"/>
          <w:sz w:val="28"/>
          <w:sz w:val="28"/>
          <w:szCs w:val="28"/>
          <w:rtl w:val="true"/>
          <w:lang w:bidi="ar-SA"/>
        </w:rPr>
        <w:t>، و نَحنُ نَعلَمُ جوازَ دخولِ الزيادةِ و النقصانِ و السِّمَنِ و الهُزالِ علىٰ هذه الجُملةِ‌، فكانَ‌</w:t>
      </w:r>
      <w:r>
        <w:rPr>
          <w:rStyle w:val="FootnoteAnchor"/>
          <w:rtl w:val="true"/>
        </w:rPr>
        <w:footnoteReference w:id="2041"/>
      </w:r>
      <w:r>
        <w:rPr>
          <w:rFonts w:ascii="Amiri" w:hAnsi="Amiri" w:eastAsia="Amiri" w:cs="Amiri"/>
          <w:color w:val="111111"/>
          <w:sz w:val="28"/>
          <w:sz w:val="28"/>
          <w:szCs w:val="28"/>
          <w:rtl w:val="true"/>
          <w:lang w:bidi="ar-SA"/>
        </w:rPr>
        <w:t>يَجِبُ أن لا يَعلَمَ الإنسانُ مِنّا اليَومَ أ نّه الحَيُّ القادرُ مِن قَبلُ إذا زادَت أجزاؤه أو نَقَصَت، و لَما صَحَّ أن نَذُمَّ‌</w:t>
      </w:r>
      <w:r>
        <w:rPr>
          <w:rStyle w:val="FootnoteAnchor"/>
          <w:rtl w:val="true"/>
        </w:rPr>
        <w:footnoteReference w:id="2042"/>
      </w:r>
      <w:r>
        <w:rPr>
          <w:rFonts w:ascii="Amiri" w:hAnsi="Amiri" w:eastAsia="Amiri" w:cs="Amiri"/>
          <w:color w:val="111111"/>
          <w:sz w:val="28"/>
          <w:sz w:val="28"/>
          <w:szCs w:val="28"/>
          <w:rtl w:val="true"/>
          <w:lang w:bidi="ar-SA"/>
        </w:rPr>
        <w:t>السَّمينَ علىٰ ما وَقَعَ في حالِ هُزالِه، و الهَزيلَ علىٰ ما كانَ منه في حالِ سِمَنِه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w:t>
      </w:r>
      <w:r>
        <w:rPr>
          <w:rStyle w:val="FootnoteAnchor"/>
          <w:rtl w:val="true"/>
        </w:rPr>
        <w:footnoteReference w:id="2043"/>
      </w:r>
      <w:r>
        <w:rPr>
          <w:rFonts w:ascii="Amiri" w:hAnsi="Amiri" w:eastAsia="Amiri" w:cs="Amiri"/>
          <w:color w:val="111111"/>
          <w:sz w:val="28"/>
          <w:sz w:val="28"/>
          <w:szCs w:val="28"/>
          <w:rtl w:val="true"/>
          <w:lang w:bidi="ar-SA"/>
        </w:rPr>
        <w:t xml:space="preserve">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رَكاكتِها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بالحَيِّ القادرِ إنّما تَعلَّقَ بالمُختَصِّ بهذه الصِّفةِ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تَتغَيّرُ في نفسِها بالزيادةِ و النقصانِ‌، و تَكونُ علىٰ حَدٍّ</w:t>
      </w:r>
      <w:r>
        <w:rPr>
          <w:rStyle w:val="FootnoteAnchor"/>
          <w:rtl w:val="true"/>
        </w:rPr>
        <w:footnoteReference w:id="2044"/>
      </w:r>
      <w:r>
        <w:rPr>
          <w:rFonts w:ascii="Amiri" w:hAnsi="Amiri" w:eastAsia="Amiri" w:cs="Amiri"/>
          <w:color w:val="111111"/>
          <w:sz w:val="28"/>
          <w:sz w:val="28"/>
          <w:szCs w:val="28"/>
          <w:rtl w:val="true"/>
          <w:lang w:bidi="ar-SA"/>
        </w:rPr>
        <w:t>واحدٍ في كَونِها عالِمةً قادرةً مع السِّمَنِ و الهُزالِ‌؛ و لَيسَ العِلمُ بالحَيِّ القادرِ</w:t>
      </w:r>
      <w:r>
        <w:rPr>
          <w:rStyle w:val="FootnoteAnchor"/>
          <w:rtl w:val="true"/>
        </w:rPr>
        <w:footnoteReference w:id="2045"/>
      </w:r>
      <w:r>
        <w:rPr>
          <w:rFonts w:ascii="Amiri" w:hAnsi="Amiri" w:eastAsia="Amiri" w:cs="Amiri"/>
          <w:color w:val="111111"/>
          <w:sz w:val="28"/>
          <w:sz w:val="28"/>
          <w:szCs w:val="28"/>
          <w:rtl w:val="true"/>
          <w:lang w:bidi="ar-SA"/>
        </w:rPr>
        <w:t>متعلِّقاً بالأجزاءِ التي يَدخُلُها الزيادةُ و النقصانُ‌، و إنّما يَتعلَّقُ بالجُملةِ‌</w:t>
      </w:r>
      <w:r>
        <w:rPr>
          <w:rFonts w:eastAsia="Amiri" w:cs="Amiri" w:ascii="Amiri" w:hAnsi="Amiri"/>
          <w:color w:val="111111"/>
          <w:sz w:val="28"/>
          <w:szCs w:val="28"/>
          <w:rtl w:val="true"/>
          <w:lang w:bidi="ar-SA"/>
        </w:rPr>
        <w:t xml:space="preserve">. </w:t>
      </w:r>
      <w:bookmarkStart w:id="471" w:name="pg16415_224019"/>
    </w:p>
    <w:p>
      <w:pPr>
        <w:pStyle w:val="Heading4"/>
        <w:numPr>
          <w:ilvl w:val="3"/>
          <w:numId w:val="1"/>
        </w:numPr>
        <w:rPr/>
      </w:pPr>
      <w:bookmarkStart w:id="472" w:name="__RefHeading___Toc7642550_1280447820"/>
      <w:bookmarkStart w:id="473" w:name="_Toc162"/>
      <w:bookmarkEnd w:id="471"/>
      <w:bookmarkEnd w:id="472"/>
      <w:r>
        <w:rPr>
          <w:rtl w:val="true"/>
        </w:rPr>
        <w:t>(</w:t>
      </w:r>
      <w:r>
        <w:rPr/>
        <w:t>32</w:t>
      </w:r>
      <w:r>
        <w:rPr>
          <w:rtl w:val="true"/>
        </w:rPr>
        <w:t xml:space="preserve">) </w:t>
      </w:r>
      <w:r>
        <w:rPr>
          <w:rtl w:val="true"/>
        </w:rPr>
        <w:t>مسألة في بيان حقيقة الحيّ الفعّال</w:t>
      </w:r>
      <w:bookmarkEnd w:id="47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4" w:name="__RefHeading___Toc7642552_1280447820"/>
      <w:bookmarkStart w:id="475" w:name="_Toc163"/>
      <w:bookmarkEnd w:id="474"/>
      <w:r>
        <w:rPr>
          <w:rtl w:val="true"/>
        </w:rPr>
        <w:t>اشارة</w:t>
      </w:r>
      <w:bookmarkEnd w:id="47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6415_224021"/>
      <w:bookmarkStart w:id="477" w:name="pg16415_224021"/>
      <w:bookmarkEnd w:id="477"/>
    </w:p>
    <w:p>
      <w:pPr>
        <w:pStyle w:val="Heading5"/>
        <w:numPr>
          <w:ilvl w:val="4"/>
          <w:numId w:val="1"/>
        </w:numPr>
        <w:rPr/>
      </w:pPr>
      <w:bookmarkStart w:id="478" w:name="pg16415_224021"/>
      <w:bookmarkStart w:id="479" w:name="__RefHeading___Toc7642554_1280447820"/>
      <w:bookmarkStart w:id="480" w:name="_Toc164"/>
      <w:bookmarkEnd w:id="478"/>
      <w:bookmarkEnd w:id="479"/>
      <w:r>
        <w:rPr>
          <w:rtl w:val="true"/>
        </w:rPr>
        <w:t>مقدّمة التحقيق</w:t>
      </w:r>
      <w:bookmarkEnd w:id="480"/>
    </w:p>
    <w:p>
      <w:pPr>
        <w:pStyle w:val="Heading6"/>
        <w:numPr>
          <w:ilvl w:val="5"/>
          <w:numId w:val="1"/>
        </w:numPr>
        <w:rPr/>
      </w:pPr>
      <w:bookmarkStart w:id="481" w:name="__RefHeading___Toc7642556_1280447820"/>
      <w:bookmarkStart w:id="482" w:name="_Toc165"/>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تعرّضت هذه الرسالة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الحيّ الفعّال</w:t>
      </w:r>
      <w:r>
        <w:rPr>
          <w:rFonts w:eastAsia="Amiri" w:cs="Amiri" w:ascii="Amiri" w:hAnsi="Amiri"/>
          <w:color w:val="111111"/>
          <w:sz w:val="28"/>
          <w:szCs w:val="28"/>
          <w:rtl w:val="true"/>
          <w:lang w:bidi="ar-SA"/>
        </w:rPr>
        <w:t>»</w:t>
      </w:r>
      <w:r>
        <w:rPr>
          <w:rStyle w:val="FootnoteAnchor"/>
          <w:rtl w:val="true"/>
        </w:rPr>
        <w:footnoteReference w:id="2046"/>
      </w:r>
      <w:r>
        <w:rPr>
          <w:rFonts w:ascii="Amiri" w:hAnsi="Amiri" w:eastAsia="Amiri" w:cs="Amiri"/>
          <w:color w:val="111111"/>
          <w:sz w:val="28"/>
          <w:sz w:val="28"/>
          <w:szCs w:val="28"/>
          <w:rtl w:val="true"/>
          <w:lang w:bidi="ar-SA"/>
        </w:rPr>
        <w:t>، و هي من المسائل التي كثر البحث و النزاع فيها بين المتكلّمين، حيث اختلفوا حول حقيقة الإنسان، و أنّ حقيقته هل هي عبارة عن النفس المجرّدة، أو أنّها ليست إلّاهذا الجسم المُشاهَد؟ و قد اختار الشريف المرتضى الرأي الأخير، و استدلّ عليه في أكثر من كتاب و رسالة</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7642558_1280447820"/>
      <w:bookmarkStart w:id="484" w:name="_Toc166"/>
      <w:bookmarkEnd w:id="483"/>
      <w:r>
        <w:rPr>
          <w:rtl w:val="true"/>
        </w:rPr>
        <w:t>نسبة الرسالة</w:t>
      </w:r>
      <w:bookmarkEnd w:id="484"/>
    </w:p>
    <w:p>
      <w:pPr>
        <w:pStyle w:val="BookText"/>
        <w:rPr/>
      </w:pPr>
      <w:r>
        <w:rPr>
          <w:rFonts w:ascii="Amiri" w:hAnsi="Amiri" w:eastAsia="Amiri" w:cs="Amiri"/>
          <w:color w:val="111111"/>
          <w:sz w:val="28"/>
          <w:sz w:val="28"/>
          <w:szCs w:val="28"/>
          <w:rtl w:val="true"/>
          <w:lang w:bidi="ar-SA"/>
        </w:rPr>
        <w:t xml:space="preserve">هذه الرسالة من الرسائل الجديدة المنسوبة إليه، و التي لم تطبع من قبل، و هي قديمة نسبيّاً، فهي منقولة من خطّ السيّد مهنّا بن سنان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المُجاز من عنده، و الذي سأله المسائل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المهنّائية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تطرح رأي الشريف المرتضى القائل بجسمانيّة حقيقة الإنسان، إضافة إلى مناسبة ألفاظها مع ألفاظه و عصره، أو ما قارب ذلك العصر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شواهد احتمالية على تأييد صحّة نسبة الرسالة إليه، و لكن هناك بعض </w:t>
      </w:r>
      <w:bookmarkStart w:id="485" w:name="pg16415_224022"/>
    </w:p>
    <w:p>
      <w:pPr>
        <w:pStyle w:val="BookText"/>
        <w:rPr/>
      </w:pPr>
      <w:bookmarkEnd w:id="485"/>
      <w:r>
        <w:rPr>
          <w:rFonts w:ascii="Amiri" w:hAnsi="Amiri" w:eastAsia="Amiri" w:cs="Amiri"/>
          <w:color w:val="111111"/>
          <w:sz w:val="28"/>
          <w:sz w:val="28"/>
          <w:szCs w:val="28"/>
          <w:rtl w:val="true"/>
          <w:lang w:bidi="ar-SA"/>
        </w:rPr>
        <w:t>الغموض يحوم حول هذه الرسالة لا بأس بالإشارة إليه،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ردّه الصريح لرأي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يذهب إلى القول بتجرّد حقيقة الإنسان</w:t>
      </w:r>
      <w:r>
        <w:rPr>
          <w:rStyle w:val="FootnoteAnchor"/>
          <w:rtl w:val="true"/>
        </w:rPr>
        <w:footnoteReference w:id="204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يبطل به مذهب معمر، و الأسواري من المعتزلة، و شيوخنا بني نوبخت، 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بعيد عن أُسلوب الشريف المرتضى، فهو لم يعتد على ذكر اسم شيخه المفيد في كتبه و رسائله</w:t>
      </w:r>
      <w:r>
        <w:rPr>
          <w:rStyle w:val="FootnoteAnchor"/>
          <w:rtl w:val="true"/>
        </w:rPr>
        <w:footnoteReference w:id="2049"/>
      </w:r>
      <w:r>
        <w:rPr>
          <w:rFonts w:ascii="Amiri" w:hAnsi="Amiri" w:eastAsia="Amiri" w:cs="Amiri"/>
          <w:color w:val="111111"/>
          <w:sz w:val="28"/>
          <w:sz w:val="28"/>
          <w:szCs w:val="28"/>
          <w:rtl w:val="true"/>
          <w:lang w:bidi="ar-SA"/>
        </w:rPr>
        <w:t>، حتّى عندما يختلف معه في بعض الآراء، فإنّه لا يشير إلى اختلافه مع المفيد بصراحة، إجلالاً له، فتصريحه هنا بالردّ عليه غريب للغاية على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اختلاف واضح بين طريقة البحث في هذه الرسالة، و بين بحث حقيقة الإنسان من كتاب الذخيرة؛ سواء في نسبة الأقوال إلى أصحابها، أو في مناقشة تلك الأقوال، أو الاستدلال على النظريّة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ينبغي التعامل مع هذه الرسالة بحذر</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7642560_1280447820"/>
      <w:bookmarkStart w:id="487" w:name="_Toc167"/>
      <w:bookmarkEnd w:id="486"/>
      <w:r>
        <w:rPr>
          <w:rtl w:val="true"/>
        </w:rPr>
        <w:t>محتوى الرسالة</w:t>
      </w:r>
      <w:bookmarkEnd w:id="487"/>
    </w:p>
    <w:p>
      <w:pPr>
        <w:pStyle w:val="BookText"/>
        <w:rPr/>
      </w:pPr>
      <w:r>
        <w:rPr>
          <w:rFonts w:ascii="Amiri" w:hAnsi="Amiri" w:eastAsia="Amiri" w:cs="Amiri"/>
          <w:color w:val="111111"/>
          <w:sz w:val="28"/>
          <w:sz w:val="28"/>
          <w:szCs w:val="28"/>
          <w:rtl w:val="true"/>
          <w:lang w:bidi="ar-SA"/>
        </w:rPr>
        <w:t>تحتوي هذه الرسالة على استعراض للآراء المطروحة حول حقيقة الإنسان، و خمسة أدلّة لإثبات نظريّة جمسانيّة الإنسان، و إشكالات على باقي النظريّات، و إشارة إلى عدم منافاة بعض الآيات القرآنيّة مع النظريّة المختارة، و أنّ السمن و الهزال غير داخلين في حقيقة الإنسان، إضافة إلىٰ بعض النصائح الخِتاميّة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لم تطبع هذه الرسالة من قبل كما تقدّمت الإشارة إليه، و هي تطبع هنا لأوّل مرّة</w:t>
      </w:r>
      <w:r>
        <w:rPr>
          <w:rFonts w:eastAsia="Amiri" w:cs="Amiri" w:ascii="Amiri" w:hAnsi="Amiri"/>
          <w:color w:val="111111"/>
          <w:sz w:val="28"/>
          <w:szCs w:val="28"/>
          <w:rtl w:val="true"/>
          <w:lang w:bidi="ar-SA"/>
        </w:rPr>
        <w:t xml:space="preserve">. </w:t>
      </w:r>
      <w:bookmarkStart w:id="488" w:name="pg16415_224023"/>
    </w:p>
    <w:p>
      <w:pPr>
        <w:pStyle w:val="Heading6"/>
        <w:numPr>
          <w:ilvl w:val="5"/>
          <w:numId w:val="1"/>
        </w:numPr>
        <w:rPr/>
      </w:pPr>
      <w:bookmarkStart w:id="489" w:name="__RefHeading___Toc7642562_1280447820"/>
      <w:bookmarkStart w:id="490" w:name="_Toc168"/>
      <w:bookmarkEnd w:id="488"/>
      <w:bookmarkEnd w:id="489"/>
      <w:r>
        <w:rPr>
          <w:rtl w:val="true"/>
        </w:rPr>
        <w:t>مخطوطات الرسالة</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10188/4</w:t>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بن محمّد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المجموعة بين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النستعليق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تحتوي على خمس رسائل، لا يتعلّق بالشريف المرتضى إلّاالرسالة الرابعة منها، و هي الرسالة التي بين يدينا، و قد فُرغ من نسخها في يوم الأربعاء السابع من شهر رمضان المعظّم،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تشاهد في بداية المجموعة علامة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الحسن بن عليّ الحانيني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العلّامة الطباطبائي بشيراز، المرقّمة </w:t>
      </w:r>
      <w:r>
        <w:rPr>
          <w:rFonts w:eastAsia="Amiri" w:cs="Amiri" w:ascii="Amiri" w:hAnsi="Amiri"/>
          <w:color w:val="111111"/>
          <w:sz w:val="28"/>
          <w:szCs w:val="28"/>
          <w:lang w:bidi="ar-SA"/>
        </w:rPr>
        <w:t>867/4</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نالت الرطوبة من صفحاتها، و لذلك تعذّرت قراءة الكثير من كلماتها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كاتب هذه النسخة كان يجيز لنفسه التصرّف فيما ينسخ، فقد حذف ألفاظ التعظيم و الإجلال للشخص الذي كُتبت له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كانت هذه النسخة نافعة في تصحيح عددٍ مهمّ من الأخطاء التي مُنيت به النسخة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6415_224025"/>
      <w:bookmarkStart w:id="492" w:name="pg16415_224025"/>
      <w:bookmarkEnd w:id="492"/>
    </w:p>
    <w:p>
      <w:pPr>
        <w:pStyle w:val="Heading5"/>
        <w:numPr>
          <w:ilvl w:val="4"/>
          <w:numId w:val="1"/>
        </w:numPr>
        <w:rPr/>
      </w:pPr>
      <w:bookmarkStart w:id="493" w:name="pg16415_224025"/>
      <w:bookmarkStart w:id="494" w:name="__RefHeading___Toc7642564_1280447820"/>
      <w:bookmarkStart w:id="495" w:name="_Toc169"/>
      <w:bookmarkEnd w:id="493"/>
      <w:bookmarkEnd w:id="494"/>
      <w:r>
        <w:rPr>
          <w:rtl w:val="true"/>
        </w:rPr>
        <w:t>مسألةٌ في بيانِ حَقيقةِ الحَيِّ الفَعّالِ‌</w:t>
      </w:r>
      <w:bookmarkEnd w:id="495"/>
    </w:p>
    <w:p>
      <w:pPr>
        <w:pStyle w:val="Heading6"/>
        <w:numPr>
          <w:ilvl w:val="5"/>
          <w:numId w:val="1"/>
        </w:numPr>
        <w:rPr/>
      </w:pPr>
      <w:bookmarkStart w:id="496" w:name="__RefHeading___Toc7642566_1280447820"/>
      <w:bookmarkStart w:id="497" w:name="_Toc170"/>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مسألةٌ في بيانِ حَقيقةِ الحَيِّ الفَعّالِ‌ </w:t>
      </w:r>
      <w:r>
        <w:rPr>
          <w:rStyle w:val="FootnoteAnchor"/>
          <w:rtl w:val="true"/>
        </w:rPr>
        <w:footnoteReference w:id="20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الفَلاسفةُ‌ إلىٰ أنّ الحَيَّ الفَعّالَ هو النفسُ‌، و هو مِن العالَمِ العِلويِّ‌، و لَيسَ هو مِن المُركَّباتِ‌، و أنّه يَستَحيلُ عليه الفَسادُ و العدمُ‌، و أنّ عدمَه بُعدُه عن جِهتِه التي كانَ يَظهَرُ فيها فعلُه، و رجوعُه إلىٰ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أَفلاطونَ و أَرَسطاطاليسَ و بُقراطَ و سُقراطَ و وجوهِ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ذَهَبَت الدَّيَصانيّةُ‌ من المَجوسِ إلىٰ أنّ الحَيَّ الفَعّالَ هو </w:t>
      </w:r>
      <w:r>
        <w:rPr>
          <w:rStyle w:val="FootnoteAnchor"/>
          <w:rtl w:val="true"/>
        </w:rPr>
        <w:footnoteReference w:id="2052"/>
      </w:r>
      <w:r>
        <w:rPr>
          <w:rFonts w:ascii="Amiri" w:hAnsi="Amiri" w:eastAsia="Amiri" w:cs="Amiri"/>
          <w:color w:val="111111"/>
          <w:sz w:val="28"/>
          <w:sz w:val="28"/>
          <w:szCs w:val="28"/>
          <w:rtl w:val="true"/>
          <w:lang w:bidi="ar-SA"/>
        </w:rPr>
        <w:t>النورُ، و أنّ الظُّلمةَ مَواتٌ‌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ذَهَبَت المانَويّةُ‌ إلىٰ أنّ الحَيَّ الفعّالَ هو النورُ و الظلمةُ‌؛ فالنورُ فاعلُ الخيرِ، </w:t>
      </w:r>
    </w:p>
    <w:p>
      <w:pPr>
        <w:pStyle w:val="BookText"/>
        <w:rPr/>
      </w:pPr>
      <w:r>
        <w:rPr>
          <w:rFonts w:ascii="Amiri" w:hAnsi="Amiri" w:eastAsia="Amiri" w:cs="Amiri"/>
          <w:color w:val="111111"/>
          <w:sz w:val="28"/>
          <w:sz w:val="28"/>
          <w:szCs w:val="28"/>
          <w:rtl w:val="true"/>
          <w:lang w:bidi="ar-SA"/>
        </w:rPr>
        <w:t>و الظلمةُ فاعلُ الشرِّ</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 xml:space="preserve">و ذَهَبَ‌ هِشامُ بنُ الحَكَمِ‌ </w:t>
      </w:r>
      <w:r>
        <w:rPr>
          <w:rStyle w:val="FootnoteAnchor"/>
          <w:rtl w:val="true"/>
        </w:rPr>
        <w:footnoteReference w:id="2054"/>
      </w:r>
      <w:r>
        <w:rPr>
          <w:rFonts w:ascii="Amiri" w:hAnsi="Amiri" w:eastAsia="Amiri" w:cs="Amiri"/>
          <w:color w:val="111111"/>
          <w:sz w:val="28"/>
          <w:sz w:val="28"/>
          <w:szCs w:val="28"/>
          <w:rtl w:val="true"/>
          <w:lang w:bidi="ar-SA"/>
        </w:rPr>
        <w:t xml:space="preserve">و النظّامُ‌ </w:t>
      </w:r>
      <w:r>
        <w:rPr>
          <w:rStyle w:val="FootnoteAnchor"/>
          <w:rtl w:val="true"/>
        </w:rPr>
        <w:footnoteReference w:id="2055"/>
      </w:r>
      <w:r>
        <w:rPr>
          <w:rFonts w:ascii="Amiri" w:hAnsi="Amiri" w:eastAsia="Amiri" w:cs="Amiri"/>
          <w:color w:val="111111"/>
          <w:sz w:val="28"/>
          <w:sz w:val="28"/>
          <w:szCs w:val="28"/>
          <w:rtl w:val="true"/>
          <w:lang w:bidi="ar-SA"/>
        </w:rPr>
        <w:t xml:space="preserve">إلىٰ أنّه </w:t>
      </w:r>
      <w:r>
        <w:rPr>
          <w:rStyle w:val="FootnoteAnchor"/>
          <w:rtl w:val="true"/>
        </w:rPr>
        <w:footnoteReference w:id="2056"/>
      </w:r>
      <w:r>
        <w:rPr>
          <w:rFonts w:ascii="Amiri" w:hAnsi="Amiri" w:eastAsia="Amiri" w:cs="Amiri"/>
          <w:color w:val="111111"/>
          <w:sz w:val="28"/>
          <w:sz w:val="28"/>
          <w:szCs w:val="28"/>
          <w:rtl w:val="true"/>
          <w:lang w:bidi="ar-SA"/>
        </w:rPr>
        <w:t xml:space="preserve">جسمٌ لطيفٌ يَختَصُّ القَلبَ‌، و سمّاه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الراوَنديِّ‌ </w:t>
      </w:r>
      <w:r>
        <w:rPr>
          <w:rStyle w:val="FootnoteAnchor"/>
          <w:rtl w:val="true"/>
        </w:rPr>
        <w:footnoteReference w:id="2057"/>
      </w:r>
      <w:r>
        <w:rPr>
          <w:rFonts w:ascii="Amiri" w:hAnsi="Amiri" w:eastAsia="Amiri" w:cs="Amiri"/>
          <w:color w:val="111111"/>
          <w:sz w:val="28"/>
          <w:sz w:val="28"/>
          <w:szCs w:val="28"/>
          <w:rtl w:val="true"/>
          <w:lang w:bidi="ar-SA"/>
        </w:rPr>
        <w:t>إلىٰ أنّه جُزءٌ في القَلبِ لا تَصِحُّ عليه القِسمةُ‌، يَختَرِعُ الأفعالَ فيما بَعُدَ عنه مِن أطرافِ الجُملةِ‌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ابنُ الإخشيذِ </w:t>
      </w:r>
      <w:r>
        <w:rPr>
          <w:rStyle w:val="FootnoteAnchor"/>
          <w:rtl w:val="true"/>
        </w:rPr>
        <w:footnoteReference w:id="2058"/>
      </w:r>
      <w:r>
        <w:rPr>
          <w:rFonts w:ascii="Amiri" w:hAnsi="Amiri" w:eastAsia="Amiri" w:cs="Amiri"/>
          <w:color w:val="111111"/>
          <w:sz w:val="28"/>
          <w:sz w:val="28"/>
          <w:szCs w:val="28"/>
          <w:rtl w:val="true"/>
          <w:lang w:bidi="ar-SA"/>
        </w:rPr>
        <w:t xml:space="preserve">إلىٰ أنّه جسمٌ مُنبَثٌّ في هذه الجُملةِ جميعاً، يَتقلَّصُ‌ </w:t>
      </w:r>
      <w:r>
        <w:rPr>
          <w:rStyle w:val="FootnoteAnchor"/>
          <w:rtl w:val="true"/>
        </w:rPr>
        <w:footnoteReference w:id="2059"/>
      </w:r>
      <w:r>
        <w:rPr>
          <w:rFonts w:ascii="Amiri" w:hAnsi="Amiri" w:eastAsia="Amiri" w:cs="Amiri"/>
          <w:color w:val="111111"/>
          <w:sz w:val="28"/>
          <w:sz w:val="28"/>
          <w:szCs w:val="28"/>
          <w:rtl w:val="true"/>
          <w:lang w:bidi="ar-SA"/>
        </w:rPr>
        <w:t>مِن كُلِّ جارحةٍ متىٰ قُطِعَت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ذَهَبَ‌ ضِرارُ بنُ عَمرٍو </w:t>
      </w:r>
      <w:r>
        <w:rPr>
          <w:rStyle w:val="FootnoteAnchor"/>
          <w:rtl w:val="true"/>
        </w:rPr>
        <w:footnoteReference w:id="2060"/>
      </w:r>
      <w:r>
        <w:rPr>
          <w:rFonts w:ascii="Amiri" w:hAnsi="Amiri" w:eastAsia="Amiri" w:cs="Amiri"/>
          <w:color w:val="111111"/>
          <w:sz w:val="28"/>
          <w:sz w:val="28"/>
          <w:szCs w:val="28"/>
          <w:rtl w:val="true"/>
          <w:lang w:bidi="ar-SA"/>
        </w:rPr>
        <w:t>إلىٰ أنّه جسمٌ مؤلَّفٌ مِن أعراضٍ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بِشرُ </w:t>
      </w:r>
      <w:r>
        <w:rPr>
          <w:rStyle w:val="FootnoteAnchor"/>
          <w:rtl w:val="true"/>
        </w:rPr>
        <w:footnoteReference w:id="2061"/>
      </w:r>
      <w:r>
        <w:rPr>
          <w:rFonts w:ascii="Amiri" w:hAnsi="Amiri" w:eastAsia="Amiri" w:cs="Amiri"/>
          <w:color w:val="111111"/>
          <w:sz w:val="28"/>
          <w:sz w:val="28"/>
          <w:szCs w:val="28"/>
          <w:rtl w:val="true"/>
          <w:lang w:bidi="ar-SA"/>
        </w:rPr>
        <w:t xml:space="preserve">بنُ المُعتَمِرِ </w:t>
      </w:r>
      <w:r>
        <w:rPr>
          <w:rStyle w:val="FootnoteAnchor"/>
          <w:rtl w:val="true"/>
        </w:rPr>
        <w:footnoteReference w:id="2062"/>
      </w:r>
      <w:r>
        <w:rPr>
          <w:rFonts w:ascii="Amiri" w:hAnsi="Amiri" w:eastAsia="Amiri" w:cs="Amiri"/>
          <w:color w:val="111111"/>
          <w:sz w:val="28"/>
          <w:sz w:val="28"/>
          <w:szCs w:val="28"/>
          <w:rtl w:val="true"/>
          <w:lang w:bidi="ar-SA"/>
        </w:rPr>
        <w:t xml:space="preserve">إلىٰ أنّه الجسمُ و الروحُ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يَذهَبُ إلىٰ أنّ الحياةَ حَيّةٌ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حُسَينٌ النجّارُ </w:t>
      </w:r>
      <w:r>
        <w:rPr>
          <w:rStyle w:val="FootnoteAnchor"/>
          <w:rtl w:val="true"/>
        </w:rPr>
        <w:footnoteReference w:id="2063"/>
      </w:r>
      <w:r>
        <w:rPr>
          <w:rFonts w:ascii="Amiri" w:hAnsi="Amiri" w:eastAsia="Amiri" w:cs="Amiri"/>
          <w:color w:val="111111"/>
          <w:sz w:val="28"/>
          <w:sz w:val="28"/>
          <w:szCs w:val="28"/>
          <w:rtl w:val="true"/>
          <w:lang w:bidi="ar-SA"/>
        </w:rPr>
        <w:t xml:space="preserve">و الأشعَريُّ‌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إسماعيل بن إسحاق، أبو الحسن، من نسل أبي موسى الأشعري، و هو مؤسّس مذهب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البصرة و تلقّىٰ مذهب المعتزلة و تقدَّم فيهم، ثمّ رجع و جاهر بخلافهم، و توفّي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المجسّمة، و مقالات الإسلاميّين، و الإبانة عن أُصول الديانة، و اللُّمَع في الردّ علىٰ أهل الزيغ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الفَعّالَ هو اللّٰهُ تَعالىٰ و العبدُ جميعاً؛ فاللّٰهُ‌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تَعالىٰ مِن حَيثُ خَلَقَ الفعلَ‌، و العبدُ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حَلَّه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جَهمُ بنُ صَفوانَ‌</w:t>
      </w:r>
      <w:r>
        <w:rPr>
          <w:rStyle w:val="FootnoteAnchor"/>
          <w:rtl w:val="true"/>
        </w:rPr>
        <w:footnoteReference w:id="2065"/>
      </w:r>
      <w:r>
        <w:rPr>
          <w:rFonts w:ascii="Amiri" w:hAnsi="Amiri" w:eastAsia="Amiri" w:cs="Amiri"/>
          <w:color w:val="111111"/>
          <w:sz w:val="28"/>
          <w:sz w:val="28"/>
          <w:szCs w:val="28"/>
          <w:rtl w:val="true"/>
          <w:lang w:bidi="ar-SA"/>
        </w:rPr>
        <w:t>إلىٰ أنّه هو اللّٰهُ وَحدَه، و أنّ العبدَ لا عُلقةَ‌</w:t>
      </w:r>
      <w:r>
        <w:rPr>
          <w:rStyle w:val="FootnoteAnchor"/>
          <w:rtl w:val="true"/>
        </w:rPr>
        <w:footnoteReference w:id="2066"/>
      </w:r>
      <w:r>
        <w:rPr>
          <w:rFonts w:ascii="Amiri" w:hAnsi="Amiri" w:eastAsia="Amiri" w:cs="Amiri"/>
          <w:color w:val="111111"/>
          <w:sz w:val="28"/>
          <w:sz w:val="28"/>
          <w:szCs w:val="28"/>
          <w:rtl w:val="true"/>
          <w:lang w:bidi="ar-SA"/>
        </w:rPr>
        <w:t>له بفعلِه إلّاما للجَمادِ بما يَحُلُّ فيه مِن</w:t>
      </w:r>
      <w:r>
        <w:rPr>
          <w:rStyle w:val="FootnoteAnchor"/>
          <w:rtl w:val="true"/>
        </w:rPr>
        <w:footnoteReference w:id="2067"/>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مُعمَّرٌ</w:t>
      </w:r>
      <w:r>
        <w:rPr>
          <w:rStyle w:val="FootnoteAnchor"/>
          <w:rtl w:val="true"/>
        </w:rPr>
        <w:footnoteReference w:id="2068"/>
      </w:r>
      <w:r>
        <w:rPr>
          <w:rFonts w:ascii="Amiri" w:hAnsi="Amiri" w:eastAsia="Amiri" w:cs="Amiri"/>
          <w:color w:val="111111"/>
          <w:sz w:val="28"/>
          <w:sz w:val="28"/>
          <w:szCs w:val="28"/>
          <w:rtl w:val="true"/>
          <w:lang w:bidi="ar-SA"/>
        </w:rPr>
        <w:t>و الأَسواريُّ‌</w:t>
      </w:r>
      <w:r>
        <w:rPr>
          <w:rStyle w:val="FootnoteAnchor"/>
          <w:rtl w:val="true"/>
        </w:rPr>
        <w:footnoteReference w:id="2069"/>
      </w:r>
      <w:r>
        <w:rPr>
          <w:rFonts w:ascii="Amiri" w:hAnsi="Amiri" w:eastAsia="Amiri" w:cs="Amiri"/>
          <w:color w:val="111111"/>
          <w:sz w:val="28"/>
          <w:sz w:val="28"/>
          <w:szCs w:val="28"/>
          <w:rtl w:val="true"/>
          <w:lang w:bidi="ar-SA"/>
        </w:rPr>
        <w:t>و ابنا نَوبَختَ‌</w:t>
      </w:r>
      <w:r>
        <w:rPr>
          <w:rStyle w:val="FootnoteAnchor"/>
          <w:rtl w:val="true"/>
        </w:rPr>
        <w:footnoteReference w:id="2070"/>
      </w:r>
      <w:r>
        <w:rPr>
          <w:rFonts w:ascii="Amiri" w:hAnsi="Amiri" w:eastAsia="Amiri" w:cs="Amiri"/>
          <w:color w:val="111111"/>
          <w:sz w:val="28"/>
          <w:sz w:val="28"/>
          <w:szCs w:val="28"/>
          <w:rtl w:val="true"/>
          <w:lang w:bidi="ar-SA"/>
        </w:rPr>
        <w:t>و الشيخُ أبو عبدِ اللّٰهِ‌</w:t>
      </w:r>
      <w:r>
        <w:rPr>
          <w:rStyle w:val="FootnoteAnchor"/>
          <w:rtl w:val="true"/>
        </w:rPr>
        <w:footnoteReference w:id="2071"/>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ذاتٌ مِن الذواتِ‌، و لَيسَ بجَوهرٍ مُتحيِّزٍ و لا عَرَضٍ مِن الأعراضِ‌</w:t>
      </w:r>
      <w:r>
        <w:rPr>
          <w:rStyle w:val="FootnoteAnchor"/>
          <w:rtl w:val="true"/>
        </w:rPr>
        <w:footnoteReference w:id="2072"/>
      </w:r>
      <w:r>
        <w:rPr>
          <w:rFonts w:ascii="Amiri" w:hAnsi="Amiri" w:eastAsia="Amiri" w:cs="Amiri"/>
          <w:color w:val="111111"/>
          <w:sz w:val="28"/>
          <w:sz w:val="28"/>
          <w:szCs w:val="28"/>
          <w:rtl w:val="true"/>
          <w:lang w:bidi="ar-SA"/>
        </w:rPr>
        <w:t>، و أنّه غيرُ حالٍّ في هذهِ‌</w:t>
      </w:r>
      <w:r>
        <w:rPr>
          <w:rStyle w:val="FootnoteAnchor"/>
          <w:rtl w:val="true"/>
        </w:rPr>
        <w:footnoteReference w:id="2073"/>
      </w:r>
      <w:r>
        <w:rPr>
          <w:rFonts w:ascii="Amiri" w:hAnsi="Amiri" w:eastAsia="Amiri" w:cs="Amiri"/>
          <w:color w:val="111111"/>
          <w:sz w:val="28"/>
          <w:sz w:val="28"/>
          <w:szCs w:val="28"/>
          <w:rtl w:val="true"/>
          <w:lang w:bidi="ar-SA"/>
        </w:rPr>
        <w:t>الجُملةِ و لا مُجاوِرٍ لها، و أنّ اللّٰهَ سُبحانَه</w:t>
      </w:r>
      <w:r>
        <w:rPr>
          <w:rStyle w:val="FootnoteAnchor"/>
          <w:rtl w:val="true"/>
        </w:rPr>
        <w:footnoteReference w:id="2074"/>
      </w:r>
      <w:r>
        <w:rPr>
          <w:rFonts w:ascii="Amiri" w:hAnsi="Amiri" w:eastAsia="Amiri" w:cs="Amiri"/>
          <w:color w:val="111111"/>
          <w:sz w:val="28"/>
          <w:sz w:val="28"/>
          <w:szCs w:val="28"/>
          <w:rtl w:val="true"/>
          <w:lang w:bidi="ar-SA"/>
        </w:rPr>
        <w:t>أحدَثَه و فَعَلَه و جَعَلَ الجُملةَ آلةً له، يَفعَلُ بها و فيها بالاختراعِ يَقدِرُ لذاتِه</w:t>
      </w:r>
      <w:r>
        <w:rPr>
          <w:rFonts w:eastAsia="Amiri" w:cs="Amiri" w:ascii="Amiri" w:hAnsi="Amiri"/>
          <w:color w:val="111111"/>
          <w:sz w:val="28"/>
          <w:szCs w:val="28"/>
          <w:rtl w:val="true"/>
          <w:lang w:bidi="ar-SA"/>
        </w:rPr>
        <w:t>.</w:t>
      </w:r>
      <w:r>
        <w:rPr>
          <w:rStyle w:val="FootnoteAnchor"/>
          <w:rtl w:val="true"/>
        </w:rPr>
        <w:footnoteReference w:id="2075"/>
      </w:r>
      <w:bookmarkStart w:id="498" w:name="pg16415_224029"/>
    </w:p>
    <w:p>
      <w:pPr>
        <w:pStyle w:val="BookText"/>
        <w:rPr/>
      </w:pPr>
      <w:bookmarkEnd w:id="498"/>
      <w:r>
        <w:rPr>
          <w:rFonts w:ascii="Amiri" w:hAnsi="Amiri" w:eastAsia="Amiri" w:cs="Amiri"/>
          <w:color w:val="111111"/>
          <w:sz w:val="28"/>
          <w:sz w:val="28"/>
          <w:szCs w:val="28"/>
          <w:rtl w:val="true"/>
          <w:lang w:bidi="ar-SA"/>
        </w:rPr>
        <w:t>و ذَهَبَت الصوفيّةُ‌ إلىٰ أنّه جسمٌ لطيفٌ كهَيئةِ الإنسانِ‌، يَلبسُهُ كالثوبِ على الجسدِ</w:t>
      </w:r>
      <w:r>
        <w:rPr>
          <w:rFonts w:eastAsia="Amiri" w:cs="Amiri" w:ascii="Amiri" w:hAnsi="Amiri"/>
          <w:color w:val="111111"/>
          <w:sz w:val="28"/>
          <w:szCs w:val="28"/>
          <w:rtl w:val="true"/>
          <w:lang w:bidi="ar-SA"/>
        </w:rPr>
        <w:t>.</w:t>
      </w:r>
      <w:r>
        <w:rPr>
          <w:rStyle w:val="FootnoteAnchor"/>
          <w:rtl w:val="true"/>
        </w:rPr>
        <w:footnoteReference w:id="2076"/>
      </w:r>
      <w:r>
        <w:rPr>
          <w:rFonts w:ascii="Amiri" w:hAnsi="Amiri" w:eastAsia="Amiri" w:cs="Amiri"/>
          <w:color w:val="111111"/>
          <w:sz w:val="28"/>
          <w:sz w:val="28"/>
          <w:szCs w:val="28"/>
          <w:rtl w:val="true"/>
          <w:lang w:bidi="ar-SA"/>
        </w:rPr>
        <w:t>و الذي أذهَبُ إليه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2077"/>
      </w:r>
      <w:r>
        <w:rPr>
          <w:rFonts w:ascii="Amiri" w:hAnsi="Amiri" w:eastAsia="Amiri" w:cs="Amiri"/>
          <w:color w:val="111111"/>
          <w:sz w:val="28"/>
          <w:sz w:val="28"/>
          <w:szCs w:val="28"/>
          <w:rtl w:val="true"/>
          <w:lang w:bidi="ar-SA"/>
        </w:rPr>
        <w:t xml:space="preserve">أنّ الحَيَّ الفَعّالَ‌ </w:t>
      </w:r>
      <w:r>
        <w:rPr>
          <w:rStyle w:val="FootnoteAnchor"/>
          <w:rtl w:val="true"/>
        </w:rPr>
        <w:footnoteReference w:id="2078"/>
      </w:r>
      <w:r>
        <w:rPr>
          <w:rFonts w:ascii="Amiri" w:hAnsi="Amiri" w:eastAsia="Amiri" w:cs="Amiri"/>
          <w:color w:val="111111"/>
          <w:sz w:val="28"/>
          <w:sz w:val="28"/>
          <w:szCs w:val="28"/>
          <w:rtl w:val="true"/>
          <w:lang w:bidi="ar-SA"/>
        </w:rPr>
        <w:t xml:space="preserve">هذه الجُملةُ المُشاهَدةُ‌، التي هي أبعاضٌ مُتغايِرةٌ‌، و تَحُلُّها </w:t>
      </w:r>
      <w:r>
        <w:rPr>
          <w:rStyle w:val="FootnoteAnchor"/>
          <w:rtl w:val="true"/>
        </w:rPr>
        <w:footnoteReference w:id="2079"/>
      </w:r>
      <w:r>
        <w:rPr>
          <w:rFonts w:ascii="Amiri" w:hAnsi="Amiri" w:eastAsia="Amiri" w:cs="Amiri"/>
          <w:color w:val="111111"/>
          <w:sz w:val="28"/>
          <w:sz w:val="28"/>
          <w:szCs w:val="28"/>
          <w:rtl w:val="true"/>
          <w:lang w:bidi="ar-SA"/>
        </w:rPr>
        <w:t xml:space="preserve">أعراضٌ مُختَلِفةٌ كالعقلِ و الشهوةِ و العِلمِ و القُدرةِ و الحياةِ و المَوتِ‌، و أنّها غيرُ </w:t>
      </w:r>
      <w:r>
        <w:rPr>
          <w:rStyle w:val="FootnoteAnchor"/>
          <w:rtl w:val="true"/>
        </w:rPr>
        <w:footnoteReference w:id="2080"/>
      </w:r>
      <w:r>
        <w:rPr>
          <w:rFonts w:ascii="Amiri" w:hAnsi="Amiri" w:eastAsia="Amiri" w:cs="Amiri"/>
          <w:color w:val="111111"/>
          <w:sz w:val="28"/>
          <w:sz w:val="28"/>
          <w:szCs w:val="28"/>
          <w:rtl w:val="true"/>
          <w:lang w:bidi="ar-SA"/>
        </w:rPr>
        <w:t xml:space="preserve">مُحتَمِلةٍ للزيادةِ‌ </w:t>
      </w:r>
      <w:r>
        <w:rPr>
          <w:rStyle w:val="FootnoteAnchor"/>
          <w:rtl w:val="true"/>
        </w:rPr>
        <w:footnoteReference w:id="2081"/>
      </w:r>
      <w:r>
        <w:rPr>
          <w:rFonts w:ascii="Amiri" w:hAnsi="Amiri" w:eastAsia="Amiri" w:cs="Amiri"/>
          <w:color w:val="111111"/>
          <w:sz w:val="28"/>
          <w:sz w:val="28"/>
          <w:szCs w:val="28"/>
          <w:rtl w:val="true"/>
          <w:lang w:bidi="ar-SA"/>
        </w:rPr>
        <w:t>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المَذهبُ هو الصحيحُ‌، الذي قامَت عليه الأدِلّةُ‌، و قادَت </w:t>
      </w:r>
      <w:r>
        <w:rPr>
          <w:rStyle w:val="FootnoteAnchor"/>
          <w:rtl w:val="true"/>
        </w:rPr>
        <w:footnoteReference w:id="2082"/>
      </w:r>
      <w:r>
        <w:rPr>
          <w:rFonts w:ascii="Amiri" w:hAnsi="Amiri" w:eastAsia="Amiri" w:cs="Amiri"/>
          <w:color w:val="111111"/>
          <w:sz w:val="28"/>
          <w:sz w:val="28"/>
          <w:szCs w:val="28"/>
          <w:rtl w:val="true"/>
          <w:lang w:bidi="ar-SA"/>
        </w:rPr>
        <w:t>الحُجَجُ إليه</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7642568_1280447820"/>
      <w:bookmarkStart w:id="500" w:name="_Toc171"/>
      <w:bookmarkEnd w:id="499"/>
      <w:r>
        <w:rPr>
          <w:rtl w:val="true"/>
        </w:rPr>
        <w:t>أدلّة القول المختار</w:t>
      </w:r>
      <w:bookmarkEnd w:id="50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 النهيَ و المَدحَ و الذمَّ‌ </w:t>
      </w:r>
      <w:r>
        <w:rPr>
          <w:rStyle w:val="FootnoteAnchor"/>
          <w:rtl w:val="true"/>
        </w:rPr>
        <w:footnoteReference w:id="2083"/>
      </w:r>
      <w:r>
        <w:rPr>
          <w:rFonts w:ascii="Amiri" w:hAnsi="Amiri" w:eastAsia="Amiri" w:cs="Amiri"/>
          <w:color w:val="111111"/>
          <w:sz w:val="28"/>
          <w:sz w:val="28"/>
          <w:szCs w:val="28"/>
          <w:rtl w:val="true"/>
          <w:lang w:bidi="ar-SA"/>
        </w:rPr>
        <w:t xml:space="preserve">قد تَقرَّرَ في العقولِ قُبحُ تَوجُّهِها إلىٰ مَن لَيسَ بحَيٍّ قادرٍ صحيحِ الآلاتِ‌، و لا ذي عِلمٍ‌ </w:t>
      </w:r>
      <w:r>
        <w:rPr>
          <w:rStyle w:val="FootnoteAnchor"/>
          <w:rtl w:val="true"/>
        </w:rPr>
        <w:footnoteReference w:id="2084"/>
      </w:r>
      <w:r>
        <w:rPr>
          <w:rFonts w:ascii="Amiri" w:hAnsi="Amiri" w:eastAsia="Amiri" w:cs="Amiri"/>
          <w:color w:val="111111"/>
          <w:sz w:val="28"/>
          <w:sz w:val="28"/>
          <w:szCs w:val="28"/>
          <w:rtl w:val="true"/>
          <w:lang w:bidi="ar-SA"/>
        </w:rPr>
        <w:t xml:space="preserve">ضَرورةَ قُبحِ أمرِ </w:t>
      </w:r>
    </w:p>
    <w:p>
      <w:pPr>
        <w:pStyle w:val="BookText"/>
        <w:rPr/>
      </w:pPr>
      <w:r>
        <w:rPr>
          <w:rFonts w:ascii="Amiri" w:hAnsi="Amiri" w:eastAsia="Amiri" w:cs="Amiri"/>
          <w:color w:val="111111"/>
          <w:sz w:val="28"/>
          <w:sz w:val="28"/>
          <w:szCs w:val="28"/>
          <w:rtl w:val="true"/>
          <w:lang w:bidi="ar-SA"/>
        </w:rPr>
        <w:t>الجَمادِ و نَهيِه و مَدحِه و ذَمِّهِ‌، و كذلكَ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كَونِ مَن يُوجَّهُ الأمرُ و النهيُ إليه </w:t>
      </w:r>
      <w:r>
        <w:rPr>
          <w:rStyle w:val="FootnoteAnchor"/>
          <w:rtl w:val="true"/>
        </w:rPr>
        <w:footnoteReference w:id="2085"/>
      </w:r>
      <w:r>
        <w:rPr>
          <w:rFonts w:ascii="Amiri" w:hAnsi="Amiri" w:eastAsia="Amiri" w:cs="Amiri"/>
          <w:color w:val="111111"/>
          <w:sz w:val="28"/>
          <w:sz w:val="28"/>
          <w:szCs w:val="28"/>
          <w:rtl w:val="true"/>
          <w:lang w:bidi="ar-SA"/>
        </w:rPr>
        <w:t>حَيّاً قادراً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عَلِمنا تَعلُّقَ التكليفِ بأبعاضِ هذه الجُملةِ‌؛ كالشُّكرِ للّٰهِ‌ </w:t>
      </w:r>
      <w:r>
        <w:rPr>
          <w:rStyle w:val="FootnoteAnchor"/>
          <w:rtl w:val="true"/>
        </w:rPr>
        <w:footnoteReference w:id="2086"/>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و لكُلِّ‌ </w:t>
      </w:r>
      <w:r>
        <w:rPr>
          <w:rStyle w:val="FootnoteAnchor"/>
          <w:rtl w:val="true"/>
        </w:rPr>
        <w:footnoteReference w:id="2087"/>
      </w:r>
      <w:r>
        <w:rPr>
          <w:rFonts w:ascii="Amiri" w:hAnsi="Amiri" w:eastAsia="Amiri" w:cs="Amiri"/>
          <w:color w:val="111111"/>
          <w:sz w:val="28"/>
          <w:sz w:val="28"/>
          <w:szCs w:val="28"/>
          <w:rtl w:val="true"/>
          <w:lang w:bidi="ar-SA"/>
        </w:rPr>
        <w:t xml:space="preserve">مُنعِمٍ علىٰ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بالنُّطقِ باللِّسانِ مع الاعتقادِ بالقلبِ‌ </w:t>
      </w:r>
      <w:r>
        <w:rPr>
          <w:rStyle w:val="FootnoteAnchor"/>
          <w:rtl w:val="true"/>
        </w:rPr>
        <w:footnoteReference w:id="2088"/>
      </w:r>
      <w:r>
        <w:rPr>
          <w:rFonts w:ascii="Amiri" w:hAnsi="Amiri" w:eastAsia="Amiri" w:cs="Amiri"/>
          <w:color w:val="111111"/>
          <w:sz w:val="28"/>
          <w:sz w:val="28"/>
          <w:szCs w:val="28"/>
          <w:rtl w:val="true"/>
          <w:lang w:bidi="ar-SA"/>
        </w:rPr>
        <w:t xml:space="preserve">، و رَدِّ الوَديعةِ بالسعيِ بالرِّجلَينِ و مُناوَلتِها باليدَينِ مع الاعتقادِ بالقَلبِ‌، و كذلكَ‌ </w:t>
      </w:r>
      <w:r>
        <w:rPr>
          <w:rStyle w:val="FootnoteAnchor"/>
          <w:rtl w:val="true"/>
        </w:rPr>
        <w:footnoteReference w:id="2089"/>
      </w:r>
      <w:r>
        <w:rPr>
          <w:rFonts w:ascii="Amiri" w:hAnsi="Amiri" w:eastAsia="Amiri" w:cs="Amiri"/>
          <w:color w:val="111111"/>
          <w:sz w:val="28"/>
          <w:sz w:val="28"/>
          <w:szCs w:val="28"/>
          <w:rtl w:val="true"/>
          <w:lang w:bidi="ar-SA"/>
        </w:rPr>
        <w:t>قَضاءُ الدَّينِ و التحرُّزُ مِن الضررِ، و تَركُ استعمالِ هذه الجَوارحِ في الظُّلمِ و الكَذِبِ و غيرِهما مِن القَبائحِ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غيرُ هذه الجُملةِ هو الفاعلَ لَتعلَّقَ التكليفُ به، و تَعلُّقُه بهذه الجُملةِ يَدُلُّ علىٰ بُطلانِ ذلكَ‌</w:t>
      </w:r>
      <w:r>
        <w:rPr>
          <w:rFonts w:eastAsia="Amiri" w:cs="Amiri" w:ascii="Amiri" w:hAnsi="Amiri"/>
          <w:color w:val="111111"/>
          <w:sz w:val="28"/>
          <w:szCs w:val="28"/>
          <w:rtl w:val="true"/>
          <w:lang w:bidi="ar-SA"/>
        </w:rPr>
        <w:t>.</w:t>
      </w:r>
      <w:r>
        <w:rPr>
          <w:rStyle w:val="FootnoteAnchor"/>
          <w:rtl w:val="true"/>
        </w:rPr>
        <w:footnoteReference w:id="2090"/>
      </w:r>
      <w:r>
        <w:rPr>
          <w:rFonts w:ascii="Amiri" w:hAnsi="Amiri" w:eastAsia="Amiri" w:cs="Amiri"/>
          <w:color w:val="111111"/>
          <w:sz w:val="28"/>
          <w:sz w:val="28"/>
          <w:szCs w:val="28"/>
          <w:rtl w:val="true"/>
          <w:lang w:bidi="ar-SA"/>
        </w:rPr>
        <w:t>و لَو لَم تَكُن هذه الجُملةُ هي الفاعلةَ لَما تَعلَّقَ التكليفُ بكُلِّ جُزءٍ منها، و لَكان يَتعلَّقُ بالفاعلِ الذي هو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عِلمِنا بأنّها هي المُكلَّفةُ جُملةً و تفصيلاً، و أنّها </w:t>
      </w:r>
      <w:r>
        <w:rPr>
          <w:rStyle w:val="FootnoteAnchor"/>
          <w:rtl w:val="true"/>
        </w:rPr>
        <w:footnoteReference w:id="2091"/>
      </w:r>
      <w:r>
        <w:rPr>
          <w:rFonts w:ascii="Amiri" w:hAnsi="Amiri" w:eastAsia="Amiri" w:cs="Amiri"/>
          <w:color w:val="111111"/>
          <w:sz w:val="28"/>
          <w:sz w:val="28"/>
          <w:szCs w:val="28"/>
          <w:rtl w:val="true"/>
          <w:lang w:bidi="ar-SA"/>
        </w:rPr>
        <w:t xml:space="preserve">هي التي يَنالُها </w:t>
      </w:r>
      <w:r>
        <w:rPr>
          <w:rStyle w:val="FootnoteAnchor"/>
          <w:rtl w:val="true"/>
        </w:rPr>
        <w:footnoteReference w:id="2092"/>
      </w:r>
      <w:r>
        <w:rPr>
          <w:rFonts w:ascii="Amiri" w:hAnsi="Amiri" w:eastAsia="Amiri" w:cs="Amiri"/>
          <w:color w:val="111111"/>
          <w:sz w:val="28"/>
          <w:sz w:val="28"/>
          <w:szCs w:val="28"/>
          <w:rtl w:val="true"/>
          <w:lang w:bidi="ar-SA"/>
        </w:rPr>
        <w:t xml:space="preserve">العِقابُ في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كالجَلدِ </w:t>
      </w:r>
      <w:r>
        <w:rPr>
          <w:rStyle w:val="FootnoteAnchor"/>
          <w:rtl w:val="true"/>
        </w:rPr>
        <w:footnoteReference w:id="2093"/>
      </w:r>
      <w:r>
        <w:rPr>
          <w:rFonts w:ascii="Amiri" w:hAnsi="Amiri" w:eastAsia="Amiri" w:cs="Amiri"/>
          <w:color w:val="111111"/>
          <w:sz w:val="28"/>
          <w:sz w:val="28"/>
          <w:szCs w:val="28"/>
          <w:rtl w:val="true"/>
          <w:lang w:bidi="ar-SA"/>
        </w:rPr>
        <w:t xml:space="preserve">و القَطعِ 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الحَيَّ الفَعّالَ هو هذه الجُملةُ دونَ ما سِواها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آخَرُ ثانٍ‌ </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الحَيَّ مِنّا يَستَحِقُّ هذه الصفةَ و ضِدَّها، كَما أنّ الجَمادَ </w:t>
      </w:r>
    </w:p>
    <w:p>
      <w:pPr>
        <w:pStyle w:val="BookText"/>
        <w:rPr/>
      </w:pPr>
      <w:r>
        <w:rPr>
          <w:rFonts w:ascii="Amiri" w:hAnsi="Amiri" w:eastAsia="Amiri" w:cs="Amiri"/>
          <w:color w:val="111111"/>
          <w:sz w:val="28"/>
          <w:sz w:val="28"/>
          <w:szCs w:val="28"/>
          <w:rtl w:val="true"/>
          <w:lang w:bidi="ar-SA"/>
        </w:rPr>
        <w:t>يَصِحُّ‌</w:t>
      </w:r>
      <w:r>
        <w:rPr>
          <w:rStyle w:val="FootnoteAnchor"/>
          <w:rtl w:val="true"/>
        </w:rPr>
        <w:footnoteReference w:id="2095"/>
      </w:r>
      <w:r>
        <w:rPr>
          <w:rFonts w:ascii="Amiri" w:hAnsi="Amiri" w:eastAsia="Amiri" w:cs="Amiri"/>
          <w:color w:val="111111"/>
          <w:sz w:val="28"/>
          <w:sz w:val="28"/>
          <w:szCs w:val="28"/>
          <w:rtl w:val="true"/>
          <w:lang w:bidi="ar-SA"/>
        </w:rPr>
        <w:t>أن يَتحرَّكَ و يَسكُنَ و تَصِحُّ عليه الحركةُ و ضِدُّها، فإذا عَلِمنا أنّ الجَمادَ متىٰ تَحرَّكَ فإنّما هو</w:t>
      </w:r>
      <w:r>
        <w:rPr>
          <w:rStyle w:val="FootnoteAnchor"/>
          <w:rtl w:val="true"/>
        </w:rPr>
        <w:footnoteReference w:id="2096"/>
      </w:r>
      <w:r>
        <w:rPr>
          <w:rFonts w:ascii="Amiri" w:hAnsi="Amiri" w:eastAsia="Amiri" w:cs="Amiri"/>
          <w:color w:val="111111"/>
          <w:sz w:val="28"/>
          <w:sz w:val="28"/>
          <w:szCs w:val="28"/>
          <w:rtl w:val="true"/>
          <w:lang w:bidi="ar-SA"/>
        </w:rPr>
        <w:t>لوجودِ الحركةِ فيه؛ و كذلكَ‌</w:t>
      </w:r>
      <w:r>
        <w:rPr>
          <w:rStyle w:val="FootnoteAnchor"/>
          <w:rtl w:val="true"/>
        </w:rPr>
        <w:footnoteReference w:id="2097"/>
      </w:r>
      <w:r>
        <w:rPr>
          <w:rFonts w:ascii="Amiri" w:hAnsi="Amiri" w:eastAsia="Amiri" w:cs="Amiri"/>
          <w:color w:val="111111"/>
          <w:sz w:val="28"/>
          <w:sz w:val="28"/>
          <w:szCs w:val="28"/>
          <w:rtl w:val="true"/>
          <w:lang w:bidi="ar-SA"/>
        </w:rPr>
        <w:t>نَعلَمُ أنّ الجُملةَ متىٰ صارَت</w:t>
      </w:r>
      <w:r>
        <w:rPr>
          <w:rStyle w:val="FootnoteAnchor"/>
          <w:rtl w:val="true"/>
        </w:rPr>
        <w:footnoteReference w:id="2098"/>
      </w:r>
      <w:r>
        <w:rPr>
          <w:rFonts w:ascii="Amiri" w:hAnsi="Amiri" w:eastAsia="Amiri" w:cs="Amiri"/>
          <w:color w:val="111111"/>
          <w:sz w:val="28"/>
          <w:sz w:val="28"/>
          <w:szCs w:val="28"/>
          <w:rtl w:val="true"/>
          <w:lang w:bidi="ar-SA"/>
        </w:rPr>
        <w:t>حَيّةً بَعدَ أن لَم تَكُن كذلكَ فإنّما هو لوجودِ الحياةِ فيها</w:t>
      </w:r>
      <w:r>
        <w:rPr>
          <w:rStyle w:val="FootnoteAnchor"/>
          <w:rtl w:val="true"/>
        </w:rPr>
        <w:footnoteReference w:id="2099"/>
      </w:r>
      <w:r>
        <w:rPr>
          <w:rFonts w:ascii="Amiri" w:hAnsi="Amiri" w:eastAsia="Amiri" w:cs="Amiri"/>
          <w:color w:val="111111"/>
          <w:sz w:val="28"/>
          <w:sz w:val="28"/>
          <w:szCs w:val="28"/>
          <w:rtl w:val="true"/>
          <w:lang w:bidi="ar-SA"/>
        </w:rPr>
        <w:t>، و الحياةُ‌</w:t>
      </w:r>
      <w:r>
        <w:rPr>
          <w:rStyle w:val="FootnoteAnchor"/>
          <w:rtl w:val="true"/>
        </w:rPr>
        <w:footnoteReference w:id="2100"/>
      </w:r>
      <w:r>
        <w:rPr>
          <w:rFonts w:ascii="Amiri" w:hAnsi="Amiri" w:eastAsia="Amiri" w:cs="Amiri"/>
          <w:color w:val="111111"/>
          <w:sz w:val="28"/>
          <w:sz w:val="28"/>
          <w:szCs w:val="28"/>
          <w:rtl w:val="true"/>
          <w:lang w:bidi="ar-SA"/>
        </w:rPr>
        <w:t>لا تَقومُ بنفسِها كسائرِ الأعراضِ‌، فلا بُدَّ</w:t>
      </w:r>
      <w:r>
        <w:rPr>
          <w:rStyle w:val="FootnoteAnchor"/>
          <w:rtl w:val="true"/>
        </w:rPr>
        <w:footnoteReference w:id="2101"/>
      </w:r>
      <w:r>
        <w:rPr>
          <w:rFonts w:ascii="Amiri" w:hAnsi="Amiri" w:eastAsia="Amiri" w:cs="Amiri"/>
          <w:color w:val="111111"/>
          <w:sz w:val="28"/>
          <w:sz w:val="28"/>
          <w:szCs w:val="28"/>
          <w:rtl w:val="true"/>
          <w:lang w:bidi="ar-SA"/>
        </w:rPr>
        <w:t>مِن حاجتِها إلىٰ مَحلٍّ تَحُلُّه، و لَيسَ هُناكَ مَحلٌّ للأعراضِ إلّاالجَواهرُ، فَثبَتَ بذلكَ أنّ الحَياةَ تَحُلُّ الجَواهرَ و توجِبُ كَونَها حَيّةً‌، كَما أنّ الحركةَ تَحُلُّ المُتحرِّكَ و توجِبُ كَونَه مُتحرِّكاً بَعدَ أن كانَ ساكناً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 ثالثٌ‌</w:t>
      </w: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دَواعيَ الحاجةِ و الجَهلِ و التصرُّفَ بحَسَبِها، و دَواعيَ العِلمِ‌</w:t>
      </w:r>
      <w:r>
        <w:rPr>
          <w:rStyle w:val="FootnoteAnchor"/>
          <w:rtl w:val="true"/>
        </w:rPr>
        <w:footnoteReference w:id="2103"/>
      </w:r>
      <w:r>
        <w:rPr>
          <w:rFonts w:ascii="Amiri" w:hAnsi="Amiri" w:eastAsia="Amiri" w:cs="Amiri"/>
          <w:color w:val="111111"/>
          <w:sz w:val="28"/>
          <w:sz w:val="28"/>
          <w:szCs w:val="28"/>
          <w:rtl w:val="true"/>
          <w:lang w:bidi="ar-SA"/>
        </w:rPr>
        <w:t>و وقوعَ الفعلِ الحَسَنِ بحَسَبِها</w:t>
      </w:r>
      <w:r>
        <w:rPr>
          <w:rStyle w:val="FootnoteAnchor"/>
          <w:rtl w:val="true"/>
        </w:rPr>
        <w:footnoteReference w:id="2104"/>
      </w:r>
      <w:r>
        <w:rPr>
          <w:rFonts w:ascii="Amiri" w:hAnsi="Amiri" w:eastAsia="Amiri" w:cs="Amiri"/>
          <w:color w:val="111111"/>
          <w:sz w:val="28"/>
          <w:sz w:val="28"/>
          <w:szCs w:val="28"/>
          <w:rtl w:val="true"/>
          <w:lang w:bidi="ar-SA"/>
        </w:rPr>
        <w:t>، و هي</w:t>
      </w:r>
      <w:r>
        <w:rPr>
          <w:rStyle w:val="FootnoteAnchor"/>
          <w:rtl w:val="true"/>
        </w:rPr>
        <w:footnoteReference w:id="2105"/>
      </w:r>
      <w:r>
        <w:rPr>
          <w:rFonts w:ascii="Amiri" w:hAnsi="Amiri" w:eastAsia="Amiri" w:cs="Amiri"/>
          <w:color w:val="111111"/>
          <w:sz w:val="28"/>
          <w:sz w:val="28"/>
          <w:szCs w:val="28"/>
          <w:rtl w:val="true"/>
          <w:lang w:bidi="ar-SA"/>
        </w:rPr>
        <w:t>تَختَصُّ هذه الجُملةَ دونَ ما سِواها، فيَجِبُ أن تَكونَ هي الحَيّةَ الفاعلةَ‌</w:t>
      </w:r>
      <w:r>
        <w:rPr>
          <w:rStyle w:val="FootnoteAnchor"/>
          <w:rtl w:val="true"/>
        </w:rPr>
        <w:footnoteReference w:id="2106"/>
      </w:r>
      <w:r>
        <w:rPr>
          <w:rFonts w:ascii="Amiri" w:hAnsi="Amiri" w:eastAsia="Amiri" w:cs="Amiri"/>
          <w:color w:val="111111"/>
          <w:sz w:val="28"/>
          <w:sz w:val="28"/>
          <w:szCs w:val="28"/>
          <w:rtl w:val="true"/>
          <w:lang w:bidi="ar-SA"/>
        </w:rPr>
        <w:t>لأنّ مِن المعلومِ ضرورةً‌</w:t>
      </w:r>
      <w:r>
        <w:rPr>
          <w:rStyle w:val="FootnoteAnchor"/>
          <w:rtl w:val="true"/>
        </w:rPr>
        <w:footnoteReference w:id="2107"/>
      </w:r>
      <w:r>
        <w:rPr>
          <w:rFonts w:ascii="Amiri" w:hAnsi="Amiri" w:eastAsia="Amiri" w:cs="Amiri"/>
          <w:color w:val="111111"/>
          <w:sz w:val="28"/>
          <w:sz w:val="28"/>
          <w:szCs w:val="28"/>
          <w:rtl w:val="true"/>
          <w:lang w:bidi="ar-SA"/>
        </w:rPr>
        <w:t>أنّ الحَيَّ الفَعّالَ مَن وَقَعَت أفعالُه بحَسَبِ دَواعيه</w:t>
      </w:r>
      <w:r>
        <w:rPr>
          <w:rFonts w:eastAsia="Amiri" w:cs="Amiri" w:ascii="Amiri" w:hAnsi="Amiri"/>
          <w:color w:val="111111"/>
          <w:sz w:val="28"/>
          <w:szCs w:val="28"/>
          <w:rtl w:val="true"/>
          <w:lang w:bidi="ar-SA"/>
        </w:rPr>
        <w:t xml:space="preserve">. </w:t>
      </w:r>
      <w:bookmarkStart w:id="501" w:name="pg16415_224032"/>
    </w:p>
    <w:p>
      <w:pPr>
        <w:pStyle w:val="BookText"/>
        <w:rPr/>
      </w:pPr>
      <w:bookmarkEnd w:id="501"/>
      <w:r>
        <w:rPr>
          <w:rFonts w:ascii="Amiri" w:hAnsi="Amiri" w:eastAsia="Amiri" w:cs="Amiri"/>
          <w:color w:val="111111"/>
          <w:sz w:val="28"/>
          <w:sz w:val="28"/>
          <w:szCs w:val="28"/>
          <w:rtl w:val="true"/>
          <w:lang w:bidi="ar-SA"/>
        </w:rPr>
        <w:t>دليلٌ آخَرُ رابعٌ‌</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الآفاتِ المانعةَ مِن الفعلِ تَحصُلُ في هذه الجُملةِ و في أبعاضِها، و يَتعذَّرُ لأجلِ حصولِها ما كانَ يَصِحُّ قَبلَ ذلكَ‌؛ و المانعُ مِن الفعلِ إنّما يَصِحُّ علَى الفاعلِ الذي يَصِحُّ دخولُ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الفاعلُ غيرَ هذه الجُملةِ لَكانَت الآفاتُ متىٰ وُجِدَت لَم تؤثِّرْ في انتفاءِ الفعلِ‌، و المعلومُ خِلافُ ذلك</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آخَرُ خامسٌ‌</w:t>
      </w:r>
      <w:r>
        <w:rPr>
          <w:rStyle w:val="FootnoteAnchor"/>
          <w:rtl w:val="true"/>
        </w:rPr>
        <w:footnoteReference w:id="2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يَصِحُّ وجودُ القُدرةِ إلّافي مَحلٍّ فيه حياةٌ‌، و القُدرةُ آلةٌ لِما</w:t>
      </w:r>
      <w:r>
        <w:rPr>
          <w:rStyle w:val="FootnoteAnchor"/>
          <w:rtl w:val="true"/>
        </w:rPr>
        <w:footnoteReference w:id="2111"/>
      </w:r>
      <w:r>
        <w:rPr>
          <w:rFonts w:ascii="Amiri" w:hAnsi="Amiri" w:eastAsia="Amiri" w:cs="Amiri"/>
          <w:color w:val="111111"/>
          <w:sz w:val="28"/>
          <w:sz w:val="28"/>
          <w:szCs w:val="28"/>
          <w:rtl w:val="true"/>
          <w:lang w:bidi="ar-SA"/>
        </w:rPr>
        <w:t>حَلَّته في صِحّةِ الفعلِ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في كُلِّ بعضٍ مِن هذه الجُملةِ قُدرةً علىٰ ما تَختَصُّ به مِن التكليفِ‌، فيَجِبُ أن تَكونَ هذه الحَيّةَ الفاعلةَ‌؛ إذ لَو كانَ الحَيُّ الفاعلُ‌</w:t>
      </w:r>
      <w:r>
        <w:rPr>
          <w:rStyle w:val="FootnoteAnchor"/>
          <w:rtl w:val="true"/>
        </w:rPr>
        <w:footnoteReference w:id="2112"/>
      </w:r>
      <w:r>
        <w:rPr>
          <w:rFonts w:ascii="Amiri" w:hAnsi="Amiri" w:eastAsia="Amiri" w:cs="Amiri"/>
          <w:color w:val="111111"/>
          <w:sz w:val="28"/>
          <w:sz w:val="28"/>
          <w:szCs w:val="28"/>
          <w:rtl w:val="true"/>
          <w:lang w:bidi="ar-SA"/>
        </w:rPr>
        <w:t>غيرَها لَم يَجِبْ ذلكَ فيه</w:t>
      </w:r>
      <w:r>
        <w:rPr>
          <w:rStyle w:val="FootnoteAnchor"/>
          <w:rtl w:val="true"/>
        </w:rPr>
        <w:footnoteReference w:id="2113"/>
      </w:r>
      <w:r>
        <w:rPr>
          <w:rFonts w:ascii="Amiri" w:hAnsi="Amiri" w:eastAsia="Amiri" w:cs="Amiri"/>
          <w:color w:val="111111"/>
          <w:sz w:val="28"/>
          <w:sz w:val="28"/>
          <w:szCs w:val="28"/>
          <w:rtl w:val="true"/>
          <w:lang w:bidi="ar-SA"/>
        </w:rPr>
        <w:t>، فكانَ وجودُ القُدرةِ في أبعاضِ الجُملةِ كعدمِها في صِحّةِ ما يَصِحُّ بها</w:t>
      </w:r>
      <w:r>
        <w:rPr>
          <w:rStyle w:val="FootnoteAnchor"/>
          <w:rtl w:val="true"/>
        </w:rPr>
        <w:footnoteReference w:id="2114"/>
      </w:r>
      <w:r>
        <w:rPr>
          <w:rFonts w:ascii="Amiri" w:hAnsi="Amiri" w:eastAsia="Amiri" w:cs="Amiri"/>
          <w:color w:val="111111"/>
          <w:sz w:val="28"/>
          <w:sz w:val="28"/>
          <w:szCs w:val="28"/>
          <w:rtl w:val="true"/>
          <w:lang w:bidi="ar-SA"/>
        </w:rPr>
        <w:t>، و لَيسَ الأمرُ كذلك</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7642570_1280447820"/>
      <w:bookmarkStart w:id="503" w:name="_Toc172"/>
      <w:bookmarkEnd w:id="502"/>
      <w:r>
        <w:rPr>
          <w:rtl w:val="true"/>
        </w:rPr>
        <w:t>مناقشة الأقوال الأُخرىٰ‌</w:t>
      </w:r>
      <w:bookmarkEnd w:id="50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يُبطِلُ مَذهبَ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العالَمَ العِلويَّ و السِّفليَّ مُركَّبٌ مِن جَواهرَ و أعراضٍ‌، فإن أشاروا بالنفسِ إلىٰ جسمٍ أو عَرَضٍ فقولُهم معقولٌ‌، و هُم لا يُشيرونَ إلىٰ ذلكَ فيما</w:t>
      </w:r>
      <w:r>
        <w:rPr>
          <w:rStyle w:val="FootnoteAnchor"/>
          <w:rtl w:val="true"/>
        </w:rPr>
        <w:footnoteReference w:id="2116"/>
      </w:r>
      <w:r>
        <w:rPr>
          <w:rFonts w:ascii="Amiri" w:hAnsi="Amiri" w:eastAsia="Amiri" w:cs="Amiri"/>
          <w:color w:val="111111"/>
          <w:sz w:val="28"/>
          <w:sz w:val="28"/>
          <w:szCs w:val="28"/>
          <w:rtl w:val="true"/>
          <w:lang w:bidi="ar-SA"/>
        </w:rPr>
        <w:t>يَعتَقِدونَه، فهو إذَن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عندَنا إلىٰ مَن زَكَت أفعالُه و عَلَت بالطاعاتِ مَنازِلُه؛ كالمَلائكةِ و الأنبياءِ و الأئمّةِ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يُبطِلُ مَذهبَ الدَّيَصانيّةِ مِن</w:t>
      </w:r>
      <w:r>
        <w:rPr>
          <w:rStyle w:val="FootnoteAnchor"/>
          <w:rtl w:val="true"/>
        </w:rPr>
        <w:footnoteReference w:id="2117"/>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النورَ جسمٌ مؤلَّفٌ مِن الجَواهرِ، حَلَّه البياضُ الكبيرُ الأجزاءِ‌، فزادَ بياضُه</w:t>
      </w:r>
      <w:r>
        <w:rPr>
          <w:rStyle w:val="FootnoteAnchor"/>
          <w:rtl w:val="true"/>
        </w:rPr>
        <w:footnoteReference w:id="2118"/>
      </w:r>
      <w:r>
        <w:rPr>
          <w:rFonts w:ascii="Amiri" w:hAnsi="Amiri" w:eastAsia="Amiri" w:cs="Amiri"/>
          <w:color w:val="111111"/>
          <w:sz w:val="28"/>
          <w:sz w:val="28"/>
          <w:szCs w:val="28"/>
          <w:rtl w:val="true"/>
          <w:lang w:bidi="ar-SA"/>
        </w:rPr>
        <w:t>فسُمّيَ‌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جَمادٌ، إلّاأن تَحُلَّه حياةٌ و يَفعَلَه الفاعلُ بالآلاتِ‌</w:t>
      </w:r>
      <w:r>
        <w:rPr>
          <w:rStyle w:val="FootnoteAnchor"/>
          <w:rtl w:val="true"/>
        </w:rPr>
        <w:footnoteReference w:id="2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تَحُلُّها القُدرةُ‌، فحينئذٍ يَكونُ حَيّاً؛ فأمّا مِن حَيثُ كَونِه نوراً بمُجرَّدِه يَجِبُ أن يَكونَ حَيّاً لأجلِ ذلكَ‌، فلَيسَ الأمرُ علىٰ ما 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Style w:val="FootnoteAnchor"/>
          <w:rtl w:val="true"/>
        </w:rPr>
        <w:footnoteReference w:id="2120"/>
      </w:r>
      <w:r>
        <w:rPr>
          <w:rFonts w:ascii="Amiri" w:hAnsi="Amiri" w:eastAsia="Amiri" w:cs="Amiri"/>
          <w:color w:val="111111"/>
          <w:sz w:val="28"/>
          <w:sz w:val="28"/>
          <w:szCs w:val="28"/>
          <w:rtl w:val="true"/>
          <w:lang w:bidi="ar-SA"/>
        </w:rPr>
        <w:t>فَعَلَ اللّٰهُ سُبحانَه مِن الأحياءِ سوداً؛ ليَدُلَّهم بذلكَ علىٰ أنّ الأبيَضَ و الأسوَدَ متىٰ شاءَ القَديمُ تَعالىٰ فَعَلَ أيَّهما أرادَ حَيّاً</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بمِثلِه 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المانَوَيّةِ‌</w:t>
      </w:r>
      <w:r>
        <w:rPr>
          <w:rFonts w:eastAsia="Amiri" w:cs="Amiri" w:ascii="Amiri" w:hAnsi="Amiri"/>
          <w:color w:val="111111"/>
          <w:sz w:val="28"/>
          <w:szCs w:val="28"/>
          <w:rtl w:val="true"/>
          <w:lang w:bidi="ar-SA"/>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يُبطِلُ مَذهبَ هِشامٍ و النظّامِ‌</w:t>
      </w: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أنّهما</w:t>
      </w:r>
      <w:r>
        <w:rPr>
          <w:rStyle w:val="FootnoteAnchor"/>
          <w:rtl w:val="true"/>
        </w:rPr>
        <w:footnoteReference w:id="2124"/>
      </w:r>
      <w:r>
        <w:rPr>
          <w:rFonts w:ascii="IRNazanin" w:hAnsi="IRNazanin" w:eastAsia="IRNazanin"/>
          <w:color w:val="111111"/>
          <w:sz w:val="28"/>
          <w:sz w:val="28"/>
          <w:szCs w:val="28"/>
          <w:rtl w:val="true"/>
          <w:lang w:bidi="fa-IR"/>
        </w:rPr>
        <w:t>إن أشارا</w:t>
      </w:r>
      <w:r>
        <w:rPr>
          <w:rStyle w:val="FootnoteAnchor"/>
          <w:rtl w:val="true"/>
        </w:rPr>
        <w:footnoteReference w:id="2125"/>
      </w:r>
      <w:r>
        <w:rPr>
          <w:rFonts w:ascii="Amiri" w:hAnsi="Amiri" w:eastAsia="Amiri" w:cs="Amiri"/>
          <w:color w:val="111111"/>
          <w:sz w:val="28"/>
          <w:sz w:val="28"/>
          <w:szCs w:val="28"/>
          <w:rtl w:val="true"/>
          <w:lang w:bidi="ar-SA"/>
        </w:rPr>
        <w:t>بالجسمِ‌</w:t>
      </w:r>
      <w:r>
        <w:rPr>
          <w:rStyle w:val="FootnoteAnchor"/>
          <w:rtl w:val="true"/>
        </w:rPr>
        <w:footnoteReference w:id="2126"/>
      </w:r>
      <w:r>
        <w:rPr>
          <w:rFonts w:ascii="Amiri" w:hAnsi="Amiri" w:eastAsia="Amiri" w:cs="Amiri"/>
          <w:color w:val="111111"/>
          <w:sz w:val="28"/>
          <w:sz w:val="28"/>
          <w:szCs w:val="28"/>
          <w:rtl w:val="true"/>
          <w:lang w:bidi="ar-SA"/>
        </w:rPr>
        <w:t xml:space="preserve">إلىٰ ما أشَرنا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وافَقونا في المسألةِ‌، و إنّما خالَفونا في استتارِه في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يُفسِدُ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يَستَحيلُ عليه الفعلُ المُختَرَعُ‌، و إنّما يَفعَلُ مُباشَرةً بمَحلِّ قُدرتِه، و مُتولِّداً ممّا</w:t>
      </w:r>
      <w:r>
        <w:rPr>
          <w:rStyle w:val="FootnoteAnchor"/>
          <w:rtl w:val="true"/>
        </w:rPr>
        <w:footnoteReference w:id="2127"/>
      </w:r>
      <w:r>
        <w:rPr>
          <w:rFonts w:ascii="Amiri" w:hAnsi="Amiri" w:eastAsia="Amiri" w:cs="Amiri"/>
          <w:color w:val="111111"/>
          <w:sz w:val="28"/>
          <w:sz w:val="28"/>
          <w:szCs w:val="28"/>
          <w:rtl w:val="true"/>
          <w:lang w:bidi="ar-SA"/>
        </w:rPr>
        <w:t>باشَرَه بمَحلِّ قُدرتِه</w:t>
      </w:r>
      <w:r>
        <w:rPr>
          <w:rStyle w:val="FootnoteAnchor"/>
          <w:rtl w:val="true"/>
        </w:rPr>
        <w:footnoteReference w:id="2128"/>
      </w:r>
      <w:r>
        <w:rPr>
          <w:rFonts w:ascii="Amiri" w:hAnsi="Amiri" w:eastAsia="Amiri" w:cs="Amiri"/>
          <w:color w:val="111111"/>
          <w:sz w:val="28"/>
          <w:sz w:val="28"/>
          <w:szCs w:val="28"/>
          <w:rtl w:val="true"/>
          <w:lang w:bidi="ar-SA"/>
        </w:rPr>
        <w:t>فمَن</w:t>
      </w:r>
      <w:r>
        <w:rPr>
          <w:rStyle w:val="FootnoteAnchor"/>
          <w:rtl w:val="true"/>
        </w:rPr>
        <w:footnoteReference w:id="2129"/>
      </w:r>
      <w:r>
        <w:rPr>
          <w:rFonts w:ascii="Amiri" w:hAnsi="Amiri" w:eastAsia="Amiri" w:cs="Amiri"/>
          <w:color w:val="111111"/>
          <w:sz w:val="28"/>
          <w:sz w:val="28"/>
          <w:szCs w:val="28"/>
          <w:rtl w:val="true"/>
          <w:lang w:bidi="ar-SA"/>
        </w:rPr>
        <w:t>عندَهما فاعلُ السعيِ في القَدَمَينِ‌، و البَطشِ في اليَدَينِ؟ فإن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آلاتٍ مُنتَشِرةً في الجسمِ جميعِه</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تَرَكا مَذهبَهما، و قالا بمذهبِ‌</w:t>
      </w:r>
      <w:r>
        <w:rPr>
          <w:rStyle w:val="FootnoteAnchor"/>
          <w:rtl w:val="true"/>
        </w:rPr>
        <w:footnoteReference w:id="2131"/>
      </w:r>
      <w:r>
        <w:rPr>
          <w:rFonts w:ascii="Amiri" w:hAnsi="Amiri" w:eastAsia="Amiri" w:cs="Amiri"/>
          <w:color w:val="111111"/>
          <w:sz w:val="28"/>
          <w:sz w:val="28"/>
          <w:szCs w:val="28"/>
          <w:rtl w:val="true"/>
          <w:lang w:bidi="ar-SA"/>
        </w:rPr>
        <w:t>ابنِ الإخشيذِ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ما ذَكَرنا</w:t>
      </w:r>
      <w:r>
        <w:rPr>
          <w:rStyle w:val="FootnoteAnchor"/>
          <w:rtl w:val="true"/>
        </w:rPr>
        <w:footnoteReference w:id="2132"/>
      </w:r>
      <w:r>
        <w:rPr>
          <w:rFonts w:ascii="Amiri" w:hAnsi="Amiri" w:eastAsia="Amiri" w:cs="Amiri"/>
          <w:color w:val="111111"/>
          <w:sz w:val="28"/>
          <w:sz w:val="28"/>
          <w:szCs w:val="28"/>
          <w:rtl w:val="true"/>
          <w:lang w:bidi="ar-SA"/>
        </w:rPr>
        <w:t>يَبطُلُ مَذهبُ ابنِ الراوَنديِّ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133"/>
      </w:r>
      <w:r>
        <w:rPr>
          <w:rFonts w:ascii="Amiri" w:hAnsi="Amiri" w:eastAsia="Amiri" w:cs="Amiri"/>
          <w:color w:val="111111"/>
          <w:sz w:val="28"/>
          <w:sz w:val="28"/>
          <w:szCs w:val="28"/>
          <w:rtl w:val="true"/>
          <w:lang w:bidi="ar-SA"/>
        </w:rPr>
        <w:t>ما يُبطِلُ مَذهبَ ابنِ الإخشيذِ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الفعلَ ظاهرٌ في هذه الجُملةِ‌</w:t>
      </w:r>
      <w:r>
        <w:rPr>
          <w:rStyle w:val="FootnoteAnchor"/>
          <w:rtl w:val="true"/>
        </w:rPr>
        <w:footnoteReference w:id="2134"/>
      </w:r>
      <w:r>
        <w:rPr>
          <w:rFonts w:ascii="Amiri" w:hAnsi="Amiri" w:eastAsia="Amiri" w:cs="Amiri"/>
          <w:color w:val="111111"/>
          <w:sz w:val="28"/>
          <w:sz w:val="28"/>
          <w:szCs w:val="28"/>
          <w:rtl w:val="true"/>
          <w:lang w:bidi="ar-SA"/>
        </w:rPr>
        <w:t>فقولُه أنّ الفَعّالَ جسمٌ مُنسابٌ‌</w:t>
      </w:r>
      <w:r>
        <w:rPr>
          <w:rStyle w:val="FootnoteAnchor"/>
          <w:rtl w:val="true"/>
        </w:rPr>
        <w:footnoteReference w:id="2135"/>
      </w:r>
      <w:r>
        <w:rPr>
          <w:rFonts w:ascii="Amiri" w:hAnsi="Amiri" w:eastAsia="Amiri" w:cs="Amiri"/>
          <w:color w:val="111111"/>
          <w:sz w:val="28"/>
          <w:sz w:val="28"/>
          <w:szCs w:val="28"/>
          <w:rtl w:val="true"/>
          <w:lang w:bidi="ar-SA"/>
        </w:rPr>
        <w:t>فيها</w:t>
      </w:r>
      <w:r>
        <w:rPr>
          <w:rStyle w:val="FootnoteAnchor"/>
          <w:rtl w:val="true"/>
        </w:rPr>
        <w:footnoteReference w:id="2136"/>
      </w:r>
      <w:r>
        <w:rPr>
          <w:rFonts w:ascii="Amiri" w:hAnsi="Amiri" w:eastAsia="Amiri" w:cs="Amiri"/>
          <w:color w:val="111111"/>
          <w:sz w:val="28"/>
          <w:sz w:val="28"/>
          <w:szCs w:val="28"/>
          <w:rtl w:val="true"/>
          <w:lang w:bidi="ar-SA"/>
        </w:rPr>
        <w:t>كقَولِ مَن ألزَمَه بأنّ الفَعّالَ جسمٌ مُنسابٌ في ذلكَ الجسمِ‌، و هذا يَفتَحُ أبوابَ الجَهالاتِ و يؤَدّي إلىٰ ما لا يَتناهىٰ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يَبطُلُ مَذهبُ الصوفيّةِ الذينَ قالوا بأنّه لطيفٌ مُتلبِّسٌ لهذا المُشاهَدِ كهَيئةِ الإنسانِ‌</w:t>
      </w:r>
      <w:r>
        <w:rPr>
          <w:rFonts w:eastAsia="Amiri" w:cs="Amiri" w:ascii="Amiri" w:hAnsi="Amiri"/>
          <w:color w:val="111111"/>
          <w:sz w:val="28"/>
          <w:szCs w:val="28"/>
          <w:rtl w:val="true"/>
          <w:lang w:bidi="ar-SA"/>
        </w:rPr>
        <w:t>.</w:t>
      </w:r>
      <w:r>
        <w:rPr>
          <w:rStyle w:val="FootnoteAnchor"/>
          <w:rtl w:val="true"/>
        </w:rPr>
        <w:footnoteReference w:id="213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138"/>
      </w:r>
      <w:r>
        <w:rPr>
          <w:rFonts w:ascii="Amiri" w:hAnsi="Amiri" w:eastAsia="Amiri" w:cs="Amiri"/>
          <w:color w:val="111111"/>
          <w:sz w:val="28"/>
          <w:sz w:val="28"/>
          <w:szCs w:val="28"/>
          <w:rtl w:val="true"/>
          <w:lang w:bidi="ar-SA"/>
        </w:rPr>
        <w:t>ما يُبطِلُ مَذهبَ ضِرارِ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الأعراضَ لا يَصِحُّ عليها التأليفُ‌، و إنّما يَصِحُّ ذلكَ علَى الجَواهرِ؛ لأنّ‌</w:t>
      </w:r>
      <w:r>
        <w:rPr>
          <w:rStyle w:val="FootnoteAnchor"/>
          <w:rtl w:val="true"/>
        </w:rPr>
        <w:footnoteReference w:id="2139"/>
      </w:r>
      <w:r>
        <w:rPr>
          <w:rFonts w:ascii="Amiri" w:hAnsi="Amiri" w:eastAsia="Amiri" w:cs="Amiri"/>
          <w:color w:val="111111"/>
          <w:sz w:val="28"/>
          <w:sz w:val="28"/>
          <w:szCs w:val="28"/>
          <w:rtl w:val="true"/>
          <w:lang w:bidi="ar-SA"/>
        </w:rPr>
        <w:t xml:space="preserve">المؤلَّفَ هو المُجتَمِعُ الذي يَصعُبُ تفريقُه، </w:t>
      </w:r>
    </w:p>
    <w:p>
      <w:pPr>
        <w:pStyle w:val="BookText"/>
        <w:rPr/>
      </w:pPr>
      <w:r>
        <w:rPr>
          <w:rFonts w:ascii="Amiri" w:hAnsi="Amiri" w:eastAsia="Amiri" w:cs="Amiri"/>
          <w:color w:val="111111"/>
          <w:sz w:val="28"/>
          <w:sz w:val="28"/>
          <w:szCs w:val="28"/>
          <w:rtl w:val="true"/>
          <w:lang w:bidi="ar-SA"/>
        </w:rPr>
        <w:t>و الاجتماعَ و الافتراقَ أعراضٌ‌، و لا يَصِحُّ حلولُ العَرَضِ في العَرَضِ‌، و إنّما يَصِحُّ حلولُه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يُبطِلُ مَذهبَ بِشرِ بنِ المُعتَمِرِ</w:t>
      </w:r>
      <w:r>
        <w:rPr>
          <w:rStyle w:val="FootnoteAnchor"/>
          <w:rtl w:val="true"/>
        </w:rPr>
        <w:footnoteReference w:id="2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الحياةَ عَرَضٌ‌، فلَو كانَت حَيّةً لنفسِها لَوَجَبَ أن تَكونَ موجودةً لنفسِها قديمةً‌</w:t>
      </w:r>
      <w:r>
        <w:rPr>
          <w:rStyle w:val="FootnoteAnchor"/>
          <w:rtl w:val="true"/>
        </w:rPr>
        <w:footnoteReference w:id="2141"/>
      </w:r>
      <w:r>
        <w:rPr>
          <w:rFonts w:ascii="Amiri" w:hAnsi="Amiri" w:eastAsia="Amiri" w:cs="Amiri"/>
          <w:color w:val="111111"/>
          <w:sz w:val="28"/>
          <w:sz w:val="28"/>
          <w:szCs w:val="28"/>
          <w:rtl w:val="true"/>
          <w:lang w:bidi="ar-SA"/>
        </w:rPr>
        <w:t>، و لَاستَحالَ حدوثُها و حاجتُها إلىٰ فاعلٍ‌، و قد عَلِمنا أ نّها في الحدوثِ كسائرِ الأعراضِ‌؛ لجوازِ العدمِ عليها</w:t>
      </w:r>
      <w:r>
        <w:rPr>
          <w:rStyle w:val="FootnoteAnchor"/>
          <w:rtl w:val="true"/>
        </w:rPr>
        <w:footnoteReference w:id="2142"/>
      </w:r>
      <w:r>
        <w:rPr>
          <w:rFonts w:ascii="Amiri" w:hAnsi="Amiri" w:eastAsia="Amiri" w:cs="Amiri"/>
          <w:color w:val="111111"/>
          <w:sz w:val="28"/>
          <w:sz w:val="28"/>
          <w:szCs w:val="28"/>
          <w:rtl w:val="true"/>
          <w:lang w:bidi="ar-SA"/>
        </w:rPr>
        <w:t>، فيَجِبُ أن تَكونَ كسائرِ</w:t>
      </w:r>
      <w:r>
        <w:rPr>
          <w:rStyle w:val="FootnoteAnchor"/>
          <w:rtl w:val="true"/>
        </w:rPr>
        <w:footnoteReference w:id="2143"/>
      </w:r>
      <w:r>
        <w:rPr>
          <w:rFonts w:ascii="Amiri" w:hAnsi="Amiri" w:eastAsia="Amiri" w:cs="Amiri"/>
          <w:color w:val="111111"/>
          <w:sz w:val="28"/>
          <w:sz w:val="28"/>
          <w:szCs w:val="28"/>
          <w:rtl w:val="true"/>
          <w:lang w:bidi="ar-SA"/>
        </w:rPr>
        <w:t>أجناسِ الأعراضِ في استحالةِ كَونِها مَحلّاً حاملاً لِما به تَكونُ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يُبطِلُ مَذهبَ النجّاريّةِ و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اللّٰهَ سُبحانَه خَلَقَنا و لنا أفعالٌ يَشُقُّ علينا فعلُها؛ ليَكونَ ثوابُنا في مُقابَلةِ مَشاقِّنا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هو الخالقَ لِما كَلَّفَنا فِعلَه مِن الطاعاتِ‌، لَم نَجِدْ مَشَقّتَها، و لَكانَ وجودُ</w:t>
      </w:r>
      <w:r>
        <w:rPr>
          <w:rStyle w:val="FootnoteAnchor"/>
          <w:rtl w:val="true"/>
        </w:rPr>
        <w:footnoteReference w:id="2144"/>
      </w:r>
      <w:r>
        <w:rPr>
          <w:rFonts w:ascii="Amiri" w:hAnsi="Amiri" w:eastAsia="Amiri" w:cs="Amiri"/>
          <w:color w:val="111111"/>
          <w:sz w:val="28"/>
          <w:sz w:val="28"/>
          <w:szCs w:val="28"/>
          <w:rtl w:val="true"/>
          <w:lang w:bidi="ar-SA"/>
        </w:rPr>
        <w:t>تلكَ الأفعالِ فينا كوجودِ ألوانِنا و قُدَرِنا في أنّا لا نَجِدُ مَشَقّةً عندَ ذلكَ‌، و المعلومُ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يَجِبُ أن يَكونَ فاعلُ الطاعاتِ هو المُطيعَ بها، و هو المُكلَّفُ علىٰ ما نَذهَبُ إليه</w:t>
      </w:r>
      <w:r>
        <w:rPr>
          <w:rFonts w:eastAsia="Amiri" w:cs="Amiri" w:ascii="Amiri" w:hAnsi="Amiri"/>
          <w:color w:val="111111"/>
          <w:sz w:val="28"/>
          <w:szCs w:val="28"/>
          <w:rtl w:val="true"/>
          <w:lang w:bidi="ar-SA"/>
        </w:rPr>
        <w:t>.</w:t>
      </w:r>
      <w:r>
        <w:rPr>
          <w:rStyle w:val="FootnoteAnchor"/>
          <w:rtl w:val="true"/>
        </w:rPr>
        <w:footnoteReference w:id="214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يَبطُلُ به</w:t>
      </w:r>
      <w:r>
        <w:rPr>
          <w:rStyle w:val="FootnoteAnchor"/>
          <w:rtl w:val="true"/>
        </w:rPr>
        <w:footnoteReference w:id="2146"/>
      </w:r>
      <w:r>
        <w:rPr>
          <w:rFonts w:ascii="Amiri" w:hAnsi="Amiri" w:eastAsia="Amiri" w:cs="Amiri"/>
          <w:color w:val="111111"/>
          <w:sz w:val="28"/>
          <w:sz w:val="28"/>
          <w:szCs w:val="28"/>
          <w:rtl w:val="true"/>
          <w:lang w:bidi="ar-SA"/>
        </w:rPr>
        <w:t>مَذهبُ جَهمِ بنِ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147"/>
      </w:r>
      <w:r>
        <w:rPr>
          <w:rFonts w:ascii="Amiri" w:hAnsi="Amiri" w:eastAsia="Amiri" w:cs="Amiri"/>
          <w:color w:val="111111"/>
          <w:sz w:val="28"/>
          <w:sz w:val="28"/>
          <w:szCs w:val="28"/>
          <w:rtl w:val="true"/>
          <w:lang w:bidi="ar-SA"/>
        </w:rPr>
        <w:t>الأمرَ لابُدَّ مِن تَعلُّقِه</w:t>
      </w:r>
      <w:r>
        <w:rPr>
          <w:rStyle w:val="FootnoteAnchor"/>
          <w:rtl w:val="true"/>
        </w:rPr>
        <w:footnoteReference w:id="2148"/>
      </w:r>
      <w:r>
        <w:rPr>
          <w:rFonts w:ascii="Amiri" w:hAnsi="Amiri" w:eastAsia="Amiri" w:cs="Amiri"/>
          <w:color w:val="111111"/>
          <w:sz w:val="28"/>
          <w:sz w:val="28"/>
          <w:szCs w:val="28"/>
          <w:rtl w:val="true"/>
          <w:lang w:bidi="ar-SA"/>
        </w:rPr>
        <w:t xml:space="preserve">بمأمورٍ، و </w:t>
      </w:r>
    </w:p>
    <w:p>
      <w:pPr>
        <w:pStyle w:val="BookText"/>
        <w:rPr/>
      </w:pPr>
      <w:r>
        <w:rPr>
          <w:rFonts w:ascii="Amiri" w:hAnsi="Amiri" w:eastAsia="Amiri" w:cs="Amiri"/>
          <w:color w:val="111111"/>
          <w:sz w:val="28"/>
          <w:sz w:val="28"/>
          <w:szCs w:val="28"/>
          <w:rtl w:val="true"/>
          <w:lang w:bidi="ar-SA"/>
        </w:rPr>
        <w:t>المأمورُ المَنهيُّ‌</w:t>
      </w:r>
      <w:r>
        <w:rPr>
          <w:rStyle w:val="FootnoteAnchor"/>
          <w:rtl w:val="true"/>
        </w:rPr>
        <w:footnoteReference w:id="2149"/>
      </w:r>
      <w:r>
        <w:rPr>
          <w:rFonts w:ascii="Amiri" w:hAnsi="Amiri" w:eastAsia="Amiri" w:cs="Amiri"/>
          <w:color w:val="111111"/>
          <w:sz w:val="28"/>
          <w:sz w:val="28"/>
          <w:szCs w:val="28"/>
          <w:rtl w:val="true"/>
          <w:lang w:bidi="ar-SA"/>
        </w:rPr>
        <w:t>هو المُكلَّفُ‌، و القَديمُ سُبحانَه يَبطُلُ أن يَكونَ مأموراً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القَديمُ سُبحانَه يُكَلِّفُ‌</w:t>
      </w:r>
      <w:r>
        <w:rPr>
          <w:rStyle w:val="FootnoteAnchor"/>
          <w:rtl w:val="true"/>
        </w:rPr>
        <w:footnoteReference w:id="2150"/>
      </w:r>
      <w:r>
        <w:rPr>
          <w:rFonts w:ascii="Amiri" w:hAnsi="Amiri" w:eastAsia="Amiri" w:cs="Amiri"/>
          <w:color w:val="111111"/>
          <w:sz w:val="28"/>
          <w:sz w:val="28"/>
          <w:szCs w:val="28"/>
          <w:rtl w:val="true"/>
          <w:lang w:bidi="ar-SA"/>
        </w:rPr>
        <w:t>ما يَنفَرِدُ</w:t>
      </w:r>
      <w:r>
        <w:rPr>
          <w:rStyle w:val="FootnoteAnchor"/>
          <w:rtl w:val="true"/>
        </w:rPr>
        <w:footnoteReference w:id="2151"/>
      </w:r>
      <w:r>
        <w:rPr>
          <w:rFonts w:ascii="Amiri" w:hAnsi="Amiri" w:eastAsia="Amiri" w:cs="Amiri"/>
          <w:color w:val="111111"/>
          <w:sz w:val="28"/>
          <w:sz w:val="28"/>
          <w:szCs w:val="28"/>
          <w:rtl w:val="true"/>
          <w:lang w:bidi="ar-SA"/>
        </w:rPr>
        <w:t>بفعلِه لَكَلَّفَ الميّتَ و الجَمادَ؛ لأنّه هو الفاعلُ فيه الموتَ و الجَماديّةَ‌، و لأَمَرَه و نَهاه كما أمَرَ الأحياءَ العقلاءَ الأصِحّاءَ و نَهاهم، و ذلكَ قَبيحٌ في العقولِ‌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يَبطُلُ به مَذهبُ‌ مُعمَّرٍ و الأُسواريِّ مِن المُعتَزِلةِ‌</w:t>
      </w:r>
      <w:r>
        <w:rPr>
          <w:rStyle w:val="FootnoteAnchor"/>
          <w:rtl w:val="true"/>
        </w:rPr>
        <w:footnoteReference w:id="2152"/>
      </w:r>
      <w:r>
        <w:rPr>
          <w:rFonts w:ascii="Amiri" w:hAnsi="Amiri" w:eastAsia="Amiri" w:cs="Amiri"/>
          <w:color w:val="111111"/>
          <w:sz w:val="28"/>
          <w:sz w:val="28"/>
          <w:szCs w:val="28"/>
          <w:rtl w:val="true"/>
          <w:lang w:bidi="ar-SA"/>
        </w:rPr>
        <w:t xml:space="preserve">و شُيوخِنا بَني نَوبَختَ و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هذه الذاتَ التي ذَهَبوا إلىٰ أنّها حَيّةٌ إمّا أن تَكونَ مُحدَثةً أو قَديمةً‌، و عندَهم مُحدَثةٌ و مع كَونِها مُحدَثةً يَجِبُ أن يَكونَ مَن أحدَثَها هو الذي فَعَلَها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حَيّةً لحدوثِها</w:t>
      </w:r>
      <w:r>
        <w:rPr>
          <w:rStyle w:val="FootnoteAnchor"/>
          <w:rtl w:val="true"/>
        </w:rPr>
        <w:footnoteReference w:id="2153"/>
      </w:r>
      <w:r>
        <w:rPr>
          <w:rFonts w:ascii="Amiri" w:hAnsi="Amiri" w:eastAsia="Amiri" w:cs="Amiri"/>
          <w:color w:val="111111"/>
          <w:sz w:val="28"/>
          <w:sz w:val="28"/>
          <w:szCs w:val="28"/>
          <w:rtl w:val="true"/>
          <w:lang w:bidi="ar-SA"/>
        </w:rPr>
        <w:t>لمُشارَكةِ‌</w:t>
      </w:r>
      <w:r>
        <w:rPr>
          <w:rStyle w:val="FootnoteAnchor"/>
          <w:rtl w:val="true"/>
        </w:rPr>
        <w:footnoteReference w:id="2154"/>
      </w:r>
      <w:r>
        <w:rPr>
          <w:rFonts w:ascii="Amiri" w:hAnsi="Amiri" w:eastAsia="Amiri" w:cs="Amiri"/>
          <w:color w:val="111111"/>
          <w:sz w:val="28"/>
          <w:sz w:val="28"/>
          <w:szCs w:val="28"/>
          <w:rtl w:val="true"/>
          <w:lang w:bidi="ar-SA"/>
        </w:rPr>
        <w:t>الجَماداتِ و جميعِ الأعراضِ لها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مع ذلكَ مِن أن يَكونَ فاعلُها مَيَّزَها بأمرٍ زائدٍ عن المُحدَثاتِ‌، به كانَت حَيّةً </w:t>
      </w:r>
      <w:r>
        <w:rPr>
          <w:rFonts w:eastAsia="Amiri" w:cs="Amiri" w:ascii="Amiri" w:hAnsi="Amiri"/>
          <w:color w:val="111111"/>
          <w:sz w:val="28"/>
          <w:szCs w:val="28"/>
          <w:rtl w:val="true"/>
          <w:lang w:bidi="ar-SA"/>
        </w:rPr>
        <w:t>[...]</w:t>
      </w:r>
      <w:r>
        <w:rPr>
          <w:rStyle w:val="FootnoteAnchor"/>
          <w:rtl w:val="true"/>
        </w:rPr>
        <w:footnoteReference w:id="2155"/>
      </w:r>
      <w:r>
        <w:rPr>
          <w:rFonts w:ascii="Amiri" w:hAnsi="Amiri" w:eastAsia="Amiri" w:cs="Amiri"/>
          <w:color w:val="111111"/>
          <w:sz w:val="28"/>
          <w:sz w:val="28"/>
          <w:szCs w:val="28"/>
          <w:rtl w:val="true"/>
          <w:lang w:bidi="ar-SA"/>
        </w:rPr>
        <w:t>لا يَختَصُّ بها علىٰ هذَينِ الوجهَينِ‌، فلا عُلقةَ بَينَه و بَينَها إلّاما بَينَه</w:t>
      </w:r>
      <w:r>
        <w:rPr>
          <w:rStyle w:val="FootnoteAnchor"/>
          <w:rtl w:val="true"/>
        </w:rPr>
        <w:footnoteReference w:id="2156"/>
      </w:r>
      <w:r>
        <w:rPr>
          <w:rFonts w:ascii="Amiri" w:hAnsi="Amiri" w:eastAsia="Amiri" w:cs="Amiri"/>
          <w:color w:val="111111"/>
          <w:sz w:val="28"/>
          <w:sz w:val="28"/>
          <w:szCs w:val="28"/>
          <w:rtl w:val="true"/>
          <w:lang w:bidi="ar-SA"/>
        </w:rPr>
        <w:t>و بَينَ غيرِها ممّا يَفعَلُه القَديمُ‌، فلَيسَ تلكَ الذاتُ بكَونِها حَيّةً لأجلِه مع فَقدِ الاختصاصِ المعقولِ أَولىٰ مِن غيرِها، و ذلكَ يَفتَحُ بابَ الجَهالاتِ‌؛ فيَجِبُ بُطلانُ ما أدّىٰ إليه و صِحّةُ مَذهبِنا الذي دَلَّلنا عليه</w:t>
      </w:r>
      <w:r>
        <w:rPr>
          <w:rFonts w:eastAsia="Amiri" w:cs="Amiri" w:ascii="Amiri" w:hAnsi="Amiri"/>
          <w:color w:val="111111"/>
          <w:sz w:val="28"/>
          <w:szCs w:val="28"/>
          <w:rtl w:val="true"/>
          <w:lang w:bidi="ar-SA"/>
        </w:rPr>
        <w:t xml:space="preserve">. </w:t>
      </w:r>
      <w:bookmarkStart w:id="504" w:name="pg16415_224037"/>
    </w:p>
    <w:p>
      <w:pPr>
        <w:pStyle w:val="Heading5"/>
        <w:numPr>
          <w:ilvl w:val="4"/>
          <w:numId w:val="1"/>
        </w:numPr>
        <w:rPr/>
      </w:pPr>
      <w:bookmarkStart w:id="505" w:name="__RefHeading___Toc7642572_1280447820"/>
      <w:bookmarkStart w:id="506" w:name="_Toc173"/>
      <w:bookmarkEnd w:id="504"/>
      <w:bookmarkEnd w:id="505"/>
      <w:r>
        <w:rPr>
          <w:rtl w:val="true"/>
        </w:rPr>
        <w:t>جواب ما قد يرد علَى النظريّة المختارة من إشكالات</w:t>
      </w:r>
      <w:bookmarkEnd w:id="506"/>
    </w:p>
    <w:p>
      <w:pPr>
        <w:pStyle w:val="BookText"/>
        <w:rPr/>
      </w:pPr>
      <w:r>
        <w:rPr>
          <w:rFonts w:ascii="Amiri" w:hAnsi="Amiri" w:eastAsia="Amiri" w:cs="Amiri"/>
          <w:color w:val="111111"/>
          <w:sz w:val="28"/>
          <w:sz w:val="28"/>
          <w:szCs w:val="28"/>
          <w:rtl w:val="true"/>
          <w:lang w:bidi="ar-SA"/>
        </w:rPr>
        <w:t>و اعلَمْ‌، أيُّها المَولَى الأجَلُّ الذي عَظُمَ في الدينِ مَحلُّه و شَرُفَ به أهلُه، أنّ كُلَّ ما وَرَدَ مِن النصوصِ علىٰ أنّ اللّٰهَ يُجازي</w:t>
      </w:r>
      <w:r>
        <w:rPr>
          <w:rStyle w:val="FootnoteAnchor"/>
          <w:rtl w:val="true"/>
        </w:rPr>
        <w:footnoteReference w:id="2157"/>
      </w:r>
      <w:r>
        <w:rPr>
          <w:rFonts w:ascii="Amiri" w:hAnsi="Amiri" w:eastAsia="Amiri" w:cs="Amiri"/>
          <w:color w:val="111111"/>
          <w:sz w:val="28"/>
          <w:sz w:val="28"/>
          <w:szCs w:val="28"/>
          <w:rtl w:val="true"/>
          <w:lang w:bidi="ar-SA"/>
        </w:rPr>
        <w:t>الطائعينَ بَعدَ موتِهم مِن غيرِ تأخيرٍ</w:t>
      </w:r>
      <w:r>
        <w:rPr>
          <w:rStyle w:val="FootnoteAnchor"/>
          <w:rtl w:val="true"/>
        </w:rPr>
        <w:footnoteReference w:id="2158"/>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لا يَقدَحُ في مَذهبِنا</w:t>
      </w:r>
      <w:r>
        <w:rPr>
          <w:rStyle w:val="FootnoteAnchor"/>
          <w:rtl w:val="true"/>
        </w:rPr>
        <w:footnoteReference w:id="2160"/>
      </w:r>
      <w:r>
        <w:rPr>
          <w:rFonts w:ascii="Amiri" w:hAnsi="Amiri" w:eastAsia="Amiri" w:cs="Amiri"/>
          <w:color w:val="111111"/>
          <w:sz w:val="28"/>
          <w:sz w:val="28"/>
          <w:szCs w:val="28"/>
          <w:rtl w:val="true"/>
          <w:lang w:bidi="ar-SA"/>
        </w:rPr>
        <w:t>لأنّ الجَزاءَ إنّما يَتعلَّقُ بالطاعاتِ‌، و المُستَحِقَّ له هو الطائعُ‌؛ و هو الذي نَذهَبُ إليه، و قد بَيَّنَه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المُرادُ بذلكَ‌</w:t>
      </w:r>
      <w:r>
        <w:rPr>
          <w:rStyle w:val="FootnoteAnchor"/>
          <w:rtl w:val="true"/>
        </w:rPr>
        <w:footnoteReference w:id="2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و يَشرَبونَ‌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مِن صفاتِ الأجسامِ‌؛ لأنّ الأكلَ و الشُّربَ لا يَصِحُّ علىٰ مَن لَيسَ بجسمٍ‌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أَذهَبُ إليه</w:t>
      </w:r>
      <w:r>
        <w:rPr>
          <w:rStyle w:val="FootnoteAnchor"/>
          <w:rtl w:val="true"/>
        </w:rPr>
        <w:footnoteReference w:id="216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أوجَبَ علىٰ نفسِه في كتابِه إيصالَ الثوابِ إلىٰ مُستَحِقِّه، و دَلَّ عليه بما نَصَبَه</w:t>
      </w:r>
      <w:r>
        <w:rPr>
          <w:rStyle w:val="FootnoteAnchor"/>
          <w:rtl w:val="true"/>
        </w:rPr>
        <w:footnoteReference w:id="2163"/>
      </w:r>
      <w:r>
        <w:rPr>
          <w:rFonts w:ascii="Amiri" w:hAnsi="Amiri" w:eastAsia="Amiri" w:cs="Amiri"/>
          <w:color w:val="111111"/>
          <w:sz w:val="28"/>
          <w:sz w:val="28"/>
          <w:szCs w:val="28"/>
          <w:rtl w:val="true"/>
          <w:lang w:bidi="ar-SA"/>
        </w:rPr>
        <w:t>مِن الأدلّةِ العقليّةِ علىٰ عَدلِه و استحالةِ القَبيحِ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أورَدَ عليكَ خبراً أو أثراً بأنّ‌</w:t>
      </w:r>
      <w:r>
        <w:rPr>
          <w:rStyle w:val="FootnoteAnchor"/>
          <w:rtl w:val="true"/>
        </w:rPr>
        <w:footnoteReference w:id="2164"/>
      </w:r>
      <w:r>
        <w:rPr>
          <w:rFonts w:ascii="Amiri" w:hAnsi="Amiri" w:eastAsia="Amiri" w:cs="Amiri"/>
          <w:color w:val="111111"/>
          <w:sz w:val="28"/>
          <w:sz w:val="28"/>
          <w:szCs w:val="28"/>
          <w:rtl w:val="true"/>
          <w:lang w:bidi="ar-SA"/>
        </w:rPr>
        <w:t>اللّٰهَ سُبحانَه عَجَّلَ جَزاءَ مَن أطاعَه مِن جِهةٍ مأمونةٍ فصَدِّقْه؛ فإنّ الاستحقاقَ‌</w:t>
      </w:r>
      <w:r>
        <w:rPr>
          <w:rStyle w:val="FootnoteAnchor"/>
          <w:rtl w:val="true"/>
        </w:rPr>
        <w:footnoteReference w:id="2165"/>
      </w:r>
      <w:r>
        <w:rPr>
          <w:rFonts w:ascii="Amiri" w:hAnsi="Amiri" w:eastAsia="Amiri" w:cs="Amiri"/>
          <w:color w:val="111111"/>
          <w:sz w:val="28"/>
          <w:sz w:val="28"/>
          <w:szCs w:val="28"/>
          <w:rtl w:val="true"/>
          <w:lang w:bidi="ar-SA"/>
        </w:rPr>
        <w:t>قد حَصَلَ للمُكلَّفِ‌</w:t>
      </w:r>
      <w:r>
        <w:rPr>
          <w:rStyle w:val="FootnoteAnchor"/>
          <w:rtl w:val="true"/>
        </w:rPr>
        <w:footnoteReference w:id="2166"/>
      </w:r>
      <w:r>
        <w:rPr>
          <w:rFonts w:ascii="Amiri" w:hAnsi="Amiri" w:eastAsia="Amiri" w:cs="Amiri"/>
          <w:color w:val="111111"/>
          <w:sz w:val="28"/>
          <w:sz w:val="28"/>
          <w:szCs w:val="28"/>
          <w:rtl w:val="true"/>
          <w:lang w:bidi="ar-SA"/>
        </w:rPr>
        <w:t xml:space="preserve">بالطاعةِ المفعولةِ‌ </w:t>
      </w:r>
    </w:p>
    <w:p>
      <w:pPr>
        <w:pStyle w:val="BookText"/>
        <w:rPr/>
      </w:pPr>
      <w:r>
        <w:rPr>
          <w:rFonts w:ascii="Amiri" w:hAnsi="Amiri" w:eastAsia="Amiri" w:cs="Amiri"/>
          <w:color w:val="111111"/>
          <w:sz w:val="28"/>
          <w:sz w:val="28"/>
          <w:szCs w:val="28"/>
          <w:rtl w:val="true"/>
          <w:lang w:bidi="ar-SA"/>
        </w:rPr>
        <w:t>في زمنِ‌</w:t>
      </w:r>
      <w:r>
        <w:rPr>
          <w:rStyle w:val="FootnoteAnchor"/>
          <w:rtl w:val="true"/>
        </w:rPr>
        <w:footnoteReference w:id="2167"/>
      </w:r>
      <w:r>
        <w:rPr>
          <w:rFonts w:ascii="Amiri" w:hAnsi="Amiri" w:eastAsia="Amiri" w:cs="Amiri"/>
          <w:color w:val="111111"/>
          <w:sz w:val="28"/>
          <w:sz w:val="28"/>
          <w:szCs w:val="28"/>
          <w:rtl w:val="true"/>
          <w:lang w:bidi="ar-SA"/>
        </w:rPr>
        <w:t>التكليفِ عَقيبَ فعلِها، و إنّما أخَّرَه</w:t>
      </w:r>
      <w:r>
        <w:rPr>
          <w:rStyle w:val="FootnoteAnchor"/>
          <w:rtl w:val="true"/>
        </w:rPr>
        <w:footnoteReference w:id="2168"/>
      </w:r>
      <w:r>
        <w:rPr>
          <w:rFonts w:ascii="Amiri" w:hAnsi="Amiri" w:eastAsia="Amiri" w:cs="Amiri"/>
          <w:color w:val="111111"/>
          <w:sz w:val="28"/>
          <w:sz w:val="28"/>
          <w:szCs w:val="28"/>
          <w:rtl w:val="true"/>
          <w:lang w:bidi="ar-SA"/>
        </w:rPr>
        <w:t>القَديمُ‌</w:t>
      </w:r>
      <w:r>
        <w:rPr>
          <w:rStyle w:val="FootnoteAnchor"/>
          <w:rtl w:val="true"/>
        </w:rPr>
        <w:footnoteReference w:id="2169"/>
      </w:r>
      <w:r>
        <w:rPr>
          <w:rFonts w:ascii="Amiri" w:hAnsi="Amiri" w:eastAsia="Amiri" w:cs="Amiri"/>
          <w:color w:val="111111"/>
          <w:sz w:val="28"/>
          <w:sz w:val="28"/>
          <w:szCs w:val="28"/>
          <w:rtl w:val="true"/>
          <w:lang w:bidi="ar-SA"/>
        </w:rPr>
        <w:t>سُبحانَه عن ذلكَ الوقتِ زيادةً فيه</w:t>
      </w:r>
      <w:r>
        <w:rPr>
          <w:rStyle w:val="FootnoteAnchor"/>
          <w:rtl w:val="true"/>
        </w:rPr>
        <w:footnoteReference w:id="2170"/>
      </w:r>
      <w:r>
        <w:rPr>
          <w:rFonts w:ascii="Amiri" w:hAnsi="Amiri" w:eastAsia="Amiri" w:cs="Amiri"/>
          <w:color w:val="111111"/>
          <w:sz w:val="28"/>
          <w:sz w:val="28"/>
          <w:szCs w:val="28"/>
          <w:rtl w:val="true"/>
          <w:lang w:bidi="ar-SA"/>
        </w:rPr>
        <w:t>لتَضاعُفِ المَشاقِّ علَى المُكلَّفينَ فأخَّرَه</w:t>
      </w:r>
      <w:r>
        <w:rPr>
          <w:rStyle w:val="FootnoteAnchor"/>
          <w:rtl w:val="true"/>
        </w:rPr>
        <w:footnoteReference w:id="2171"/>
      </w:r>
      <w:r>
        <w:rPr>
          <w:rFonts w:ascii="Amiri" w:hAnsi="Amiri" w:eastAsia="Amiri" w:cs="Amiri"/>
          <w:color w:val="111111"/>
          <w:sz w:val="28"/>
          <w:sz w:val="28"/>
          <w:szCs w:val="28"/>
          <w:rtl w:val="true"/>
          <w:lang w:bidi="ar-SA"/>
        </w:rPr>
        <w:t>لذلكَ‌، و زيادةُ الثوابِ علىٰ قَدرِ زيادةِ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مَذهبُنا في الأنبياءِ‌</w:t>
      </w:r>
      <w:r>
        <w:rPr>
          <w:rStyle w:val="FootnoteAnchor"/>
          <w:rtl w:val="true"/>
        </w:rPr>
        <w:footnoteReference w:id="2172"/>
      </w:r>
      <w:r>
        <w:rPr>
          <w:rFonts w:ascii="Amiri" w:hAnsi="Amiri" w:eastAsia="Amiri" w:cs="Amiri"/>
          <w:color w:val="111111"/>
          <w:sz w:val="28"/>
          <w:sz w:val="28"/>
          <w:szCs w:val="28"/>
          <w:rtl w:val="true"/>
          <w:lang w:bidi="ar-SA"/>
        </w:rPr>
        <w:t>و الأئمّةِ عليهم السلامُ‌، و هو مَذهبُ مُخالِفينا القائلينَ‌</w:t>
      </w:r>
      <w:r>
        <w:rPr>
          <w:rStyle w:val="FootnoteAnchor"/>
          <w:rtl w:val="true"/>
        </w:rPr>
        <w:footnoteReference w:id="2173"/>
      </w:r>
      <w:r>
        <w:rPr>
          <w:rFonts w:ascii="Amiri" w:hAnsi="Amiri" w:eastAsia="Amiri" w:cs="Amiri"/>
          <w:color w:val="111111"/>
          <w:sz w:val="28"/>
          <w:sz w:val="28"/>
          <w:szCs w:val="28"/>
          <w:rtl w:val="true"/>
          <w:lang w:bidi="ar-SA"/>
        </w:rPr>
        <w:t>بعذابِ القبرِ و تنعيمِه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فتَحقَّقْ‌ أيُّها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السِّمَنَ‌</w:t>
      </w:r>
      <w:r>
        <w:rPr>
          <w:rStyle w:val="FootnoteAnchor"/>
          <w:rtl w:val="true"/>
        </w:rPr>
        <w:footnoteReference w:id="2174"/>
      </w:r>
      <w:r>
        <w:rPr>
          <w:rFonts w:ascii="Amiri" w:hAnsi="Amiri" w:eastAsia="Amiri" w:cs="Amiri"/>
          <w:color w:val="111111"/>
          <w:sz w:val="28"/>
          <w:sz w:val="28"/>
          <w:szCs w:val="28"/>
          <w:rtl w:val="true"/>
          <w:lang w:bidi="ar-SA"/>
        </w:rPr>
        <w:t>و الهُزالَ‌</w:t>
      </w:r>
      <w:r>
        <w:rPr>
          <w:rStyle w:val="FootnoteAnchor"/>
          <w:rtl w:val="true"/>
        </w:rPr>
        <w:footnoteReference w:id="2175"/>
      </w:r>
      <w:r>
        <w:rPr>
          <w:rFonts w:ascii="Amiri" w:hAnsi="Amiri" w:eastAsia="Amiri" w:cs="Amiri"/>
          <w:color w:val="111111"/>
          <w:sz w:val="28"/>
          <w:sz w:val="28"/>
          <w:szCs w:val="28"/>
          <w:rtl w:val="true"/>
          <w:lang w:bidi="ar-SA"/>
        </w:rPr>
        <w:t>حِليةٌ للجسمِ‌</w:t>
      </w:r>
      <w:r>
        <w:rPr>
          <w:rStyle w:val="FootnoteAnchor"/>
          <w:rtl w:val="true"/>
        </w:rPr>
        <w:footnoteReference w:id="2176"/>
      </w:r>
      <w:r>
        <w:rPr>
          <w:rFonts w:ascii="Amiri" w:hAnsi="Amiri" w:eastAsia="Amiri" w:cs="Amiri"/>
          <w:color w:val="111111"/>
          <w:sz w:val="28"/>
          <w:sz w:val="28"/>
          <w:szCs w:val="28"/>
          <w:rtl w:val="true"/>
          <w:lang w:bidi="ar-SA"/>
        </w:rPr>
        <w:t>و زينةٌ‌</w:t>
      </w:r>
      <w:r>
        <w:rPr>
          <w:rStyle w:val="FootnoteAnchor"/>
          <w:rtl w:val="true"/>
        </w:rPr>
        <w:footnoteReference w:id="2177"/>
      </w:r>
      <w:r>
        <w:rPr>
          <w:rFonts w:ascii="Amiri" w:hAnsi="Amiri" w:eastAsia="Amiri" w:cs="Amiri"/>
          <w:color w:val="111111"/>
          <w:sz w:val="28"/>
          <w:sz w:val="28"/>
          <w:szCs w:val="28"/>
          <w:rtl w:val="true"/>
          <w:lang w:bidi="ar-SA"/>
        </w:rPr>
        <w:t>، لا مَدخَلَ لهُما</w:t>
      </w:r>
      <w:r>
        <w:rPr>
          <w:rStyle w:val="FootnoteAnchor"/>
          <w:rtl w:val="true"/>
        </w:rPr>
        <w:footnoteReference w:id="2178"/>
      </w:r>
      <w:r>
        <w:rPr>
          <w:rFonts w:ascii="Amiri" w:hAnsi="Amiri" w:eastAsia="Amiri" w:cs="Amiri"/>
          <w:color w:val="111111"/>
          <w:sz w:val="28"/>
          <w:sz w:val="28"/>
          <w:szCs w:val="28"/>
          <w:rtl w:val="true"/>
          <w:lang w:bidi="ar-SA"/>
        </w:rPr>
        <w:t>في التكليفِ‌، و يَجري ذلكَ مَجرىٰ‌</w:t>
      </w:r>
      <w:r>
        <w:rPr>
          <w:rStyle w:val="FootnoteAnchor"/>
          <w:rtl w:val="true"/>
        </w:rPr>
        <w:footnoteReference w:id="2179"/>
      </w:r>
      <w:r>
        <w:rPr>
          <w:rFonts w:ascii="Amiri" w:hAnsi="Amiri" w:eastAsia="Amiri" w:cs="Amiri"/>
          <w:color w:val="111111"/>
          <w:sz w:val="28"/>
          <w:sz w:val="28"/>
          <w:szCs w:val="28"/>
          <w:rtl w:val="true"/>
          <w:lang w:bidi="ar-SA"/>
        </w:rPr>
        <w:t>صِغَرِ المَحاسِنِ‌</w:t>
      </w:r>
      <w:r>
        <w:rPr>
          <w:rStyle w:val="FootnoteAnchor"/>
          <w:rtl w:val="true"/>
        </w:rPr>
        <w:footnoteReference w:id="2180"/>
      </w:r>
      <w:r>
        <w:rPr>
          <w:rFonts w:ascii="Amiri" w:hAnsi="Amiri" w:eastAsia="Amiri" w:cs="Amiri"/>
          <w:color w:val="111111"/>
          <w:sz w:val="28"/>
          <w:sz w:val="28"/>
          <w:szCs w:val="28"/>
          <w:rtl w:val="true"/>
          <w:lang w:bidi="ar-SA"/>
        </w:rPr>
        <w:t>و الآلاتِ و كِبَرِها في أنّها كذلكَ‌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النظَرَ هو الموصِلُ إلَى العِلمِ بالمدلولِ‌</w:t>
      </w:r>
      <w:r>
        <w:rPr>
          <w:rStyle w:val="FootnoteAnchor"/>
          <w:rtl w:val="true"/>
        </w:rPr>
        <w:footnoteReference w:id="2181"/>
      </w:r>
      <w:r>
        <w:rPr>
          <w:rFonts w:ascii="Amiri" w:hAnsi="Amiri" w:eastAsia="Amiri" w:cs="Amiri"/>
          <w:color w:val="111111"/>
          <w:sz w:val="28"/>
          <w:sz w:val="28"/>
          <w:szCs w:val="28"/>
          <w:rtl w:val="true"/>
          <w:lang w:bidi="ar-SA"/>
        </w:rPr>
        <w:t>، و أنّ تقليدَ</w:t>
      </w:r>
      <w:r>
        <w:rPr>
          <w:rStyle w:val="FootnoteAnchor"/>
          <w:rtl w:val="true"/>
        </w:rPr>
        <w:footnoteReference w:id="2182"/>
      </w:r>
      <w:r>
        <w:rPr>
          <w:rFonts w:ascii="Amiri" w:hAnsi="Amiri" w:eastAsia="Amiri" w:cs="Amiri"/>
          <w:color w:val="111111"/>
          <w:sz w:val="28"/>
          <w:sz w:val="28"/>
          <w:szCs w:val="28"/>
          <w:rtl w:val="true"/>
          <w:lang w:bidi="ar-SA"/>
        </w:rPr>
        <w:t>الرجالِ هو المُهلِكُ للجُهّالِ‌؛ فإنّ‌</w:t>
      </w:r>
      <w:r>
        <w:rPr>
          <w:rStyle w:val="FootnoteAnchor"/>
          <w:rtl w:val="true"/>
        </w:rPr>
        <w:footnoteReference w:id="2183"/>
      </w:r>
      <w:r>
        <w:rPr>
          <w:rFonts w:ascii="Amiri" w:hAnsi="Amiri" w:eastAsia="Amiri" w:cs="Amiri"/>
          <w:color w:val="111111"/>
          <w:sz w:val="28"/>
          <w:sz w:val="28"/>
          <w:szCs w:val="28"/>
          <w:rtl w:val="true"/>
          <w:lang w:bidi="ar-SA"/>
        </w:rPr>
        <w:t>الهَوىٰ في الأديانِ يؤَدّي إلَى الخِذلانِ‌</w:t>
      </w:r>
      <w:r>
        <w:rPr>
          <w:rStyle w:val="FootnoteAnchor"/>
          <w:rtl w:val="true"/>
        </w:rPr>
        <w:footnoteReference w:id="21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كثيرٌ</w:t>
      </w:r>
      <w:r>
        <w:rPr>
          <w:rStyle w:val="FootnoteAnchor"/>
          <w:rtl w:val="true"/>
        </w:rPr>
        <w:footnoteReference w:id="2185"/>
      </w:r>
      <w:r>
        <w:rPr>
          <w:rFonts w:ascii="Amiri" w:hAnsi="Amiri" w:eastAsia="Amiri" w:cs="Amiri"/>
          <w:color w:val="111111"/>
          <w:sz w:val="28"/>
          <w:sz w:val="28"/>
          <w:szCs w:val="28"/>
          <w:rtl w:val="true"/>
          <w:lang w:bidi="ar-SA"/>
        </w:rPr>
        <w:t>ممّن يَنتَحِلُ‌</w:t>
      </w:r>
      <w:r>
        <w:rPr>
          <w:rStyle w:val="FootnoteAnchor"/>
          <w:rtl w:val="true"/>
        </w:rPr>
        <w:footnoteReference w:id="2186"/>
      </w:r>
      <w:r>
        <w:rPr>
          <w:rFonts w:ascii="Amiri" w:hAnsi="Amiri" w:eastAsia="Amiri" w:cs="Amiri"/>
          <w:color w:val="111111"/>
          <w:sz w:val="28"/>
          <w:sz w:val="28"/>
          <w:szCs w:val="28"/>
          <w:rtl w:val="true"/>
          <w:lang w:bidi="ar-SA"/>
        </w:rPr>
        <w:t>النظرَ و يَظُنُّ أنّه قد ظَفِرَ، فإذا شَيَّعتَه بالسؤالِ بانَ تقصيرُه بالجِدالِ‌، و سَتَرَ</w:t>
      </w:r>
      <w:r>
        <w:rPr>
          <w:rStyle w:val="FootnoteAnchor"/>
          <w:rtl w:val="true"/>
        </w:rPr>
        <w:footnoteReference w:id="2187"/>
      </w:r>
      <w:r>
        <w:rPr>
          <w:rFonts w:ascii="Amiri" w:hAnsi="Amiri" w:eastAsia="Amiri" w:cs="Amiri"/>
          <w:color w:val="111111"/>
          <w:sz w:val="28"/>
          <w:sz w:val="28"/>
          <w:szCs w:val="28"/>
          <w:rtl w:val="true"/>
          <w:lang w:bidi="ar-SA"/>
        </w:rPr>
        <w:t>جَهلَه بالتمويهِ بالمُحالِ‌، و التشنيعِ بذِكرِ مَن تَقدَّمَه مِن الرجالِ‌؛ و لَو</w:t>
      </w:r>
      <w:r>
        <w:rPr>
          <w:rStyle w:val="FootnoteAnchor"/>
          <w:rtl w:val="true"/>
        </w:rPr>
        <w:footnoteReference w:id="2188"/>
      </w:r>
      <w:r>
        <w:rPr>
          <w:rFonts w:ascii="Amiri" w:hAnsi="Amiri" w:eastAsia="Amiri" w:cs="Amiri"/>
          <w:color w:val="111111"/>
          <w:sz w:val="28"/>
          <w:sz w:val="28"/>
          <w:szCs w:val="28"/>
          <w:rtl w:val="true"/>
          <w:lang w:bidi="ar-SA"/>
        </w:rPr>
        <w:t>أبصَرَ بلُبِّه و بقَلبِه ما أرادَ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يَمْلِكُ بَعْضُكُمْ لِبَعْضٍ نَفْعاً وَ لاٰ ضَرًّا</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و أنّ مَن تَقدَّمَه إن كانَ‌</w:t>
      </w:r>
      <w:r>
        <w:rPr>
          <w:rStyle w:val="FootnoteAnchor"/>
          <w:rtl w:val="true"/>
        </w:rPr>
        <w:footnoteReference w:id="2191"/>
      </w:r>
      <w:r>
        <w:rPr>
          <w:rFonts w:ascii="Amiri" w:hAnsi="Amiri" w:eastAsia="Amiri" w:cs="Amiri"/>
          <w:color w:val="111111"/>
          <w:sz w:val="28"/>
          <w:sz w:val="28"/>
          <w:szCs w:val="28"/>
          <w:rtl w:val="true"/>
          <w:lang w:bidi="ar-SA"/>
        </w:rPr>
        <w:t>أصابَ فلنفسِه و إن أَخطأَ فعَلَيها، و أنّ الحَقَّ مع الدليلِ لِمَن وَجَدَ له السبيلَ دونَ ما سِواه، لَصَدَّه ذلكَ‌</w:t>
      </w:r>
      <w:r>
        <w:rPr>
          <w:rStyle w:val="FootnoteAnchor"/>
          <w:rtl w:val="true"/>
        </w:rPr>
        <w:footnoteReference w:id="2192"/>
      </w:r>
      <w:r>
        <w:rPr>
          <w:rFonts w:ascii="Amiri" w:hAnsi="Amiri" w:eastAsia="Amiri" w:cs="Amiri"/>
          <w:color w:val="111111"/>
          <w:sz w:val="28"/>
          <w:sz w:val="28"/>
          <w:szCs w:val="28"/>
          <w:rtl w:val="true"/>
          <w:lang w:bidi="ar-SA"/>
        </w:rPr>
        <w:t>عن اتّباعِ هَواه، و عَدَلَه عن ذِكرِ مَن سِواه</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الحَمدُ للّٰهِ الذي خَصَّ المَولَى الأجَلَّ بالبَحثِ و النظرِ، و فَضَّلَه علىٰ كَثيرٍ مِن البَشَرِ؛ فهذه هي المِنّةُ العظيمةُ و المَوهِبةُ الجَسيمةُ‌، التي هي أفضَلُ المَواهبِ و أسنَى الرَّغائبِ‌؛ لكَونِها تؤَدّي إلىٰ أجَلِّ المراتبِ‌، و تُنجي مِن العذابِ الواصبِ‌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w:t>
      </w:r>
      <w:r>
        <w:rPr>
          <w:rStyle w:val="FootnoteAnchor"/>
          <w:rtl w:val="true"/>
        </w:rPr>
        <w:footnoteReference w:id="2194"/>
      </w:r>
      <w:r>
        <w:rPr>
          <w:rFonts w:ascii="Amiri" w:hAnsi="Amiri" w:eastAsia="Amiri" w:cs="Amiri"/>
          <w:color w:val="111111"/>
          <w:sz w:val="28"/>
          <w:sz w:val="28"/>
          <w:szCs w:val="28"/>
          <w:rtl w:val="true"/>
          <w:lang w:bidi="ar-SA"/>
        </w:rPr>
        <w:t>مسألةٌ عظيمةُ الخَطَرِ جَليلةُ‌</w:t>
      </w:r>
      <w:r>
        <w:rPr>
          <w:rStyle w:val="FootnoteAnchor"/>
          <w:rtl w:val="true"/>
        </w:rPr>
        <w:footnoteReference w:id="2195"/>
      </w:r>
      <w:r>
        <w:rPr>
          <w:rFonts w:ascii="Amiri" w:hAnsi="Amiri" w:eastAsia="Amiri" w:cs="Amiri"/>
          <w:color w:val="111111"/>
          <w:sz w:val="28"/>
          <w:sz w:val="28"/>
          <w:szCs w:val="28"/>
          <w:rtl w:val="true"/>
          <w:lang w:bidi="ar-SA"/>
        </w:rPr>
        <w:t>القَدرِ، لَو</w:t>
      </w:r>
      <w:r>
        <w:rPr>
          <w:rStyle w:val="FootnoteAnchor"/>
          <w:rtl w:val="true"/>
        </w:rPr>
        <w:footnoteReference w:id="2196"/>
      </w:r>
      <w:r>
        <w:rPr>
          <w:rFonts w:ascii="Amiri" w:hAnsi="Amiri" w:eastAsia="Amiri" w:cs="Amiri"/>
          <w:color w:val="111111"/>
          <w:sz w:val="28"/>
          <w:sz w:val="28"/>
          <w:szCs w:val="28"/>
          <w:rtl w:val="true"/>
          <w:lang w:bidi="ar-SA"/>
        </w:rPr>
        <w:t>بَسَطتُ فيها الكلامَ و أورَدتُه علىٰ أتَمِّ نِظامٍ‌</w:t>
      </w:r>
      <w:r>
        <w:rPr>
          <w:rStyle w:val="FootnoteAnchor"/>
          <w:rtl w:val="true"/>
        </w:rPr>
        <w:footnoteReference w:id="2197"/>
      </w:r>
      <w:r>
        <w:rPr>
          <w:rFonts w:ascii="Amiri" w:hAnsi="Amiri" w:eastAsia="Amiri" w:cs="Amiri"/>
          <w:color w:val="111111"/>
          <w:sz w:val="28"/>
          <w:sz w:val="28"/>
          <w:szCs w:val="28"/>
          <w:rtl w:val="true"/>
          <w:lang w:bidi="ar-SA"/>
        </w:rPr>
        <w:t xml:space="preserve">لَاحتَمَلَت بَسطاً يَطولُ‌، و تَفرَّعَ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و فُصولٌ‌</w:t>
      </w:r>
      <w:r>
        <w:rPr>
          <w:rStyle w:val="FootnoteAnchor"/>
          <w:rtl w:val="true"/>
        </w:rPr>
        <w:footnoteReference w:id="21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لكنّي</w:t>
      </w:r>
      <w:r>
        <w:rPr>
          <w:rStyle w:val="FootnoteAnchor"/>
          <w:rtl w:val="true"/>
        </w:rPr>
        <w:footnoteReference w:id="2199"/>
      </w:r>
      <w:r>
        <w:rPr>
          <w:rFonts w:ascii="Amiri" w:hAnsi="Amiri" w:eastAsia="Amiri" w:cs="Amiri"/>
          <w:color w:val="111111"/>
          <w:sz w:val="28"/>
          <w:sz w:val="28"/>
          <w:szCs w:val="28"/>
          <w:rtl w:val="true"/>
          <w:lang w:bidi="ar-SA"/>
        </w:rPr>
        <w:t>آثَرتُ التخفيفَ‌، و أَوضَحتُ‌</w:t>
      </w:r>
      <w:r>
        <w:rPr>
          <w:rStyle w:val="FootnoteAnchor"/>
          <w:rtl w:val="true"/>
        </w:rPr>
        <w:footnoteReference w:id="2200"/>
      </w:r>
      <w:r>
        <w:rPr>
          <w:rFonts w:ascii="Amiri" w:hAnsi="Amiri" w:eastAsia="Amiri" w:cs="Amiri"/>
          <w:color w:val="111111"/>
          <w:sz w:val="28"/>
          <w:sz w:val="28"/>
          <w:szCs w:val="28"/>
          <w:rtl w:val="true"/>
          <w:lang w:bidi="ar-SA"/>
        </w:rPr>
        <w:t>ما لا غِنىٰ عنه فيها</w:t>
      </w:r>
      <w:r>
        <w:rPr>
          <w:rStyle w:val="FootnoteAnchor"/>
          <w:rtl w:val="true"/>
        </w:rPr>
        <w:footnoteReference w:id="2201"/>
      </w:r>
      <w:r>
        <w:rPr>
          <w:rFonts w:ascii="Amiri" w:hAnsi="Amiri" w:eastAsia="Amiri" w:cs="Amiri"/>
          <w:color w:val="111111"/>
          <w:sz w:val="28"/>
          <w:sz w:val="28"/>
          <w:szCs w:val="28"/>
          <w:rtl w:val="true"/>
          <w:lang w:bidi="ar-SA"/>
        </w:rPr>
        <w:t>مِن غيرِ تقصيرٍ في الحُجّةِ‌، و لا تَنكُّبٍ عن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يأتي مِنّي</w:t>
      </w:r>
      <w:r>
        <w:rPr>
          <w:rStyle w:val="FootnoteAnchor"/>
          <w:rtl w:val="true"/>
        </w:rPr>
        <w:footnoteReference w:id="2202"/>
      </w:r>
      <w:r>
        <w:rPr>
          <w:rFonts w:ascii="Amiri" w:hAnsi="Amiri" w:eastAsia="Amiri" w:cs="Amiri"/>
          <w:color w:val="111111"/>
          <w:sz w:val="28"/>
          <w:sz w:val="28"/>
          <w:szCs w:val="28"/>
          <w:rtl w:val="true"/>
          <w:lang w:bidi="ar-SA"/>
        </w:rPr>
        <w:t>، مع شُغُلِ قَلبي، و تَقسُّمِ‌</w:t>
      </w:r>
      <w:r>
        <w:rPr>
          <w:rStyle w:val="FootnoteAnchor"/>
          <w:rtl w:val="true"/>
        </w:rPr>
        <w:footnoteReference w:id="2203"/>
      </w:r>
      <w:r>
        <w:rPr>
          <w:rFonts w:ascii="Amiri" w:hAnsi="Amiri" w:eastAsia="Amiri" w:cs="Amiri"/>
          <w:color w:val="111111"/>
          <w:sz w:val="28"/>
          <w:sz w:val="28"/>
          <w:szCs w:val="28"/>
          <w:rtl w:val="true"/>
          <w:lang w:bidi="ar-SA"/>
        </w:rPr>
        <w:t>فِكري و لُبّي، فبسَعادتِه و بَرَكتِه؛ لا زالَ للدِّينِ عَضُداً، و لأهلِه كَهفاً و سَنَداً، إن شاءَ اللّٰهُ تَعالىٰ‌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و الحمدُ لِلّٰهِ رَبِّ العالَمينَ‌، و صَلَواتُه علىٰ سَيّدِنا مُحمّدٍ و آلِه الطاهرينَ‌، و حَسبُنا اللّٰهُ و نِعْمَ الوَكيلُ‌</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 xml:space="preserve">. </w:t>
      </w:r>
      <w:bookmarkStart w:id="507" w:name="pg16415_224041"/>
    </w:p>
    <w:p>
      <w:pPr>
        <w:pStyle w:val="Heading4"/>
        <w:numPr>
          <w:ilvl w:val="3"/>
          <w:numId w:val="1"/>
        </w:numPr>
        <w:rPr/>
      </w:pPr>
      <w:bookmarkStart w:id="508" w:name="__RefHeading___Toc7642574_1280447820"/>
      <w:bookmarkStart w:id="509" w:name="_Toc174"/>
      <w:bookmarkEnd w:id="507"/>
      <w:bookmarkEnd w:id="508"/>
      <w:r>
        <w:rPr>
          <w:rtl w:val="true"/>
        </w:rPr>
        <w:t>(</w:t>
      </w:r>
      <w:r>
        <w:rPr/>
        <w:t>33</w:t>
      </w:r>
      <w:r>
        <w:rPr>
          <w:rtl w:val="true"/>
        </w:rPr>
        <w:t xml:space="preserve">) </w:t>
      </w:r>
      <w:r>
        <w:rPr>
          <w:rtl w:val="true"/>
        </w:rPr>
        <w:t>مسألة حول قدم العالم</w:t>
      </w:r>
      <w:bookmarkEnd w:id="50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0" w:name="__RefHeading___Toc7642576_1280447820"/>
      <w:bookmarkStart w:id="511" w:name="_Toc175"/>
      <w:bookmarkEnd w:id="510"/>
      <w:r>
        <w:rPr>
          <w:rtl w:val="true"/>
        </w:rPr>
        <w:t>اشارة</w:t>
      </w:r>
      <w:bookmarkEnd w:id="51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6415_224043"/>
      <w:bookmarkStart w:id="513" w:name="pg16415_224043"/>
      <w:bookmarkEnd w:id="513"/>
    </w:p>
    <w:p>
      <w:pPr>
        <w:pStyle w:val="Heading5"/>
        <w:numPr>
          <w:ilvl w:val="4"/>
          <w:numId w:val="1"/>
        </w:numPr>
        <w:rPr/>
      </w:pPr>
      <w:bookmarkStart w:id="514" w:name="pg16415_224043"/>
      <w:bookmarkStart w:id="515" w:name="__RefHeading___Toc7642578_1280447820"/>
      <w:bookmarkStart w:id="516" w:name="_Toc176"/>
      <w:bookmarkEnd w:id="514"/>
      <w:bookmarkEnd w:id="515"/>
      <w:r>
        <w:rPr>
          <w:rtl w:val="true"/>
        </w:rPr>
        <w:t>مقدّمة التحقيق</w:t>
      </w:r>
      <w:bookmarkEnd w:id="516"/>
    </w:p>
    <w:p>
      <w:pPr>
        <w:pStyle w:val="Heading6"/>
        <w:numPr>
          <w:ilvl w:val="5"/>
          <w:numId w:val="1"/>
        </w:numPr>
        <w:rPr/>
      </w:pPr>
      <w:bookmarkStart w:id="517" w:name="__RefHeading___Toc7642580_1280447820"/>
      <w:bookmarkStart w:id="518" w:name="_Toc177"/>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دار نزاع قديم بين الفلاسفة و المتكلّمين حول قِدَم العالم و حدوثه، حيث كلّفهم الكثير من الوقت و الجهد الفكري، مع الشيء الكثير من التقاذف و تبادل التهم التي وصلت إلى حدّ التكفير</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النزاع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لوجود العالم نقطة انطلاق، منها بدأ و حدث، ثمّ استمرّ في الوجود، أم أنّه لا بداية لوجوده، و أنّه كلّما توغّلنا راجعين إلى الوراء وجدنا العالم قائماً موجوداً، فهو قديم بقِدَم علّته، و رغم كونه معلولاً، إلّاأنّه غير متأخّر عن علّته، بل هو معها دائماً، فحاله حال حركة المفتاح المعلولة لحركة اليد، فرغم أنّ الأُولى معلولة و الثانية علّة لها، إلّاأنّه لا يوجد تقدّم و تأخّر زمانيّ بينهما</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نسب القول بحدوث العالم إلى الفيلسوف اليوناني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أشار في كتابه طيماوس إلى هذه النظريّة</w:t>
      </w:r>
      <w:r>
        <w:rPr>
          <w:rStyle w:val="FootnoteAnchor"/>
          <w:rtl w:val="true"/>
        </w:rPr>
        <w:footnoteReference w:id="2207"/>
      </w:r>
      <w:r>
        <w:rPr>
          <w:rFonts w:ascii="Amiri" w:hAnsi="Amiri" w:eastAsia="Amiri" w:cs="Amiri"/>
          <w:color w:val="111111"/>
          <w:sz w:val="28"/>
          <w:sz w:val="28"/>
          <w:szCs w:val="28"/>
          <w:rtl w:val="true"/>
          <w:lang w:bidi="ar-SA"/>
        </w:rPr>
        <w:t>، إلّاأنّ البعض ناقش في نسبة هذه النظريّة إلى أفلاطون</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أسّس لنظريّة قِدَم العالم، حيث ذهب إلى أنّ الحركة و الزمان قديمان لا أوّل لهما</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حاول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نسبة </w:t>
      </w:r>
    </w:p>
    <w:p>
      <w:pPr>
        <w:pStyle w:val="BookText"/>
        <w:rPr/>
      </w:pPr>
      <w:r>
        <w:rPr>
          <w:rFonts w:ascii="Amiri" w:hAnsi="Amiri" w:eastAsia="Amiri" w:cs="Amiri"/>
          <w:color w:val="111111"/>
          <w:sz w:val="28"/>
          <w:sz w:val="28"/>
          <w:szCs w:val="28"/>
          <w:rtl w:val="true"/>
          <w:lang w:bidi="ar-SA"/>
        </w:rPr>
        <w:t>القول بقِدَم العالم إلى أرسطو، فنسب نظريّة حدوث العالم إليه، و ذلك من خلال الاعتماد على كتاب أثولوجيا</w:t>
      </w:r>
      <w:r>
        <w:rPr>
          <w:rStyle w:val="FootnoteAnchor"/>
          <w:rtl w:val="true"/>
        </w:rPr>
        <w:footnoteReference w:id="2210"/>
      </w:r>
      <w:r>
        <w:rPr>
          <w:rFonts w:ascii="Amiri" w:hAnsi="Amiri" w:eastAsia="Amiri" w:cs="Amiri"/>
          <w:color w:val="111111"/>
          <w:sz w:val="28"/>
          <w:sz w:val="28"/>
          <w:szCs w:val="28"/>
          <w:rtl w:val="true"/>
          <w:lang w:bidi="ar-SA"/>
        </w:rPr>
        <w:t xml:space="preserve">، الذي اتّضح فيما بعد أنّه ليس لأرسطو أساساً، بل لأفلاطين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أقدم النصوص التي حُفظت لنا منذ عهد اليونان، و التي تحدّثت عن قِدَم العالم، هي رسالة لأبرقلس، حيث حاول إثبات هذه النظريّة من خلال طرح تسعة أدلّة على ذلك</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العالم الإسلامي، و بعد توغل أفكار فلاسفة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عُرف الفلاسفة المسلمون بتبنّي رأي أرسطو حول قِدَم العالم</w:t>
      </w:r>
      <w:r>
        <w:rPr>
          <w:rStyle w:val="FootnoteAnchor"/>
          <w:rtl w:val="true"/>
        </w:rPr>
        <w:footnoteReference w:id="2213"/>
      </w:r>
      <w:r>
        <w:rPr>
          <w:rFonts w:ascii="Amiri" w:hAnsi="Amiri" w:eastAsia="Amiri" w:cs="Amiri"/>
          <w:color w:val="111111"/>
          <w:sz w:val="28"/>
          <w:sz w:val="28"/>
          <w:szCs w:val="28"/>
          <w:rtl w:val="true"/>
          <w:lang w:bidi="ar-SA"/>
        </w:rPr>
        <w:t xml:space="preserve">، على الرغم من أنّ بعضهم مثل الفيلسوف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تلك النظريّة، و آمن بحدوث العالم</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المتكلّمون فقد تبنّوا في المقابل نظريّة حدوث العالم، و هي نظريّة منقولة عن أئمّة أهل البيت عليهم السلامُ‌</w:t>
      </w:r>
      <w:r>
        <w:rPr>
          <w:rStyle w:val="FootnoteAnchor"/>
          <w:rtl w:val="true"/>
        </w:rPr>
        <w:footnoteReference w:id="2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 المتكلّمون منذ البداية الردّ على رأي الفلاسفة حول قِدَم العالم و إثبات حدوثه، فلم يخلُ كتاب كلاميّ عادة من بحثٍ حول حدوث العالم، حتّى لقد أُلّفت رسائل و كتب مستقلّة في هذا المجال،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الدلالة على حَدَث الأجسام، لهشام بن الحكم</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حدوث الأشياء، لبشر بن المعتمر</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الدلالة على حَدَث الأشياء، لضرار بن عمرو</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في العالم و حدوثه، للفضل بن شاذان</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حَدَث العالم و نقض مسألة أبي عيسى الورّاق في قِدَم العالم، لأبي سهل النوبختي</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يحيى بن عدي في اعتراضه دليل الموحّدين في حَدَث الأجسام، للشريف المرتضى</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هذه الرسالة التي بين أيدينا، و التي قام الشريف المرتضى فيها بالردّ على أحد أدلّة الفلاسفة على 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 الفلاسفة لتأييد وجهة نظرهم حول قِدَم العالم بحجج،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الأُولى ثابتة، و يستحيل طروء التغيّر عليها، و حينئذٍ إمّا أن يَصدر الفعلُ منها أبداً و دائماً، و إمّا أن لا يَصدر الفعل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فعلها حادثاً و متجدّداً، فيلزم تجدّد إرادتها و حدوثها، و يلزم منه طروء التغيّر على العلّة الأُولى، و هو محال</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دافع المتكلّمون عن وجهة نظرهم حول حدوث العالم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تكون هناك إرادة قديمة يكون مُرادها حادثاً، أي يمكن أن تتعلّق الإرادة منذ الأزل بإحداث العالم في وقت محدّد يتحقّق فيما بعد، فمتى حان ذلك الوقت، سوف يوجد العالم بواسطة تلك الإرادة الأزلية، و بذلك سوف لن يلزم طروء التغيّر على الذات الإلهية</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جهة أُخرى، لقد أدّى التعمّق في نظريّة حدوث العالم عند المتكلّمين إلى ظهور نظريّات غريبة، مثل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 أهل الخُلدَين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أهل الجنّة و النار، و هي النظريّة التي اشتهر بها أبو الهذيل العلّاف المتكلّم المعتزليّ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أورد عليه أحدُهم في بعض المناظرات إشكالاً حول أنّه إذا كانت حركات الأجسام متناهية من حيث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الأجسام حادثة، فحركاتها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تكون متناهية أيضاً من حيث النهاية، أي يجب أن تكون لحركة الأجسام نهاية، و أن لا تستمرّ إلى ما لا نهاية، مع أنّ المتكلّمين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خالدون إمّا في الجنّة و إمّا في النار، و أنّ حركاتهم لا تتوقّف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واجه أبو الهذيل هذا الإشكال، قال بأنّ الحركة لها نهاية، و أنّ أهل الجنّة و النار يبقون فترة فيها، ثمّ تَرِدُ عليهم حالة سكون و لا حركة، فيصيرون إلى سكون دائم يلتذّون به</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أبدع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 أهل الخُلدَين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رفض المتكلّمون الآخرون منذ البداية هذه النظريّة</w:t>
      </w:r>
      <w:r>
        <w:rPr>
          <w:rStyle w:val="FootnoteAnchor"/>
          <w:rtl w:val="true"/>
        </w:rPr>
        <w:footnoteReference w:id="2225"/>
      </w:r>
      <w:r>
        <w:rPr>
          <w:rFonts w:ascii="Amiri" w:hAnsi="Amiri" w:eastAsia="Amiri" w:cs="Amiri"/>
          <w:color w:val="111111"/>
          <w:sz w:val="28"/>
          <w:sz w:val="28"/>
          <w:szCs w:val="28"/>
          <w:rtl w:val="true"/>
          <w:lang w:bidi="ar-SA"/>
        </w:rPr>
        <w:t>، و رَدّوا عليها بطريقتين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نقضيّة، و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هذه النظريّة أنّه إذا كان وليُّ اللّٰه عزّ و جلّ في الجنّة قد تناول بإحدى يديه الكأس، و بالأخرى بعض التحف، ثمّ حضر وقت السكون الدائم، أن يبقى وليّ اللّٰه أبداً على هيئة المصلوب</w:t>
      </w:r>
      <w:r>
        <w:rPr>
          <w:rFonts w:eastAsia="Amiri" w:cs="Amiri" w:ascii="Amiri" w:hAnsi="Amiri"/>
          <w:color w:val="111111"/>
          <w:sz w:val="28"/>
          <w:szCs w:val="28"/>
          <w:rtl w:val="true"/>
          <w:lang w:bidi="ar-SA"/>
        </w:rPr>
        <w:t>!</w:t>
      </w:r>
      <w:r>
        <w:rPr>
          <w:rStyle w:val="FootnoteAnchor"/>
          <w:rtl w:val="true"/>
        </w:rPr>
        <w:footnoteReference w:id="222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نُسب نفس الجواب لكن بصياغة أُخرى إلى هشام بن الحكم في مناظرة له مع النظّام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bookmarkStart w:id="519" w:name="pg16415_224047"/>
    </w:p>
    <w:p>
      <w:pPr>
        <w:pStyle w:val="BookText"/>
        <w:rPr/>
      </w:pPr>
      <w:bookmarkEnd w:id="519"/>
      <w:r>
        <w:rPr>
          <w:rFonts w:ascii="Amiri" w:hAnsi="Amiri" w:eastAsia="Amiri" w:cs="Amiri"/>
          <w:color w:val="111111"/>
          <w:sz w:val="28"/>
          <w:sz w:val="28"/>
          <w:szCs w:val="28"/>
          <w:rtl w:val="true"/>
          <w:lang w:bidi="ar-SA"/>
        </w:rPr>
        <w:t xml:space="preserve">و أمّا الطريقة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أشار اليها الشريف المرتضى في نهاية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المتكلّمون أنّ هناك فرقاً واضحاً بين حدوث الشيء لا إلى بداية، و حدوثه لا إلى نهاية؛ فيمكن أن يَحدث الشيء بعد الشيء لا إلى نهاية، بينما لا يمكن حدوث الشيء قبل الشيء لا إلى بداية، فينبغي عدم قياس الحالتين على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 الجبّار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أورد ذلك أبو الهذيل في مكالمة أصحاب الحركات، فسوّى بين ما مضى و بين ما يستقبل؛ دفعاً لسؤالهم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في الفرق بينهما ظاهر؛ فإنّ حدوث الشيء بعد الشيء لا إلى غاية و آخر، لا يُخرج الفعل عن كونه فعلاً، و لا القادر عن كونه قادراً، و ليس هكذا ما يحدث لا إلى أوّل</w:t>
      </w:r>
      <w:r>
        <w:rPr>
          <w:rFonts w:eastAsia="Amiri" w:cs="Amiri" w:ascii="Amiri" w:hAnsi="Amiri"/>
          <w:color w:val="111111"/>
          <w:sz w:val="28"/>
          <w:szCs w:val="28"/>
          <w:rtl w:val="true"/>
          <w:lang w:bidi="ar-SA"/>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طبعاً حاول بعض المعتزلة تبرئة أبي الهذيل من أصل هذه النظريّة،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أوردها للجدل و إفحام الخصم، لا اعتقاداً منه بذلك</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تعرّضنا لنظريّة أبي الهذيل هنا لأنّ الشريف المرتضى قد ألمح إليها في نهاية الرسالة من دون تفصيل، حيث استشهد بجواب المتكلّمين الحَلّي على أبي الهذيل، فكان من الأفضل التعرّض لها هنا بشيء من التوضيح و التفصيل؛ لكي يكون القارئ على بيّنة من أمره</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7642582_1280447820"/>
      <w:bookmarkStart w:id="521" w:name="_Toc178"/>
      <w:bookmarkEnd w:id="520"/>
      <w:r>
        <w:rPr>
          <w:rtl w:val="true"/>
        </w:rPr>
        <w:t>هذه الرسالة</w:t>
      </w:r>
      <w:bookmarkEnd w:id="521"/>
    </w:p>
    <w:p>
      <w:pPr>
        <w:pStyle w:val="BookText"/>
        <w:rPr/>
      </w:pPr>
      <w:r>
        <w:rPr>
          <w:rFonts w:ascii="Amiri" w:hAnsi="Amiri" w:eastAsia="Amiri" w:cs="Amiri"/>
          <w:color w:val="111111"/>
          <w:sz w:val="28"/>
          <w:sz w:val="28"/>
          <w:szCs w:val="28"/>
          <w:rtl w:val="true"/>
          <w:lang w:bidi="ar-SA"/>
        </w:rPr>
        <w:t>لم يَخرج الشريف المرتضى عن دائرة المتكلّمين في القول بحدوث العالم، و الدفاع عن هذه النظريّة في مختلف كتبه و رسائله، و متى سنحت له الفرصة، كما تقدّمت الإشارة إليه، و كما أشار هو إلى ذلك في نهاية الرسالة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الشريف المرتضى يمثّل مرجعيّة فكريّة و ملجأ علميّاً يلجأ إليه الجميع </w:t>
      </w:r>
      <w:bookmarkStart w:id="522" w:name="pg16415_224048"/>
    </w:p>
    <w:p>
      <w:pPr>
        <w:pStyle w:val="BookText"/>
        <w:rPr/>
      </w:pPr>
      <w:bookmarkEnd w:id="522"/>
      <w:r>
        <w:rPr>
          <w:rFonts w:ascii="Amiri" w:hAnsi="Amiri" w:eastAsia="Amiri" w:cs="Amiri"/>
          <w:color w:val="111111"/>
          <w:sz w:val="28"/>
          <w:sz w:val="28"/>
          <w:szCs w:val="28"/>
          <w:rtl w:val="true"/>
          <w:lang w:bidi="ar-SA"/>
        </w:rPr>
        <w:t xml:space="preserve">حتّى العلماء عندما تستعصي عليهم المسائل، و كان المحقّق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مناظرة مع أحد الفلاسفة الذين كانوا يؤمنون بقِدَم العالم، فأورد ذلك الفيلسوف استدلالاً لإثبات قِدَم العالم، عجز الكراجكي عن الإشكال عليه بصورة مقنعة، فأرسل الاستدلال إلى بغداد، حيث الشريف المرتضى الذي كان قد بلغ قمّة رفيعة من النضج العلمي، ما منحه القدرة على الإجابة على مختلف الإشكالات مهما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وصل الكتاب إليه قام بالإجابة عليه، و أرسل الإجابة إلى الكراجكي، فقام الأخير بإثبات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الشريف المرتضى في بدايات كتابه كنز الفوائد</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7642584_1280447820"/>
      <w:bookmarkStart w:id="524" w:name="_Toc179"/>
      <w:bookmarkEnd w:id="523"/>
      <w:r>
        <w:rPr>
          <w:rtl w:val="true"/>
        </w:rPr>
        <w:t>عنوان الرسالة و نسبتها إلى المؤلّف</w:t>
      </w:r>
      <w:bookmarkEnd w:id="524"/>
    </w:p>
    <w:p>
      <w:pPr>
        <w:pStyle w:val="BookText"/>
        <w:rPr/>
      </w:pPr>
      <w:r>
        <w:rPr>
          <w:rFonts w:ascii="Amiri" w:hAnsi="Amiri" w:eastAsia="Amiri" w:cs="Amiri"/>
          <w:color w:val="111111"/>
          <w:sz w:val="28"/>
          <w:sz w:val="28"/>
          <w:szCs w:val="28"/>
          <w:rtl w:val="true"/>
          <w:lang w:bidi="ar-SA"/>
        </w:rPr>
        <w:t xml:space="preserve">لم يذكر الكراجكي اسماً لهذه الرسالة، لكن نقل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للشريف المرتضى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الملحدة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قِدَم العالم</w:t>
      </w:r>
      <w:r>
        <w:rPr>
          <w:rFonts w:eastAsia="Amiri" w:cs="Amiri" w:ascii="Amiri" w:hAnsi="Amiri"/>
          <w:color w:val="111111"/>
          <w:sz w:val="28"/>
          <w:szCs w:val="28"/>
          <w:rtl w:val="true"/>
          <w:lang w:bidi="ar-SA"/>
        </w:rPr>
        <w:t>»</w:t>
      </w:r>
      <w:r>
        <w:rPr>
          <w:rStyle w:val="FootnoteAnchor"/>
          <w:rtl w:val="true"/>
        </w:rPr>
        <w:footnoteReference w:id="2229"/>
      </w:r>
      <w:r>
        <w:rPr>
          <w:rFonts w:ascii="Amiri" w:hAnsi="Amiri" w:eastAsia="Amiri" w:cs="Amiri"/>
          <w:color w:val="111111"/>
          <w:sz w:val="28"/>
          <w:sz w:val="28"/>
          <w:szCs w:val="28"/>
          <w:rtl w:val="true"/>
          <w:lang w:bidi="ar-SA"/>
        </w:rPr>
        <w:t>، لعلّها تكون هي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أنّه لا توجد قرينة قطعيّة على التطابق بين هذا الاسم و بين الرسالة التي بأيدينا، لذا كان من الأفضل اختيار عنوان مختلف قليلاً،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حول قِدَم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هذه الرسالة لم تُطبع في ضمن مجموعات رسائل الشريف المرتضى؛ لذلك غفل عنها الكثير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الضروري القيام باستخراجها من كتاب كنز الفوائد، و تحقيقها بصورة مستقلّة؛ كي تنشر و تطبع لأوّل مرّة مع باقي رسائل الشريف المرتضى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نسبة الرسالة إلى الشريف المرتضى فواضحة جدّاً؛ فإنّ إيراد المحقّق </w:t>
      </w:r>
      <w:bookmarkStart w:id="525" w:name="pg16415_224049"/>
    </w:p>
    <w:p>
      <w:pPr>
        <w:pStyle w:val="BookText"/>
        <w:rPr/>
      </w:pPr>
      <w:bookmarkEnd w:id="525"/>
      <w:r>
        <w:rPr>
          <w:rFonts w:ascii="Amiri" w:hAnsi="Amiri" w:eastAsia="Amiri" w:cs="Amiri"/>
          <w:color w:val="111111"/>
          <w:sz w:val="28"/>
          <w:sz w:val="28"/>
          <w:szCs w:val="28"/>
          <w:rtl w:val="true"/>
          <w:lang w:bidi="ar-SA"/>
        </w:rPr>
        <w:t>الكراجكي لها في كتابه و نسبته إيّاها إلى الشريف المرتضى يعتبر دليلاً قطعيّاً على ذلك</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7642586_1280447820"/>
      <w:bookmarkStart w:id="527" w:name="_Toc180"/>
      <w:bookmarkEnd w:id="526"/>
      <w:r>
        <w:rPr>
          <w:rtl w:val="true"/>
        </w:rPr>
        <w:t>محتوى الرسالة</w:t>
      </w:r>
      <w:bookmarkEnd w:id="527"/>
    </w:p>
    <w:p>
      <w:pPr>
        <w:pStyle w:val="BookText"/>
        <w:rPr/>
      </w:pPr>
      <w:r>
        <w:rPr>
          <w:rFonts w:ascii="Amiri" w:hAnsi="Amiri" w:eastAsia="Amiri" w:cs="Amiri"/>
          <w:color w:val="111111"/>
          <w:sz w:val="28"/>
          <w:sz w:val="28"/>
          <w:szCs w:val="28"/>
          <w:rtl w:val="true"/>
          <w:lang w:bidi="ar-SA"/>
        </w:rPr>
        <w:t>تقدّم أنّ الرسالة مكوّنة من شبهة أو استدلال على قِدَم العالم، و جوابِ الشريف المرتضى على ذلك، و فيما يلي نقوم باستعراضهما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الشبهة أو الاستدلال، فقد تركّز على إثبات عدم تقدّم الصانع على الصنعة في الأزل، و محاولة إثبات أنّ كليهما أزليّان و قديمان، و ذلك من خلال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ثلاثة احتمالات في المسألة، اثنان منها باطل، و واحد منها هو الصحيح،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تتقدّم الصنعة على الصانع، أو أن تتأخّر عنه، أو أن يشتركا معاً في الوجود الأزلي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الاحتمال الأوّل، فهو باطل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المهمّ‌، و الذي تركّز عليه اهتمام صاحب الشبهة لأجل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أيضاً؛ لأنّ تقدّم الصانع على الصنعة إمّا أن يكون بزمن محدّد و محصور، أو بزمن غير محدّد و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تقدّمها بزمن محدّد، له بداية و نهاية، فهذا يعني أنّ الصانع قد وُجد في بداية هذا الزمن، و أنّ الصنعة وجدت في نهايته، و هو يعني أنّ الصانع حادث؛ لأنّه وجد في بداية زمن محدّد ومحصور، وذلك باطل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تقدّمها بزمن غير محدّد، بحيث يكون هذا الزمن فاصلاً بين الصانع و الصنعة، أي أن توجد الصنعة في نهايته، و بما أنّه لا نهاية لهذا الزمن، فهذا يعني أنّه سوف لن يتحقّق الزمن الذي توجد فيه الصنعة أبداً، أي أنّ الصنعة سوف لن توجد أبداً، و هو باطل بالوجدان، فإنّ الصنعة قد وُجدت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قيل باستحالة وجود زمان غير محدّد و غير متناهي، فمجرّد افتراضه يلزم منه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الاحتمال الأخير هو الصحيح، و هو أنّ الصانع و الصنعة قد وجدا منذ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على ذلك، و يمكن تقسيم إجابته إلى قسمين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هذا القسم بتقديم جواب عامّ عن الشبهة، و طرح رؤيته حول قِدَم العالم، و ذلك من خلال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قديماً أم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يتقدّم على الصنعة باعتباره فاعلاً، فإنّ من شأن الفاعل أن يكون قادراً، و القادر لا يؤثّر في الموجود، فإنّ وجود ذلك الموجود يغنيه عن الفاعل، فلابدّ أن يتقدّم القادر عليه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النقطة يختلف الشريف المرتضى مع صاحب الشبهة، حيث ذهب الأخير إلى أنّ الصانع و الصنعة موجودان معاً منذ الأزل، و لا تقدُّم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الصنعة على الصانع باطل بكلّ تأكيد؛ لاستحالة تقدّم المؤثَّر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هذه النقطة بين الشريف المرتضى و صاحب الشبهة، فقد تقدّم أنّ الأخير قد أبطل ذلك بالإجماع، سوى أنّه سوف يأتي في القسم الثاني من الجواب أنّ الشريف المرتضى لا يوافق على الاستدلال بالإجماع لإبطال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الصانع القديم يجب أن يتقدّم على الصنعة بزمن غير محدّد و غير محصور؛ لأنّه لو كان متقدّماً عليها بزمن محدّد و محصور، لكان القديم واقعاً في بداية هذا الزمن المحدّد، و هو يساوي حدوثه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الشريف المرتضى مع صاحب الشبهة في الجزء الأوّل من هذه النقطة، و هو وجوب تقدّم الصانع على الصنعة، فإنّ صاحب الشبهة رفض ذلك، لكنّه اتّفق معه في الجزء الثاني منها، و هو أنّه لو كان بين الصانع و الصنعة زمن محدّد لأدّى إلى </w:t>
      </w:r>
    </w:p>
    <w:p>
      <w:pPr>
        <w:pStyle w:val="BookText"/>
        <w:rPr/>
      </w:pPr>
      <w:r>
        <w:rPr>
          <w:rFonts w:ascii="Amiri" w:hAnsi="Amiri" w:eastAsia="Amiri" w:cs="Amiri"/>
          <w:color w:val="111111"/>
          <w:sz w:val="28"/>
          <w:sz w:val="28"/>
          <w:szCs w:val="28"/>
          <w:rtl w:val="true"/>
          <w:lang w:bidi="ar-SA"/>
        </w:rPr>
        <w:t>حدوث القديم، و قد تقدّم هذا في كلام صاحب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الشريف المرتضى في هذا القسم بتفصيل الجواب على الشبهة، و التركيز على وجوه الخلاف بينه و بين صاحب الشبهة، و ذلك من خلال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تقدّم من محاولة استدلال صاحب الشبهة على إبطال القول بتقدّم الصنعة على الصانع بالإجماع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أصل الفكرة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حجّيّة الإجماع مبنيّة علىٰ دخول الإمام المعصوم عليه السلامُ فيه، و هو يتوقّف علىٰ نصب الإمام و علىٰ بعثة الرسول صلّىٰ اللّٰه عليه و آله، و كلّ هذا مبني علىٰ إثبات وجود الصانع القديم تعالىٰ‌، و قبل ثبوت حدوث الصنعة و العالم لا يثبت وجود الصانع، فلا يكون الإجماع حجّة في بحثنا؛ لأنّ حدوث الصنعة لم يثبت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الاستعانة بطرق أُخرىٰ‌، و ذلك إمّا من خلال الاستدلال أو ادّعاء الضرورة، 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نقطة الخلاف الرئيسيّة، و هي أنّه تقدّم في كلام صاحب الشبهة أنّه إذا كان بين الصانع و الصنعة زمن غير محدّد و غير محصور، فكما أنّه لا أوّل لهذا الزمن فإنّه لا آخر له، و هو يلزم عدم حدوث الصنعة أبداً،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ركّز الشريف المرتضى في نقاشه على هذه النقطة،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ملازمة بين عدم التناهي من حيث البداية، و بين عدم التناهي من حيث النهاية، لأنّه يمكن افتراض أن يكون الزمن غير متناهي من حيث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يؤمّن لنا قِدَمَ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يكون متناهياً من حيث النهاية، و هو يؤمّن لنا إمكان حدوث الصنعة، فلا يَرد ما تقدّم في كلام صاحب الشبهة من أنّ الصنعة سوف لن تحدث أبداً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استنتجه صاحب الشبهة في نهاية دليله من أنّ الصنعة و الصانع موجودان معاً في الأزل و منذ القِدَم، باطل في حدّ ذاته؛ لأنّ وصف الصنعة بأنّها قديمة أمر </w:t>
      </w:r>
      <w:bookmarkStart w:id="528" w:name="pg16415_224052"/>
    </w:p>
    <w:p>
      <w:pPr>
        <w:pStyle w:val="BookText"/>
        <w:rPr/>
      </w:pPr>
      <w:bookmarkEnd w:id="528"/>
      <w:r>
        <w:rPr>
          <w:rFonts w:ascii="Amiri" w:hAnsi="Amiri" w:eastAsia="Amiri" w:cs="Amiri"/>
          <w:color w:val="111111"/>
          <w:sz w:val="28"/>
          <w:sz w:val="28"/>
          <w:szCs w:val="28"/>
          <w:rtl w:val="true"/>
          <w:lang w:bidi="ar-SA"/>
        </w:rPr>
        <w:t>متناقض؛ فإنّ فرض أنّها صنعة يعني أنّها متأخّرة عن صانعها، كما تقدّم في النقطة الأُولى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افتراض قِدَم الصنعة يساوي في الاستحالة افتراضَ كون القديم مصنوعاً و مخلوقاً، فإنّ كلا الفرضين محال، و هما عبارة أُخرى عن القول بقِدَم الحادث، و حدوث القديم</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7642588_1280447820"/>
      <w:bookmarkStart w:id="530" w:name="_Toc181"/>
      <w:bookmarkEnd w:id="529"/>
      <w:r>
        <w:rPr>
          <w:rtl w:val="true"/>
        </w:rPr>
        <w:t>مخطوطات الرسالة</w:t>
      </w:r>
      <w:bookmarkEnd w:id="530"/>
    </w:p>
    <w:p>
      <w:pPr>
        <w:pStyle w:val="BookText"/>
        <w:rPr/>
      </w:pPr>
      <w:r>
        <w:rPr>
          <w:rFonts w:ascii="Amiri" w:hAnsi="Amiri" w:eastAsia="Amiri" w:cs="Amiri"/>
          <w:color w:val="111111"/>
          <w:sz w:val="28"/>
          <w:sz w:val="28"/>
          <w:szCs w:val="28"/>
          <w:rtl w:val="true"/>
          <w:lang w:bidi="ar-SA"/>
        </w:rPr>
        <w:t xml:space="preserve">لم نعثر على نسخة مستقلّة للرسالة؛ ولكن بما أنّها منقولة في ضمن كتاب كنز الفوائد للمحقّق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لذلك اعتمدنا في تحقيقها على نسخ هذا الكتاب، 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من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المخطوطة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Style w:val="FootnoteAnchor"/>
          <w:rtl w:val="true"/>
        </w:rPr>
        <w:footnoteReference w:id="2230"/>
      </w: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 حياء التراث الإسلامي بقمّ‌، المرقّمة </w:t>
      </w:r>
      <w:r>
        <w:rPr>
          <w:rFonts w:eastAsia="Amiri" w:cs="Amiri" w:ascii="Amiri" w:hAnsi="Amiri"/>
          <w:color w:val="111111"/>
          <w:sz w:val="28"/>
          <w:szCs w:val="28"/>
          <w:lang w:bidi="ar-SA"/>
        </w:rPr>
        <w:t>2899</w:t>
      </w:r>
      <w:r>
        <w:rPr>
          <w:rFonts w:ascii="Amiri" w:hAnsi="Amiri" w:eastAsia="Amiri" w:cs="Amiri"/>
          <w:color w:val="111111"/>
          <w:sz w:val="28"/>
          <w:sz w:val="28"/>
          <w:szCs w:val="28"/>
          <w:rtl w:val="true"/>
          <w:lang w:bidi="ar-SA"/>
        </w:rPr>
        <w:t xml:space="preserve">؛ نسخت في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تشاهد في الأوراق الأُولىٰ منها فهرس لمحتويات كتاب كنز الفوائد نقلاً عن الفاضل الهنديّ‌، و خاتم بيضويّ يتعلّق 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Style w:val="FootnoteAnchor"/>
          <w:rtl w:val="true"/>
        </w:rPr>
        <w:footnoteReference w:id="2231"/>
      </w: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الحجريّة من منشورات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قد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bookmarkStart w:id="531" w:name="pg16415_224053"/>
    </w:p>
    <w:p>
      <w:pPr>
        <w:pStyle w:val="Heading5"/>
        <w:numPr>
          <w:ilvl w:val="4"/>
          <w:numId w:val="1"/>
        </w:numPr>
        <w:rPr/>
      </w:pPr>
      <w:bookmarkStart w:id="532" w:name="__RefHeading___Toc7642590_1280447820"/>
      <w:bookmarkStart w:id="533" w:name="_Toc182"/>
      <w:bookmarkEnd w:id="531"/>
      <w:bookmarkEnd w:id="532"/>
      <w:r>
        <w:rPr>
          <w:rtl w:val="true"/>
        </w:rPr>
        <w:t>مَسألةٌ حَولَ قِدَمِ العالَمِ‌</w:t>
      </w:r>
      <w:bookmarkEnd w:id="533"/>
    </w:p>
    <w:p>
      <w:pPr>
        <w:pStyle w:val="Heading6"/>
        <w:numPr>
          <w:ilvl w:val="5"/>
          <w:numId w:val="1"/>
        </w:numPr>
        <w:rPr/>
      </w:pPr>
      <w:bookmarkStart w:id="534" w:name="__RefHeading___Toc7642592_1280447820"/>
      <w:bookmarkStart w:id="535" w:name="_Toc183"/>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بِسمِ اللّٰهِ الرَّحمٰنِ الرَّحيمِ‌</w:t>
      </w:r>
    </w:p>
    <w:p>
      <w:pPr>
        <w:pStyle w:val="Heading6"/>
        <w:numPr>
          <w:ilvl w:val="5"/>
          <w:numId w:val="1"/>
        </w:numPr>
        <w:rPr/>
      </w:pPr>
      <w:bookmarkStart w:id="536" w:name="__RefHeading___Toc7642594_1280447820"/>
      <w:bookmarkStart w:id="537" w:name="_Toc184"/>
      <w:bookmarkEnd w:id="536"/>
      <w:r>
        <w:rPr>
          <w:rtl w:val="true"/>
        </w:rPr>
        <w:t xml:space="preserve">قالَ المُحقِّقُ الكَراجكيُّ‌ </w:t>
      </w:r>
      <w:r>
        <w:rPr>
          <w:rtl w:val="true"/>
        </w:rPr>
        <w:t>:</w:t>
      </w:r>
      <w:bookmarkEnd w:id="537"/>
    </w:p>
    <w:p>
      <w:pPr>
        <w:pStyle w:val="Heading6"/>
        <w:numPr>
          <w:ilvl w:val="5"/>
          <w:numId w:val="1"/>
        </w:numPr>
        <w:rPr/>
      </w:pPr>
      <w:bookmarkStart w:id="538" w:name="__RefHeading___Toc7642596_1280447820"/>
      <w:bookmarkStart w:id="539" w:name="_Toc185"/>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قالَ المُحقِّقُ الكَراجكيُّ‌</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الراء و الجيم و في آخرها كافٌ أُخرى، هذه 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على باب واسط؛ هكذا سمعتُ أُستاذي أبا القاسم إسماعيل بن محمّد بن الفضل الحافظ بأصبهان لمّا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الجيم المضمومة و آخره كاف؛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باب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إهمال الراء و كسر الجيم،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الخيم؛ و لهذا وصفه بعض مترجميه بالخيمي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ضبطه بعضهم بضمّ الجيم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باب واسط؛ ذكرها ياقوت في معجم البلدان،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أبو الفتح محمّد بن عليّ بن عثمان الكراجكيُّ‌؛ من علماء الشيعة في القرن الخامس، وُلد في أواخر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فقيهاً محدّثاً، أخذ عن الشيخ المفيد و الشريف المرتضى و الشيخ الطوسيّ‌؛ و 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الخُزاعي، و أبو محمّد الحبشي، و الحسين بن هبة اللّٰه الطرابلسي، و ابن البرّاج، و أعاظم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أغلاط العامّة، و كنز الفوائد، و معدن الجواهر،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بصور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للطوسي،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معدن الجواهر، المقدّمة،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الرسالة العلويّة للكراجكي،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الفوائد الرجالية لبحر العلوم،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أمل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الكنى و الألقاب،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رياض العلماء،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w:t>
      </w:r>
      <w:r>
        <w:rPr>
          <w:rStyle w:val="FootnoteAnchor"/>
          <w:rtl w:val="true"/>
        </w:rPr>
        <w:footnoteReference w:id="2233"/>
      </w:r>
      <w:r>
        <w:rPr>
          <w:rFonts w:ascii="Amiri" w:hAnsi="Amiri" w:eastAsia="Amiri" w:cs="Amiri"/>
          <w:color w:val="111111"/>
          <w:sz w:val="28"/>
          <w:sz w:val="28"/>
          <w:szCs w:val="28"/>
          <w:rtl w:val="true"/>
          <w:lang w:bidi="ar-SA"/>
        </w:rPr>
        <w:t>كُنتُ اجتَمَعتُ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الرَّملَةِ‌</w:t>
      </w:r>
      <w:r>
        <w:rPr>
          <w:rStyle w:val="FootnoteAnchor"/>
          <w:rtl w:val="true"/>
        </w:rPr>
        <w:footnoteReference w:id="2234"/>
      </w:r>
      <w:r>
        <w:rPr>
          <w:rFonts w:ascii="Amiri" w:hAnsi="Amiri" w:eastAsia="Amiri" w:cs="Amiri"/>
          <w:color w:val="111111"/>
          <w:sz w:val="28"/>
          <w:sz w:val="28"/>
          <w:szCs w:val="28"/>
          <w:rtl w:val="true"/>
          <w:lang w:bidi="ar-SA"/>
        </w:rPr>
        <w:t>برَجُلٍ عَجَميٍّ‌، يُعرَفُ بِأبي سَعيدٍ البَرذَعيِّ‌</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و قد وَصَفَه الكراجكي هنا بأنّه رجُلٌ أعجميّ‌، لاقاه في الرملة، و أنّه كان يتبنّى آراء الفلاسفة حول قِدَم العالم، حتّى إنّ الكراجكيّ سوف يصفه بعد قليل بالملحد، و هو وصفٌ عادةً ما يوصف به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ما قدّمه لنا الكراجكيّ من معلومات حول هذه الشخصيّة، و ليست بأيدينا شخصيّة نعرفها تحمل هذا الاسم مع هذه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الحنفيّة المشهور ببغداد، فقد كان فقيهاً و متكلّماً معتزليّاً، و قد قُتل مع الحاجّ في فتنة القرامطة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قبل حياة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تنطبق عليه الأوصاف التي ذكرها الكراجكيّ لصاحب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أيضاً شخص آخر يحمل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سعيد البرذعيّ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محدِّثاً و لم يكن فيلسوفاً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عثرنا عليه ممّن يُسمّى بأبي سعيد البرذعيّ‌، أو البردعيّ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شخص آخر يُدعى أبا الحسن البرذعيّ‌، إلّاأنّه أيضاً كان متكلّماً لا فيلسوفاً، و كان معاصراً لأبي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متقدّماً بأكثر من قرن على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منصور البرذعيّ‌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حمزة بن عليّ الزوزنيّ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المذهب الدُّرزيّ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رسائل الحكمة،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 قد كتب حمزة هذه الرسالة في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الحكمة،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تحدّث عن دعوته لأبي منصور البرذعيّ إلى التوحيد، و هو يدلّ على معاصرة البرذعيّ لحمزة، و هو يناسب أيضاً كونه معاصراً للكراجكيّ‌؛ فيُحتمل أن يكون نفسَ البرذعي الذي ذكره الكراجكي هنا، 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حمزة قد ذكر البرذعيَّ أيضاً من دون كنيته في الرسالة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رسائل الحكمة،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مَدينون في الإشارة إلى أبي منصور البرذعي المذكور في رسائل الحكمة،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رُويت 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أقصى أذربيجان، و هو معرَّب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موضع السبي؛ لأنّ بعض ملوك الفُرس سَبى سبياً من وراء إرمينيَة، و أنزلهم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يَحفَظُ شُبَهاً</w:t>
      </w:r>
      <w:bookmarkStart w:id="540" w:name="pg16415_224055"/>
    </w:p>
    <w:p>
      <w:pPr>
        <w:pStyle w:val="BookText"/>
        <w:rPr/>
      </w:pPr>
      <w:bookmarkEnd w:id="540"/>
      <w:r>
        <w:rPr>
          <w:rFonts w:ascii="Amiri" w:hAnsi="Amiri" w:eastAsia="Amiri" w:cs="Amiri"/>
          <w:color w:val="111111"/>
          <w:sz w:val="28"/>
          <w:sz w:val="28"/>
          <w:szCs w:val="28"/>
          <w:rtl w:val="true"/>
          <w:lang w:bidi="ar-SA"/>
        </w:rPr>
        <w:t>في هذا البابِ‌</w:t>
      </w:r>
      <w:r>
        <w:rPr>
          <w:rStyle w:val="FootnoteAnchor"/>
          <w:rtl w:val="true"/>
        </w:rPr>
        <w:footnoteReference w:id="2236"/>
      </w:r>
      <w:r>
        <w:rPr>
          <w:rFonts w:ascii="Amiri" w:hAnsi="Amiri" w:eastAsia="Amiri" w:cs="Amiri"/>
          <w:color w:val="111111"/>
          <w:sz w:val="28"/>
          <w:sz w:val="28"/>
          <w:szCs w:val="28"/>
          <w:rtl w:val="true"/>
          <w:lang w:bidi="ar-SA"/>
        </w:rPr>
        <w:t>، و كُنتُ كثيراً ما أُكلِّمُه فيها</w:t>
      </w:r>
      <w:r>
        <w:rPr>
          <w:rStyle w:val="FootnoteAnchor"/>
          <w:rtl w:val="true"/>
        </w:rPr>
        <w:footnoteReference w:id="2237"/>
      </w:r>
      <w:r>
        <w:rPr>
          <w:rFonts w:ascii="Amiri" w:hAnsi="Amiri" w:eastAsia="Amiri" w:cs="Amiri"/>
          <w:color w:val="111111"/>
          <w:sz w:val="28"/>
          <w:sz w:val="28"/>
          <w:szCs w:val="28"/>
          <w:rtl w:val="true"/>
          <w:lang w:bidi="ar-SA"/>
        </w:rPr>
        <w:t>، و أستَظهِرُ</w:t>
      </w:r>
      <w:r>
        <w:rPr>
          <w:rStyle w:val="FootnoteAnchor"/>
          <w:rtl w:val="true"/>
        </w:rPr>
        <w:footnoteReference w:id="2238"/>
      </w:r>
      <w:r>
        <w:rPr>
          <w:rFonts w:ascii="Amiri" w:hAnsi="Amiri" w:eastAsia="Amiri" w:cs="Amiri"/>
          <w:color w:val="111111"/>
          <w:sz w:val="28"/>
          <w:sz w:val="28"/>
          <w:szCs w:val="28"/>
          <w:rtl w:val="true"/>
          <w:lang w:bidi="ar-SA"/>
        </w:rPr>
        <w:t>بإثباتِ الحُجَّةِ عَليه، فأَورَدَ علَيَّ يَوماً</w:t>
      </w:r>
      <w:r>
        <w:rPr>
          <w:rStyle w:val="FootnoteAnchor"/>
          <w:rtl w:val="true"/>
        </w:rPr>
        <w:footnoteReference w:id="2239"/>
      </w:r>
      <w:r>
        <w:rPr>
          <w:rFonts w:ascii="Amiri" w:hAnsi="Amiri" w:eastAsia="Amiri" w:cs="Amiri"/>
          <w:color w:val="111111"/>
          <w:sz w:val="28"/>
          <w:sz w:val="28"/>
          <w:szCs w:val="28"/>
          <w:rtl w:val="true"/>
          <w:lang w:bidi="ar-SA"/>
        </w:rPr>
        <w:t>شُبهَةً كانَت أكبرَ ما</w:t>
      </w:r>
      <w:r>
        <w:rPr>
          <w:rStyle w:val="FootnoteAnchor"/>
          <w:rtl w:val="true"/>
        </w:rPr>
        <w:footnoteReference w:id="2240"/>
      </w:r>
      <w:r>
        <w:rPr>
          <w:rFonts w:ascii="Amiri" w:hAnsi="Amiri" w:eastAsia="Amiri" w:cs="Amiri"/>
          <w:color w:val="111111"/>
          <w:sz w:val="28"/>
          <w:sz w:val="28"/>
          <w:szCs w:val="28"/>
          <w:rtl w:val="true"/>
          <w:lang w:bidi="ar-SA"/>
        </w:rPr>
        <w:t>في يَدَيهِ‌، و تَكلَّمتُ علَيها بِكلامٍ لَم أَقنَعْ بِه فأَحكِيَه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كَتَبتُ كِتاباً إلىٰ بَغدادَ إلىٰ حَضرَةِ سَيِّدِنا الشَّريفِ المُرتَضىٰ ذِي المَجدَينِ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الشُّبهَةَ فِيه، فوَرَدَ إلَيَّ جَوابُه عَنها</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w:t>
      </w:r>
      <w:r>
        <w:rPr>
          <w:rStyle w:val="FootnoteAnchor"/>
          <w:rtl w:val="true"/>
        </w:rPr>
        <w:footnoteReference w:id="2242"/>
      </w:r>
      <w:r>
        <w:rPr>
          <w:rFonts w:ascii="Amiri" w:hAnsi="Amiri" w:eastAsia="Amiri" w:cs="Amiri"/>
          <w:color w:val="111111"/>
          <w:sz w:val="28"/>
          <w:sz w:val="28"/>
          <w:szCs w:val="28"/>
          <w:rtl w:val="true"/>
          <w:lang w:bidi="ar-SA"/>
        </w:rPr>
        <w:t>أذكُرُ الشُّبهَةَ و الجَوابَ و ما وَجَدتُه بَعدَ ذلكَ مِنَ الكَلامِ في هذَا البابِ‌</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7642598_1280447820"/>
      <w:bookmarkStart w:id="542" w:name="_Toc186"/>
      <w:bookmarkEnd w:id="541"/>
      <w:r>
        <w:rPr>
          <w:rtl w:val="true"/>
        </w:rPr>
        <w:t>الشُّبهَةُ‌</w:t>
      </w:r>
      <w:r>
        <w:rPr>
          <w:rtl w:val="true"/>
        </w:rPr>
        <w:t>:</w:t>
      </w:r>
      <w:bookmarkEnd w:id="54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المُلحِدُ</w:t>
      </w:r>
      <w:r>
        <w:rPr>
          <w:rStyle w:val="FootnoteAnchor"/>
          <w:rtl w:val="true"/>
        </w:rPr>
        <w:footnoteReference w:id="2243"/>
      </w:r>
      <w:r>
        <w:rPr>
          <w:rFonts w:ascii="Amiri" w:hAnsi="Amiri" w:eastAsia="Amiri" w:cs="Amiri"/>
          <w:color w:val="111111"/>
          <w:sz w:val="28"/>
          <w:sz w:val="28"/>
          <w:szCs w:val="28"/>
          <w:rtl w:val="true"/>
          <w:lang w:bidi="ar-SA"/>
        </w:rPr>
        <w:t>مُستَدِلاًّ علىٰ أنَّ الصانعَ لَم يَتَقدَّمِ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أمرَهُما لا يَخلو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تَتَقدَّمَ الصَّنعَةُ عليه، أو أن تَتَأخَّرَ عَنه، أو أن</w:t>
      </w:r>
      <w:r>
        <w:rPr>
          <w:rStyle w:val="FootnoteAnchor"/>
          <w:rtl w:val="true"/>
        </w:rPr>
        <w:footnoteReference w:id="2244"/>
      </w:r>
      <w:r>
        <w:rPr>
          <w:rFonts w:ascii="Amiri" w:hAnsi="Amiri" w:eastAsia="Amiri" w:cs="Amiri"/>
          <w:color w:val="111111"/>
          <w:sz w:val="28"/>
          <w:sz w:val="28"/>
          <w:szCs w:val="28"/>
          <w:rtl w:val="true"/>
          <w:lang w:bidi="ar-SA"/>
        </w:rPr>
        <w:t>يَكونا في الوُجودِ سَواءً‌</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 xml:space="preserve">. </w:t>
      </w:r>
      <w:bookmarkStart w:id="543" w:name="pg16415_224056"/>
    </w:p>
    <w:p>
      <w:pPr>
        <w:pStyle w:val="BookText"/>
        <w:rPr/>
      </w:pPr>
      <w:bookmarkEnd w:id="543"/>
      <w:r>
        <w:rPr>
          <w:rFonts w:ascii="Amiri" w:hAnsi="Amiri" w:eastAsia="Amiri" w:cs="Amiri"/>
          <w:color w:val="111111"/>
          <w:sz w:val="28"/>
          <w:sz w:val="28"/>
          <w:szCs w:val="28"/>
          <w:rtl w:val="true"/>
          <w:lang w:bidi="ar-SA"/>
        </w:rPr>
        <w:t>و قَد فَسَدَ باتِّفاقٍ تَقَدُّمُها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أيضاً تَقَدُّمُه علَيها؛ إذ كانَ لا يَخلُو مِن أن يَكونَ تَقَدَّمَها</w:t>
      </w:r>
      <w:r>
        <w:rPr>
          <w:rStyle w:val="FootnoteAnchor"/>
          <w:rtl w:val="true"/>
        </w:rPr>
        <w:footnoteReference w:id="2246"/>
      </w:r>
      <w:r>
        <w:rPr>
          <w:rFonts w:ascii="Amiri" w:hAnsi="Amiri" w:eastAsia="Amiri" w:cs="Amiri"/>
          <w:color w:val="111111"/>
          <w:sz w:val="28"/>
          <w:sz w:val="28"/>
          <w:szCs w:val="28"/>
          <w:rtl w:val="true"/>
          <w:lang w:bidi="ar-SA"/>
        </w:rPr>
        <w:t>بِمُدَّةٍ مَحصورَةٍ و تَقديرِ أَوقاتٍ مُتَناهيَةٍ‌، أو بِمُدَّةٍ غَيرِ مَحدودَةٍ و تَقديرِ أوقاتٍ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بَينَهما فِي الوُجودِ أمَدٌ مَحصورٌ و تَقديرُ زَمانٍ مَحدودٍ، فهوَ مُتَناهٍ‌، و لَه</w:t>
      </w:r>
      <w:r>
        <w:rPr>
          <w:rStyle w:val="FootnoteAnchor"/>
          <w:rtl w:val="true"/>
        </w:rPr>
        <w:footnoteReference w:id="2247"/>
      </w:r>
      <w:r>
        <w:rPr>
          <w:rFonts w:ascii="Amiri" w:hAnsi="Amiri" w:eastAsia="Amiri" w:cs="Amiri"/>
          <w:color w:val="111111"/>
          <w:sz w:val="28"/>
          <w:sz w:val="28"/>
          <w:szCs w:val="28"/>
          <w:rtl w:val="true"/>
          <w:lang w:bidi="ar-SA"/>
        </w:rPr>
        <w:t>أوَّلٌ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آخِرَه حُدوثُ الصَّنعَةِ‌</w:t>
      </w:r>
      <w:r>
        <w:rPr>
          <w:rStyle w:val="FootnoteAnchor"/>
          <w:rtl w:val="true"/>
        </w:rPr>
        <w:footnoteReference w:id="2248"/>
      </w:r>
      <w:r>
        <w:rPr>
          <w:rFonts w:ascii="Amiri" w:hAnsi="Amiri" w:eastAsia="Amiri" w:cs="Amiri"/>
          <w:color w:val="111111"/>
          <w:sz w:val="28"/>
          <w:sz w:val="28"/>
          <w:szCs w:val="28"/>
          <w:rtl w:val="true"/>
          <w:lang w:bidi="ar-SA"/>
        </w:rPr>
        <w:t>، فكذلكَ أوَّلُه حُدوثُ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نَعوذُ بِاللّٰهِ مِنَ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تَقَدَّمَها بِمُدَّةٍ لا تُحَدُّ، و تقديرِ أَوقاتٍ لا تَتَناهىٰ و تُحصَرُ، فلا آخِرَ لهذهِ المُدَّةِ‌، كَما لا أوَّلَ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لها آخِرٌ، فقَد بَطَلَ حُدوثُ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نَفَيتُمُ الأوقاتَ و الأزمانَ التي يَصِحُّ‌</w:t>
      </w:r>
      <w:r>
        <w:rPr>
          <w:rStyle w:val="FootnoteAnchor"/>
          <w:rtl w:val="true"/>
        </w:rPr>
        <w:footnoteReference w:id="2249"/>
      </w:r>
      <w:r>
        <w:rPr>
          <w:rFonts w:ascii="Amiri" w:hAnsi="Amiri" w:eastAsia="Amiri" w:cs="Amiri"/>
          <w:color w:val="111111"/>
          <w:sz w:val="28"/>
          <w:sz w:val="28"/>
          <w:szCs w:val="28"/>
          <w:rtl w:val="true"/>
          <w:lang w:bidi="ar-SA"/>
        </w:rPr>
        <w:t>هذا فيها، فإنَّه لا يُمكِنُكُم إنكارُ تَقديرِها، و في التَّقديرِ يَلزَمُ هذا</w:t>
      </w:r>
      <w:r>
        <w:rPr>
          <w:rStyle w:val="FootnoteAnchor"/>
          <w:rtl w:val="true"/>
        </w:rPr>
        <w:footnoteReference w:id="2250"/>
      </w:r>
      <w:r>
        <w:rPr>
          <w:rFonts w:ascii="Amiri" w:hAnsi="Amiri" w:eastAsia="Amiri" w:cs="Amiri"/>
          <w:color w:val="111111"/>
          <w:sz w:val="28"/>
          <w:sz w:val="28"/>
          <w:szCs w:val="28"/>
          <w:rtl w:val="true"/>
          <w:lang w:bidi="ar-SA"/>
        </w:rPr>
        <w:t>أيضاً</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أنَّ الصَّنعَةَ و الصانِعَ قَديمانِ لَم يَزالا</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7642600_1280447820"/>
      <w:bookmarkStart w:id="545" w:name="_Toc187"/>
      <w:bookmarkEnd w:id="544"/>
      <w:r>
        <w:rPr>
          <w:rtl w:val="true"/>
        </w:rPr>
        <w:t>الجَوابُ‌</w:t>
      </w:r>
      <w:r>
        <w:rPr>
          <w:rtl w:val="true"/>
        </w:rPr>
        <w:t>:</w:t>
      </w:r>
      <w:bookmarkEnd w:id="545"/>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الصانِعُ مِن حَيثُ كانَ صانِعاً</w:t>
      </w:r>
      <w:r>
        <w:rPr>
          <w:rStyle w:val="FootnoteAnchor"/>
          <w:rtl w:val="true"/>
        </w:rPr>
        <w:footnoteReference w:id="2253"/>
      </w:r>
      <w:r>
        <w:rPr>
          <w:rFonts w:ascii="Amiri" w:hAnsi="Amiri" w:eastAsia="Amiri" w:cs="Amiri"/>
          <w:color w:val="111111"/>
          <w:sz w:val="28"/>
          <w:sz w:val="28"/>
          <w:szCs w:val="28"/>
          <w:rtl w:val="true"/>
          <w:lang w:bidi="ar-SA"/>
        </w:rPr>
        <w:t xml:space="preserve">، فَلا بُدَّ مِن تَقَدُّمِه علىٰ صَنعَتِه، سَواءٌ كانَ‌ </w:t>
      </w:r>
    </w:p>
    <w:p>
      <w:pPr>
        <w:pStyle w:val="BookText"/>
        <w:rPr/>
      </w:pPr>
      <w:r>
        <w:rPr>
          <w:rFonts w:ascii="Amiri" w:hAnsi="Amiri" w:eastAsia="Amiri" w:cs="Amiri"/>
          <w:color w:val="111111"/>
          <w:sz w:val="28"/>
          <w:sz w:val="28"/>
          <w:szCs w:val="28"/>
          <w:rtl w:val="true"/>
          <w:lang w:bidi="ar-SA"/>
        </w:rPr>
        <w:t>قَديماً أو مُحدَثاً؛ لأِنَّ تَقَدُّمَ الفاعِلِ علىٰ فِعلِه حُكمٌ يَجِبُ لَه مِن حَيثُ كانَ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يَستَوي في هذا الحُكمِ الفاعِلُ القَديمُ و الفاعِلُ المُحدَثُ‌، غَيرَ أنَّ الصانِعَ القَديمَ يَجِبُ أن يَتَقَدَّمَ صَنعَتَه بِما إذا قَدَّرناهُ أوقاتاً و أزماناً كانَت غَيرَ مُتَناهيةٍ و لا مَحصورَةٍ‌؛ و لا يَجِبُ هذا في الصانِعِ المُحدَثِ‌؛ بَل يَتَقَدَّمُ الصانِعُ مِنَ المُحدَثينَ صَنعَتَه بالزمانِ الواحدِ، أو الأزمانِ‌</w:t>
      </w:r>
      <w:r>
        <w:rPr>
          <w:rStyle w:val="FootnoteAnchor"/>
          <w:rtl w:val="true"/>
        </w:rPr>
        <w:footnoteReference w:id="2254"/>
      </w:r>
      <w:r>
        <w:rPr>
          <w:rFonts w:ascii="Amiri" w:hAnsi="Amiri" w:eastAsia="Amiri" w:cs="Amiri"/>
          <w:color w:val="111111"/>
          <w:sz w:val="28"/>
          <w:sz w:val="28"/>
          <w:szCs w:val="28"/>
          <w:rtl w:val="true"/>
          <w:lang w:bidi="ar-SA"/>
        </w:rPr>
        <w:t>المُتَناهِيَةِ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أنَّ الصانِعَ لا بُدَّ مِن أن يَتَقَّدمَ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يَستَوي في هذا الحُكمِ القَديمُ و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يَتَقَدَّمْ علَيها، لَم تَكُن فِعلاً لَه و حادثةً بِه؛ لأنَّ مِن شَأنِ الفاعِلِ أن يَكونَ قادراً، و القادرُ لا يَقدِرُ علَى المَوجودِ؛ لأنَّ وُجودَه يُغني عَن تَعلُّقِ القُدرةِ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استِحالَةِ مُصاحَبَةِ الفاعلِ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تَقَدُّمُ الفعلِ علىٰ فاعلِه فأظهَرُ فَساداً؛ لأنَّ المُؤثِّرَ في وُجودِ الفعلِ و حُدوثِه كَونُ فاعِلِه قادراً، فكيفَ يَتَقَدَّمُ المُؤثَّرُ فيه علَى المُؤثِّرِ؟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تَقَدُّمُ الصانِعِ القَديمِ تَعالىٰ علىٰ صَنعَتِه، فيَجِبُ أن يَكونَ غَيرَ مَحصورِ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وَجَبَ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يَجِبْ في الصانعِ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قَديماً؛ لأنَّه</w:t>
      </w:r>
      <w:r>
        <w:rPr>
          <w:rStyle w:val="FootnoteAnchor"/>
          <w:rtl w:val="true"/>
        </w:rPr>
        <w:footnoteReference w:id="2255"/>
      </w:r>
      <w:r>
        <w:rPr>
          <w:rFonts w:ascii="Amiri" w:hAnsi="Amiri" w:eastAsia="Amiri" w:cs="Amiri"/>
          <w:color w:val="111111"/>
          <w:sz w:val="28"/>
          <w:sz w:val="28"/>
          <w:szCs w:val="28"/>
          <w:rtl w:val="true"/>
          <w:lang w:bidi="ar-SA"/>
        </w:rPr>
        <w:t>لَو كانَ بَينَ القَديمِ و المُحدَثِ أوقاتٌ مُتناهِيَةٌ‌، لَخَرَجَ مِن أن يَكونَ قَديماً، و دَخَلَ في أن يَكونَ مُحدَثاً؛ لأِنَّ مِن شَأنِ القَديمِ أن</w:t>
      </w:r>
      <w:r>
        <w:rPr>
          <w:rStyle w:val="FootnoteAnchor"/>
          <w:rtl w:val="true"/>
        </w:rPr>
        <w:footnoteReference w:id="2256"/>
      </w:r>
      <w:r>
        <w:rPr>
          <w:rFonts w:ascii="Amiri" w:hAnsi="Amiri" w:eastAsia="Amiri" w:cs="Amiri"/>
          <w:color w:val="111111"/>
          <w:sz w:val="28"/>
          <w:sz w:val="28"/>
          <w:szCs w:val="28"/>
          <w:rtl w:val="true"/>
          <w:lang w:bidi="ar-SA"/>
        </w:rPr>
        <w:t>لا يَكونَ لِوُجودِه أوّلٌ و لا ابتِداءٌ‌</w:t>
      </w:r>
      <w:r>
        <w:rPr>
          <w:rStyle w:val="FootnoteAnchor"/>
          <w:rtl w:val="true"/>
        </w:rPr>
        <w:footnoteReference w:id="2257"/>
      </w:r>
      <w:r>
        <w:rPr>
          <w:rFonts w:ascii="Amiri" w:hAnsi="Amiri" w:eastAsia="Amiri" w:cs="Amiri"/>
          <w:color w:val="111111"/>
          <w:sz w:val="28"/>
          <w:sz w:val="28"/>
          <w:szCs w:val="28"/>
          <w:rtl w:val="true"/>
          <w:lang w:bidi="ar-SA"/>
        </w:rPr>
        <w:t xml:space="preserve">، و تَناهي 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258"/>
      </w:r>
      <w:r>
        <w:rPr>
          <w:rFonts w:ascii="Amiri" w:hAnsi="Amiri" w:eastAsia="Amiri" w:cs="Amiri"/>
          <w:color w:val="111111"/>
          <w:sz w:val="28"/>
          <w:sz w:val="28"/>
          <w:szCs w:val="28"/>
          <w:rtl w:val="true"/>
          <w:lang w:bidi="ar-SA"/>
        </w:rPr>
        <w:t>الأَوقاتِ و بَينَ المُحدَثِ يَقتَضي أن يَكونَ لِوُجودِه</w:t>
      </w:r>
      <w:r>
        <w:rPr>
          <w:rStyle w:val="FootnoteAnchor"/>
          <w:rtl w:val="true"/>
        </w:rPr>
        <w:footnoteReference w:id="2259"/>
      </w:r>
      <w:r>
        <w:rPr>
          <w:rFonts w:ascii="Amiri" w:hAnsi="Amiri" w:eastAsia="Amiri" w:cs="Amiri"/>
          <w:color w:val="111111"/>
          <w:sz w:val="28"/>
          <w:sz w:val="28"/>
          <w:szCs w:val="28"/>
          <w:rtl w:val="true"/>
          <w:lang w:bidi="ar-SA"/>
        </w:rPr>
        <w:t>أوّلٌ و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ما تَضَمَّنَه السؤالُ‌، مِنَ التقسيمِ‌، و التعويلِ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إفسادِ تَقَدُّمِ الصَّنعَةِ علَى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الاتّفاقِ علىٰ‌</w:t>
      </w:r>
      <w:r>
        <w:rPr>
          <w:rStyle w:val="FootnoteAnchor"/>
          <w:rtl w:val="true"/>
        </w:rPr>
        <w:footnoteReference w:id="2260"/>
      </w:r>
      <w:r>
        <w:rPr>
          <w:rFonts w:ascii="Amiri" w:hAnsi="Amiri" w:eastAsia="Amiri" w:cs="Amiri"/>
          <w:color w:val="111111"/>
          <w:sz w:val="28"/>
          <w:sz w:val="28"/>
          <w:szCs w:val="28"/>
          <w:rtl w:val="true"/>
          <w:lang w:bidi="ar-SA"/>
        </w:rPr>
        <w:t>ذلكَ‌، فغَيرُ صَحيحٍ‌؛ لأنَّ مِثلَ هذا لا يُعَوَّلُ فيه علَى الاتِّفاقِ‌، بَل لا بُدَّ مِن</w:t>
      </w:r>
      <w:r>
        <w:rPr>
          <w:rStyle w:val="FootnoteAnchor"/>
          <w:rtl w:val="true"/>
        </w:rPr>
        <w:footnoteReference w:id="2261"/>
      </w:r>
      <w:r>
        <w:rPr>
          <w:rFonts w:ascii="Amiri" w:hAnsi="Amiri" w:eastAsia="Amiri" w:cs="Amiri"/>
          <w:color w:val="111111"/>
          <w:sz w:val="28"/>
          <w:sz w:val="28"/>
          <w:szCs w:val="28"/>
          <w:rtl w:val="true"/>
          <w:lang w:bidi="ar-SA"/>
        </w:rPr>
        <w:t>أن يُعَيَّنَ طَريقُ العِلمِ‌</w:t>
      </w:r>
      <w:r>
        <w:rPr>
          <w:rStyle w:val="FootnoteAnchor"/>
          <w:rtl w:val="true"/>
        </w:rPr>
        <w:footnoteReference w:id="2262"/>
      </w:r>
      <w:r>
        <w:rPr>
          <w:rFonts w:ascii="Amiri" w:hAnsi="Amiri" w:eastAsia="Amiri" w:cs="Amiri"/>
          <w:color w:val="111111"/>
          <w:sz w:val="28"/>
          <w:sz w:val="28"/>
          <w:szCs w:val="28"/>
          <w:rtl w:val="true"/>
          <w:lang w:bidi="ar-SA"/>
        </w:rPr>
        <w:t>إمّا مِن ضَرورَةٍ‌، أو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ما يَدُلُّ علىٰ أنَّ الصَّنعَةَ لا تَتَقَدَّمُ الصانعَ‌</w:t>
      </w:r>
      <w:r>
        <w:rPr>
          <w:rFonts w:eastAsia="Amiri" w:cs="Amiri" w:ascii="Amiri" w:hAnsi="Amiri"/>
          <w:color w:val="111111"/>
          <w:sz w:val="28"/>
          <w:szCs w:val="28"/>
          <w:rtl w:val="true"/>
          <w:lang w:bidi="ar-SA"/>
        </w:rPr>
        <w:t>.</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فأمّا ما مَضىٰ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إلزامِ نَفيِ التَّناهي و الآخِرِ عَنِ المُدَّةِ التي تَكونُ بَينَ الصانِعِ و الصَّنعَةِ‌، كَما نُفِيَ عَنها الِابتداءُ و التَّناهي مِن قِبَلِ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و لا لازمٍ‌؛ لأنّا قَد بَيَّنَّا أنّا مَتىٰ جَعَلنا بَينَ الصانعِ القَديمِ و صَنعَتِه مُدَّةً مُتَناهيَةَ الابتداءِ مَحصورَةً‌، لَحِقَ القدَيمُ بالمُحدَثِ‌، و خَرَجَ مِن أن يَكونَ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جَعَلناها</w:t>
      </w:r>
      <w:r>
        <w:rPr>
          <w:rStyle w:val="FootnoteAnchor"/>
          <w:rtl w:val="true"/>
        </w:rPr>
        <w:footnoteReference w:id="2264"/>
      </w:r>
      <w:r>
        <w:rPr>
          <w:rFonts w:ascii="Amiri" w:hAnsi="Amiri" w:eastAsia="Amiri" w:cs="Amiri"/>
          <w:color w:val="111111"/>
          <w:sz w:val="28"/>
          <w:sz w:val="28"/>
          <w:szCs w:val="28"/>
          <w:rtl w:val="true"/>
          <w:lang w:bidi="ar-SA"/>
        </w:rPr>
        <w:t>مَحصورَةَ الانتهاءِ‌، لَم يَجِبْ ذلكَ فيها</w:t>
      </w:r>
      <w:r>
        <w:rPr>
          <w:rStyle w:val="FootnoteAnchor"/>
          <w:rtl w:val="true"/>
        </w:rPr>
        <w:footnoteReference w:id="2265"/>
      </w:r>
      <w:r>
        <w:rPr>
          <w:rFonts w:ascii="Amiri" w:hAnsi="Amiri" w:eastAsia="Amiri" w:cs="Amiri"/>
          <w:color w:val="111111"/>
          <w:sz w:val="28"/>
          <w:sz w:val="28"/>
          <w:szCs w:val="28"/>
          <w:rtl w:val="true"/>
          <w:lang w:bidi="ar-SA"/>
        </w:rPr>
        <w:t>، و لا أدّىٰ إلىٰ ما قَد عَلِمنا فَسادَهُ مِن كَونِ القَديمِ مُحدَثاً، و لا إلىٰ غَيرِه مِن ضُروبِ الفَسادِ؛ فَلَم يَلْزَمْ نَفيُ الآخِرِ عنِ المُدَّةِ‌، قياساً علىٰ نَفيِ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شُيوخُ أهلِ العَدلِ في كُتُبِهم الفَرقَ بَينَ هذَينِ الأمرَينِ‌</w:t>
      </w:r>
      <w:r>
        <w:rPr>
          <w:rStyle w:val="FootnoteAnchor"/>
          <w:rtl w:val="true"/>
        </w:rPr>
        <w:footnoteReference w:id="2266"/>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w:t>
      </w:r>
      <w:r>
        <w:rPr>
          <w:rStyle w:val="FootnoteAnchor"/>
          <w:rtl w:val="true"/>
        </w:rPr>
        <w:footnoteReference w:id="226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المُستَحيلِ إثباتُ فاعلٍ لَم يَزَلْ فاعلاً، و ليسَ بمُنكَرٍ و لا مُستَحيلٍ إثباتُ فاعلٍ‌ </w:t>
      </w:r>
    </w:p>
    <w:p>
      <w:pPr>
        <w:pStyle w:val="BookText"/>
        <w:rPr/>
      </w:pPr>
      <w:r>
        <w:rPr>
          <w:rFonts w:ascii="Amiri" w:hAnsi="Amiri" w:eastAsia="Amiri" w:cs="Amiri"/>
          <w:color w:val="111111"/>
          <w:sz w:val="28"/>
          <w:sz w:val="28"/>
          <w:szCs w:val="28"/>
          <w:rtl w:val="true"/>
          <w:lang w:bidi="ar-SA"/>
        </w:rPr>
        <w:t>لا يَزالُ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التَّناهي و الابتداءِ عنِ الأفعالِ مِن قِبَلِ أوَّلِها يُخرِجُها مِن أن تَكونَ أفعالاً، و لَيسَ نَفيُ التَّناهي عَنها مِن قِبَلِ آخِرِها يُخرِجُها مِن أن تَكونَ أفعالاً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أهلِ الجَنّةِ و عِقابَ أهلِ النارِ دائمانِ‌، لَاانقطاعَ لَهُما</w:t>
      </w:r>
      <w:r>
        <w:rPr>
          <w:rStyle w:val="FootnoteAnchor"/>
          <w:rtl w:val="true"/>
        </w:rPr>
        <w:footnoteReference w:id="2268"/>
      </w:r>
      <w:r>
        <w:rPr>
          <w:rFonts w:ascii="Amiri" w:hAnsi="Amiri" w:eastAsia="Amiri" w:cs="Amiri"/>
          <w:color w:val="111111"/>
          <w:sz w:val="28"/>
          <w:sz w:val="28"/>
          <w:szCs w:val="28"/>
          <w:rtl w:val="true"/>
          <w:lang w:bidi="ar-SA"/>
        </w:rPr>
        <w:t>و لا آخِرَ،</w:t>
      </w:r>
      <w:r>
        <w:rPr>
          <w:rStyle w:val="FootnoteAnchor"/>
          <w:rtl w:val="true"/>
        </w:rPr>
        <w:footnoteReference w:id="2269"/>
      </w:r>
      <w:r>
        <w:rPr>
          <w:rFonts w:ascii="Amiri" w:hAnsi="Amiri" w:eastAsia="Amiri" w:cs="Amiri"/>
          <w:color w:val="111111"/>
          <w:sz w:val="28"/>
          <w:sz w:val="28"/>
          <w:szCs w:val="28"/>
          <w:rtl w:val="true"/>
          <w:lang w:bidi="ar-SA"/>
        </w:rPr>
        <w:t>و لَم يُؤَدِّ</w:t>
      </w:r>
      <w:r>
        <w:rPr>
          <w:rStyle w:val="FootnoteAnchor"/>
          <w:rtl w:val="true"/>
        </w:rPr>
        <w:footnoteReference w:id="2270"/>
      </w:r>
      <w:r>
        <w:rPr>
          <w:rFonts w:ascii="Amiri" w:hAnsi="Amiri" w:eastAsia="Amiri" w:cs="Amiri"/>
          <w:color w:val="111111"/>
          <w:sz w:val="28"/>
          <w:sz w:val="28"/>
          <w:szCs w:val="28"/>
          <w:rtl w:val="true"/>
          <w:lang w:bidi="ar-SA"/>
        </w:rPr>
        <w:t>ذلكَ إلَى المُحالِ و الفَسادِ؛ إلىٰ‌</w:t>
      </w:r>
      <w:r>
        <w:rPr>
          <w:rStyle w:val="FootnoteAnchor"/>
          <w:rtl w:val="true"/>
        </w:rPr>
        <w:footnoteReference w:id="2271"/>
      </w:r>
      <w:r>
        <w:rPr>
          <w:rFonts w:ascii="Amiri" w:hAnsi="Amiri" w:eastAsia="Amiri" w:cs="Amiri"/>
          <w:color w:val="111111"/>
          <w:sz w:val="28"/>
          <w:sz w:val="28"/>
          <w:szCs w:val="28"/>
          <w:rtl w:val="true"/>
          <w:lang w:bidi="ar-SA"/>
        </w:rPr>
        <w:t>ما أدّىٰ إليهِ نَفيُ التَّناهي عنِ الأفعالِ مِن قِبَلِ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بمُنكَرٍ أن يَدخُلَ داخِلٌ داراً بَعدَ دارٍ أبداً بغَيرِ انقطاعٍ‌، و مِنَ المُستَحيلِ المُنكَرِ أن يَدخُلَ داراً قَبلَ دارٍ أبداً بِلا أوّلٍ‌</w:t>
      </w:r>
      <w:r>
        <w:rPr>
          <w:rFonts w:eastAsia="Amiri" w:cs="Amiri" w:ascii="Amiri" w:hAnsi="Amiri"/>
          <w:color w:val="111111"/>
          <w:sz w:val="28"/>
          <w:szCs w:val="28"/>
          <w:rtl w:val="true"/>
          <w:lang w:bidi="ar-SA"/>
        </w:rPr>
        <w:t>.</w:t>
      </w:r>
      <w:r>
        <w:rPr>
          <w:rStyle w:val="FootnoteAnchor"/>
          <w:rtl w:val="true"/>
        </w:rPr>
        <w:footnoteReference w:id="227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استَقصَينا نَحنُ هذا الكلامَ في مَواضِعَ كَثيرةٍ مِن كُتُبِنا، و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w:t>
      </w:r>
      <w:r>
        <w:rPr>
          <w:rStyle w:val="FootnoteAnchor"/>
          <w:rtl w:val="true"/>
        </w:rPr>
        <w:footnoteReference w:id="2273"/>
      </w:r>
      <w:r>
        <w:rPr>
          <w:rFonts w:ascii="Amiri" w:hAnsi="Amiri" w:eastAsia="Amiri" w:cs="Amiri"/>
          <w:color w:val="111111"/>
          <w:sz w:val="28"/>
          <w:sz w:val="28"/>
          <w:szCs w:val="28"/>
          <w:rtl w:val="true"/>
          <w:lang w:bidi="ar-SA"/>
        </w:rPr>
        <w:t>و غَيرِه مِن أجوِبَةِ المَسائلِ‌،</w:t>
      </w:r>
      <w:r>
        <w:rPr>
          <w:rStyle w:val="FootnoteAnchor"/>
          <w:rtl w:val="true"/>
        </w:rPr>
        <w:footnoteReference w:id="2274"/>
      </w:r>
      <w:r>
        <w:rPr>
          <w:rFonts w:ascii="Amiri" w:hAnsi="Amiri" w:eastAsia="Amiri" w:cs="Amiri"/>
          <w:color w:val="111111"/>
          <w:sz w:val="28"/>
          <w:sz w:val="28"/>
          <w:szCs w:val="28"/>
          <w:rtl w:val="true"/>
          <w:lang w:bidi="ar-SA"/>
        </w:rPr>
        <w:t>و النُّقوضِ علَى المُخالِفينَ‌</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ما تَضَمَّنَهُ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يَدُلُّ علىٰ أنَّ الصَّنعَةَ و الصانعَ قَديمانِ لَم يَزالا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فمُناقَضةٌ ظاهرَةٌ‌؛ لأنَّ الوَصفَ للصَّنعَةِ بالقِدَمِ يَنقُضُ كَونَها صَنعَةً‌</w:t>
      </w:r>
      <w:r>
        <w:rPr>
          <w:rStyle w:val="FootnoteAnchor"/>
          <w:rtl w:val="true"/>
        </w:rPr>
        <w:footnoteReference w:id="2276"/>
      </w:r>
      <w:r>
        <w:rPr>
          <w:rFonts w:ascii="Amiri" w:hAnsi="Amiri" w:eastAsia="Amiri" w:cs="Amiri"/>
          <w:color w:val="111111"/>
          <w:sz w:val="28"/>
          <w:sz w:val="28"/>
          <w:szCs w:val="28"/>
          <w:rtl w:val="true"/>
          <w:lang w:bidi="ar-SA"/>
        </w:rPr>
        <w:t>، كَما أنَّ وَصفَ القَديمِ بأنَّه مَصنوعٌ يَنقُضُ كَونَه قَديماً؛ و هَل هذا إلّاتَصريحٌ بأنَّ المُحدَثَ قَديمٌ‌، و القَديمَ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بفَسادِ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الكَراجكيُّ‌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الجَوابِ الوارِدِ إلَيَّ مِن حَضرَةِ الشَّريفِ‌</w:t>
      </w:r>
      <w:r>
        <w:rPr>
          <w:rStyle w:val="FootnoteAnchor"/>
          <w:rtl w:val="true"/>
        </w:rPr>
        <w:footnoteReference w:id="2277"/>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الشُّبهةِ‌</w:t>
      </w:r>
      <w:r>
        <w:rPr>
          <w:rFonts w:eastAsia="Amiri" w:cs="Amiri" w:ascii="Amiri" w:hAnsi="Amiri"/>
          <w:color w:val="111111"/>
          <w:sz w:val="28"/>
          <w:szCs w:val="28"/>
          <w:rtl w:val="true"/>
          <w:lang w:bidi="ar-SA"/>
        </w:rPr>
        <w:t>.</w:t>
      </w:r>
      <w:r>
        <w:rPr>
          <w:rStyle w:val="FootnoteAnchor"/>
          <w:rtl w:val="true"/>
        </w:rPr>
        <w:footnoteReference w:id="2278"/>
      </w:r>
      <w:bookmarkStart w:id="546" w:name="pg16415_224061"/>
    </w:p>
    <w:p>
      <w:pPr>
        <w:pStyle w:val="Heading4"/>
        <w:numPr>
          <w:ilvl w:val="3"/>
          <w:numId w:val="1"/>
        </w:numPr>
        <w:rPr/>
      </w:pPr>
      <w:bookmarkStart w:id="547" w:name="__RefHeading___Toc7642602_1280447820"/>
      <w:bookmarkStart w:id="548" w:name="_Toc188"/>
      <w:bookmarkEnd w:id="546"/>
      <w:bookmarkEnd w:id="547"/>
      <w:r>
        <w:rPr>
          <w:rtl w:val="true"/>
        </w:rPr>
        <w:t>(</w:t>
      </w:r>
      <w:r>
        <w:rPr/>
        <w:t>34</w:t>
      </w:r>
      <w:r>
        <w:rPr>
          <w:rtl w:val="true"/>
        </w:rPr>
        <w:t xml:space="preserve">) </w:t>
      </w:r>
      <w:r>
        <w:rPr>
          <w:rtl w:val="true"/>
        </w:rPr>
        <w:t>مسألة في خلق الأفعال</w:t>
      </w:r>
      <w:bookmarkEnd w:id="54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9" w:name="__RefHeading___Toc7642604_1280447820"/>
      <w:bookmarkStart w:id="550" w:name="_Toc189"/>
      <w:bookmarkEnd w:id="549"/>
      <w:r>
        <w:rPr>
          <w:rtl w:val="true"/>
        </w:rPr>
        <w:t>اشارة</w:t>
      </w:r>
      <w:bookmarkEnd w:id="55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6415_224063"/>
      <w:bookmarkStart w:id="552" w:name="pg16415_224063"/>
      <w:bookmarkEnd w:id="552"/>
    </w:p>
    <w:p>
      <w:pPr>
        <w:pStyle w:val="Heading5"/>
        <w:numPr>
          <w:ilvl w:val="4"/>
          <w:numId w:val="1"/>
        </w:numPr>
        <w:rPr/>
      </w:pPr>
      <w:bookmarkStart w:id="553" w:name="pg16415_224063"/>
      <w:bookmarkStart w:id="554" w:name="__RefHeading___Toc7642606_1280447820"/>
      <w:bookmarkStart w:id="555" w:name="_Toc190"/>
      <w:bookmarkEnd w:id="553"/>
      <w:bookmarkEnd w:id="554"/>
      <w:r>
        <w:rPr>
          <w:rtl w:val="true"/>
        </w:rPr>
        <w:t>مقدّمة التحقيق</w:t>
      </w:r>
      <w:bookmarkEnd w:id="555"/>
    </w:p>
    <w:p>
      <w:pPr>
        <w:pStyle w:val="Heading6"/>
        <w:numPr>
          <w:ilvl w:val="5"/>
          <w:numId w:val="1"/>
        </w:numPr>
        <w:rPr/>
      </w:pPr>
      <w:bookmarkStart w:id="556" w:name="__RefHeading___Toc7642608_1280447820"/>
      <w:bookmarkStart w:id="557" w:name="_Toc191"/>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يُعتبر البحث عن حقيقة أفعال الإنسان و اختياره أو جبره من أقدم المسائل التي احتدم الصراع حولها بين المتكلّمين، و دارت بينهم بحوث كثيرة؛ فقد آمن بعض المتكلّمين باختيار الإنسان و حرّيّته في أفعاله، بينما أصرّ آخرون على أنّه مجبر في أفعاله، كما هو مجبر و غير مختار بالنسبة إلى لونه و شكله و طوله و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أتباع النظريّة الأُولى بالعدليّة و أهل العدل، فيما سُمّي الآخرون بالمجبرة أو أهل التجوير؛ أي الذين يجوّزون الظلم و الجور على اللّٰه تعالى، حيث يقولون؛ إنّه تعالى يجبر العبد على المعصية و يخلقها فيه، ثمّ يعاقبه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صار بحث العدل من المسائل الأساسيّة التي انقسمت الفرق الكلاميّة على أساسه إلى عدليّة و غير 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اتّضح أنّ المراد بالعدل في هذا البحث هو اختيار الإنسان؛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بالجبر، لاستلزم أن يكون تعالى جائراً و ظالماً؛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إذا قلنا بالاختيار، صار تعالى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الرازي عند حديثه عن وصف المعتزلة أنفسهم بأنّهم أهل العدل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لقّبت المعتزلة نفسها بلقب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العدل و التوحيد، يعنون بالتوحيد أنّهم خرجوا من شرط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يعنون بالعدل أنّهم خرجوا من حدّ الإجبار</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هنا يصرّح بأنّ المقصود بالعدل هو نفي الجبر، أي القول بالاختيار</w:t>
      </w:r>
      <w:r>
        <w:rPr>
          <w:rFonts w:eastAsia="Amiri" w:cs="Amiri" w:ascii="Amiri" w:hAnsi="Amiri"/>
          <w:color w:val="111111"/>
          <w:sz w:val="28"/>
          <w:szCs w:val="28"/>
          <w:rtl w:val="true"/>
          <w:lang w:bidi="ar-SA"/>
        </w:rPr>
        <w:t xml:space="preserve">. </w:t>
      </w:r>
      <w:bookmarkStart w:id="558" w:name="pg16415_224064"/>
    </w:p>
    <w:p>
      <w:pPr>
        <w:pStyle w:val="BookText"/>
        <w:rPr/>
      </w:pPr>
      <w:bookmarkEnd w:id="558"/>
      <w:r>
        <w:rPr>
          <w:rFonts w:ascii="Amiri" w:hAnsi="Amiri" w:eastAsia="Amiri" w:cs="Amiri"/>
          <w:color w:val="111111"/>
          <w:sz w:val="28"/>
          <w:sz w:val="28"/>
          <w:szCs w:val="28"/>
          <w:rtl w:val="true"/>
          <w:lang w:bidi="ar-SA"/>
        </w:rPr>
        <w:t>و قد قام الشريف المرتضى في هذه الرسالة بالتعرّض إلى بحث العدل بصورة مستوفاة، حيث استعرض الأدلّة العقليّة و النقليّة الدالّة على العدل، و ناقش الإشكالات التي قد ترد عليه؛ و بذلك تكون هذه الرسالة مثالاً لبحث كامل و مختصر حول العدل، يقوم ببيان نظريّة العدليّة و ينتصر لها، و هي نافعة جدّاً لمن يريد أن يطّلع على بحث العدل و اختيار الإنسان بصورة سريعة و كاملة، من دون تطويل مُمِلّ‌، و لا اختصار مُخِلّ‌</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7642610_1280447820"/>
      <w:bookmarkStart w:id="560" w:name="_Toc192"/>
      <w:bookmarkEnd w:id="559"/>
      <w:r>
        <w:rPr>
          <w:rtl w:val="true"/>
        </w:rPr>
        <w:t>محتوى الرسالة</w:t>
      </w:r>
      <w:bookmarkEnd w:id="560"/>
    </w:p>
    <w:p>
      <w:pPr>
        <w:pStyle w:val="BookText"/>
        <w:rPr/>
      </w:pPr>
      <w:r>
        <w:rPr>
          <w:rFonts w:ascii="Amiri" w:hAnsi="Amiri" w:eastAsia="Amiri" w:cs="Amiri"/>
          <w:color w:val="111111"/>
          <w:sz w:val="28"/>
          <w:sz w:val="28"/>
          <w:szCs w:val="28"/>
          <w:rtl w:val="true"/>
          <w:lang w:bidi="ar-SA"/>
        </w:rPr>
        <w:t>و في بداية الرسالة، قسّم الشريف المرتضى أفعال الإنسان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أنّه من فعل اللّٰه تعالى، مثل ألواننا، و أشكالنا، و طولنا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قيامنا، و قعودنا، و حركتنا، و سكوننا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الأقوال حول القسم الأخير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التصرّفات هي من فعل الإنسان لا فعل اللّٰه تعالى، على الرغم من أنّه تعالى هو الذي أعطى الإنسان القدرة لكي يقوم بهذه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من فعل اللّٰه تعالى، حاله حال ألواننا و أشكالنا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الشريف المرتضى على القول الأوّل بثلاثة أدلّة عقليّة،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الأفعال تابعة لدواعي الإنسان و صوارفه، فمتى ما أراد وقعت، و متى ما لم يُرد لم تقع، و هذا يدلّ على أنّها تابعة له، و أنّه مختار فيها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الدليل قد استعمله المرتضى في موضع آخر من علم الكلام، فقد استدلّ به على اكتسابيّة المعرفة، فإنّ المعرفة باللّٰه تعالى تابعة لدواعي الإنسان و صوارفه </w:t>
      </w:r>
    </w:p>
    <w:p>
      <w:pPr>
        <w:pStyle w:val="BookText"/>
        <w:rPr/>
      </w:pPr>
      <w:r>
        <w:rPr>
          <w:rFonts w:ascii="Amiri" w:hAnsi="Amiri" w:eastAsia="Amiri" w:cs="Amiri"/>
          <w:color w:val="111111"/>
          <w:sz w:val="28"/>
          <w:sz w:val="28"/>
          <w:szCs w:val="28"/>
          <w:rtl w:val="true"/>
          <w:lang w:bidi="ar-SA"/>
        </w:rPr>
        <w:t>في تحققها و عدمه، و هذا يعني أنّها فعله، و أنّه هو المُكتسِب لها</w:t>
      </w:r>
      <w:r>
        <w:rPr>
          <w:rStyle w:val="FootnoteAnchor"/>
          <w:rtl w:val="true"/>
        </w:rPr>
        <w:footnoteReference w:id="2280"/>
      </w:r>
      <w:r>
        <w:rPr>
          <w:rFonts w:ascii="Amiri" w:hAnsi="Amiri" w:eastAsia="Amiri" w:cs="Amiri"/>
          <w:color w:val="111111"/>
          <w:sz w:val="28"/>
          <w:sz w:val="28"/>
          <w:szCs w:val="28"/>
          <w:rtl w:val="true"/>
          <w:lang w:bidi="ar-SA"/>
        </w:rPr>
        <w:t>، كما استدلّ بنفس الدليل لإثبات مسؤوليّة الإنسان عن أفعاله المتولّدة</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أمر العباد بأفعال، و نهاهم عن أُخرى، و لولا أنّها من فعلهم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موجود في تراث أهل البيت عليهم السلامُ‌، حيث روي عن الإمام الكاظم عليه السلامُ أنّه قال في حديث له مع أبي حنيفة النعمان حول فاعل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المعصية لا بدّ أن تكون من العبد، أو من ربّه، أو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اللّٰه، فهو أعدل و أنصف من أن يظلم عبده، و يأخذه بما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منهما، فهو شريكه، و القويُّ أولى بإنصاف عبده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العبد وحده، فعليه وقع الأمر، و إليه توجه النهي</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يُحمَدون على أفعال و يُذمّون على أُخرى، أي أنّهم هم الذين يتحمّلون مسؤوليّة أفعالهم، و هذا يدلّ على اختيارهم فيها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الدليل موجود أيضاً في تراث أهل البيت عليهم السلامُ‌، حيث روي عن أمير المؤمنين عليه السلامُ أنّه قال في حديث له حول الاختيار مع شيخ كبير بعد مُنصَرَفه من صفّين، حيث قال 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لم نكن في شيء من حالاتنا مُكرَهين، و لا إليه مضطرّين، و كان بالقضاء و القدر مسيرنا و منقلبنا و منصرفنا؟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تظنّ أنّه كان قضاءً حتماً و قدراً لازماً؟ إنّه لو كان كذلك لبطل الثواب و العقاب، و الأمر و النهي، و الزجر من اللّٰه، و سقط معنى الوعد و الوعيد، فلم تكن لائمة </w:t>
      </w:r>
    </w:p>
    <w:p>
      <w:pPr>
        <w:pStyle w:val="BookText"/>
        <w:rPr/>
      </w:pPr>
      <w:r>
        <w:rPr>
          <w:rFonts w:ascii="Amiri" w:hAnsi="Amiri" w:eastAsia="Amiri" w:cs="Amiri"/>
          <w:color w:val="111111"/>
          <w:sz w:val="28"/>
          <w:sz w:val="28"/>
          <w:szCs w:val="28"/>
          <w:rtl w:val="true"/>
          <w:lang w:bidi="ar-SA"/>
        </w:rPr>
        <w:t>للمذنب، و لا مَحْمَدة للمحسن</w:t>
      </w:r>
      <w:r>
        <w:rPr>
          <w:rFonts w:eastAsia="Amiri" w:cs="Amiri" w:ascii="Amiri" w:hAnsi="Amiri"/>
          <w:color w:val="111111"/>
          <w:sz w:val="28"/>
          <w:szCs w:val="28"/>
          <w:rtl w:val="true"/>
          <w:lang w:bidi="ar-SA"/>
        </w:rPr>
        <w:t>...»</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لقد أشار الإمام عليه السلامُ في كلامه هذا إلى الدليلين الآخرين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دليل الحمد و الذمّ قد استعمله الشريف المرتضى أيضاً لإثبات اكتسابيّة المعرفة</w:t>
      </w:r>
      <w:r>
        <w:rPr>
          <w:rStyle w:val="FootnoteAnchor"/>
          <w:rtl w:val="true"/>
        </w:rPr>
        <w:footnoteReference w:id="2284"/>
      </w:r>
      <w:r>
        <w:rPr>
          <w:rFonts w:ascii="Amiri" w:hAnsi="Amiri" w:eastAsia="Amiri" w:cs="Amiri"/>
          <w:color w:val="111111"/>
          <w:sz w:val="28"/>
          <w:sz w:val="28"/>
          <w:szCs w:val="28"/>
          <w:rtl w:val="true"/>
          <w:lang w:bidi="ar-SA"/>
        </w:rPr>
        <w:t>، و مسؤوليّة الإنسان بالنسبة للأفعال المتولّدة</w:t>
      </w:r>
      <w:r>
        <w:rPr>
          <w:rStyle w:val="FootnoteAnchor"/>
          <w:rtl w:val="true"/>
        </w:rPr>
        <w:footnoteReference w:id="2285"/>
      </w:r>
      <w:r>
        <w:rPr>
          <w:rFonts w:ascii="Amiri" w:hAnsi="Amiri" w:eastAsia="Amiri" w:cs="Amiri"/>
          <w:color w:val="111111"/>
          <w:sz w:val="28"/>
          <w:sz w:val="28"/>
          <w:szCs w:val="28"/>
          <w:rtl w:val="true"/>
          <w:lang w:bidi="ar-SA"/>
        </w:rPr>
        <w:t>، كما تقدم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استدلّ الشريف المرتضى على بطلان الجبر بأربعة أدلّة،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أفعال الإنسان كفراً و ظلماً، فلو كان الفاعل لها هو اللّٰه تعالى، لصحّ أن يوصف بأنّه كافر و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اللغة العربيّة تقتضي أن يوصف فاعل الفعل به و يُشتقّ منه اسم فاعل، فيوصف فاعل العدل و الإحسان بأنّه عادل و محسن، و إذا كان كذلك صحّ وصف فاعل الكفر و الظلم بأنّه كافر و ظالم، ولكنّ إجماع المسلمين يمنع من إطلاق هذه الأوصاف عليه تعالى، فلا يكون تعالى فاعلاً للكفر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أنّ اللّٰه تعالى يثيب المؤمن و يعاقب الكافر، فإذا لم يكن الإيمان و الكفر من فعلهما لقبح إثابة و عقاب شخص على فعلٍ فَعَله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من اللّٰه تعالى فعل جميع القبائح و منها الكذب لِعدم قبحها عليه، لجاز أن يصدّق الكاذب، و بذلك لا تبقى ثقة بالأنبياء عليهم السلام و جميع الأديان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الجبر لما وجبت عبادة اللّٰه تعالى على الكافر؛ لأنّ العبادة نوع من الشكر، و لا يجب على الكافر شكر اللّٰه تعالى؛ لأنّه لم يُنعِم عليه؛ فإنّه تعالى قد خلق فيه الكفر الذي يستحقّ به الخلود في النار، و هو بذلك يستحقّ أن يسمّى مُسيئاً لا مُنعماً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خلق الحياة و الشهوات التي تحقّق له بعض الملذّات و المنافع العاجلة، فهذه لا تعدّ نعمة؛ لأنّها إن كانت للاستدراج إلى الكفر، لم تكن نفعاً و لا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أنّها تعدّ نفعاً فهي لا تساوي الضرر الذي سوف يلحقه بسبب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الشريف المرتضى بأدلّة قرآنيّة على الاختيار و بطلان الجبر، حيث دلّت آيات عديدة على أنّ العباد هم الذين يفعلون أفعالهم،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2286"/>
      </w:r>
      <w:r>
        <w:rPr>
          <w:rFonts w:ascii="Amiri" w:hAnsi="Amiri" w:eastAsia="Amiri" w:cs="Amiri"/>
          <w:color w:val="111111"/>
          <w:sz w:val="28"/>
          <w:sz w:val="28"/>
          <w:szCs w:val="28"/>
          <w:rtl w:val="true"/>
          <w:lang w:bidi="ar-SA"/>
        </w:rPr>
        <w:t>، فهو صريح في نسبة الأفعال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صريح أيضاً في أنّ السيّئة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ما قد يقال من أنّ الطاعات نوع من الحسنات و هي عند القائل بالاختيار تكون من فعل العبد، بينما قد نسبت في الآية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هذا الكلام؛ لأنّه على الرغم من أنّ الطاعة من العبد ولكن يمكن نسبتها إلى اللّٰه تعالى؛ لأنّه تعالى قد مكّن العبد من هذه الأفعال، بينما لا تنسب السيّئة إليه؛ لأنّه قد نهى و زجر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لَفَرِيقاً يَلْوُونَ أَلْسِنَتَهُمْ بِالْكِتٰابِ لِتَحْسَبُوهُ مِنَ اَلْكِتٰابِ وَ مٰا هُوَ مِنَ اَلْكِتٰابِ وَ يَقُولُونَ هُوَ مِنْ عِنْدِ اَللّٰهِ وَ مٰا هُوَ مِنْ عِنْدِ اَللّٰهِ‌</w:t>
      </w:r>
      <w:r>
        <w:rPr>
          <w:rFonts w:eastAsia="Amiri" w:cs="Amiri" w:ascii="Amiri" w:hAnsi="Amiri"/>
          <w:color w:val="111111"/>
          <w:sz w:val="28"/>
          <w:szCs w:val="28"/>
          <w:rtl w:val="true"/>
          <w:lang w:bidi="ar-SA"/>
        </w:rPr>
        <w:t xml:space="preserve">) </w:t>
      </w:r>
      <w:r>
        <w:rPr>
          <w:rStyle w:val="FootnoteAnchor"/>
          <w:rtl w:val="true"/>
        </w:rPr>
        <w:footnoteReference w:id="2289"/>
      </w:r>
      <w:r>
        <w:rPr>
          <w:rFonts w:ascii="Amiri" w:hAnsi="Amiri" w:eastAsia="Amiri" w:cs="Amiri"/>
          <w:color w:val="111111"/>
          <w:sz w:val="28"/>
          <w:sz w:val="28"/>
          <w:szCs w:val="28"/>
          <w:rtl w:val="true"/>
          <w:lang w:bidi="ar-SA"/>
        </w:rPr>
        <w:t>، فلو كان ما يلوون به ألسنتهم من خلقه تعالى لما نفاه عن نفسه، و لكان من عنده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هذه الآية دلالة على الاختيار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العبادة للعباد تدلّ على أنّها من فعلهم، بينما لو كان اللّٰه تعالى قد خلقها فيهم و لم تكن من فعلهم، لنسبها إلى نفسه تعالى، لا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الغرض، و هذا يعني أنّ غرضه و هدفه تعالى من خلق العباد أن يعبدوه، فلو كانوا غير مختارين لأفعالهم لما صحّ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 تكون هذه اللام للعاقبة؛ لأنّها سوف تعني أنّ العبادة ستقع من جميع الجنّ و الإنس، و من الواضح عدم حصول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طرح إشكالاً على القول بالاختيار و على أنّ أفعال العباد من فعلهم لا من فعل اللّٰه تعالى، و هو أنّ هذا مخالف لما أجمع عليه المسلمون من أنّ كلّ ما يقع في هذا الكون إنما يقع بقضاء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الشريف المرتضى بطرح ثلاثة معاني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الإعلام و العلم، و الآخر الأمر، و الثالث الحكم 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 المعنى الأوّل لا يخرج شيء من قضاء اللّٰه تعالى حتّى أفعال العباد؛ لعلمه تعالى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وفق المعنيين الآخرين فسوف تخرج المعاصي و القبائح من قضائه تعالى؛ لأنّه ما أمر بها و 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طرح إشكالاً أخيراً، و هو أنّنا نصف العبد بأنّه فاعل، كما نصف اللّٰه تعالى بأنّه فاعل، و هذا يقتضي الشركة و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بوجود فرق بين فاعليّة العبد و فاعليّة اللّٰه تعالى، فالعبد فاعل و قادر بإقدار اللّٰه تعالى، بينما اللّٰه تعالى قادر و فاعل بنفسه، فلا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جاءنا الشريف المرتضى في هذه الرسالة بعرض واضح و كامل لنظريّة العدليّة، حتّى صار يغني عن الكثير من البحوث</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561" w:name="pg16415_224069"/>
    </w:p>
    <w:p>
      <w:pPr>
        <w:pStyle w:val="Heading6"/>
        <w:numPr>
          <w:ilvl w:val="5"/>
          <w:numId w:val="1"/>
        </w:numPr>
        <w:rPr/>
      </w:pPr>
      <w:bookmarkStart w:id="562" w:name="__RefHeading___Toc7642612_1280447820"/>
      <w:bookmarkStart w:id="563" w:name="_Toc193"/>
      <w:bookmarkEnd w:id="561"/>
      <w:bookmarkEnd w:id="562"/>
      <w:r>
        <w:rPr>
          <w:rtl w:val="true"/>
        </w:rPr>
        <w:t>مخطوطات الرسالة</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9/374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هي ناقصة من أوّلها بمقدار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6415_224071"/>
      <w:bookmarkStart w:id="565" w:name="pg16415_224071"/>
      <w:bookmarkEnd w:id="565"/>
    </w:p>
    <w:p>
      <w:pPr>
        <w:pStyle w:val="Heading5"/>
        <w:numPr>
          <w:ilvl w:val="4"/>
          <w:numId w:val="1"/>
        </w:numPr>
        <w:rPr/>
      </w:pPr>
      <w:bookmarkStart w:id="566" w:name="pg16415_224071"/>
      <w:bookmarkStart w:id="567" w:name="__RefHeading___Toc7642614_1280447820"/>
      <w:bookmarkStart w:id="568" w:name="_Toc194"/>
      <w:bookmarkEnd w:id="566"/>
      <w:bookmarkEnd w:id="567"/>
      <w:r>
        <w:rPr>
          <w:rtl w:val="true"/>
        </w:rPr>
        <w:t>مسألةٌ في خَلقِ الأفعالِ‌</w:t>
      </w:r>
      <w:bookmarkEnd w:id="568"/>
    </w:p>
    <w:p>
      <w:pPr>
        <w:pStyle w:val="Heading6"/>
        <w:numPr>
          <w:ilvl w:val="5"/>
          <w:numId w:val="1"/>
        </w:numPr>
        <w:rPr/>
      </w:pPr>
      <w:bookmarkStart w:id="569" w:name="__RefHeading___Toc7642616_1280447820"/>
      <w:bookmarkStart w:id="570" w:name="_Toc195"/>
      <w:bookmarkEnd w:id="569"/>
      <w:r>
        <w:rPr>
          <w:rtl w:val="true"/>
        </w:rPr>
        <w:t>اشارة</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الأفعالَ التي تَظهَرُ</w:t>
      </w:r>
      <w:r>
        <w:rPr>
          <w:rStyle w:val="FootnoteAnchor"/>
          <w:rtl w:val="true"/>
        </w:rPr>
        <w:footnoteReference w:id="2290"/>
      </w:r>
      <w:r>
        <w:rPr>
          <w:rFonts w:ascii="Amiri" w:hAnsi="Amiri" w:eastAsia="Amiri" w:cs="Amiri"/>
          <w:color w:val="111111"/>
          <w:sz w:val="28"/>
          <w:sz w:val="28"/>
          <w:szCs w:val="28"/>
          <w:rtl w:val="true"/>
          <w:lang w:bidi="ar-SA"/>
        </w:rPr>
        <w:t>في أجسامِ العبادِ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أنّه فِعلُ اللّٰهِ تَعالىٰ مُنفَرِدةً‌</w:t>
      </w:r>
      <w:r>
        <w:rPr>
          <w:rStyle w:val="FootnoteAnchor"/>
          <w:rtl w:val="true"/>
        </w:rPr>
        <w:footnoteReference w:id="2291"/>
      </w:r>
      <w:r>
        <w:rPr>
          <w:rFonts w:ascii="Amiri" w:hAnsi="Amiri" w:eastAsia="Amiri" w:cs="Amiri"/>
          <w:color w:val="111111"/>
          <w:sz w:val="28"/>
          <w:sz w:val="28"/>
          <w:szCs w:val="28"/>
          <w:rtl w:val="true"/>
          <w:lang w:bidi="ar-SA"/>
        </w:rPr>
        <w:t>، لا صَنعةَ‌</w:t>
      </w:r>
      <w:r>
        <w:rPr>
          <w:rStyle w:val="FootnoteAnchor"/>
          <w:rtl w:val="true"/>
        </w:rPr>
        <w:footnoteReference w:id="2292"/>
      </w:r>
      <w:r>
        <w:rPr>
          <w:rFonts w:ascii="Amiri" w:hAnsi="Amiri" w:eastAsia="Amiri" w:cs="Amiri"/>
          <w:color w:val="111111"/>
          <w:sz w:val="28"/>
          <w:sz w:val="28"/>
          <w:szCs w:val="28"/>
          <w:rtl w:val="true"/>
          <w:lang w:bidi="ar-SA"/>
        </w:rPr>
        <w:t>للعَبدِ فيه، مِثلُ ألوانِنا و هَيئاتِنا، و طولِنا و قِصَرِنا، و سِمَنِنا و هُزالِنا، و حَرَكةِ عُروقِنا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قيامِنا و قُعودِنا، و حَرَكتِنا و سُكونِنا، و أكلِنا و شُربِنا، و ما أشبَهَ ذلكَ مِن تَصرُّفِنا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الناسُ في ذلكَ‌؛ فقالَ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التصرُّفِ فِعلُ العبادِ، انفَرَدوا به، لا صُنعَ للّٰهِ تَعالىٰ فيه، و إن كانَ هو المُقدِرَ</w:t>
      </w:r>
      <w:r>
        <w:rPr>
          <w:rStyle w:val="FootnoteAnchor"/>
          <w:rtl w:val="true"/>
        </w:rPr>
        <w:footnoteReference w:id="2293"/>
      </w:r>
      <w:r>
        <w:rPr>
          <w:rFonts w:ascii="Amiri" w:hAnsi="Amiri" w:eastAsia="Amiri" w:cs="Amiri"/>
          <w:color w:val="111111"/>
          <w:sz w:val="28"/>
          <w:sz w:val="28"/>
          <w:szCs w:val="28"/>
          <w:rtl w:val="true"/>
          <w:lang w:bidi="ar-SA"/>
        </w:rPr>
        <w:t>لهم عليه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الضربُ أيضاً مِن 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ذَهَبوا إلىٰ أنّ جميعَ الأفعالِ التي تَظهَرُ في العالَمِ‌، اللّٰهُ تَعالىٰ أوجَدَها و فَعَلَها، و لا فاعِلَ سِواه، و أنّه لا فِعلَ للعبدِ مِن طاعةٍ و لا معصيةٍ و لا خَيرٍ و لا شَرٍّ</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 xml:space="preserve">. </w:t>
      </w:r>
      <w:bookmarkStart w:id="571" w:name="pg16415_224072"/>
    </w:p>
    <w:p>
      <w:pPr>
        <w:pStyle w:val="Heading6"/>
        <w:numPr>
          <w:ilvl w:val="5"/>
          <w:numId w:val="1"/>
        </w:numPr>
        <w:rPr/>
      </w:pPr>
      <w:bookmarkStart w:id="572" w:name="__RefHeading___Toc7642618_1280447820"/>
      <w:bookmarkStart w:id="573" w:name="_Toc196"/>
      <w:bookmarkEnd w:id="571"/>
      <w:bookmarkEnd w:id="572"/>
      <w:r>
        <w:rPr>
          <w:rtl w:val="true"/>
        </w:rPr>
        <w:t>أدلّة اختيار الإنسان</w:t>
      </w:r>
      <w:bookmarkEnd w:id="573"/>
    </w:p>
    <w:p>
      <w:pPr>
        <w:pStyle w:val="Heading6"/>
        <w:numPr>
          <w:ilvl w:val="5"/>
          <w:numId w:val="1"/>
        </w:numPr>
        <w:rPr/>
      </w:pPr>
      <w:bookmarkStart w:id="574" w:name="__RefHeading___Toc7642620_1280447820"/>
      <w:bookmarkStart w:id="575" w:name="_Toc197"/>
      <w:bookmarkEnd w:id="574"/>
      <w:r>
        <w:rPr>
          <w:rtl w:val="true"/>
        </w:rPr>
        <w:t>الدليل الأوّل</w:t>
      </w:r>
      <w:bookmarkEnd w:id="575"/>
    </w:p>
    <w:p>
      <w:pPr>
        <w:pStyle w:val="BookText"/>
        <w:rPr/>
      </w:pPr>
      <w:r>
        <w:rPr>
          <w:rFonts w:ascii="Amiri" w:hAnsi="Amiri" w:eastAsia="Amiri" w:cs="Amiri"/>
          <w:color w:val="111111"/>
          <w:sz w:val="28"/>
          <w:sz w:val="28"/>
          <w:szCs w:val="28"/>
          <w:rtl w:val="true"/>
          <w:lang w:bidi="ar-SA"/>
        </w:rPr>
        <w:t xml:space="preserve">و الذي يَدُلُّ علىٰ أنّ العبادَ يَفعَلونَ و يوجِدونَ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r>
        <w:rPr>
          <w:rStyle w:val="FootnoteAnchor"/>
          <w:rtl w:val="true"/>
        </w:rPr>
        <w:footnoteReference w:id="2295"/>
      </w:r>
      <w:r>
        <w:rPr>
          <w:rFonts w:ascii="Amiri" w:hAnsi="Amiri" w:eastAsia="Amiri" w:cs="Amiri"/>
          <w:color w:val="111111"/>
          <w:sz w:val="28"/>
          <w:sz w:val="28"/>
          <w:szCs w:val="28"/>
          <w:rtl w:val="true"/>
          <w:lang w:bidi="ar-SA"/>
        </w:rPr>
        <w:t xml:space="preserve">ما ذَهَبَ إليه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مِن الأفعالِ الظاهرةِ‌، فيها ما يَقَعُ‌</w:t>
      </w:r>
      <w:r>
        <w:rPr>
          <w:rStyle w:val="FootnoteAnchor"/>
          <w:rtl w:val="true"/>
        </w:rPr>
        <w:footnoteReference w:id="2296"/>
      </w:r>
      <w:r>
        <w:rPr>
          <w:rFonts w:ascii="Amiri" w:hAnsi="Amiri" w:eastAsia="Amiri" w:cs="Amiri"/>
          <w:color w:val="111111"/>
          <w:sz w:val="28"/>
          <w:sz w:val="28"/>
          <w:szCs w:val="28"/>
          <w:rtl w:val="true"/>
          <w:lang w:bidi="ar-SA"/>
        </w:rPr>
        <w:t>بحَسَبِ قُصودِهم</w:t>
      </w:r>
      <w:r>
        <w:rPr>
          <w:rStyle w:val="FootnoteAnchor"/>
          <w:rtl w:val="true"/>
        </w:rPr>
        <w:footnoteReference w:id="2297"/>
      </w:r>
      <w:r>
        <w:rPr>
          <w:rFonts w:ascii="Amiri" w:hAnsi="Amiri" w:eastAsia="Amiri" w:cs="Amiri"/>
          <w:color w:val="111111"/>
          <w:sz w:val="28"/>
          <w:sz w:val="28"/>
          <w:szCs w:val="28"/>
          <w:rtl w:val="true"/>
          <w:lang w:bidi="ar-SA"/>
        </w:rPr>
        <w:t>و دَواعيهم و أحوالِهم، و يَرتَفِعُ بحَسَبِ صَوارفِهم و كَراهتِهم و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أحَدَنا متىٰ‌</w:t>
      </w:r>
      <w:r>
        <w:rPr>
          <w:rStyle w:val="FootnoteAnchor"/>
          <w:rtl w:val="true"/>
        </w:rPr>
        <w:footnoteReference w:id="2298"/>
      </w:r>
      <w:r>
        <w:rPr>
          <w:rFonts w:ascii="Amiri" w:hAnsi="Amiri" w:eastAsia="Amiri" w:cs="Amiri"/>
          <w:color w:val="111111"/>
          <w:sz w:val="28"/>
          <w:sz w:val="28"/>
          <w:szCs w:val="28"/>
          <w:rtl w:val="true"/>
          <w:lang w:bidi="ar-SA"/>
        </w:rPr>
        <w:t>قَصَدَ إلَى الأكلِ و أرادَه</w:t>
      </w:r>
      <w:r>
        <w:rPr>
          <w:rStyle w:val="FootnoteAnchor"/>
          <w:rtl w:val="true"/>
        </w:rPr>
        <w:footnoteReference w:id="2299"/>
      </w:r>
      <w:r>
        <w:rPr>
          <w:rFonts w:ascii="Amiri" w:hAnsi="Amiri" w:eastAsia="Amiri" w:cs="Amiri"/>
          <w:color w:val="111111"/>
          <w:sz w:val="28"/>
          <w:sz w:val="28"/>
          <w:szCs w:val="28"/>
          <w:rtl w:val="true"/>
          <w:lang w:bidi="ar-SA"/>
        </w:rPr>
        <w:t>و عَزَمَ عليه، وَقَعَ منه إذا كانَ صَحيحاً غيرَ ممنوعٍ‌، و قد يَقصِدُ غيرُه إلَى الأكلِ فلا يَجِبُ أن يأكُلَ هو؟ و كذلكَ متىٰ جاعَ و احتاجَ إلَى الطعامِ و حَضَرَه</w:t>
      </w:r>
      <w:r>
        <w:rPr>
          <w:rStyle w:val="FootnoteAnchor"/>
          <w:rtl w:val="true"/>
        </w:rPr>
        <w:footnoteReference w:id="2300"/>
      </w:r>
      <w:r>
        <w:rPr>
          <w:rFonts w:ascii="Amiri" w:hAnsi="Amiri" w:eastAsia="Amiri" w:cs="Amiri"/>
          <w:color w:val="111111"/>
          <w:sz w:val="28"/>
          <w:sz w:val="28"/>
          <w:szCs w:val="28"/>
          <w:rtl w:val="true"/>
          <w:lang w:bidi="ar-SA"/>
        </w:rPr>
        <w:t>الطعامُ أكَلَ إذا كانَ علىٰ ذلكَ قادراً غيرَ ممنوعٍ‌، و لا يَجِبُ أن يأكُلَ هو متىٰ جاعَ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مُحدِثُ‌</w:t>
      </w:r>
      <w:r>
        <w:rPr>
          <w:rStyle w:val="FootnoteAnchor"/>
          <w:rtl w:val="true"/>
        </w:rPr>
        <w:footnoteReference w:id="2301"/>
      </w:r>
      <w:r>
        <w:rPr>
          <w:rFonts w:ascii="Amiri" w:hAnsi="Amiri" w:eastAsia="Amiri" w:cs="Amiri"/>
          <w:color w:val="111111"/>
          <w:sz w:val="28"/>
          <w:sz w:val="28"/>
          <w:szCs w:val="28"/>
          <w:rtl w:val="true"/>
          <w:lang w:bidi="ar-SA"/>
        </w:rPr>
        <w:t>الأكلِ و مُوجِدُه لَما</w:t>
      </w:r>
      <w:r>
        <w:rPr>
          <w:rStyle w:val="FootnoteAnchor"/>
          <w:rtl w:val="true"/>
        </w:rPr>
        <w:footnoteReference w:id="2302"/>
      </w:r>
      <w:r>
        <w:rPr>
          <w:rFonts w:ascii="Amiri" w:hAnsi="Amiri" w:eastAsia="Amiri" w:cs="Amiri"/>
          <w:color w:val="111111"/>
          <w:sz w:val="28"/>
          <w:sz w:val="28"/>
          <w:szCs w:val="28"/>
          <w:rtl w:val="true"/>
          <w:lang w:bidi="ar-SA"/>
        </w:rPr>
        <w:t>تعلَّقَ بقَصدِه و داعيهِ و حاجتِه، و يَجري مَجرىٰ أكلِ غيرِه، لمّا لَم يَكُن فاعلاً له لَم يَقصِدْ قُصودَه</w:t>
      </w:r>
      <w:r>
        <w:rPr>
          <w:rStyle w:val="FootnoteAnchor"/>
          <w:rtl w:val="true"/>
        </w:rPr>
        <w:footnoteReference w:id="2303"/>
      </w:r>
      <w:r>
        <w:rPr>
          <w:rFonts w:ascii="Amiri" w:hAnsi="Amiri" w:eastAsia="Amiri" w:cs="Amiri"/>
          <w:color w:val="111111"/>
          <w:sz w:val="28"/>
          <w:sz w:val="28"/>
          <w:szCs w:val="28"/>
          <w:rtl w:val="true"/>
          <w:lang w:bidi="ar-SA"/>
        </w:rPr>
        <w:t>و حاجاتِه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أنّ هذه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أفعالُنا، لَم يَجِبْ أن تَقَعَ بحَسَبِ حاجاتِنا</w:t>
      </w:r>
      <w:r>
        <w:rPr>
          <w:rStyle w:val="FootnoteAnchor"/>
          <w:rtl w:val="true"/>
        </w:rPr>
        <w:footnoteReference w:id="2304"/>
      </w:r>
      <w:r>
        <w:rPr>
          <w:rFonts w:ascii="Amiri" w:hAnsi="Amiri" w:eastAsia="Amiri" w:cs="Amiri"/>
          <w:color w:val="111111"/>
          <w:sz w:val="28"/>
          <w:sz w:val="28"/>
          <w:szCs w:val="28"/>
          <w:rtl w:val="true"/>
          <w:lang w:bidi="ar-SA"/>
        </w:rPr>
        <w:t>و أحوالِنا، و تَقِفَ علىٰ دَواعينا، كما لَم يَجِبْ ذلكَ في ألوانِنا و هَيئاتِنا و حَرَكةِ عُروقِنا</w:t>
      </w:r>
      <w:r>
        <w:rPr>
          <w:rFonts w:eastAsia="Amiri" w:cs="Amiri" w:ascii="Amiri" w:hAnsi="Amiri"/>
          <w:color w:val="111111"/>
          <w:sz w:val="28"/>
          <w:szCs w:val="28"/>
          <w:rtl w:val="true"/>
          <w:lang w:bidi="ar-SA"/>
        </w:rPr>
        <w:t xml:space="preserve">. </w:t>
      </w:r>
      <w:bookmarkStart w:id="576" w:name="pg16415_224073"/>
    </w:p>
    <w:p>
      <w:pPr>
        <w:pStyle w:val="BookText"/>
        <w:rPr/>
      </w:pPr>
      <w:bookmarkEnd w:id="576"/>
      <w:r>
        <w:rPr>
          <w:rFonts w:ascii="Amiri" w:hAnsi="Amiri" w:eastAsia="Amiri" w:cs="Amiri"/>
          <w:color w:val="111111"/>
          <w:sz w:val="28"/>
          <w:sz w:val="28"/>
          <w:szCs w:val="28"/>
          <w:rtl w:val="true"/>
          <w:lang w:bidi="ar-SA"/>
        </w:rPr>
        <w:t>ألا تَرىٰ أنّ أحَدَنا يُريدُ أن يَكونَ علىٰ هَيئةٍ‌، فيَجِدُ نَفسَه</w:t>
      </w:r>
      <w:r>
        <w:rPr>
          <w:rStyle w:val="FootnoteAnchor"/>
          <w:rtl w:val="true"/>
        </w:rPr>
        <w:footnoteReference w:id="2305"/>
      </w:r>
      <w:r>
        <w:rPr>
          <w:rFonts w:ascii="Amiri" w:hAnsi="Amiri" w:eastAsia="Amiri" w:cs="Amiri"/>
          <w:color w:val="111111"/>
          <w:sz w:val="28"/>
          <w:sz w:val="28"/>
          <w:szCs w:val="28"/>
          <w:rtl w:val="true"/>
          <w:lang w:bidi="ar-SA"/>
        </w:rPr>
        <w:t>علىٰ خِلافِها و يُريدُ أن يَكونَ طويلاً و هو قصيرٌ، و شابّاً و هو شَيخٌ‌، و صَحيحاً و هو مَريضٌ؟</w:t>
      </w:r>
    </w:p>
    <w:p>
      <w:pPr>
        <w:pStyle w:val="BookText"/>
        <w:rPr/>
      </w:pPr>
      <w:r>
        <w:rPr>
          <w:rFonts w:ascii="Amiri" w:hAnsi="Amiri" w:eastAsia="Amiri" w:cs="Amiri"/>
          <w:color w:val="111111"/>
          <w:sz w:val="28"/>
          <w:sz w:val="28"/>
          <w:szCs w:val="28"/>
          <w:rtl w:val="true"/>
          <w:lang w:bidi="ar-SA"/>
        </w:rPr>
        <w:t xml:space="preserve">فلَو كانَ القيامُ و القُعودُ مِثلَ الطولِ و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الهَرَمِ‌</w:t>
      </w:r>
      <w:r>
        <w:rPr>
          <w:rStyle w:val="FootnoteAnchor"/>
          <w:rtl w:val="true"/>
        </w:rPr>
        <w:footnoteReference w:id="2306"/>
      </w:r>
      <w:r>
        <w:rPr>
          <w:rFonts w:ascii="Amiri" w:hAnsi="Amiri" w:eastAsia="Amiri" w:cs="Amiri"/>
          <w:color w:val="111111"/>
          <w:sz w:val="28"/>
          <w:sz w:val="28"/>
          <w:szCs w:val="28"/>
          <w:rtl w:val="true"/>
          <w:lang w:bidi="ar-SA"/>
        </w:rPr>
        <w:t>و الصحّةِ و المرضِ لَكانَت أحكامُ الجميعِ واحدةً في الحصولِ بحَسَبِ دَواعينا أو خِلافَ ذلكَ‌؛ فلمّا اختَلَفَ حُكمُ الجميعِ عَلِمنا اختلافَ حُكمِها في الإضافةِ إلينا</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7642622_1280447820"/>
      <w:bookmarkStart w:id="578" w:name="_Toc198"/>
      <w:bookmarkEnd w:id="577"/>
      <w:r>
        <w:rPr>
          <w:rtl w:val="true"/>
        </w:rPr>
        <w:t>الدليل الثاني</w:t>
      </w:r>
      <w:bookmarkEnd w:id="578"/>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أيضاً علىٰ ذلكَ أنّ اللّٰهَ تَعالىٰ قد أمَرَ العبادَ بأفعالٍ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كالإيمانِ‌، و الطاعةِ مِن الصلاةِ و الصومِ و سائرِ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لا أنّ هذه الأفعالَ لهم و واقعةٌ مِن جهتِهم و لَيسَت بأفعالِ اللّٰهِ تَعالىٰ‌، لَما جازَ أن يؤمَروا و يُنهَوا</w:t>
      </w:r>
      <w:r>
        <w:rPr>
          <w:rStyle w:val="FootnoteAnchor"/>
          <w:rtl w:val="true"/>
        </w:rPr>
        <w:footnoteReference w:id="2307"/>
      </w:r>
      <w:r>
        <w:rPr>
          <w:rFonts w:ascii="Amiri" w:hAnsi="Amiri" w:eastAsia="Amiri" w:cs="Amiri"/>
          <w:color w:val="111111"/>
          <w:sz w:val="28"/>
          <w:sz w:val="28"/>
          <w:szCs w:val="28"/>
          <w:rtl w:val="true"/>
          <w:lang w:bidi="ar-SA"/>
        </w:rPr>
        <w:t>عن فِعلِه تَعالىٰ و عمّا لَيسَ بفِعلٍ لهم</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7642624_1280447820"/>
      <w:bookmarkStart w:id="580" w:name="_Toc199"/>
      <w:bookmarkEnd w:id="579"/>
      <w:r>
        <w:rPr>
          <w:rtl w:val="true"/>
        </w:rPr>
        <w:t>الدليل الثالث</w:t>
      </w:r>
      <w:bookmarkEnd w:id="58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أيضاً علىٰ ذلكَ أنّا وَجَدنا العبادَ يُحمَدونَ و يُمدَحونَ‌</w:t>
      </w:r>
      <w:r>
        <w:rPr>
          <w:rStyle w:val="FootnoteAnchor"/>
          <w:rtl w:val="true"/>
        </w:rPr>
        <w:footnoteReference w:id="2308"/>
      </w:r>
      <w:r>
        <w:rPr>
          <w:rFonts w:ascii="Amiri" w:hAnsi="Amiri" w:eastAsia="Amiri" w:cs="Amiri"/>
          <w:color w:val="111111"/>
          <w:sz w:val="28"/>
          <w:sz w:val="28"/>
          <w:szCs w:val="28"/>
          <w:rtl w:val="true"/>
          <w:lang w:bidi="ar-SA"/>
        </w:rPr>
        <w:t>ببعضِ الأفعالِ التي تَظهَرُ منهم، و يُذَمّونَ ببعضٍ آخَرَ؛ ألا تَرىٰ أنّهم يُمدَحونَ بفِعلِ الطاعاتِ و أداءِ الواجباتِ‌، و يُمدَحونَ‌</w:t>
      </w:r>
      <w:r>
        <w:rPr>
          <w:rStyle w:val="FootnoteAnchor"/>
          <w:rtl w:val="true"/>
        </w:rPr>
        <w:footnoteReference w:id="2309"/>
      </w:r>
      <w:r>
        <w:rPr>
          <w:rFonts w:ascii="Amiri" w:hAnsi="Amiri" w:eastAsia="Amiri" w:cs="Amiri"/>
          <w:color w:val="111111"/>
          <w:sz w:val="28"/>
          <w:sz w:val="28"/>
          <w:szCs w:val="28"/>
          <w:rtl w:val="true"/>
          <w:lang w:bidi="ar-SA"/>
        </w:rPr>
        <w:t>علَى الإحسانِ و الإنعامِ و الإفضالِ‌، و يُذَمّونَ بالمَعاصي و القبائحِ؟ فلَولا أنّ ذلكَ مِن أفعالِهم لَما تَوجَّهَ إليهم مَدحٌ و لا ذَمٌّ‌، كما لا يَحسُنُ أن يُمدَحوا و يُذَمّوا بألوانِهم و هيئاتِهم و خَلقِهم، و لا علىٰ ما يَقَعُ مِن غيرِهم مِن الأفعالِ‌</w:t>
      </w:r>
      <w:r>
        <w:rPr>
          <w:rFonts w:eastAsia="Amiri" w:cs="Amiri" w:ascii="Amiri" w:hAnsi="Amiri"/>
          <w:color w:val="111111"/>
          <w:sz w:val="28"/>
          <w:szCs w:val="28"/>
          <w:rtl w:val="true"/>
          <w:lang w:bidi="ar-SA"/>
        </w:rPr>
        <w:t xml:space="preserve">. </w:t>
      </w:r>
      <w:bookmarkStart w:id="581" w:name="pg16415_224074"/>
    </w:p>
    <w:p>
      <w:pPr>
        <w:pStyle w:val="Heading6"/>
        <w:numPr>
          <w:ilvl w:val="5"/>
          <w:numId w:val="1"/>
        </w:numPr>
        <w:rPr/>
      </w:pPr>
      <w:bookmarkStart w:id="582" w:name="__RefHeading___Toc7642626_1280447820"/>
      <w:bookmarkStart w:id="583" w:name="_Toc200"/>
      <w:bookmarkEnd w:id="581"/>
      <w:bookmarkEnd w:id="582"/>
      <w:r>
        <w:rPr>
          <w:rtl w:val="true"/>
        </w:rPr>
        <w:t>أدلّة بطلان الجبر</w:t>
      </w:r>
      <w:bookmarkEnd w:id="583"/>
    </w:p>
    <w:p>
      <w:pPr>
        <w:pStyle w:val="Heading6"/>
        <w:numPr>
          <w:ilvl w:val="5"/>
          <w:numId w:val="1"/>
        </w:numPr>
        <w:rPr/>
      </w:pPr>
      <w:bookmarkStart w:id="584" w:name="__RefHeading___Toc7642628_1280447820"/>
      <w:bookmarkStart w:id="585" w:name="_Toc201"/>
      <w:bookmarkEnd w:id="584"/>
      <w:r>
        <w:rPr>
          <w:rtl w:val="true"/>
        </w:rPr>
        <w:t>الدليل الأوّل</w:t>
      </w:r>
      <w:bookmarkEnd w:id="585"/>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w:t>
      </w:r>
      <w:r>
        <w:rPr>
          <w:rStyle w:val="FootnoteAnchor"/>
          <w:rtl w:val="true"/>
        </w:rPr>
        <w:footnoteReference w:id="2310"/>
      </w:r>
      <w:r>
        <w:rPr>
          <w:rFonts w:ascii="Amiri" w:hAnsi="Amiri" w:eastAsia="Amiri" w:cs="Amiri"/>
          <w:color w:val="111111"/>
          <w:sz w:val="28"/>
          <w:sz w:val="28"/>
          <w:szCs w:val="28"/>
          <w:rtl w:val="true"/>
          <w:lang w:bidi="ar-SA"/>
        </w:rPr>
        <w:t>يَدُلُّ علىٰ بُطلانِ قولِ المُجبِرةِ في إضافتِهم جميعَ الأفعالِ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w:t>
      </w:r>
      <w:r>
        <w:rPr>
          <w:rStyle w:val="FootnoteAnchor"/>
          <w:rtl w:val="true"/>
        </w:rPr>
        <w:footnoteReference w:id="2311"/>
      </w:r>
      <w:r>
        <w:rPr>
          <w:rFonts w:ascii="Amiri" w:hAnsi="Amiri" w:eastAsia="Amiri" w:cs="Amiri"/>
          <w:color w:val="111111"/>
          <w:sz w:val="28"/>
          <w:sz w:val="28"/>
          <w:szCs w:val="28"/>
          <w:rtl w:val="true"/>
          <w:lang w:bidi="ar-SA"/>
        </w:rPr>
        <w:t>أفعالِ العبادِ ما هو كفرٌ و ظُلمٌ و قبيحٌ و كَذِبٌ‌؛ فلَو كانَ اللّٰهُ تَعالىٰ هو الفاعلَ لذلكَ‌، لَوَجَبَ أن يَكونَ مِن حَيثُ فَعَلَ الظلمَ ظالماً، و بفعلِ الكَذِبِ كاذباً، و بفعلِ الكفرِ كافراً</w:t>
      </w:r>
      <w:r>
        <w:rPr>
          <w:rStyle w:val="FootnoteAnchor"/>
          <w:rtl w:val="true"/>
        </w:rPr>
        <w:footnoteReference w:id="2312"/>
      </w:r>
      <w:r>
        <w:rPr>
          <w:rFonts w:ascii="Amiri" w:hAnsi="Amiri" w:eastAsia="Amiri" w:cs="Amiri"/>
          <w:color w:val="111111"/>
          <w:sz w:val="28"/>
          <w:sz w:val="28"/>
          <w:szCs w:val="28"/>
          <w:rtl w:val="true"/>
          <w:lang w:bidi="ar-SA"/>
        </w:rPr>
        <w:t>، و بفعلِ القبيحِ مُقبَّحاً؛ لأنّ اللُّغةَ العربيّةَ‌</w:t>
      </w:r>
      <w:r>
        <w:rPr>
          <w:rStyle w:val="FootnoteAnchor"/>
          <w:rtl w:val="true"/>
        </w:rPr>
        <w:footnoteReference w:id="2313"/>
      </w:r>
      <w:r>
        <w:rPr>
          <w:rFonts w:ascii="Amiri" w:hAnsi="Amiri" w:eastAsia="Amiri" w:cs="Amiri"/>
          <w:color w:val="111111"/>
          <w:sz w:val="28"/>
          <w:sz w:val="28"/>
          <w:szCs w:val="28"/>
          <w:rtl w:val="true"/>
          <w:lang w:bidi="ar-SA"/>
        </w:rPr>
        <w:t>تَقتَضي هذا الِاشتقاقَ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تَعالىٰ مِن حَيثُ فَعَلَ العَدلَ يُسمّىٰ عادلاً، و بفعلِ الإحسانِ و الإنعامِ يُسمّىٰ‌</w:t>
      </w:r>
      <w:r>
        <w:rPr>
          <w:rStyle w:val="FootnoteAnchor"/>
          <w:rtl w:val="true"/>
        </w:rPr>
        <w:footnoteReference w:id="2314"/>
      </w:r>
      <w:r>
        <w:rPr>
          <w:rFonts w:ascii="Amiri" w:hAnsi="Amiri" w:eastAsia="Amiri" w:cs="Amiri"/>
          <w:color w:val="111111"/>
          <w:sz w:val="28"/>
          <w:sz w:val="28"/>
          <w:szCs w:val="28"/>
          <w:rtl w:val="true"/>
          <w:lang w:bidi="ar-SA"/>
        </w:rPr>
        <w:t>مُحسِناً و مُنعِماً؟ و لا وجهَ لتسميَتِه بأنّه مُنعِمٌ و عادلٌ إلّاأنّه فَعَلَ هذه الأفعالَ‌، فلَو كان فاعلاً لِما سواها لَاشتُقَّ له منها اسمُ الفاعلِ علىٰ ما ذَكرناه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أجْمَعَتِ‌</w:t>
      </w:r>
      <w:r>
        <w:rPr>
          <w:rStyle w:val="FootnoteAnchor"/>
          <w:rtl w:val="true"/>
        </w:rPr>
        <w:footnoteReference w:id="2315"/>
      </w:r>
      <w:r>
        <w:rPr>
          <w:rFonts w:ascii="Amiri" w:hAnsi="Amiri" w:eastAsia="Amiri" w:cs="Amiri"/>
          <w:color w:val="111111"/>
          <w:sz w:val="28"/>
          <w:sz w:val="28"/>
          <w:szCs w:val="28"/>
          <w:rtl w:val="true"/>
          <w:lang w:bidi="ar-SA"/>
        </w:rPr>
        <w:t>الأُمّةُ علىٰ أنّه تَعالىٰ لا يَستَحِقُّ الوصفَ بأنّه ظالمٌ و لا كاذبٌ و لا كافرٌ، و أنّ مَن وَصَفَه بذلكَ و سَمّاه به كانَ خارجاً عن الدينِ‌، و إجماعُ المُسلِمينَ حُجّةٌ‌، فوَجَبَ‌</w:t>
      </w:r>
      <w:r>
        <w:rPr>
          <w:rStyle w:val="FootnoteAnchor"/>
          <w:rtl w:val="true"/>
        </w:rPr>
        <w:footnoteReference w:id="2316"/>
      </w:r>
      <w:r>
        <w:rPr>
          <w:rFonts w:ascii="Amiri" w:hAnsi="Amiri" w:eastAsia="Amiri" w:cs="Amiri"/>
          <w:color w:val="111111"/>
          <w:sz w:val="28"/>
          <w:sz w:val="28"/>
          <w:szCs w:val="28"/>
          <w:rtl w:val="true"/>
          <w:lang w:bidi="ar-SA"/>
        </w:rPr>
        <w:t>أن يُنفىٰ كَونُه فاعلاً لِما يوجِبُ هذا الِاشتقاقَ و يَقتَضيهِ‌</w:t>
      </w:r>
      <w:r>
        <w:rPr>
          <w:rFonts w:eastAsia="Amiri" w:cs="Amiri" w:ascii="Amiri" w:hAnsi="Amiri"/>
          <w:color w:val="111111"/>
          <w:sz w:val="28"/>
          <w:szCs w:val="28"/>
          <w:rtl w:val="true"/>
          <w:lang w:bidi="ar-SA"/>
        </w:rPr>
        <w:t xml:space="preserve">. </w:t>
      </w:r>
      <w:bookmarkStart w:id="586" w:name="pg16415_224075"/>
    </w:p>
    <w:p>
      <w:pPr>
        <w:pStyle w:val="Heading6"/>
        <w:numPr>
          <w:ilvl w:val="5"/>
          <w:numId w:val="1"/>
        </w:numPr>
        <w:rPr/>
      </w:pPr>
      <w:bookmarkStart w:id="587" w:name="__RefHeading___Toc7642630_1280447820"/>
      <w:bookmarkStart w:id="588" w:name="_Toc202"/>
      <w:bookmarkEnd w:id="586"/>
      <w:bookmarkEnd w:id="587"/>
      <w:r>
        <w:rPr>
          <w:rtl w:val="true"/>
        </w:rPr>
        <w:t>الدليل الثاني</w:t>
      </w:r>
      <w:bookmarkEnd w:id="588"/>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أيضاً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معناه داخلاً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مُجمِعةٌ علىٰ أنّ اللّٰهَ تَعالىٰ يُثيبُ المؤمِنينَ و يُعاقِبُ الكافرينَ‌، فلَولا أنّ الإيمانَ و الكفرَ مِن فِعلِ المؤمنِ و الكافرِ لَم يَحسُنِ الثوابُ و لا العقابُ‌</w:t>
      </w:r>
      <w:r>
        <w:rPr>
          <w:rStyle w:val="FootnoteAnchor"/>
          <w:rtl w:val="true"/>
        </w:rPr>
        <w:footnoteReference w:id="2317"/>
      </w:r>
      <w:r>
        <w:rPr>
          <w:rFonts w:ascii="Amiri" w:hAnsi="Amiri" w:eastAsia="Amiri" w:cs="Amiri"/>
          <w:color w:val="111111"/>
          <w:sz w:val="28"/>
          <w:sz w:val="28"/>
          <w:szCs w:val="28"/>
          <w:rtl w:val="true"/>
          <w:lang w:bidi="ar-SA"/>
        </w:rPr>
        <w:t>لأنّه قبيحٌ أن يُثابَ أو يُعاقَبَ أحَدٌ بفِعلِ غيرِه</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أنّ أحَدَنا لَو فَعَلَ في عبدِه فِعلاً مِن الأفعالِ‌، لَما حَسُنَ أن يُعاقِبَه عليه و يؤاخِذَه به، و مَن فَعَلَ ذلكَ منّا</w:t>
      </w:r>
      <w:r>
        <w:rPr>
          <w:rStyle w:val="FootnoteAnchor"/>
          <w:rtl w:val="true"/>
        </w:rPr>
        <w:footnoteReference w:id="2319"/>
      </w:r>
      <w:r>
        <w:rPr>
          <w:rFonts w:ascii="Amiri" w:hAnsi="Amiri" w:eastAsia="Amiri" w:cs="Amiri"/>
          <w:color w:val="111111"/>
          <w:sz w:val="28"/>
          <w:sz w:val="28"/>
          <w:szCs w:val="28"/>
          <w:rtl w:val="true"/>
          <w:lang w:bidi="ar-SA"/>
        </w:rPr>
        <w:t>عُدَّ ظالماً سَفيهاً؟</w:t>
      </w:r>
    </w:p>
    <w:p>
      <w:pPr>
        <w:pStyle w:val="Heading6"/>
        <w:numPr>
          <w:ilvl w:val="5"/>
          <w:numId w:val="1"/>
        </w:numPr>
        <w:rPr/>
      </w:pPr>
      <w:bookmarkStart w:id="589" w:name="__RefHeading___Toc7642632_1280447820"/>
      <w:bookmarkStart w:id="590" w:name="_Toc203"/>
      <w:bookmarkEnd w:id="589"/>
      <w:r>
        <w:rPr>
          <w:rtl w:val="true"/>
        </w:rPr>
        <w:t>الدليل الثالث</w:t>
      </w:r>
      <w:bookmarkEnd w:id="59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لَو فَعَلَ الظلمَ و الكَذِبَ و سائرَ القبائحِ‌، و لَم يَكُن</w:t>
      </w:r>
      <w:r>
        <w:rPr>
          <w:rStyle w:val="FootnoteAnchor"/>
          <w:rtl w:val="true"/>
        </w:rPr>
        <w:footnoteReference w:id="2320"/>
      </w:r>
      <w:r>
        <w:rPr>
          <w:rFonts w:ascii="Amiri" w:hAnsi="Amiri" w:eastAsia="Amiri" w:cs="Amiri"/>
          <w:color w:val="111111"/>
          <w:sz w:val="28"/>
          <w:sz w:val="28"/>
          <w:szCs w:val="28"/>
          <w:rtl w:val="true"/>
          <w:lang w:bidi="ar-SA"/>
        </w:rPr>
        <w:t>ذلكَ منه قَبيحاً علىٰ ما يَقولُه مُخالِفونا، لم نأمَنْ‌</w:t>
      </w:r>
      <w:r>
        <w:rPr>
          <w:rStyle w:val="FootnoteAnchor"/>
          <w:rtl w:val="true"/>
        </w:rPr>
        <w:footnoteReference w:id="2321"/>
      </w:r>
      <w:r>
        <w:rPr>
          <w:rFonts w:ascii="Amiri" w:hAnsi="Amiri" w:eastAsia="Amiri" w:cs="Amiri"/>
          <w:color w:val="111111"/>
          <w:sz w:val="28"/>
          <w:sz w:val="28"/>
          <w:szCs w:val="28"/>
          <w:rtl w:val="true"/>
          <w:lang w:bidi="ar-SA"/>
        </w:rPr>
        <w:t>أن يَقَعَ منه تصديقُ الكَذّابينَ‌، و إن</w:t>
      </w:r>
      <w:r>
        <w:rPr>
          <w:rStyle w:val="FootnoteAnchor"/>
          <w:rtl w:val="true"/>
        </w:rPr>
        <w:footnoteReference w:id="2322"/>
      </w:r>
      <w:r>
        <w:rPr>
          <w:rFonts w:ascii="Amiri" w:hAnsi="Amiri" w:eastAsia="Amiri" w:cs="Amiri"/>
          <w:color w:val="111111"/>
          <w:sz w:val="28"/>
          <w:sz w:val="28"/>
          <w:szCs w:val="28"/>
          <w:rtl w:val="true"/>
          <w:lang w:bidi="ar-SA"/>
        </w:rPr>
        <w:t>لَم يَكُن ذلكَ منه قبيحاً؛ لأنّا لا نأمَنُ‌</w:t>
      </w:r>
      <w:r>
        <w:rPr>
          <w:rStyle w:val="FootnoteAnchor"/>
          <w:rtl w:val="true"/>
        </w:rPr>
        <w:footnoteReference w:id="2323"/>
      </w:r>
      <w:r>
        <w:rPr>
          <w:rFonts w:ascii="Amiri" w:hAnsi="Amiri" w:eastAsia="Amiri" w:cs="Amiri"/>
          <w:color w:val="111111"/>
          <w:sz w:val="28"/>
          <w:sz w:val="28"/>
          <w:szCs w:val="28"/>
          <w:rtl w:val="true"/>
          <w:lang w:bidi="ar-SA"/>
        </w:rPr>
        <w:t>أن يَفعَلَ بعضَ القبائحِ لمّا لَم نأمَنْ أن يَفعَلَ سائرَها؛ و إذا أجَزنا منه تعالَى البعضَ جازَ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يُبطِلُ الثقةَ بصدقِ الأنبياءِ عليهم السلامُ‌، و يَقتَضي الشكَّ في جميعِ الشرائعِ‌، و الخروجَ مِن دينِ الإسلامِ‌؛ بَل مِن سائرِ الأديانِ‌</w:t>
      </w:r>
      <w:r>
        <w:rPr>
          <w:rFonts w:eastAsia="Amiri" w:cs="Amiri" w:ascii="Amiri" w:hAnsi="Amiri"/>
          <w:color w:val="111111"/>
          <w:sz w:val="28"/>
          <w:szCs w:val="28"/>
          <w:rtl w:val="true"/>
          <w:lang w:bidi="ar-SA"/>
        </w:rPr>
        <w:t xml:space="preserve">. </w:t>
      </w:r>
      <w:bookmarkStart w:id="591" w:name="pg16415_224076"/>
    </w:p>
    <w:p>
      <w:pPr>
        <w:pStyle w:val="Heading6"/>
        <w:numPr>
          <w:ilvl w:val="5"/>
          <w:numId w:val="1"/>
        </w:numPr>
        <w:rPr/>
      </w:pPr>
      <w:bookmarkStart w:id="592" w:name="__RefHeading___Toc7642634_1280447820"/>
      <w:bookmarkStart w:id="593" w:name="_Toc204"/>
      <w:bookmarkEnd w:id="591"/>
      <w:bookmarkEnd w:id="592"/>
      <w:r>
        <w:rPr>
          <w:rtl w:val="true"/>
        </w:rPr>
        <w:t>الدليل الرابع</w:t>
      </w:r>
      <w:bookmarkEnd w:id="593"/>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اللّٰهَ تَعالىٰ هو الفاعلُ للأفعالِ الظاهرةِ مِن العبادِ يَقتَضي أنّه لا نعمةَ له تَعالىٰ علَى الكافرِ، و إذا لَم تَكُن له عليه نعمةٌ لَم تَجِبْ عبادتُه علَى الكافرِ؛ لأنّ العبادةَ كَيفيّةٌ في الشُّكرِ، و إنّما</w:t>
      </w:r>
      <w:r>
        <w:rPr>
          <w:rStyle w:val="FootnoteAnchor"/>
          <w:rtl w:val="true"/>
        </w:rPr>
        <w:footnoteReference w:id="2325"/>
      </w:r>
      <w:r>
        <w:rPr>
          <w:rFonts w:ascii="Amiri" w:hAnsi="Amiri" w:eastAsia="Amiri" w:cs="Amiri"/>
          <w:color w:val="111111"/>
          <w:sz w:val="28"/>
          <w:sz w:val="28"/>
          <w:szCs w:val="28"/>
          <w:rtl w:val="true"/>
          <w:lang w:bidi="ar-SA"/>
        </w:rPr>
        <w:t>يَجِبُ بالنِّعَمِ العظيمةِ‌، و مَن لا نعمةَ له فلا شُكرَ يَستَحِقُّه و لا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Style w:val="FootnoteAnchor"/>
          <w:rtl w:val="true"/>
        </w:rPr>
        <w:footnoteReference w:id="2326"/>
      </w:r>
      <w:r>
        <w:rPr>
          <w:rFonts w:ascii="Amiri" w:hAnsi="Amiri" w:eastAsia="Amiri" w:cs="Amiri"/>
          <w:color w:val="111111"/>
          <w:sz w:val="28"/>
          <w:sz w:val="28"/>
          <w:szCs w:val="28"/>
          <w:rtl w:val="true"/>
          <w:lang w:bidi="ar-SA"/>
        </w:rPr>
        <w:t xml:space="preserve">إنّه لا نعمةَ له على الكافرِ؛ لأنّه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الكُفرَ الذي يَستَحِقُّ به الخُلودَ في النارِ و العِقابَ الدائمِ‌، فهو بأن يَكونَ مُسيئاً إليه أَولىٰ مِن أن يَكونَ مُنعِماً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عليه نعمةً دُنياويّةً‌، كخَلقِ الحياةِ فيه و الشهَواتِ المؤدّيةِ إلىٰ ضُروبِ اللَّذّاتِ و المَنافعِ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الحياةِ و الشهوةِ إذا كانَ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إلَى الكُفرِ لَم يَكُن نعمةً‌، و إنّما يَكونُ نعمةً إذا كان الغرضُ فيه النفعَ‌، و يَجري مَجرىٰ مَن سَمَّنَ عَنزَه</w:t>
      </w:r>
      <w:r>
        <w:rPr>
          <w:rStyle w:val="FootnoteAnchor"/>
          <w:rtl w:val="true"/>
        </w:rPr>
        <w:footnoteReference w:id="2327"/>
      </w:r>
      <w:r>
        <w:rPr>
          <w:rFonts w:ascii="Amiri" w:hAnsi="Amiri" w:eastAsia="Amiri" w:cs="Amiri"/>
          <w:color w:val="111111"/>
          <w:sz w:val="28"/>
          <w:sz w:val="28"/>
          <w:szCs w:val="28"/>
          <w:rtl w:val="true"/>
          <w:lang w:bidi="ar-SA"/>
        </w:rPr>
        <w:t>و غَذّاه بضُروبِ الأطعمةِ المُلِذّةِ ليأكُلَه، في أنّه لا يَكونُ مُنعِماً عليه بذلكَ‌، و إن انتَفَعَ‌</w:t>
      </w:r>
      <w:r>
        <w:rPr>
          <w:rStyle w:val="FootnoteAnchor"/>
          <w:rtl w:val="true"/>
        </w:rPr>
        <w:footnoteReference w:id="2328"/>
      </w:r>
      <w:r>
        <w:rPr>
          <w:rFonts w:ascii="Amiri" w:hAnsi="Amiri" w:eastAsia="Amiri" w:cs="Amiri"/>
          <w:color w:val="111111"/>
          <w:sz w:val="28"/>
          <w:sz w:val="28"/>
          <w:szCs w:val="28"/>
          <w:rtl w:val="true"/>
          <w:lang w:bidi="ar-SA"/>
        </w:rPr>
        <w:t>به في العاجِلِ‌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فلَو سُلِّمَ أنّ ذلكَ نَفعٌ لَما عادَلَ و لا قارَبَ الِاستضراءَ‌</w:t>
      </w:r>
      <w:r>
        <w:rPr>
          <w:rStyle w:val="FootnoteAnchor"/>
          <w:rtl w:val="true"/>
        </w:rPr>
        <w:footnoteReference w:id="2329"/>
      </w:r>
      <w:r>
        <w:rPr>
          <w:rFonts w:ascii="Amiri" w:hAnsi="Amiri" w:eastAsia="Amiri" w:cs="Amiri"/>
          <w:color w:val="111111"/>
          <w:sz w:val="28"/>
          <w:sz w:val="28"/>
          <w:szCs w:val="28"/>
          <w:rtl w:val="true"/>
          <w:lang w:bidi="ar-SA"/>
        </w:rPr>
        <w:t xml:space="preserve">لعِقابِ‌ </w:t>
      </w:r>
      <w:bookmarkStart w:id="594" w:name="pg16415_224077"/>
    </w:p>
    <w:p>
      <w:pPr>
        <w:pStyle w:val="BookText"/>
        <w:rPr/>
      </w:pPr>
      <w:bookmarkEnd w:id="594"/>
      <w:r>
        <w:rPr>
          <w:rFonts w:ascii="Amiri" w:hAnsi="Amiri" w:eastAsia="Amiri" w:cs="Amiri"/>
          <w:color w:val="111111"/>
          <w:sz w:val="28"/>
          <w:sz w:val="28"/>
          <w:szCs w:val="28"/>
          <w:rtl w:val="true"/>
          <w:lang w:bidi="ar-SA"/>
        </w:rPr>
        <w:t>الكُفرِ</w:t>
      </w:r>
      <w:r>
        <w:rPr>
          <w:rStyle w:val="FootnoteAnchor"/>
          <w:rtl w:val="true"/>
        </w:rPr>
        <w:footnoteReference w:id="2330"/>
      </w:r>
      <w:r>
        <w:rPr>
          <w:rFonts w:ascii="Amiri" w:hAnsi="Amiri" w:eastAsia="Amiri" w:cs="Amiri"/>
          <w:color w:val="111111"/>
          <w:sz w:val="28"/>
          <w:sz w:val="28"/>
          <w:szCs w:val="28"/>
          <w:rtl w:val="true"/>
          <w:lang w:bidi="ar-SA"/>
        </w:rPr>
        <w:t>و الخُلودِ في النيرانِ المُضرَمةِ‌</w:t>
      </w:r>
      <w:r>
        <w:rPr>
          <w:rStyle w:val="FootnoteAnchor"/>
          <w:rtl w:val="true"/>
        </w:rPr>
        <w:footnoteReference w:id="2331"/>
      </w:r>
      <w:r>
        <w:rPr>
          <w:rFonts w:ascii="Amiri" w:hAnsi="Amiri" w:eastAsia="Amiri" w:cs="Amiri"/>
          <w:color w:val="111111"/>
          <w:sz w:val="28"/>
          <w:sz w:val="28"/>
          <w:szCs w:val="28"/>
          <w:rtl w:val="true"/>
          <w:lang w:bidi="ar-SA"/>
        </w:rPr>
        <w:t>، فلا يُستَحَقُّ عليه شَيءٌ مِن الشُّكرِ و الحالُ هذه، و يَكونُ وجودُه كعدمِه، و يَجري مَجرىٰ مَن نَفَضَ‌</w:t>
      </w:r>
      <w:r>
        <w:rPr>
          <w:rStyle w:val="FootnoteAnchor"/>
          <w:rtl w:val="true"/>
        </w:rPr>
        <w:footnoteReference w:id="2332"/>
      </w:r>
      <w:r>
        <w:rPr>
          <w:rFonts w:ascii="Amiri" w:hAnsi="Amiri" w:eastAsia="Amiri" w:cs="Amiri"/>
          <w:color w:val="111111"/>
          <w:sz w:val="28"/>
          <w:sz w:val="28"/>
          <w:szCs w:val="28"/>
          <w:rtl w:val="true"/>
          <w:lang w:bidi="ar-SA"/>
        </w:rPr>
        <w:t>تُراباً عن ثَوبِ غيرِه و ابتَسَمَ في وجهِه، ثُمّ قَرَنَ ذلكَ بقَتلِ أولادِه و أحِبّائه و أخذِ أموالِه و انتهاكِ حُرَمِه، في أنّه لا يَستَحِقُّ منه شُكراً</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7642636_1280447820"/>
      <w:bookmarkStart w:id="596" w:name="_Toc205"/>
      <w:bookmarkEnd w:id="595"/>
      <w:r>
        <w:rPr>
          <w:rtl w:val="true"/>
        </w:rPr>
        <w:t>الأدلّة القرآنيّة على الاختيار و بطلان الجبر</w:t>
      </w:r>
      <w:bookmarkEnd w:id="596"/>
    </w:p>
    <w:p>
      <w:pPr>
        <w:pStyle w:val="BookText"/>
        <w:rPr/>
      </w:pPr>
      <w:r>
        <w:rPr>
          <w:rFonts w:ascii="Amiri" w:hAnsi="Amiri" w:eastAsia="Amiri" w:cs="Amiri"/>
          <w:color w:val="111111"/>
          <w:sz w:val="28"/>
          <w:sz w:val="28"/>
          <w:szCs w:val="28"/>
          <w:rtl w:val="true"/>
          <w:lang w:bidi="ar-SA"/>
        </w:rPr>
        <w:t>و إذا تأمَّلنا القُرآنَ وَجَدنا أكثَرَه دالّاً علىٰ أنّ العبادَ يَفعَلونَ و يَعمَلونَ‌، و أنّهم إنّما يُجازَونَ بثَوابٍ أو عِقابٍ علىٰ أفعالِهم، لا علىٰ أفعالِ غيرِهم فيهم،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2333"/>
      </w:r>
      <w:r>
        <w:rPr>
          <w:rFonts w:ascii="Amiri" w:hAnsi="Amiri" w:eastAsia="Amiri" w:cs="Amiri"/>
          <w:color w:val="111111"/>
          <w:sz w:val="28"/>
          <w:sz w:val="28"/>
          <w:szCs w:val="28"/>
          <w:rtl w:val="true"/>
          <w:lang w:bidi="ar-SA"/>
        </w:rPr>
        <w:t>، و في مَواضِعَ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Style w:val="FootnoteAnchor"/>
          <w:rtl w:val="true"/>
        </w:rPr>
        <w:footnoteReference w:id="23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Style w:val="FootnoteAnchor"/>
          <w:rtl w:val="true"/>
        </w:rPr>
        <w:footnoteReference w:id="23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Style w:val="FootnoteAnchor"/>
          <w:rtl w:val="true"/>
        </w:rPr>
        <w:footnoteReference w:id="2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الحسنات و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الحسنات الطاعات</w:t>
      </w:r>
      <w:r>
        <w:rPr>
          <w:rFonts w:eastAsia="Amiri" w:cs="Amiri" w:ascii="Amiri" w:hAnsi="Amiri"/>
          <w:color w:val="111111"/>
          <w:sz w:val="28"/>
          <w:szCs w:val="28"/>
          <w:rtl w:val="true"/>
          <w:lang w:bidi="ar-SA"/>
        </w:rPr>
        <w:t>».</w:t>
      </w:r>
      <w:r>
        <w:rPr>
          <w:rStyle w:val="FootnoteAnchor"/>
          <w:rtl w:val="true"/>
        </w:rPr>
        <w:footnoteReference w:id="2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الأفعالُ كُلُّها له، بَطَلَت هذه الإضافاتُ إلينا، و كانَت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2338"/>
      </w:r>
      <w:r>
        <w:rPr>
          <w:rFonts w:ascii="Amiri" w:hAnsi="Amiri" w:eastAsia="Amiri" w:cs="Amiri"/>
          <w:color w:val="111111"/>
          <w:sz w:val="28"/>
          <w:sz w:val="28"/>
          <w:szCs w:val="28"/>
          <w:rtl w:val="true"/>
          <w:lang w:bidi="ar-SA"/>
        </w:rPr>
        <w:t>، و هذا صريحٌ بأنّ السيّئةَ مِنّا، لا منه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الحَسَناتِ الطاعاتُ‌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عندَكم فِعلُ العبادِ؛ فكَيفَ أضافَها اللّٰهُ تَعالىٰ إلىٰ نَفسِه‌؟ </w:t>
      </w:r>
    </w:p>
    <w:p>
      <w:pPr>
        <w:pStyle w:val="BookText"/>
        <w:rPr/>
      </w:pPr>
      <w:r>
        <w:rPr>
          <w:rFonts w:ascii="Amiri" w:hAnsi="Amiri" w:eastAsia="Amiri" w:cs="Amiri"/>
          <w:color w:val="111111"/>
          <w:sz w:val="28"/>
          <w:sz w:val="28"/>
          <w:szCs w:val="28"/>
          <w:rtl w:val="true"/>
          <w:lang w:bidi="ar-SA"/>
        </w:rPr>
        <w:t>لأنّ‌ الطاعةَ و إن كانَت مِن فِعلِنا، فقَد يَصِحُّ أن يُضيفَها اللّٰهُ إليه</w:t>
      </w:r>
      <w:r>
        <w:rPr>
          <w:rStyle w:val="FootnoteAnchor"/>
          <w:rtl w:val="true"/>
        </w:rPr>
        <w:footnoteReference w:id="2339"/>
      </w:r>
      <w:r>
        <w:rPr>
          <w:rFonts w:ascii="Amiri" w:hAnsi="Amiri" w:eastAsia="Amiri" w:cs="Amiri"/>
          <w:color w:val="111111"/>
          <w:sz w:val="28"/>
          <w:sz w:val="28"/>
          <w:szCs w:val="28"/>
          <w:rtl w:val="true"/>
          <w:lang w:bidi="ar-SA"/>
        </w:rPr>
        <w:t>مِن حَيثُ التمكينِ منها</w:t>
      </w:r>
      <w:r>
        <w:rPr>
          <w:rStyle w:val="FootnoteAnchor"/>
          <w:rtl w:val="true"/>
        </w:rPr>
        <w:footnoteReference w:id="2340"/>
      </w:r>
      <w:r>
        <w:rPr>
          <w:rFonts w:ascii="Amiri" w:hAnsi="Amiri" w:eastAsia="Amiri" w:cs="Amiri"/>
          <w:color w:val="111111"/>
          <w:sz w:val="28"/>
          <w:sz w:val="28"/>
          <w:szCs w:val="28"/>
          <w:rtl w:val="true"/>
          <w:lang w:bidi="ar-SA"/>
        </w:rPr>
        <w:t>، و التعريضِ‌</w:t>
      </w:r>
      <w:r>
        <w:rPr>
          <w:rStyle w:val="FootnoteAnchor"/>
          <w:rtl w:val="true"/>
        </w:rPr>
        <w:footnoteReference w:id="2341"/>
      </w:r>
      <w:r>
        <w:rPr>
          <w:rFonts w:ascii="Amiri" w:hAnsi="Amiri" w:eastAsia="Amiri" w:cs="Amiri"/>
          <w:color w:val="111111"/>
          <w:sz w:val="28"/>
          <w:sz w:val="28"/>
          <w:szCs w:val="28"/>
          <w:rtl w:val="true"/>
          <w:lang w:bidi="ar-SA"/>
        </w:rPr>
        <w:t>لها، و الدعاءِ إليها، و اللطفِ‌</w:t>
      </w:r>
      <w:r>
        <w:rPr>
          <w:rStyle w:val="FootnoteAnchor"/>
          <w:rtl w:val="true"/>
        </w:rPr>
        <w:footnoteReference w:id="2342"/>
      </w:r>
      <w:r>
        <w:rPr>
          <w:rFonts w:ascii="Amiri" w:hAnsi="Amiri" w:eastAsia="Amiri" w:cs="Amiri"/>
          <w:color w:val="111111"/>
          <w:sz w:val="28"/>
          <w:sz w:val="28"/>
          <w:szCs w:val="28"/>
          <w:rtl w:val="true"/>
          <w:lang w:bidi="ar-SA"/>
        </w:rPr>
        <w:t>فيها؛ و هذه أُمورٌ تُحسِّنُ هذه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ذلكَ في السيّئةِ‌؛ لأنّه تَعالىٰ نَهىٰ عنها، و مَنَعَ مِن فِعلِها، و فَعَلَ كُلَّ شَيءٍ يَصرِفُ عن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سَيِّئَةٌ يَقُولُوا هٰذِهِ مِنْ عِنْدِكَ قُلْ كُلٌّ مِنْ عِنْدِ اَللّٰهِ‌</w:t>
      </w:r>
      <w:r>
        <w:rPr>
          <w:rFonts w:eastAsia="Amiri" w:cs="Amiri" w:ascii="Amiri" w:hAnsi="Amiri"/>
          <w:color w:val="111111"/>
          <w:sz w:val="28"/>
          <w:szCs w:val="28"/>
          <w:rtl w:val="true"/>
          <w:lang w:bidi="ar-SA"/>
        </w:rPr>
        <w:t xml:space="preserve">) </w:t>
      </w:r>
      <w:r>
        <w:rPr>
          <w:rStyle w:val="FootnoteAnchor"/>
          <w:rtl w:val="true"/>
        </w:rPr>
        <w:footnoteReference w:id="2343"/>
      </w:r>
      <w:r>
        <w:rPr>
          <w:rFonts w:ascii="Amiri" w:hAnsi="Amiri" w:eastAsia="Amiri" w:cs="Amiri"/>
          <w:color w:val="111111"/>
          <w:sz w:val="28"/>
          <w:sz w:val="28"/>
          <w:szCs w:val="28"/>
          <w:rtl w:val="true"/>
          <w:lang w:bidi="ar-SA"/>
        </w:rPr>
        <w:t>، فلا يُعارِضُ ما ذَكرناه؛ لأنّ المُرادَ بالسيّئةِ هاهنا الأمراضُ و المصائبُ و القَحطُ، لأنّ قُرَيشاً كانَت إذا نَزَلَ بها خِصْبٌ و خَفضٌ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نَزَلَ بهِم شِدّةٌ و مَجاعةٌ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شؤمُ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حاشا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تَعالىٰ أنّ ذلكَ كُلَّه</w:t>
      </w:r>
      <w:r>
        <w:rPr>
          <w:rStyle w:val="FootnoteAnchor"/>
          <w:rtl w:val="true"/>
        </w:rPr>
        <w:footnoteReference w:id="2344"/>
      </w: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لَفَرِيقاً يَلْوُونَ أَلْسِنَتَهُمْ بِالْكِتٰابِ لِتَحْسَبُوهُ مِنَ اَلْكِتٰابِ وَ مٰا هُوَ مِنَ اَلْكِتٰابِ وَ يَقُولُونَ هُوَ مِنْ عِنْدِ اَللّٰهِ وَ مٰا هُوَ مِنْ عِنْدِ اَللّٰهِ وَ يَقُولُونَ عَلَى اَللّٰهِ اَلْكَذِبَ وَ هُمْ يَعْلَمُونَ‌</w:t>
      </w:r>
      <w:r>
        <w:rPr>
          <w:rFonts w:eastAsia="Amiri" w:cs="Amiri" w:ascii="Amiri" w:hAnsi="Amiri"/>
          <w:color w:val="111111"/>
          <w:sz w:val="28"/>
          <w:szCs w:val="28"/>
          <w:rtl w:val="true"/>
          <w:lang w:bidi="ar-SA"/>
        </w:rPr>
        <w:t xml:space="preserve">) </w:t>
      </w:r>
      <w:r>
        <w:rPr>
          <w:rStyle w:val="FootnoteAnchor"/>
          <w:rtl w:val="true"/>
        </w:rPr>
        <w:footnoteReference w:id="2345"/>
      </w:r>
      <w:r>
        <w:rPr>
          <w:rFonts w:ascii="Amiri" w:hAnsi="Amiri" w:eastAsia="Amiri" w:cs="Amiri"/>
          <w:color w:val="111111"/>
          <w:sz w:val="28"/>
          <w:sz w:val="28"/>
          <w:szCs w:val="28"/>
          <w:rtl w:val="true"/>
          <w:lang w:bidi="ar-SA"/>
        </w:rPr>
        <w:t>، و لَو كانَ‌</w:t>
      </w:r>
      <w:r>
        <w:rPr>
          <w:rStyle w:val="FootnoteAnchor"/>
          <w:rtl w:val="true"/>
        </w:rPr>
        <w:footnoteReference w:id="2346"/>
      </w:r>
      <w:r>
        <w:rPr>
          <w:rFonts w:ascii="Amiri" w:hAnsi="Amiri" w:eastAsia="Amiri" w:cs="Amiri"/>
          <w:color w:val="111111"/>
          <w:sz w:val="28"/>
          <w:sz w:val="28"/>
          <w:szCs w:val="28"/>
          <w:rtl w:val="true"/>
          <w:lang w:bidi="ar-SA"/>
        </w:rPr>
        <w:t>مِن خَلقِ اللّٰهِ لَكانَ مِن عندِه علىٰ آكَدِ الوجوهِ‌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 يَدُلُّ علىٰ صحّةِ ما نَذهَبُ إليه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أضافَ العبادةَ إليهم، فلَو كانَت مخلوقةً فيهم لأَضافَها إليه تَعالىٰ لا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يَقتَضي أنّ غرضَه في خَلقِهم أن يَعبُدوه؛ لأنّ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الغرضِ‌، بدَلالةِ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لِتُكرِمَني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قَصَدتُكَ لِتَنفَعَني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غرضي في قَصدِكَ الإكرامُ و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يجري هذا الكلامُ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قول أمير المؤمنين عليه السلام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اجْمَعُوا لِلفَناءِ‌، و ابْنُوا لِلخَرَابِ‌</w:t>
      </w:r>
      <w:r>
        <w:rPr>
          <w:rFonts w:eastAsia="Amiri" w:cs="Amiri" w:ascii="Amiri" w:hAnsi="Amiri"/>
          <w:color w:val="111111"/>
          <w:sz w:val="28"/>
          <w:szCs w:val="28"/>
          <w:rtl w:val="true"/>
          <w:lang w:bidi="ar-SA"/>
        </w:rPr>
        <w:t>».</w:t>
      </w:r>
      <w:r>
        <w:rPr>
          <w:rStyle w:val="FootnoteAnchor"/>
          <w:rtl w:val="true"/>
        </w:rPr>
        <w:footnoteReference w:id="2349"/>
      </w:r>
      <w:r>
        <w:rPr>
          <w:rFonts w:ascii="Amiri" w:hAnsi="Amiri" w:eastAsia="Amiri" w:cs="Amiri"/>
          <w:color w:val="111111"/>
          <w:sz w:val="28"/>
          <w:sz w:val="28"/>
          <w:szCs w:val="28"/>
          <w:rtl w:val="true"/>
          <w:lang w:bidi="ar-SA"/>
        </w:rPr>
        <w:t>لأنّ تلكَ اللّامَ لامُ عاقبةٍ‌، و جاريةٌ مَجرىٰ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 و نَحنُ نَعلَمُ أنّهم إنّما التَقَطوه ليَكونَ لهم صَديقاً سارّاً، غيرَ</w:t>
      </w:r>
      <w:r>
        <w:rPr>
          <w:rStyle w:val="FootnoteAnchor"/>
          <w:rtl w:val="true"/>
        </w:rPr>
        <w:footnoteReference w:id="2351"/>
      </w:r>
      <w:r>
        <w:rPr>
          <w:rFonts w:ascii="Amiri" w:hAnsi="Amiri" w:eastAsia="Amiri" w:cs="Amiri"/>
          <w:color w:val="111111"/>
          <w:sz w:val="28"/>
          <w:sz w:val="28"/>
          <w:szCs w:val="28"/>
          <w:rtl w:val="true"/>
          <w:lang w:bidi="ar-SA"/>
        </w:rPr>
        <w:t>أنّ العاقبةَ لمّا كانَت هي العَداوةَ أُدخِلَت هذه اللامُ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ذلكَ مَجرىٰ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فَلِلمَوتِ تَغْذو الوالِداتُ سِخالَها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لِخَرابِ الدَّهرِ تُبْنَى المَساكِنُ‌</w:t>
      </w:r>
      <w:r>
        <w:rPr>
          <w:rStyle w:val="FootnoteAnchor"/>
          <w:rtl w:val="true"/>
        </w:rPr>
        <w:footnoteReference w:id="235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w:t>
      </w:r>
      <w:r>
        <w:rPr>
          <w:rStyle w:val="FootnoteAnchor"/>
          <w:rtl w:val="true"/>
        </w:rPr>
        <w:footnoteReference w:id="2353"/>
      </w:r>
      <w:r>
        <w:rPr>
          <w:rFonts w:ascii="Amiri" w:hAnsi="Amiri" w:eastAsia="Amiri" w:cs="Amiri"/>
          <w:color w:val="111111"/>
          <w:sz w:val="28"/>
          <w:sz w:val="28"/>
          <w:szCs w:val="28"/>
          <w:rtl w:val="true"/>
          <w:lang w:bidi="ar-SA"/>
        </w:rPr>
        <w:t>لِلمَوتِ‌، و ابْنوا لِلخَرابِ‌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97" w:name="pg16415_224080"/>
    </w:p>
    <w:p>
      <w:pPr>
        <w:pStyle w:val="BookText"/>
        <w:rPr/>
      </w:pPr>
      <w:bookmarkEnd w:id="597"/>
      <w:r>
        <w:rPr>
          <w:rFonts w:ascii="Amiri" w:hAnsi="Amiri" w:eastAsia="Amiri" w:cs="Amiri"/>
          <w:color w:val="111111"/>
          <w:sz w:val="28"/>
          <w:sz w:val="28"/>
          <w:szCs w:val="28"/>
          <w:rtl w:val="true"/>
          <w:lang w:bidi="ar-SA"/>
        </w:rPr>
        <w:t>و لا يَجوزُ أن يَكونَ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عاقبةٍ لا لامَ غرضٍ‌؛ لأنّه لَو كانَ‌</w:t>
      </w:r>
      <w:r>
        <w:rPr>
          <w:rStyle w:val="FootnoteAnchor"/>
          <w:rtl w:val="true"/>
        </w:rPr>
        <w:footnoteReference w:id="2354"/>
      </w:r>
      <w:r>
        <w:rPr>
          <w:rFonts w:ascii="Amiri" w:hAnsi="Amiri" w:eastAsia="Amiri" w:cs="Amiri"/>
          <w:color w:val="111111"/>
          <w:sz w:val="28"/>
          <w:sz w:val="28"/>
          <w:szCs w:val="28"/>
          <w:rtl w:val="true"/>
          <w:lang w:bidi="ar-SA"/>
        </w:rPr>
        <w:t>كذلكَ لَكانَت العبادةُ شاملةً للجِنِّ و الإنسِ‌، و واقعةً مِن جميعِهم؛ إذ كانَت اللامُ مُنبِئةً عن عاقبتِهم، و معلومٌ أنّ في الجِنِّ و الإنسِ كثيراً مَن</w:t>
      </w:r>
      <w:r>
        <w:rPr>
          <w:rStyle w:val="FootnoteAnchor"/>
          <w:rtl w:val="true"/>
        </w:rPr>
        <w:footnoteReference w:id="2355"/>
      </w:r>
      <w:r>
        <w:rPr>
          <w:rFonts w:ascii="Amiri" w:hAnsi="Amiri" w:eastAsia="Amiri" w:cs="Amiri"/>
          <w:color w:val="111111"/>
          <w:sz w:val="28"/>
          <w:sz w:val="28"/>
          <w:szCs w:val="28"/>
          <w:rtl w:val="true"/>
          <w:lang w:bidi="ar-SA"/>
        </w:rPr>
        <w:t>لا يَعبُدُ اللّٰهَ‌، و يَجحَدُه، و لَم يُقِرَّ به؛ فعَلِمنا أنّه لامُ غرضٍ‌</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7642638_1280447820"/>
      <w:bookmarkStart w:id="599" w:name="_Toc206"/>
      <w:bookmarkEnd w:id="598"/>
      <w:r>
        <w:rPr>
          <w:rtl w:val="true"/>
        </w:rPr>
        <w:t xml:space="preserve">تحقيق معنى </w:t>
      </w:r>
      <w:r>
        <w:rPr>
          <w:rtl w:val="true"/>
        </w:rPr>
        <w:t>«</w:t>
      </w:r>
      <w:r>
        <w:rPr>
          <w:rtl w:val="true"/>
        </w:rPr>
        <w:t>القضاء</w:t>
      </w:r>
      <w:r>
        <w:rPr>
          <w:rtl w:val="true"/>
        </w:rPr>
        <w:t>»</w:t>
      </w:r>
      <w:bookmarkEnd w:id="599"/>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يَقَعَ مِن العبادِ ما لَم يَقضِه اللّٰهُ تَعالىٰ‌، و المُسلِمونَ يأبَونَ ذلكَ‌، و يُطلِقونَ أنّه لا يَخرُجُ مِن قَضاءِ اللّٰهِ شَيءٌ؟</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الإعلامِ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Style w:val="FootnoteAnchor"/>
          <w:rtl w:val="true"/>
        </w:rPr>
        <w:footnoteReference w:id="2356"/>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 وَ لَتَعْلُنَّ عُلُوًّا كَبِيراً</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 و إنّما أرادَ اللّٰهُ تَعالَى الإعلامَ بغَيرِ شُبهةٍ‌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الوجهِ لا يَخرُجُ شَيءٌ مِن قضاءِ اللّٰهِ‌، كما لا يَخرُجُ مِن معلومِه، و أنتَ إذا وقفتَ‌</w:t>
      </w:r>
      <w:r>
        <w:rPr>
          <w:rStyle w:val="FootnoteAnchor"/>
          <w:rtl w:val="true"/>
        </w:rPr>
        <w:footnoteReference w:id="2358"/>
      </w:r>
      <w:r>
        <w:rPr>
          <w:rFonts w:ascii="Amiri" w:hAnsi="Amiri" w:eastAsia="Amiri" w:cs="Amiri"/>
          <w:color w:val="111111"/>
          <w:sz w:val="28"/>
          <w:sz w:val="28"/>
          <w:szCs w:val="28"/>
          <w:rtl w:val="true"/>
          <w:lang w:bidi="ar-SA"/>
        </w:rPr>
        <w:t>علىٰ مَن أطلَقَ ذلكَ‌</w:t>
      </w:r>
      <w:r>
        <w:rPr>
          <w:rStyle w:val="FootnoteAnchor"/>
          <w:rtl w:val="true"/>
        </w:rPr>
        <w:footnoteReference w:id="2359"/>
      </w:r>
      <w:r>
        <w:rPr>
          <w:rFonts w:ascii="Amiri" w:hAnsi="Amiri" w:eastAsia="Amiri" w:cs="Amiri"/>
          <w:color w:val="111111"/>
          <w:sz w:val="28"/>
          <w:sz w:val="28"/>
          <w:szCs w:val="28"/>
          <w:rtl w:val="true"/>
          <w:lang w:bidi="ar-SA"/>
        </w:rPr>
        <w:t>مِن أهلِ الحَمدِ و السلامةِ لَم يُفسِّره</w:t>
      </w:r>
      <w:r>
        <w:rPr>
          <w:rStyle w:val="FootnoteAnchor"/>
          <w:rtl w:val="true"/>
        </w:rPr>
        <w:footnoteReference w:id="2360"/>
      </w:r>
      <w:r>
        <w:rPr>
          <w:rFonts w:ascii="Amiri" w:hAnsi="Amiri" w:eastAsia="Amiri" w:cs="Amiri"/>
          <w:color w:val="111111"/>
          <w:sz w:val="28"/>
          <w:sz w:val="28"/>
          <w:szCs w:val="28"/>
          <w:rtl w:val="true"/>
          <w:lang w:bidi="ar-SA"/>
        </w:rPr>
        <w:t>إلّابالعِلمِ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القضاءُ بمعنَى الأمرِ؛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عندَ جميعِ المُسلِمينَ أنّ المَعاصيَ و الكُفرَ لَيسا ممّا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نَهىٰ عنه و حَذَّرَ و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مِن المُسلِمينَ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بالمَعاصي و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 اللّٰهَ تَعالىٰ ما قَضىٰ بجميعِ الكائناتِ علىٰ هذا الوجهِ‌؛ لأنّه تَعالىٰ ما أمَرَ بجميعِها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الإلزامُ‌،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القاضي</w:t>
      </w:r>
      <w:r>
        <w:rPr>
          <w:rStyle w:val="FootnoteAnchor"/>
          <w:rtl w:val="true"/>
        </w:rPr>
        <w:footnoteReference w:id="2362"/>
      </w:r>
      <w:r>
        <w:rPr>
          <w:rFonts w:ascii="Amiri" w:hAnsi="Amiri" w:eastAsia="Amiri" w:cs="Amiri"/>
          <w:color w:val="111111"/>
          <w:sz w:val="28"/>
          <w:sz w:val="28"/>
          <w:szCs w:val="28"/>
          <w:rtl w:val="true"/>
          <w:lang w:bidi="ar-SA"/>
        </w:rPr>
        <w:t>بكَذا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اللّٰهَ تَعالىٰ ما حَكَمَ بالظلمِ‌، و لا 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أيضاً</w:t>
      </w:r>
      <w:r>
        <w:rPr>
          <w:rStyle w:val="FootnoteAnchor"/>
          <w:rtl w:val="true"/>
        </w:rPr>
        <w:footnoteReference w:id="2363"/>
      </w:r>
      <w:r>
        <w:rPr>
          <w:rFonts w:ascii="Amiri" w:hAnsi="Amiri" w:eastAsia="Amiri" w:cs="Amiri"/>
          <w:color w:val="111111"/>
          <w:sz w:val="28"/>
          <w:sz w:val="28"/>
          <w:szCs w:val="28"/>
          <w:rtl w:val="true"/>
          <w:lang w:bidi="ar-SA"/>
        </w:rPr>
        <w:t>غيرُ عامٍّ‌، و إنّما العامُّ‌</w:t>
      </w:r>
      <w:r>
        <w:rPr>
          <w:rStyle w:val="FootnoteAnchor"/>
          <w:rtl w:val="true"/>
        </w:rPr>
        <w:footnoteReference w:id="2364"/>
      </w:r>
      <w:r>
        <w:rPr>
          <w:rFonts w:ascii="Amiri" w:hAnsi="Amiri" w:eastAsia="Amiri" w:cs="Amiri"/>
          <w:color w:val="111111"/>
          <w:sz w:val="28"/>
          <w:sz w:val="28"/>
          <w:szCs w:val="28"/>
          <w:rtl w:val="true"/>
          <w:lang w:bidi="ar-SA"/>
        </w:rPr>
        <w:t>مِن وجوهِ‌</w:t>
      </w:r>
      <w:r>
        <w:rPr>
          <w:rStyle w:val="FootnoteAnchor"/>
          <w:rtl w:val="true"/>
        </w:rPr>
        <w:footnoteReference w:id="2365"/>
      </w:r>
      <w:r>
        <w:rPr>
          <w:rFonts w:ascii="Amiri" w:hAnsi="Amiri" w:eastAsia="Amiri" w:cs="Amiri"/>
          <w:color w:val="111111"/>
          <w:sz w:val="28"/>
          <w:sz w:val="28"/>
          <w:szCs w:val="28"/>
          <w:rtl w:val="true"/>
          <w:lang w:bidi="ar-SA"/>
        </w:rPr>
        <w:t>القضاءِ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يَكونَ العبدُ فاعلاً و اللّٰهُ تَعالىٰ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الشَّرِكةَ‌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إن كانَ فاعلاً، فبإقدارِ اللّٰهِ تَعالىٰ له</w:t>
      </w:r>
      <w:r>
        <w:rPr>
          <w:rStyle w:val="FootnoteAnchor"/>
          <w:rtl w:val="true"/>
        </w:rPr>
        <w:footnoteReference w:id="2366"/>
      </w:r>
      <w:r>
        <w:rPr>
          <w:rFonts w:ascii="Amiri" w:hAnsi="Amiri" w:eastAsia="Amiri" w:cs="Amiri"/>
          <w:color w:val="111111"/>
          <w:sz w:val="28"/>
          <w:sz w:val="28"/>
          <w:szCs w:val="28"/>
          <w:rtl w:val="true"/>
          <w:lang w:bidi="ar-SA"/>
        </w:rPr>
        <w:t>علَى الأفعالِ و تمكينِه منها</w:t>
      </w:r>
      <w:r>
        <w:rPr>
          <w:rStyle w:val="FootnoteAnchor"/>
          <w:rtl w:val="true"/>
        </w:rPr>
        <w:footnoteReference w:id="2367"/>
      </w:r>
      <w:r>
        <w:rPr>
          <w:rFonts w:ascii="Amiri" w:hAnsi="Amiri" w:eastAsia="Amiri" w:cs="Amiri"/>
          <w:color w:val="111111"/>
          <w:sz w:val="28"/>
          <w:sz w:val="28"/>
          <w:szCs w:val="28"/>
          <w:rtl w:val="true"/>
          <w:lang w:bidi="ar-SA"/>
        </w:rPr>
        <w:t>، و فِعلِه تَعالىٰ فيه القُدَرَ</w:t>
      </w:r>
      <w:r>
        <w:rPr>
          <w:rStyle w:val="FootnoteAnchor"/>
          <w:rtl w:val="true"/>
        </w:rPr>
        <w:footnoteReference w:id="2368"/>
      </w:r>
      <w:r>
        <w:rPr>
          <w:rFonts w:ascii="Amiri" w:hAnsi="Amiri" w:eastAsia="Amiri" w:cs="Amiri"/>
          <w:color w:val="111111"/>
          <w:sz w:val="28"/>
          <w:sz w:val="28"/>
          <w:szCs w:val="28"/>
          <w:rtl w:val="true"/>
          <w:lang w:bidi="ar-SA"/>
        </w:rPr>
        <w:t>و الآلاتِ و جميعَ ما يَحتاجُ إليه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قادرٌ علىٰ أفعالِه بنفسِه، مِن غيرِ مُقدِرٍ</w:t>
      </w:r>
      <w:r>
        <w:rPr>
          <w:rStyle w:val="FootnoteAnchor"/>
          <w:rtl w:val="true"/>
        </w:rPr>
        <w:footnoteReference w:id="2369"/>
      </w:r>
      <w:r>
        <w:rPr>
          <w:rFonts w:ascii="Amiri" w:hAnsi="Amiri" w:eastAsia="Amiri" w:cs="Amiri"/>
          <w:color w:val="111111"/>
          <w:sz w:val="28"/>
          <w:sz w:val="28"/>
          <w:szCs w:val="28"/>
          <w:rtl w:val="true"/>
          <w:lang w:bidi="ar-SA"/>
        </w:rPr>
        <w:t>و لا مُمكِّنٍ‌، بِلا تشابُهٍ‌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وَجَبَ بهذا القَدرِ التشابُهُ‌، لَوَجَبَ إذا كانَ أحَدُنا موجوداً و حَيّاً و عالِماً، و كانَ اللّٰهُ تَعالىٰ بهذه الصفاتِ‌، أن يَكونَ مُشبِهاً</w:t>
      </w:r>
      <w:r>
        <w:rPr>
          <w:rStyle w:val="FootnoteAnchor"/>
          <w:rtl w:val="true"/>
        </w:rPr>
        <w:footnoteReference w:id="2370"/>
      </w:r>
      <w:r>
        <w:rPr>
          <w:rFonts w:ascii="Amiri" w:hAnsi="Amiri" w:eastAsia="Amiri" w:cs="Amiri"/>
          <w:color w:val="111111"/>
          <w:sz w:val="28"/>
          <w:sz w:val="28"/>
          <w:szCs w:val="28"/>
          <w:rtl w:val="true"/>
          <w:lang w:bidi="ar-SA"/>
        </w:rPr>
        <w:t>و نَظيراً لَه</w:t>
      </w:r>
      <w:r>
        <w:rPr>
          <w:rStyle w:val="FootnoteAnchor"/>
          <w:rtl w:val="true"/>
        </w:rPr>
        <w:footnoteReference w:id="2371"/>
      </w:r>
      <w:r>
        <w:rPr>
          <w:rFonts w:ascii="Amiri" w:hAnsi="Amiri" w:eastAsia="Amiri" w:cs="Amiri"/>
          <w:color w:val="111111"/>
          <w:sz w:val="28"/>
          <w:sz w:val="28"/>
          <w:szCs w:val="28"/>
          <w:rtl w:val="true"/>
          <w:lang w:bidi="ar-SA"/>
        </w:rPr>
        <w:t>،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فَرَّقوا بَينَ الأمرَينِ بما يَرجِعُ إلىٰ كيفيّةِ استحقاقِ أحَدِنا لهذه الصفاتِ‌، و أنّه يُخالِفُ كيفيّةَ استحقاقِه تَعالىٰ لها، رَجَعنا إلىٰ مِثلِ ذلكَ في كَونِ أحَدِنا فاعلاً، و مُفارَقتِه</w:t>
      </w:r>
      <w:r>
        <w:rPr>
          <w:rStyle w:val="FootnoteAnchor"/>
          <w:rtl w:val="true"/>
        </w:rPr>
        <w:footnoteReference w:id="2372"/>
      </w:r>
      <w:r>
        <w:rPr>
          <w:rFonts w:ascii="Amiri" w:hAnsi="Amiri" w:eastAsia="Amiri" w:cs="Amiri"/>
          <w:color w:val="111111"/>
          <w:sz w:val="28"/>
          <w:sz w:val="28"/>
          <w:szCs w:val="28"/>
          <w:rtl w:val="true"/>
          <w:lang w:bidi="ar-SA"/>
        </w:rPr>
        <w:t xml:space="preserve">لكَونِه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جُملةٌ كافيةٌ إن شاءَ اللّٰهُ تَعالىٰ‌، و الحَمدُ للّٰهِ رَبِّ العالَمينَ‌</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 xml:space="preserve">. </w:t>
      </w:r>
      <w:bookmarkStart w:id="600" w:name="pg16415_224083"/>
    </w:p>
    <w:p>
      <w:pPr>
        <w:pStyle w:val="Heading4"/>
        <w:numPr>
          <w:ilvl w:val="3"/>
          <w:numId w:val="1"/>
        </w:numPr>
        <w:rPr/>
      </w:pPr>
      <w:bookmarkStart w:id="601" w:name="__RefHeading___Toc7642640_1280447820"/>
      <w:bookmarkStart w:id="602" w:name="_Toc207"/>
      <w:bookmarkEnd w:id="600"/>
      <w:bookmarkEnd w:id="601"/>
      <w:r>
        <w:rPr>
          <w:rtl w:val="true"/>
        </w:rPr>
        <w:t>(</w:t>
      </w:r>
      <w:r>
        <w:rPr/>
        <w:t>35</w:t>
      </w:r>
      <w:r>
        <w:rPr>
          <w:rtl w:val="true"/>
        </w:rPr>
        <w:t xml:space="preserve">) </w:t>
      </w:r>
      <w:r>
        <w:rPr>
          <w:rtl w:val="true"/>
        </w:rPr>
        <w:t>نقد النيسابوري في تقسيمه للأعراض</w:t>
      </w:r>
      <w:bookmarkEnd w:id="60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3" w:name="__RefHeading___Toc7642642_1280447820"/>
      <w:bookmarkStart w:id="604" w:name="_Toc208"/>
      <w:bookmarkEnd w:id="603"/>
      <w:r>
        <w:rPr>
          <w:rtl w:val="true"/>
        </w:rPr>
        <w:t>اشارة</w:t>
      </w:r>
      <w:bookmarkEnd w:id="60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6415_224085"/>
      <w:bookmarkStart w:id="606" w:name="pg16415_224085"/>
      <w:bookmarkEnd w:id="606"/>
    </w:p>
    <w:p>
      <w:pPr>
        <w:pStyle w:val="Heading5"/>
        <w:numPr>
          <w:ilvl w:val="4"/>
          <w:numId w:val="1"/>
        </w:numPr>
        <w:rPr/>
      </w:pPr>
      <w:bookmarkStart w:id="607" w:name="pg16415_224085"/>
      <w:bookmarkStart w:id="608" w:name="__RefHeading___Toc7642644_1280447820"/>
      <w:bookmarkStart w:id="609" w:name="_Toc209"/>
      <w:bookmarkEnd w:id="607"/>
      <w:bookmarkEnd w:id="608"/>
      <w:r>
        <w:rPr>
          <w:rtl w:val="true"/>
        </w:rPr>
        <w:t>مقدّمة التحقيق</w:t>
      </w:r>
      <w:bookmarkEnd w:id="609"/>
    </w:p>
    <w:p>
      <w:pPr>
        <w:pStyle w:val="Heading6"/>
        <w:numPr>
          <w:ilvl w:val="5"/>
          <w:numId w:val="1"/>
        </w:numPr>
        <w:rPr/>
      </w:pPr>
      <w:bookmarkStart w:id="610" w:name="__RefHeading___Toc7642646_1280447820"/>
      <w:bookmarkStart w:id="611" w:name="_Toc210"/>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عاش الشريف المرتضى في عصر كان يَغصّ بالعلماء من جميع الفرق و الاختصاصات، فكان هناك المتكلّمون و المحدّثون و الفقهاء و المفسّرون و الفلاسفة و المؤرّخون و الشعراء و الأُدباء و غير ذلك من أصحاب الاختصاص، الذين قد ينتمون إلى فرق و تيّارات فكريّة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الشريف المرتضى على ارتباط بالكثير من هذه الشخصيّات المهمّة، إمّا مباشرة من خلال التتلمذ و المباحثة، و إمّا بصورة غير مباشرة من خلال الاطّلاع على كتبهم و رسائلهم التي ألّفوها في كافّة الاختصاصات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الفرق التي كان الشريف المرتضى متابعاً لآخِر إنتاجها الفكري هي المعتزلة، فقد كان مطّلعاً اطّلاعاً كاملاً على مؤلّفات علماء هذه الفرقة، و خاصّة إنتاجها الكلامي المعاصر له، فكان يقرأه بدقّة، و يسجّل ملاحظاته عليه، و ربما يدخل في مناقشات مطوّلة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رصد نماذج من اطّلاع الشريف المرتضى على الإنتاج الفكري للمعتزلة المعاصرين له من خلال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كتاب المغني؛ و هو الموسوعة الكلاميّة الكبرى المعروفة بكتاب المغني في التوحيد و العدل، للقاضي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المرتضى مواكباً لهذا الإنتاج الفكري الضخم، فقام بدراسته و تلخيص بعض مطالبه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قام بنقد</w:t>
      </w:r>
    </w:p>
    <w:p>
      <w:pPr>
        <w:pStyle w:val="BookText"/>
        <w:rPr/>
      </w:pPr>
      <w:r>
        <w:rPr>
          <w:rFonts w:ascii="Amiri" w:hAnsi="Amiri" w:eastAsia="Amiri" w:cs="Amiri"/>
          <w:color w:val="111111"/>
          <w:sz w:val="28"/>
          <w:sz w:val="28"/>
          <w:szCs w:val="28"/>
          <w:rtl w:val="true"/>
          <w:lang w:bidi="ar-SA"/>
        </w:rPr>
        <w:t>أجزاء منه، خاصّة الجزء المتعلّق بالإمامة 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الشريف المرتضى موسوعته الخالدة كتاب الشافي في الإمامة، و نقد فيه أهمّ أبحاث الجزء العشرين من المغني بصورة تفصيليّة، و هو الجزء المتعلّق بالإمامة، حتّى صار يمكن اعتبار الشافي أهمَّ ما كتب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نقد في الشافي شيئاً من بحوث الإجماع من المغني، المبحوث عنها في الجزء السابع عشر من المغني المسمّى الشرعيّات</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أيضاً في كتابه الموضح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بنقد القسم المختصّ بإعجاز القرآن من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لقد كان الشريف المرتضى على اطّلاع تامّ على كتاب المغني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بنقد النقد على الشافي؛ بعد أن ألّف الشريف المرتضى كتابه الشافي، و الذي انتشر بسرعة فائقة، و تداولته الأيدي في فترة زمنية قياسيّة، قام معاصره المعتزليّ الكبير أبو الحسين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بنقد الشافي و الردّ عليه، و قد اطّلع الشريف المرتضى بطبيعة الحال على هذا الإنتاج المعتزليّ الجديد، و الموجّه إليه مباشرة، فطلب من تلميذه النابِه العالِم أبو يعلى سلّار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ردّاً على هذا الردّ</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كلام أبي رشيد النيسابوري حول الأعراض؛ كما كان الشريف المرتضى على علم بإنتاج آخر لمعاصر معتزليّ آخر، و هو أبو رشيد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يبدو أنّه كتب رسالة في بيان أنواع الأعراض و أقسامها، فرآها الشريف المرتضى و طالعها، و وجد فيها بعض الخلل و النقص، فقام بالاستدراك عليها، و إتمامها من خلال تأليف هذه الرسالة التي بأيدينا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لقد كان الشريف المرتضى مواكباً للإنتاج الفكري للمعتزلة، و مطّلعاً عليه، فكان يقرأه و ينتقده و يبدي ملاحظاته و إشكالاته و استدراكاته عليه، و ذلك من </w:t>
      </w:r>
      <w:bookmarkStart w:id="612" w:name="pg16415_224087"/>
    </w:p>
    <w:p>
      <w:pPr>
        <w:pStyle w:val="BookText"/>
        <w:rPr/>
      </w:pPr>
      <w:bookmarkEnd w:id="612"/>
      <w:r>
        <w:rPr>
          <w:rFonts w:ascii="Amiri" w:hAnsi="Amiri" w:eastAsia="Amiri" w:cs="Amiri"/>
          <w:color w:val="111111"/>
          <w:sz w:val="28"/>
          <w:sz w:val="28"/>
          <w:szCs w:val="28"/>
          <w:rtl w:val="true"/>
          <w:lang w:bidi="ar-SA"/>
        </w:rPr>
        <w:t xml:space="preserve">خلال تأليف رسالة أو كتاب، أو حتّى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تطلّب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تجلّى ذلك في الرسالة محلّ البحث، حيث قام الشريف المرتضى بإظهار براعته و عمقه الفكري، و اطّلاعه على دقائق علم الكلام في مسألة دقيقة من المسائل الكلاميّة، و هي أنواع الأعراض، فقد كان أبو رشيد سعيد بن محمّد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يُعدّ أحد كبار معتزلة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بدلوه في هذا الموضوع، فقام بذكر مجموعة من تقسيمات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رشيد هو من تلامذة القاضي عبد الجبّار المعتزلي البارزين، و كان القاضي يخاطبه بالشيخ، و لا يخاطب به أحداً غيره، و اليه انتهت الرئاسة بعد القاضي، و له تصانيف كلاميّة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الأُصول، و المسائل في الخلاف بين البصريّين و البغداديّين، و النقض على أصحاب الطبائع، و التذكرة، و زيادات الشرح، و قد توفّي بالريّ سنة </w:t>
      </w:r>
      <w:r>
        <w:rPr>
          <w:rFonts w:eastAsia="Amiri" w:cs="Amiri" w:ascii="Amiri" w:hAnsi="Amiri"/>
          <w:color w:val="111111"/>
          <w:sz w:val="28"/>
          <w:szCs w:val="28"/>
          <w:lang w:bidi="ar-SA"/>
        </w:rPr>
        <w:t>440</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7642648_1280447820"/>
      <w:bookmarkStart w:id="614" w:name="_Toc211"/>
      <w:bookmarkEnd w:id="613"/>
      <w:r>
        <w:rPr>
          <w:rtl w:val="true"/>
        </w:rPr>
        <w:t>محتوى الرسالة</w:t>
      </w:r>
      <w:bookmarkEnd w:id="61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نشير في البداية إلى أنّ المتكلّمين قسّموا الأعراض إلى اثنين و عشرين نوعاً، عشرة منها مقدور لنا، و الاثنى عشر الباقية يختصّ القديم تعالى بالقدرة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المقدورة لنا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و الاعتماد، و الألم، و الصوت، و التأليف، و الاعتقاد، و النظر، و الظنّ‌، و الإرادة،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الخمسة الأُولى منها من أفعال الجوارح، و الأخيرة من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الباقية الواقعة تحت قدرته تعالى فقط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 القدرة، و الشهوة، و النِّفار، و اللون، و الرطوبة، و اليبوسة، و الحرارة، و البرودة، و الطعم، و الرائحة، و الفناء</w:t>
      </w:r>
      <w:r>
        <w:rPr>
          <w:rFonts w:eastAsia="Amiri" w:cs="Amiri" w:ascii="Amiri" w:hAnsi="Amiri"/>
          <w:color w:val="111111"/>
          <w:sz w:val="28"/>
          <w:szCs w:val="28"/>
          <w:rtl w:val="true"/>
          <w:lang w:bidi="ar-SA"/>
        </w:rPr>
        <w:t>.</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ثمّ إنّ الشريف المرتضى ذكر في مقدّمة الرسالة أنّ النيسابوري قد ذكر عند تقسيمه لأنواع الأعراض تقسيمات متعدّدة، ولكنّه غفل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إيراد تقسميات أُخرى للأعراض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بعض تقسيمات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الأقسام و الأمثلة، و لذلك قام الشريف المرتضى في هذه الرسالة باستدراك ما فات النيسابوريَّ من ذلك، فقسّم الرسالة بناء على ذلك إلى قسمين رئيسيين</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تقسيمات أُخرى للأعراض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التقسيمات التي غفل النيسابوري عن ذكرها،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لمن يختصّ به حالاً، و ما لا يوجِب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حالاً للحيّ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يوجب حالاً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لمحلّه حكماً، و ما لا يوجب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القسم لا يوجب حالاً و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أن يتعلّق بكلّ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 و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له حالاً، و ما لا يصحّ أن يتعلّق إلّابالمُحدَث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عرض يختصّ بالقديم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خلوّ الجواهر من نوعه، و ما يصحّ خلوّها و تعرّيها من أجناسه و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حدوث الأجسام و الجواهر، و ما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التقسيم يقسّم الأعراض إلى ثلاثة أقسام، و هي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يكون إلّاحسناً و لا قبح فيه، و ما لا يكون إلّاقبيحاً و لا حُسن فيه، و ما يمكن أن يدخل </w:t>
      </w:r>
    </w:p>
    <w:p>
      <w:pPr>
        <w:pStyle w:val="BookText"/>
        <w:rPr/>
      </w:pPr>
      <w:r>
        <w:rPr>
          <w:rFonts w:ascii="Amiri" w:hAnsi="Amiri" w:eastAsia="Amiri" w:cs="Amiri"/>
          <w:color w:val="111111"/>
          <w:sz w:val="28"/>
          <w:sz w:val="28"/>
          <w:szCs w:val="28"/>
          <w:rtl w:val="true"/>
          <w:lang w:bidi="ar-SA"/>
        </w:rPr>
        <w:t>عليه الحُسن و القبح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القسم الثاني من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لا يكون إلّاقبيحاً و لا حُسن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ما لا يمكن أن يكون حسناً بأيّ وجه من الوجوه، و إلى ما يمكن أن يكون حسناً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يقبح لوجه يخصّه و آخر يعمّه و غيرَه، و ما لا يقبح إلّالوجه يعمّه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أقسام و أمثلة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الشريف المرتضى في هذا القسم من الرسالة ببيان ملاحظاته و استدراكاته على تقسيمات النيسابوري، فذكر أنّه عندما تعرّض إلى بعض التقسيمات، غفل عن ذكر بعض الأقسام المهمّة و بعض الأمثلة، و هذه الملاحظات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النيسابوري تقسيم الأعراض إلى متماثِل و مختلِف و متضادّ، فعندما ذكر أمثلة المتماثِل غفل عن ذكر الحرارة و البرودة و الرطوبة و اليبوسة، مع أنّها من المتماثِلات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ذكر أمثلة قسم المتماثِل المتضادّ الذي لا يدخله المختلِف الذي هو ليس بمتضادّ، غفل عن ذكر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النيسابوري أقسام الأعراض المتعلّقات، غفل عن ذكر ضروب تعلّقها، و هي أنّ المتعلّقات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بعين واحدة تفصيلاً، و ما يتعلّق بما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 أيضاً عن تقسيم المتعلّقات إلى ما يتعلّق بمتعلَّقه على نحو الجملة و التفصيل، و ما لا يتعلّق إلّاعلى نحو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النيسابوري كيفيّة توليد الأسباب المولِّدة، غفل عن تقسيم هذه الأسباب إلى ما يولِّد في الزمن الثاني، و ما يولِّد في حال حدوثه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النيسابوري تقسيم الأعراض المحسوسة إلى ما يكفي في </w:t>
      </w:r>
      <w:bookmarkStart w:id="615" w:name="pg16415_224090"/>
    </w:p>
    <w:p>
      <w:pPr>
        <w:pStyle w:val="BookText"/>
        <w:rPr/>
      </w:pPr>
      <w:bookmarkEnd w:id="615"/>
      <w:r>
        <w:rPr>
          <w:rFonts w:ascii="Amiri" w:hAnsi="Amiri" w:eastAsia="Amiri" w:cs="Amiri"/>
          <w:color w:val="111111"/>
          <w:sz w:val="28"/>
          <w:sz w:val="28"/>
          <w:szCs w:val="28"/>
          <w:rtl w:val="true"/>
          <w:lang w:bidi="ar-SA"/>
        </w:rPr>
        <w:t>الإحساس به محلُّ الحياة، و ما لا يكفي ذلك فيه بل يحتاج إلى الحاسّة للإحساس به، غفل عن ذكر الأراييح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 أيضاً عن تقسيم الأعراض المحسوسة إلى ما يُدرَك بمحلّ الحياة، و ما يُدرَك في محلّه، و ما يُدرَك محلُّه من غير إدراكه</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7642650_1280447820"/>
      <w:bookmarkStart w:id="617" w:name="_Toc212"/>
      <w:bookmarkEnd w:id="616"/>
      <w:r>
        <w:rPr>
          <w:rtl w:val="true"/>
        </w:rPr>
        <w:t>عنوان الرسالة و نسبتها إلى المؤلّف</w:t>
      </w:r>
      <w:bookmarkEnd w:id="617"/>
    </w:p>
    <w:p>
      <w:pPr>
        <w:pStyle w:val="BookText"/>
        <w:rPr/>
      </w:pPr>
      <w:r>
        <w:rPr>
          <w:rFonts w:ascii="Amiri" w:hAnsi="Amiri" w:eastAsia="Amiri" w:cs="Amiri"/>
          <w:color w:val="111111"/>
          <w:sz w:val="28"/>
          <w:sz w:val="28"/>
          <w:szCs w:val="28"/>
          <w:rtl w:val="true"/>
          <w:lang w:bidi="ar-SA"/>
        </w:rPr>
        <w:t xml:space="preserve">يعتبر عمل الشريف المرتضى في هذه الرسالة استدراكاً و تتميماً لعمل النيسابوري؛ و لذلك سمّاها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تتمّة أنواع الأعراض من جمع أبي رشيد النيسابوري</w:t>
      </w:r>
      <w:r>
        <w:rPr>
          <w:rFonts w:eastAsia="Amiri" w:cs="Amiri" w:ascii="Amiri" w:hAnsi="Amiri"/>
          <w:color w:val="111111"/>
          <w:sz w:val="28"/>
          <w:szCs w:val="28"/>
          <w:rtl w:val="true"/>
          <w:lang w:bidi="ar-SA"/>
        </w:rPr>
        <w:t>»</w:t>
      </w:r>
      <w:r>
        <w:rPr>
          <w:rStyle w:val="FootnoteAnchor"/>
          <w:rtl w:val="true"/>
        </w:rPr>
        <w:footnoteReference w:id="2379"/>
      </w:r>
      <w:r>
        <w:rPr>
          <w:rFonts w:ascii="Amiri" w:hAnsi="Amiri" w:eastAsia="Amiri" w:cs="Amiri"/>
          <w:color w:val="111111"/>
          <w:sz w:val="28"/>
          <w:sz w:val="28"/>
          <w:szCs w:val="28"/>
          <w:rtl w:val="true"/>
          <w:lang w:bidi="ar-SA"/>
        </w:rPr>
        <w:t>كما سمّيت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المتمِّم لأنواع الأعراض من جمع أبي رشيد النيسابوري</w:t>
      </w:r>
      <w:r>
        <w:rPr>
          <w:rFonts w:eastAsia="Amiri" w:cs="Amiri" w:ascii="Amiri" w:hAnsi="Amiri"/>
          <w:color w:val="111111"/>
          <w:sz w:val="28"/>
          <w:szCs w:val="28"/>
          <w:rtl w:val="true"/>
          <w:lang w:bidi="ar-SA"/>
        </w:rPr>
        <w:t>»</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ابن شهر آشوب قد ذكر هذه الرسالة كما تقدّمت الإشارة إلى ذلك آنفاً، و نسبها إلى الشريف المرتضى، فيمكن الاطمئنان إلى صحّة نسبتها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الرسالة قد طبعت في ضمن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النيسابوري في تقسيمه للأعراض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الطبعة هي المقصودة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التحقيق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طبعت الرسالة في ضمن مسائل المرتضى،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الأعراض</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7642652_1280447820"/>
      <w:bookmarkStart w:id="619" w:name="_Toc213"/>
      <w:bookmarkEnd w:id="618"/>
      <w:r>
        <w:rPr>
          <w:rtl w:val="true"/>
        </w:rPr>
        <w:t>مخطوطات الرسالة</w:t>
      </w:r>
      <w:bookmarkEnd w:id="619"/>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 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6415_224093"/>
      <w:bookmarkStart w:id="621" w:name="pg16415_224093"/>
      <w:bookmarkEnd w:id="621"/>
    </w:p>
    <w:p>
      <w:pPr>
        <w:pStyle w:val="Heading5"/>
        <w:numPr>
          <w:ilvl w:val="4"/>
          <w:numId w:val="1"/>
        </w:numPr>
        <w:rPr/>
      </w:pPr>
      <w:bookmarkStart w:id="622" w:name="pg16415_224093"/>
      <w:bookmarkStart w:id="623" w:name="__RefHeading___Toc7642654_1280447820"/>
      <w:bookmarkStart w:id="624" w:name="_Toc214"/>
      <w:bookmarkEnd w:id="622"/>
      <w:bookmarkEnd w:id="623"/>
      <w:r>
        <w:rPr>
          <w:rtl w:val="true"/>
        </w:rPr>
        <w:t>نَقدُ النَّيسابوريِّ في تقسيمِه للأعراضِ‌</w:t>
      </w:r>
      <w:bookmarkEnd w:id="624"/>
    </w:p>
    <w:p>
      <w:pPr>
        <w:pStyle w:val="Heading6"/>
        <w:numPr>
          <w:ilvl w:val="5"/>
          <w:numId w:val="1"/>
        </w:numPr>
        <w:rPr/>
      </w:pPr>
      <w:bookmarkStart w:id="625" w:name="__RefHeading___Toc7642656_1280447820"/>
      <w:bookmarkStart w:id="626" w:name="_Toc215"/>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تَصفَّحتُ الأوراقَ التي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رَشيدٍ سَعيدُ بنُ محمّدٍ</w:t>
      </w:r>
      <w:r>
        <w:rPr>
          <w:rFonts w:eastAsia="Amiri" w:cs="Amiri" w:ascii="Amiri" w:hAnsi="Amiri"/>
          <w:color w:val="111111"/>
          <w:sz w:val="28"/>
          <w:szCs w:val="28"/>
          <w:rtl w:val="true"/>
          <w:lang w:bidi="ar-SA"/>
        </w:rPr>
        <w:t>»</w:t>
      </w:r>
      <w:r>
        <w:rPr>
          <w:rStyle w:val="FootnoteAnchor"/>
          <w:rtl w:val="true"/>
        </w:rPr>
        <w:footnoteReference w:id="2381"/>
      </w:r>
      <w:r>
        <w:rPr>
          <w:rFonts w:ascii="Amiri" w:hAnsi="Amiri" w:eastAsia="Amiri" w:cs="Amiri"/>
          <w:color w:val="111111"/>
          <w:sz w:val="28"/>
          <w:sz w:val="28"/>
          <w:szCs w:val="28"/>
          <w:rtl w:val="true"/>
          <w:lang w:bidi="ar-SA"/>
        </w:rPr>
        <w:t>في ذِكرِ أنواعِ الأعراضِ و أقسامِها و فُنونِ أحكامِها، فوَجَدتُه</w:t>
      </w:r>
      <w:r>
        <w:rPr>
          <w:rStyle w:val="FootnoteAnchor"/>
          <w:rtl w:val="true"/>
        </w:rPr>
        <w:footnoteReference w:id="2382"/>
      </w:r>
      <w:r>
        <w:rPr>
          <w:rFonts w:ascii="Amiri" w:hAnsi="Amiri" w:eastAsia="Amiri" w:cs="Amiri"/>
          <w:color w:val="111111"/>
          <w:sz w:val="28"/>
          <w:sz w:val="28"/>
          <w:szCs w:val="28"/>
          <w:rtl w:val="true"/>
          <w:lang w:bidi="ar-SA"/>
        </w:rPr>
        <w:t>قد أخَلَّ بأقسامٍ‌</w:t>
      </w:r>
      <w:r>
        <w:rPr>
          <w:rStyle w:val="FootnoteAnchor"/>
          <w:rtl w:val="true"/>
        </w:rPr>
        <w:footnoteReference w:id="2383"/>
      </w:r>
      <w:r>
        <w:rPr>
          <w:rFonts w:ascii="Amiri" w:hAnsi="Amiri" w:eastAsia="Amiri" w:cs="Amiri"/>
          <w:color w:val="111111"/>
          <w:sz w:val="28"/>
          <w:sz w:val="28"/>
          <w:szCs w:val="28"/>
          <w:rtl w:val="true"/>
          <w:lang w:bidi="ar-SA"/>
        </w:rPr>
        <w:t>كانَ يَجِبُ‌</w:t>
      </w:r>
      <w:r>
        <w:rPr>
          <w:rStyle w:val="FootnoteAnchor"/>
          <w:rtl w:val="true"/>
        </w:rPr>
        <w:footnoteReference w:id="2384"/>
      </w:r>
      <w:r>
        <w:rPr>
          <w:rFonts w:ascii="Amiri" w:hAnsi="Amiri" w:eastAsia="Amiri" w:cs="Amiri"/>
          <w:color w:val="111111"/>
          <w:sz w:val="28"/>
          <w:sz w:val="28"/>
          <w:szCs w:val="28"/>
          <w:rtl w:val="true"/>
          <w:lang w:bidi="ar-SA"/>
        </w:rPr>
        <w:t>أن يَذكُرَها، كما ذَكَرَ ما يَجري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 أيضاً في تقسيماتِه</w:t>
      </w:r>
      <w:r>
        <w:rPr>
          <w:rStyle w:val="FootnoteAnchor"/>
          <w:rtl w:val="true"/>
        </w:rPr>
        <w:footnoteReference w:id="2385"/>
      </w:r>
      <w:r>
        <w:rPr>
          <w:rFonts w:ascii="Amiri" w:hAnsi="Amiri" w:eastAsia="Amiri" w:cs="Amiri"/>
          <w:color w:val="111111"/>
          <w:sz w:val="28"/>
          <w:sz w:val="28"/>
          <w:szCs w:val="28"/>
          <w:rtl w:val="true"/>
          <w:lang w:bidi="ar-SA"/>
        </w:rPr>
        <w:t>بأقسامٍ‌، و تمثيلاتِه</w:t>
      </w:r>
      <w:r>
        <w:rPr>
          <w:rStyle w:val="FootnoteAnchor"/>
          <w:rtl w:val="true"/>
        </w:rPr>
        <w:footnoteReference w:id="2386"/>
      </w:r>
      <w:r>
        <w:rPr>
          <w:rFonts w:ascii="Amiri" w:hAnsi="Amiri" w:eastAsia="Amiri" w:cs="Amiri"/>
          <w:color w:val="111111"/>
          <w:sz w:val="28"/>
          <w:sz w:val="28"/>
          <w:szCs w:val="28"/>
          <w:rtl w:val="true"/>
          <w:lang w:bidi="ar-SA"/>
        </w:rPr>
        <w:t>بأشياءَ لا بدّ من ذكرها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w:t>
      </w:r>
      <w:r>
        <w:rPr>
          <w:rStyle w:val="FootnoteAnchor"/>
          <w:rtl w:val="true"/>
        </w:rPr>
        <w:footnoteReference w:id="2387"/>
      </w:r>
      <w:r>
        <w:rPr>
          <w:rFonts w:ascii="Amiri" w:hAnsi="Amiri" w:eastAsia="Amiri" w:cs="Amiri"/>
          <w:color w:val="111111"/>
          <w:sz w:val="28"/>
          <w:sz w:val="28"/>
          <w:szCs w:val="28"/>
          <w:rtl w:val="true"/>
          <w:lang w:bidi="ar-SA"/>
        </w:rPr>
        <w:t>أُشيرُ إلىٰ ذلكَ‌؛ حتّىٰ يَتكامَلَ‌</w:t>
      </w:r>
      <w:r>
        <w:rPr>
          <w:rStyle w:val="FootnoteAnchor"/>
          <w:rtl w:val="true"/>
        </w:rPr>
        <w:footnoteReference w:id="2388"/>
      </w:r>
      <w:r>
        <w:rPr>
          <w:rFonts w:ascii="Amiri" w:hAnsi="Amiri" w:eastAsia="Amiri" w:cs="Amiri"/>
          <w:color w:val="111111"/>
          <w:sz w:val="28"/>
          <w:sz w:val="28"/>
          <w:szCs w:val="28"/>
          <w:rtl w:val="true"/>
          <w:lang w:bidi="ar-SA"/>
        </w:rPr>
        <w:t>بما استَدرَكتُه، و بِما</w:t>
      </w:r>
      <w:r>
        <w:rPr>
          <w:rStyle w:val="FootnoteAnchor"/>
          <w:rtl w:val="true"/>
        </w:rPr>
        <w:footnoteReference w:id="2389"/>
      </w:r>
      <w:r>
        <w:rPr>
          <w:rFonts w:ascii="Amiri" w:hAnsi="Amiri" w:eastAsia="Amiri" w:cs="Amiri"/>
          <w:color w:val="111111"/>
          <w:sz w:val="28"/>
          <w:sz w:val="28"/>
          <w:szCs w:val="28"/>
          <w:rtl w:val="true"/>
          <w:lang w:bidi="ar-SA"/>
        </w:rPr>
        <w:t xml:space="preserve">تَقدَّمَه جميعاً ما </w:t>
      </w:r>
      <w:bookmarkStart w:id="627" w:name="pg16415_224094"/>
    </w:p>
    <w:p>
      <w:pPr>
        <w:pStyle w:val="BookText"/>
        <w:rPr/>
      </w:pPr>
      <w:bookmarkEnd w:id="627"/>
      <w:r>
        <w:rPr>
          <w:rFonts w:ascii="Amiri" w:hAnsi="Amiri" w:eastAsia="Amiri" w:cs="Amiri"/>
          <w:color w:val="111111"/>
          <w:sz w:val="28"/>
          <w:sz w:val="28"/>
          <w:szCs w:val="28"/>
          <w:rtl w:val="true"/>
          <w:lang w:bidi="ar-SA"/>
        </w:rPr>
        <w:t>تَتعلَّقُ به الحاجةُ‌</w:t>
      </w:r>
      <w:r>
        <w:rPr>
          <w:rStyle w:val="FootnoteAnchor"/>
          <w:rtl w:val="true"/>
        </w:rPr>
        <w:footnoteReference w:id="2390"/>
      </w:r>
      <w:r>
        <w:rPr>
          <w:rFonts w:ascii="Amiri" w:hAnsi="Amiri" w:eastAsia="Amiri" w:cs="Amiri"/>
          <w:color w:val="111111"/>
          <w:sz w:val="28"/>
          <w:sz w:val="28"/>
          <w:szCs w:val="28"/>
          <w:rtl w:val="true"/>
          <w:lang w:bidi="ar-SA"/>
        </w:rPr>
        <w:t>في هذا البابِ‌، بمَشيئةِ اللّٰهِ و عَونِه و حُسنِ مَعونتِه</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7642658_1280447820"/>
      <w:bookmarkStart w:id="629" w:name="_Toc216"/>
      <w:bookmarkEnd w:id="628"/>
      <w:r>
        <w:rPr>
          <w:rtl w:val="true"/>
        </w:rPr>
        <w:t>تقسيماتُ الأعراضِ‌</w:t>
      </w:r>
      <w:bookmarkEnd w:id="629"/>
    </w:p>
    <w:p>
      <w:pPr>
        <w:pStyle w:val="Heading6"/>
        <w:numPr>
          <w:ilvl w:val="5"/>
          <w:numId w:val="1"/>
        </w:numPr>
        <w:rPr/>
      </w:pPr>
      <w:bookmarkStart w:id="630" w:name="__RefHeading___Toc7642660_1280447820"/>
      <w:bookmarkStart w:id="631" w:name="_Toc217"/>
      <w:bookmarkEnd w:id="630"/>
      <w:r>
        <w:rPr>
          <w:rtl w:val="true"/>
        </w:rPr>
        <w:t>التقسيم الأوّل</w:t>
      </w:r>
      <w:bookmarkEnd w:id="631"/>
    </w:p>
    <w:p>
      <w:pPr>
        <w:pStyle w:val="BookText"/>
        <w:rPr/>
      </w:pPr>
      <w:r>
        <w:rPr>
          <w:rFonts w:ascii="Amiri" w:hAnsi="Amiri" w:eastAsia="Amiri" w:cs="Amiri"/>
          <w:color w:val="111111"/>
          <w:sz w:val="28"/>
          <w:sz w:val="28"/>
          <w:szCs w:val="28"/>
          <w:rtl w:val="true"/>
          <w:lang w:bidi="ar-SA"/>
        </w:rPr>
        <w:t>الأعراضُ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Style w:val="FootnoteAnchor"/>
          <w:rtl w:val="true"/>
        </w:rPr>
        <w:footnoteReference w:id="2391"/>
      </w:r>
      <w:r>
        <w:rPr>
          <w:rFonts w:ascii="Amiri" w:hAnsi="Amiri" w:eastAsia="Amiri" w:cs="Amiri"/>
          <w:color w:val="111111"/>
          <w:sz w:val="28"/>
          <w:sz w:val="28"/>
          <w:szCs w:val="28"/>
          <w:rtl w:val="true"/>
          <w:lang w:bidi="ar-SA"/>
        </w:rPr>
        <w:t>يوجِبُ لِمَن</w:t>
      </w:r>
      <w:r>
        <w:rPr>
          <w:rStyle w:val="FootnoteAnchor"/>
          <w:rtl w:val="true"/>
        </w:rPr>
        <w:footnoteReference w:id="2392"/>
      </w:r>
      <w:r>
        <w:rPr>
          <w:rFonts w:ascii="Amiri" w:hAnsi="Amiri" w:eastAsia="Amiri" w:cs="Amiri"/>
          <w:color w:val="111111"/>
          <w:sz w:val="28"/>
          <w:sz w:val="28"/>
          <w:szCs w:val="28"/>
          <w:rtl w:val="true"/>
          <w:lang w:bidi="ar-SA"/>
        </w:rPr>
        <w:t>يَختَصُّ به حالاً</w:t>
      </w:r>
      <w:r>
        <w:rPr>
          <w:rStyle w:val="FootnoteAnchor"/>
          <w:rtl w:val="true"/>
        </w:rPr>
        <w:footnoteReference w:id="2393"/>
      </w:r>
      <w:r>
        <w:rPr>
          <w:rFonts w:ascii="Amiri" w:hAnsi="Amiri" w:eastAsia="Amiri" w:cs="Amiri"/>
          <w:color w:val="111111"/>
          <w:sz w:val="28"/>
          <w:sz w:val="28"/>
          <w:szCs w:val="28"/>
          <w:rtl w:val="true"/>
          <w:lang w:bidi="ar-SA"/>
        </w:rPr>
        <w:t>، و الآخَرُ لا يوجِبُ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يوجِبُ حالاً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يوجِبُ حالاً لِحَيٍّ‌</w:t>
      </w:r>
      <w:r>
        <w:rPr>
          <w:rStyle w:val="FootnoteAnchor"/>
          <w:rtl w:val="true"/>
        </w:rPr>
        <w:footnoteReference w:id="2394"/>
      </w:r>
      <w:r>
        <w:rPr>
          <w:rFonts w:ascii="Amiri" w:hAnsi="Amiri" w:eastAsia="Amiri" w:cs="Amiri"/>
          <w:color w:val="111111"/>
          <w:sz w:val="28"/>
          <w:sz w:val="28"/>
          <w:szCs w:val="28"/>
          <w:rtl w:val="true"/>
          <w:lang w:bidi="ar-SA"/>
        </w:rPr>
        <w:t>، و الضربُ الآخَرُ يوجِبُ الحالَ لمَحَلِّه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يوجِبُ حالاً لحَيٍّ‌، فأنواعٌ‌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و الإراداتُ‌، و الكَراهاتُ‌، و الظُّنونُ‌، و القُدرةُ‌، و الحَياةُ‌،</w:t>
      </w:r>
      <w:r>
        <w:rPr>
          <w:rStyle w:val="FootnoteAnchor"/>
          <w:rtl w:val="true"/>
        </w:rPr>
        <w:footnoteReference w:id="2395"/>
      </w:r>
      <w:r>
        <w:rPr>
          <w:rFonts w:ascii="Amiri" w:hAnsi="Amiri" w:eastAsia="Amiri" w:cs="Amiri"/>
          <w:color w:val="111111"/>
          <w:sz w:val="28"/>
          <w:sz w:val="28"/>
          <w:szCs w:val="28"/>
          <w:rtl w:val="true"/>
          <w:lang w:bidi="ar-SA"/>
        </w:rPr>
        <w:t>و الشهوةُ‌، و أضدادُها</w:t>
      </w:r>
      <w:r>
        <w:rPr>
          <w:rStyle w:val="FootnoteAnchor"/>
          <w:rtl w:val="true"/>
        </w:rPr>
        <w:footnoteReference w:id="2396"/>
      </w:r>
      <w:r>
        <w:rPr>
          <w:rFonts w:ascii="Amiri" w:hAnsi="Amiri" w:eastAsia="Amiri" w:cs="Amiri"/>
          <w:color w:val="111111"/>
          <w:sz w:val="28"/>
          <w:sz w:val="28"/>
          <w:szCs w:val="28"/>
          <w:rtl w:val="true"/>
          <w:lang w:bidi="ar-SA"/>
        </w:rPr>
        <w:t>، و النظَرُ</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2398"/>
      </w:r>
      <w:r>
        <w:rPr>
          <w:rFonts w:ascii="Amiri" w:hAnsi="Amiri" w:eastAsia="Amiri" w:cs="Amiri"/>
          <w:color w:val="111111"/>
          <w:sz w:val="28"/>
          <w:sz w:val="28"/>
          <w:szCs w:val="28"/>
          <w:rtl w:val="true"/>
          <w:lang w:bidi="ar-SA"/>
        </w:rPr>
        <w:t>ما يوجِبُ حالاً لمَحَلِّه، فهو أنواعُ الأكوانِ‌</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 و لا مَحَلٍّ‌</w:t>
      </w:r>
      <w:r>
        <w:rPr>
          <w:rStyle w:val="FootnoteAnchor"/>
          <w:rtl w:val="true"/>
        </w:rPr>
        <w:footnoteReference w:id="2400"/>
      </w:r>
      <w:r>
        <w:rPr>
          <w:rFonts w:ascii="Amiri" w:hAnsi="Amiri" w:eastAsia="Amiri" w:cs="Amiri"/>
          <w:color w:val="111111"/>
          <w:sz w:val="28"/>
          <w:sz w:val="28"/>
          <w:szCs w:val="28"/>
          <w:rtl w:val="true"/>
          <w:lang w:bidi="ar-SA"/>
        </w:rPr>
        <w:t>، فما عَدا ما ذَكرناه</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يَنقَسِمُ‌ ما لا يوجِبُ حالاً لمَحَلٍّ و لا جُملةٍ‌</w:t>
      </w:r>
      <w:r>
        <w:rPr>
          <w:rStyle w:val="FootnoteAnchor"/>
          <w:rtl w:val="true"/>
        </w:rPr>
        <w:footnoteReference w:id="2402"/>
      </w:r>
      <w:r>
        <w:rPr>
          <w:rFonts w:ascii="Amiri" w:hAnsi="Amiri" w:eastAsia="Amiri" w:cs="Amiri"/>
          <w:color w:val="111111"/>
          <w:sz w:val="28"/>
          <w:sz w:val="28"/>
          <w:szCs w:val="28"/>
          <w:rtl w:val="true"/>
          <w:lang w:bidi="ar-SA"/>
        </w:rPr>
        <w:t>إلىٰ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يوجِبُ لمَحَلِّه حُكماً</w:t>
      </w:r>
      <w:r>
        <w:rPr>
          <w:rStyle w:val="FootnoteAnchor"/>
          <w:rtl w:val="true"/>
        </w:rPr>
        <w:footnoteReference w:id="2403"/>
      </w:r>
      <w:r>
        <w:rPr>
          <w:rFonts w:ascii="Amiri" w:hAnsi="Amiri" w:eastAsia="Amiri" w:cs="Amiri"/>
          <w:color w:val="111111"/>
          <w:sz w:val="28"/>
          <w:sz w:val="28"/>
          <w:szCs w:val="28"/>
          <w:rtl w:val="true"/>
          <w:lang w:bidi="ar-SA"/>
        </w:rPr>
        <w:t>، و ضَربٌ لا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w:t>
      </w:r>
      <w:r>
        <w:rPr>
          <w:rStyle w:val="FootnoteAnchor"/>
          <w:rtl w:val="true"/>
        </w:rPr>
        <w:footnoteReference w:id="2404"/>
      </w:r>
      <w:r>
        <w:rPr>
          <w:rFonts w:ascii="Amiri" w:hAnsi="Amiri" w:eastAsia="Amiri" w:cs="Amiri"/>
          <w:color w:val="111111"/>
          <w:sz w:val="28"/>
          <w:sz w:val="28"/>
          <w:szCs w:val="28"/>
          <w:rtl w:val="true"/>
          <w:lang w:bidi="ar-SA"/>
        </w:rPr>
        <w:t>إذا كانَ التزاقاً</w:t>
      </w:r>
      <w:r>
        <w:rPr>
          <w:rStyle w:val="FootnoteAnchor"/>
          <w:rtl w:val="true"/>
        </w:rPr>
        <w:footnoteReference w:id="2405"/>
      </w:r>
      <w:r>
        <w:rPr>
          <w:rFonts w:ascii="IRNazanin" w:hAnsi="IRNazanin" w:eastAsia="IRNazanin"/>
          <w:color w:val="111111"/>
          <w:sz w:val="28"/>
          <w:sz w:val="28"/>
          <w:szCs w:val="28"/>
          <w:rtl w:val="true"/>
          <w:lang w:bidi="fa-IR"/>
        </w:rPr>
        <w:t>، و الاعتماداتُ‌</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لا يوجِبُ حالاً و لا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Style w:val="FootnoteAnchor"/>
          <w:rtl w:val="true"/>
        </w:rPr>
        <w:footnoteReference w:id="2407"/>
      </w:r>
      <w:r>
        <w:rPr>
          <w:rFonts w:ascii="Amiri" w:hAnsi="Amiri" w:eastAsia="Amiri" w:cs="Amiri"/>
          <w:color w:val="111111"/>
          <w:sz w:val="28"/>
          <w:sz w:val="28"/>
          <w:szCs w:val="28"/>
          <w:rtl w:val="true"/>
          <w:lang w:bidi="ar-SA"/>
        </w:rPr>
        <w:t>المُدرَكاتُ‌</w:t>
      </w:r>
      <w:r>
        <w:rPr>
          <w:rStyle w:val="FootnoteAnchor"/>
          <w:rtl w:val="true"/>
        </w:rPr>
        <w:footnoteReference w:id="2408"/>
      </w:r>
      <w:r>
        <w:rPr>
          <w:rFonts w:ascii="Amiri" w:hAnsi="Amiri" w:eastAsia="Amiri" w:cs="Amiri"/>
          <w:color w:val="111111"/>
          <w:sz w:val="28"/>
          <w:sz w:val="28"/>
          <w:szCs w:val="28"/>
          <w:rtl w:val="true"/>
          <w:lang w:bidi="ar-SA"/>
        </w:rPr>
        <w:t>مِن الألوانِ‌، و الطُّعومِ‌</w:t>
      </w:r>
      <w:r>
        <w:rPr>
          <w:rStyle w:val="FootnoteAnchor"/>
          <w:rtl w:val="true"/>
        </w:rPr>
        <w:footnoteReference w:id="2409"/>
      </w:r>
      <w:r>
        <w:rPr>
          <w:rFonts w:ascii="Amiri" w:hAnsi="Amiri" w:eastAsia="Amiri" w:cs="Amiri"/>
          <w:color w:val="111111"/>
          <w:sz w:val="28"/>
          <w:sz w:val="28"/>
          <w:szCs w:val="28"/>
          <w:rtl w:val="true"/>
          <w:lang w:bidi="ar-SA"/>
        </w:rPr>
        <w:t>، و الأراييحِ‌</w:t>
      </w:r>
      <w:r>
        <w:rPr>
          <w:rStyle w:val="FootnoteAnchor"/>
          <w:rtl w:val="true"/>
        </w:rPr>
        <w:footnoteReference w:id="2410"/>
      </w:r>
      <w:r>
        <w:rPr>
          <w:rFonts w:ascii="Amiri" w:hAnsi="Amiri" w:eastAsia="Amiri" w:cs="Amiri"/>
          <w:color w:val="111111"/>
          <w:sz w:val="28"/>
          <w:sz w:val="28"/>
          <w:szCs w:val="28"/>
          <w:rtl w:val="true"/>
          <w:lang w:bidi="ar-SA"/>
        </w:rPr>
        <w:t>، و الحَرارةِ‌، و البُرودةِ‌، و الأصواتِ‌، و الآلامِ‌</w:t>
      </w:r>
      <w:r>
        <w:rPr>
          <w:rFonts w:eastAsia="Amiri" w:cs="Amiri" w:ascii="Amiri" w:hAnsi="Amiri"/>
          <w:color w:val="111111"/>
          <w:sz w:val="28"/>
          <w:szCs w:val="28"/>
          <w:rtl w:val="true"/>
          <w:lang w:bidi="ar-SA"/>
        </w:rPr>
        <w:t xml:space="preserve">. </w:t>
      </w:r>
      <w:bookmarkStart w:id="632" w:name="pg16415_224096"/>
    </w:p>
    <w:p>
      <w:pPr>
        <w:pStyle w:val="Heading6"/>
        <w:numPr>
          <w:ilvl w:val="5"/>
          <w:numId w:val="1"/>
        </w:numPr>
        <w:rPr/>
      </w:pPr>
      <w:bookmarkStart w:id="633" w:name="__RefHeading___Toc7642662_1280447820"/>
      <w:bookmarkStart w:id="634" w:name="_Toc218"/>
      <w:bookmarkEnd w:id="632"/>
      <w:bookmarkEnd w:id="633"/>
      <w:r>
        <w:rPr>
          <w:rtl w:val="true"/>
        </w:rPr>
        <w:t>التقسيم الثاني</w:t>
      </w:r>
      <w:bookmarkEnd w:id="634"/>
    </w:p>
    <w:p>
      <w:pPr>
        <w:pStyle w:val="BookText"/>
        <w:rPr/>
      </w:pPr>
      <w:r>
        <w:rPr>
          <w:rFonts w:ascii="Amiri" w:hAnsi="Amiri" w:eastAsia="Amiri" w:cs="Amiri"/>
          <w:color w:val="111111"/>
          <w:sz w:val="28"/>
          <w:sz w:val="28"/>
          <w:szCs w:val="28"/>
          <w:rtl w:val="true"/>
          <w:lang w:bidi="ar-SA"/>
        </w:rPr>
        <w:t>و الأعراضُ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يَصِحُّ أن يَتعلَّقَ بكُلِّ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 و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له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يَتعلَّقَ إلّابالمُحدَثِ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فيها ما يَختَصُّ بالقَديمِ تَعالىٰ‌، و لا يَصِحُّ تَعلُّقُ جنسِه و لا نَوعِه بالمُحدَثِ‌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يَتعلَّقُ بكُلِّ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 أو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فالإراداتُ‌، و الكَراهاتُ‌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عَداها مِن المُتعلِّقاتِ‌</w:t>
      </w:r>
      <w:r>
        <w:rPr>
          <w:rStyle w:val="FootnoteAnchor"/>
          <w:rtl w:val="true"/>
        </w:rPr>
        <w:footnoteReference w:id="2411"/>
      </w:r>
      <w:r>
        <w:rPr>
          <w:rFonts w:ascii="Amiri" w:hAnsi="Amiri" w:eastAsia="Amiri" w:cs="Amiri"/>
          <w:color w:val="111111"/>
          <w:sz w:val="28"/>
          <w:sz w:val="28"/>
          <w:szCs w:val="28"/>
          <w:rtl w:val="true"/>
          <w:lang w:bidi="ar-SA"/>
        </w:rPr>
        <w:t>لا يَصِحُّ‌</w:t>
      </w:r>
      <w:r>
        <w:rPr>
          <w:rStyle w:val="FootnoteAnchor"/>
          <w:rtl w:val="true"/>
        </w:rPr>
        <w:footnoteReference w:id="2412"/>
      </w:r>
      <w:r>
        <w:rPr>
          <w:rFonts w:ascii="IRNazanin" w:hAnsi="IRNazanin" w:eastAsia="IRNazanin"/>
          <w:color w:val="111111"/>
          <w:sz w:val="28"/>
          <w:sz w:val="28"/>
          <w:szCs w:val="28"/>
          <w:rtl w:val="true"/>
          <w:lang w:bidi="fa-IR"/>
        </w:rPr>
        <w:t>أن</w:t>
      </w:r>
      <w:r>
        <w:rPr>
          <w:rStyle w:val="FootnoteAnchor"/>
          <w:rtl w:val="true"/>
        </w:rPr>
        <w:footnoteReference w:id="2413"/>
      </w:r>
      <w:r>
        <w:rPr>
          <w:rFonts w:ascii="Amiri" w:hAnsi="Amiri" w:eastAsia="Amiri" w:cs="Amiri"/>
          <w:color w:val="111111"/>
          <w:sz w:val="28"/>
          <w:sz w:val="28"/>
          <w:szCs w:val="28"/>
          <w:rtl w:val="true"/>
          <w:lang w:bidi="ar-SA"/>
        </w:rPr>
        <w:t>توجِبَ‌</w:t>
      </w:r>
      <w:r>
        <w:rPr>
          <w:rStyle w:val="FootnoteAnchor"/>
          <w:rtl w:val="true"/>
        </w:rPr>
        <w:footnoteReference w:id="2414"/>
      </w:r>
      <w:r>
        <w:rPr>
          <w:rFonts w:ascii="Amiri" w:hAnsi="Amiri" w:eastAsia="Amiri" w:cs="Amiri"/>
          <w:color w:val="111111"/>
          <w:sz w:val="28"/>
          <w:sz w:val="28"/>
          <w:szCs w:val="28"/>
          <w:rtl w:val="true"/>
          <w:lang w:bidi="ar-SA"/>
        </w:rPr>
        <w:t>حالاً إلّاللمُحدَثِ دونَ القَديمِ‌</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7642664_1280447820"/>
      <w:bookmarkStart w:id="636" w:name="_Toc219"/>
      <w:bookmarkEnd w:id="635"/>
      <w:r>
        <w:rPr>
          <w:rtl w:val="true"/>
        </w:rPr>
        <w:t>التقسيم الثالث</w:t>
      </w:r>
      <w:bookmarkEnd w:id="636"/>
    </w:p>
    <w:p>
      <w:pPr>
        <w:pStyle w:val="BookText"/>
        <w:rPr/>
      </w:pPr>
      <w:r>
        <w:rPr>
          <w:rFonts w:ascii="Amiri" w:hAnsi="Amiri" w:eastAsia="Amiri" w:cs="Amiri"/>
          <w:color w:val="111111"/>
          <w:sz w:val="28"/>
          <w:sz w:val="28"/>
          <w:szCs w:val="28"/>
          <w:rtl w:val="true"/>
          <w:lang w:bidi="ar-SA"/>
        </w:rPr>
        <w:t>و الأعراضُ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يَصِحُّ خُلوُّ الجَواهرِ مِن نَوعِه، و ضَربٌ يَصِحُّ خُلوُّها و تَعرّيها مِن أجناسِه و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نَوعُ الأكوانِ‌</w:t>
      </w:r>
      <w:r>
        <w:rPr>
          <w:rStyle w:val="FootnoteAnchor"/>
          <w:rtl w:val="true"/>
        </w:rPr>
        <w:footnoteReference w:id="2415"/>
      </w:r>
      <w:r>
        <w:rPr>
          <w:rFonts w:ascii="Amiri" w:hAnsi="Amiri" w:eastAsia="Amiri" w:cs="Amiri"/>
          <w:color w:val="111111"/>
          <w:sz w:val="28"/>
          <w:sz w:val="28"/>
          <w:szCs w:val="28"/>
          <w:rtl w:val="true"/>
          <w:lang w:bidi="ar-SA"/>
        </w:rPr>
        <w:t>لأنّ الجَواهِرَ لا يَصِحُّ‌</w:t>
      </w:r>
      <w:r>
        <w:rPr>
          <w:rStyle w:val="FootnoteAnchor"/>
          <w:rtl w:val="true"/>
        </w:rPr>
        <w:footnoteReference w:id="2416"/>
      </w:r>
      <w:r>
        <w:rPr>
          <w:rFonts w:ascii="Amiri" w:hAnsi="Amiri" w:eastAsia="Amiri" w:cs="Amiri"/>
          <w:color w:val="111111"/>
          <w:sz w:val="28"/>
          <w:sz w:val="28"/>
          <w:szCs w:val="28"/>
          <w:rtl w:val="true"/>
          <w:lang w:bidi="ar-SA"/>
        </w:rPr>
        <w:t>مع وجودِها أن تَعرىٰ مِن نَوعِ الكَونِ‌؛ لأنّ الجَوهرَ مع تَحيُّزِه لا بُدَّ مِن اختصاصِه بالجِهةِ‌، و لا يَكونُ فيها</w:t>
      </w:r>
      <w:r>
        <w:rPr>
          <w:rStyle w:val="FootnoteAnchor"/>
          <w:rtl w:val="true"/>
        </w:rPr>
        <w:footnoteReference w:id="2417"/>
      </w:r>
      <w:r>
        <w:rPr>
          <w:rFonts w:ascii="Amiri" w:hAnsi="Amiri" w:eastAsia="Amiri" w:cs="Amiri"/>
          <w:color w:val="111111"/>
          <w:sz w:val="28"/>
          <w:sz w:val="28"/>
          <w:szCs w:val="28"/>
          <w:rtl w:val="true"/>
          <w:lang w:bidi="ar-SA"/>
        </w:rPr>
        <w:t>إلّابِكَونٍ‌</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الثاني هو ما عَدا نَوعَ الأكوانِ‌؛ لأنّه يَصِحُّ‌</w:t>
      </w:r>
      <w:r>
        <w:rPr>
          <w:rStyle w:val="FootnoteAnchor"/>
          <w:rtl w:val="true"/>
        </w:rPr>
        <w:footnoteReference w:id="2419"/>
      </w:r>
      <w:r>
        <w:rPr>
          <w:rFonts w:ascii="Amiri" w:hAnsi="Amiri" w:eastAsia="Amiri" w:cs="Amiri"/>
          <w:color w:val="111111"/>
          <w:sz w:val="28"/>
          <w:sz w:val="28"/>
          <w:szCs w:val="28"/>
          <w:rtl w:val="true"/>
          <w:lang w:bidi="ar-SA"/>
        </w:rPr>
        <w:t>تَعَرِّي الجَواهرِ مِن كُلِّ ما عَدا الأكوانَ مِن المَعاني</w:t>
      </w:r>
      <w:r>
        <w:rPr>
          <w:rFonts w:eastAsia="Amiri" w:cs="Amiri" w:ascii="Amiri" w:hAnsi="Amiri"/>
          <w:color w:val="111111"/>
          <w:sz w:val="28"/>
          <w:szCs w:val="28"/>
          <w:rtl w:val="true"/>
          <w:lang w:bidi="ar-SA"/>
        </w:rPr>
        <w:t xml:space="preserve">. </w:t>
      </w:r>
      <w:bookmarkStart w:id="637" w:name="pg16415_224097"/>
    </w:p>
    <w:p>
      <w:pPr>
        <w:pStyle w:val="Heading6"/>
        <w:numPr>
          <w:ilvl w:val="5"/>
          <w:numId w:val="1"/>
        </w:numPr>
        <w:rPr/>
      </w:pPr>
      <w:bookmarkStart w:id="638" w:name="__RefHeading___Toc7642666_1280447820"/>
      <w:bookmarkStart w:id="639" w:name="_Toc220"/>
      <w:bookmarkEnd w:id="637"/>
      <w:bookmarkEnd w:id="638"/>
      <w:r>
        <w:rPr>
          <w:rtl w:val="true"/>
        </w:rPr>
        <w:t>التقسيم الرابع</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يَدُلُّ علىٰ حُدوثِ الأجسامِ و الجَواهرِ، و الضربُ الآخَرُ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فالضربُ الأوّلُ هو الأكوانُ‌</w:t>
      </w:r>
      <w:r>
        <w:rPr>
          <w:rStyle w:val="FootnoteAnchor"/>
          <w:rtl w:val="true"/>
        </w:rPr>
        <w:footnoteReference w:id="2420"/>
      </w:r>
      <w:r>
        <w:rPr>
          <w:rFonts w:ascii="Amiri" w:hAnsi="Amiri" w:eastAsia="Amiri" w:cs="Amiri"/>
          <w:color w:val="111111"/>
          <w:sz w:val="28"/>
          <w:sz w:val="28"/>
          <w:szCs w:val="28"/>
          <w:rtl w:val="true"/>
          <w:lang w:bidi="ar-SA"/>
        </w:rPr>
        <w:t>لأنّها المُختَصّةُ‌، فإنّ الجَواهرَ لا تَخلو مِن نوعِها</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و الثاني ما عَدا الأكوانَ‌؛ لأنّه إذا جازَ خُلوُّ الجَواهرِ منها</w:t>
      </w:r>
      <w:r>
        <w:rPr>
          <w:rStyle w:val="FootnoteAnchor"/>
          <w:rtl w:val="true"/>
        </w:rPr>
        <w:footnoteReference w:id="2422"/>
      </w:r>
      <w:r>
        <w:rPr>
          <w:rFonts w:ascii="Amiri" w:hAnsi="Amiri" w:eastAsia="Amiri" w:cs="Amiri"/>
          <w:color w:val="111111"/>
          <w:sz w:val="28"/>
          <w:sz w:val="28"/>
          <w:szCs w:val="28"/>
          <w:rtl w:val="true"/>
          <w:lang w:bidi="ar-SA"/>
        </w:rPr>
        <w:t>، لَم تَدُلَّ‌</w:t>
      </w:r>
      <w:r>
        <w:rPr>
          <w:rStyle w:val="FootnoteAnchor"/>
          <w:rtl w:val="true"/>
        </w:rPr>
        <w:footnoteReference w:id="2423"/>
      </w:r>
      <w:r>
        <w:rPr>
          <w:rFonts w:ascii="Amiri" w:hAnsi="Amiri" w:eastAsia="Amiri" w:cs="Amiri"/>
          <w:color w:val="111111"/>
          <w:sz w:val="28"/>
          <w:sz w:val="28"/>
          <w:szCs w:val="28"/>
          <w:rtl w:val="true"/>
          <w:lang w:bidi="ar-SA"/>
        </w:rPr>
        <w:t>علىٰ حُدوثِها، و إن كانَت هذه المَعاني</w:t>
      </w:r>
      <w:r>
        <w:rPr>
          <w:rStyle w:val="FootnoteAnchor"/>
          <w:rtl w:val="true"/>
        </w:rPr>
        <w:footnoteReference w:id="2424"/>
      </w:r>
      <w:r>
        <w:rPr>
          <w:rFonts w:ascii="Amiri" w:hAnsi="Amiri" w:eastAsia="Amiri" w:cs="Amiri"/>
          <w:color w:val="111111"/>
          <w:sz w:val="28"/>
          <w:sz w:val="28"/>
          <w:szCs w:val="28"/>
          <w:rtl w:val="true"/>
          <w:lang w:bidi="ar-SA"/>
        </w:rPr>
        <w:t>مُحدَثةً‌؛ لتَقدُّمِ الجَواهرِ لها خاليةً مِنها</w:t>
      </w:r>
      <w:r>
        <w:rPr>
          <w:rFonts w:eastAsia="Amiri" w:cs="Amiri" w:ascii="Amiri" w:hAnsi="Amiri"/>
          <w:color w:val="111111"/>
          <w:sz w:val="28"/>
          <w:szCs w:val="28"/>
          <w:rtl w:val="true"/>
          <w:lang w:bidi="ar-SA"/>
        </w:rPr>
        <w:t>.</w:t>
      </w:r>
      <w:r>
        <w:rPr>
          <w:rStyle w:val="FootnoteAnchor"/>
          <w:rtl w:val="true"/>
        </w:rPr>
        <w:footnoteReference w:id="2425"/>
      </w:r>
    </w:p>
    <w:p>
      <w:pPr>
        <w:pStyle w:val="Heading6"/>
        <w:numPr>
          <w:ilvl w:val="5"/>
          <w:numId w:val="1"/>
        </w:numPr>
        <w:rPr/>
      </w:pPr>
      <w:bookmarkStart w:id="640" w:name="__RefHeading___Toc7642668_1280447820"/>
      <w:bookmarkStart w:id="641" w:name="_Toc221"/>
      <w:bookmarkEnd w:id="640"/>
      <w:r>
        <w:rPr>
          <w:rtl w:val="true"/>
        </w:rPr>
        <w:t>التقسيم الخامس</w:t>
      </w:r>
      <w:bookmarkEnd w:id="641"/>
    </w:p>
    <w:p>
      <w:pPr>
        <w:pStyle w:val="BookText"/>
        <w:rPr/>
      </w:pPr>
      <w:r>
        <w:rPr>
          <w:rFonts w:ascii="Amiri" w:hAnsi="Amiri" w:eastAsia="Amiri" w:cs="Amiri"/>
          <w:color w:val="111111"/>
          <w:sz w:val="28"/>
          <w:sz w:val="28"/>
          <w:szCs w:val="28"/>
          <w:rtl w:val="true"/>
          <w:lang w:bidi="ar-SA"/>
        </w:rPr>
        <w:t>و الأعراضُ علىٰ ضُروبٍ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 يَكونُ إلّاحَسَناً، و</w:t>
      </w:r>
      <w:r>
        <w:rPr>
          <w:rStyle w:val="FootnoteAnchor"/>
          <w:rtl w:val="true"/>
        </w:rPr>
        <w:footnoteReference w:id="2426"/>
      </w:r>
      <w:r>
        <w:rPr>
          <w:rFonts w:ascii="Amiri" w:hAnsi="Amiri" w:eastAsia="Amiri" w:cs="Amiri"/>
          <w:color w:val="111111"/>
          <w:sz w:val="28"/>
          <w:sz w:val="28"/>
          <w:szCs w:val="28"/>
          <w:rtl w:val="true"/>
          <w:lang w:bidi="ar-SA"/>
        </w:rPr>
        <w:t>لا قُبحَ‌</w:t>
      </w:r>
      <w:r>
        <w:rPr>
          <w:rStyle w:val="FootnoteAnchor"/>
          <w:rtl w:val="true"/>
        </w:rPr>
        <w:footnoteReference w:id="242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 لا يَكونُ إلّاقَبيحاً، و لا حُسنَ فيه</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الضربُ الثالثُ قد يَكونُ حَسَناً، و قد يَكونُ قَبيحاً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w:t>
      </w:r>
      <w:r>
        <w:rPr>
          <w:rStyle w:val="FootnoteAnchor"/>
          <w:rtl w:val="true"/>
        </w:rPr>
        <w:footnoteReference w:id="2429"/>
      </w:r>
      <w:r>
        <w:rPr>
          <w:rFonts w:ascii="Amiri" w:hAnsi="Amiri" w:eastAsia="Amiri" w:cs="Amiri"/>
          <w:color w:val="111111"/>
          <w:sz w:val="28"/>
          <w:sz w:val="28"/>
          <w:szCs w:val="28"/>
          <w:rtl w:val="true"/>
          <w:lang w:bidi="ar-SA"/>
        </w:rPr>
        <w:t>و النظَرُ، عندَ أبي هاشمٍ‌</w:t>
      </w:r>
      <w:r>
        <w:rPr>
          <w:rStyle w:val="FootnoteAnchor"/>
          <w:rtl w:val="true"/>
        </w:rPr>
        <w:footnoteReference w:id="2430"/>
      </w:r>
      <w:r>
        <w:rPr>
          <w:rFonts w:ascii="Amiri" w:hAnsi="Amiri" w:eastAsia="Amiri" w:cs="Amiri"/>
          <w:color w:val="111111"/>
          <w:sz w:val="28"/>
          <w:sz w:val="28"/>
          <w:szCs w:val="28"/>
          <w:rtl w:val="true"/>
          <w:lang w:bidi="ar-SA"/>
        </w:rPr>
        <w:t xml:space="preserve">فإنّه يَذهَبُ إلىٰ أنّ العِلمَ‌ </w:t>
      </w:r>
    </w:p>
    <w:p>
      <w:pPr>
        <w:pStyle w:val="BookText"/>
        <w:rPr/>
      </w:pPr>
      <w:r>
        <w:rPr>
          <w:rFonts w:ascii="Amiri" w:hAnsi="Amiri" w:eastAsia="Amiri" w:cs="Amiri"/>
          <w:color w:val="111111"/>
          <w:sz w:val="28"/>
          <w:sz w:val="28"/>
          <w:szCs w:val="28"/>
          <w:rtl w:val="true"/>
          <w:lang w:bidi="ar-SA"/>
        </w:rPr>
        <w:t>و النظَرَ لا يَكونانِ إلّاحَسَنَينِ‌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أبي عليٍّ‌</w:t>
      </w:r>
      <w:r>
        <w:rPr>
          <w:rStyle w:val="FootnoteAnchor"/>
          <w:rtl w:val="true"/>
        </w:rPr>
        <w:footnoteReference w:id="2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يَجوزُ أن يَكونا قَبيحَينِ‌؛ بأن يَكونا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Style w:val="FootnoteAnchor"/>
          <w:rtl w:val="true"/>
        </w:rPr>
        <w:footnoteReference w:id="2432"/>
      </w:r>
      <w:r>
        <w:rPr>
          <w:rFonts w:ascii="Amiri" w:hAnsi="Amiri" w:eastAsia="Amiri" w:cs="Amiri"/>
          <w:color w:val="111111"/>
          <w:sz w:val="28"/>
          <w:sz w:val="28"/>
          <w:szCs w:val="28"/>
          <w:rtl w:val="true"/>
          <w:lang w:bidi="ar-SA"/>
        </w:rPr>
        <w:t>، و الظلمُ‌</w:t>
      </w:r>
      <w:r>
        <w:rPr>
          <w:rStyle w:val="FootnoteAnchor"/>
          <w:rtl w:val="true"/>
        </w:rPr>
        <w:footnoteReference w:id="2433"/>
      </w:r>
      <w:r>
        <w:rPr>
          <w:rFonts w:ascii="Amiri" w:hAnsi="Amiri" w:eastAsia="Amiri" w:cs="Amiri"/>
          <w:color w:val="111111"/>
          <w:sz w:val="28"/>
          <w:sz w:val="28"/>
          <w:szCs w:val="28"/>
          <w:rtl w:val="true"/>
          <w:lang w:bidi="ar-SA"/>
        </w:rPr>
        <w:t>، و الكَذِبُ‌</w:t>
      </w:r>
      <w:r>
        <w:rPr>
          <w:rStyle w:val="FootnoteAnchor"/>
          <w:rtl w:val="true"/>
        </w:rPr>
        <w:footnoteReference w:id="2434"/>
      </w:r>
      <w:r>
        <w:rPr>
          <w:rFonts w:ascii="Amiri" w:hAnsi="Amiri" w:eastAsia="Amiri" w:cs="Amiri"/>
          <w:color w:val="111111"/>
          <w:sz w:val="28"/>
          <w:sz w:val="28"/>
          <w:szCs w:val="28"/>
          <w:rtl w:val="true"/>
          <w:lang w:bidi="ar-SA"/>
        </w:rPr>
        <w:t>، و إرادةُ القَبيحِ‌، و كَراهةُ الحَسَنِ‌،</w:t>
      </w:r>
      <w:r>
        <w:rPr>
          <w:rStyle w:val="FootnoteAnchor"/>
          <w:rtl w:val="true"/>
        </w:rPr>
        <w:footnoteReference w:id="2435"/>
      </w:r>
      <w:r>
        <w:rPr>
          <w:rFonts w:ascii="Amiri" w:hAnsi="Amiri" w:eastAsia="Amiri" w:cs="Amiri"/>
          <w:color w:val="111111"/>
          <w:sz w:val="28"/>
          <w:sz w:val="28"/>
          <w:szCs w:val="28"/>
          <w:rtl w:val="true"/>
          <w:lang w:bidi="ar-SA"/>
        </w:rPr>
        <w:t>و الأمرُ بالقَبيحِ‌، و النهيُ عن الحَسَنِ‌، و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الضربُ كَثيرٌ، و إنّما ذَكَرنا الأُصولَ‌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الضربُ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يُمكِنُ علىٰ حالٍ مِن الأحوالِ إلّاأن</w:t>
      </w:r>
      <w:r>
        <w:rPr>
          <w:rStyle w:val="FootnoteAnchor"/>
          <w:rtl w:val="true"/>
        </w:rPr>
        <w:footnoteReference w:id="2436"/>
      </w:r>
      <w:r>
        <w:rPr>
          <w:rFonts w:ascii="Amiri" w:hAnsi="Amiri" w:eastAsia="Amiri" w:cs="Amiri"/>
          <w:color w:val="111111"/>
          <w:sz w:val="28"/>
          <w:sz w:val="28"/>
          <w:szCs w:val="28"/>
          <w:rtl w:val="true"/>
          <w:lang w:bidi="ar-SA"/>
        </w:rPr>
        <w:t>يَكونَ قَبيحاً،</w:t>
      </w:r>
      <w:r>
        <w:rPr>
          <w:rStyle w:val="FootnoteAnchor"/>
          <w:rtl w:val="true"/>
        </w:rPr>
        <w:footnoteReference w:id="2437"/>
      </w:r>
      <w:r>
        <w:rPr>
          <w:rFonts w:ascii="Amiri" w:hAnsi="Amiri" w:eastAsia="Amiri" w:cs="Amiri"/>
          <w:color w:val="111111"/>
          <w:sz w:val="28"/>
          <w:sz w:val="28"/>
          <w:szCs w:val="28"/>
          <w:rtl w:val="true"/>
          <w:lang w:bidi="ar-SA"/>
        </w:rPr>
        <w:t>و الثاني يُمكِنُ علىٰ بعضِ الوجوهِ أن لا يَكونَ قَبيحاً</w:t>
      </w:r>
      <w:r>
        <w:rPr>
          <w:rFonts w:eastAsia="Amiri" w:cs="Amiri" w:ascii="Amiri" w:hAnsi="Amiri"/>
          <w:color w:val="111111"/>
          <w:sz w:val="28"/>
          <w:szCs w:val="28"/>
          <w:rtl w:val="true"/>
          <w:lang w:bidi="ar-SA"/>
        </w:rPr>
        <w:t>.</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فمثالُ الأوّلِ الجهلُ المُتعلِّقُ باللّٰهِ تَعالىٰ‌، كاعتقادِ أنّه جسمٌ أو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أمثلتِه</w:t>
      </w:r>
      <w:r>
        <w:rPr>
          <w:rStyle w:val="FootnoteAnchor"/>
          <w:rtl w:val="true"/>
        </w:rPr>
        <w:footnoteReference w:id="2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w:t>
      </w:r>
      <w:r>
        <w:rPr>
          <w:rStyle w:val="FootnoteAnchor"/>
          <w:rtl w:val="true"/>
        </w:rPr>
        <w:footnoteReference w:id="2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w:t>
      </w:r>
      <w:r>
        <w:rPr>
          <w:rStyle w:val="FootnoteAnchor"/>
          <w:rtl w:val="true"/>
        </w:rPr>
        <w:footnoteReference w:id="2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يَجوزُ تَغيُّرُ حالِه و خروجُه عن</w:t>
      </w:r>
      <w:r>
        <w:rPr>
          <w:rStyle w:val="FootnoteAnchor"/>
          <w:rtl w:val="true"/>
        </w:rPr>
        <w:footnoteReference w:id="2442"/>
      </w:r>
      <w:r>
        <w:rPr>
          <w:rFonts w:ascii="Amiri" w:hAnsi="Amiri" w:eastAsia="Amiri" w:cs="Amiri"/>
          <w:color w:val="111111"/>
          <w:sz w:val="28"/>
          <w:sz w:val="28"/>
          <w:szCs w:val="28"/>
          <w:rtl w:val="true"/>
          <w:lang w:bidi="ar-SA"/>
        </w:rPr>
        <w:t>صفتِه، كاعتقادِ أنّ السوادَ مُتحيِّزٌ،</w:t>
      </w:r>
      <w:r>
        <w:rPr>
          <w:rStyle w:val="FootnoteAnchor"/>
          <w:rtl w:val="true"/>
        </w:rPr>
        <w:footnoteReference w:id="2443"/>
      </w:r>
      <w:r>
        <w:rPr>
          <w:rFonts w:ascii="Amiri" w:hAnsi="Amiri" w:eastAsia="Amiri" w:cs="Amiri"/>
          <w:color w:val="111111"/>
          <w:sz w:val="28"/>
          <w:sz w:val="28"/>
          <w:szCs w:val="28"/>
          <w:rtl w:val="true"/>
          <w:lang w:bidi="ar-SA"/>
        </w:rPr>
        <w:t>و أنّ الجَوهرَ له ضِدٌّ غيرُه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يُلحَقَ بهذا الضربِ إرادةُ الجهلِ الذي ذَكَرناه أوّلاً</w:t>
      </w:r>
      <w:r>
        <w:rPr>
          <w:rStyle w:val="FootnoteAnchor"/>
          <w:rtl w:val="true"/>
        </w:rPr>
        <w:footnoteReference w:id="2444"/>
      </w:r>
      <w:r>
        <w:rPr>
          <w:rFonts w:ascii="Amiri" w:hAnsi="Amiri" w:eastAsia="Amiri" w:cs="Amiri"/>
          <w:color w:val="111111"/>
          <w:sz w:val="28"/>
          <w:sz w:val="28"/>
          <w:szCs w:val="28"/>
          <w:rtl w:val="true"/>
          <w:lang w:bidi="ar-SA"/>
        </w:rPr>
        <w:t>أو الأمرُ</w:t>
      </w:r>
      <w:r>
        <w:rPr>
          <w:rStyle w:val="FootnoteAnchor"/>
          <w:rtl w:val="true"/>
        </w:rPr>
        <w:footnoteReference w:id="2445"/>
      </w:r>
      <w:r>
        <w:rPr>
          <w:rFonts w:ascii="Amiri" w:hAnsi="Amiri" w:eastAsia="Amiri" w:cs="Amiri"/>
          <w:color w:val="111111"/>
          <w:sz w:val="28"/>
          <w:sz w:val="28"/>
          <w:szCs w:val="28"/>
          <w:rtl w:val="true"/>
          <w:lang w:bidi="ar-SA"/>
        </w:rPr>
        <w:t xml:space="preserve">به؛ لأنّه كما لا يَجوزُ تَغيُّرُ المُرادِ عن قُبحِه،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الإرادةِ المُتعلِّقةِ‌</w:t>
      </w:r>
      <w:r>
        <w:rPr>
          <w:rStyle w:val="FootnoteAnchor"/>
          <w:rtl w:val="true"/>
        </w:rPr>
        <w:footnoteReference w:id="244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مثالُ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w:t>
      </w:r>
      <w:r>
        <w:rPr>
          <w:rStyle w:val="FootnoteAnchor"/>
          <w:rtl w:val="true"/>
        </w:rPr>
        <w:footnoteReference w:id="2447"/>
      </w:r>
      <w:r>
        <w:rPr>
          <w:rFonts w:ascii="Amiri" w:hAnsi="Amiri" w:eastAsia="Amiri" w:cs="Amiri"/>
          <w:color w:val="111111"/>
          <w:sz w:val="28"/>
          <w:sz w:val="28"/>
          <w:szCs w:val="28"/>
          <w:rtl w:val="true"/>
          <w:lang w:bidi="ar-SA"/>
        </w:rPr>
        <w:t xml:space="preserve">يُمكِنُ علىٰ بعضِ الوجوهِ أن لا يَكونَ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المُتعلِّقُ بما يَجوزُ تَغيُّرُ حالِه، و الظلمُ‌، و الكَذِبُ‌، و باقي القَبائحِ التي عَدَّدناها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أنّ الجهلَ المُتعلِّقَ بما ذَكرناه</w:t>
      </w:r>
      <w:r>
        <w:rPr>
          <w:rStyle w:val="FootnoteAnchor"/>
          <w:rtl w:val="true"/>
        </w:rPr>
        <w:footnoteReference w:id="2448"/>
      </w:r>
      <w:r>
        <w:rPr>
          <w:rFonts w:ascii="Amiri" w:hAnsi="Amiri" w:eastAsia="Amiri" w:cs="Amiri"/>
          <w:color w:val="111111"/>
          <w:sz w:val="28"/>
          <w:sz w:val="28"/>
          <w:szCs w:val="28"/>
          <w:rtl w:val="true"/>
          <w:lang w:bidi="ar-SA"/>
        </w:rPr>
        <w:t>يَجوزُ أن لا يَكونَ قَبيحاً و لا جَهلاً</w:t>
      </w:r>
      <w:r>
        <w:rPr>
          <w:rStyle w:val="FootnoteAnchor"/>
          <w:rtl w:val="true"/>
        </w:rPr>
        <w:footnoteReference w:id="2449"/>
      </w:r>
      <w:r>
        <w:rPr>
          <w:rFonts w:ascii="Amiri" w:hAnsi="Amiri" w:eastAsia="Amiri" w:cs="Amiri"/>
          <w:color w:val="111111"/>
          <w:sz w:val="28"/>
          <w:sz w:val="28"/>
          <w:szCs w:val="28"/>
          <w:rtl w:val="true"/>
          <w:lang w:bidi="ar-SA"/>
        </w:rPr>
        <w:t xml:space="preserve">لأنّه إذا اعتَقَدَ أنّ زَيداً في الدارِ في حالةٍ مخصوصةٍ‌، و لَم يَكُن فيها في </w:t>
      </w:r>
      <w:bookmarkStart w:id="642" w:name="pg16415_224100"/>
    </w:p>
    <w:p>
      <w:pPr>
        <w:pStyle w:val="BookText"/>
        <w:rPr/>
      </w:pPr>
      <w:bookmarkEnd w:id="642"/>
      <w:r>
        <w:rPr>
          <w:rFonts w:ascii="Amiri" w:hAnsi="Amiri" w:eastAsia="Amiri" w:cs="Amiri"/>
          <w:color w:val="111111"/>
          <w:sz w:val="28"/>
          <w:sz w:val="28"/>
          <w:szCs w:val="28"/>
          <w:rtl w:val="true"/>
          <w:lang w:bidi="ar-SA"/>
        </w:rPr>
        <w:t>تلكَ الحالِ‌، فاعتقادُه جهلٌ‌، إلّاأنّه كانَ يُمكِنُ أن لا يَكونَ جهلاً، بأن يَكونَ زَيدٌ في الدارِ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w:t>
      </w:r>
      <w:r>
        <w:rPr>
          <w:rStyle w:val="FootnoteAnchor"/>
          <w:rtl w:val="true"/>
        </w:rPr>
        <w:footnoteReference w:id="2450"/>
      </w:r>
      <w:r>
        <w:rPr>
          <w:rFonts w:ascii="Amiri" w:hAnsi="Amiri" w:eastAsia="Amiri" w:cs="Amiri"/>
          <w:color w:val="111111"/>
          <w:sz w:val="28"/>
          <w:sz w:val="28"/>
          <w:szCs w:val="28"/>
          <w:rtl w:val="true"/>
          <w:lang w:bidi="ar-SA"/>
        </w:rPr>
        <w:t>الذي هو ظلمٌ كانَ يُمكِنُ أن يَكونَ عدلاً، بأن يَقَعَ علىٰ خِلافِ ذلكَ الوجهِ‌، و قد يَكونُ أيضاً مِن جنسِه ما لَيسَ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الكَذِبُ‌، فيه الوجهانِ اللذانِ ذَكرناهما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الضربُ الثالثُ‌، فهو باقي الأعراضِ‌؛ لأنّ الحُسنَ و القُبحَ يُمكِنُ أن يَدخُلَ في الجميعِ علَى البَدَلِ‌</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7642670_1280447820"/>
      <w:bookmarkStart w:id="644" w:name="_Toc222"/>
      <w:bookmarkEnd w:id="643"/>
      <w:r>
        <w:rPr>
          <w:rtl w:val="true"/>
        </w:rPr>
        <w:t>التقسيم السادس</w:t>
      </w:r>
      <w:bookmarkEnd w:id="644"/>
    </w:p>
    <w:p>
      <w:pPr>
        <w:pStyle w:val="BookText"/>
        <w:rPr/>
      </w:pPr>
      <w:r>
        <w:rPr>
          <w:rFonts w:ascii="Amiri" w:hAnsi="Amiri" w:eastAsia="Amiri" w:cs="Amiri"/>
          <w:color w:val="111111"/>
          <w:sz w:val="28"/>
          <w:sz w:val="28"/>
          <w:szCs w:val="28"/>
          <w:rtl w:val="true"/>
          <w:lang w:bidi="ar-SA"/>
        </w:rPr>
        <w:t>و ما يَقبُحُ مِن الأعراضِ‌</w:t>
      </w:r>
      <w:r>
        <w:rPr>
          <w:rStyle w:val="FootnoteAnchor"/>
          <w:rtl w:val="true"/>
        </w:rPr>
        <w:footnoteReference w:id="2451"/>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يَختَصُّ بوجهِ قُبحٍ لا يَكونُ لغَيرِه، و إن جازَ أن يَقبُحَ للوجهِ الذي يَعُمُّه و يَعُمُّ غيرَه</w:t>
      </w:r>
      <w:r>
        <w:rPr>
          <w:rFonts w:eastAsia="Amiri" w:cs="Amiri" w:ascii="Amiri" w:hAnsi="Amiri"/>
          <w:color w:val="111111"/>
          <w:sz w:val="28"/>
          <w:szCs w:val="28"/>
          <w:rtl w:val="true"/>
          <w:lang w:bidi="ar-SA"/>
        </w:rPr>
        <w:t>.</w:t>
      </w:r>
      <w:r>
        <w:rPr>
          <w:rStyle w:val="FootnoteAnchor"/>
          <w:rtl w:val="true"/>
        </w:rPr>
        <w:footnoteReference w:id="2452"/>
      </w:r>
      <w:r>
        <w:rPr>
          <w:rFonts w:ascii="Amiri" w:hAnsi="Amiri" w:eastAsia="Amiri" w:cs="Amiri"/>
          <w:color w:val="111111"/>
          <w:sz w:val="28"/>
          <w:sz w:val="28"/>
          <w:szCs w:val="28"/>
          <w:rtl w:val="true"/>
          <w:lang w:bidi="ar-SA"/>
        </w:rPr>
        <w:t>و الضربُ الآخَرُ إنّما يَقبُحُ لوجهٍ مُشارِكةٍ‌</w:t>
      </w:r>
      <w:r>
        <w:rPr>
          <w:rStyle w:val="FootnoteAnchor"/>
          <w:rtl w:val="true"/>
        </w:rPr>
        <w:footnoteReference w:id="2453"/>
      </w:r>
      <w:r>
        <w:rPr>
          <w:rFonts w:ascii="Amiri" w:hAnsi="Amiri" w:eastAsia="Amiri" w:cs="Amiri"/>
          <w:color w:val="111111"/>
          <w:sz w:val="28"/>
          <w:sz w:val="28"/>
          <w:szCs w:val="28"/>
          <w:rtl w:val="true"/>
          <w:lang w:bidi="ar-SA"/>
        </w:rPr>
        <w:t>فيه كُلُّ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إذا كانَ ظُلماً، و الصوتُ إذا كانَ‌</w:t>
      </w:r>
      <w:r>
        <w:rPr>
          <w:rStyle w:val="FootnoteAnchor"/>
          <w:rtl w:val="true"/>
        </w:rPr>
        <w:footnoteReference w:id="2454"/>
      </w:r>
      <w:r>
        <w:rPr>
          <w:rFonts w:ascii="Amiri" w:hAnsi="Amiri" w:eastAsia="Amiri" w:cs="Amiri"/>
          <w:color w:val="111111"/>
          <w:sz w:val="28"/>
          <w:sz w:val="28"/>
          <w:szCs w:val="28"/>
          <w:rtl w:val="true"/>
          <w:lang w:bidi="ar-SA"/>
        </w:rPr>
        <w:t>كَذِباً، و إرادةُ القَبيحِ‌، و كَراهةُ الحَسَنِ‌؛ لأنّ الظلمَ وجهُ قُبحٍ يَختَصُّ به، فلا</w:t>
      </w:r>
      <w:r>
        <w:rPr>
          <w:rStyle w:val="FootnoteAnchor"/>
          <w:rtl w:val="true"/>
        </w:rPr>
        <w:footnoteReference w:id="2455"/>
      </w:r>
      <w:r>
        <w:rPr>
          <w:rFonts w:ascii="Amiri" w:hAnsi="Amiri" w:eastAsia="Amiri" w:cs="Amiri"/>
          <w:color w:val="111111"/>
          <w:sz w:val="28"/>
          <w:sz w:val="28"/>
          <w:szCs w:val="28"/>
          <w:rtl w:val="true"/>
          <w:lang w:bidi="ar-SA"/>
        </w:rPr>
        <w:t>يُشارِكُه في هذا الوجهِ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الكَذِبُ و إرادةُ القَبيحِ و كَراهةُ الحَسَنِ‌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إنّه يَجوزُ مع هذا الاختصاصِ أن يُشارِكَ باقيَ القَبائحِ في وجهِ القُبحِ‌؛ </w:t>
      </w:r>
    </w:p>
    <w:p>
      <w:pPr>
        <w:pStyle w:val="BookText"/>
        <w:rPr/>
      </w:pPr>
      <w:r>
        <w:rPr>
          <w:rFonts w:ascii="Amiri" w:hAnsi="Amiri" w:eastAsia="Amiri" w:cs="Amiri"/>
          <w:color w:val="111111"/>
          <w:sz w:val="28"/>
          <w:sz w:val="28"/>
          <w:szCs w:val="28"/>
          <w:rtl w:val="true"/>
          <w:lang w:bidi="ar-SA"/>
        </w:rPr>
        <w:t>لأنّه يَجوزُ أن يَعرِضَ في</w:t>
      </w:r>
      <w:r>
        <w:rPr>
          <w:rStyle w:val="FootnoteAnchor"/>
          <w:rtl w:val="true"/>
        </w:rPr>
        <w:footnoteReference w:id="2456"/>
      </w:r>
      <w:r>
        <w:rPr>
          <w:rFonts w:ascii="Amiri" w:hAnsi="Amiri" w:eastAsia="Amiri" w:cs="Amiri"/>
          <w:color w:val="111111"/>
          <w:sz w:val="28"/>
          <w:sz w:val="28"/>
          <w:szCs w:val="28"/>
          <w:rtl w:val="true"/>
          <w:lang w:bidi="ar-SA"/>
        </w:rPr>
        <w:t>الظلمِ أو الكَذِبِ أو إرادةِ القَبيحِ أو كَراهةِ الحَسَنِ أن يَكونَ مَفسَدةً أو عَبَثاً، فيَقبُحَ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457"/>
      </w:r>
      <w:r>
        <w:rPr>
          <w:rFonts w:ascii="Amiri" w:hAnsi="Amiri" w:eastAsia="Amiri" w:cs="Amiri"/>
          <w:color w:val="111111"/>
          <w:sz w:val="28"/>
          <w:sz w:val="28"/>
          <w:szCs w:val="28"/>
          <w:rtl w:val="true"/>
          <w:lang w:bidi="ar-SA"/>
        </w:rPr>
        <w:t xml:space="preserve">مثالُ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يَقبُحُ لوجهٍ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سائرُ الأعراضِ‌؛ لأنّه لا شَيءَ منها إلّاو قد يَجوزُ أن تَعرِضَ فيه المَفسَدةُ أو يَكونَ عَبَثاً، فيَقبُحَ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يُمكِنُ أن تَجتَمِعَ‌</w:t>
      </w:r>
      <w:r>
        <w:rPr>
          <w:rStyle w:val="FootnoteAnchor"/>
          <w:rtl w:val="true"/>
        </w:rPr>
        <w:footnoteReference w:id="2458"/>
      </w:r>
      <w:r>
        <w:rPr>
          <w:rFonts w:ascii="Amiri" w:hAnsi="Amiri" w:eastAsia="Amiri" w:cs="Amiri"/>
          <w:color w:val="111111"/>
          <w:sz w:val="28"/>
          <w:sz w:val="28"/>
          <w:szCs w:val="28"/>
          <w:rtl w:val="true"/>
          <w:lang w:bidi="ar-SA"/>
        </w:rPr>
        <w:t>وجوهُ القُبحِ كُلُّها في عَرَضٍ واحدٍ، حتّىٰ يَكونَ عَبَثاً ظُلماً كَذِباً إرادةً لقَبيحٍ‌</w:t>
      </w:r>
      <w:r>
        <w:rPr>
          <w:rStyle w:val="FootnoteAnchor"/>
          <w:rtl w:val="true"/>
        </w:rPr>
        <w:footnoteReference w:id="2459"/>
      </w:r>
      <w:r>
        <w:rPr>
          <w:rFonts w:ascii="Amiri" w:hAnsi="Amiri" w:eastAsia="Amiri" w:cs="Amiri"/>
          <w:color w:val="111111"/>
          <w:sz w:val="28"/>
          <w:sz w:val="28"/>
          <w:szCs w:val="28"/>
          <w:rtl w:val="true"/>
          <w:lang w:bidi="ar-SA"/>
        </w:rPr>
        <w:t>كَراهةً لحَسَنٍ مَفسَدةً عَبَثاً</w:t>
      </w:r>
      <w:r>
        <w:rPr>
          <w:rStyle w:val="FootnoteAnchor"/>
          <w:rtl w:val="true"/>
        </w:rPr>
        <w:footnoteReference w:id="2460"/>
      </w:r>
      <w:r>
        <w:rPr>
          <w:rFonts w:ascii="Amiri" w:hAnsi="Amiri" w:eastAsia="Amiri" w:cs="Amiri"/>
          <w:color w:val="111111"/>
          <w:sz w:val="28"/>
          <w:sz w:val="28"/>
          <w:szCs w:val="28"/>
          <w:rtl w:val="true"/>
          <w:lang w:bidi="ar-SA"/>
        </w:rPr>
        <w:t>لتَنافي</w:t>
      </w:r>
      <w:r>
        <w:rPr>
          <w:rStyle w:val="FootnoteAnchor"/>
          <w:rtl w:val="true"/>
        </w:rPr>
        <w:footnoteReference w:id="2461"/>
      </w:r>
      <w:r>
        <w:rPr>
          <w:rFonts w:ascii="Amiri" w:hAnsi="Amiri" w:eastAsia="Amiri" w:cs="Amiri"/>
          <w:color w:val="111111"/>
          <w:sz w:val="28"/>
          <w:sz w:val="28"/>
          <w:szCs w:val="28"/>
          <w:rtl w:val="true"/>
          <w:lang w:bidi="ar-SA"/>
        </w:rPr>
        <w:t>هذه الوجوهِ‌</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ما يَجتَمِعُ فيه مِن وجوهِ القُبحِ أن يَكونَ العَرَضُ مَثَلاً ظُلماً كَذِباً، و يَتَّفِقُ أن يَكونَ مَفسَدةً و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الكَذِبِ و إرادةِ القَبيحِ و كَراهةِ الحَسَنِ إذا اتَّفَقَ في كُلِّ واحدٍ مِنها المَفسَدةُ و العَبَثُ‌</w:t>
      </w:r>
      <w:r>
        <w:rPr>
          <w:rStyle w:val="FootnoteAnchor"/>
          <w:rtl w:val="true"/>
        </w:rPr>
        <w:footnoteReference w:id="2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باقي الأعراضِ‌، فإنّما تَجتَمِعُ فيها مِن وجوهِ القُبحِ المَفسَدةُ و العَبَثُ‌،</w:t>
      </w:r>
      <w:r>
        <w:rPr>
          <w:rStyle w:val="FootnoteAnchor"/>
          <w:rtl w:val="true"/>
        </w:rPr>
        <w:footnoteReference w:id="2464"/>
      </w:r>
      <w:r>
        <w:rPr>
          <w:rFonts w:ascii="Amiri" w:hAnsi="Amiri" w:eastAsia="Amiri" w:cs="Amiri"/>
          <w:color w:val="111111"/>
          <w:sz w:val="28"/>
          <w:sz w:val="28"/>
          <w:szCs w:val="28"/>
          <w:rtl w:val="true"/>
          <w:lang w:bidi="ar-SA"/>
        </w:rPr>
        <w:t>فاعلَمْ ذلكَ‌</w:t>
      </w:r>
      <w:r>
        <w:rPr>
          <w:rFonts w:eastAsia="Amiri" w:cs="Amiri" w:ascii="Amiri" w:hAnsi="Amiri"/>
          <w:color w:val="111111"/>
          <w:sz w:val="28"/>
          <w:szCs w:val="28"/>
          <w:rtl w:val="true"/>
          <w:lang w:bidi="ar-SA"/>
        </w:rPr>
        <w:t xml:space="preserve">. </w:t>
      </w:r>
      <w:bookmarkStart w:id="645" w:name="pg16415_224102"/>
    </w:p>
    <w:p>
      <w:pPr>
        <w:pStyle w:val="Heading6"/>
        <w:numPr>
          <w:ilvl w:val="5"/>
          <w:numId w:val="1"/>
        </w:numPr>
        <w:rPr/>
      </w:pPr>
      <w:bookmarkStart w:id="646" w:name="__RefHeading___Toc7642672_1280447820"/>
      <w:bookmarkStart w:id="647" w:name="_Toc223"/>
      <w:bookmarkEnd w:id="645"/>
      <w:bookmarkEnd w:id="646"/>
      <w:r>
        <w:rPr>
          <w:rtl w:val="true"/>
        </w:rPr>
        <w:t>مواردُ إخلالِ النَّيسابوريِّ في تقسيمِ الأعراضِ‌</w:t>
      </w:r>
      <w:bookmarkEnd w:id="647"/>
    </w:p>
    <w:p>
      <w:pPr>
        <w:pStyle w:val="BookText"/>
        <w:rPr/>
      </w:pPr>
      <w:r>
        <w:rPr>
          <w:rFonts w:ascii="Amiri" w:hAnsi="Amiri" w:eastAsia="Amiri" w:cs="Amiri"/>
          <w:color w:val="111111"/>
          <w:sz w:val="28"/>
          <w:sz w:val="28"/>
          <w:szCs w:val="28"/>
          <w:rtl w:val="true"/>
          <w:lang w:bidi="ar-SA"/>
        </w:rPr>
        <w:t>فأمّا ما</w:t>
      </w:r>
      <w:r>
        <w:rPr>
          <w:rStyle w:val="FootnoteAnchor"/>
          <w:rtl w:val="true"/>
        </w:rPr>
        <w:footnoteReference w:id="2465"/>
      </w:r>
      <w:r>
        <w:rPr>
          <w:rFonts w:ascii="Amiri" w:hAnsi="Amiri" w:eastAsia="Amiri" w:cs="Amiri"/>
          <w:color w:val="111111"/>
          <w:sz w:val="28"/>
          <w:sz w:val="28"/>
          <w:szCs w:val="28"/>
          <w:rtl w:val="true"/>
          <w:lang w:bidi="ar-SA"/>
        </w:rPr>
        <w:t>أخَلَّ بذِكرِه في خِلالِ تقسيمِه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قَسَّمَ الأعراضَ في</w:t>
      </w:r>
      <w:r>
        <w:rPr>
          <w:rStyle w:val="FootnoteAnchor"/>
          <w:rtl w:val="true"/>
        </w:rPr>
        <w:footnoteReference w:id="2466"/>
      </w:r>
      <w:r>
        <w:rPr>
          <w:rFonts w:ascii="Amiri" w:hAnsi="Amiri" w:eastAsia="Amiri" w:cs="Amiri"/>
          <w:color w:val="111111"/>
          <w:sz w:val="28"/>
          <w:sz w:val="28"/>
          <w:szCs w:val="28"/>
          <w:rtl w:val="true"/>
          <w:lang w:bidi="ar-SA"/>
        </w:rPr>
        <w:t>تَماثُلٍ‌، و اختلافٍ‌، و تَضادٍّ؛ ذَكَرَ في قسمةِ المُتَماثِلِ‌</w:t>
      </w:r>
      <w:r>
        <w:rPr>
          <w:rStyle w:val="FootnoteAnchor"/>
          <w:rtl w:val="true"/>
        </w:rPr>
        <w:footnoteReference w:id="2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اختلافَ فيه و لا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و الحَياةَ‌، و الفَناءَ‌</w:t>
      </w:r>
      <w:r>
        <w:rPr>
          <w:rStyle w:val="FootnoteAnchor"/>
          <w:rtl w:val="true"/>
        </w:rPr>
        <w:footnoteReference w:id="2468"/>
      </w:r>
      <w:r>
        <w:rPr>
          <w:rFonts w:ascii="Amiri" w:hAnsi="Amiri" w:eastAsia="Amiri" w:cs="Amiri"/>
          <w:color w:val="111111"/>
          <w:sz w:val="28"/>
          <w:sz w:val="28"/>
          <w:szCs w:val="28"/>
          <w:rtl w:val="true"/>
          <w:lang w:bidi="ar-SA"/>
        </w:rPr>
        <w:t>، و الألَمَ‌؛ و أخَلَّ بذِكرِ الحَرارةِ‌، و البُرودةِ‌، و الرُّطوبةِ‌</w:t>
      </w:r>
      <w:r>
        <w:rPr>
          <w:rStyle w:val="FootnoteAnchor"/>
          <w:rtl w:val="true"/>
        </w:rPr>
        <w:footnoteReference w:id="2469"/>
      </w:r>
      <w:r>
        <w:rPr>
          <w:rFonts w:ascii="Amiri" w:hAnsi="Amiri" w:eastAsia="Amiri" w:cs="Amiri"/>
          <w:color w:val="111111"/>
          <w:sz w:val="28"/>
          <w:sz w:val="28"/>
          <w:szCs w:val="28"/>
          <w:rtl w:val="true"/>
          <w:lang w:bidi="ar-SA"/>
        </w:rPr>
        <w:t>، و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أجناسٌ تَجري مَجرىٰ ما ذَكَرَه، في أنّها مُتَماثِلةٌ لا مُختَلِفَ فيها و لا مُتَضادَّ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ذَكَرَ قِسمَ ما هو مُتَماثِلٌ و مُتَضادٌّ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يَدخُلُه المُختَلِفُ الذي لَيسَ بمُتَضادٍّ</w:t>
      </w:r>
      <w:r>
        <w:rPr>
          <w:rStyle w:val="FootnoteAnchor"/>
          <w:rtl w:val="true"/>
        </w:rPr>
        <w:footnoteReference w:id="2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الأكوانَ‌، و</w:t>
      </w:r>
      <w:r>
        <w:rPr>
          <w:rStyle w:val="FootnoteAnchor"/>
          <w:rtl w:val="true"/>
        </w:rPr>
        <w:footnoteReference w:id="2471"/>
      </w:r>
      <w:r>
        <w:rPr>
          <w:rFonts w:ascii="Amiri" w:hAnsi="Amiri" w:eastAsia="Amiri" w:cs="Amiri"/>
          <w:color w:val="111111"/>
          <w:sz w:val="28"/>
          <w:sz w:val="28"/>
          <w:szCs w:val="28"/>
          <w:rtl w:val="true"/>
          <w:lang w:bidi="ar-SA"/>
        </w:rPr>
        <w:t>الألوانَ‌، و الطُّعومَ‌، و الأَراييحَ‌</w:t>
      </w:r>
      <w:r>
        <w:rPr>
          <w:rStyle w:val="FootnoteAnchor"/>
          <w:rtl w:val="true"/>
        </w:rPr>
        <w:footnoteReference w:id="2472"/>
      </w:r>
      <w:r>
        <w:rPr>
          <w:rFonts w:ascii="Amiri" w:hAnsi="Amiri" w:eastAsia="Amiri" w:cs="Amiri"/>
          <w:color w:val="111111"/>
          <w:sz w:val="28"/>
          <w:sz w:val="28"/>
          <w:szCs w:val="28"/>
          <w:rtl w:val="true"/>
          <w:lang w:bidi="ar-SA"/>
        </w:rPr>
        <w:t>و أخَلَّ بذِكرِ الأصواتِ‌؛ و هي عندَ أبي هاشمٍ مُتَماثِلةٌ و مُتَضادّةٌ بغَيرِ مُختَلِفٍ لَيسَ بمُتَضادٍّ</w:t>
      </w:r>
      <w:r>
        <w:rPr>
          <w:rFonts w:eastAsia="Amiri" w:cs="Amiri" w:ascii="Amiri" w:hAnsi="Amiri"/>
          <w:color w:val="111111"/>
          <w:sz w:val="28"/>
          <w:szCs w:val="28"/>
          <w:rtl w:val="true"/>
          <w:lang w:bidi="ar-SA"/>
        </w:rPr>
        <w:t>.</w:t>
      </w:r>
      <w:r>
        <w:rPr>
          <w:rStyle w:val="FootnoteAnchor"/>
          <w:rtl w:val="true"/>
        </w:rPr>
        <w:footnoteReference w:id="24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اعتَذَرَ باعتذارٍ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الأصواتَ غيرُ مُتَضادّةٍ‌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يَجِبُ أن يَذكُرَها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المُتَماثِلِ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الاعتماداتِ‌، و الإراداتِ‌، و الكَراهاتِ‌، </w:t>
      </w:r>
    </w:p>
    <w:p>
      <w:pPr>
        <w:pStyle w:val="BookText"/>
        <w:rPr/>
      </w:pPr>
      <w:r>
        <w:rPr>
          <w:rFonts w:ascii="Amiri" w:hAnsi="Amiri" w:eastAsia="Amiri" w:cs="Amiri"/>
          <w:color w:val="111111"/>
          <w:sz w:val="28"/>
          <w:sz w:val="28"/>
          <w:szCs w:val="28"/>
          <w:rtl w:val="true"/>
          <w:lang w:bidi="ar-SA"/>
        </w:rPr>
        <w:t>و الشهوةِ‌، و النِّفارِ</w:t>
      </w:r>
      <w:r>
        <w:rPr>
          <w:rStyle w:val="FootnoteAnchor"/>
          <w:rtl w:val="true"/>
        </w:rPr>
        <w:footnoteReference w:id="2474"/>
      </w:r>
      <w:r>
        <w:rPr>
          <w:rFonts w:ascii="Amiri" w:hAnsi="Amiri" w:eastAsia="Amiri" w:cs="Amiri"/>
          <w:color w:val="111111"/>
          <w:sz w:val="28"/>
          <w:sz w:val="28"/>
          <w:szCs w:val="28"/>
          <w:rtl w:val="true"/>
          <w:lang w:bidi="ar-SA"/>
        </w:rPr>
        <w:t>، و النظَرِ؛ فلا</w:t>
      </w:r>
      <w:r>
        <w:rPr>
          <w:rStyle w:val="FootnoteAnchor"/>
          <w:rtl w:val="true"/>
        </w:rPr>
        <w:footnoteReference w:id="2475"/>
      </w:r>
      <w:r>
        <w:rPr>
          <w:rFonts w:ascii="Amiri" w:hAnsi="Amiri" w:eastAsia="Amiri" w:cs="Amiri"/>
          <w:color w:val="111111"/>
          <w:sz w:val="28"/>
          <w:sz w:val="28"/>
          <w:szCs w:val="28"/>
          <w:rtl w:val="true"/>
          <w:lang w:bidi="ar-SA"/>
        </w:rPr>
        <w:t>هاهُنا ذَكَرَها و لا هُناكَ‌</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متماثل فقط، لا مختلِف و لا متضادّ،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و الحياة، و الفناء، و الألم، و الحرارة، و البرودة، و الرطوبة، و 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أعراض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فقط، لا متماثل و لا متضادّ، و هو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المصنّف رحمه اللّٰه هذا القسم؛ لعدم تعلّق غرضه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متماثل و مختلف، لا متضادّ،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و الإرادة، و الكراهة، و الشهوة، و النِّفار،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أعراض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متماثل و متضادّ، و لا يدخله المختلِف الذي ليس بمتضادّ،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و اللون، و الطعم، و الرائحة، و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خمسة أعراض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متماثل و مختلف و متضادّ، و هو الاعتقاد، 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المدخل إلى صناعة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الرسائل العشر،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المصنّف رحمه اللّٰه هذا القسم أيضاً؛ لعدم تعلّق غرضه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2477"/>
      </w:r>
      <w:r>
        <w:rPr>
          <w:rFonts w:ascii="Amiri" w:hAnsi="Amiri" w:eastAsia="Amiri" w:cs="Amiri"/>
          <w:color w:val="111111"/>
          <w:sz w:val="28"/>
          <w:sz w:val="28"/>
          <w:szCs w:val="28"/>
          <w:rtl w:val="true"/>
          <w:lang w:bidi="ar-SA"/>
        </w:rPr>
        <w:t xml:space="preserve">كانَ مُتوقِّفاً في القَطعِ بتَضادِّ المُختَلِفِ منها، فقَد كانَ يَجِبُ أن يَذكُرَ تَوقُّفَه؛ و أنّها مع التوقُّفِ إمّا أن تَكونَ داخلةً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 الذي لَيسَ بمُتَضادٍّ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الاعتماداتِ و الإراداتِ‌، أو مع</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هي مُختَلِفةٌ‌</w:t>
      </w:r>
      <w:r>
        <w:rPr>
          <w:rFonts w:eastAsia="Amiri" w:cs="Amiri" w:ascii="Amiri" w:hAnsi="Amiri"/>
          <w:color w:val="111111"/>
          <w:sz w:val="28"/>
          <w:szCs w:val="28"/>
          <w:rtl w:val="true"/>
          <w:lang w:bidi="ar-SA"/>
        </w:rPr>
        <w:t>»</w:t>
      </w:r>
      <w:r>
        <w:rPr>
          <w:rStyle w:val="FootnoteAnchor"/>
          <w:rtl w:val="true"/>
        </w:rPr>
        <w:footnoteReference w:id="2479"/>
      </w:r>
      <w:r>
        <w:rPr>
          <w:rFonts w:ascii="Amiri" w:hAnsi="Amiri" w:eastAsia="Amiri" w:cs="Amiri"/>
          <w:color w:val="111111"/>
          <w:sz w:val="28"/>
          <w:sz w:val="28"/>
          <w:szCs w:val="28"/>
          <w:rtl w:val="true"/>
          <w:lang w:bidi="ar-SA"/>
        </w:rPr>
        <w:t>كالألوانِ و الأكوانِ‌، و هذا إخلالٌ‌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أقسامَ الأعراضِ المُتعلِّقاتِ و كيفيّاتِ تَعلُّقِها</w:t>
      </w:r>
      <w:r>
        <w:rPr>
          <w:rStyle w:val="FootnoteAnchor"/>
          <w:rtl w:val="true"/>
        </w:rPr>
        <w:footnoteReference w:id="2480"/>
      </w:r>
      <w:r>
        <w:rPr>
          <w:rFonts w:ascii="Amiri" w:hAnsi="Amiri" w:eastAsia="Amiri" w:cs="Amiri"/>
          <w:color w:val="111111"/>
          <w:sz w:val="28"/>
          <w:sz w:val="28"/>
          <w:szCs w:val="28"/>
          <w:rtl w:val="true"/>
          <w:lang w:bidi="ar-SA"/>
        </w:rPr>
        <w:t>، أخَلَّ بقسمةِ‌</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ضُروبِ تَعلُّقِها، كانَ يَنبَغي أن يَذكُرَها، و هي أنّ المُتعلِّقاتِ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يَتعلَّقُ‌</w:t>
      </w:r>
      <w:r>
        <w:rPr>
          <w:rStyle w:val="FootnoteAnchor"/>
          <w:rtl w:val="true"/>
        </w:rPr>
        <w:footnoteReference w:id="2482"/>
      </w:r>
      <w:r>
        <w:rPr>
          <w:rFonts w:ascii="Amiri" w:hAnsi="Amiri" w:eastAsia="Amiri" w:cs="Amiri"/>
          <w:color w:val="111111"/>
          <w:sz w:val="28"/>
          <w:sz w:val="28"/>
          <w:szCs w:val="28"/>
          <w:rtl w:val="true"/>
          <w:lang w:bidi="ar-SA"/>
        </w:rPr>
        <w:t>بعَينٍ‌</w:t>
      </w:r>
      <w:r>
        <w:rPr>
          <w:rStyle w:val="FootnoteAnchor"/>
          <w:rtl w:val="true"/>
        </w:rPr>
        <w:footnoteReference w:id="2483"/>
      </w:r>
      <w:r>
        <w:rPr>
          <w:rFonts w:ascii="Amiri" w:hAnsi="Amiri" w:eastAsia="Amiri" w:cs="Amiri"/>
          <w:color w:val="111111"/>
          <w:sz w:val="28"/>
          <w:sz w:val="28"/>
          <w:szCs w:val="28"/>
          <w:rtl w:val="true"/>
          <w:lang w:bidi="ar-SA"/>
        </w:rPr>
        <w:t>واحدةٍ‌</w:t>
      </w:r>
      <w:r>
        <w:rPr>
          <w:rStyle w:val="FootnoteAnchor"/>
          <w:rtl w:val="true"/>
        </w:rPr>
        <w:footnoteReference w:id="2484"/>
      </w:r>
      <w:r>
        <w:rPr>
          <w:rFonts w:ascii="Amiri" w:hAnsi="Amiri" w:eastAsia="Amiri" w:cs="Amiri"/>
          <w:color w:val="111111"/>
          <w:sz w:val="28"/>
          <w:sz w:val="28"/>
          <w:szCs w:val="28"/>
          <w:rtl w:val="true"/>
          <w:lang w:bidi="ar-SA"/>
        </w:rPr>
        <w:t>تفصيلاً، مِن غيرِ تَجاوُزٍ له؛ كالاعتقادِ</w:t>
      </w:r>
      <w:r>
        <w:rPr>
          <w:rStyle w:val="FootnoteAnchor"/>
          <w:rtl w:val="true"/>
        </w:rPr>
        <w:footnoteReference w:id="2485"/>
      </w:r>
      <w:r>
        <w:rPr>
          <w:rFonts w:ascii="Amiri" w:hAnsi="Amiri" w:eastAsia="Amiri" w:cs="Amiri"/>
          <w:color w:val="111111"/>
          <w:sz w:val="28"/>
          <w:sz w:val="28"/>
          <w:szCs w:val="28"/>
          <w:rtl w:val="true"/>
          <w:lang w:bidi="ar-SA"/>
        </w:rPr>
        <w:t>، و الظنِّ‌، و الإرادةِ‌، و الكَراهةِ‌،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الآخَرُ يَتعلَّقُ بما لا يَتَناهىٰ‌؛ كالشهوةِ‌، و النِّفارِ، و القُدرةِ فيما تَتعلَّقُ به مِن الأجناسِ أو الجنسِ الواحدِ في المَحالِّ و الأوقاتِ‌؛ لأنّها إنّما تَتعلَّقُ‌</w:t>
      </w:r>
      <w:r>
        <w:rPr>
          <w:rStyle w:val="FootnoteAnchor"/>
          <w:rtl w:val="true"/>
        </w:rPr>
        <w:footnoteReference w:id="2486"/>
      </w:r>
      <w:r>
        <w:rPr>
          <w:rFonts w:ascii="Amiri" w:hAnsi="Amiri" w:eastAsia="Amiri" w:cs="Amiri"/>
          <w:color w:val="111111"/>
          <w:sz w:val="28"/>
          <w:sz w:val="28"/>
          <w:szCs w:val="28"/>
          <w:rtl w:val="true"/>
          <w:lang w:bidi="ar-SA"/>
        </w:rPr>
        <w:t>بالواحدِ مِن غيرِ تَعَدٍّ له إذا كانَ الجنسُ و المَحلُّ و الوقتُ واحداً</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 بقسمةٍ أُخرىٰ في المُتعلِّقاتِ‌؛ لأنّها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يَتعلَّقُ‌</w:t>
      </w:r>
      <w:r>
        <w:rPr>
          <w:rStyle w:val="FootnoteAnchor"/>
          <w:rtl w:val="true"/>
        </w:rPr>
        <w:footnoteReference w:id="2488"/>
      </w:r>
      <w:r>
        <w:rPr>
          <w:rFonts w:ascii="Amiri" w:hAnsi="Amiri" w:eastAsia="Amiri" w:cs="Amiri"/>
          <w:color w:val="111111"/>
          <w:sz w:val="28"/>
          <w:sz w:val="28"/>
          <w:szCs w:val="28"/>
          <w:rtl w:val="true"/>
          <w:lang w:bidi="ar-SA"/>
        </w:rPr>
        <w:t>بمُتعلَّقِه علَى الجُملةِ و التفصيلِ‌؛</w:t>
      </w:r>
      <w:r>
        <w:rPr>
          <w:rStyle w:val="FootnoteAnchor"/>
          <w:rtl w:val="true"/>
        </w:rPr>
        <w:footnoteReference w:id="2489"/>
      </w:r>
      <w:r>
        <w:rPr>
          <w:rFonts w:ascii="IRNazanin" w:hAnsi="IRNazanin" w:eastAsia="IRNazanin"/>
          <w:color w:val="111111"/>
          <w:sz w:val="28"/>
          <w:sz w:val="28"/>
          <w:szCs w:val="28"/>
          <w:rtl w:val="true"/>
          <w:lang w:bidi="fa-IR"/>
        </w:rPr>
        <w:t>و هو الاعتقاداتُ‌، و الإراداتُ‌</w:t>
      </w:r>
      <w:r>
        <w:rPr>
          <w:rStyle w:val="FootnoteAnchor"/>
          <w:rtl w:val="true"/>
        </w:rPr>
        <w:footnoteReference w:id="2490"/>
      </w:r>
      <w:r>
        <w:rPr>
          <w:rFonts w:ascii="Amiri" w:hAnsi="Amiri" w:eastAsia="Amiri" w:cs="Amiri"/>
          <w:color w:val="111111"/>
          <w:sz w:val="28"/>
          <w:sz w:val="28"/>
          <w:szCs w:val="28"/>
          <w:rtl w:val="true"/>
          <w:lang w:bidi="ar-SA"/>
        </w:rPr>
        <w:t>، و الكَراهاتُ‌</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الثاني لا يَتعلَّقُ إلّاعلىٰ طريقِ‌</w:t>
      </w:r>
      <w:r>
        <w:rPr>
          <w:rStyle w:val="FootnoteAnchor"/>
          <w:rtl w:val="true"/>
        </w:rPr>
        <w:footnoteReference w:id="2492"/>
      </w:r>
      <w:r>
        <w:rPr>
          <w:rFonts w:ascii="Amiri" w:hAnsi="Amiri" w:eastAsia="Amiri" w:cs="Amiri"/>
          <w:color w:val="111111"/>
          <w:sz w:val="28"/>
          <w:sz w:val="28"/>
          <w:szCs w:val="28"/>
          <w:rtl w:val="true"/>
          <w:lang w:bidi="ar-SA"/>
        </w:rPr>
        <w:t>التفصيلِ‌، و هو القُدَرُ، و الشهَواتُ‌، و النِّفاراتُ‌</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كيفيّةَ توليدِ</w:t>
      </w:r>
      <w:r>
        <w:rPr>
          <w:rStyle w:val="FootnoteAnchor"/>
          <w:rtl w:val="true"/>
        </w:rPr>
        <w:footnoteReference w:id="2494"/>
      </w:r>
      <w:r>
        <w:rPr>
          <w:rFonts w:ascii="Amiri" w:hAnsi="Amiri" w:eastAsia="Amiri" w:cs="Amiri"/>
          <w:color w:val="111111"/>
          <w:sz w:val="28"/>
          <w:sz w:val="28"/>
          <w:szCs w:val="28"/>
          <w:rtl w:val="true"/>
          <w:lang w:bidi="ar-SA"/>
        </w:rPr>
        <w:t xml:space="preserve">الأسبابِ المولِّدةِ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Style w:val="FootnoteAnchor"/>
          <w:rtl w:val="true"/>
        </w:rPr>
        <w:footnoteReference w:id="2495"/>
      </w:r>
      <w:r>
        <w:rPr>
          <w:rFonts w:ascii="Amiri" w:hAnsi="Amiri" w:eastAsia="Amiri" w:cs="Amiri"/>
          <w:color w:val="111111"/>
          <w:sz w:val="28"/>
          <w:sz w:val="28"/>
          <w:szCs w:val="28"/>
          <w:rtl w:val="true"/>
          <w:lang w:bidi="ar-SA"/>
        </w:rPr>
        <w:t>النظَرُ، و الاعتمادُ</w:t>
      </w:r>
      <w:r>
        <w:rPr>
          <w:rStyle w:val="FootnoteAnchor"/>
          <w:rtl w:val="true"/>
        </w:rPr>
        <w:footnoteReference w:id="2496"/>
      </w:r>
      <w:r>
        <w:rPr>
          <w:rFonts w:ascii="Amiri" w:hAnsi="Amiri" w:eastAsia="Amiri" w:cs="Amiri"/>
          <w:color w:val="111111"/>
          <w:sz w:val="28"/>
          <w:sz w:val="28"/>
          <w:szCs w:val="28"/>
          <w:rtl w:val="true"/>
          <w:lang w:bidi="ar-SA"/>
        </w:rPr>
        <w:t xml:space="preserve">، و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بقسمةٍ في هذه المولِّداتِ كانَ يَجِبُ ذِكرُها، و هي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المولِّدَةَ‌</w:t>
      </w:r>
      <w:r>
        <w:rPr>
          <w:rStyle w:val="FootnoteAnchor"/>
          <w:rtl w:val="true"/>
        </w:rPr>
        <w:footnoteReference w:id="2497"/>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يولِّدُ</w:t>
      </w:r>
      <w:r>
        <w:rPr>
          <w:rStyle w:val="FootnoteAnchor"/>
          <w:rtl w:val="true"/>
        </w:rPr>
        <w:footnoteReference w:id="2498"/>
      </w:r>
      <w:r>
        <w:rPr>
          <w:rFonts w:ascii="Amiri" w:hAnsi="Amiri" w:eastAsia="Amiri" w:cs="Amiri"/>
          <w:color w:val="111111"/>
          <w:sz w:val="28"/>
          <w:sz w:val="28"/>
          <w:szCs w:val="28"/>
          <w:rtl w:val="true"/>
          <w:lang w:bidi="ar-SA"/>
        </w:rPr>
        <w:t>في الثاني</w:t>
      </w:r>
      <w:r>
        <w:rPr>
          <w:rStyle w:val="FootnoteAnchor"/>
          <w:rtl w:val="true"/>
        </w:rPr>
        <w:footnoteReference w:id="2499"/>
      </w:r>
      <w:r>
        <w:rPr>
          <w:rFonts w:ascii="Amiri" w:hAnsi="Amiri" w:eastAsia="Amiri" w:cs="Amiri"/>
          <w:color w:val="111111"/>
          <w:sz w:val="28"/>
          <w:sz w:val="28"/>
          <w:szCs w:val="28"/>
          <w:rtl w:val="true"/>
          <w:lang w:bidi="ar-SA"/>
        </w:rPr>
        <w:t>، و الضربُ الآخَرُ يولِّدُ</w:t>
      </w:r>
      <w:r>
        <w:rPr>
          <w:rStyle w:val="FootnoteAnchor"/>
          <w:rtl w:val="true"/>
        </w:rPr>
        <w:footnoteReference w:id="2500"/>
      </w:r>
      <w:r>
        <w:rPr>
          <w:rFonts w:ascii="Amiri" w:hAnsi="Amiri" w:eastAsia="Amiri" w:cs="Amiri"/>
          <w:color w:val="111111"/>
          <w:sz w:val="28"/>
          <w:sz w:val="28"/>
          <w:szCs w:val="28"/>
          <w:rtl w:val="true"/>
          <w:lang w:bidi="ar-SA"/>
        </w:rPr>
        <w:t>في حالِه</w:t>
      </w:r>
      <w:r>
        <w:rPr>
          <w:rStyle w:val="FootnoteAnchor"/>
          <w:rtl w:val="true"/>
        </w:rPr>
        <w:footnoteReference w:id="2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الأوّلِ النظَرُ و الاعتمادُ، و مثالُ الثاني الأكوانُ‌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قسمةَ ما يُدرَكُ‌</w:t>
      </w:r>
      <w:r>
        <w:rPr>
          <w:rStyle w:val="FootnoteAnchor"/>
          <w:rtl w:val="true"/>
        </w:rPr>
        <w:footnoteReference w:id="2502"/>
      </w:r>
      <w:r>
        <w:rPr>
          <w:rFonts w:ascii="Amiri" w:hAnsi="Amiri" w:eastAsia="Amiri" w:cs="Amiri"/>
          <w:color w:val="111111"/>
          <w:sz w:val="28"/>
          <w:sz w:val="28"/>
          <w:szCs w:val="28"/>
          <w:rtl w:val="true"/>
          <w:lang w:bidi="ar-SA"/>
        </w:rPr>
        <w:t>مِن الأعراضِ‌، و أنّ فيها ما يَكفي في إدراكِه مَحلُّ الحَياةِ‌</w:t>
      </w:r>
      <w:r>
        <w:rPr>
          <w:rStyle w:val="FootnoteAnchor"/>
          <w:rtl w:val="true"/>
        </w:rPr>
        <w:footnoteReference w:id="2503"/>
      </w:r>
      <w:r>
        <w:rPr>
          <w:rFonts w:ascii="Amiri" w:hAnsi="Amiri" w:eastAsia="Amiri" w:cs="Amiri"/>
          <w:color w:val="111111"/>
          <w:sz w:val="28"/>
          <w:sz w:val="28"/>
          <w:szCs w:val="28"/>
          <w:rtl w:val="true"/>
          <w:lang w:bidi="ar-SA"/>
        </w:rPr>
        <w:t>، و فيها ما يَحتاجُ إلىٰ بِنيةٍ زائدةٍ‌</w:t>
      </w:r>
      <w:r>
        <w:rPr>
          <w:rStyle w:val="FootnoteAnchor"/>
          <w:rtl w:val="true"/>
        </w:rPr>
        <w:footnoteReference w:id="2504"/>
      </w:r>
      <w:r>
        <w:rPr>
          <w:rFonts w:ascii="Amiri" w:hAnsi="Amiri" w:eastAsia="Amiri" w:cs="Amiri"/>
          <w:color w:val="111111"/>
          <w:sz w:val="28"/>
          <w:sz w:val="28"/>
          <w:szCs w:val="28"/>
          <w:rtl w:val="true"/>
          <w:lang w:bidi="ar-SA"/>
        </w:rPr>
        <w:t xml:space="preserve">، أخَلَّ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أقسامَ ما لا يَكفي في إدراكِه مَحلُّ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بالأراييحِ‌؛ فإنّه ذَكَرَ الألوانَ و الطُّعومَ و الأصواتَ‌</w:t>
      </w:r>
      <w:r>
        <w:rPr>
          <w:rStyle w:val="FootnoteAnchor"/>
          <w:rtl w:val="true"/>
        </w:rPr>
        <w:footnoteReference w:id="2505"/>
      </w:r>
      <w:r>
        <w:rPr>
          <w:rFonts w:ascii="Amiri" w:hAnsi="Amiri" w:eastAsia="Amiri" w:cs="Amiri"/>
          <w:color w:val="111111"/>
          <w:sz w:val="28"/>
          <w:sz w:val="28"/>
          <w:szCs w:val="28"/>
          <w:rtl w:val="true"/>
          <w:lang w:bidi="ar-SA"/>
        </w:rPr>
        <w:t>، و تَرَكَ ذِكرَ الأراييحِ‌</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 أيضاً بقسمةٍ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إدراكِ هذه المُدرَكاتِ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ذِكرُها؛ هي أنّ هذه الأعراضَ المُدرَكاتِ علىٰ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يُدرَكُ بمَحلِّه</w:t>
      </w:r>
      <w:r>
        <w:rPr>
          <w:rStyle w:val="FootnoteAnchor"/>
          <w:rtl w:val="true"/>
        </w:rPr>
        <w:footnoteReference w:id="250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2507"/>
      </w:r>
      <w:r>
        <w:rPr>
          <w:rFonts w:ascii="Amiri" w:hAnsi="Amiri" w:eastAsia="Amiri" w:cs="Amiri"/>
          <w:color w:val="111111"/>
          <w:sz w:val="28"/>
          <w:sz w:val="28"/>
          <w:szCs w:val="28"/>
          <w:rtl w:val="true"/>
          <w:lang w:bidi="ar-SA"/>
        </w:rPr>
        <w:t>ما يُدرَكُ في مَحلِّه، و منها ما يُدرَكُ مَحلُّه مِن غيرِ إدراكِ مَحلِّه</w:t>
      </w:r>
      <w:r>
        <w:rPr>
          <w:rStyle w:val="FootnoteAnchor"/>
          <w:rtl w:val="true"/>
        </w:rPr>
        <w:footnoteReference w:id="2508"/>
      </w:r>
      <w:r>
        <w:rPr>
          <w:rFonts w:ascii="Amiri" w:hAnsi="Amiri" w:eastAsia="Amiri" w:cs="Amiri"/>
          <w:color w:val="111111"/>
          <w:sz w:val="28"/>
          <w:sz w:val="28"/>
          <w:szCs w:val="28"/>
          <w:rtl w:val="true"/>
          <w:lang w:bidi="ar-SA"/>
        </w:rPr>
        <w:t>و لا انتقالِه إلىٰ حاسّةِ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الألَمُ‌، و الثاني هو اللونُ و الحَرارةُ و البُرودةُ و الأصواتُ و الطُّعومُ و الأراييحُ‌، و الثالثُ هو الأكوانُ‌</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يُدرَك بمحلّ الحياة فيه، و هو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يُدرَك بواسطة محلّ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كائناً في محلّ الحياة، فإنّ الألم يكون في اليد أو الرِّجل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يُدرَك بمحلّ الحياة لا فيه، و هو الحرارة و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يُدرَكان و يُحَسَّان بواسطة محلّ الحياة، لكنّهما لا يكونان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يُدرَك بالحاسّة في محلّه، و هو اللّون، و الصوت، و الطعم، و الرائحة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يُدرَك محلُّه من غير إدراكه و لا انتقاله إلى الحاسّة، و هو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توضيح ذلك ننقل هنا كلام المقرئ النيسابوري في خصوص هذا القسم،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 بعضهم أنّ الأكوان مُدرَكة بمحلّ الحياة، و استشهد علىٰ ذلك بأنّ أحدنا إذا أخذ جرادةً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يدرِك حركاتها كلّما اضطربت و تحرّكت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أنّها غير مدرَكة، و الحيوان إذا تحرّك في يد إنسان فإنّه يُحِسّ بذلك، غير أنّه يُدرِك محلّ الحركة بالمماسّة إلىٰ محلّ حياته؛ لأنّه كلّما اضطرب صار مماسّاً لموضع آخر من يده، فالمحِسّ بذلك يدرِك المحلّ علىٰ ما ذكرت دون الحالّ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المقدّمة في المدخل إلىٰ صناعة علم الكلام،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المسألةُ‌</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 xml:space="preserve">. </w:t>
      </w:r>
      <w:bookmarkStart w:id="648" w:name="pg16415_224107"/>
    </w:p>
    <w:p>
      <w:pPr>
        <w:pStyle w:val="Heading4"/>
        <w:numPr>
          <w:ilvl w:val="3"/>
          <w:numId w:val="1"/>
        </w:numPr>
        <w:rPr/>
      </w:pPr>
      <w:bookmarkStart w:id="649" w:name="__RefHeading___Toc7642674_1280447820"/>
      <w:bookmarkStart w:id="650" w:name="_Toc224"/>
      <w:bookmarkEnd w:id="648"/>
      <w:bookmarkEnd w:id="649"/>
      <w:r>
        <w:rPr>
          <w:rtl w:val="true"/>
        </w:rPr>
        <w:t>(</w:t>
      </w:r>
      <w:r>
        <w:rPr/>
        <w:t>36</w:t>
      </w:r>
      <w:r>
        <w:rPr>
          <w:rtl w:val="true"/>
        </w:rPr>
        <w:t xml:space="preserve">) </w:t>
      </w:r>
      <w:r>
        <w:rPr>
          <w:rtl w:val="true"/>
        </w:rPr>
        <w:t>مسألة في الكلام في حقيقة الجوهر</w:t>
      </w:r>
      <w:bookmarkEnd w:id="65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1" w:name="__RefHeading___Toc7642676_1280447820"/>
      <w:bookmarkStart w:id="652" w:name="_Toc225"/>
      <w:bookmarkEnd w:id="651"/>
      <w:r>
        <w:rPr>
          <w:rtl w:val="true"/>
        </w:rPr>
        <w:t>اشارة</w:t>
      </w:r>
      <w:bookmarkEnd w:id="65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6415_224109"/>
      <w:bookmarkStart w:id="654" w:name="pg16415_224109"/>
      <w:bookmarkEnd w:id="654"/>
    </w:p>
    <w:p>
      <w:pPr>
        <w:pStyle w:val="Heading5"/>
        <w:numPr>
          <w:ilvl w:val="4"/>
          <w:numId w:val="1"/>
        </w:numPr>
        <w:rPr/>
      </w:pPr>
      <w:bookmarkStart w:id="655" w:name="pg16415_224109"/>
      <w:bookmarkStart w:id="656" w:name="__RefHeading___Toc7642678_1280447820"/>
      <w:bookmarkStart w:id="657" w:name="_Toc226"/>
      <w:bookmarkEnd w:id="655"/>
      <w:bookmarkEnd w:id="656"/>
      <w:r>
        <w:rPr>
          <w:rtl w:val="true"/>
        </w:rPr>
        <w:t>مقدّمة التحقيق</w:t>
      </w:r>
      <w:bookmarkEnd w:id="657"/>
    </w:p>
    <w:p>
      <w:pPr>
        <w:pStyle w:val="Heading6"/>
        <w:numPr>
          <w:ilvl w:val="5"/>
          <w:numId w:val="1"/>
        </w:numPr>
        <w:rPr/>
      </w:pPr>
      <w:bookmarkStart w:id="658" w:name="__RefHeading___Toc7642680_1280447820"/>
      <w:bookmarkStart w:id="659" w:name="_Toc227"/>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ظهر خلاف بين المتكلّمين حول أنّ الأشياء في عدمها أشياء، أو لا؟ و هل الجوهر في حال عدمه جوهر أيضاً، أو إنّه ليس كذلك، و إنّما يصير جوهراً إذا وُجد؟</w:t>
      </w:r>
    </w:p>
    <w:p>
      <w:pPr>
        <w:pStyle w:val="BookText"/>
        <w:rPr/>
      </w:pPr>
      <w:r>
        <w:rPr>
          <w:rFonts w:ascii="Amiri" w:hAnsi="Amiri" w:eastAsia="Amiri" w:cs="Amiri"/>
          <w:color w:val="111111"/>
          <w:sz w:val="28"/>
          <w:sz w:val="28"/>
          <w:szCs w:val="28"/>
          <w:rtl w:val="true"/>
          <w:lang w:bidi="ar-SA"/>
        </w:rPr>
        <w:t>فذهب معتزلة البصرة إلى الأوّل، أي إلى أنّ الجوهر جوهر في حال عدمه</w:t>
      </w:r>
      <w:r>
        <w:rPr>
          <w:rStyle w:val="FootnoteAnchor"/>
          <w:rtl w:val="true"/>
        </w:rPr>
        <w:footnoteReference w:id="2512"/>
      </w:r>
      <w:r>
        <w:rPr>
          <w:rFonts w:ascii="Amiri" w:hAnsi="Amiri" w:eastAsia="Amiri" w:cs="Amiri"/>
          <w:color w:val="111111"/>
          <w:sz w:val="28"/>
          <w:sz w:val="28"/>
          <w:szCs w:val="28"/>
          <w:rtl w:val="true"/>
          <w:lang w:bidi="ar-SA"/>
        </w:rPr>
        <w:t>، و إلى هذا ذهب الشريف المرتضى، فيما ذهب معتزلة بغداد إلى الثاني،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لا يصير جوهراً إلّابعد وجوده، لكن جوّزوا أن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العدم</w:t>
      </w:r>
      <w:r>
        <w:rPr>
          <w:rFonts w:eastAsia="Amiri" w:cs="Amiri" w:ascii="Amiri" w:hAnsi="Amiri"/>
          <w:color w:val="111111"/>
          <w:sz w:val="28"/>
          <w:szCs w:val="28"/>
          <w:rtl w:val="true"/>
          <w:lang w:bidi="ar-SA"/>
        </w:rPr>
        <w:t>.</w:t>
      </w:r>
      <w:r>
        <w:rPr>
          <w:rStyle w:val="FootnoteAnchor"/>
          <w:rtl w:val="true"/>
        </w:rPr>
        <w:footnoteReference w:id="2513"/>
      </w:r>
      <w:r>
        <w:rPr>
          <w:rFonts w:ascii="Amiri" w:hAnsi="Amiri" w:eastAsia="Amiri" w:cs="Amiri"/>
          <w:color w:val="111111"/>
          <w:sz w:val="28"/>
          <w:sz w:val="28"/>
          <w:szCs w:val="28"/>
          <w:rtl w:val="true"/>
          <w:lang w:bidi="ar-SA"/>
        </w:rPr>
        <w:t>فيما رفض الشيخ المفيد أن يكون الجوهر جوهراً أو شيئاً في حال العدم</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عُرفت هذه المسألة الخلافيّة في تاريخ الكلام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الشريف المرتضى بالتفصيل إلى رأيه حول هذه المسألة في المسألة الأُولى من المسائل السلّاريّة، كما أشار إليه في نهاية المسألة الرابعة من الطرابلسيّات الأُولى، إضافة إلى الرسالة محلّ البحث؛ فقد سُئل فيها عن هذه المسألة، حيث طرح السائل إشكالين على ما ذهب إليه الشريف المرتضى، و هما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الجوهر جوهراً في حال عدمه، فما الذي فعله اللّٰه تعالى‌؟ إنّه في الحقيقة لم يفعل شيئاً بناء 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أعطى الوجود للجوهر، فحينئذ </w:t>
      </w:r>
    </w:p>
    <w:p>
      <w:pPr>
        <w:pStyle w:val="BookText"/>
        <w:rPr/>
      </w:pPr>
      <w:r>
        <w:rPr>
          <w:rFonts w:ascii="Amiri" w:hAnsi="Amiri" w:eastAsia="Amiri" w:cs="Amiri"/>
          <w:color w:val="111111"/>
          <w:sz w:val="28"/>
          <w:sz w:val="28"/>
          <w:szCs w:val="28"/>
          <w:rtl w:val="true"/>
          <w:lang w:bidi="ar-SA"/>
        </w:rPr>
        <w:t>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الوجود شيء غير نفس الجوهر أو لا؟ فإن كان شيئاً لزم أن يكون في حال عدمه كذلك؛ لأنّكم ترون أنّ الأشياء في حال عدمها أشياء أيضاً، فيكون الوجود شيئاً في العدم، و هو واضح البطلان للزوم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شيئاً فقد ثبت ما قلناه من أنّ الفاعل لم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رأيكم يؤدّي إلى قول المجبرة القائلين بالكسب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لنا وجه المقارنة بين القولين، و لعلّ مراده أنّ أصحاب الكسب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يوجِد الفعل، و إنّما اللّٰه تعالى يوجِده، و العبد يكسبه، فكأنّ الفعل صار جاهزاً و العبد قام بكسبه فقط، فإذا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إيجاد الفعل و كسبه، هل هو نفسه أو غيره‌؟ أجابوا بكلام غير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القائلون بأنّ الجوهر جوهر في حال عدمه،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لم يجعل الجوهر جوهراً، و إنّما الجوهر جوهر بذاته، و الفاعل إنّما أعطاه الوجود، فكأنّ الجوهر كان جوهراً جاهزاً بذاته، و الفاعل قام بإيجاده فقط من دون أن يضيف عليه شيئاً، فإذا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الوجود و ذات الجوهر، هل هو نفسها أو غيرها؟ أجابوا بكلام غير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ظهر لنا من الإشكال الثاني،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الشريف المرتضى جواباً عاماً شاملاً لكلا الإشكالين، و ذلك من خلال بيان وجهة نظره حول المسألة، حيث يمكن تلخيص ما قاله من خلال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عبارة عمّا يجب له التحيّز متى 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كذلك فلا بدّ أن يكون في حال عدمه على حالٍ‌، بحيث إذا وُجد وجب له التحيّز، و لهذا وجب أن يكون في حال عدمه جوهراً، وصحّ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جوهر لذاته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علىٰ كلامه دليلاً سقط نصفه الأخير من النسخ، و مفاده أنّ المتحّيز إذا وُجد، إمّا أن يكون التحيّز واجباً له، أو لا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واجباً فلا بدّ أن يكون في حال عدمه على حال بحيث إذا وُجد وجب له </w:t>
      </w:r>
      <w:bookmarkStart w:id="660" w:name="pg16415_224111"/>
    </w:p>
    <w:p>
      <w:pPr>
        <w:pStyle w:val="BookText"/>
        <w:rPr/>
      </w:pPr>
      <w:bookmarkEnd w:id="660"/>
      <w:r>
        <w:rPr>
          <w:rFonts w:ascii="Amiri" w:hAnsi="Amiri" w:eastAsia="Amiri" w:cs="Amiri"/>
          <w:color w:val="111111"/>
          <w:sz w:val="28"/>
          <w:sz w:val="28"/>
          <w:szCs w:val="28"/>
          <w:rtl w:val="true"/>
          <w:lang w:bidi="ar-SA"/>
        </w:rPr>
        <w:t>التحيّز لذاته، و استحال أن يكون شيئاً آخر؛ لأنّ تحيّز الجوهر إن لم يكن لذاته بل كان بواسطة الفاعل، لم يجب له التحيّز؛ لأنّ الفاعل مختار في إعطاء التحيّز و عدم إعطائه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واجباً، و هذا هو القسم الساقط من النسخة، و لكن يمكن إكماله بصورة حدسيّة، و ذلك من خلال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واجباً، أمكن أن يوجد الجوهر من دون أن يكون 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مستحيل؛ لأنّه قد أُخِذ في مفهوم و حقيقة الجوهر أنّه يجب له التحيّز إذا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الشقّ الأوّل هو الصحيح، و لا بدّ أن يكون الجوهر جوهراً في حال عدمه، و هو المطلوب</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7642682_1280447820"/>
      <w:bookmarkStart w:id="662" w:name="_Toc228"/>
      <w:bookmarkEnd w:id="661"/>
      <w:r>
        <w:rPr>
          <w:rtl w:val="true"/>
        </w:rPr>
        <w:t>حقيقة الرسالة و نسبتها إلى المؤلّف</w:t>
      </w:r>
      <w:bookmarkEnd w:id="662"/>
    </w:p>
    <w:p>
      <w:pPr>
        <w:pStyle w:val="BookText"/>
        <w:rPr/>
      </w:pPr>
      <w:r>
        <w:rPr>
          <w:rFonts w:ascii="Amiri" w:hAnsi="Amiri" w:eastAsia="Amiri" w:cs="Amiri"/>
          <w:color w:val="111111"/>
          <w:sz w:val="28"/>
          <w:sz w:val="28"/>
          <w:szCs w:val="28"/>
          <w:rtl w:val="true"/>
          <w:lang w:bidi="ar-SA"/>
        </w:rPr>
        <w:t xml:space="preserve">و الذي يبدو لنا أنّ هذه الرسالة ليست رسالة مستقلّة، و إنّما هي تشكل في الحقيقة المسألة الثانية من المسائل الرمليّات؛ فإنّ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لنا أسماء المسائل الرمليّات التي فُقِد معظمُها، و ذكر أنّ المسألة الثانية منها هي مسألة في الجوهر، و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الجوهر، و تسميتِه جوهراً في العدم، و هذا ينطبق على مسألتنا محلّ البحث انطباقاً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قد جاء في بداية الرسالة محلّ البحث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 من المسائل التي وردت على الأجلّ 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ينطبق تماماً على ما ذكره البُصروي، حيث ذكر أنّ المسألة الثانية من الرمليّات تبحث عن حقيقة الجوهر، و قد صُرّح هنا بأنّ هذه المسألة تشكل المسألة الثانية من مسائل وردت على الشريف المرتضى، و هذا يقوي احتمال أن تكون هذه المسألة إحدى المسائل الرمليّات إلى درجة كبيرة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هذا الأمر، أمكن الجزم بصحّة نسبة الرسالة إلى الشريف المرتضى؛ لذكر البُصروي للرمليّات، و تصريحه بعناوينها</w:t>
      </w:r>
      <w:r>
        <w:rPr>
          <w:rFonts w:eastAsia="Amiri" w:cs="Amiri" w:ascii="Amiri" w:hAnsi="Amiri"/>
          <w:color w:val="111111"/>
          <w:sz w:val="28"/>
          <w:szCs w:val="28"/>
          <w:rtl w:val="true"/>
          <w:lang w:bidi="ar-SA"/>
        </w:rPr>
        <w:t xml:space="preserve">. </w:t>
      </w:r>
      <w:bookmarkStart w:id="663" w:name="pg16415_224112"/>
    </w:p>
    <w:p>
      <w:pPr>
        <w:pStyle w:val="BookText"/>
        <w:rPr/>
      </w:pPr>
      <w:bookmarkEnd w:id="663"/>
      <w:r>
        <w:rPr>
          <w:rFonts w:ascii="Amiri" w:hAnsi="Amiri" w:eastAsia="Amiri" w:cs="Amiri"/>
          <w:color w:val="111111"/>
          <w:sz w:val="28"/>
          <w:sz w:val="28"/>
          <w:szCs w:val="28"/>
          <w:rtl w:val="true"/>
          <w:lang w:bidi="ar-SA"/>
        </w:rPr>
        <w:t xml:space="preserve">هذا، 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أجوبة مسائل متفرّقة من الحديث و غيره</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7642684_1280447820"/>
      <w:bookmarkStart w:id="665" w:name="_Toc229"/>
      <w:bookmarkEnd w:id="664"/>
      <w:r>
        <w:rPr>
          <w:rtl w:val="true"/>
        </w:rPr>
        <w:t>مخطوطات الرسالة</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666" w:name="pg16415_224113"/>
    </w:p>
    <w:p>
      <w:pPr>
        <w:pStyle w:val="Heading5"/>
        <w:numPr>
          <w:ilvl w:val="4"/>
          <w:numId w:val="1"/>
        </w:numPr>
        <w:rPr/>
      </w:pPr>
      <w:bookmarkStart w:id="667" w:name="__RefHeading___Toc7642686_1280447820"/>
      <w:bookmarkStart w:id="668" w:name="_Toc230"/>
      <w:bookmarkEnd w:id="666"/>
      <w:bookmarkEnd w:id="667"/>
      <w:r>
        <w:rPr>
          <w:rtl w:val="true"/>
        </w:rPr>
        <w:t>مسألةٌ في الكلامِ في حَقيقةِ الجَوهرِ</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مِن المسائِل</w:t>
      </w:r>
      <w:r>
        <w:rPr>
          <w:rStyle w:val="FootnoteAnchor"/>
          <w:rtl w:val="true"/>
        </w:rPr>
        <w:footnoteReference w:id="2515"/>
      </w:r>
      <w:r>
        <w:rPr>
          <w:rFonts w:ascii="Amiri" w:hAnsi="Amiri" w:eastAsia="Amiri" w:cs="Amiri"/>
          <w:color w:val="111111"/>
          <w:sz w:val="28"/>
          <w:sz w:val="28"/>
          <w:szCs w:val="28"/>
          <w:rtl w:val="true"/>
          <w:lang w:bidi="ar-SA"/>
        </w:rPr>
        <w:t xml:space="preserve">التي وَرَدَت علَى الأجَلِّ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الجَوهرُ</w:t>
      </w:r>
      <w:r>
        <w:rPr>
          <w:rStyle w:val="FootnoteAnchor"/>
          <w:rtl w:val="true"/>
        </w:rPr>
        <w:footnoteReference w:id="2516"/>
      </w:r>
      <w:r>
        <w:rPr>
          <w:rFonts w:ascii="Amiri" w:hAnsi="Amiri" w:eastAsia="Amiri" w:cs="Amiri"/>
          <w:color w:val="111111"/>
          <w:sz w:val="28"/>
          <w:sz w:val="28"/>
          <w:szCs w:val="28"/>
          <w:rtl w:val="true"/>
          <w:lang w:bidi="ar-SA"/>
        </w:rPr>
        <w:t>في عدمِه جَوهراً، فما</w:t>
      </w:r>
      <w:r>
        <w:rPr>
          <w:rStyle w:val="FootnoteAnchor"/>
          <w:rtl w:val="true"/>
        </w:rPr>
        <w:footnoteReference w:id="2517"/>
      </w:r>
      <w:r>
        <w:rPr>
          <w:rFonts w:ascii="Amiri" w:hAnsi="Amiri" w:eastAsia="Amiri" w:cs="Amiri"/>
          <w:color w:val="111111"/>
          <w:sz w:val="28"/>
          <w:sz w:val="28"/>
          <w:szCs w:val="28"/>
          <w:rtl w:val="true"/>
          <w:lang w:bidi="ar-SA"/>
        </w:rPr>
        <w:t>الذي فَعَلَ مُحدِثُه‌؟</w:t>
      </w:r>
    </w:p>
    <w:p>
      <w:pPr>
        <w:pStyle w:val="BookText"/>
        <w:rPr/>
      </w:pPr>
      <w:r>
        <w:rPr>
          <w:rFonts w:ascii="Amiri" w:hAnsi="Amiri" w:eastAsia="Amiri" w:cs="Amiri"/>
          <w:color w:val="111111"/>
          <w:sz w:val="28"/>
          <w:sz w:val="28"/>
          <w:szCs w:val="28"/>
          <w:rtl w:val="true"/>
          <w:lang w:bidi="ar-SA"/>
        </w:rPr>
        <w:t xml:space="preserve">و هَل صفةُ الوجودِ و الإحداثِ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نفسِه</w:t>
      </w:r>
      <w:r>
        <w:rPr>
          <w:rStyle w:val="FootnoteAnchor"/>
          <w:rtl w:val="true"/>
        </w:rPr>
        <w:footnoteReference w:id="25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شَيئاً، لَزِمَكم أن تَكونَ‌</w:t>
      </w:r>
      <w:r>
        <w:rPr>
          <w:rStyle w:val="FootnoteAnchor"/>
          <w:rtl w:val="true"/>
        </w:rPr>
        <w:footnoteReference w:id="2519"/>
      </w:r>
      <w:r>
        <w:rPr>
          <w:rFonts w:ascii="Amiri" w:hAnsi="Amiri" w:eastAsia="Amiri" w:cs="Amiri"/>
          <w:color w:val="111111"/>
          <w:sz w:val="28"/>
          <w:sz w:val="28"/>
          <w:szCs w:val="28"/>
          <w:rtl w:val="true"/>
          <w:lang w:bidi="ar-SA"/>
        </w:rPr>
        <w:t>في عدمِها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w:t>
      </w:r>
      <w:r>
        <w:rPr>
          <w:rStyle w:val="FootnoteAnchor"/>
          <w:rtl w:val="true"/>
        </w:rPr>
        <w:footnoteReference w:id="2520"/>
      </w:r>
      <w:r>
        <w:rPr>
          <w:rFonts w:ascii="Amiri" w:hAnsi="Amiri" w:eastAsia="Amiri" w:cs="Amiri"/>
          <w:color w:val="111111"/>
          <w:sz w:val="28"/>
          <w:sz w:val="28"/>
          <w:szCs w:val="28"/>
          <w:rtl w:val="true"/>
          <w:lang w:bidi="ar-SA"/>
        </w:rPr>
        <w:t>شَيئاً، فقَد حَصَلنا علىٰ أنّ الفاعلَ في الحَقيقةِ لَم يَفعَلْ شَيئاً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أصحابُ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أمرَكم فيها يَؤولُ إلىٰ قولِ المُجبِرةِ‌؛ لزَعمِكم أنّ الجَوهرَ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بفاعلِه، و لا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بصانعِه</w:t>
      </w:r>
      <w:r>
        <w:rPr>
          <w:rStyle w:val="FootnoteAnchor"/>
          <w:rtl w:val="true"/>
        </w:rPr>
        <w:footnoteReference w:id="2521"/>
      </w:r>
      <w:r>
        <w:rPr>
          <w:rFonts w:ascii="Amiri" w:hAnsi="Amiri" w:eastAsia="Amiri" w:cs="Amiri"/>
          <w:color w:val="111111"/>
          <w:sz w:val="28"/>
          <w:sz w:val="28"/>
          <w:szCs w:val="28"/>
          <w:rtl w:val="true"/>
          <w:lang w:bidi="ar-SA"/>
        </w:rPr>
        <w:t xml:space="preserve">،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أَوجَدَه</w:t>
      </w:r>
      <w:r>
        <w:rPr>
          <w:rStyle w:val="FootnoteAnchor"/>
          <w:rtl w:val="true"/>
        </w:rPr>
        <w:footnoteReference w:id="2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سَألناكم عن إيجادِه و هَل هو نفسُ الجَوهرِ، أَم شَيءٌ غيرُه‌؟ لَم نَسمَعْ في ذلكَ إلّاما ادَّعَته المُجبِرةُ في الكَسبِ‌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يَجِبُ له التحيُّزُ إذا وُجِدَ؛</w:t>
      </w:r>
      <w:r>
        <w:rPr>
          <w:rStyle w:val="FootnoteAnchor"/>
          <w:rtl w:val="true"/>
        </w:rPr>
        <w:footnoteReference w:id="2523"/>
      </w:r>
      <w:r>
        <w:rPr>
          <w:rFonts w:ascii="Amiri" w:hAnsi="Amiri" w:eastAsia="Amiri" w:cs="Amiri"/>
          <w:color w:val="111111"/>
          <w:sz w:val="28"/>
          <w:sz w:val="28"/>
          <w:szCs w:val="28"/>
          <w:rtl w:val="true"/>
          <w:lang w:bidi="ar-SA"/>
        </w:rPr>
        <w:t>لأنّ الذواتَ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متىٰ وُجِدَ أن يَكونَ مُتحيِّزاً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يَستَحيلُ فيه التحيُّزُ مع الوجودِ، كالأعراضِ و القَديمِ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فعَبَّرنا عن القِسمِ الأوّلِ بعبارةٍ مُفيدةٍ‌؛ و 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الجَوهرَ لا بُدَّ أن يَكونَ في حالِ عدمِه</w:t>
      </w:r>
      <w:r>
        <w:rPr>
          <w:rStyle w:val="FootnoteAnchor"/>
          <w:rtl w:val="true"/>
        </w:rPr>
        <w:footnoteReference w:id="2524"/>
      </w:r>
      <w:r>
        <w:rPr>
          <w:rFonts w:ascii="Amiri" w:hAnsi="Amiri" w:eastAsia="Amiri" w:cs="Amiri"/>
          <w:color w:val="111111"/>
          <w:sz w:val="28"/>
          <w:sz w:val="28"/>
          <w:szCs w:val="28"/>
          <w:rtl w:val="true"/>
          <w:lang w:bidi="ar-SA"/>
        </w:rPr>
        <w:t>جَوهراً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بُدَّ أن يَكونَ في حالِ عدمِه علىٰ حالٍ يَجِبُ لأجلِها التحيُّزُ متىٰ وُجِدَ؛ و لهذا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جَوهرٌ لنفسِه و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أن يَكونَ المُتحيِّزُ في الوجودِ ممّا يَجِبُ له هذه الصفةُ و لا يَجوزُ عليه خِلافُها و لا التبدُّلُ‌</w:t>
      </w:r>
      <w:r>
        <w:rPr>
          <w:rStyle w:val="FootnoteAnchor"/>
          <w:rtl w:val="true"/>
        </w:rPr>
        <w:footnoteReference w:id="2525"/>
      </w:r>
      <w:r>
        <w:rPr>
          <w:rFonts w:ascii="IRNazanin" w:hAnsi="IRNazanin" w:eastAsia="IRNazanin"/>
          <w:color w:val="111111"/>
          <w:sz w:val="28"/>
          <w:sz w:val="28"/>
          <w:szCs w:val="28"/>
          <w:rtl w:val="true"/>
          <w:lang w:bidi="fa-IR"/>
        </w:rPr>
        <w:t>بها، أو أن</w:t>
      </w:r>
      <w:r>
        <w:rPr>
          <w:rStyle w:val="FootnoteAnchor"/>
          <w:rtl w:val="true"/>
        </w:rPr>
        <w:footnoteReference w:id="2526"/>
      </w:r>
      <w:r>
        <w:rPr>
          <w:rFonts w:ascii="Amiri" w:hAnsi="Amiri" w:eastAsia="Amiri" w:cs="Amiri"/>
          <w:color w:val="111111"/>
          <w:sz w:val="28"/>
          <w:sz w:val="28"/>
          <w:szCs w:val="28"/>
          <w:rtl w:val="true"/>
          <w:lang w:bidi="ar-SA"/>
        </w:rPr>
        <w:t>يَكونَ الأمرُ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الأمرُ علَى الأوّلِ‌، فلا بُدَّ مِن اختصاصِه في حالِ العدمِ بصِفةٍ يَجِبُ معها لها هذا الحُكمُ عندَ الوجودِ حتّىٰ‌</w:t>
      </w:r>
      <w:r>
        <w:rPr>
          <w:rStyle w:val="FootnoteAnchor"/>
          <w:rtl w:val="true"/>
        </w:rPr>
        <w:footnoteReference w:id="2527"/>
      </w:r>
      <w:r>
        <w:rPr>
          <w:rFonts w:ascii="Amiri" w:hAnsi="Amiri" w:eastAsia="Amiri" w:cs="Amiri"/>
          <w:color w:val="111111"/>
          <w:sz w:val="28"/>
          <w:sz w:val="28"/>
          <w:szCs w:val="28"/>
          <w:rtl w:val="true"/>
          <w:lang w:bidi="ar-SA"/>
        </w:rPr>
        <w:t xml:space="preserve">يَستَحيلَ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عندَ الوجودِ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أَضَفنا تلكَ الصفةَ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 xml:space="preserve">.... </w:t>
      </w:r>
      <w:bookmarkStart w:id="669" w:name="pg16415_224115"/>
    </w:p>
    <w:p>
      <w:pPr>
        <w:pStyle w:val="Heading4"/>
        <w:numPr>
          <w:ilvl w:val="3"/>
          <w:numId w:val="1"/>
        </w:numPr>
        <w:rPr/>
      </w:pPr>
      <w:bookmarkStart w:id="670" w:name="__RefHeading___Toc7642688_1280447820"/>
      <w:bookmarkStart w:id="671" w:name="_Toc231"/>
      <w:bookmarkEnd w:id="669"/>
      <w:bookmarkEnd w:id="670"/>
      <w:r>
        <w:rPr>
          <w:rtl w:val="true"/>
        </w:rPr>
        <w:t>(</w:t>
      </w:r>
      <w:r>
        <w:rPr/>
        <w:t>37</w:t>
      </w:r>
      <w:r>
        <w:rPr>
          <w:rtl w:val="true"/>
        </w:rPr>
        <w:t xml:space="preserve">) </w:t>
      </w:r>
      <w:r>
        <w:rPr>
          <w:rtl w:val="true"/>
        </w:rPr>
        <w:t>مسألة في إبطال قول</w:t>
      </w:r>
      <w:r>
        <w:rPr>
          <w:rtl w:val="true"/>
        </w:rPr>
        <w:t>: «</w:t>
      </w:r>
      <w:r>
        <w:rPr>
          <w:rtl w:val="true"/>
        </w:rPr>
        <w:t>إنّ الشيء شيء لنفسه</w:t>
      </w:r>
      <w:r>
        <w:rPr>
          <w:rtl w:val="true"/>
        </w:rPr>
        <w:t>»</w:t>
      </w:r>
      <w:bookmarkEnd w:id="67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2" w:name="__RefHeading___Toc7642690_1280447820"/>
      <w:bookmarkStart w:id="673" w:name="_Toc232"/>
      <w:bookmarkEnd w:id="672"/>
      <w:r>
        <w:rPr>
          <w:rtl w:val="true"/>
        </w:rPr>
        <w:t>اشارة</w:t>
      </w:r>
      <w:bookmarkEnd w:id="67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16415_224117"/>
      <w:bookmarkStart w:id="675" w:name="pg16415_224117"/>
      <w:bookmarkEnd w:id="675"/>
    </w:p>
    <w:p>
      <w:pPr>
        <w:pStyle w:val="Heading5"/>
        <w:numPr>
          <w:ilvl w:val="4"/>
          <w:numId w:val="1"/>
        </w:numPr>
        <w:rPr/>
      </w:pPr>
      <w:bookmarkStart w:id="676" w:name="pg16415_224117"/>
      <w:bookmarkStart w:id="677" w:name="__RefHeading___Toc7642692_1280447820"/>
      <w:bookmarkStart w:id="678" w:name="_Toc233"/>
      <w:bookmarkEnd w:id="676"/>
      <w:bookmarkEnd w:id="677"/>
      <w:r>
        <w:rPr>
          <w:rtl w:val="true"/>
        </w:rPr>
        <w:t>مقدّمة التحقيق</w:t>
      </w:r>
      <w:bookmarkEnd w:id="678"/>
    </w:p>
    <w:p>
      <w:pPr>
        <w:pStyle w:val="Heading6"/>
        <w:numPr>
          <w:ilvl w:val="5"/>
          <w:numId w:val="1"/>
        </w:numPr>
        <w:rPr/>
      </w:pPr>
      <w:bookmarkStart w:id="679" w:name="__RefHeading___Toc7642694_1280447820"/>
      <w:bookmarkStart w:id="680" w:name="_Toc234"/>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ركّز الشريف المرتضى في هذه المسألة على عدم جواز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شيء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علّل ذلك بأنّ الشيء ليس صفة حتّى يتباين به شيء عن شيء، فإنّ الصفة في عُرف المتكلّمين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تقع به الإبانة بين معلومَين</w:t>
      </w:r>
      <w:r>
        <w:rPr>
          <w:rFonts w:eastAsia="Amiri" w:cs="Amiri" w:ascii="Amiri" w:hAnsi="Amiri"/>
          <w:color w:val="111111"/>
          <w:sz w:val="28"/>
          <w:szCs w:val="28"/>
          <w:rtl w:val="true"/>
          <w:lang w:bidi="ar-SA"/>
        </w:rPr>
        <w:t>»</w:t>
      </w:r>
      <w:r>
        <w:rPr>
          <w:rStyle w:val="FootnoteAnchor"/>
          <w:rtl w:val="true"/>
        </w:rPr>
        <w:footnoteReference w:id="2529"/>
      </w:r>
      <w:r>
        <w:rPr>
          <w:rFonts w:ascii="Amiri" w:hAnsi="Amiri" w:eastAsia="Amiri" w:cs="Amiri"/>
          <w:color w:val="111111"/>
          <w:sz w:val="28"/>
          <w:sz w:val="28"/>
          <w:szCs w:val="28"/>
          <w:rtl w:val="true"/>
          <w:lang w:bidi="ar-SA"/>
        </w:rPr>
        <w:t xml:space="preserve">، أي أنّ الصفة تُميّز بين معلومَين،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يميّز بين الأشياء؛ لأنّه حسب رأي الشريف المرتضى</w:t>
      </w:r>
      <w:r>
        <w:rPr>
          <w:rStyle w:val="FootnoteAnchor"/>
          <w:rtl w:val="true"/>
        </w:rPr>
        <w:footnoteReference w:id="2530"/>
      </w:r>
      <w:r>
        <w:rPr>
          <w:rFonts w:ascii="Amiri" w:hAnsi="Amiri" w:eastAsia="Amiri" w:cs="Amiri"/>
          <w:color w:val="111111"/>
          <w:sz w:val="28"/>
          <w:sz w:val="28"/>
          <w:szCs w:val="28"/>
          <w:rtl w:val="true"/>
          <w:lang w:bidi="ar-SA"/>
        </w:rPr>
        <w:t>و مِن قَبله معتزلة البصرة</w:t>
      </w:r>
      <w:r>
        <w:rPr>
          <w:rStyle w:val="FootnoteAnchor"/>
          <w:rtl w:val="true"/>
        </w:rPr>
        <w:footnoteReference w:id="2531"/>
      </w:r>
      <w:r>
        <w:rPr>
          <w:rFonts w:ascii="Amiri" w:hAnsi="Amiri" w:eastAsia="Amiri" w:cs="Amiri"/>
          <w:color w:val="111111"/>
          <w:sz w:val="28"/>
          <w:sz w:val="28"/>
          <w:szCs w:val="28"/>
          <w:rtl w:val="true"/>
          <w:lang w:bidi="ar-SA"/>
        </w:rPr>
        <w:t>أنّ المعدوم يسمّى شيئاً، كما أنّ الموجود يسمّى شيئاً، و هكذا سائر الأجناس المختلفة؛ فإنّها كلّها تسمّى أشياء،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و هذا ليس بشيء؛ و بذلك سوف لن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حتّى يُميَّز به بين المعلومات،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لنفسه؛ فإنّه ليس هناك أمر ليس شيئاً لنفسه، بل شيء لغيره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على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صفة يمكن التمييز بواسطتها بين معلومَين،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موجود، و هذا غير موجود، و لذلك يمكن وصف الموجود بأنّه موجود </w:t>
      </w:r>
      <w:bookmarkStart w:id="681" w:name="pg16415_224118"/>
    </w:p>
    <w:p>
      <w:pPr>
        <w:pStyle w:val="BookText"/>
        <w:rPr/>
      </w:pPr>
      <w:bookmarkEnd w:id="681"/>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القديم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الموجود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بصفة، و إن كان تعريفه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لبث له كلبثِ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هذا الحكم ليس صفة، حتّى نميّز به بين معلومَين، و نقول هذا العرض عرض لنفسه، و ذاك عرض لغيره</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7642696_1280447820"/>
      <w:bookmarkStart w:id="683" w:name="_Toc235"/>
      <w:bookmarkEnd w:id="682"/>
      <w:r>
        <w:rPr>
          <w:rtl w:val="true"/>
        </w:rPr>
        <w:t>عنوان الرسالة و نسبتها إلى المؤلّف</w:t>
      </w:r>
      <w:bookmarkEnd w:id="683"/>
    </w:p>
    <w:p>
      <w:pPr>
        <w:pStyle w:val="BookText"/>
        <w:rPr/>
      </w:pPr>
      <w:r>
        <w:rPr>
          <w:rFonts w:ascii="Amiri" w:hAnsi="Amiri" w:eastAsia="Amiri" w:cs="Amiri"/>
          <w:color w:val="111111"/>
          <w:sz w:val="28"/>
          <w:sz w:val="28"/>
          <w:szCs w:val="28"/>
          <w:rtl w:val="true"/>
          <w:lang w:bidi="ar-SA"/>
        </w:rPr>
        <w:t>لقد أشير في هذه المسألة إلى رأي من آراء الشريف المرتضى، و هو القول بشيئية الأشياء في العدم، و هو يعتبر شاهداً يدعو إلى الاطمئنان بصحّة نسبة الرسالة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طبعت هذه المسألة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شيء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عنوان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الطبعة هي المقصودة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التحقيق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الشيء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غير واضح كوضوح الأوّل</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7642698_1280447820"/>
      <w:bookmarkStart w:id="685" w:name="_Toc236"/>
      <w:bookmarkEnd w:id="684"/>
      <w:r>
        <w:rPr>
          <w:rtl w:val="true"/>
        </w:rPr>
        <w:t>مخطوطات الرسالة</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 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6415_224121"/>
      <w:bookmarkStart w:id="687" w:name="pg16415_224121"/>
      <w:bookmarkEnd w:id="687"/>
    </w:p>
    <w:p>
      <w:pPr>
        <w:pStyle w:val="Heading5"/>
        <w:numPr>
          <w:ilvl w:val="4"/>
          <w:numId w:val="1"/>
        </w:numPr>
        <w:rPr/>
      </w:pPr>
      <w:bookmarkStart w:id="688" w:name="pg16415_224121"/>
      <w:bookmarkStart w:id="689" w:name="__RefHeading___Toc7642700_1280447820"/>
      <w:bookmarkStart w:id="690" w:name="_Toc237"/>
      <w:bookmarkEnd w:id="688"/>
      <w:bookmarkEnd w:id="689"/>
      <w:r>
        <w:rPr>
          <w:rtl w:val="true"/>
        </w:rPr>
        <w:t>مسألةٌ في إبطالِ قولِ‌</w:t>
      </w:r>
      <w:r>
        <w:rPr>
          <w:rtl w:val="true"/>
        </w:rPr>
        <w:t>: «</w:t>
      </w:r>
      <w:r>
        <w:rPr>
          <w:rtl w:val="true"/>
        </w:rPr>
        <w:t>إنّ الشيءَ شَيءٌ لنفسِه</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شَيءٌ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ذِكرَ المعلومِ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بصِفةٍ‌؛ لاشتراكِ الموجودِ و المعدومِ و الأجناسِ المُختَلِفةِ في إجراءِ هذا الاسمِ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تَصِفونَ‌</w:t>
      </w:r>
      <w:r>
        <w:rPr>
          <w:rStyle w:val="FootnoteAnchor"/>
          <w:rtl w:val="true"/>
        </w:rPr>
        <w:footnoteReference w:id="2532"/>
      </w:r>
      <w:r>
        <w:rPr>
          <w:rFonts w:ascii="Amiri" w:hAnsi="Amiri" w:eastAsia="Amiri" w:cs="Amiri"/>
          <w:color w:val="111111"/>
          <w:sz w:val="28"/>
          <w:sz w:val="28"/>
          <w:szCs w:val="28"/>
          <w:rtl w:val="true"/>
          <w:lang w:bidi="ar-SA"/>
        </w:rPr>
        <w:t xml:space="preserve">الموجودَ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إجراءُ ذلكَ في القَديمِ تَعالىٰ؟</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w:t>
      </w:r>
      <w:r>
        <w:rPr>
          <w:rStyle w:val="FootnoteAnchor"/>
          <w:rtl w:val="true"/>
        </w:rPr>
        <w:footnoteReference w:id="2533"/>
      </w:r>
      <w:r>
        <w:rPr>
          <w:rFonts w:ascii="Amiri" w:hAnsi="Amiri" w:eastAsia="Amiri" w:cs="Amiri"/>
          <w:color w:val="111111"/>
          <w:sz w:val="28"/>
          <w:sz w:val="28"/>
          <w:szCs w:val="28"/>
          <w:rtl w:val="true"/>
          <w:lang w:bidi="ar-SA"/>
        </w:rPr>
        <w:t>صفةٌ‌، فجازَ أن يَستَنِدَ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العَرَضِ؟</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هذا الاسمِ علَى العَرَضِ‌</w:t>
      </w:r>
      <w:r>
        <w:rPr>
          <w:rStyle w:val="FootnoteAnchor"/>
          <w:rtl w:val="true"/>
        </w:rPr>
        <w:footnoteReference w:id="2534"/>
      </w:r>
      <w:r>
        <w:rPr>
          <w:rFonts w:ascii="Amiri" w:hAnsi="Amiri" w:eastAsia="Amiri" w:cs="Amiri"/>
          <w:color w:val="111111"/>
          <w:sz w:val="28"/>
          <w:sz w:val="28"/>
          <w:szCs w:val="28"/>
          <w:rtl w:val="true"/>
          <w:lang w:bidi="ar-SA"/>
        </w:rPr>
        <w:t>لَيسَ بصِفةٍ‌، و إن كانَ معنىٰ‌</w:t>
      </w:r>
      <w:r>
        <w:rPr>
          <w:rStyle w:val="FootnoteAnchor"/>
          <w:rtl w:val="true"/>
        </w:rPr>
        <w:footnoteReference w:id="2535"/>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لا لَبْثَ‌</w:t>
      </w:r>
      <w:r>
        <w:rPr>
          <w:rStyle w:val="FootnoteAnchor"/>
          <w:rtl w:val="true"/>
        </w:rPr>
        <w:footnoteReference w:id="2536"/>
      </w:r>
      <w:r>
        <w:rPr>
          <w:rFonts w:ascii="Amiri" w:hAnsi="Amiri" w:eastAsia="Amiri" w:cs="Amiri"/>
          <w:color w:val="111111"/>
          <w:sz w:val="28"/>
          <w:sz w:val="28"/>
          <w:szCs w:val="28"/>
          <w:rtl w:val="true"/>
          <w:lang w:bidi="ar-SA"/>
        </w:rPr>
        <w:t>له كلَبْثِ‌</w:t>
      </w:r>
      <w:r>
        <w:rPr>
          <w:rStyle w:val="FootnoteAnchor"/>
          <w:rtl w:val="true"/>
        </w:rPr>
        <w:footnoteReference w:id="2537"/>
      </w:r>
      <w:r>
        <w:rPr>
          <w:rFonts w:ascii="Amiri" w:hAnsi="Amiri" w:eastAsia="Amiri" w:cs="Amiri"/>
          <w:color w:val="111111"/>
          <w:sz w:val="28"/>
          <w:sz w:val="28"/>
          <w:szCs w:val="28"/>
          <w:rtl w:val="true"/>
          <w:lang w:bidi="ar-SA"/>
        </w:rPr>
        <w:t>الأجسامِ‌، و هذا حُكمٌ و لَيسَ‌</w:t>
      </w:r>
      <w:r>
        <w:rPr>
          <w:rStyle w:val="FootnoteAnchor"/>
          <w:rtl w:val="true"/>
        </w:rPr>
        <w:footnoteReference w:id="2538"/>
      </w:r>
      <w:r>
        <w:rPr>
          <w:rFonts w:ascii="Amiri" w:hAnsi="Amiri" w:eastAsia="Amiri" w:cs="Amiri"/>
          <w:color w:val="111111"/>
          <w:sz w:val="28"/>
          <w:sz w:val="28"/>
          <w:szCs w:val="28"/>
          <w:rtl w:val="true"/>
          <w:lang w:bidi="ar-SA"/>
        </w:rPr>
        <w:t>بصِفةٍ‌</w:t>
      </w:r>
      <w:r>
        <w:rPr>
          <w:rFonts w:eastAsia="Amiri" w:cs="Amiri" w:ascii="Amiri" w:hAnsi="Amiri"/>
          <w:color w:val="111111"/>
          <w:sz w:val="28"/>
          <w:szCs w:val="28"/>
          <w:rtl w:val="true"/>
          <w:lang w:bidi="ar-SA"/>
        </w:rPr>
        <w:t xml:space="preserve">. </w:t>
      </w:r>
      <w:bookmarkStart w:id="691" w:name="pg16415_224123"/>
    </w:p>
    <w:p>
      <w:pPr>
        <w:pStyle w:val="Heading2"/>
        <w:numPr>
          <w:ilvl w:val="1"/>
          <w:numId w:val="1"/>
        </w:numPr>
        <w:rPr/>
      </w:pPr>
      <w:bookmarkStart w:id="692" w:name="__RefHeading___Toc7642702_1280447820"/>
      <w:bookmarkStart w:id="693" w:name="_Toc238"/>
      <w:bookmarkEnd w:id="691"/>
      <w:bookmarkEnd w:id="692"/>
      <w:r>
        <w:rPr>
          <w:rtl w:val="true"/>
        </w:rPr>
        <w:t>فهرس المطالب</w:t>
      </w:r>
      <w:bookmarkEnd w:id="693"/>
    </w:p>
    <w:p>
      <w:pPr>
        <w:pStyle w:val="BookText"/>
        <w:rPr/>
      </w:pPr>
      <w:r>
        <w:rPr>
          <w:rFonts w:ascii="Amiri" w:hAnsi="Amiri" w:eastAsia="Amiri" w:cs="Amiri"/>
          <w:color w:val="111111"/>
          <w:sz w:val="28"/>
          <w:sz w:val="28"/>
          <w:szCs w:val="28"/>
          <w:rtl w:val="true"/>
          <w:lang w:bidi="ar-SA"/>
        </w:rPr>
        <w:t>الفهرس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السَّلّاريّة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محتوى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طبعات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جوابات المسائل السَّلّاريّة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الجوهر جوهر في حال 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 بيان الدليل علىٰ أنّ الجوهر جوهر في حال 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بيان الدليل علىٰ وجوب تحيُّز الجوهر عند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إبطال بعض الأدلّة التي أقيمت لإثبات أنّ الجوهر جوهر في حال 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بعض فقرات كلام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القدرة توجب حالاً للجملة، دون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مناقشة بعض فقرات كلام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الحياة توجب حالاً للجملة دون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اختصاص العرض بمحلّه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بطلان أحكام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إبطال تأثير الكواكب في الأمور الأرضيّة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استدلالات و بيانات حول عدم إصابة المنجّمين في أحكامهم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حكايات و مناظرات وقعت للمصنّف تتعلّق بعدم إصابة المنجّمين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أدلّة أُخرىٰ علىٰ بطلان أحكام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صحّة الإخبار عن الكسوفات، و فرقه مع سائر إخبارات المنجّمين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المنامات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حقيقة المنامات و فاعلها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إبطال القول بصحّة جميع المنامات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أقسام المنامات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في بيان سبب صحّة بعض المنامات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نفي تأثير المأكولات في حصول المنامات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حقيقة منامات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تأويل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في نفي تفسير الفلاسفة للمنامات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بيان سبب الإنزال في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توارد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كون الإرادة مقارنة لكلّ جزء من أجزاء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الرازيّة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نسبتها إلى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جوابات المسائل الرازيّة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الفقّاع 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صلى الله عليه و آله بالكتابة و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على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مناقشة ما استدلّ به علىٰ تفضيل الملائكة على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 و 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و 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من الأنبياء الصغائر أو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معرفة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حسن أفعال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خلق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الزاني بذات البعل في تزويجها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العبد الجنّة باستحقاقه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الواردة من طبرستان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نسبتها إلى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جواب المسائل الواردة من طبرستان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أفعال العباد إلى اللّٰه تعالىٰ و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اللّٰه تعالى المعاصي و القبائح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و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محدثٌ غير 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المخالف 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مرتكب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الرؤية في الشُّهور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شرب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عبادة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النيليّات</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نسبة الرسالة و عنوانها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جوابات المسائل النيليّات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الحشرات و استحقاقها للعوض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الرعد و البرق و الغيم، و وجود جبال البرد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عدم كون الفاعل جسماً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من لا مثل له و لا 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فاعلٍ من دون لمسٍ أو اتّصالٍ‌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كون خالق الأجسام جسماً أقدره اللّٰه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إقدار اللّٰه تعالىٰ جسماً على اختراع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صدور الخير و الشرِّ من فاعلٍ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كون الخالق لا جسماً و لا عرضاً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المسألة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حدوث شيءٍ لا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المسألة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إحداث الطبائع للعالم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صفات الطبائع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جبرئيل في صورة دحية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المسألة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القديم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تعالىٰ‌؛ كيف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المسألة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المسألة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المسألة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نهايته و علم الباري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المسألة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المسألة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الأطفال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المسألة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قاتل إماماً عادلاً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الملائكة و الجنِّ بعد انتهاء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الأُصول الاعتقاديّة</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نسبتها إلى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مقدِّمةٌ في الأُصول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فصلٌ في إثبات الصانع و 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فصلٌ في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فصلٌ في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فصلٌ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فصلٌ في الوعد و 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فصلٌ في الأمر بالمعروف و 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فصلٌ في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الإنسان</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مسألةٌ في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بيان الأقوال في حقيقة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بيان القول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مناقشة تعريف الفلاسفة للإنسان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أدلّة القول المختار في حقيقة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مناقشة سائر الأقوال في حقيقة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إلى أدلّة القول المختار في حقيقة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عودة لمناقشة الأقوال الأُخرىٰ في حقيقة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مناقشة إشكالات القول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بيان حقيقة الحيّ الفعّال</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نسبة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مسألةٌ في بيان حقيقة الحيِّ الفعّال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أدلّة القول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مناقشة الأقوال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جواب ما قد يرد على النظريّة المختارة من 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حول قدم العالم</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عنوان الرسالة و نسبتها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مسألةٌ حول قدم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قال المحقِّق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خلق الأفعال</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مسألةٌ في خلق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أدلّة اختيار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أدلّة بطلان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الأدلّة القرآنيّة على الاختيار و بطلان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النَّيسابوريِّ في تقسيمه للأعراض</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محتوى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عنوان الرسالة و نسبتها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النَّيسابوريِّ في تقسيمه للأعراض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تقسيمات 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التقسيم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التقسيم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موارد إخلال النَّيسابوريِّ في تقسيم الأعراض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الكلام في حقيقة الجوهر</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حقيقة الرسالة و نسبتها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مسألةٌ في الكلام في حقيقة الجوهر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شيء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عنوان الرسالة و نسبتها إلى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مخطوطات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إبطال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شيءٌ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كتاب الشيعة، العدد المزدوج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الشيخ الطوسي المسائل الديلميّة كأحد مؤلّفات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هذه المسائل ليست نفس المسائل السلّاريّة و إن كان سلّار ديلميّاً، و ذلك لأنّ ابن شهر آشوب ذكر الديلميّة و السلّاريّة معاً في ضمن مصنّفات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فلو كانتا واحدة لأشار إلى ذلك أو اكتفى بذكر إحداهما، و الأهمّ من ذلك أنّه وصف المسائل الديلميّة بأنّها مسائل في الفقه، بينما المسائل السلّاريّة لا تحتوي على أيّ مسألة فقهيّة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ابن زهرة،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الطرابلسيات،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الطرابلسيات،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الخلاف بين البصريّين و البغداديّين،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المسألة الرابعة من الطرابلسيات الأُولى، ورسالة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حقيقة الجوهر، و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الشيء شيء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من الرسائل الكلاميّة للشريف المرتضى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للبلخي،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أوائل المقالات،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المسائل في الخلاف بين البصريّين و البغداديّين،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المسائل العكبريّة،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فرج المهموم،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له رسالة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العلوم إلى نفي المعدوم المعروف بسؤال أهل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مسائل ابن مهنّا،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مسائل ابن زهرة،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ذكر الحركة باعتبار أنّها عبارة عمّا يوجب كون الجسم كائناً في جهة بعد أن كان في جهة 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فالحركة من فروع الكون في جهة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بالاعتماد نوعاً من الدفع الذي يحصل عند حصول تماسّ بين جسمين، فالذي يضع حجراًعلى يده يجد ثقل و اعتماد الحجر على يده و دفعه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يحصل هذا الدفع بين جسمين في الجهات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يفعل اعتقاداً مطابقاً لمضمون ذلك الصوت، فقد تقدّم أنّ فاعل الاعتقادات في المنام هو النائم نفسه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الجسم لا يخلو من الأعراض، و الأعراض حادثة، و كلّ ما لا يخلو من الحوادث فهوحادث؛ إذن الجسم حادث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هذا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الجسم مدرَك، و الإدراك يتعلّق بأخصّ أوصاف المدرَك، فلو كان الجسم قديماً لكان وصف القِدَم من أخصّ أوصافه، ولكنّ الجسم لا يُدرَك قديماً، و بما أنّ الشيء إذا لم يكن قديماً كان حادثاً، دلّ ذلك على أنّ الجسم حادث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إخباره بحصول العلم في باطنه لا يفيد العلم، فهو خبر واحد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جوابات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للشريف المرتضى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تأليف سيّدنا الإمام، العالم البارع، العلّامة المحقّ المحقّق، السيّد الشريف المرتضى، علم الهدى، ذي المجدين، أبي القاسم عليّ بن الحسين الموسويّ قدَّس اللّٰه روحه، و نوَّر ضريحه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سيّدنا الأجلّ المرتضىٰ علم الهدىٰ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الحمد للّٰه ربّ العالمين، و الصلاة علىٰ نبيّه و آله الطاهرين، فقد 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سيّدنا الشريف، السيّد الأجلّ الأوحد المرتضىٰ‌، ذو المجدين، علم الهدىٰ تغمّده اللّٰه برضوانه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أدام اللّٰه عزّه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 عن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أجوبتها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أدام اللّٰه تأييده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معتمداً للاختصار و غير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إلىٰ بداية المسألة الأُولىٰ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القوّة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ظِلّ الشُّبَه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 المسائل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جواز بينونته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حذفنا الجملة التي بين الهلالين أو اعتبرناها جملة معترضة، فسوف يتّضح لنا البرهان بصورة أكبر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مستحيلاً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فمعناه أنّه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 المتصوّر هو هذا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تعلّقٍ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الأُخرىٰ يتعذّر عليها الفعل، فلا بدّ من أن تختصّ التي يصحّ منها الفعل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يصحّ من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أنّه لا بدّ من اختصاص من صحّ الفعل منها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فبان أنّه في حال العدم لا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و تأخير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حصوله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فما الدليل علىٰ‌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متحيّز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متحيّز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مواضع من كتبنا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و تأخير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شرح جمل العلم و العمل،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مضىٰ وانقضىٰ بما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فعلناه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لحدوثه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وجد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تسعة وجوه، و سوف يُبطل السبعة الأُولىٰ منها، و يبقى الوجهان الأخيران، و أيُّهما يكون صحيحاً فإنّه يحقّق المطلوب و هو وجوب تحيّز الجوهر عند وجوده، كما سيشير المصنّف رحمه اللّٰه إلىٰ ذلك في نهاية الدليل بعد عدّة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المصنّف هذا الدليل في كتابه الملخّص،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نبطل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يكون متحيّزاً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لم يمتنع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يجوز أن يكون بصفة جنسين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يتخصّص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التحيّز حكم خاصّ ببعض الذوات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بجميعها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المتحيّز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بالمجاورة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إيجابَ تحيّزِ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 إيجابُها تحيّز الجوهرِ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جاء في المسائل في الخلاف للنيسابوري،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كان يجب أن يكون ذلك المعنىٰ مختصّاً بصيغة لأجلها يوجَب كون الجوهر جوهراً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التحيّز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بعد سطور، عند الكلام عن عدم كون الجوهر متحيّزاً بالفاعل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يمتنع أن يتزايد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متىٰ وُجد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ينتفي من حيث كانت متحيّزاً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ما يطرأ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جهة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والكون عند عدم وجود الموت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فانتفاء العلم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تحتاج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ما بعدها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 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مقتضى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أولىٰ من التأثير بالباقي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يقابل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ويرجّح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 أن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باستمرار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ويرجّح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لأحد أن يقول بأنّ الجوهر يكون متحيّزاً بالفاعل، ثمّ يمنع ممّا يؤدّي إليه هذا القول من كون الذات الواحدة علىٰ صفتين، و يكون سبب منعه من ذلك هو ما يؤدّي إليه هذا اللازم من الفساد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قدر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قدرتنا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قدر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قدرنا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الفارقة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وصلنا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تمنعون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نمنع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ينتفي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بمقتضٍ‌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يحصل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بتعذّر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فإثباتُه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 بما يخالفه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عدم كون الذات لوناً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أو أحمر أو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 للبياض يكفي للحكم عليها بأنّها لا تنتفي بالبياض، و لا حاجة لإثبات صفة وجوديّة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التحيّز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لتحقّق ذلك الحكم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قبلنا بعدم وجود مقتضٍ لاختصاص زيد ببعض الجواهر المعدومة، فلنقبل بعدم وجود مقتضٍ للحكم بوجوب تحيّز الجواهر عند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الإشكال ناظر إلىٰ أصل الدليل المتقدّم علىٰ وجوب تحيّز الجوهر عند وجوده، و الذي طُرحت فيه تسعة وجوه و مقتضيات لذلك، فالإشكال يقول بأنّه لا حاجة للبحث عن مقتضٍ لهذا الحكم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يمكن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بالذات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أحكامهما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فهو أيضاً باطل؛ لأنّ تأثير الفاعل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كون أنّ المتحيّز متحيّزاً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كون المتحيّز متحيّزاً أن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قدر القديم تعالىٰ علىٰ ذلك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أنّه تَعالىٰ‌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 أن يكون التحيّز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وجوده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وجدوا مفارقته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للتحيّز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الوجوب للتحيّز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الخلاف،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ذاتهما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مستفادةٌ من القسم الأوّل، و المخالفة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لصفةٍ‌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 في المعدوم أن تكون علىٰ صفة نخالف فيها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يصلح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يوجد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العدم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تفسد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مبتنية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العدوم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المتماثل بأنّه يسدّ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تجدون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المخالف، و هو المعدوم في محلّ البحث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أشبه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بيانها وكلّمنا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طعنّاه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الخلاف،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زعمت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المميّز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كان السواد أن يكون غير متحيّزة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حيث كان من شأن السواد أن يكون غير متحيّز، 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أنّه لم يكن المتحيّز متحيّزاً بالفاعل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علمنا أيضاً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فيميّز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نعلم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لانتفاء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السواد و التحيّز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و تأخير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المنتفي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بصفتها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يمتنع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تزول الشبهة 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بصفة السواد و التحيّز، فقد فرضنا كونها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بعون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القدرة الموجودة في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توجِب صفة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للمجموع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زيداً هو الذي يُسمّىٰ قادراً، لا اليد، و إن كانت القدرة موجودة في اليد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وقوع الفعل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نافية، أي أنّ القدرة التي في القلب لم توجب حالاً للأطراف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للأطراف حالاً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و تأخير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ليجوز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الأكوان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بناء علىٰ ذلك سيكون لكلّ جزء من الجملة قدرة خاصّة به، فيكون كلّ جزء قادراً؛ فتصير الجملة عبارة عن مجموعة من الأجزاء القادرة، أي مجموعة من القادرين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يتصرّف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ينصرف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فينصرف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لها أكوان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لطم عين غيره أو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 عينَه و بخزها و بخسها، كلّه بمعنىٰ فقأها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وجد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فيثبت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ومدحٍ و أمرٍ و نهيٍ‌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أعضائه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يفعل في أبعاضه بغير سبب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نجيب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ألزمناه أن نفعل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كون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الرغم من أنّ القادر هو الجملة دون الأبعاض، لكنّ الدليل دلّ علىٰ أنّ الجملة لاتفعل في أبعاضها إلّامع وجود قدرة في ذلك المحلّ‌، إلّاأنّ هذا لا يعني أنّ ذلك البعض سيكون قادراً، بل القادر يبقىٰ هو الجملة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القادر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قادرة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يسقط به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عبّرتم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تُثبَت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نافية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أنتم تجعلون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معنىٰ لوصفنا للمحلّ بأنّه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لعمري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يرجع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يشكل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يشكّك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إمكان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خصوم القائل المشار إليه في بداية المسألة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للمحلّ‌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بداية المسألة الثانية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إقرار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هذه المسألة وطريق الطعن بها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بيّنه في جواب المسألة الثانية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يمنع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المدرك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للمدرك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في جواب المسألة الثانية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في جواب المسألة الثانية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المفسدة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ضدّاً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فالإثبات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علّلنا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التحيّز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و تأخير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متىٰ حلّ‌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باستحالة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وقتاً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الضرب الآخر من الأفعال يصحّ وجوده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نلزمه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نلزمه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مجرى القديم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 ص، ط</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يمتنع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بيننا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كيفيّته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اكتُفي منها بالكلمات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إبطال النجوم، و هي عندي بحمد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نُقلت هذه المسألة كلّها في تكملة الأمالي للشريف المرتضى، و جاء في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رضي اللّٰه عنه فقيل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بالشعاع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متشوّقة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يسندوها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يسندوها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الكلام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الملخّص،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الذخيرة،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جمل العلم و العمل،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أكثرها معترض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حرارة الشمس بشعاعها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يستحيل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بالسمع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مصروفة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ابتداءً‌؛ و إنّما يفعل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غيره إلّاعلى سبيل التوليد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غيرنا في الأجسام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حرّكناه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تخترع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على الحقيقة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تهشمه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معقولة مفهومة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قدرة عليه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نجينها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هؤلاء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الاتّفاق و</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أحدهما في المقابلة إلّاكصاحبه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 فألّا كان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عنه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يفعل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التعليل منهم باطل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المعروض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أزكَنَ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ظَنَّه ظنّاً كان عنده بمنزلة اليقين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يفعله المخمّن المرجّم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وبينكم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للسفر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توجّه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المشاة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البطراء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يقارب عطب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متقاربة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الفهماء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أضعاف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النجوم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يمضي عليه الخلق أجمعون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الآبار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يصدّق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يصدّق من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ينقطع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الزرّافين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في بعض المصادر بالغين،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جذب يده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فاستخرج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فَزَعاً، فهو واجِم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يتعامل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وتقتضيه كواكبه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الكواكب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بطليموس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حكيم يوناني، وُلد في صعيد مصر و توفّي قرب 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فلكي في التاريخ القديم، 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أحكامه عليها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النظر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مدقّق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فالاطّلاع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 يخصّ‌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مجرى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تفاصيلها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تعتبر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 ارتفع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تعنّوا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طريقاً نجوميّاً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تدّعيه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التعجيز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11781</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يبرؤون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 إلى القبلة و منتسب إلى الملّة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بتقديم و تأخير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تأثيرات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يتّفق فيها من الإصابة لعلّه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وحياء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نُقلت هذه المسألة كلّها أيضاً في تكملة الأمالي للشريف المرتضى، و جاء في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المنامات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نفسه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المصنّف رحمه اللّٰه إلىٰ أنّ العقل عبارة عن مجموع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المصنّف رحمه اللّٰه إلىٰ أنّ المكلّف الحيّ هو هذه الجملة التي نشاهدها، أي أنّه جسم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متولّداً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القادر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وتناول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قد حُكي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أحمد بن يحيى بن مرتضى في الطبقة السابعة من المعتزلة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كتب كثيرة، و خالف الجمهور في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كون المتولّدات فعل اللّٰه ابتداءً‌، و كون الإدراك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لأبي القاسم البلخي،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يضاهي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المتردّي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نقسّم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 بعد أكثر من 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يتخيّل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معنىٰ هذه 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الشيطان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الأمالي،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يكون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داخل السمع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فيعتقد النائم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تأويله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ليس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بن سلام الجبّائي البصري، شيخ المعتزلة، و صاحب التصانيف، و رئيس علماء الكلام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أبي يعقوب الشحّام، و أخذ عنه فنَّ الكلام أبو الحسن الأشعري، ثمّ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مقالات و آراء انفرد بها في المذهب، و إليه تُنسب الطائفة الجبّائية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جُبّىٰ من قرى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بالبصرة و دفن بجُبّىٰ‌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تفسير مطوّل، ردّ عليه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علي متوسّعاً في العلم، سيّال الذهن، و هو الذي ذلّل الكلام و سهّله و يسّر ما صعب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يقف في أمير المؤمنين عليه السلام و أبي بكر أيّهما أفضل‌؟ عاش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مات بالبصرة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خلَفَه ابنُه أبو هاشم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المآكل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يخيّل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المآكل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تكن مضافة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يضيف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اللّٰه من نائمٍ و يقظان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يُتخيّل من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 قبل أكثر من 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 مبتَدَءاً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فاقداً للتمييز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 لا أصل 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ما ذكرنا عنوانه فهو في منامات الأئمّة عليهم السلام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يمكن أن يكون اللّٰه تعالىٰ أعلَمَ النبيَّ‌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رؤية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يتخيّل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رائياً له في الحقيقة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واحد ضعيف من أضعف أخبار الآحاد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اليقظان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الحقيقة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رائي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محكّك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محصّل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فأشرقت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الذي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التدبّر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المنام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علمنا أنّ سبب الإنزال في الجماع مع اليقظة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الزيادة الأخيرة موجودة في نسخة من نسخ الأمالي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أوائل المسألة الخامسة من هذه الرسالة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قول أصحاب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الطبع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سبب الماء فأنّ اللّٰه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بإنزال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المولّد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الأغراض</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يوضح المصنّف رحمه اللّٰه هذا الدليل بعد قليل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بدليل إلّاعلى مسائل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من لا يعلم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كمال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يولّد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متنافٍ‌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ونستدلّ فيها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فنعلم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نعتمد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صفة القِدَم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للتعليل، بل لربط الاعتقاد بمفعوله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بقبحه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لجاز أن يستدلّ علىٰ وجود المشاهَدات، مثل أن يستدلّ علىٰ وجود زيد الذي يشاهده واقفاً أمامه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التي قبلها مفعول به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مَيَّلَ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منافيان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فيما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مؤثّر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الأعراض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المورد التالي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بحدوث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بدّ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ليعلم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 و أَصرَح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ليجوز</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الكلمات ختم الشيخ سلّار مسائله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الصحيح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صاحبه أو ما يجري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والخبر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جزء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مهملة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مشاركة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بجعل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قاربته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يتناول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يتناول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و</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ما حضر، و الحمد للّٰه علىٰ آلائه، و الصلاة علىٰ أُمنائه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 المسائل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أجوبتها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بعون الملك الوهّاب، و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الحمد و الشكر، و صلّى اللّٰه علىٰ محمّد و آله الأخيار، و اللّٰه حسبي و نعم الوكيل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الشيخ ابن شهر آشوب عبارة من المسألة الثامنة منها في كتابه متشابه القرآن و مختلفه،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هو شاهد آخر علىٰ تصحيح نسبة المسائل؛ و ذلك لقرب عهد ابن شهر آشوب نسبيّاً من عهد الشريف المرتضى</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الأمالي للمرتضى،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طبعت أيضاً في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 حسبي و 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ربّ وفّق للتتميم، بحقّ وليّك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 التحيّة و التسليم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ذي المجدين أبي القاسم عليّ ابن الطاهر الأوحد ذي المناقب أبي أحمد الموسوي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ترد في المطبوع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إثباتُها هو الصواب؛ طبقاً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ترويها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 وفقاً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نُقل في هامشِه عن نسخةٍ أخرىٰ ما أثبتناه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صُحِّحَ في هامشه بما أثبتناه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للمصادر و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زكريّا بن يحيى بن عبد الرحمٰن بن محمّد الضبّي البصري الساجي، من محدّثي عصره في البصرة، و كان من الحفّاظ، له كتاب جليل في علل الحديث، توفّي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أبا السمح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اجتمعا علىٰ أنّ درّاجاً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إثباتُها أصَحّ و أفصح؛ وفقاً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للمطبوع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أُناساً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 غير المعتمدة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فعلّمهم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نعمله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تطعموها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القاسم بن سلّام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يومين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تارة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في بعضها ما أثبتناه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 غير المعتمدة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تطعموه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للمصادر و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العبّاس بن جورجس البغدادي المعروف بابن الرومي، مولى عبيد اللّٰه بن عيسى بن جعفر العبّاسي، شاعر معروف من طبقة بشّار و المتنبّي، روميّ الأصل، كان جدّه من موالي بني العبّاس، وُلد و نشأ ببغداد، و مات فيها مسموماً، له ديوان شعر في مجلّدين، و كان بينه و بين ابن الحاجب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سينا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ممّا كلّفني أُستاذي في الأدب حفظُ ديوان ابن الرومي، فحفظتُه مع عدّة كتب في ستّة أيّام و نصف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 غير المعتمدة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الأسكزكة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الأسكركع</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حنطلفوبه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جعظلعونه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حعطلعونه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لعوبه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جعصلقونه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الديوان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القيحن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الأفواهِ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يا خليلي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بغصونه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وفقاً للديوان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الغَضْن و الغَضَن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تَثَنٍّ من ثوب أو جلد أو درع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عِطرٌ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الرومي،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حذفُها؛ طبقاً للمطبوع و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 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الجعصلقون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الجعضلفون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الكوز الذي يشرب فيه الفقّاع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إثباتُها؛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القيحن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 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يُسكِرُ؟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عبد الرحمٰن عبيد اللّٰه بن عبد الرحمٰن الحافظ الأشجعي،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حمّاد بن سلمة، و سفيان بن سعيد، و مسعر، و تميم أبي خلف و غيرهم؛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و يحيى بن آدم، و عبد اللّٰه بن محمّد بن عبد العزيز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بن مبارك بن الواضح الحنظلي التميمي، من الفقهاء و الشعراء،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التيمي، و حُميد الطويل، و غيرهما؛ و روى عنه الثوري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يلزم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يلزم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يبدّعونهم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يبزوهم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في هامشه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يعيرونهم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للمصادر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يزيد بن هارون بن زاذان بن ثابت السُّلمي الواسطي، من حفّاظ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بُخارىٰ‌، و مولده و وفاته بواسط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سليمان التيمي، و حُميد الطويل، و عاصم الأحوَل، و غيرهم؛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و إسحاق بن راهويه، و يحيى بن مَعين،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قراءة الكتب</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قراءة الكتب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مفقودة، و قد أرجع إليها المصنّف رحمه اللّٰه في موضعين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 المسألة الثامنة من الطرابلسيّة الثالثة، و قال أنّه أملاها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 جواب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الوصيّ بساعة وفاته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هذا يدلّ علىٰ أهمّيّة المسألة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بمعلوم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يبطل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أحكام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 تتنافى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بيّنّا في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 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 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فراغ</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أرش</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 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بن عمرو القرشي العامري، من مُسلِمة الفتح، و من أشراف قريش و خطبائهم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 يوم بدر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القضيّة يوم الحديبية مع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 أهل بيته إلى الشام و مات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موادعة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أقدح</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 الواو؛ طبقاً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يرتابون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النُّسخ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إثباتُها هو الصواب؛ طبقاً للمطبوع و للنُّسخة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يخفى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يقطعوا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التي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قد أجمعت الإماميّة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 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ميثاق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ميثاق</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يتعلّق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آملين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يلتذّونه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يأملون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يد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بدّ مع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من مسائل تكملة الأمالي للشريف المرتضى، فراجعها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أنّها طُبعت ضمن 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أوضحنا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محصَّل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شابه زيداً في خلقته لا يجب أن يكون ثوابه كثوابه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خلقهم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والجزاء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جوِّزوا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يكن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يصيرا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ينقلبا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تكملة 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كلّهم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الأنبياء</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كان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عمرو</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 ذكروه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يتأخّر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مدلول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للمطبوع و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موافق للمطبوع و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جرت العادات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جرت العادات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لجواز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يتعلّقون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مايهدون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تجعلونه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يجعلوه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للمطبوع و للنُّسخ الستّ‌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ر، ط، ع، ك، 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ركّبهم تركيباً، و أراهم الآيات و الدلائل و العبر في أنفسهم و في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أحوال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امتلأت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ملأت بطني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ترتيب إصلاح المنطق،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لقال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اكتفت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يطابق الحقّ‌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بمكلّف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تظهر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المنهيّ أمر بهذه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الأمر بهذه المطابقة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يقتضيه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المستعارة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للمطبوع و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الحظر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وفقاً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استُظهر في هامشه ما أثبتناه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اشتقاق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تنصف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أضيفت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أُضيف فقيل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للمطبوع و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فرق</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شارك فيه غيره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لمنع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مشاركة غيري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له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أمر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إثباتُها؛ طبقاً للنُّسختَين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فتقوم الإضافة بذلك</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سمعه؛ لأنّهم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بالتخريج ما تقدّم من تسمية النسخ باسم البَداء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أهل اللغة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وافقونا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الفاء</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المكلّفين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ينكر هذا 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بحَسَبِ‌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سهو</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للمطبوع 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ط، ع، ك، 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تختصّ‌</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الواو</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عبد السلام بن أبي عليّ محمّد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النيسابوريّ في تقسيم الأعراض</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ط، ع، 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تفصيلاً أكثر لكلام أبي هاشم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خير من عمله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عمله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يتناوله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في هامشه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ما أخبر اللّٰه تعالىٰ في كتابه الكريم عن أحوال أنبيائه، لا ما أخبر الرواة عن أئمّتنا عليهم السلام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كبيراً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تكون ظاهرة خالصة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حملناه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وقوعه منهم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تبليغه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وفقاً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 ك</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حذفُها هو الصواب؛ طبقاً للمطبوع و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ط، 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ينقض</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طبقاً للنُّسخ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ع، ك</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منفيّ عن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منعيّ عن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 عن القبول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ليعلموا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أدّى إلى التنفير من القبول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تنفرد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بقرينة ما يأتي بعد قليل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في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 عذرهم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الصغائر، و أنّ الكبائر الماضيةَ قبل النبوّة لا يُستحقّ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حذفُها؛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عقاب الصغائر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سقط عقابها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عليهم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ما عدا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عليهم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عليهم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تناول الشجرة و 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تناول تلك الشجرة، فعصىٰ‌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للمرقِّش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سفيان بن سعد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و جمهرة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ترتيب إصلاح المنطق،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بالخلبة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سبب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يعطف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المعصية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الصواب؛ طبقاً للمطبوع و لنُسختَي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طبقاً للمطبوع و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جَلدةً‌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الأنسب؛ طبقاً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فقد عبّر الشيخ المفيد عن هؤلاء بالشُّذّاذ أيضاً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بدل ما بين المعقوفين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فتلتذّوا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فيلتذّوا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فالدخول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مسألة في الرجعة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الدمشقيّات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من الرسائل الكلاميّة القادمة،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الرسالة السابقة المشار إليها في الهامش قبل قليل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أخبار الرجعة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الإيقاظ من الهجعة للشيخ الحرّ العامليّ‌، و كتاب الرجعة في أحاديث الفريقين للشيخ نجم الدين الطبسيّ‌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ما عدا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الصواب؛ طبقاً للمطبوع 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ع،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و كأنّها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نبيّنه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موضع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كتنبيه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استفدناه من الذخيرة،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قلنا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عينيّة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يتنبّه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أمن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المبنيّة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فيجب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طبقاً للمطبوع و للنُّسخ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ر، 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 في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ما يقول السيّد فيه‌؟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طلّقها بعلُها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كانت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التمحيص</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وقع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تُمحّص</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الشافعون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الشافعون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مسألة الوعيد من جوابات المسائل الموصليّات الأُولىٰ‌، و هذه المسائل مفقودة، و لكن بقيت منها بعض المقاطع،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المتبقّى من التراث المفقود للشريف المرتضى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المسألة الخامسة عشرة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أجوبتها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خير خلقه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أجوبتها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صحبه المنتجبين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حسبنا اللّٰه و نعم الوكيل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في بغداد،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إملاءُ السيّدِ الأجَلِّ المُرتَضىٰ عَلَمِ الهُدىٰ قدَّسَ اللّٰهُ روحَه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كلّها مع اختلاف في اللفظ</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هيأتهم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تصوّرهم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 ما أثبتناه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من قصيدة لزهير بن أبي سُلمى، يمدح بها هَرِم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كنزالفوائد،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تبطّ</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الخالقين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 أهل الآخرة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إليهم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يشنع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اَلْخٰالِقِينَ‌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الآلهة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استنكره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المناسب السياق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للسياق ما أثبتناه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الوصف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أنّها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التكوين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المكوّن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الموافق للسياق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مفضّلاً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مربّيه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يُحمَلُ فيه الماءُ في السفَرِ، كالقِربةِ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أكبرُ الظنّ أنّه من سهو النُّسّاخ</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أنعَمَ النظَرَ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الفكرةَ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تبيّن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مفرضاً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أتبع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للسياق ما أثبتناه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المناسب للسياق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غيرهم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للسياق ما أثبتناه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رضاها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ساخط</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بكراهة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لائح</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ذمٍّ‌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الشائي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خلافه دلّ‌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الملخّص،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 إلى البيعة و الكنيسة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مقتصداً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معاصيه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المنتج</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لم يأمرهم به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آمراً للكفّار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في أُصول الدين،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أوردنا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المناسب للسياق</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المناسب للسياق</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بشيء</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ينزّل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تأثير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يخلو</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تقديمها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 لو قدر على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له قدرة حاصلة مع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قبله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لمكان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للفعل، و هو الحجّ في الآية الكريمة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الاستطاعة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مقنعة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منحوساً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منحرساً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المبخوس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جواب المسائل الموصليّات الأُولى، و هي مفقودة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المطبوع بين معقوفين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الإقدام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مثبت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 زيادةُ الواو</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المسائل الموصليّات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نافاه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نافىٰ ما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سهواً من أقلام النُّسّاخ، و جهلاً منهم بلغة الضاد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كنافي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فيخلد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استحقاقه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ما ذكره سابقاً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يُستحَقُّ به الثوابُ الدائمُ‌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بكبار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نعاقب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حال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مذهبها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أثبت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التنزيل و</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يبق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بحظوظه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نمنع</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شافعوه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لأنّ اعتبار الرتبة منهم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بحيث تعتبر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لامحالة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المبطوع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المتضافر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أهل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بالمعرفة الحسّيّة، و المقصود هنا خصوص الحاسّة السامعة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نقيضه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والنقيض</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رابعاً جزاء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أبعاضٌ و أجزاءٌ‌</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بياض</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بياض</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أوّل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العدل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هٰذٰا إِلاّٰ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الآية ساقطة من المطبوع</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عَدي،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مع اختلاف في اللفظ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التوحيد،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كليهما عن الإمام الرضا عليه السلام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تَمهَّد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فتمهيدُه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الاجتهاد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 بقرينة الضمائر الآتية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لمخالفها في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كمخالفها في الأُصول في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الأحكام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يستحيلوا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يستحلّوه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أكبر الظنّ أنّه سهوٌ ارتكبه النُّسّاخ، و المناسبُ للسياق ما أثبتناه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قولهم بهذه المذاهب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مسألة الوعيد من جواب المسائل الموصليّات الأُولى، و هذه المسائل مفقودة كما تقدّم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تلحقها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 رؤية الأهلّة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عليه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دون رؤيته غَيم أو 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فعدّوا ثلاثين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يذهب من يعقد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مذهب من يعتمد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يكون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ليسقط</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اعتبار الرؤية و اعتبارها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اعتبار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اعتماد الرؤية و اعتبارها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رسالة في الردّ على أصحاب العدد، و هي إحدى الرسائل الفقهيّة للشريف المرتضى</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أجمل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السادسة من هذه المسائل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متناصرة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22391</w:t>
      </w:r>
      <w:r>
        <w:rPr>
          <w:rFonts w:ascii="IRNazanin" w:hAnsi="IRNazanin" w:eastAsia="IRNazanin"/>
          <w:b w:val="false"/>
          <w:b w:val="false"/>
          <w:bCs w:val="false"/>
          <w:i w:val="false"/>
          <w:i w:val="false"/>
          <w:iCs w:val="false"/>
          <w:color w:val="333333"/>
          <w:sz w:val="20"/>
          <w:sz w:val="20"/>
          <w:szCs w:val="20"/>
          <w:rtl w:val="true"/>
        </w:rPr>
        <w:t xml:space="preserve">، باب تحريم بيع الفقّاع؛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32135</w:t>
      </w:r>
      <w:r>
        <w:rPr>
          <w:rFonts w:ascii="IRNazanin" w:hAnsi="IRNazanin" w:eastAsia="IRNazanin"/>
          <w:b w:val="false"/>
          <w:b w:val="false"/>
          <w:bCs w:val="false"/>
          <w:i w:val="false"/>
          <w:i w:val="false"/>
          <w:iCs w:val="false"/>
          <w:color w:val="333333"/>
          <w:sz w:val="20"/>
          <w:sz w:val="20"/>
          <w:szCs w:val="20"/>
          <w:rtl w:val="true"/>
        </w:rPr>
        <w:t>، باب تحريم الفقّاع إذا غلى و وجوب اجتنابه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الأُولى من جوابات المسائل الرازيّة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معلومٌ صحّةُ إجماعِ الإماميّةِ‌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الإماميّة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بالتخليط</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طاعات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الرابعة من هذه المسائل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مع</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لتقويون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لتقربون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ننكره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أنّىٰ‌</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يمكن أن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أُخرىٰ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تسديده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المعتزلة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التفريع</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متنجّز</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صلاته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سلامه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تأتي عبارة ياقوت الحموي حول هذه المدينة بعد قليل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أيّد بعض المحقّقين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المسائل الرازية، المسألة الرابعة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أحكام أهل الآخرة، و هي إحدى الرسائل الكلاميّة للشريف المرتضى</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المصريّات</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سقطت خمس مسائل من بداية النسخ</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تمامة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مسائل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أبي علي قوله تمامه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ثُمامةُ هو ثُمامةُ بنُ الأشرس أبو معن النميريّ البصريّ‌؛ من متكلّمي المعتزلة في زمن المأمون العبّاسيّ‌، و كان ذا نوادر و مُلَح، و من تلاميذه الجاحظ، و أراد المأمون أن يستوزره فاستعفاه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دُوَيبّة سوداء صغيرة تَثِبُ وَثَباناً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برغث</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 طريقة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أُشير في هامشه إلىٰ أنّ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الصئبانُ‌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بيضة القمّل و البرغوث على قولٍ‌، أو بيضة القمّل وحده على قولٍ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صئب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عوض</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لا توجد نقاط على الحروف؛ فالكلمة غير واضحة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القديم و تعذّر وقوعها من الفاعل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بتمامها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المسائل الواردة من النيل و جوابها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هناك</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المفردات،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تصادمهما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بداية المسألة السادسة عشر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 مع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يصحّح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 بين 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سُطر في هامشه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يفعل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يعقل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يعقل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الثامنة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الملامسة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الملامسة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 لها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الشرح</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المقالات للبلخي،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ينكرون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متولّدة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تولية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متولّداً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لاترجع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تغيَّر مكانُه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وُضع هنا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 عشر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فاعله و يستحيل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 واحد يستحيل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 واحد مستحيل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و يستحيل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الخير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إذا لم يكن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فراغ</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فحينئذٍ ترجع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وجه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يفعل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يعقل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فراغ</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الأجسام و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فراغ</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وُضع بين معقوفين و أُشير في الهامش إلىٰ عدم وجوده في الأصل</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في العبارة سقطاً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محدثاً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كلّها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العالَم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يبدو</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شيئاً أحدثته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أحدثته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هذا الموضع 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مسائل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لا يكون القديم العالم هو الطبائع</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طبقاً لنسخة مكتبة الإمام الحكيم العامّة، 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ينبغي أن تكون الطبائع</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نحن لا نكلّم أصحاب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تضيفونه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أثبت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الطباع</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أمكن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 إثبات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الأقوال حول أفعال الطبائع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للبلخي،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كلّها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تنكر أن تكون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بنفسها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قادرة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دحية بن خليفة بن فروة الكلبي؛ صاحب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أُحداً 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جبرئيل يأتي النبي صلّى اللّٰه عليه و آله في صورته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رسول اللّٰه صلّى اللّٰه عليه و آله إلىٰ قيصر رسولاً سنة ستّ في 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اليرموك، و نزل دمشق، و عاش إلى أيّام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أنسب، و هو موافق لنسخة مكتبة الإمام الحكيم العامّة، 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استفدناه ممّا سيأتي في جوابه قدّس سرّه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طبقاً لنسخة مكتبة الإمام الحكيم العامّة، 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لمسألة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نسخة مكتبة الإمام الحكيم العامّة، 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يقدران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يصوّره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فيعلمه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طريقه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و ما بعدها ساقطتان بتمامهما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البصريّون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يجعلوها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تجعلونها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وضعت بين معقوفين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تقال له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عالماً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عليه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يثبتون للّٰه تعالىٰ صفات أزليّة من العلم و القدرة و الحياة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إسماعيل بن إسحاق، أبو الحسن، من نسل أبي موسى الأشعري، و هو مؤسّس مذهب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البصرة و تلقّىٰ مذهب المعتزلة و تقدّم فيهم، ثمّ رجع و جاهر بخلافهم، و توفّي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المجسّمة، و مقالات الإسلاميّين، و الإبانة عن أُصول الديانة، و اللمع في الردّ علىٰ أهل الزيغ و 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فأخبر تعالى بأنّه كلّمه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بين 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صرّح المحقّق في الهامش بأنّ الزيادة منه لا من النسخ</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تعهّدت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أمانتي أدّيتُها، و ميثاقي تعاهدتُه؛ لتشهد لي بالموافاة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يؤخذ</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المصنّف رحمه اللّٰه بذلك علىٰ نفي عالم الذرّ في المسألة الرابعة من المسائل الرازيّة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فأيضاً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محتجّون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خلق الأرواح قبل الأبدان بألفي عام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الحسّيّات</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و ما يُفارِق</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أعني</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ممّا سيأتي في الجواب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الميثاق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الميثاق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الميثاق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أوفق بالسياق</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فالأصل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مالة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يقوّي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و صرَّح المحقّق في هامشه بوجود بياضٍ في الأصل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بعد قليل أنّ الأرواح أجسام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كتاب الملخّص، 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منه؛ شرح الجمل العلم و العمل،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تكون حيّة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 لام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الحساب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حول هذا الموضوع نهاية المسألة الثانية من المسائل الرسّيّة الأُولىٰ‌، فقد أشار المصنّف رحمه اللّٰه هناك إلىٰ تساوي العقلاء في كمال العقل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المصنّف رحمه اللّٰه إلىٰ أنّ العقل 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يعضد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بين 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المحقّق في الهامش بأنّ الزيادة منه، لا من النسخ</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المهد و لغيره من أئمّتنا عليهم السلام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الروح</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المرتضى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غير المعتمدة و المطبوع و مسائل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الهواء المتردّد في مخارق غير الحيّ يسمّىٰ هواء فقط و لا يسمّىٰ روحاً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مستقرّها؟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 و باللّٰه 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 في هذا المحلّ فراغ، و صرَّح المحقّق في الهامش بوجود بياضٍ في النسخة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يزل كيف</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فجوز</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طالبناك</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طالبناك</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منتهاه و لا أنّه غير منتهاه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نقطع</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شريعته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أطفال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طبقاً لنسخة مكتبة الإمام الحكيم العامّة، 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للعرض</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و صرَّح المحقّق في هامشه بوجود بياضٍ في النسخة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تهليل و</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الذكر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يصلح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بصر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شعاع بصر البشر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يكيّف</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ينبّئهم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نسخة مكتبة الإمام الحكيم العامّة، 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 الحمد يا كريم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العاقل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أفعال قلبه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التجدّد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أفعالنا حادثة و تحتاج إلىٰ محدِث، فكذلك الأجسام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بدّ من كونه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تبطل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إلّالأدّىٰ إلىٰ تسلسل الحوادث إلىٰ ما لا نهاية له و عدم توقّفها، و هي لا تتوقّف إلّاعند الانتهاء إلى القديم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لهاتين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بطلان حلول معنى الإرادة فيه تعالىٰ أو في غيره، يقتضي وجود ذلك المعنىٰ و حدوثه لا في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تفصيل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كونه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بقريب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 بن قيس بن جندل الوائلي أبو بصير، المعروف بالأعشى و الأعشى الكبير، من بني قيس بن ثعلبة الوائلي، من شعراء الطبقة الأُولى في الجاهليّة، و أحد أصحاب المعلّقات، كان كثير الوفود على الملوك من العرب و الفُرس، غزير الشعر، و ليس أحد ممّن عُرف قبله أكثر شعراً منه، و كان يغنّي بشعره، فسمّي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صنّاجة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عمراً طويلاً، و أدرك الإسلام و لم يُسلِم، و لُقّب بالأعشى لضعف بصره، و عمي في أواخر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المغيرة بن الحارث بن عبد المطّلب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الأبطال الشعراء في الجاهليّة و الإسلام، و هو أخو رسول اللّٰه صلّى اللّٰه عليه و آله من الرضاع، كان يألفه في صباهما، و لمّا أظهر النبي صلّى اللّٰه عليه و آله الدعوة إلى الإسلام عاداه المغيرة و هجاه و هجا أصحابه، و استمرّ على ذلك إلى أن قوي المسلمون و تداول الناس خبر تحرّك النبيّ صلّى اللّٰه عليه و آله لفتح مكّة، فخرج من مكّة و نزل بالأبواء، ثمّ تنكّر و قصد رسول اللّٰه؛ فلمّا رآه أعرض عنه النبيّ صلّى اللّٰه عليه و آله فتحوّل المغيرة إلى الجهة التي حوّل إليها بصره، فأعرض، فأدرك المغيرة أنّه مقتول لا محالة، فأسلم و رسول اللّٰه مُعرِض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معه فتح مكّة ثمّ وقعة حُنين، و أبلى بلاء حسناً، فرضي عنه النبيّ صلّى اللّٰه عليه و آله، ثمّ كان من أخصّائه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كثير في الجاهليّة هجاء بالمسلمين، و شعر كثير في الإسلام هجاء بالمشركين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بالمدينة، و صلّى عليه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المشابَهة و المقارَبة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تقريب المعارف،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كلاهما باطلان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رئيساً للكلّ‌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الشرطين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هاتين المقدّمتين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هذين الشرطين المقدّمين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المصنّف رحمه اللّٰه في المقنع هذه الطريقةَ في الاستدلال علىٰ حُسن الغيبة، و عَدَّها طريقة لم يُسبق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ثواباً على الإيمان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ثواباً دائماً على الإيمان، و عقاباً منقطعاً على المعاصي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إسقاطه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في إسقاط</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استحقّه بإيمانه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عقاباً على الكفر، لا كلّ معصية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بالمندوب</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تمّت المقدّمة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صلّى اللّٰه على سيّدنا محمّد و آله الطيّبين الطاهرين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المسائل السروية،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المسائل الطرابلسيات الأُولى،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المسائل النيليّات،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مخطوطاتها،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 في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 في الإنسان، الأَولىٰ‌</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هذه المسألة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عليّ بن نوبخت، أبو سهل النوبختي، من متكلّمي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له مجلس يحضر فيه المتكلّمون، و له مصنّفات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في الإمامة، و الردّ على اليهود، و الإرجاء،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فهرست النجاشي،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الإنسان و الردّ على ابن الراوندي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منه أنّه قد رَدَّ فيه علىٰ نظريّة ابن الراوندي في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هذا الكتاب مفقود، و لم يصل إلينا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إقامته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قوم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فاعلات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عبّاد السُّلمي، أبو عمرو، من متكلّمي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مناظرات مع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 و 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 أبو محمّد النوبختي، من متكلّمي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يجتمع إليه جماعة من نقلة كتب الفلسفة، مثل أبي عثمان الدمشقي، و إسحاق، و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و الديانات، و الردّ على أصحاب التناسخ، و الإنسان غير هذه الجملة،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عمرو، أبو محمّد الفُوَطيّ‌؛ من متكلّمي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أبي الهُذيل، و أخذ عنه عبّاد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 و خلق القرآن، و التوحيد،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أحمد بن يحيى بن إسحاق، أبو الحسين ابن الراوندي أو الريوَندي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المعتزلة ثمّ تركهم و اتُّهم بالإلحاد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فضيحة المعتزلة،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أبو إسحاق النظّام، من متكلّمي المعتزلة، و كان شاعراً أديباً بليغاً، و هو شيخ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الطفرة، و الجواهر و الأعراض، و الوعيد،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الداخلة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النسخ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أحمد بن عليّ بن بيغجور، ابن الإخشيد، من متكلّمي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يدري الحديث و يرويه، و كان ذا تعبّد و زهادة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القرآن، و الإجماع، و المعونة في الأُصول،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بعض التوضيح لهذا الحدِّ بعد قليل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فإنّه ناظر إلى ما تقدّم من أنّ الإنسان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 الفعّال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مانع من إجراء اسم الإنسان على الميّت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أطراف الإنسان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يسمّوهما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يجعلهم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خطأهم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خطأهم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أخطأوا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يسعون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يوصف</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ماتت</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لغتان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بالحيّ‌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بأنّه حيّ‌</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للتميّز</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ذهب إليه المتكلّمون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للنيسابوري،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أنّهم كانوا يرون عدم صحّة ذكر الجنس في الحدّ، و ضرورة الاقتصار على الفصل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حالهم و فساد</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يخترع للأفعال في هذه الجملة و يبتدئ بها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بمحلِّ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بمَحالٍّ للقُدَر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أن يُفعل بقدرة إحدى اليدين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الاستعانة باليد الأُخرىٰ‌</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يخفّف</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يراموا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 المرضُ حتّىٰ أشفىٰ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لرجوع الضمير إلى اليد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لرجوع الضمير إلى العضو</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اختراعها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متولّداً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بنيّة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 أن اتّخذ دفعاً</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القلب</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لهذه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لجسم زيد مثلاً</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 بعض لوجه الأحياء</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زيادة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ففعل زيداً فيها شخصاً آخر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خروج</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رقبته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حتّى</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تجويز</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 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نفاه 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نفاه 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 إذا فقد</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بفقد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 ليس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مختلفين</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النظّام ذهب إلىٰ أنّ الحيّ هو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راجع إلى النظّام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إنّها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بالحياة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بالروح</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بإهمال النقط في الأوّل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 هذه المضاهات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 هذه الجملة المضاهات</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اخترس</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الموردين التاليين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بالباطن</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نأمن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نَسوُتُ‌</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الحياة تحلّ في بعض الجملة، ولكنّها توجب حكم الحياة للجملة كلّها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بنيته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لا يقف</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يوقَف علىٰ تفصيل ذلك و تحديده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فيحصل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ليس بمعجز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هو كذلك</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فاعله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هو كذلك</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فيصيران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لجسم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المشافهة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تعلّق بالمختصّ‌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الاصطلاح من الاصطلاحات المنسيّة في عصرنا، و قد كان معروفاً و متداولاً في عصرالمصنّف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اصطلاح عامّ يشمل الإنسان و الملائكة و الجنّ‌، ولكن عادة ما يُقصد به الإنسان؛ لوقوعه محلاًّ للبحث و النقاش بين المتكلّمين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المسائل الطرابلسيّات الأُولى،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المسائل النيليّات،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مسألة في الإنسان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المسائل السرويّة،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المصنّف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تتبّعنا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شيخه المفيد في مصنّفاته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حتّىٰ في قصيدته التي رثىٰ بها أُستاذه لم يصرّح فيها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إلّافي كتاب الفصول المختارة الذي هو تلخيص لكتاب شيخه، فكان من الطبيعي أن يذكر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اسمه في هذه الرسالة أمرٌ غريب و غير معتاد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من خطٍّ هذه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خطّ الإمام العَلّامة عليّ بن محمّد بن عليّ التولبي قدّست نفسه الزكيّة بما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خطّ السيِّد مهنّا بن سنان الحسيني رحمه اللّٰه تعالى ما هذه صورته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حقيقة الحَيِّ الفَعّالِ و ذِكرِ الخِلافِ فيه، و الدلالةِ علَى الصحيحِ في ذلك؛ للسيّدِ المرتضى عَلَم الهُدى، قَدَّسَ اللّٰهُ روحَه و نَوَّرَ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حقيقة الحَيِّ الفَعّالِ و ذِكرِ الخِلافِ فيه، و الدلالةِ علَى الصحيحِ من ذلكَ‌؛ إملاءُ سيّدِنا الشريف المرتضى عَلَم الهدى ذي المَجدَينِ الموسوي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ذهبت المانويّة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هشام بن الحكم، مولىٰ كِندة؛ كوفيّ تحوّل إلىٰ بغداد من الكوفة، من أصحاب الإمامين الصادق و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متكلّمي الشيعة و ممّن فتق الكلام في الإمامة، كان حاذقاً بصناعة الكلام، سريع البديهة، و كانت له مباحثات كثيرة مع المخالفين في الأُصول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رجاله و وثّقه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الروايات، حسن التحقيق بهذا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روى الكشّي روايات كثيرة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أصل، و 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و كتاب الدلالات على حدوث الأشياء، و الردّ على الزنادقة، و كتاب التوحيد، و كتاب التديّن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الفهرست للطوسيّ‌،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رجال البرقيّ‌،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13358</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الرسالة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الإنسان</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الحيّ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الرسالة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الإنسان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الرسالة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الإنسان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يتخلّص</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 المعتزليّ‌، إليه تُنسب الفرقة الضراريّة من المعتزلة،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جميع من في الأرض ممّن يظهر الإسلام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بعد رسول اللّٰه صلّى اللّٰه عليه و آله في الإجماع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أنّ الإمامة تصلح في غير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يذهب إلىٰ أنّ أفعال العباد مخلوقة للباري حقيقة، و أنّ للّٰه تعالىٰ ماهيّة لا يعلمها إلّاهو، و أنّ للإنسان حاسّة سادسة يرىٰ بها الباري تعالىٰ في الجنّة، و أنّه لا يجب على اللّٰه تعالىٰ شيء بحكم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حدود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بِشر بن المعتمر، انتهت إليه رئاسة المعتزلة ببغداد، و توفّي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محمّد بن عبد اللّٰه النجّار، أحد كبار المتكلّمين و من أعيان المعتزلة و أعلامهم، و كان يختلف معهم في مسائل 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أتباع سُمّوا بالنجّاريّة، مات حدود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أبو الحسن الأشعري و النجّار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صفوان أبو مُحرِز الراسبي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الجَهْمِيّة، و كانت معتقَداته موافقة مع المعتزلة في نفي الصفات الأزليّة عن الباري تعالى، و زاد عليهم بأشياء،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فناء الجنّة و النار بعد فترة من تنعّم أهل الجنّة و تألّم أهل النار، و أنّ الجاحد باللسان لم يكفر بعد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الإيمان عقد بالقلب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تلفَّظ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علقة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الرسالة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الإنسان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الأُسواريّ يُطلق علىٰ جماعة، أعرَفهم هو أبو عليّ عمرو بن فائد الأُسواريّ التميميّ‌، و لعلّه هو المقصود هنا، و هو معتزليّ قَدَريّ من أهل البصرة، أخذ عن عمرو بن عُبيد، و له معه مناظرات، عدّه ابن المرتضىٰ من الطبقة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المائتين بيسير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العالمان المتكلّمان الإماميّان النوبختيّان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إسماعيل بن عليّ بن نوبخت، و ابن أُخته أبو محمّد الحسن بن موسى</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إليه المحقّق الطوسي في التجريد، و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الكلمات مطموسة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بالاختراع يقدر لذاته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يصرّفها كيف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بعض المتكلّمين إلىٰ أنّه هذه الجملة المشاهدَة بأجمعها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غير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وضعناه في الهامش لأنّه مذهب المصنّف رحمه اللّٰه، و سوف يأتي التصريح به بعد قليل و تفصيله و الاستدلال عليه، فلا مبرِّر لذكر هذا القول هنا، و يبدو أنّه من تصرّفات الناسخ</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أذهب إليه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أجزاء أصليّة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تصرّفات الناسخ، فإنّ هذا ليس رأي المصنّف رحمه اللّٰه، بل رأيه هو المذكور في المتن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في حاشيتها ما أثبتناه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تَأدَّت</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المدح و الذمّ‌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الآلات، و لا ذي علم</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الأمر و النهي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بالقلب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لا ينافي القول بأنّ الحيّ الفعّال حقيقةً هو الجوهر المجرّد المتعلّق بالبدن تعلُّقَ التدبير و التصرّف، كما لا يخفىٰ‌</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 لها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قبلها كلمات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فإنّما هو لوجود الحياة فيها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لابدّ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لأجلها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لمجموعها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خامس</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الديصانيّة من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كآلات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فيهما أيّهما أراد حيّاً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بدل ما بين المعقوفين كلمات مطموسة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بمثله يبطل</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مذهب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استُظهر في حاشيتها ما أثبتناه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الجسم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متولّداً ممّا باشره بمحلّ قدرته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الكلمة الأخيرة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أضفناها مستفيدين ممّا تقدّم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الفُوَطيّ‌</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وجب ذلك لوجب 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سائر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يبطل مذهب النجّاريّة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له من تعلّقٍ‌</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المنهي</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به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المعتزلة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بحدوثها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لشاركه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هاهنا كلاماً قد سقط من النسخ؛ ذُكر فيه الوجهان اللذان أُشير إليهما بعده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كلمات ساقطة قبل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تصل إلىٰ سطر كامل، و لا يمكن معرفة مقدار الساقط بسبب طمس الكلمات الناشئ من الرطوبة الشديدة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يقدح ذلك في مذهبنا، مثل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اَلَّذِينَ 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بذلك</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أذهب إليه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نصب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نصبه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 جزءً‌ا من الثواب لبعض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النقاط كلمات مطموسة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للمكلّف</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أزمنة</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أخّرها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فأخّرها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القائلين</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فتحقّق أيّها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زينته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مدخل لها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تجري مجرىٰ‌</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الحسنة من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بالمدلول</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الكتب و</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الضلال و 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الخذلان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كثير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لنفسه و هو لغيره</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وجّه إليه السبيل يصدّه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لكان من كان كذلك يحطّ الخُطا، و عليها 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عدله عن ذكر من سواه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عدله عن ذكر 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الخطر جليلة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 نظام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أبواباً و فصولاً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 من ذلك ما لابدّ منه، و سطرتُ‌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آثرتُ التخفيف، و أوضحتُ‌</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كلّ ما يأتي منّي</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تقسيم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فيما ذكرتُ كفايةٌ لمن تدبَّره، و غِنىً لمن تصوَّرَه، و اللّٰه تعالىٰ ناصر من نصره، و مُزيد من شكره، عليه توكّلتُ‌، و هو حسبي و نعم الوكيل، و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فبسعادته و بركته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كتاب طيماوس في العلم الطبيعي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فكرة الأُلوهيّة عند أفلاطون،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اليونانيّة،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رأيَي الحكيمَين،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برقلس في قِدَم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الأفلاطونيّة المُحدَثة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الكندي الفلسفيّة،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المحقّق،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تهافت الفلاسفة،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تاريخ الفلسفة اليونانيّة،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المنسوب لأبي رشيد النيشابوري،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لقد ألّف أبو محمّد 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بعد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في هذا المجال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أبي الهذيل العلّاف في أنّ نعيم أهل الجنّة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الإشكال النقضيّ إلى المتكلّم المعتزلي أبي موسى المردار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بالتكليف،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الكَراجَكي بفتح الجيم، أو الكَراجُكي بضمّها، أو الكَراجِكي بكسرها؟</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حذفنا الواو لكي يكون النصّ مستأنفاً و مناسباً لبداية رسالةٍ‌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عظيمة بفلسطين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البزدعيّ‌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اليزدعيّ‌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البزدعيّ‌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فيما بأيدينا من كتب التراجم على شخص يحمل واحداً من هذه الأسماء الثلاثة، و إنّما الموجود في الكتب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البرذعيّ‌</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حدوث العالم و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تقدّم الكلام عن هذا البحث في كلام الكراجكي في كنزالفوائد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يوماً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أنسَب</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أحد الملحدة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كُتبت، و لعلّ 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فحُذفت الألف وفقاًلأُسلوب الكتابة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الملحدة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مضطربة، و ذلك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أن يتقدّم الصنعة عليه، و أن يتأخّر عنه، أن يكون في الوجود سواء</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تقدّمها</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متناهٍ‌،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متناولة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استفدناه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 أنّ آخِره حَدَثَ و الصنعةَ‌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فتكون الواو للمعيّة،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مع الصنعة</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يقبح</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المرتضى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الشريف المرتضى رحمه اللّٰه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الأزمان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هذين تعليلان متتاليان لأمر واحد، سوى أنّ الأوّلَ مجمل، و الثاني مفصّل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يكون بوجوده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يكون لوجوده أوّل و لا ابتداء</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بدل ما بين المعقوفين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بوجوده</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تُبيَّن طريقة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يُبيَّن طريقة العلم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جعلنا المدّة محصورة و متناهية من جهة الابتداء لزم أن يصير القديم حادثاً؛ لكن إذا جعلنا المدّة محصورة و متناهية من جهة الانتهاء، لم يلزم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يصحّ حينئذٍ إضافة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العبارة كي تُصبِح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جعلناها غير محصورة الانتهاء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تصوَّرَ محقِّق كتاب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سيؤدّي إلى اختلال العبارة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 أن يصير القديم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توضيح ذلك في العبارة التالية من المتن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نفي التناهي من جهة الابتداء، و نفيه من جهة الانتهاء</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إشارة إلى بطلان نظريّة أبي الهُذَيل العلّاف؛ و هي نظريّة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سكون أهل الخُلدَين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التي تقدّمت الإشارة إليها في مقدّمة التحقيق</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يعد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الأفضل أن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يوضع بدلاً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فتصير العبارة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يؤدّ ذلك إلى المحال و الفساد كما أدّى إليه نفيُ التناهي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بالتكليف،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أجوبة المسائل الكثيرة و المتنوّعة التي أجاب عنها الشريف المرتضى على بحثٍ له حول حدوث الصنعة و قِدَم الصانع؛ لكن ذكر البُصرويّ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قام بفَهرَسة مصنفَّات الشريف المرتضى في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إحدى المسائل المفقودة للشريف المرتضى، و هي المسألة الأُولى من المسائل الرمليّات،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تحمل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الصنع و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قويّاً أن يكون الشريف المرتضى قد تَعرَّضَ إلى بحث حدوث الصنعة في هذه المسألة المفقودة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نقضه على يحيى بن عَديّ النصرانيّ في رسالة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فيما يتناهى و ما لايتناهى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هذه الرسالة مفقودة؛ لكن أشار الشريف المرتضى إلى بعض محتوياتها في الملخّص،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مقدّمة التحقيق أنّ للشريف المرتضى نقضاً آخر على يحيى بن عَديّ يحمل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يحيى في اعتراضه دليل الموحّدين في حَدَث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الوصف المتّصف بالقِدَم ينقض كونه صفة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الكراجكيُّ بعد ذلك توضيحاً مختصراً لكلام الشريف المرتضى، لا بأس بإيراده،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جميع ما تضمَّنه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جواب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إطلاق القول بأنّ بين القديم و أوّل المحدثات أوقاتاً لا أوّل لها، فإنّما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أوقات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أن يكون القصد أوقاتاً في الحقيقة؛ لأنّ الأوقات أفعال؛ و قد ثبت أنّ للأفعال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بين القديم و أوّل الأفعال أوقاتاً 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لَناقَضناه، و دَخَلنا في مذهب خصمنا؛ نعوذ باللّٰه من القول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منفرداً</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منفردة، لا صنعة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يصحّ‌</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مما أثبتناه</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أراد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تصوّره</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حاجتنا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فيجد نفسه</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الطول و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و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الطوال و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ينهاهم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يُنهَوا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يمدحون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يُمدحون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بفعل الكفر كاذباً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بفعل الكذب كاذباً، و بفعل الكفر كافراً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اجتمعت</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ترد في سائر النسخ و المطبوع</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نأمن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نأمن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نأمن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نأمن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انتفع</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استضرى الصيدَ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خَتَلَه من حيث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استضرىٰ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الاستضرار بعقاب الكفر</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الاستقراء 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الاستضراء لعقاب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الاستقراء و العقاب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 سهو النسّاخ</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التوفيق</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اللطف</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كان ما يلوون به ألسنتهم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النسخ في هذه العبارة؛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سئا، و 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المناسب للعبارة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سابق البربريّ‌، كما في 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يَلِدُ، لِدْ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 لكن لا يستقيم الكلام من دونه</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وصفت</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إنّما العامّ‌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وبرة</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 بقرينة ما بعده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متشبّهاً</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صرفارقته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 و مفارقته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صلواته علىٰ سادتنا محمّد و آله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الصلاة علىٰ محمّد و آله الطاهرين</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الشيخ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منقول من خطّ الشهيد الأوّل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تحقيق كتاب المسائل في الخلاف بين البصريّين و البغداديّين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قمنا هنا بذكر تلخيص مطالب هذين القسمين من دون ذكر أمثلة الأقسام أو بعض التفصيلات و التوضيحات؛ لأنّنا قمنا بتوضيح معظم ما كان غامضاً من مطالب الرسالة في هامشها و ذلك بحسب الطاقة، فراجع</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رشيد سعيد بن محمّد بن الحسن بن حاتم النيسابوريّ‌؛ من كبار المعتزلة، من أهل نيسابور، أخذ عن قاضي القضاة عبد الجبّار بن أحمد، و انتهت إليه الرئاسة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له حلقة في نيسابور، ثمّ انتقل إلى الريّ و توفّي بها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أبي عمرو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في الخلاف بين البصريّين و البغداديّين، و ديوان الأُصول، و إعجاز القرآن،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فوجدتها</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بأيّام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خلال تقسيماته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تقسيماته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تتكامل</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تتعلّق به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مكانها 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 بدلها بين 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العبارة منّا، و بياض في الأصل</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بدل هذه الكلمة يوجد بين معقوفين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حالةً و صفةً مثل صفة القادر و الحيّ و المريد، فإنّ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حلّت في الجسم أوجبت له حالة و صفة القادر، و هكذا عرض الحياة والإرادة يوجبان صفة الحيّ و المريد لما يحلّان فيه</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 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بالحيّ هنا الجملةَ‌؛ أي جملة جسم الحيّ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هنا في مقابل المحلّ‌</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لتفصيل الكلام حول إيجاب القدرة و الحياة الحالَ لجملة الحيّ لا لمحلّ القدرة و الحياة،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 و الثالثة من المسائل السلّاريّة</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النِّفار</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فالأعراض التي من هذا الضرب تسعة فقط، لا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فمثال هذا الضرب هو الكون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المسائل السلّاريّة، المسألة الثانية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لمحلّ‌</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الاثنا عشر عرضاً المتبقّية من مجموع الاثنين و عشرين عرضاً التي ذكرها المتكلّمون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هذه الرسالة</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بالجملةِ الحيُّ‌، كما تقدّم قبل قليل في الهامش</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عرض الاعتماد كما سوف يأتي، فإنّه لا يوجب لمحلّه حالةَ و صفةَ المعتمِد، بل يوجب لمحلّه حكماً و هو مدافعة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 الذي يوجبه التأليف هو صعوبة التفكيك بين الجسمين، إذا كان التأليف صلابة أو شدّة أو كثافة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بالصلابة هي التأليف الواقع علىٰ وجه الالتزاق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التزاماً</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فقد تقدّم قبل قليل أنّ الاعتقادات توجب حالاً للحيّ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المحسوسات</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الطعام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الأرياح</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التعلّقات</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إذا وُجد أوجب كون الجوهر كائناً في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تصحّ‌</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جهة</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أنواعها الحركة و السكون التي لا تخلو منها الأجسام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آنفاً في التقسيم السابق</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 عدا الأكوان</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تدلّ‌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الأعراض التي هي غير الأكوان</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تصدق المقدّمةُ القائلةُ‌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يخلو من الحوادث فليس بحادث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إحدىٰ مقدّمات دليل حدوث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قبيح</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والضرب الآخر لا يكون إلّاقبيحاً، و لا حسن فيه</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العلم عرضاً مستقلاًّ إلىٰ جانب سائر الأعراض، بل هو نوع من أنواع الاعتقاد الذي يُعَدّمن الأعراض؛ فالعلم بهذا اللحاظ عرض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عبد السلام بن أبي عليّ محمّد الجبّائيّ‌، رأس الفرقة البهشميّة المعروفة من فرق المعتزلة، و هو و أبوه من رؤسائهم، و لهما مقالات على مذهب الاعتزال، و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الأبواب الصغير، و كتاب الأبواب الكبير، و كتاب الاجتهاد، و كتاب الإنسان،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الجبّائيّ‌</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داخل تحت عرض الاعتقاد، فهو عبارة عن الاعتقاد الذي إذا كان له متعلَّق لم يكن معتقَده علىٰ ما اعتُقِد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داخل تحت عرض الألم، فهو عبارة عن كلّ ألم عَري من الاستحقاق، و العوض الموفي، و المدافعة، و دفع ما هو أعظم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الكذب، فهو داخل تحت عرض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الأمر بالقبيح، و النهي عن الحسن، و تكليف ما لا يُطاق</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و الكراهة عرضان مستقلّان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تعلّق بأمر لا يمكن بأيّ وجه من الوجوه أن يخرج من القبح، مثل الاعتقاد بأنّ القديم تعالىٰ جسمٌ‌، فإنّه جهل قبيح، و لا يمكن بأيّ وجه من الوجوه أن يخرج من كونه جهلاً و يصبح اعتقاداً و علماً</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تعلّق بأمر يمكن علىٰ بعض الوجوه أن يصبح حسناً، مثل الاعتقاد بأنّ زيداً في الدار، فإن لم يكن فيها كان جهلاً قبيحاً، لكن يمكن لهذا الاعتقاد أن يخرج من كونه جهلاً، و هو ما إذا فرضنا أنّ زيداً في الدار، فسوف يصبح ذلك الاعتقاد علماً حسناً و يزول الجهل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فالجهل إن تعلّق بما لا يمكن تغيّره لم يخرج من كونه قبيحاً، و إلّاأمكن خروجه من القبح</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يعلّق</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الجهل</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الاعتقاد جهل لا يمكن أن يتغيّر؛ لأنّ السواد يستحيل أن يصير متحيّزاً إلّاإذا انقلب جوهراً، و هو محال</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إرادة الاعتقاد بأنّه تعالىٰ جسم، فهذه الإرادة قبيحة و لا يمكن أن يتغيّر قبحها</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الأمر</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المعلّقة</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الجهل لا يخرج عن كونه قبيحاً إلّابخروجه عن كونه جهلاً و تحوّله إلىٰ علم، و إلّافالجهل لا يكون حسناً، فقد تقدّم أنّه من أمثلة الضرب الذي لا يكون إلّاقبيحاً و لا حسن فيه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الموافق لنسخة مكتبة المرعشي برقم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أعراض</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 فيه وجهان للقبح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و عامّ‌</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تشاركه</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ظلماً، و الصوتُ إذا كان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يجتمع</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بقبيح</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تكرار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قليل، فالأنسب حذفه</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الموافق لما جاء في نسخة مكتبة المرعشيّ برقم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العيب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باقي الأعراض، فإنّما تجتمع فيها من وجوه القبح المفسدة و العبث</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تقسيمه المتمائل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قسمة المتماثل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قسمة التماثل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واضحة، و كأنّها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منقوطة، و كأنّها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القيامة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الرطوب</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القسم يكون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منه متماثل، و ضربٌ متضادٌّ لا يدخله المختلِف الذي ليس بمتضادّ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الأكوان و</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الأرياح</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بمتضادّ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البقاء</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التقسيم المذكور هنا هو أنّ الأعراض علىٰ أقسام</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فيها خلل،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المختلِف الذي هو متضادّ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كيفيّة تعلّقاتها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تعلّقه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تعلّقها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كالاعتقادات</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العبارة خلل، و المراد أنّ القدرة إنّما تتعلّق بما لا يتناهى إذا اختلف الجنس و المحلّ و الوقت، و أمّا إذا اتّحدت هذه الأُمور تعلّقت بأمر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قد يعتقد العاقل وجوب ردّ الوديعة على نحو الإجمال و بصورة عامّة، و قد يعتقد وجوب ردّ هذه الوديعة على نحو التفصيل و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قد تعلَّق الاعتقاد بمتعلَّقه علىٰ نحو الإجمال تارة، و التفصيل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الإرادات</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الكراهات</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النِّفار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الاعتبار</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المولودة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الوقت الثاني بعد وقت حدوثه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الأعراض المدرَكة في بدايات هذه الرسالة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 و البرودة، و 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ثلاثة 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تحتاج إلىٰ آلة، و هي العين و اللَّهاة و الصماخ و الخيشوم لأجل إدراك الألوان و الطعوم و الأصوات و الأراييح، فهذه أربعة 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الأصوات</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بمحلّ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سوف يأتي في الهامش</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يدرك بمحلّه، و منها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إدراكه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سوف يأتي في الهامش</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الألوان</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المحصَّل من كتاب الحدود و غيره فيما يتعلّق بهذا التقسيم هو أنّ الأعراض المدرَكة و المحسوسة علىٰ أقسام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تمّت المسألة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الخلاف بين البصريّين و البغداديّين،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سقطت المسألة الأُولىٰ من هذه المسائل، كما سقطت بعض المسائل التالية للثانية، و الظاهر أنّ هذه المسائل هي المسائل الرمليّات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هذه الرسالة</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لجوهر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جوهراً فما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نفس الجوهر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يضايفه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المبتذل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 مذكورة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ورد في النسختين و المطبوع، و المطلب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يمكن إكماله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تلك الصفة لو كانت بالفاعل لما وجب حصولها عند وجود الجوهر؛ لأنّ الفاعل مختار، فهو مخيّر بين أن يجعل الجوهر متحيّزاً و أن لا يجعله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الأمر على الثاني لزم جواز أن يوجد الجوهر و لا يكون متحيّزاً، و هو محال</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للنيسابوري،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الشريف المرتضى إلى رأيه حول مسألة المعدوم في المسألة الأُولى من المسائل السلاريّة، كما أشار إليه في نهاية المسألة الرابعة من الطرابلسيّات الأُولى، إضافة إلى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في حقيقة الجوهر</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الخلاف بين البصريّين و البغداديّين،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ق،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تصفون</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كما في المتن، ولكن بإهمال النقط</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كلية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فليس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و ليس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image" Target="media/image2.jpeg"/><Relationship Id="rId492" Type="http://schemas.openxmlformats.org/officeDocument/2006/relationships/image" Target="media/image2.jpeg"/><Relationship Id="rId493" Type="http://schemas.openxmlformats.org/officeDocument/2006/relationships/footer" Target="footer486.xml"/><Relationship Id="rId494" Type="http://schemas.openxmlformats.org/officeDocument/2006/relationships/footnotes" Target="footnotes.xml"/><Relationship Id="rId495" Type="http://schemas.openxmlformats.org/officeDocument/2006/relationships/numbering" Target="numbering.xml"/><Relationship Id="rId496" Type="http://schemas.openxmlformats.org/officeDocument/2006/relationships/fontTable" Target="fontTable.xml"/><Relationship Id="rId497" Type="http://schemas.openxmlformats.org/officeDocument/2006/relationships/settings" Target="settings.xml"/><Relationship Id="rId4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53397</Words>
  <Characters>223215</Characters>
  <CharactersWithSpaces>274528</CharactersWithSpaces>
  <Paragraphs>2243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2026-08-25T13:09:41Z</dcterms:created>
  <dc:creator>ghaemiyeh.com</dc:creator>
  <dc:description/>
  <dc:language>en-US</dc:language>
  <cp:lastModifiedBy/>
  <dcterms:modified xsi:type="dcterms:W3CDTF">2026-08-25T16:40:06Z</dcterms:modified>
  <cp:revision>1</cp:revision>
  <dc:subject/>
  <dc:title>الرسائل و المسائل جلد 2</dc:title>
</cp:coreProperties>
</file>

<file path=docProps/custom.xml><?xml version="1.0" encoding="utf-8"?>
<Properties xmlns="http://schemas.openxmlformats.org/officeDocument/2006/custom-properties" xmlns:vt="http://schemas.openxmlformats.org/officeDocument/2006/docPropsVTypes"/>
</file>