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البحوث الهامة فی المکاسب المحرمة مرتضی انصاری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5792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875794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75796_1280447820">
            <w:r>
              <w:rPr>
                <w:webHidden/>
                <w:rStyle w:val="IndexLink"/>
                <w:rtl w:val="true"/>
              </w:rPr>
              <w:t xml:space="preserve">المسألة الثالثة والعشرون </w:t>
            </w:r>
            <w:r>
              <w:rPr>
                <w:rStyle w:val="IndexLink"/>
                <w:rtl w:val="true"/>
              </w:rPr>
              <w:t>«</w:t>
            </w:r>
            <w:r>
              <w:rPr>
                <w:rStyle w:val="IndexLink"/>
                <w:rtl w:val="true"/>
              </w:rPr>
              <w:t>في الرشوة</w:t>
            </w:r>
            <w:r>
              <w:rPr>
                <w:rStyle w:val="IndexLink"/>
                <w:rtl w:val="true"/>
              </w:rPr>
              <w:t>»</w:t>
              <w:tab/>
            </w:r>
            <w:r>
              <w:rPr>
                <w:rStyle w:val="IndexLink"/>
              </w:rPr>
              <w:t>12</w:t>
            </w:r>
          </w:hyperlink>
        </w:p>
        <w:p>
          <w:pPr>
            <w:pStyle w:val="Contents3"/>
            <w:tabs>
              <w:tab w:val="clear" w:pos="8459"/>
              <w:tab w:val="right" w:pos="9026" w:leader="dot"/>
            </w:tabs>
            <w:rPr/>
          </w:pPr>
          <w:hyperlink w:anchor="__RefHeading___Toc875798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75800_1280447820">
            <w:r>
              <w:rPr>
                <w:webHidden/>
                <w:rStyle w:val="IndexLink"/>
                <w:rtl w:val="true"/>
              </w:rPr>
              <w:t>المقام الأوّل</w:t>
            </w:r>
            <w:r>
              <w:rPr>
                <w:rStyle w:val="IndexLink"/>
                <w:rtl w:val="true"/>
              </w:rPr>
              <w:t xml:space="preserve">: </w:t>
            </w:r>
            <w:r>
              <w:rPr>
                <w:rStyle w:val="IndexLink"/>
                <w:rtl w:val="true"/>
              </w:rPr>
              <w:t>في موضوع الرشوة وحقيقتها</w:t>
            </w:r>
            <w:r>
              <w:rPr>
                <w:rStyle w:val="IndexLink"/>
                <w:rtl w:val="true"/>
              </w:rPr>
              <w:tab/>
            </w:r>
            <w:r>
              <w:rPr>
                <w:rStyle w:val="IndexLink"/>
              </w:rPr>
              <w:t>12</w:t>
            </w:r>
          </w:hyperlink>
        </w:p>
        <w:p>
          <w:pPr>
            <w:pStyle w:val="Contents3"/>
            <w:tabs>
              <w:tab w:val="clear" w:pos="8459"/>
              <w:tab w:val="right" w:pos="9026" w:leader="dot"/>
            </w:tabs>
            <w:rPr/>
          </w:pPr>
          <w:hyperlink w:anchor="__RefHeading___Toc875802_1280447820">
            <w:r>
              <w:rPr>
                <w:webHidden/>
                <w:rStyle w:val="IndexLink"/>
                <w:rtl w:val="true"/>
              </w:rPr>
              <w:t>المقام الثاني</w:t>
            </w:r>
            <w:r>
              <w:rPr>
                <w:rStyle w:val="IndexLink"/>
                <w:rtl w:val="true"/>
              </w:rPr>
              <w:t xml:space="preserve">: </w:t>
            </w:r>
            <w:r>
              <w:rPr>
                <w:rStyle w:val="IndexLink"/>
                <w:rtl w:val="true"/>
              </w:rPr>
              <w:t>في حرمة الرّشوة</w:t>
            </w:r>
            <w:r>
              <w:rPr>
                <w:rStyle w:val="IndexLink"/>
                <w:rtl w:val="true"/>
              </w:rPr>
              <w:tab/>
            </w:r>
            <w:r>
              <w:rPr>
                <w:rStyle w:val="IndexLink"/>
              </w:rPr>
              <w:t>21</w:t>
            </w:r>
          </w:hyperlink>
        </w:p>
        <w:p>
          <w:pPr>
            <w:pStyle w:val="Contents3"/>
            <w:tabs>
              <w:tab w:val="clear" w:pos="8459"/>
              <w:tab w:val="right" w:pos="9026" w:leader="dot"/>
            </w:tabs>
            <w:rPr/>
          </w:pPr>
          <w:hyperlink w:anchor="__RefHeading___Toc875804_1280447820">
            <w:r>
              <w:rPr>
                <w:webHidden/>
                <w:rStyle w:val="IndexLink"/>
                <w:rtl w:val="true"/>
              </w:rPr>
              <w:t>المقام الثالث</w:t>
            </w:r>
            <w:r>
              <w:rPr>
                <w:rStyle w:val="IndexLink"/>
                <w:rtl w:val="true"/>
              </w:rPr>
              <w:t xml:space="preserve">: </w:t>
            </w:r>
            <w:r>
              <w:rPr>
                <w:rStyle w:val="IndexLink"/>
                <w:rtl w:val="true"/>
              </w:rPr>
              <w:t>في حرمة أخذ الجعل والاُجرة على القضاء وتصدّي أمر المرافعة</w:t>
            </w:r>
            <w:r>
              <w:rPr>
                <w:rStyle w:val="IndexLink"/>
                <w:rtl w:val="true"/>
              </w:rPr>
              <w:tab/>
            </w:r>
            <w:r>
              <w:rPr>
                <w:rStyle w:val="IndexLink"/>
              </w:rPr>
              <w:t>26</w:t>
            </w:r>
          </w:hyperlink>
        </w:p>
        <w:p>
          <w:pPr>
            <w:pStyle w:val="Contents3"/>
            <w:tabs>
              <w:tab w:val="clear" w:pos="8459"/>
              <w:tab w:val="right" w:pos="9026" w:leader="dot"/>
            </w:tabs>
            <w:rPr/>
          </w:pPr>
          <w:hyperlink w:anchor="__RefHeading___Toc875806_1280447820">
            <w:r>
              <w:rPr>
                <w:webHidden/>
                <w:rStyle w:val="IndexLink"/>
                <w:rtl w:val="true"/>
              </w:rPr>
              <w:t>المقام الرابع</w:t>
            </w:r>
            <w:r>
              <w:rPr>
                <w:rStyle w:val="IndexLink"/>
                <w:rtl w:val="true"/>
              </w:rPr>
              <w:t xml:space="preserve">: </w:t>
            </w:r>
            <w:r>
              <w:rPr>
                <w:rStyle w:val="IndexLink"/>
                <w:rtl w:val="true"/>
              </w:rPr>
              <w:t>في حكم أخذ الجعل والاُجرة على التصدّي لأمر الفتوى أو بيان الأحكام والمعارف الدينية</w:t>
            </w:r>
            <w:r>
              <w:rPr>
                <w:rStyle w:val="IndexLink"/>
                <w:rtl w:val="true"/>
              </w:rPr>
              <w:tab/>
            </w:r>
            <w:r>
              <w:rPr>
                <w:rStyle w:val="IndexLink"/>
              </w:rPr>
              <w:t>33</w:t>
            </w:r>
          </w:hyperlink>
        </w:p>
        <w:p>
          <w:pPr>
            <w:pStyle w:val="Contents3"/>
            <w:tabs>
              <w:tab w:val="clear" w:pos="8459"/>
              <w:tab w:val="right" w:pos="9026" w:leader="dot"/>
            </w:tabs>
            <w:rPr/>
          </w:pPr>
          <w:hyperlink w:anchor="__RefHeading___Toc875808_1280447820">
            <w:r>
              <w:rPr>
                <w:webHidden/>
                <w:rStyle w:val="IndexLink"/>
                <w:rtl w:val="true"/>
              </w:rPr>
              <w:t>المقام الخامس</w:t>
            </w:r>
            <w:r>
              <w:rPr>
                <w:rStyle w:val="IndexLink"/>
                <w:rtl w:val="true"/>
              </w:rPr>
              <w:t xml:space="preserve">: </w:t>
            </w:r>
            <w:r>
              <w:rPr>
                <w:rStyle w:val="IndexLink"/>
                <w:rtl w:val="true"/>
              </w:rPr>
              <w:t>في جواز ارتزاق القاضي من بيت المال</w:t>
            </w:r>
            <w:r>
              <w:rPr>
                <w:rStyle w:val="IndexLink"/>
                <w:rtl w:val="true"/>
              </w:rPr>
              <w:tab/>
            </w:r>
            <w:r>
              <w:rPr>
                <w:rStyle w:val="IndexLink"/>
              </w:rPr>
              <w:t>35</w:t>
            </w:r>
          </w:hyperlink>
        </w:p>
        <w:p>
          <w:pPr>
            <w:pStyle w:val="Contents3"/>
            <w:tabs>
              <w:tab w:val="clear" w:pos="8459"/>
              <w:tab w:val="right" w:pos="9026" w:leader="dot"/>
            </w:tabs>
            <w:rPr/>
          </w:pPr>
          <w:hyperlink w:anchor="__RefHeading___Toc875810_1280447820">
            <w:r>
              <w:rPr>
                <w:webHidden/>
                <w:rStyle w:val="IndexLink"/>
                <w:rtl w:val="true"/>
              </w:rPr>
              <w:t>المقام السادس</w:t>
            </w:r>
            <w:r>
              <w:rPr>
                <w:rStyle w:val="IndexLink"/>
                <w:rtl w:val="true"/>
              </w:rPr>
              <w:t xml:space="preserve">: </w:t>
            </w:r>
            <w:r>
              <w:rPr>
                <w:rStyle w:val="IndexLink"/>
                <w:rtl w:val="true"/>
              </w:rPr>
              <w:t>في حكم أخذ القضاة الهدايا</w:t>
            </w:r>
            <w:r>
              <w:rPr>
                <w:rStyle w:val="IndexLink"/>
                <w:rtl w:val="true"/>
              </w:rPr>
              <w:tab/>
            </w:r>
            <w:r>
              <w:rPr>
                <w:rStyle w:val="IndexLink"/>
              </w:rPr>
              <w:t>40</w:t>
            </w:r>
          </w:hyperlink>
        </w:p>
        <w:p>
          <w:pPr>
            <w:pStyle w:val="Contents3"/>
            <w:tabs>
              <w:tab w:val="clear" w:pos="8459"/>
              <w:tab w:val="right" w:pos="9026" w:leader="dot"/>
            </w:tabs>
            <w:rPr/>
          </w:pPr>
          <w:hyperlink w:anchor="__RefHeading___Toc875812_1280447820">
            <w:r>
              <w:rPr>
                <w:webHidden/>
                <w:rStyle w:val="IndexLink"/>
                <w:rtl w:val="true"/>
              </w:rPr>
              <w:t>المقام السابع</w:t>
            </w:r>
            <w:r>
              <w:rPr>
                <w:rStyle w:val="IndexLink"/>
                <w:rtl w:val="true"/>
              </w:rPr>
              <w:t xml:space="preserve">: </w:t>
            </w:r>
            <w:r>
              <w:rPr>
                <w:rStyle w:val="IndexLink"/>
                <w:rtl w:val="true"/>
              </w:rPr>
              <w:t>في الهدايا للاُمراء والولاة والعمّال وغيرهم ممّن يشتغل في الحكومة</w:t>
            </w:r>
            <w:r>
              <w:rPr>
                <w:rStyle w:val="IndexLink"/>
                <w:rtl w:val="true"/>
              </w:rPr>
              <w:tab/>
            </w:r>
            <w:r>
              <w:rPr>
                <w:rStyle w:val="IndexLink"/>
              </w:rPr>
              <w:t>47</w:t>
            </w:r>
          </w:hyperlink>
        </w:p>
        <w:p>
          <w:pPr>
            <w:pStyle w:val="Contents3"/>
            <w:tabs>
              <w:tab w:val="clear" w:pos="8459"/>
              <w:tab w:val="right" w:pos="9026" w:leader="dot"/>
            </w:tabs>
            <w:rPr/>
          </w:pPr>
          <w:hyperlink w:anchor="__RefHeading___Toc875814_1280447820">
            <w:r>
              <w:rPr>
                <w:webHidden/>
                <w:rStyle w:val="IndexLink"/>
                <w:rtl w:val="true"/>
              </w:rPr>
              <w:t>المقام الثامن</w:t>
            </w:r>
            <w:r>
              <w:rPr>
                <w:rStyle w:val="IndexLink"/>
                <w:rtl w:val="true"/>
              </w:rPr>
              <w:t xml:space="preserve">: </w:t>
            </w:r>
            <w:r>
              <w:rPr>
                <w:rStyle w:val="IndexLink"/>
                <w:rtl w:val="true"/>
              </w:rPr>
              <w:t>في حكم الرشوة في غير الأحكام القضائية والإجرائية والعرفية</w:t>
            </w:r>
            <w:r>
              <w:rPr>
                <w:rStyle w:val="IndexLink"/>
                <w:rtl w:val="true"/>
              </w:rPr>
              <w:tab/>
            </w:r>
            <w:r>
              <w:rPr>
                <w:rStyle w:val="IndexLink"/>
              </w:rPr>
              <w:t>53</w:t>
            </w:r>
          </w:hyperlink>
        </w:p>
        <w:p>
          <w:pPr>
            <w:pStyle w:val="Contents4"/>
            <w:tabs>
              <w:tab w:val="clear" w:pos="8176"/>
              <w:tab w:val="right" w:pos="9026" w:leader="dot"/>
            </w:tabs>
            <w:rPr/>
          </w:pPr>
          <w:hyperlink w:anchor="__RefHeading___Toc875816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875818_1280447820">
            <w:r>
              <w:rPr>
                <w:webHidden/>
                <w:rStyle w:val="IndexLink"/>
                <w:rtl w:val="true"/>
              </w:rPr>
              <w:t>الصورة الاُولى</w:t>
            </w:r>
            <w:r>
              <w:rPr>
                <w:rStyle w:val="IndexLink"/>
                <w:rtl w:val="true"/>
              </w:rPr>
              <w:t xml:space="preserve">: </w:t>
            </w:r>
            <w:r>
              <w:rPr>
                <w:rStyle w:val="IndexLink"/>
                <w:rtl w:val="true"/>
              </w:rPr>
              <w:t>أن يكون مورد الرشوة مباحاً</w:t>
            </w:r>
            <w:r>
              <w:rPr>
                <w:rStyle w:val="IndexLink"/>
                <w:rtl w:val="true"/>
              </w:rPr>
              <w:tab/>
            </w:r>
            <w:r>
              <w:rPr>
                <w:rStyle w:val="IndexLink"/>
              </w:rPr>
              <w:t>54</w:t>
            </w:r>
          </w:hyperlink>
        </w:p>
        <w:p>
          <w:pPr>
            <w:pStyle w:val="Contents4"/>
            <w:tabs>
              <w:tab w:val="clear" w:pos="8176"/>
              <w:tab w:val="right" w:pos="9026" w:leader="dot"/>
            </w:tabs>
            <w:rPr/>
          </w:pPr>
          <w:hyperlink w:anchor="__RefHeading___Toc875820_1280447820">
            <w:r>
              <w:rPr>
                <w:webHidden/>
                <w:rStyle w:val="IndexLink"/>
                <w:rtl w:val="true"/>
              </w:rPr>
              <w:t>الصورة الثانية</w:t>
            </w:r>
            <w:r>
              <w:rPr>
                <w:rStyle w:val="IndexLink"/>
                <w:rtl w:val="true"/>
              </w:rPr>
              <w:t xml:space="preserve">: </w:t>
            </w:r>
            <w:r>
              <w:rPr>
                <w:rStyle w:val="IndexLink"/>
                <w:rtl w:val="true"/>
              </w:rPr>
              <w:t>أن يكون مورد الرشوة حراماً</w:t>
            </w:r>
            <w:r>
              <w:rPr>
                <w:rStyle w:val="IndexLink"/>
                <w:rtl w:val="true"/>
              </w:rPr>
              <w:tab/>
            </w:r>
            <w:r>
              <w:rPr>
                <w:rStyle w:val="IndexLink"/>
              </w:rPr>
              <w:t>55</w:t>
            </w:r>
          </w:hyperlink>
        </w:p>
        <w:p>
          <w:pPr>
            <w:pStyle w:val="Contents4"/>
            <w:tabs>
              <w:tab w:val="clear" w:pos="8176"/>
              <w:tab w:val="right" w:pos="9026" w:leader="dot"/>
            </w:tabs>
            <w:rPr/>
          </w:pPr>
          <w:hyperlink w:anchor="__RefHeading___Toc875822_1280447820">
            <w:r>
              <w:rPr>
                <w:webHidden/>
                <w:rStyle w:val="IndexLink"/>
                <w:rtl w:val="true"/>
              </w:rPr>
              <w:t>الصورة الثالثة</w:t>
            </w:r>
            <w:r>
              <w:rPr>
                <w:rStyle w:val="IndexLink"/>
                <w:rtl w:val="true"/>
              </w:rPr>
              <w:t xml:space="preserve">: </w:t>
            </w:r>
            <w:r>
              <w:rPr>
                <w:rStyle w:val="IndexLink"/>
                <w:rtl w:val="true"/>
              </w:rPr>
              <w:t>أن يكون المورد مشتركاً بين الحلال والحرام</w:t>
            </w:r>
            <w:r>
              <w:rPr>
                <w:rStyle w:val="IndexLink"/>
                <w:rtl w:val="true"/>
              </w:rPr>
              <w:tab/>
            </w:r>
            <w:r>
              <w:rPr>
                <w:rStyle w:val="IndexLink"/>
              </w:rPr>
              <w:t>57</w:t>
            </w:r>
          </w:hyperlink>
        </w:p>
        <w:p>
          <w:pPr>
            <w:pStyle w:val="Contents3"/>
            <w:tabs>
              <w:tab w:val="clear" w:pos="8459"/>
              <w:tab w:val="right" w:pos="9026" w:leader="dot"/>
            </w:tabs>
            <w:rPr/>
          </w:pPr>
          <w:hyperlink w:anchor="__RefHeading___Toc875824_1280447820">
            <w:r>
              <w:rPr>
                <w:webHidden/>
                <w:rStyle w:val="IndexLink"/>
                <w:rtl w:val="true"/>
              </w:rPr>
              <w:t>المقام التاسع</w:t>
            </w:r>
            <w:r>
              <w:rPr>
                <w:rStyle w:val="IndexLink"/>
                <w:rtl w:val="true"/>
              </w:rPr>
              <w:t xml:space="preserve">: </w:t>
            </w:r>
            <w:r>
              <w:rPr>
                <w:rStyle w:val="IndexLink"/>
                <w:rtl w:val="true"/>
              </w:rPr>
              <w:t>في ضمان القضاة بالنسبة إلى المأخوذ اُجرة أو جعالة أو رشوة</w:t>
            </w:r>
            <w:r>
              <w:rPr>
                <w:rStyle w:val="IndexLink"/>
                <w:rtl w:val="true"/>
              </w:rPr>
              <w:tab/>
            </w:r>
            <w:r>
              <w:rPr>
                <w:rStyle w:val="IndexLink"/>
              </w:rPr>
              <w:t>60</w:t>
            </w:r>
          </w:hyperlink>
        </w:p>
        <w:p>
          <w:pPr>
            <w:pStyle w:val="Contents4"/>
            <w:tabs>
              <w:tab w:val="clear" w:pos="8176"/>
              <w:tab w:val="right" w:pos="9026" w:leader="dot"/>
            </w:tabs>
            <w:rPr/>
          </w:pPr>
          <w:hyperlink w:anchor="__RefHeading___Toc875826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875828_1280447820">
            <w:r>
              <w:rPr>
                <w:webHidden/>
                <w:rStyle w:val="IndexLink"/>
                <w:rtl w:val="true"/>
              </w:rPr>
              <w:t>الصورة الاُولى</w:t>
            </w:r>
            <w:r>
              <w:rPr>
                <w:rStyle w:val="IndexLink"/>
                <w:rtl w:val="true"/>
              </w:rPr>
              <w:t xml:space="preserve">: </w:t>
            </w:r>
            <w:r>
              <w:rPr>
                <w:rStyle w:val="IndexLink"/>
                <w:rtl w:val="true"/>
              </w:rPr>
              <w:t>أن يكون المعطى عوضاً عن الحكم بنحو الإجارة أو الجعالة</w:t>
            </w:r>
            <w:r>
              <w:rPr>
                <w:rStyle w:val="IndexLink"/>
                <w:rtl w:val="true"/>
              </w:rPr>
              <w:tab/>
            </w:r>
            <w:r>
              <w:rPr>
                <w:rStyle w:val="IndexLink"/>
              </w:rPr>
              <w:t>61</w:t>
            </w:r>
          </w:hyperlink>
        </w:p>
        <w:p>
          <w:pPr>
            <w:pStyle w:val="Contents4"/>
            <w:tabs>
              <w:tab w:val="clear" w:pos="8176"/>
              <w:tab w:val="right" w:pos="9026" w:leader="dot"/>
            </w:tabs>
            <w:rPr/>
          </w:pPr>
          <w:hyperlink w:anchor="__RefHeading___Toc875830_1280447820">
            <w:r>
              <w:rPr>
                <w:webHidden/>
                <w:rStyle w:val="IndexLink"/>
                <w:rtl w:val="true"/>
              </w:rPr>
              <w:t>الصورة الثانية</w:t>
            </w:r>
            <w:r>
              <w:rPr>
                <w:rStyle w:val="IndexLink"/>
                <w:rtl w:val="true"/>
              </w:rPr>
              <w:t xml:space="preserve">: </w:t>
            </w:r>
            <w:r>
              <w:rPr>
                <w:rStyle w:val="IndexLink"/>
                <w:rtl w:val="true"/>
              </w:rPr>
              <w:t>هي المحاباة مع القاضي بتقليل الثمن</w:t>
            </w:r>
            <w:r>
              <w:rPr>
                <w:rStyle w:val="IndexLink"/>
                <w:rtl w:val="true"/>
              </w:rPr>
              <w:tab/>
            </w:r>
            <w:r>
              <w:rPr>
                <w:rStyle w:val="IndexLink"/>
              </w:rPr>
              <w:t>64</w:t>
            </w:r>
          </w:hyperlink>
        </w:p>
        <w:p>
          <w:pPr>
            <w:pStyle w:val="Contents4"/>
            <w:tabs>
              <w:tab w:val="clear" w:pos="8176"/>
              <w:tab w:val="right" w:pos="9026" w:leader="dot"/>
            </w:tabs>
            <w:rPr/>
          </w:pPr>
          <w:hyperlink w:anchor="__RefHeading___Toc875832_1280447820">
            <w:r>
              <w:rPr>
                <w:webHidden/>
                <w:rStyle w:val="IndexLink"/>
                <w:rtl w:val="true"/>
              </w:rPr>
              <w:t>الصورة الثالثة</w:t>
            </w:r>
            <w:r>
              <w:rPr>
                <w:rStyle w:val="IndexLink"/>
                <w:rtl w:val="true"/>
              </w:rPr>
              <w:t xml:space="preserve">: </w:t>
            </w:r>
            <w:r>
              <w:rPr>
                <w:rStyle w:val="IndexLink"/>
                <w:rtl w:val="true"/>
              </w:rPr>
              <w:t>هي إرسال الهدايا إلى القاضي بداعى الحكم له</w:t>
            </w:r>
            <w:r>
              <w:rPr>
                <w:rStyle w:val="IndexLink"/>
                <w:rtl w:val="true"/>
              </w:rPr>
              <w:tab/>
            </w:r>
            <w:r>
              <w:rPr>
                <w:rStyle w:val="IndexLink"/>
              </w:rPr>
              <w:t>65</w:t>
            </w:r>
          </w:hyperlink>
        </w:p>
        <w:p>
          <w:pPr>
            <w:pStyle w:val="Contents3"/>
            <w:tabs>
              <w:tab w:val="clear" w:pos="8459"/>
              <w:tab w:val="right" w:pos="9026" w:leader="dot"/>
            </w:tabs>
            <w:rPr/>
          </w:pPr>
          <w:hyperlink w:anchor="__RefHeading___Toc875834_1280447820">
            <w:r>
              <w:rPr>
                <w:webHidden/>
                <w:rStyle w:val="IndexLink"/>
                <w:rtl w:val="true"/>
              </w:rPr>
              <w:t>المقام العاشر</w:t>
            </w:r>
            <w:r>
              <w:rPr>
                <w:rStyle w:val="IndexLink"/>
                <w:rtl w:val="true"/>
              </w:rPr>
              <w:t xml:space="preserve">: </w:t>
            </w:r>
            <w:r>
              <w:rPr>
                <w:rStyle w:val="IndexLink"/>
                <w:rtl w:val="true"/>
              </w:rPr>
              <w:t>في عدم نفوذ حكم الحاكم الآخذ للرشوة وإن كان على القاعدة وبالحقّ‌</w:t>
            </w:r>
            <w:r>
              <w:rPr>
                <w:rStyle w:val="IndexLink"/>
                <w:rtl w:val="true"/>
              </w:rPr>
              <w:tab/>
            </w:r>
            <w:r>
              <w:rPr>
                <w:rStyle w:val="IndexLink"/>
              </w:rPr>
              <w:t>66</w:t>
            </w:r>
          </w:hyperlink>
        </w:p>
        <w:p>
          <w:pPr>
            <w:pStyle w:val="Contents3"/>
            <w:tabs>
              <w:tab w:val="clear" w:pos="8459"/>
              <w:tab w:val="right" w:pos="9026" w:leader="dot"/>
            </w:tabs>
            <w:rPr/>
          </w:pPr>
          <w:hyperlink w:anchor="__RefHeading___Toc875836_1280447820">
            <w:r>
              <w:rPr>
                <w:webHidden/>
                <w:rStyle w:val="IndexLink"/>
                <w:rtl w:val="true"/>
              </w:rPr>
              <w:t>المقام الحادي عشر</w:t>
            </w:r>
            <w:r>
              <w:rPr>
                <w:rStyle w:val="IndexLink"/>
                <w:rtl w:val="true"/>
              </w:rPr>
              <w:t xml:space="preserve">: </w:t>
            </w:r>
            <w:r>
              <w:rPr>
                <w:rStyle w:val="IndexLink"/>
                <w:rtl w:val="true"/>
              </w:rPr>
              <w:t>في عدم ابراء الذمة باعطاء الخمس أو الزكوة الى الحاكم بعنوان الرشوة</w:t>
            </w:r>
            <w:r>
              <w:rPr>
                <w:rStyle w:val="IndexLink"/>
                <w:rtl w:val="true"/>
              </w:rPr>
              <w:tab/>
            </w:r>
            <w:r>
              <w:rPr>
                <w:rStyle w:val="IndexLink"/>
              </w:rPr>
              <w:t>67</w:t>
            </w:r>
          </w:hyperlink>
        </w:p>
        <w:p>
          <w:pPr>
            <w:pStyle w:val="Contents3"/>
            <w:tabs>
              <w:tab w:val="clear" w:pos="8459"/>
              <w:tab w:val="right" w:pos="9026" w:leader="dot"/>
            </w:tabs>
            <w:rPr/>
          </w:pPr>
          <w:hyperlink w:anchor="__RefHeading___Toc875838_1280447820">
            <w:r>
              <w:rPr>
                <w:webHidden/>
                <w:rStyle w:val="IndexLink"/>
                <w:rtl w:val="true"/>
              </w:rPr>
              <w:t>المقام الثاني عشر</w:t>
            </w:r>
            <w:r>
              <w:rPr>
                <w:rStyle w:val="IndexLink"/>
                <w:rtl w:val="true"/>
              </w:rPr>
              <w:t xml:space="preserve">: </w:t>
            </w:r>
            <w:r>
              <w:rPr>
                <w:rStyle w:val="IndexLink"/>
                <w:rtl w:val="true"/>
              </w:rPr>
              <w:t>في الشبهة الموضوعية والحكمية</w:t>
            </w:r>
            <w:r>
              <w:rPr>
                <w:rStyle w:val="IndexLink"/>
                <w:rtl w:val="true"/>
              </w:rPr>
              <w:tab/>
            </w:r>
            <w:r>
              <w:rPr>
                <w:rStyle w:val="IndexLink"/>
              </w:rPr>
              <w:t>67</w:t>
            </w:r>
          </w:hyperlink>
        </w:p>
        <w:p>
          <w:pPr>
            <w:pStyle w:val="Contents3"/>
            <w:tabs>
              <w:tab w:val="clear" w:pos="8459"/>
              <w:tab w:val="right" w:pos="9026" w:leader="dot"/>
            </w:tabs>
            <w:rPr/>
          </w:pPr>
          <w:hyperlink w:anchor="__RefHeading___Toc875840_1280447820">
            <w:r>
              <w:rPr>
                <w:webHidden/>
                <w:rStyle w:val="IndexLink"/>
                <w:rtl w:val="true"/>
              </w:rPr>
              <w:t>المقام الثالث عشر</w:t>
            </w:r>
            <w:r>
              <w:rPr>
                <w:rStyle w:val="IndexLink"/>
                <w:rtl w:val="true"/>
              </w:rPr>
              <w:t xml:space="preserve">: </w:t>
            </w:r>
            <w:r>
              <w:rPr>
                <w:rStyle w:val="IndexLink"/>
                <w:rtl w:val="true"/>
              </w:rPr>
              <w:t>في حكم إعطاء الرشوة للقاضي فيما إذا توقّف استنقاذ الحقّ أو دفع الظلم أو التوصّل إلى الحاجة الضرورية على ذلك</w:t>
            </w:r>
            <w:r>
              <w:rPr>
                <w:rStyle w:val="IndexLink"/>
                <w:rtl w:val="true"/>
              </w:rPr>
              <w:tab/>
            </w:r>
            <w:r>
              <w:rPr>
                <w:rStyle w:val="IndexLink"/>
              </w:rPr>
              <w:t>68</w:t>
            </w:r>
          </w:hyperlink>
        </w:p>
        <w:p>
          <w:pPr>
            <w:pStyle w:val="Contents3"/>
            <w:tabs>
              <w:tab w:val="clear" w:pos="8459"/>
              <w:tab w:val="right" w:pos="9026" w:leader="dot"/>
            </w:tabs>
            <w:rPr/>
          </w:pPr>
          <w:hyperlink w:anchor="__RefHeading___Toc875842_1280447820">
            <w:r>
              <w:rPr>
                <w:webHidden/>
                <w:rStyle w:val="IndexLink"/>
                <w:rtl w:val="true"/>
              </w:rPr>
              <w:t>المقام الرابع عشر</w:t>
            </w:r>
            <w:r>
              <w:rPr>
                <w:rStyle w:val="IndexLink"/>
                <w:rtl w:val="true"/>
              </w:rPr>
              <w:t xml:space="preserve">: </w:t>
            </w:r>
            <w:r>
              <w:rPr>
                <w:rStyle w:val="IndexLink"/>
                <w:rtl w:val="true"/>
              </w:rPr>
              <w:t>في موارد اختلاف الدافع والقابض</w:t>
            </w:r>
            <w:r>
              <w:rPr>
                <w:rStyle w:val="IndexLink"/>
                <w:rtl w:val="true"/>
              </w:rPr>
              <w:tab/>
            </w:r>
            <w:r>
              <w:rPr>
                <w:rStyle w:val="IndexLink"/>
              </w:rPr>
              <w:t>69</w:t>
            </w:r>
          </w:hyperlink>
        </w:p>
        <w:p>
          <w:pPr>
            <w:pStyle w:val="Contents2"/>
            <w:tabs>
              <w:tab w:val="clear" w:pos="8743"/>
              <w:tab w:val="right" w:pos="9026" w:leader="dot"/>
            </w:tabs>
            <w:rPr/>
          </w:pPr>
          <w:hyperlink w:anchor="__RefHeading___Toc875844_1280447820">
            <w:r>
              <w:rPr>
                <w:webHidden/>
                <w:rStyle w:val="IndexLink"/>
                <w:rtl w:val="true"/>
              </w:rPr>
              <w:t xml:space="preserve">المسألة الرابعة والعشرون </w:t>
            </w:r>
            <w:r>
              <w:rPr>
                <w:rStyle w:val="IndexLink"/>
                <w:rtl w:val="true"/>
              </w:rPr>
              <w:t>«</w:t>
            </w:r>
            <w:r>
              <w:rPr>
                <w:rStyle w:val="IndexLink"/>
                <w:rtl w:val="true"/>
              </w:rPr>
              <w:t>في الرياء</w:t>
            </w:r>
            <w:r>
              <w:rPr>
                <w:rStyle w:val="IndexLink"/>
                <w:rtl w:val="true"/>
              </w:rPr>
              <w:t>»</w:t>
              <w:tab/>
            </w:r>
            <w:r>
              <w:rPr>
                <w:rStyle w:val="IndexLink"/>
              </w:rPr>
              <w:t>74</w:t>
            </w:r>
          </w:hyperlink>
        </w:p>
        <w:p>
          <w:pPr>
            <w:pStyle w:val="Contents3"/>
            <w:tabs>
              <w:tab w:val="clear" w:pos="8459"/>
              <w:tab w:val="right" w:pos="9026" w:leader="dot"/>
            </w:tabs>
            <w:rPr/>
          </w:pPr>
          <w:hyperlink w:anchor="__RefHeading___Toc875846_128044782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875848_1280447820">
            <w:r>
              <w:rPr>
                <w:webHidden/>
                <w:rStyle w:val="IndexLink"/>
                <w:rtl w:val="true"/>
              </w:rPr>
              <w:t>المقام الأوّل</w:t>
            </w:r>
            <w:r>
              <w:rPr>
                <w:rStyle w:val="IndexLink"/>
                <w:rtl w:val="true"/>
              </w:rPr>
              <w:t xml:space="preserve">: </w:t>
            </w:r>
            <w:r>
              <w:rPr>
                <w:rStyle w:val="IndexLink"/>
                <w:rtl w:val="true"/>
              </w:rPr>
              <w:t>في حقيقة الرياء</w:t>
            </w:r>
            <w:r>
              <w:rPr>
                <w:rStyle w:val="IndexLink"/>
                <w:rtl w:val="true"/>
              </w:rPr>
              <w:tab/>
            </w:r>
            <w:r>
              <w:rPr>
                <w:rStyle w:val="IndexLink"/>
              </w:rPr>
              <w:t>74</w:t>
            </w:r>
          </w:hyperlink>
        </w:p>
        <w:p>
          <w:pPr>
            <w:pStyle w:val="Contents3"/>
            <w:tabs>
              <w:tab w:val="clear" w:pos="8459"/>
              <w:tab w:val="right" w:pos="9026" w:leader="dot"/>
            </w:tabs>
            <w:rPr/>
          </w:pPr>
          <w:hyperlink w:anchor="__RefHeading___Toc875850_1280447820">
            <w:r>
              <w:rPr>
                <w:webHidden/>
                <w:rStyle w:val="IndexLink"/>
                <w:rtl w:val="true"/>
              </w:rPr>
              <w:t>المقام الثاني</w:t>
            </w:r>
            <w:r>
              <w:rPr>
                <w:rStyle w:val="IndexLink"/>
                <w:rtl w:val="true"/>
              </w:rPr>
              <w:t xml:space="preserve">: </w:t>
            </w:r>
            <w:r>
              <w:rPr>
                <w:rStyle w:val="IndexLink"/>
                <w:rtl w:val="true"/>
              </w:rPr>
              <w:t>في حرمة الرياء</w:t>
            </w:r>
            <w:r>
              <w:rPr>
                <w:rStyle w:val="IndexLink"/>
                <w:rtl w:val="true"/>
              </w:rPr>
              <w:tab/>
            </w:r>
            <w:r>
              <w:rPr>
                <w:rStyle w:val="IndexLink"/>
              </w:rPr>
              <w:t>74</w:t>
            </w:r>
          </w:hyperlink>
        </w:p>
        <w:p>
          <w:pPr>
            <w:pStyle w:val="Contents3"/>
            <w:tabs>
              <w:tab w:val="clear" w:pos="8459"/>
              <w:tab w:val="right" w:pos="9026" w:leader="dot"/>
            </w:tabs>
            <w:rPr/>
          </w:pPr>
          <w:hyperlink w:anchor="__RefHeading___Toc875852_1280447820">
            <w:r>
              <w:rPr>
                <w:webHidden/>
                <w:rStyle w:val="IndexLink"/>
                <w:rtl w:val="true"/>
              </w:rPr>
              <w:t>المقام الثالث</w:t>
            </w:r>
            <w:r>
              <w:rPr>
                <w:rStyle w:val="IndexLink"/>
                <w:rtl w:val="true"/>
              </w:rPr>
              <w:t xml:space="preserve">: </w:t>
            </w:r>
            <w:r>
              <w:rPr>
                <w:rStyle w:val="IndexLink"/>
                <w:rtl w:val="true"/>
              </w:rPr>
              <w:t>في بطلان العمل بالرياء</w:t>
            </w:r>
            <w:r>
              <w:rPr>
                <w:rStyle w:val="IndexLink"/>
                <w:rtl w:val="true"/>
              </w:rPr>
              <w:tab/>
            </w:r>
            <w:r>
              <w:rPr>
                <w:rStyle w:val="IndexLink"/>
              </w:rPr>
              <w:t>77</w:t>
            </w:r>
          </w:hyperlink>
        </w:p>
        <w:p>
          <w:pPr>
            <w:pStyle w:val="Contents3"/>
            <w:tabs>
              <w:tab w:val="clear" w:pos="8459"/>
              <w:tab w:val="right" w:pos="9026" w:leader="dot"/>
            </w:tabs>
            <w:rPr/>
          </w:pPr>
          <w:hyperlink w:anchor="__RefHeading___Toc875854_1280447820">
            <w:r>
              <w:rPr>
                <w:webHidden/>
                <w:rStyle w:val="IndexLink"/>
                <w:rtl w:val="true"/>
              </w:rPr>
              <w:t>المقام الرابع</w:t>
            </w:r>
            <w:r>
              <w:rPr>
                <w:rStyle w:val="IndexLink"/>
                <w:rtl w:val="true"/>
              </w:rPr>
              <w:t xml:space="preserve">: </w:t>
            </w:r>
            <w:r>
              <w:rPr>
                <w:rStyle w:val="IndexLink"/>
                <w:rtl w:val="true"/>
              </w:rPr>
              <w:t>في صور الرياء</w:t>
            </w:r>
            <w:r>
              <w:rPr>
                <w:rStyle w:val="IndexLink"/>
                <w:rtl w:val="true"/>
              </w:rPr>
              <w:tab/>
            </w:r>
            <w:r>
              <w:rPr>
                <w:rStyle w:val="IndexLink"/>
              </w:rPr>
              <w:t>78</w:t>
            </w:r>
          </w:hyperlink>
        </w:p>
        <w:p>
          <w:pPr>
            <w:pStyle w:val="Contents3"/>
            <w:tabs>
              <w:tab w:val="clear" w:pos="8459"/>
              <w:tab w:val="right" w:pos="9026" w:leader="dot"/>
            </w:tabs>
            <w:rPr/>
          </w:pPr>
          <w:hyperlink w:anchor="__RefHeading___Toc875856_1280447820">
            <w:r>
              <w:rPr>
                <w:webHidden/>
                <w:rStyle w:val="IndexLink"/>
                <w:rtl w:val="true"/>
              </w:rPr>
              <w:t>المقام الخامس</w:t>
            </w:r>
            <w:r>
              <w:rPr>
                <w:rStyle w:val="IndexLink"/>
                <w:rtl w:val="true"/>
              </w:rPr>
              <w:t xml:space="preserve">: </w:t>
            </w:r>
            <w:r>
              <w:rPr>
                <w:rStyle w:val="IndexLink"/>
                <w:rtl w:val="true"/>
              </w:rPr>
              <w:t>في أحكام بطلان العبادة بالرياء</w:t>
            </w:r>
            <w:r>
              <w:rPr>
                <w:rStyle w:val="IndexLink"/>
                <w:rtl w:val="true"/>
              </w:rPr>
              <w:tab/>
            </w:r>
            <w:r>
              <w:rPr>
                <w:rStyle w:val="IndexLink"/>
              </w:rPr>
              <w:t>87</w:t>
            </w:r>
          </w:hyperlink>
        </w:p>
        <w:p>
          <w:pPr>
            <w:pStyle w:val="Contents2"/>
            <w:tabs>
              <w:tab w:val="clear" w:pos="8743"/>
              <w:tab w:val="right" w:pos="9026" w:leader="dot"/>
            </w:tabs>
            <w:rPr/>
          </w:pPr>
          <w:hyperlink w:anchor="__RefHeading___Toc875858_1280447820">
            <w:r>
              <w:rPr>
                <w:webHidden/>
                <w:rStyle w:val="IndexLink"/>
                <w:rtl w:val="true"/>
              </w:rPr>
              <w:t xml:space="preserve">المسألة الخامسة والعشرون </w:t>
            </w:r>
            <w:r>
              <w:rPr>
                <w:rStyle w:val="IndexLink"/>
                <w:rtl w:val="true"/>
              </w:rPr>
              <w:t>«</w:t>
            </w:r>
            <w:r>
              <w:rPr>
                <w:rStyle w:val="IndexLink"/>
                <w:rtl w:val="true"/>
              </w:rPr>
              <w:t>في زخرفة المساجد والمصاحف والمقابر</w:t>
            </w:r>
            <w:r>
              <w:rPr>
                <w:rStyle w:val="IndexLink"/>
                <w:rtl w:val="true"/>
              </w:rPr>
              <w:t>»</w:t>
              <w:tab/>
            </w:r>
            <w:r>
              <w:rPr>
                <w:rStyle w:val="IndexLink"/>
              </w:rPr>
              <w:t>92</w:t>
            </w:r>
          </w:hyperlink>
        </w:p>
        <w:p>
          <w:pPr>
            <w:pStyle w:val="Contents3"/>
            <w:tabs>
              <w:tab w:val="clear" w:pos="8459"/>
              <w:tab w:val="right" w:pos="9026" w:leader="dot"/>
            </w:tabs>
            <w:rPr/>
          </w:pPr>
          <w:hyperlink w:anchor="__RefHeading___Toc875860_12804478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875862_1280447820">
            <w:r>
              <w:rPr>
                <w:webHidden/>
                <w:rStyle w:val="IndexLink"/>
                <w:rtl w:val="true"/>
              </w:rPr>
              <w:t>الجهة الاُولى</w:t>
            </w:r>
            <w:r>
              <w:rPr>
                <w:rStyle w:val="IndexLink"/>
                <w:rtl w:val="true"/>
              </w:rPr>
              <w:t xml:space="preserve">: </w:t>
            </w:r>
            <w:r>
              <w:rPr>
                <w:rStyle w:val="IndexLink"/>
                <w:rtl w:val="true"/>
              </w:rPr>
              <w:t>في زخرفة المساجد</w:t>
            </w:r>
            <w:r>
              <w:rPr>
                <w:rStyle w:val="IndexLink"/>
                <w:rtl w:val="true"/>
              </w:rPr>
              <w:tab/>
            </w:r>
            <w:r>
              <w:rPr>
                <w:rStyle w:val="IndexLink"/>
              </w:rPr>
              <w:t>92</w:t>
            </w:r>
          </w:hyperlink>
        </w:p>
        <w:p>
          <w:pPr>
            <w:pStyle w:val="Contents4"/>
            <w:tabs>
              <w:tab w:val="clear" w:pos="8176"/>
              <w:tab w:val="right" w:pos="9026" w:leader="dot"/>
            </w:tabs>
            <w:rPr/>
          </w:pPr>
          <w:hyperlink w:anchor="__RefHeading___Toc875864_1280447820">
            <w:r>
              <w:rPr>
                <w:webHidden/>
                <w:rStyle w:val="IndexLink"/>
                <w:rtl w:val="true"/>
              </w:rPr>
              <w:t>اوّلاً</w:t>
            </w:r>
            <w:r>
              <w:rPr>
                <w:rStyle w:val="IndexLink"/>
                <w:rtl w:val="true"/>
              </w:rPr>
              <w:t xml:space="preserve">: </w:t>
            </w:r>
            <w:r>
              <w:rPr>
                <w:rStyle w:val="IndexLink"/>
                <w:rtl w:val="true"/>
              </w:rPr>
              <w:t>في نقل كلمات الأصحاب</w:t>
            </w:r>
            <w:r>
              <w:rPr>
                <w:rStyle w:val="IndexLink"/>
                <w:rtl w:val="true"/>
              </w:rPr>
              <w:tab/>
            </w:r>
            <w:r>
              <w:rPr>
                <w:rStyle w:val="IndexLink"/>
              </w:rPr>
              <w:t>92</w:t>
            </w:r>
          </w:hyperlink>
        </w:p>
        <w:p>
          <w:pPr>
            <w:pStyle w:val="Contents4"/>
            <w:tabs>
              <w:tab w:val="clear" w:pos="8176"/>
              <w:tab w:val="right" w:pos="9026" w:leader="dot"/>
            </w:tabs>
            <w:rPr/>
          </w:pPr>
          <w:hyperlink w:anchor="__RefHeading___Toc875866_1280447820">
            <w:r>
              <w:rPr>
                <w:webHidden/>
                <w:rStyle w:val="IndexLink"/>
                <w:rtl w:val="true"/>
              </w:rPr>
              <w:t>ثانياً</w:t>
            </w:r>
            <w:r>
              <w:rPr>
                <w:rStyle w:val="IndexLink"/>
                <w:rtl w:val="true"/>
              </w:rPr>
              <w:t xml:space="preserve">: </w:t>
            </w:r>
            <w:r>
              <w:rPr>
                <w:rStyle w:val="IndexLink"/>
                <w:rtl w:val="true"/>
              </w:rPr>
              <w:t>في أدلّة حرمة زخرفة المساجد</w:t>
            </w:r>
            <w:r>
              <w:rPr>
                <w:rStyle w:val="IndexLink"/>
                <w:rtl w:val="true"/>
              </w:rPr>
              <w:tab/>
            </w:r>
            <w:r>
              <w:rPr>
                <w:rStyle w:val="IndexLink"/>
              </w:rPr>
              <w:t>94</w:t>
            </w:r>
          </w:hyperlink>
        </w:p>
        <w:p>
          <w:pPr>
            <w:pStyle w:val="Contents3"/>
            <w:tabs>
              <w:tab w:val="clear" w:pos="8459"/>
              <w:tab w:val="right" w:pos="9026" w:leader="dot"/>
            </w:tabs>
            <w:rPr/>
          </w:pPr>
          <w:hyperlink w:anchor="__RefHeading___Toc875868_1280447820">
            <w:r>
              <w:rPr>
                <w:webHidden/>
                <w:rStyle w:val="IndexLink"/>
                <w:rtl w:val="true"/>
              </w:rPr>
              <w:t>الجهة الثانية</w:t>
            </w:r>
            <w:r>
              <w:rPr>
                <w:rStyle w:val="IndexLink"/>
                <w:rtl w:val="true"/>
              </w:rPr>
              <w:t xml:space="preserve">: </w:t>
            </w:r>
            <w:r>
              <w:rPr>
                <w:rStyle w:val="IndexLink"/>
                <w:rtl w:val="true"/>
              </w:rPr>
              <w:t>في أدلّة حرمة زخرفة المصاحف</w:t>
            </w:r>
            <w:r>
              <w:rPr>
                <w:rStyle w:val="IndexLink"/>
                <w:rtl w:val="true"/>
              </w:rPr>
              <w:tab/>
            </w:r>
            <w:r>
              <w:rPr>
                <w:rStyle w:val="IndexLink"/>
              </w:rPr>
              <w:t>98</w:t>
            </w:r>
          </w:hyperlink>
        </w:p>
        <w:p>
          <w:pPr>
            <w:pStyle w:val="Contents3"/>
            <w:tabs>
              <w:tab w:val="clear" w:pos="8459"/>
              <w:tab w:val="right" w:pos="9026" w:leader="dot"/>
            </w:tabs>
            <w:rPr/>
          </w:pPr>
          <w:hyperlink w:anchor="__RefHeading___Toc875870_1280447820">
            <w:r>
              <w:rPr>
                <w:webHidden/>
                <w:rStyle w:val="IndexLink"/>
                <w:rtl w:val="true"/>
              </w:rPr>
              <w:t>الجهة الثالثة</w:t>
            </w:r>
            <w:r>
              <w:rPr>
                <w:rStyle w:val="IndexLink"/>
                <w:rtl w:val="true"/>
              </w:rPr>
              <w:t xml:space="preserve">: </w:t>
            </w:r>
            <w:r>
              <w:rPr>
                <w:rStyle w:val="IndexLink"/>
                <w:rtl w:val="true"/>
              </w:rPr>
              <w:t>في زخرفة القبور بالتجصيص أو التطيين أو البناء عليها</w:t>
            </w:r>
            <w:r>
              <w:rPr>
                <w:rStyle w:val="IndexLink"/>
                <w:rtl w:val="true"/>
              </w:rPr>
              <w:tab/>
            </w:r>
            <w:r>
              <w:rPr>
                <w:rStyle w:val="IndexLink"/>
              </w:rPr>
              <w:t>100</w:t>
            </w:r>
          </w:hyperlink>
        </w:p>
        <w:p>
          <w:pPr>
            <w:pStyle w:val="Contents2"/>
            <w:tabs>
              <w:tab w:val="clear" w:pos="8743"/>
              <w:tab w:val="right" w:pos="9026" w:leader="dot"/>
            </w:tabs>
            <w:rPr/>
          </w:pPr>
          <w:hyperlink w:anchor="__RefHeading___Toc875872_1280447820">
            <w:r>
              <w:rPr>
                <w:webHidden/>
                <w:rStyle w:val="IndexLink"/>
                <w:rtl w:val="true"/>
              </w:rPr>
              <w:t xml:space="preserve">المسألة السادسة والعشرون </w:t>
            </w:r>
            <w:r>
              <w:rPr>
                <w:rStyle w:val="IndexLink"/>
                <w:rtl w:val="true"/>
              </w:rPr>
              <w:t>«</w:t>
            </w:r>
            <w:r>
              <w:rPr>
                <w:rStyle w:val="IndexLink"/>
                <w:rtl w:val="true"/>
              </w:rPr>
              <w:t>في الزنا</w:t>
            </w:r>
            <w:r>
              <w:rPr>
                <w:rStyle w:val="IndexLink"/>
                <w:rtl w:val="true"/>
              </w:rPr>
              <w:t>»</w:t>
              <w:tab/>
            </w:r>
            <w:r>
              <w:rPr>
                <w:rStyle w:val="IndexLink"/>
              </w:rPr>
              <w:t>110</w:t>
            </w:r>
          </w:hyperlink>
        </w:p>
        <w:p>
          <w:pPr>
            <w:pStyle w:val="Contents2"/>
            <w:tabs>
              <w:tab w:val="clear" w:pos="8743"/>
              <w:tab w:val="right" w:pos="9026" w:leader="dot"/>
            </w:tabs>
            <w:rPr/>
          </w:pPr>
          <w:hyperlink w:anchor="__RefHeading___Toc875874_1280447820">
            <w:r>
              <w:rPr>
                <w:webHidden/>
                <w:rStyle w:val="IndexLink"/>
                <w:rtl w:val="true"/>
              </w:rPr>
              <w:t xml:space="preserve">المسألة السابعة والعشرون </w:t>
            </w:r>
            <w:r>
              <w:rPr>
                <w:rStyle w:val="IndexLink"/>
                <w:rtl w:val="true"/>
              </w:rPr>
              <w:t>«</w:t>
            </w:r>
            <w:r>
              <w:rPr>
                <w:rStyle w:val="IndexLink"/>
                <w:rtl w:val="true"/>
              </w:rPr>
              <w:t>في السباب</w:t>
            </w:r>
            <w:r>
              <w:rPr>
                <w:rStyle w:val="IndexLink"/>
                <w:rtl w:val="true"/>
              </w:rPr>
              <w:t>»</w:t>
              <w:tab/>
            </w:r>
            <w:r>
              <w:rPr>
                <w:rStyle w:val="IndexLink"/>
              </w:rPr>
              <w:t>114</w:t>
            </w:r>
          </w:hyperlink>
        </w:p>
        <w:p>
          <w:pPr>
            <w:pStyle w:val="Contents3"/>
            <w:tabs>
              <w:tab w:val="clear" w:pos="8459"/>
              <w:tab w:val="right" w:pos="9026" w:leader="dot"/>
            </w:tabs>
            <w:rPr/>
          </w:pPr>
          <w:hyperlink w:anchor="__RefHeading___Toc875876_128044782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875878_1280447820">
            <w:r>
              <w:rPr>
                <w:webHidden/>
                <w:rStyle w:val="IndexLink"/>
                <w:rtl w:val="true"/>
              </w:rPr>
              <w:t>المقام الأوّل</w:t>
            </w:r>
            <w:r>
              <w:rPr>
                <w:rStyle w:val="IndexLink"/>
                <w:rtl w:val="true"/>
              </w:rPr>
              <w:t xml:space="preserve">: </w:t>
            </w:r>
            <w:r>
              <w:rPr>
                <w:rStyle w:val="IndexLink"/>
                <w:rtl w:val="true"/>
              </w:rPr>
              <w:t>في حرمة السباب</w:t>
            </w:r>
            <w:r>
              <w:rPr>
                <w:rStyle w:val="IndexLink"/>
                <w:rtl w:val="true"/>
              </w:rPr>
              <w:tab/>
            </w:r>
            <w:r>
              <w:rPr>
                <w:rStyle w:val="IndexLink"/>
              </w:rPr>
              <w:t>114</w:t>
            </w:r>
          </w:hyperlink>
        </w:p>
        <w:p>
          <w:pPr>
            <w:pStyle w:val="Contents3"/>
            <w:tabs>
              <w:tab w:val="clear" w:pos="8459"/>
              <w:tab w:val="right" w:pos="9026" w:leader="dot"/>
            </w:tabs>
            <w:rPr/>
          </w:pPr>
          <w:hyperlink w:anchor="__RefHeading___Toc875880_1280447820">
            <w:r>
              <w:rPr>
                <w:webHidden/>
                <w:rStyle w:val="IndexLink"/>
                <w:rtl w:val="true"/>
              </w:rPr>
              <w:t>المقام الثاني</w:t>
            </w:r>
            <w:r>
              <w:rPr>
                <w:rStyle w:val="IndexLink"/>
                <w:rtl w:val="true"/>
              </w:rPr>
              <w:t xml:space="preserve">: </w:t>
            </w:r>
            <w:r>
              <w:rPr>
                <w:rStyle w:val="IndexLink"/>
                <w:rtl w:val="true"/>
              </w:rPr>
              <w:t>في المراد من السباب</w:t>
            </w:r>
            <w:r>
              <w:rPr>
                <w:rStyle w:val="IndexLink"/>
                <w:rtl w:val="true"/>
              </w:rPr>
              <w:tab/>
            </w:r>
            <w:r>
              <w:rPr>
                <w:rStyle w:val="IndexLink"/>
              </w:rPr>
              <w:t>124</w:t>
            </w:r>
          </w:hyperlink>
        </w:p>
        <w:p>
          <w:pPr>
            <w:pStyle w:val="Contents3"/>
            <w:tabs>
              <w:tab w:val="clear" w:pos="8459"/>
              <w:tab w:val="right" w:pos="9026" w:leader="dot"/>
            </w:tabs>
            <w:rPr/>
          </w:pPr>
          <w:hyperlink w:anchor="__RefHeading___Toc875882_1280447820">
            <w:r>
              <w:rPr>
                <w:webHidden/>
                <w:rStyle w:val="IndexLink"/>
                <w:rtl w:val="true"/>
              </w:rPr>
              <w:t>المقام الثالث</w:t>
            </w:r>
            <w:r>
              <w:rPr>
                <w:rStyle w:val="IndexLink"/>
                <w:rtl w:val="true"/>
              </w:rPr>
              <w:t xml:space="preserve">: </w:t>
            </w:r>
            <w:r>
              <w:rPr>
                <w:rStyle w:val="IndexLink"/>
                <w:rtl w:val="true"/>
              </w:rPr>
              <w:t>في المسبوب</w:t>
            </w:r>
            <w:r>
              <w:rPr>
                <w:rStyle w:val="IndexLink"/>
                <w:rtl w:val="true"/>
              </w:rPr>
              <w:tab/>
            </w:r>
            <w:r>
              <w:rPr>
                <w:rStyle w:val="IndexLink"/>
              </w:rPr>
              <w:t>127</w:t>
            </w:r>
          </w:hyperlink>
        </w:p>
        <w:p>
          <w:pPr>
            <w:pStyle w:val="Contents3"/>
            <w:tabs>
              <w:tab w:val="clear" w:pos="8459"/>
              <w:tab w:val="right" w:pos="9026" w:leader="dot"/>
            </w:tabs>
            <w:rPr/>
          </w:pPr>
          <w:hyperlink w:anchor="__RefHeading___Toc875884_1280447820">
            <w:r>
              <w:rPr>
                <w:webHidden/>
                <w:rStyle w:val="IndexLink"/>
                <w:rtl w:val="true"/>
              </w:rPr>
              <w:t>المقام الرابع</w:t>
            </w:r>
            <w:r>
              <w:rPr>
                <w:rStyle w:val="IndexLink"/>
                <w:rtl w:val="true"/>
              </w:rPr>
              <w:t xml:space="preserve">: </w:t>
            </w:r>
            <w:r>
              <w:rPr>
                <w:rStyle w:val="IndexLink"/>
                <w:rtl w:val="true"/>
              </w:rPr>
              <w:t>في تبعات السبّ‌</w:t>
            </w:r>
            <w:r>
              <w:rPr>
                <w:rStyle w:val="IndexLink"/>
                <w:rtl w:val="true"/>
              </w:rPr>
              <w:tab/>
            </w:r>
            <w:r>
              <w:rPr>
                <w:rStyle w:val="IndexLink"/>
              </w:rPr>
              <w:t>132</w:t>
            </w:r>
          </w:hyperlink>
        </w:p>
        <w:p>
          <w:pPr>
            <w:pStyle w:val="Contents3"/>
            <w:tabs>
              <w:tab w:val="clear" w:pos="8459"/>
              <w:tab w:val="right" w:pos="9026" w:leader="dot"/>
            </w:tabs>
            <w:rPr/>
          </w:pPr>
          <w:hyperlink w:anchor="__RefHeading___Toc875886_1280447820">
            <w:r>
              <w:rPr>
                <w:webHidden/>
                <w:rStyle w:val="IndexLink"/>
                <w:rtl w:val="true"/>
              </w:rPr>
              <w:t>المقام الخامس</w:t>
            </w:r>
            <w:r>
              <w:rPr>
                <w:rStyle w:val="IndexLink"/>
                <w:rtl w:val="true"/>
              </w:rPr>
              <w:t xml:space="preserve">: </w:t>
            </w:r>
            <w:r>
              <w:rPr>
                <w:rStyle w:val="IndexLink"/>
                <w:rtl w:val="true"/>
              </w:rPr>
              <w:t>في موارد الاستثناء</w:t>
            </w:r>
            <w:r>
              <w:rPr>
                <w:rStyle w:val="IndexLink"/>
                <w:rtl w:val="true"/>
              </w:rPr>
              <w:tab/>
            </w:r>
            <w:r>
              <w:rPr>
                <w:rStyle w:val="IndexLink"/>
              </w:rPr>
              <w:t>134</w:t>
            </w:r>
          </w:hyperlink>
        </w:p>
        <w:p>
          <w:pPr>
            <w:pStyle w:val="Contents2"/>
            <w:tabs>
              <w:tab w:val="clear" w:pos="8743"/>
              <w:tab w:val="right" w:pos="9026" w:leader="dot"/>
            </w:tabs>
            <w:rPr/>
          </w:pPr>
          <w:hyperlink w:anchor="__RefHeading___Toc875888_1280447820">
            <w:r>
              <w:rPr>
                <w:webHidden/>
                <w:rStyle w:val="IndexLink"/>
                <w:rtl w:val="true"/>
              </w:rPr>
              <w:t xml:space="preserve">المسألة الثامنة والعشرون </w:t>
            </w:r>
            <w:r>
              <w:rPr>
                <w:rStyle w:val="IndexLink"/>
                <w:rtl w:val="true"/>
              </w:rPr>
              <w:t>«</w:t>
            </w:r>
            <w:r>
              <w:rPr>
                <w:rStyle w:val="IndexLink"/>
                <w:rtl w:val="true"/>
              </w:rPr>
              <w:t>في السحر</w:t>
            </w:r>
            <w:r>
              <w:rPr>
                <w:rStyle w:val="IndexLink"/>
                <w:rtl w:val="true"/>
              </w:rPr>
              <w:t>»</w:t>
              <w:tab/>
            </w:r>
            <w:r>
              <w:rPr>
                <w:rStyle w:val="IndexLink"/>
              </w:rPr>
              <w:t>140</w:t>
            </w:r>
          </w:hyperlink>
        </w:p>
        <w:p>
          <w:pPr>
            <w:pStyle w:val="Contents3"/>
            <w:tabs>
              <w:tab w:val="clear" w:pos="8459"/>
              <w:tab w:val="right" w:pos="9026" w:leader="dot"/>
            </w:tabs>
            <w:rPr/>
          </w:pPr>
          <w:hyperlink w:anchor="__RefHeading___Toc875890_128044782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875892_1280447820">
            <w:r>
              <w:rPr>
                <w:webHidden/>
                <w:rStyle w:val="IndexLink"/>
                <w:rtl w:val="true"/>
              </w:rPr>
              <w:t>الأمر الأوّل</w:t>
            </w:r>
            <w:r>
              <w:rPr>
                <w:rStyle w:val="IndexLink"/>
                <w:rtl w:val="true"/>
              </w:rPr>
              <w:t xml:space="preserve">: </w:t>
            </w:r>
            <w:r>
              <w:rPr>
                <w:rStyle w:val="IndexLink"/>
                <w:rtl w:val="true"/>
              </w:rPr>
              <w:t>في معناه لغةً وعرفاً</w:t>
            </w:r>
            <w:r>
              <w:rPr>
                <w:rStyle w:val="IndexLink"/>
                <w:rtl w:val="true"/>
              </w:rPr>
              <w:tab/>
            </w:r>
            <w:r>
              <w:rPr>
                <w:rStyle w:val="IndexLink"/>
              </w:rPr>
              <w:t>140</w:t>
            </w:r>
          </w:hyperlink>
        </w:p>
        <w:p>
          <w:pPr>
            <w:pStyle w:val="Contents3"/>
            <w:tabs>
              <w:tab w:val="clear" w:pos="8459"/>
              <w:tab w:val="right" w:pos="9026" w:leader="dot"/>
            </w:tabs>
            <w:rPr/>
          </w:pPr>
          <w:hyperlink w:anchor="__RefHeading___Toc875894_1280447820">
            <w:r>
              <w:rPr>
                <w:webHidden/>
                <w:rStyle w:val="IndexLink"/>
                <w:rtl w:val="true"/>
              </w:rPr>
              <w:t>الأمر الثاني</w:t>
            </w:r>
            <w:r>
              <w:rPr>
                <w:rStyle w:val="IndexLink"/>
                <w:rtl w:val="true"/>
              </w:rPr>
              <w:t xml:space="preserve">: </w:t>
            </w:r>
            <w:r>
              <w:rPr>
                <w:rStyle w:val="IndexLink"/>
                <w:rtl w:val="true"/>
              </w:rPr>
              <w:t>في كلمات القدماء</w:t>
            </w:r>
            <w:r>
              <w:rPr>
                <w:rStyle w:val="IndexLink"/>
                <w:rtl w:val="true"/>
              </w:rPr>
              <w:tab/>
            </w:r>
            <w:r>
              <w:rPr>
                <w:rStyle w:val="IndexLink"/>
              </w:rPr>
              <w:t>147</w:t>
            </w:r>
          </w:hyperlink>
        </w:p>
        <w:p>
          <w:pPr>
            <w:pStyle w:val="Contents3"/>
            <w:tabs>
              <w:tab w:val="clear" w:pos="8459"/>
              <w:tab w:val="right" w:pos="9026" w:leader="dot"/>
            </w:tabs>
            <w:rPr/>
          </w:pPr>
          <w:hyperlink w:anchor="__RefHeading___Toc875896_1280447820">
            <w:r>
              <w:rPr>
                <w:webHidden/>
                <w:rStyle w:val="IndexLink"/>
                <w:rtl w:val="true"/>
              </w:rPr>
              <w:t>الأمر الثالث</w:t>
            </w:r>
            <w:r>
              <w:rPr>
                <w:rStyle w:val="IndexLink"/>
                <w:rtl w:val="true"/>
              </w:rPr>
              <w:t xml:space="preserve">: </w:t>
            </w:r>
            <w:r>
              <w:rPr>
                <w:rStyle w:val="IndexLink"/>
                <w:rtl w:val="true"/>
              </w:rPr>
              <w:t>في تعريف السحر</w:t>
            </w:r>
            <w:r>
              <w:rPr>
                <w:rStyle w:val="IndexLink"/>
                <w:rtl w:val="true"/>
              </w:rPr>
              <w:tab/>
            </w:r>
            <w:r>
              <w:rPr>
                <w:rStyle w:val="IndexLink"/>
              </w:rPr>
              <w:t>149</w:t>
            </w:r>
          </w:hyperlink>
        </w:p>
        <w:p>
          <w:pPr>
            <w:pStyle w:val="Contents3"/>
            <w:tabs>
              <w:tab w:val="clear" w:pos="8459"/>
              <w:tab w:val="right" w:pos="9026" w:leader="dot"/>
            </w:tabs>
            <w:rPr/>
          </w:pPr>
          <w:hyperlink w:anchor="__RefHeading___Toc875898_1280447820">
            <w:r>
              <w:rPr>
                <w:webHidden/>
                <w:rStyle w:val="IndexLink"/>
                <w:rtl w:val="true"/>
              </w:rPr>
              <w:t>الأمر الرابع</w:t>
            </w:r>
            <w:r>
              <w:rPr>
                <w:rStyle w:val="IndexLink"/>
                <w:rtl w:val="true"/>
              </w:rPr>
              <w:t xml:space="preserve">: </w:t>
            </w:r>
            <w:r>
              <w:rPr>
                <w:rStyle w:val="IndexLink"/>
                <w:rtl w:val="true"/>
              </w:rPr>
              <w:t>في الأدلّة على حرمة السحر</w:t>
            </w:r>
            <w:r>
              <w:rPr>
                <w:rStyle w:val="IndexLink"/>
                <w:rtl w:val="true"/>
              </w:rPr>
              <w:tab/>
            </w:r>
            <w:r>
              <w:rPr>
                <w:rStyle w:val="IndexLink"/>
              </w:rPr>
              <w:t>163</w:t>
            </w:r>
          </w:hyperlink>
        </w:p>
        <w:p>
          <w:pPr>
            <w:pStyle w:val="Contents3"/>
            <w:tabs>
              <w:tab w:val="clear" w:pos="8459"/>
              <w:tab w:val="right" w:pos="9026" w:leader="dot"/>
            </w:tabs>
            <w:rPr/>
          </w:pPr>
          <w:hyperlink w:anchor="__RefHeading___Toc875900_1280447820">
            <w:r>
              <w:rPr>
                <w:webHidden/>
                <w:rStyle w:val="IndexLink"/>
                <w:rtl w:val="true"/>
              </w:rPr>
              <w:t>الأمر الخامس</w:t>
            </w:r>
            <w:r>
              <w:rPr>
                <w:rStyle w:val="IndexLink"/>
                <w:rtl w:val="true"/>
              </w:rPr>
              <w:t xml:space="preserve">: </w:t>
            </w:r>
            <w:r>
              <w:rPr>
                <w:rStyle w:val="IndexLink"/>
                <w:rtl w:val="true"/>
              </w:rPr>
              <w:t>في استحقاق الحدّ</w:t>
            </w:r>
            <w:r>
              <w:rPr>
                <w:rStyle w:val="IndexLink"/>
                <w:rtl w:val="true"/>
              </w:rPr>
              <w:tab/>
            </w:r>
            <w:r>
              <w:rPr>
                <w:rStyle w:val="IndexLink"/>
              </w:rPr>
              <w:t>173</w:t>
            </w:r>
          </w:hyperlink>
        </w:p>
        <w:p>
          <w:pPr>
            <w:pStyle w:val="Contents3"/>
            <w:tabs>
              <w:tab w:val="clear" w:pos="8459"/>
              <w:tab w:val="right" w:pos="9026" w:leader="dot"/>
            </w:tabs>
            <w:rPr/>
          </w:pPr>
          <w:hyperlink w:anchor="__RefHeading___Toc875902_1280447820">
            <w:r>
              <w:rPr>
                <w:webHidden/>
                <w:rStyle w:val="IndexLink"/>
                <w:rtl w:val="true"/>
              </w:rPr>
              <w:t>الأمر السادس</w:t>
            </w:r>
            <w:r>
              <w:rPr>
                <w:rStyle w:val="IndexLink"/>
                <w:rtl w:val="true"/>
              </w:rPr>
              <w:t xml:space="preserve">: </w:t>
            </w:r>
            <w:r>
              <w:rPr>
                <w:rStyle w:val="IndexLink"/>
                <w:rtl w:val="true"/>
              </w:rPr>
              <w:t>في جواز رفع السحر بالسحر</w:t>
            </w:r>
            <w:r>
              <w:rPr>
                <w:rStyle w:val="IndexLink"/>
                <w:rtl w:val="true"/>
              </w:rPr>
              <w:tab/>
            </w:r>
            <w:r>
              <w:rPr>
                <w:rStyle w:val="IndexLink"/>
              </w:rPr>
              <w:t>179</w:t>
            </w:r>
          </w:hyperlink>
        </w:p>
        <w:p>
          <w:pPr>
            <w:pStyle w:val="Contents3"/>
            <w:tabs>
              <w:tab w:val="clear" w:pos="8459"/>
              <w:tab w:val="right" w:pos="9026" w:leader="dot"/>
            </w:tabs>
            <w:rPr/>
          </w:pPr>
          <w:hyperlink w:anchor="__RefHeading___Toc875904_1280447820">
            <w:r>
              <w:rPr>
                <w:webHidden/>
                <w:rStyle w:val="IndexLink"/>
                <w:rtl w:val="true"/>
              </w:rPr>
              <w:t>الأمر السابع</w:t>
            </w:r>
            <w:r>
              <w:rPr>
                <w:rStyle w:val="IndexLink"/>
                <w:rtl w:val="true"/>
              </w:rPr>
              <w:t xml:space="preserve">: </w:t>
            </w:r>
            <w:r>
              <w:rPr>
                <w:rStyle w:val="IndexLink"/>
                <w:rtl w:val="true"/>
              </w:rPr>
              <w:t>في تسخير الجنّ والأرواح</w:t>
            </w:r>
            <w:r>
              <w:rPr>
                <w:rStyle w:val="IndexLink"/>
                <w:rtl w:val="true"/>
              </w:rPr>
              <w:tab/>
            </w:r>
            <w:r>
              <w:rPr>
                <w:rStyle w:val="IndexLink"/>
              </w:rPr>
              <w:t>182</w:t>
            </w:r>
          </w:hyperlink>
        </w:p>
        <w:p>
          <w:pPr>
            <w:pStyle w:val="Contents2"/>
            <w:tabs>
              <w:tab w:val="clear" w:pos="8743"/>
              <w:tab w:val="right" w:pos="9026" w:leader="dot"/>
            </w:tabs>
            <w:rPr/>
          </w:pPr>
          <w:hyperlink w:anchor="__RefHeading___Toc875906_1280447820">
            <w:r>
              <w:rPr>
                <w:webHidden/>
                <w:rStyle w:val="IndexLink"/>
                <w:rtl w:val="true"/>
              </w:rPr>
              <w:t xml:space="preserve">المسألة التاسعة والعشرون </w:t>
            </w:r>
            <w:r>
              <w:rPr>
                <w:rStyle w:val="IndexLink"/>
                <w:rtl w:val="true"/>
              </w:rPr>
              <w:t>«</w:t>
            </w:r>
            <w:r>
              <w:rPr>
                <w:rStyle w:val="IndexLink"/>
                <w:rtl w:val="true"/>
              </w:rPr>
              <w:t>في السخرية</w:t>
            </w:r>
            <w:r>
              <w:rPr>
                <w:rStyle w:val="IndexLink"/>
                <w:rtl w:val="true"/>
              </w:rPr>
              <w:t>»</w:t>
              <w:tab/>
            </w:r>
            <w:r>
              <w:rPr>
                <w:rStyle w:val="IndexLink"/>
              </w:rPr>
              <w:t>186</w:t>
            </w:r>
          </w:hyperlink>
        </w:p>
        <w:p>
          <w:pPr>
            <w:pStyle w:val="Contents3"/>
            <w:tabs>
              <w:tab w:val="clear" w:pos="8459"/>
              <w:tab w:val="right" w:pos="9026" w:leader="dot"/>
            </w:tabs>
            <w:rPr/>
          </w:pPr>
          <w:hyperlink w:anchor="__RefHeading___Toc875908_128044782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875910_1280447820">
            <w:r>
              <w:rPr>
                <w:webHidden/>
                <w:rStyle w:val="IndexLink"/>
                <w:rtl w:val="true"/>
              </w:rPr>
              <w:t>الجهة الاُولى</w:t>
            </w:r>
            <w:r>
              <w:rPr>
                <w:rStyle w:val="IndexLink"/>
                <w:rtl w:val="true"/>
              </w:rPr>
              <w:t xml:space="preserve">: </w:t>
            </w:r>
            <w:r>
              <w:rPr>
                <w:rStyle w:val="IndexLink"/>
                <w:rtl w:val="true"/>
              </w:rPr>
              <w:t>في حقيقة السخرية</w:t>
            </w:r>
            <w:r>
              <w:rPr>
                <w:rStyle w:val="IndexLink"/>
                <w:rtl w:val="true"/>
              </w:rPr>
              <w:tab/>
            </w:r>
            <w:r>
              <w:rPr>
                <w:rStyle w:val="IndexLink"/>
              </w:rPr>
              <w:t>186</w:t>
            </w:r>
          </w:hyperlink>
        </w:p>
        <w:p>
          <w:pPr>
            <w:pStyle w:val="Contents3"/>
            <w:tabs>
              <w:tab w:val="clear" w:pos="8459"/>
              <w:tab w:val="right" w:pos="9026" w:leader="dot"/>
            </w:tabs>
            <w:rPr/>
          </w:pPr>
          <w:hyperlink w:anchor="__RefHeading___Toc875912_1280447820">
            <w:r>
              <w:rPr>
                <w:webHidden/>
                <w:rStyle w:val="IndexLink"/>
                <w:rtl w:val="true"/>
              </w:rPr>
              <w:t>الجهة الثانية</w:t>
            </w:r>
            <w:r>
              <w:rPr>
                <w:rStyle w:val="IndexLink"/>
                <w:rtl w:val="true"/>
              </w:rPr>
              <w:t xml:space="preserve">: </w:t>
            </w:r>
            <w:r>
              <w:rPr>
                <w:rStyle w:val="IndexLink"/>
                <w:rtl w:val="true"/>
              </w:rPr>
              <w:t>في أدلّة حرمتها</w:t>
            </w:r>
            <w:r>
              <w:rPr>
                <w:rStyle w:val="IndexLink"/>
                <w:rtl w:val="true"/>
              </w:rPr>
              <w:tab/>
            </w:r>
            <w:r>
              <w:rPr>
                <w:rStyle w:val="IndexLink"/>
              </w:rPr>
              <w:t>188</w:t>
            </w:r>
          </w:hyperlink>
        </w:p>
        <w:p>
          <w:pPr>
            <w:pStyle w:val="Contents3"/>
            <w:tabs>
              <w:tab w:val="clear" w:pos="8459"/>
              <w:tab w:val="right" w:pos="9026" w:leader="dot"/>
            </w:tabs>
            <w:rPr/>
          </w:pPr>
          <w:hyperlink w:anchor="__RefHeading___Toc875914_1280447820">
            <w:r>
              <w:rPr>
                <w:webHidden/>
                <w:rStyle w:val="IndexLink"/>
                <w:rtl w:val="true"/>
              </w:rPr>
              <w:t>الجهة الثالثة</w:t>
            </w:r>
            <w:r>
              <w:rPr>
                <w:rStyle w:val="IndexLink"/>
                <w:rtl w:val="true"/>
              </w:rPr>
              <w:t xml:space="preserve">: </w:t>
            </w:r>
            <w:r>
              <w:rPr>
                <w:rStyle w:val="IndexLink"/>
                <w:rtl w:val="true"/>
              </w:rPr>
              <w:t>في كفر من استهزء بالايات</w:t>
            </w:r>
            <w:r>
              <w:rPr>
                <w:rStyle w:val="IndexLink"/>
                <w:rtl w:val="true"/>
              </w:rPr>
              <w:tab/>
            </w:r>
            <w:r>
              <w:rPr>
                <w:rStyle w:val="IndexLink"/>
              </w:rPr>
              <w:t>190</w:t>
            </w:r>
          </w:hyperlink>
        </w:p>
        <w:p>
          <w:pPr>
            <w:pStyle w:val="Contents3"/>
            <w:tabs>
              <w:tab w:val="clear" w:pos="8459"/>
              <w:tab w:val="right" w:pos="9026" w:leader="dot"/>
            </w:tabs>
            <w:rPr/>
          </w:pPr>
          <w:hyperlink w:anchor="__RefHeading___Toc875916_1280447820">
            <w:r>
              <w:rPr>
                <w:webHidden/>
                <w:rStyle w:val="IndexLink"/>
                <w:rtl w:val="true"/>
              </w:rPr>
              <w:t>الجهة الرابعة</w:t>
            </w:r>
            <w:r>
              <w:rPr>
                <w:rStyle w:val="IndexLink"/>
                <w:rtl w:val="true"/>
              </w:rPr>
              <w:t xml:space="preserve">: </w:t>
            </w:r>
            <w:r>
              <w:rPr>
                <w:rStyle w:val="IndexLink"/>
                <w:rtl w:val="true"/>
              </w:rPr>
              <w:t>في اختصاص الحرمة بما إذا كان الفرض هتكا</w:t>
            </w:r>
            <w:r>
              <w:rPr>
                <w:rStyle w:val="IndexLink"/>
                <w:rtl w:val="true"/>
              </w:rPr>
              <w:tab/>
            </w:r>
            <w:r>
              <w:rPr>
                <w:rStyle w:val="IndexLink"/>
              </w:rPr>
              <w:t>191</w:t>
            </w:r>
          </w:hyperlink>
        </w:p>
        <w:p>
          <w:pPr>
            <w:pStyle w:val="Contents3"/>
            <w:tabs>
              <w:tab w:val="clear" w:pos="8459"/>
              <w:tab w:val="right" w:pos="9026" w:leader="dot"/>
            </w:tabs>
            <w:rPr/>
          </w:pPr>
          <w:hyperlink w:anchor="__RefHeading___Toc875918_1280447820">
            <w:r>
              <w:rPr>
                <w:webHidden/>
                <w:rStyle w:val="IndexLink"/>
                <w:rtl w:val="true"/>
              </w:rPr>
              <w:t>الجهة الخامسة</w:t>
            </w:r>
            <w:r>
              <w:rPr>
                <w:rStyle w:val="IndexLink"/>
                <w:rtl w:val="true"/>
              </w:rPr>
              <w:t xml:space="preserve">: </w:t>
            </w:r>
            <w:r>
              <w:rPr>
                <w:rStyle w:val="IndexLink"/>
                <w:rtl w:val="true"/>
              </w:rPr>
              <w:t>في إنّ الاكل في مقابل السخرية أكل المال بالباطل</w:t>
            </w:r>
            <w:r>
              <w:rPr>
                <w:rStyle w:val="IndexLink"/>
                <w:rtl w:val="true"/>
              </w:rPr>
              <w:tab/>
            </w:r>
            <w:r>
              <w:rPr>
                <w:rStyle w:val="IndexLink"/>
              </w:rPr>
              <w:t>192</w:t>
            </w:r>
          </w:hyperlink>
        </w:p>
        <w:p>
          <w:pPr>
            <w:pStyle w:val="Contents2"/>
            <w:tabs>
              <w:tab w:val="clear" w:pos="8743"/>
              <w:tab w:val="right" w:pos="9026" w:leader="dot"/>
            </w:tabs>
            <w:rPr/>
          </w:pPr>
          <w:hyperlink w:anchor="__RefHeading___Toc875920_1280447820">
            <w:r>
              <w:rPr>
                <w:webHidden/>
                <w:rStyle w:val="IndexLink"/>
                <w:rtl w:val="true"/>
              </w:rPr>
              <w:t xml:space="preserve">المسألة الثلاثون </w:t>
            </w:r>
            <w:r>
              <w:rPr>
                <w:rStyle w:val="IndexLink"/>
                <w:rtl w:val="true"/>
              </w:rPr>
              <w:t>«</w:t>
            </w:r>
            <w:r>
              <w:rPr>
                <w:rStyle w:val="IndexLink"/>
                <w:rtl w:val="true"/>
              </w:rPr>
              <w:t>سدّ المعابر</w:t>
            </w:r>
            <w:r>
              <w:rPr>
                <w:rStyle w:val="IndexLink"/>
                <w:rtl w:val="true"/>
              </w:rPr>
              <w:t>»</w:t>
              <w:tab/>
            </w:r>
            <w:r>
              <w:rPr>
                <w:rStyle w:val="IndexLink"/>
              </w:rPr>
              <w:t>194</w:t>
            </w:r>
          </w:hyperlink>
        </w:p>
        <w:p>
          <w:pPr>
            <w:pStyle w:val="Contents3"/>
            <w:tabs>
              <w:tab w:val="clear" w:pos="8459"/>
              <w:tab w:val="right" w:pos="9026" w:leader="dot"/>
            </w:tabs>
            <w:rPr/>
          </w:pPr>
          <w:hyperlink w:anchor="__RefHeading___Toc875922_128044782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875924_1280447820">
            <w:r>
              <w:rPr>
                <w:webHidden/>
                <w:rStyle w:val="IndexLink"/>
                <w:rtl w:val="true"/>
              </w:rPr>
              <w:t>فالأوّل</w:t>
            </w:r>
            <w:r>
              <w:rPr>
                <w:rStyle w:val="IndexLink"/>
                <w:rtl w:val="true"/>
              </w:rPr>
              <w:t xml:space="preserve">: </w:t>
            </w:r>
            <w:r>
              <w:rPr>
                <w:rStyle w:val="IndexLink"/>
                <w:rtl w:val="true"/>
              </w:rPr>
              <w:t>الطريق نوعان نافذ وغير نافذ فالأول يسمّى بالشارع العام</w:t>
            </w:r>
            <w:r>
              <w:rPr>
                <w:rStyle w:val="IndexLink"/>
                <w:rtl w:val="true"/>
              </w:rPr>
              <w:tab/>
            </w:r>
            <w:r>
              <w:rPr>
                <w:rStyle w:val="IndexLink"/>
              </w:rPr>
              <w:t>197</w:t>
            </w:r>
          </w:hyperlink>
        </w:p>
        <w:p>
          <w:pPr>
            <w:pStyle w:val="Contents3"/>
            <w:tabs>
              <w:tab w:val="clear" w:pos="8459"/>
              <w:tab w:val="right" w:pos="9026" w:leader="dot"/>
            </w:tabs>
            <w:rPr/>
          </w:pPr>
          <w:hyperlink w:anchor="__RefHeading___Toc875926_1280447820">
            <w:r>
              <w:rPr>
                <w:webHidden/>
                <w:rStyle w:val="IndexLink"/>
                <w:rtl w:val="true"/>
              </w:rPr>
              <w:t>وأمّا الثاني</w:t>
            </w:r>
            <w:r>
              <w:rPr>
                <w:rStyle w:val="IndexLink"/>
                <w:rtl w:val="true"/>
              </w:rPr>
              <w:t xml:space="preserve">: </w:t>
            </w:r>
            <w:r>
              <w:rPr>
                <w:rStyle w:val="IndexLink"/>
                <w:rtl w:val="true"/>
              </w:rPr>
              <w:t>أي الطريق غير النافذ</w:t>
            </w:r>
            <w:r>
              <w:rPr>
                <w:rStyle w:val="IndexLink"/>
                <w:rtl w:val="true"/>
              </w:rPr>
              <w:tab/>
            </w:r>
            <w:r>
              <w:rPr>
                <w:rStyle w:val="IndexLink"/>
              </w:rPr>
              <w:t>200</w:t>
            </w:r>
          </w:hyperlink>
        </w:p>
        <w:p>
          <w:pPr>
            <w:pStyle w:val="Contents2"/>
            <w:tabs>
              <w:tab w:val="clear" w:pos="8743"/>
              <w:tab w:val="right" w:pos="9026" w:leader="dot"/>
            </w:tabs>
            <w:rPr/>
          </w:pPr>
          <w:hyperlink w:anchor="__RefHeading___Toc875928_1280447820">
            <w:r>
              <w:rPr>
                <w:webHidden/>
                <w:rStyle w:val="IndexLink"/>
                <w:rtl w:val="true"/>
              </w:rPr>
              <w:t xml:space="preserve">المسألة الحادية والثلاثون </w:t>
            </w:r>
            <w:r>
              <w:rPr>
                <w:rStyle w:val="IndexLink"/>
                <w:rtl w:val="true"/>
              </w:rPr>
              <w:t>«</w:t>
            </w:r>
            <w:r>
              <w:rPr>
                <w:rStyle w:val="IndexLink"/>
                <w:rtl w:val="true"/>
              </w:rPr>
              <w:t>في السرقة</w:t>
            </w:r>
            <w:r>
              <w:rPr>
                <w:rStyle w:val="IndexLink"/>
                <w:rtl w:val="true"/>
              </w:rPr>
              <w:t>»</w:t>
              <w:tab/>
            </w:r>
            <w:r>
              <w:rPr>
                <w:rStyle w:val="IndexLink"/>
              </w:rPr>
              <w:t>202</w:t>
            </w:r>
          </w:hyperlink>
        </w:p>
        <w:p>
          <w:pPr>
            <w:pStyle w:val="Contents2"/>
            <w:tabs>
              <w:tab w:val="clear" w:pos="8743"/>
              <w:tab w:val="right" w:pos="9026" w:leader="dot"/>
            </w:tabs>
            <w:rPr/>
          </w:pPr>
          <w:hyperlink w:anchor="__RefHeading___Toc875930_1280447820">
            <w:r>
              <w:rPr>
                <w:webHidden/>
                <w:rStyle w:val="IndexLink"/>
                <w:rtl w:val="true"/>
              </w:rPr>
              <w:t xml:space="preserve">المسألة الثانية والثلاثون </w:t>
            </w:r>
            <w:r>
              <w:rPr>
                <w:rStyle w:val="IndexLink"/>
                <w:rtl w:val="true"/>
              </w:rPr>
              <w:t>«</w:t>
            </w:r>
            <w:r>
              <w:rPr>
                <w:rStyle w:val="IndexLink"/>
                <w:rtl w:val="true"/>
              </w:rPr>
              <w:t>في الشرب الحرام</w:t>
            </w:r>
            <w:r>
              <w:rPr>
                <w:rStyle w:val="IndexLink"/>
                <w:rtl w:val="true"/>
              </w:rPr>
              <w:t>»</w:t>
              <w:tab/>
            </w:r>
            <w:r>
              <w:rPr>
                <w:rStyle w:val="IndexLink"/>
              </w:rPr>
              <w:t>206</w:t>
            </w:r>
          </w:hyperlink>
        </w:p>
        <w:p>
          <w:pPr>
            <w:pStyle w:val="Contents3"/>
            <w:tabs>
              <w:tab w:val="clear" w:pos="8459"/>
              <w:tab w:val="right" w:pos="9026" w:leader="dot"/>
            </w:tabs>
            <w:rPr/>
          </w:pPr>
          <w:hyperlink w:anchor="__RefHeading___Toc875932_1280447820">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875934_1280447820">
            <w:r>
              <w:rPr>
                <w:webHidden/>
                <w:rStyle w:val="IndexLink"/>
                <w:rtl w:val="true"/>
              </w:rPr>
              <w:t>المقام الأوّل</w:t>
            </w:r>
            <w:r>
              <w:rPr>
                <w:rStyle w:val="IndexLink"/>
                <w:rtl w:val="true"/>
              </w:rPr>
              <w:t xml:space="preserve">: </w:t>
            </w:r>
            <w:r>
              <w:rPr>
                <w:rStyle w:val="IndexLink"/>
                <w:rtl w:val="true"/>
              </w:rPr>
              <w:t>في شرب السموم القاتلة</w:t>
            </w:r>
            <w:r>
              <w:rPr>
                <w:rStyle w:val="IndexLink"/>
                <w:rtl w:val="true"/>
              </w:rPr>
              <w:tab/>
            </w:r>
            <w:r>
              <w:rPr>
                <w:rStyle w:val="IndexLink"/>
              </w:rPr>
              <w:t>206</w:t>
            </w:r>
          </w:hyperlink>
        </w:p>
        <w:p>
          <w:pPr>
            <w:pStyle w:val="Contents3"/>
            <w:tabs>
              <w:tab w:val="clear" w:pos="8459"/>
              <w:tab w:val="right" w:pos="9026" w:leader="dot"/>
            </w:tabs>
            <w:rPr/>
          </w:pPr>
          <w:hyperlink w:anchor="__RefHeading___Toc875936_1280447820">
            <w:r>
              <w:rPr>
                <w:webHidden/>
                <w:rStyle w:val="IndexLink"/>
                <w:rtl w:val="true"/>
              </w:rPr>
              <w:t>المقام الثاني</w:t>
            </w:r>
            <w:r>
              <w:rPr>
                <w:rStyle w:val="IndexLink"/>
                <w:rtl w:val="true"/>
              </w:rPr>
              <w:t xml:space="preserve">: </w:t>
            </w:r>
            <w:r>
              <w:rPr>
                <w:rStyle w:val="IndexLink"/>
                <w:rtl w:val="true"/>
              </w:rPr>
              <w:t>في شرب الأفيون والسقمونيا ونحوهما</w:t>
            </w:r>
            <w:r>
              <w:rPr>
                <w:rStyle w:val="IndexLink"/>
                <w:rtl w:val="true"/>
              </w:rPr>
              <w:tab/>
            </w:r>
            <w:r>
              <w:rPr>
                <w:rStyle w:val="IndexLink"/>
              </w:rPr>
              <w:t>209</w:t>
            </w:r>
          </w:hyperlink>
        </w:p>
        <w:p>
          <w:pPr>
            <w:pStyle w:val="Contents3"/>
            <w:tabs>
              <w:tab w:val="clear" w:pos="8459"/>
              <w:tab w:val="right" w:pos="9026" w:leader="dot"/>
            </w:tabs>
            <w:rPr/>
          </w:pPr>
          <w:hyperlink w:anchor="__RefHeading___Toc875938_1280447820">
            <w:r>
              <w:rPr>
                <w:webHidden/>
                <w:rStyle w:val="IndexLink"/>
                <w:rtl w:val="true"/>
              </w:rPr>
              <w:t>المقام الثالث</w:t>
            </w:r>
            <w:r>
              <w:rPr>
                <w:rStyle w:val="IndexLink"/>
                <w:rtl w:val="true"/>
              </w:rPr>
              <w:t xml:space="preserve">: </w:t>
            </w:r>
            <w:r>
              <w:rPr>
                <w:rStyle w:val="IndexLink"/>
                <w:rtl w:val="true"/>
              </w:rPr>
              <w:t>في حرمة شرب المضرّ</w:t>
            </w:r>
            <w:r>
              <w:rPr>
                <w:rStyle w:val="IndexLink"/>
                <w:rtl w:val="true"/>
              </w:rPr>
              <w:tab/>
            </w:r>
            <w:r>
              <w:rPr>
                <w:rStyle w:val="IndexLink"/>
              </w:rPr>
              <w:t>211</w:t>
            </w:r>
          </w:hyperlink>
        </w:p>
        <w:p>
          <w:pPr>
            <w:pStyle w:val="Contents3"/>
            <w:tabs>
              <w:tab w:val="clear" w:pos="8459"/>
              <w:tab w:val="right" w:pos="9026" w:leader="dot"/>
            </w:tabs>
            <w:rPr/>
          </w:pPr>
          <w:hyperlink w:anchor="__RefHeading___Toc875940_1280447820">
            <w:r>
              <w:rPr>
                <w:webHidden/>
                <w:rStyle w:val="IndexLink"/>
                <w:rtl w:val="true"/>
              </w:rPr>
              <w:t>المقام الرابع</w:t>
            </w:r>
            <w:r>
              <w:rPr>
                <w:rStyle w:val="IndexLink"/>
                <w:rtl w:val="true"/>
              </w:rPr>
              <w:t xml:space="preserve">: </w:t>
            </w:r>
            <w:r>
              <w:rPr>
                <w:rStyle w:val="IndexLink"/>
                <w:rtl w:val="true"/>
              </w:rPr>
              <w:t>في حرمة شرب المواد المخدّرة</w:t>
            </w:r>
            <w:r>
              <w:rPr>
                <w:rStyle w:val="IndexLink"/>
                <w:rtl w:val="true"/>
              </w:rPr>
              <w:tab/>
            </w:r>
            <w:r>
              <w:rPr>
                <w:rStyle w:val="IndexLink"/>
              </w:rPr>
              <w:t>212</w:t>
            </w:r>
          </w:hyperlink>
        </w:p>
        <w:p>
          <w:pPr>
            <w:pStyle w:val="Contents3"/>
            <w:tabs>
              <w:tab w:val="clear" w:pos="8459"/>
              <w:tab w:val="right" w:pos="9026" w:leader="dot"/>
            </w:tabs>
            <w:rPr/>
          </w:pPr>
          <w:hyperlink w:anchor="__RefHeading___Toc875942_1280447820">
            <w:r>
              <w:rPr>
                <w:webHidden/>
                <w:rStyle w:val="IndexLink"/>
                <w:rtl w:val="true"/>
              </w:rPr>
              <w:t>المقام الخامس</w:t>
            </w:r>
            <w:r>
              <w:rPr>
                <w:rStyle w:val="IndexLink"/>
                <w:rtl w:val="true"/>
              </w:rPr>
              <w:t xml:space="preserve">: </w:t>
            </w:r>
            <w:r>
              <w:rPr>
                <w:rStyle w:val="IndexLink"/>
                <w:rtl w:val="true"/>
              </w:rPr>
              <w:t>في حرمة توليد المواد المخدّرة</w:t>
            </w:r>
            <w:r>
              <w:rPr>
                <w:rStyle w:val="IndexLink"/>
                <w:rtl w:val="true"/>
              </w:rPr>
              <w:tab/>
            </w:r>
            <w:r>
              <w:rPr>
                <w:rStyle w:val="IndexLink"/>
              </w:rPr>
              <w:t>214</w:t>
            </w:r>
          </w:hyperlink>
        </w:p>
        <w:p>
          <w:pPr>
            <w:pStyle w:val="Contents3"/>
            <w:tabs>
              <w:tab w:val="clear" w:pos="8459"/>
              <w:tab w:val="right" w:pos="9026" w:leader="dot"/>
            </w:tabs>
            <w:rPr/>
          </w:pPr>
          <w:hyperlink w:anchor="__RefHeading___Toc875944_1280447820">
            <w:r>
              <w:rPr>
                <w:webHidden/>
                <w:rStyle w:val="IndexLink"/>
                <w:rtl w:val="true"/>
              </w:rPr>
              <w:t>المقام السادس</w:t>
            </w:r>
            <w:r>
              <w:rPr>
                <w:rStyle w:val="IndexLink"/>
                <w:rtl w:val="true"/>
              </w:rPr>
              <w:t xml:space="preserve">: </w:t>
            </w:r>
            <w:r>
              <w:rPr>
                <w:rStyle w:val="IndexLink"/>
                <w:rtl w:val="true"/>
              </w:rPr>
              <w:t>في عدم جواز التخلّف عند نهى الحاكم عن موضوع</w:t>
            </w:r>
            <w:r>
              <w:rPr>
                <w:rStyle w:val="IndexLink"/>
                <w:rtl w:val="true"/>
              </w:rPr>
              <w:tab/>
            </w:r>
            <w:r>
              <w:rPr>
                <w:rStyle w:val="IndexLink"/>
              </w:rPr>
              <w:t>214</w:t>
            </w:r>
          </w:hyperlink>
        </w:p>
        <w:p>
          <w:pPr>
            <w:pStyle w:val="Contents3"/>
            <w:tabs>
              <w:tab w:val="clear" w:pos="8459"/>
              <w:tab w:val="right" w:pos="9026" w:leader="dot"/>
            </w:tabs>
            <w:rPr/>
          </w:pPr>
          <w:hyperlink w:anchor="__RefHeading___Toc875946_1280447820">
            <w:r>
              <w:rPr>
                <w:webHidden/>
                <w:rStyle w:val="IndexLink"/>
                <w:rtl w:val="true"/>
              </w:rPr>
              <w:t>المقام السابع</w:t>
            </w:r>
            <w:r>
              <w:rPr>
                <w:rStyle w:val="IndexLink"/>
                <w:rtl w:val="true"/>
              </w:rPr>
              <w:t xml:space="preserve">: </w:t>
            </w:r>
            <w:r>
              <w:rPr>
                <w:rStyle w:val="IndexLink"/>
                <w:rtl w:val="true"/>
              </w:rPr>
              <w:t>في حرمة إدمان المضر</w:t>
            </w:r>
            <w:r>
              <w:rPr>
                <w:rStyle w:val="IndexLink"/>
                <w:rtl w:val="true"/>
              </w:rPr>
              <w:tab/>
            </w:r>
            <w:r>
              <w:rPr>
                <w:rStyle w:val="IndexLink"/>
              </w:rPr>
              <w:t>215</w:t>
            </w:r>
          </w:hyperlink>
        </w:p>
        <w:p>
          <w:pPr>
            <w:pStyle w:val="Contents3"/>
            <w:tabs>
              <w:tab w:val="clear" w:pos="8459"/>
              <w:tab w:val="right" w:pos="9026" w:leader="dot"/>
            </w:tabs>
            <w:rPr/>
          </w:pPr>
          <w:hyperlink w:anchor="__RefHeading___Toc875948_1280447820">
            <w:r>
              <w:rPr>
                <w:webHidden/>
                <w:rStyle w:val="IndexLink"/>
                <w:rtl w:val="true"/>
              </w:rPr>
              <w:t>المقام الثامن</w:t>
            </w:r>
            <w:r>
              <w:rPr>
                <w:rStyle w:val="IndexLink"/>
                <w:rtl w:val="true"/>
              </w:rPr>
              <w:t xml:space="preserve">: </w:t>
            </w:r>
            <w:r>
              <w:rPr>
                <w:rStyle w:val="IndexLink"/>
                <w:rtl w:val="true"/>
              </w:rPr>
              <w:t>في استحقاق المدمن للحد</w:t>
            </w:r>
            <w:r>
              <w:rPr>
                <w:rStyle w:val="IndexLink"/>
                <w:rtl w:val="true"/>
              </w:rPr>
              <w:tab/>
            </w:r>
            <w:r>
              <w:rPr>
                <w:rStyle w:val="IndexLink"/>
              </w:rPr>
              <w:t>215</w:t>
            </w:r>
          </w:hyperlink>
        </w:p>
        <w:p>
          <w:pPr>
            <w:pStyle w:val="Contents3"/>
            <w:tabs>
              <w:tab w:val="clear" w:pos="8459"/>
              <w:tab w:val="right" w:pos="9026" w:leader="dot"/>
            </w:tabs>
            <w:rPr/>
          </w:pPr>
          <w:hyperlink w:anchor="__RefHeading___Toc875950_1280447820">
            <w:r>
              <w:rPr>
                <w:webHidden/>
                <w:rStyle w:val="IndexLink"/>
                <w:rtl w:val="true"/>
              </w:rPr>
              <w:t>المقام التاسع</w:t>
            </w:r>
            <w:r>
              <w:rPr>
                <w:rStyle w:val="IndexLink"/>
                <w:rtl w:val="true"/>
              </w:rPr>
              <w:t xml:space="preserve">: </w:t>
            </w:r>
            <w:r>
              <w:rPr>
                <w:rStyle w:val="IndexLink"/>
                <w:rtl w:val="true"/>
              </w:rPr>
              <w:t>في جواز المعالجة بالمواد المخدّرة وعدمها</w:t>
            </w:r>
            <w:r>
              <w:rPr>
                <w:rStyle w:val="IndexLink"/>
                <w:rtl w:val="true"/>
              </w:rPr>
              <w:tab/>
            </w:r>
            <w:r>
              <w:rPr>
                <w:rStyle w:val="IndexLink"/>
              </w:rPr>
              <w:t>216</w:t>
            </w:r>
          </w:hyperlink>
        </w:p>
        <w:p>
          <w:pPr>
            <w:pStyle w:val="Contents3"/>
            <w:tabs>
              <w:tab w:val="clear" w:pos="8459"/>
              <w:tab w:val="right" w:pos="9026" w:leader="dot"/>
            </w:tabs>
            <w:rPr/>
          </w:pPr>
          <w:hyperlink w:anchor="__RefHeading___Toc875952_1280447820">
            <w:r>
              <w:rPr>
                <w:webHidden/>
                <w:rStyle w:val="IndexLink"/>
                <w:rtl w:val="true"/>
              </w:rPr>
              <w:t>المقام العاشر</w:t>
            </w:r>
            <w:r>
              <w:rPr>
                <w:rStyle w:val="IndexLink"/>
                <w:rtl w:val="true"/>
              </w:rPr>
              <w:t xml:space="preserve">: </w:t>
            </w:r>
            <w:r>
              <w:rPr>
                <w:rStyle w:val="IndexLink"/>
                <w:rtl w:val="true"/>
              </w:rPr>
              <w:t>في عدم جواز توزيع المواد المخدّرة</w:t>
            </w:r>
            <w:r>
              <w:rPr>
                <w:rStyle w:val="IndexLink"/>
                <w:rtl w:val="true"/>
              </w:rPr>
              <w:tab/>
            </w:r>
            <w:r>
              <w:rPr>
                <w:rStyle w:val="IndexLink"/>
              </w:rPr>
              <w:t>216</w:t>
            </w:r>
          </w:hyperlink>
        </w:p>
        <w:p>
          <w:pPr>
            <w:pStyle w:val="Contents3"/>
            <w:tabs>
              <w:tab w:val="clear" w:pos="8459"/>
              <w:tab w:val="right" w:pos="9026" w:leader="dot"/>
            </w:tabs>
            <w:rPr/>
          </w:pPr>
          <w:hyperlink w:anchor="__RefHeading___Toc875954_1280447820">
            <w:r>
              <w:rPr>
                <w:webHidden/>
                <w:rStyle w:val="IndexLink"/>
                <w:rtl w:val="true"/>
              </w:rPr>
              <w:t>المقام الحادي عشر</w:t>
            </w:r>
            <w:r>
              <w:rPr>
                <w:rStyle w:val="IndexLink"/>
                <w:rtl w:val="true"/>
              </w:rPr>
              <w:t xml:space="preserve">: </w:t>
            </w:r>
            <w:r>
              <w:rPr>
                <w:rStyle w:val="IndexLink"/>
                <w:rtl w:val="true"/>
              </w:rPr>
              <w:t>في جوب ترك الاشتغال بالمواد المخدّرة</w:t>
            </w:r>
            <w:r>
              <w:rPr>
                <w:rStyle w:val="IndexLink"/>
                <w:rtl w:val="true"/>
              </w:rPr>
              <w:tab/>
            </w:r>
            <w:r>
              <w:rPr>
                <w:rStyle w:val="IndexLink"/>
              </w:rPr>
              <w:t>216</w:t>
            </w:r>
          </w:hyperlink>
        </w:p>
        <w:p>
          <w:pPr>
            <w:pStyle w:val="Contents3"/>
            <w:tabs>
              <w:tab w:val="clear" w:pos="8459"/>
              <w:tab w:val="right" w:pos="9026" w:leader="dot"/>
            </w:tabs>
            <w:rPr/>
          </w:pPr>
          <w:hyperlink w:anchor="__RefHeading___Toc875956_1280447820">
            <w:r>
              <w:rPr>
                <w:webHidden/>
                <w:rStyle w:val="IndexLink"/>
                <w:rtl w:val="true"/>
              </w:rPr>
              <w:t>المقام الثاني عشر</w:t>
            </w:r>
            <w:r>
              <w:rPr>
                <w:rStyle w:val="IndexLink"/>
                <w:rtl w:val="true"/>
              </w:rPr>
              <w:t xml:space="preserve">: </w:t>
            </w:r>
            <w:r>
              <w:rPr>
                <w:rStyle w:val="IndexLink"/>
                <w:rtl w:val="true"/>
              </w:rPr>
              <w:t>في عدم جواز البيع و شراء المواد المخدّرة</w:t>
            </w:r>
            <w:r>
              <w:rPr>
                <w:rStyle w:val="IndexLink"/>
                <w:rtl w:val="true"/>
              </w:rPr>
              <w:tab/>
            </w:r>
            <w:r>
              <w:rPr>
                <w:rStyle w:val="IndexLink"/>
              </w:rPr>
              <w:t>217</w:t>
            </w:r>
          </w:hyperlink>
        </w:p>
        <w:p>
          <w:pPr>
            <w:pStyle w:val="Contents3"/>
            <w:tabs>
              <w:tab w:val="clear" w:pos="8459"/>
              <w:tab w:val="right" w:pos="9026" w:leader="dot"/>
            </w:tabs>
            <w:rPr/>
          </w:pPr>
          <w:hyperlink w:anchor="__RefHeading___Toc875958_1280447820">
            <w:r>
              <w:rPr>
                <w:webHidden/>
                <w:rStyle w:val="IndexLink"/>
                <w:rtl w:val="true"/>
              </w:rPr>
              <w:t>المقام الثالث عشر</w:t>
            </w:r>
            <w:r>
              <w:rPr>
                <w:rStyle w:val="IndexLink"/>
                <w:rtl w:val="true"/>
              </w:rPr>
              <w:t xml:space="preserve">: </w:t>
            </w:r>
            <w:r>
              <w:rPr>
                <w:rStyle w:val="IndexLink"/>
                <w:rtl w:val="true"/>
              </w:rPr>
              <w:t>في حكم شرب التتن</w:t>
            </w:r>
            <w:r>
              <w:rPr>
                <w:rStyle w:val="IndexLink"/>
                <w:rtl w:val="true"/>
              </w:rPr>
              <w:tab/>
            </w:r>
            <w:r>
              <w:rPr>
                <w:rStyle w:val="IndexLink"/>
              </w:rPr>
              <w:t>218</w:t>
            </w:r>
          </w:hyperlink>
        </w:p>
        <w:p>
          <w:pPr>
            <w:pStyle w:val="Contents4"/>
            <w:tabs>
              <w:tab w:val="clear" w:pos="8176"/>
              <w:tab w:val="right" w:pos="9026" w:leader="dot"/>
            </w:tabs>
            <w:rPr/>
          </w:pPr>
          <w:hyperlink w:anchor="__RefHeading___Toc875960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875962_1280447820">
            <w:r>
              <w:rPr>
                <w:webHidden/>
                <w:rStyle w:val="IndexLink"/>
                <w:rtl w:val="true"/>
              </w:rPr>
              <w:t>تنبيهات</w:t>
            </w:r>
            <w:r>
              <w:rPr>
                <w:rStyle w:val="IndexLink"/>
                <w:rtl w:val="true"/>
              </w:rPr>
              <w:t>:</w:t>
              <w:tab/>
            </w:r>
            <w:r>
              <w:rPr>
                <w:rStyle w:val="IndexLink"/>
              </w:rPr>
              <w:t>219</w:t>
            </w:r>
          </w:hyperlink>
        </w:p>
        <w:p>
          <w:pPr>
            <w:pStyle w:val="Contents5"/>
            <w:tabs>
              <w:tab w:val="clear" w:pos="7892"/>
              <w:tab w:val="right" w:pos="9026" w:leader="dot"/>
            </w:tabs>
            <w:rPr/>
          </w:pPr>
          <w:hyperlink w:anchor="__RefHeading___Toc875964_1280447820">
            <w:r>
              <w:rPr>
                <w:webHidden/>
                <w:rStyle w:val="IndexLink"/>
                <w:rtl w:val="true"/>
              </w:rPr>
              <w:t>التنبيه الأوّل</w:t>
            </w:r>
            <w:r>
              <w:rPr>
                <w:rStyle w:val="IndexLink"/>
                <w:rtl w:val="true"/>
              </w:rPr>
              <w:t xml:space="preserve">: </w:t>
            </w:r>
            <w:r>
              <w:rPr>
                <w:rStyle w:val="IndexLink"/>
                <w:rtl w:val="true"/>
              </w:rPr>
              <w:t>في عدم اختصاص الأحكام بعنوان الهيروئين أو الترياك</w:t>
            </w:r>
            <w:r>
              <w:rPr>
                <w:rStyle w:val="IndexLink"/>
                <w:rtl w:val="true"/>
              </w:rPr>
              <w:tab/>
            </w:r>
            <w:r>
              <w:rPr>
                <w:rStyle w:val="IndexLink"/>
              </w:rPr>
              <w:t>219</w:t>
            </w:r>
          </w:hyperlink>
        </w:p>
        <w:p>
          <w:pPr>
            <w:pStyle w:val="Contents5"/>
            <w:tabs>
              <w:tab w:val="clear" w:pos="7892"/>
              <w:tab w:val="right" w:pos="9026" w:leader="dot"/>
            </w:tabs>
            <w:rPr/>
          </w:pPr>
          <w:hyperlink w:anchor="__RefHeading___Toc875966_1280447820">
            <w:r>
              <w:rPr>
                <w:webHidden/>
                <w:rStyle w:val="IndexLink"/>
                <w:rtl w:val="true"/>
              </w:rPr>
              <w:t>التنبيه الثاني</w:t>
            </w:r>
            <w:r>
              <w:rPr>
                <w:rStyle w:val="IndexLink"/>
                <w:rtl w:val="true"/>
              </w:rPr>
              <w:t xml:space="preserve">: </w:t>
            </w:r>
            <w:r>
              <w:rPr>
                <w:rStyle w:val="IndexLink"/>
                <w:rtl w:val="true"/>
              </w:rPr>
              <w:t>في حرمة شرب التتن الخمر فى الخمر</w:t>
            </w:r>
            <w:r>
              <w:rPr>
                <w:rStyle w:val="IndexLink"/>
                <w:rtl w:val="true"/>
              </w:rPr>
              <w:tab/>
            </w:r>
            <w:r>
              <w:rPr>
                <w:rStyle w:val="IndexLink"/>
              </w:rPr>
              <w:t>220</w:t>
            </w:r>
          </w:hyperlink>
        </w:p>
        <w:p>
          <w:pPr>
            <w:pStyle w:val="Contents5"/>
            <w:tabs>
              <w:tab w:val="clear" w:pos="7892"/>
              <w:tab w:val="right" w:pos="9026" w:leader="dot"/>
            </w:tabs>
            <w:rPr/>
          </w:pPr>
          <w:hyperlink w:anchor="__RefHeading___Toc875968_1280447820">
            <w:r>
              <w:rPr>
                <w:webHidden/>
                <w:rStyle w:val="IndexLink"/>
                <w:rtl w:val="true"/>
              </w:rPr>
              <w:t>التنبيه الثالث</w:t>
            </w:r>
            <w:r>
              <w:rPr>
                <w:rStyle w:val="IndexLink"/>
                <w:rtl w:val="true"/>
              </w:rPr>
              <w:t xml:space="preserve">: </w:t>
            </w:r>
            <w:r>
              <w:rPr>
                <w:rStyle w:val="IndexLink"/>
                <w:rtl w:val="true"/>
              </w:rPr>
              <w:t>في اجتماع حرمة الإضرار والإسكار</w:t>
            </w:r>
            <w:r>
              <w:rPr>
                <w:rStyle w:val="IndexLink"/>
                <w:rtl w:val="true"/>
              </w:rPr>
              <w:tab/>
            </w:r>
            <w:r>
              <w:rPr>
                <w:rStyle w:val="IndexLink"/>
              </w:rPr>
              <w:t>220</w:t>
            </w:r>
          </w:hyperlink>
        </w:p>
        <w:p>
          <w:pPr>
            <w:pStyle w:val="Contents5"/>
            <w:tabs>
              <w:tab w:val="clear" w:pos="7892"/>
              <w:tab w:val="right" w:pos="9026" w:leader="dot"/>
            </w:tabs>
            <w:rPr/>
          </w:pPr>
          <w:hyperlink w:anchor="__RefHeading___Toc875970_1280447820">
            <w:r>
              <w:rPr>
                <w:webHidden/>
                <w:rStyle w:val="IndexLink"/>
                <w:rtl w:val="true"/>
              </w:rPr>
              <w:t>التنبيه الرابع</w:t>
            </w:r>
            <w:r>
              <w:rPr>
                <w:rStyle w:val="IndexLink"/>
                <w:rtl w:val="true"/>
              </w:rPr>
              <w:t xml:space="preserve">: </w:t>
            </w:r>
            <w:r>
              <w:rPr>
                <w:rStyle w:val="IndexLink"/>
                <w:rtl w:val="true"/>
              </w:rPr>
              <w:t>في وجوب الاجتناب عن شرب التتن فى الأمكنة العامّه</w:t>
            </w:r>
            <w:r>
              <w:rPr>
                <w:rStyle w:val="IndexLink"/>
                <w:rtl w:val="true"/>
              </w:rPr>
              <w:tab/>
            </w:r>
            <w:r>
              <w:rPr>
                <w:rStyle w:val="IndexLink"/>
              </w:rPr>
              <w:t>220</w:t>
            </w:r>
          </w:hyperlink>
        </w:p>
        <w:p>
          <w:pPr>
            <w:pStyle w:val="Contents3"/>
            <w:tabs>
              <w:tab w:val="clear" w:pos="8459"/>
              <w:tab w:val="right" w:pos="9026" w:leader="dot"/>
            </w:tabs>
            <w:rPr/>
          </w:pPr>
          <w:hyperlink w:anchor="__RefHeading___Toc875972_1280447820">
            <w:r>
              <w:rPr>
                <w:webHidden/>
                <w:rStyle w:val="IndexLink"/>
                <w:rtl w:val="true"/>
              </w:rPr>
              <w:t>المقام الرابع عشر</w:t>
            </w:r>
            <w:r>
              <w:rPr>
                <w:rStyle w:val="IndexLink"/>
                <w:rtl w:val="true"/>
              </w:rPr>
              <w:t xml:space="preserve">: </w:t>
            </w:r>
            <w:r>
              <w:rPr>
                <w:rStyle w:val="IndexLink"/>
                <w:rtl w:val="true"/>
              </w:rPr>
              <w:t>في حرمة شرب الخمر والمسكر</w:t>
            </w:r>
            <w:r>
              <w:rPr>
                <w:rStyle w:val="IndexLink"/>
                <w:rtl w:val="true"/>
              </w:rPr>
              <w:tab/>
            </w:r>
            <w:r>
              <w:rPr>
                <w:rStyle w:val="IndexLink"/>
              </w:rPr>
              <w:t>221</w:t>
            </w:r>
          </w:hyperlink>
        </w:p>
        <w:p>
          <w:pPr>
            <w:pStyle w:val="Contents4"/>
            <w:tabs>
              <w:tab w:val="clear" w:pos="8176"/>
              <w:tab w:val="right" w:pos="9026" w:leader="dot"/>
            </w:tabs>
            <w:rPr/>
          </w:pPr>
          <w:hyperlink w:anchor="__RefHeading___Toc875974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875976_1280447820">
            <w:r>
              <w:rPr>
                <w:webHidden/>
                <w:rStyle w:val="IndexLink"/>
                <w:rtl w:val="true"/>
              </w:rPr>
              <w:t>تنبيهان</w:t>
            </w:r>
            <w:r>
              <w:rPr>
                <w:rStyle w:val="IndexLink"/>
                <w:rtl w:val="true"/>
              </w:rPr>
              <w:t>:</w:t>
              <w:tab/>
            </w:r>
            <w:r>
              <w:rPr>
                <w:rStyle w:val="IndexLink"/>
              </w:rPr>
              <w:t>225</w:t>
            </w:r>
          </w:hyperlink>
        </w:p>
        <w:p>
          <w:pPr>
            <w:pStyle w:val="Contents5"/>
            <w:tabs>
              <w:tab w:val="clear" w:pos="7892"/>
              <w:tab w:val="right" w:pos="9026" w:leader="dot"/>
            </w:tabs>
            <w:rPr/>
          </w:pPr>
          <w:hyperlink w:anchor="__RefHeading___Toc875978_1280447820">
            <w:r>
              <w:rPr>
                <w:webHidden/>
                <w:rStyle w:val="IndexLink"/>
                <w:rtl w:val="true"/>
              </w:rPr>
              <w:t>التنبيه الأوّل</w:t>
            </w:r>
            <w:r>
              <w:rPr>
                <w:rStyle w:val="IndexLink"/>
                <w:rtl w:val="true"/>
              </w:rPr>
              <w:t xml:space="preserve">: </w:t>
            </w:r>
            <w:r>
              <w:rPr>
                <w:rStyle w:val="IndexLink"/>
                <w:rtl w:val="true"/>
              </w:rPr>
              <w:t>في أنّه لا يجوز الجلوس على مائدة فيها خمر أو مسكر</w:t>
            </w:r>
            <w:r>
              <w:rPr>
                <w:rStyle w:val="IndexLink"/>
                <w:rtl w:val="true"/>
              </w:rPr>
              <w:tab/>
            </w:r>
            <w:r>
              <w:rPr>
                <w:rStyle w:val="IndexLink"/>
              </w:rPr>
              <w:t>225</w:t>
            </w:r>
          </w:hyperlink>
        </w:p>
        <w:p>
          <w:pPr>
            <w:pStyle w:val="Contents5"/>
            <w:tabs>
              <w:tab w:val="clear" w:pos="7892"/>
              <w:tab w:val="right" w:pos="9026" w:leader="dot"/>
            </w:tabs>
            <w:rPr/>
          </w:pPr>
          <w:hyperlink w:anchor="__RefHeading___Toc875980_1280447820">
            <w:r>
              <w:rPr>
                <w:webHidden/>
                <w:rStyle w:val="IndexLink"/>
                <w:rtl w:val="true"/>
              </w:rPr>
              <w:t>التنبيه الثاني</w:t>
            </w:r>
            <w:r>
              <w:rPr>
                <w:rStyle w:val="IndexLink"/>
                <w:rtl w:val="true"/>
              </w:rPr>
              <w:t xml:space="preserve">: </w:t>
            </w:r>
            <w:r>
              <w:rPr>
                <w:rStyle w:val="IndexLink"/>
                <w:rtl w:val="true"/>
              </w:rPr>
              <w:t>في جواز التداوى بالخمر أو المسكر وعدمه</w:t>
            </w:r>
            <w:r>
              <w:rPr>
                <w:rStyle w:val="IndexLink"/>
                <w:rtl w:val="true"/>
              </w:rPr>
              <w:tab/>
            </w:r>
            <w:r>
              <w:rPr>
                <w:rStyle w:val="IndexLink"/>
              </w:rPr>
              <w:t>229</w:t>
            </w:r>
          </w:hyperlink>
        </w:p>
        <w:p>
          <w:pPr>
            <w:pStyle w:val="Contents6"/>
            <w:tabs>
              <w:tab w:val="clear" w:pos="7609"/>
              <w:tab w:val="right" w:pos="9026" w:leader="dot"/>
            </w:tabs>
            <w:rPr/>
          </w:pPr>
          <w:hyperlink w:anchor="__RefHeading___Toc875982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875984_1280447820">
            <w:r>
              <w:rPr>
                <w:webHidden/>
                <w:rStyle w:val="IndexLink"/>
                <w:rtl w:val="true"/>
              </w:rPr>
              <w:t>فروع</w:t>
            </w:r>
            <w:r>
              <w:rPr>
                <w:rStyle w:val="IndexLink"/>
                <w:rtl w:val="true"/>
              </w:rPr>
              <w:t>:</w:t>
              <w:tab/>
            </w:r>
            <w:r>
              <w:rPr>
                <w:rStyle w:val="IndexLink"/>
              </w:rPr>
              <w:t>236</w:t>
            </w:r>
          </w:hyperlink>
        </w:p>
        <w:p>
          <w:pPr>
            <w:pStyle w:val="Contents6"/>
            <w:tabs>
              <w:tab w:val="clear" w:pos="7609"/>
              <w:tab w:val="right" w:pos="9026" w:leader="dot"/>
            </w:tabs>
            <w:rPr/>
          </w:pPr>
          <w:hyperlink w:anchor="__RefHeading___Toc875986_1280447820">
            <w:r>
              <w:rPr>
                <w:webHidden/>
                <w:rStyle w:val="IndexLink"/>
                <w:rtl w:val="true"/>
              </w:rPr>
              <w:t>الأوّل</w:t>
            </w:r>
            <w:r>
              <w:rPr>
                <w:rStyle w:val="IndexLink"/>
                <w:rtl w:val="true"/>
              </w:rPr>
              <w:t xml:space="preserve">: </w:t>
            </w:r>
            <w:r>
              <w:rPr>
                <w:rStyle w:val="IndexLink"/>
                <w:rtl w:val="true"/>
              </w:rPr>
              <w:t>في جواز ارتياد الأماكن التى يقدم فيها الخمر و عدمه</w:t>
            </w:r>
            <w:r>
              <w:rPr>
                <w:rStyle w:val="IndexLink"/>
                <w:rtl w:val="true"/>
              </w:rPr>
              <w:tab/>
            </w:r>
            <w:r>
              <w:rPr>
                <w:rStyle w:val="IndexLink"/>
              </w:rPr>
              <w:t>236</w:t>
            </w:r>
          </w:hyperlink>
        </w:p>
        <w:p>
          <w:pPr>
            <w:pStyle w:val="Contents6"/>
            <w:tabs>
              <w:tab w:val="clear" w:pos="7609"/>
              <w:tab w:val="right" w:pos="9026" w:leader="dot"/>
            </w:tabs>
            <w:rPr/>
          </w:pPr>
          <w:hyperlink w:anchor="__RefHeading___Toc875988_1280447820">
            <w:r>
              <w:rPr>
                <w:webHidden/>
                <w:rStyle w:val="IndexLink"/>
                <w:rtl w:val="true"/>
              </w:rPr>
              <w:t>الثاني</w:t>
            </w:r>
            <w:r>
              <w:rPr>
                <w:rStyle w:val="IndexLink"/>
                <w:rtl w:val="true"/>
              </w:rPr>
              <w:t xml:space="preserve">: </w:t>
            </w:r>
            <w:r>
              <w:rPr>
                <w:rStyle w:val="IndexLink"/>
                <w:rtl w:val="true"/>
              </w:rPr>
              <w:t>في وجوب ترك المقهى لو شرب الخمر فيه بعض آخر</w:t>
            </w:r>
            <w:r>
              <w:rPr>
                <w:rStyle w:val="IndexLink"/>
                <w:rtl w:val="true"/>
              </w:rPr>
              <w:tab/>
            </w:r>
            <w:r>
              <w:rPr>
                <w:rStyle w:val="IndexLink"/>
              </w:rPr>
              <w:t>237</w:t>
            </w:r>
          </w:hyperlink>
        </w:p>
        <w:p>
          <w:pPr>
            <w:pStyle w:val="Contents6"/>
            <w:tabs>
              <w:tab w:val="clear" w:pos="7609"/>
              <w:tab w:val="right" w:pos="9026" w:leader="dot"/>
            </w:tabs>
            <w:rPr/>
          </w:pPr>
          <w:hyperlink w:anchor="__RefHeading___Toc875990_1280447820">
            <w:r>
              <w:rPr>
                <w:webHidden/>
                <w:rStyle w:val="IndexLink"/>
                <w:rtl w:val="true"/>
              </w:rPr>
              <w:t>الثالث</w:t>
            </w:r>
            <w:r>
              <w:rPr>
                <w:rStyle w:val="IndexLink"/>
                <w:rtl w:val="true"/>
              </w:rPr>
              <w:t xml:space="preserve">: </w:t>
            </w:r>
            <w:r>
              <w:rPr>
                <w:rStyle w:val="IndexLink"/>
                <w:rtl w:val="true"/>
              </w:rPr>
              <w:t>في جواز شرب الأدوية المخلوطة بالكحول وعدمه</w:t>
            </w:r>
            <w:r>
              <w:rPr>
                <w:rStyle w:val="IndexLink"/>
                <w:rtl w:val="true"/>
              </w:rPr>
              <w:tab/>
            </w:r>
            <w:r>
              <w:rPr>
                <w:rStyle w:val="IndexLink"/>
              </w:rPr>
              <w:t>237</w:t>
            </w:r>
          </w:hyperlink>
        </w:p>
        <w:p>
          <w:pPr>
            <w:pStyle w:val="Contents6"/>
            <w:tabs>
              <w:tab w:val="clear" w:pos="7609"/>
              <w:tab w:val="right" w:pos="9026" w:leader="dot"/>
            </w:tabs>
            <w:rPr/>
          </w:pPr>
          <w:hyperlink w:anchor="__RefHeading___Toc875992_1280447820">
            <w:r>
              <w:rPr>
                <w:webHidden/>
                <w:rStyle w:val="IndexLink"/>
                <w:rtl w:val="true"/>
              </w:rPr>
              <w:t>الرابع</w:t>
            </w:r>
            <w:r>
              <w:rPr>
                <w:rStyle w:val="IndexLink"/>
                <w:rtl w:val="true"/>
              </w:rPr>
              <w:t xml:space="preserve">: </w:t>
            </w:r>
            <w:r>
              <w:rPr>
                <w:rStyle w:val="IndexLink"/>
                <w:rtl w:val="true"/>
              </w:rPr>
              <w:t>في جواز شرب بعض الادوية التى استهلك المسكر فيه وعدمه</w:t>
            </w:r>
            <w:r>
              <w:rPr>
                <w:rStyle w:val="IndexLink"/>
                <w:rtl w:val="true"/>
              </w:rPr>
              <w:tab/>
            </w:r>
            <w:r>
              <w:rPr>
                <w:rStyle w:val="IndexLink"/>
              </w:rPr>
              <w:t>237</w:t>
            </w:r>
          </w:hyperlink>
        </w:p>
        <w:p>
          <w:pPr>
            <w:pStyle w:val="Contents6"/>
            <w:tabs>
              <w:tab w:val="clear" w:pos="7609"/>
              <w:tab w:val="right" w:pos="9026" w:leader="dot"/>
            </w:tabs>
            <w:rPr/>
          </w:pPr>
          <w:hyperlink w:anchor="__RefHeading___Toc875994_1280447820">
            <w:r>
              <w:rPr>
                <w:webHidden/>
                <w:rStyle w:val="IndexLink"/>
                <w:rtl w:val="true"/>
              </w:rPr>
              <w:t>الخامس</w:t>
            </w:r>
            <w:r>
              <w:rPr>
                <w:rStyle w:val="IndexLink"/>
                <w:rtl w:val="true"/>
              </w:rPr>
              <w:t xml:space="preserve">: </w:t>
            </w:r>
            <w:r>
              <w:rPr>
                <w:rStyle w:val="IndexLink"/>
                <w:rtl w:val="true"/>
              </w:rPr>
              <w:t>في التداوى بالمسكر أو الخمر بغير الشرب</w:t>
            </w:r>
            <w:r>
              <w:rPr>
                <w:rStyle w:val="IndexLink"/>
                <w:rtl w:val="true"/>
              </w:rPr>
              <w:tab/>
            </w:r>
            <w:r>
              <w:rPr>
                <w:rStyle w:val="IndexLink"/>
              </w:rPr>
              <w:t>238</w:t>
            </w:r>
          </w:hyperlink>
        </w:p>
        <w:p>
          <w:pPr>
            <w:pStyle w:val="Contents6"/>
            <w:tabs>
              <w:tab w:val="clear" w:pos="7609"/>
              <w:tab w:val="right" w:pos="9026" w:leader="dot"/>
            </w:tabs>
            <w:rPr/>
          </w:pPr>
          <w:hyperlink w:anchor="__RefHeading___Toc875996_1280447820">
            <w:r>
              <w:rPr>
                <w:webHidden/>
                <w:rStyle w:val="IndexLink"/>
                <w:rtl w:val="true"/>
              </w:rPr>
              <w:t>السادس</w:t>
            </w:r>
            <w:r>
              <w:rPr>
                <w:rStyle w:val="IndexLink"/>
                <w:rtl w:val="true"/>
              </w:rPr>
              <w:t xml:space="preserve">: </w:t>
            </w:r>
            <w:r>
              <w:rPr>
                <w:rStyle w:val="IndexLink"/>
                <w:rtl w:val="true"/>
              </w:rPr>
              <w:t>هل يجوز ركوب الطائرات ونحوها مع العلم بشرب الخمر فيها</w:t>
            </w:r>
            <w:r>
              <w:rPr>
                <w:rStyle w:val="IndexLink"/>
                <w:rtl w:val="true"/>
              </w:rPr>
              <w:tab/>
            </w:r>
            <w:r>
              <w:rPr>
                <w:rStyle w:val="IndexLink"/>
              </w:rPr>
              <w:t>238</w:t>
            </w:r>
          </w:hyperlink>
        </w:p>
        <w:p>
          <w:pPr>
            <w:pStyle w:val="Contents6"/>
            <w:tabs>
              <w:tab w:val="clear" w:pos="7609"/>
              <w:tab w:val="right" w:pos="9026" w:leader="dot"/>
            </w:tabs>
            <w:rPr/>
          </w:pPr>
          <w:hyperlink w:anchor="__RefHeading___Toc875998_1280447820">
            <w:r>
              <w:rPr>
                <w:webHidden/>
                <w:rStyle w:val="IndexLink"/>
                <w:rtl w:val="true"/>
              </w:rPr>
              <w:t>السابع</w:t>
            </w:r>
            <w:r>
              <w:rPr>
                <w:rStyle w:val="IndexLink"/>
                <w:rtl w:val="true"/>
              </w:rPr>
              <w:t xml:space="preserve">: </w:t>
            </w:r>
            <w:r>
              <w:rPr>
                <w:rStyle w:val="IndexLink"/>
                <w:rtl w:val="true"/>
              </w:rPr>
              <w:t>في جواز شرب ماء الشعير الذى يجوزه الأطبّاء</w:t>
            </w:r>
            <w:r>
              <w:rPr>
                <w:rStyle w:val="IndexLink"/>
                <w:rtl w:val="true"/>
              </w:rPr>
              <w:tab/>
            </w:r>
            <w:r>
              <w:rPr>
                <w:rStyle w:val="IndexLink"/>
              </w:rPr>
              <w:t>239</w:t>
            </w:r>
          </w:hyperlink>
        </w:p>
        <w:p>
          <w:pPr>
            <w:pStyle w:val="Contents6"/>
            <w:tabs>
              <w:tab w:val="clear" w:pos="7609"/>
              <w:tab w:val="right" w:pos="9026" w:leader="dot"/>
            </w:tabs>
            <w:rPr/>
          </w:pPr>
          <w:hyperlink w:anchor="__RefHeading___Toc876000_1280447820">
            <w:r>
              <w:rPr>
                <w:webHidden/>
                <w:rStyle w:val="IndexLink"/>
                <w:rtl w:val="true"/>
              </w:rPr>
              <w:t>الثامن</w:t>
            </w:r>
            <w:r>
              <w:rPr>
                <w:rStyle w:val="IndexLink"/>
                <w:rtl w:val="true"/>
              </w:rPr>
              <w:t xml:space="preserve">: </w:t>
            </w:r>
            <w:r>
              <w:rPr>
                <w:rStyle w:val="IndexLink"/>
                <w:rtl w:val="true"/>
              </w:rPr>
              <w:t>في عدم مالية الخمر أو المسكر</w:t>
            </w:r>
            <w:r>
              <w:rPr>
                <w:rStyle w:val="IndexLink"/>
                <w:rtl w:val="true"/>
              </w:rPr>
              <w:tab/>
            </w:r>
            <w:r>
              <w:rPr>
                <w:rStyle w:val="IndexLink"/>
              </w:rPr>
              <w:t>239</w:t>
            </w:r>
          </w:hyperlink>
        </w:p>
        <w:p>
          <w:pPr>
            <w:pStyle w:val="Contents6"/>
            <w:tabs>
              <w:tab w:val="clear" w:pos="7609"/>
              <w:tab w:val="right" w:pos="9026" w:leader="dot"/>
            </w:tabs>
            <w:rPr/>
          </w:pPr>
          <w:hyperlink w:anchor="__RefHeading___Toc876002_1280447820">
            <w:r>
              <w:rPr>
                <w:webHidden/>
                <w:rStyle w:val="IndexLink"/>
                <w:rtl w:val="true"/>
              </w:rPr>
              <w:t>التاسع</w:t>
            </w:r>
            <w:r>
              <w:rPr>
                <w:rStyle w:val="IndexLink"/>
                <w:rtl w:val="true"/>
              </w:rPr>
              <w:t xml:space="preserve">: </w:t>
            </w:r>
            <w:r>
              <w:rPr>
                <w:rStyle w:val="IndexLink"/>
                <w:rtl w:val="true"/>
              </w:rPr>
              <w:t>في عدم جواز المعاملة على الخمر أو المسكر</w:t>
            </w:r>
            <w:r>
              <w:rPr>
                <w:rStyle w:val="IndexLink"/>
                <w:rtl w:val="true"/>
              </w:rPr>
              <w:tab/>
            </w:r>
            <w:r>
              <w:rPr>
                <w:rStyle w:val="IndexLink"/>
              </w:rPr>
              <w:t>240</w:t>
            </w:r>
          </w:hyperlink>
        </w:p>
        <w:p>
          <w:pPr>
            <w:pStyle w:val="Contents6"/>
            <w:tabs>
              <w:tab w:val="clear" w:pos="7609"/>
              <w:tab w:val="right" w:pos="9026" w:leader="dot"/>
            </w:tabs>
            <w:rPr/>
          </w:pPr>
          <w:hyperlink w:anchor="__RefHeading___Toc876004_1280447820">
            <w:r>
              <w:rPr>
                <w:webHidden/>
                <w:rStyle w:val="IndexLink"/>
                <w:rtl w:val="true"/>
              </w:rPr>
              <w:t>العاشر</w:t>
            </w:r>
            <w:r>
              <w:rPr>
                <w:rStyle w:val="IndexLink"/>
                <w:rtl w:val="true"/>
              </w:rPr>
              <w:t xml:space="preserve">: </w:t>
            </w:r>
            <w:r>
              <w:rPr>
                <w:rStyle w:val="IndexLink"/>
                <w:rtl w:val="true"/>
              </w:rPr>
              <w:t>في حكم دوران الأمر بين شرب الخمر و بين البول</w:t>
            </w:r>
            <w:r>
              <w:rPr>
                <w:rStyle w:val="IndexLink"/>
                <w:rtl w:val="true"/>
              </w:rPr>
              <w:tab/>
            </w:r>
            <w:r>
              <w:rPr>
                <w:rStyle w:val="IndexLink"/>
              </w:rPr>
              <w:t>240</w:t>
            </w:r>
          </w:hyperlink>
        </w:p>
        <w:p>
          <w:pPr>
            <w:pStyle w:val="Contents6"/>
            <w:tabs>
              <w:tab w:val="clear" w:pos="7609"/>
              <w:tab w:val="right" w:pos="9026" w:leader="dot"/>
            </w:tabs>
            <w:rPr/>
          </w:pPr>
          <w:hyperlink w:anchor="__RefHeading___Toc876006_1280447820">
            <w:r>
              <w:rPr>
                <w:webHidden/>
                <w:rStyle w:val="IndexLink"/>
                <w:rtl w:val="true"/>
              </w:rPr>
              <w:t>الحادي عشر</w:t>
            </w:r>
            <w:r>
              <w:rPr>
                <w:rStyle w:val="IndexLink"/>
                <w:rtl w:val="true"/>
              </w:rPr>
              <w:t xml:space="preserve">: </w:t>
            </w:r>
            <w:r>
              <w:rPr>
                <w:rStyle w:val="IndexLink"/>
                <w:rtl w:val="true"/>
              </w:rPr>
              <w:t>في عدم وجوب الاجتناب عما يشك فى اشتماله على المسكر</w:t>
            </w:r>
            <w:r>
              <w:rPr>
                <w:rStyle w:val="IndexLink"/>
                <w:rtl w:val="true"/>
              </w:rPr>
              <w:tab/>
            </w:r>
            <w:r>
              <w:rPr>
                <w:rStyle w:val="IndexLink"/>
              </w:rPr>
              <w:t>241</w:t>
            </w:r>
          </w:hyperlink>
        </w:p>
        <w:p>
          <w:pPr>
            <w:pStyle w:val="Contents2"/>
            <w:tabs>
              <w:tab w:val="clear" w:pos="8743"/>
              <w:tab w:val="right" w:pos="9026" w:leader="dot"/>
            </w:tabs>
            <w:rPr/>
          </w:pPr>
          <w:hyperlink w:anchor="__RefHeading___Toc876008_1280447820">
            <w:r>
              <w:rPr>
                <w:webHidden/>
                <w:rStyle w:val="IndexLink"/>
                <w:rtl w:val="true"/>
              </w:rPr>
              <w:t xml:space="preserve">المسألة الثالثة والثلاثون </w:t>
            </w:r>
            <w:r>
              <w:rPr>
                <w:rStyle w:val="IndexLink"/>
                <w:rtl w:val="true"/>
              </w:rPr>
              <w:t>«</w:t>
            </w:r>
            <w:r>
              <w:rPr>
                <w:rStyle w:val="IndexLink"/>
                <w:rtl w:val="true"/>
              </w:rPr>
              <w:t>في الشعبذة</w:t>
            </w:r>
            <w:r>
              <w:rPr>
                <w:rStyle w:val="IndexLink"/>
                <w:rtl w:val="true"/>
              </w:rPr>
              <w:t>»</w:t>
              <w:tab/>
            </w:r>
            <w:r>
              <w:rPr>
                <w:rStyle w:val="IndexLink"/>
              </w:rPr>
              <w:t>246</w:t>
            </w:r>
          </w:hyperlink>
        </w:p>
        <w:p>
          <w:pPr>
            <w:pStyle w:val="Contents2"/>
            <w:tabs>
              <w:tab w:val="clear" w:pos="8743"/>
              <w:tab w:val="right" w:pos="9026" w:leader="dot"/>
            </w:tabs>
            <w:rPr/>
          </w:pPr>
          <w:hyperlink w:anchor="__RefHeading___Toc876010_1280447820">
            <w:r>
              <w:rPr>
                <w:webHidden/>
                <w:rStyle w:val="IndexLink"/>
                <w:rtl w:val="true"/>
              </w:rPr>
              <w:t xml:space="preserve">المسألة الرابعة والثلاثون </w:t>
            </w:r>
            <w:r>
              <w:rPr>
                <w:rStyle w:val="IndexLink"/>
                <w:rtl w:val="true"/>
              </w:rPr>
              <w:t>«</w:t>
            </w:r>
            <w:r>
              <w:rPr>
                <w:rStyle w:val="IndexLink"/>
                <w:rtl w:val="true"/>
              </w:rPr>
              <w:t>في الشعر</w:t>
            </w:r>
            <w:r>
              <w:rPr>
                <w:rStyle w:val="IndexLink"/>
                <w:rtl w:val="true"/>
              </w:rPr>
              <w:t>»</w:t>
              <w:tab/>
            </w:r>
            <w:r>
              <w:rPr>
                <w:rStyle w:val="IndexLink"/>
              </w:rPr>
              <w:t>254</w:t>
            </w:r>
          </w:hyperlink>
        </w:p>
        <w:p>
          <w:pPr>
            <w:pStyle w:val="Contents3"/>
            <w:tabs>
              <w:tab w:val="clear" w:pos="8459"/>
              <w:tab w:val="right" w:pos="9026" w:leader="dot"/>
            </w:tabs>
            <w:rPr/>
          </w:pPr>
          <w:hyperlink w:anchor="__RefHeading___Toc876012_1280447820">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876014_1280447820">
            <w:r>
              <w:rPr>
                <w:webHidden/>
                <w:rStyle w:val="IndexLink"/>
                <w:rtl w:val="true"/>
              </w:rPr>
              <w:t>المقام الأوّل</w:t>
            </w:r>
            <w:r>
              <w:rPr>
                <w:rStyle w:val="IndexLink"/>
                <w:rtl w:val="true"/>
              </w:rPr>
              <w:t xml:space="preserve">: </w:t>
            </w:r>
            <w:r>
              <w:rPr>
                <w:rStyle w:val="IndexLink"/>
                <w:rtl w:val="true"/>
              </w:rPr>
              <w:t>في معنى الشعر</w:t>
            </w:r>
            <w:r>
              <w:rPr>
                <w:rStyle w:val="IndexLink"/>
                <w:rtl w:val="true"/>
              </w:rPr>
              <w:tab/>
            </w:r>
            <w:r>
              <w:rPr>
                <w:rStyle w:val="IndexLink"/>
              </w:rPr>
              <w:t>254</w:t>
            </w:r>
          </w:hyperlink>
        </w:p>
        <w:p>
          <w:pPr>
            <w:pStyle w:val="Contents3"/>
            <w:tabs>
              <w:tab w:val="clear" w:pos="8459"/>
              <w:tab w:val="right" w:pos="9026" w:leader="dot"/>
            </w:tabs>
            <w:rPr/>
          </w:pPr>
          <w:hyperlink w:anchor="__RefHeading___Toc876016_1280447820">
            <w:r>
              <w:rPr>
                <w:webHidden/>
                <w:rStyle w:val="IndexLink"/>
                <w:rtl w:val="true"/>
              </w:rPr>
              <w:t>المقام الثاني</w:t>
            </w:r>
            <w:r>
              <w:rPr>
                <w:rStyle w:val="IndexLink"/>
                <w:rtl w:val="true"/>
              </w:rPr>
              <w:t xml:space="preserve">: </w:t>
            </w:r>
            <w:r>
              <w:rPr>
                <w:rStyle w:val="IndexLink"/>
                <w:rtl w:val="true"/>
              </w:rPr>
              <w:t>في الأدلّة الدالّة على مرجوحية الشعر</w:t>
            </w:r>
            <w:r>
              <w:rPr>
                <w:rStyle w:val="IndexLink"/>
                <w:rtl w:val="true"/>
              </w:rPr>
              <w:tab/>
            </w:r>
            <w:r>
              <w:rPr>
                <w:rStyle w:val="IndexLink"/>
              </w:rPr>
              <w:t>258</w:t>
            </w:r>
          </w:hyperlink>
        </w:p>
        <w:p>
          <w:pPr>
            <w:pStyle w:val="Contents4"/>
            <w:tabs>
              <w:tab w:val="clear" w:pos="8176"/>
              <w:tab w:val="right" w:pos="9026" w:leader="dot"/>
            </w:tabs>
            <w:rPr/>
          </w:pPr>
          <w:hyperlink w:anchor="__RefHeading___Toc876018_128044782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876020_1280447820">
            <w:r>
              <w:rPr>
                <w:webHidden/>
                <w:rStyle w:val="IndexLink"/>
                <w:rtl w:val="true"/>
              </w:rPr>
              <w:t xml:space="preserve">أوّلاً </w:t>
            </w:r>
            <w:r>
              <w:rPr>
                <w:rStyle w:val="IndexLink"/>
                <w:rtl w:val="true"/>
              </w:rPr>
              <w:t xml:space="preserve">- </w:t>
            </w:r>
            <w:r>
              <w:rPr>
                <w:rStyle w:val="IndexLink"/>
                <w:rtl w:val="true"/>
              </w:rPr>
              <w:t>الآيات الكريمة</w:t>
            </w:r>
            <w:r>
              <w:rPr>
                <w:rStyle w:val="IndexLink"/>
                <w:rtl w:val="true"/>
              </w:rPr>
              <w:t>:</w:t>
              <w:tab/>
            </w:r>
            <w:r>
              <w:rPr>
                <w:rStyle w:val="IndexLink"/>
              </w:rPr>
              <w:t>258</w:t>
            </w:r>
          </w:hyperlink>
        </w:p>
        <w:p>
          <w:pPr>
            <w:pStyle w:val="Contents4"/>
            <w:tabs>
              <w:tab w:val="clear" w:pos="8176"/>
              <w:tab w:val="right" w:pos="9026" w:leader="dot"/>
            </w:tabs>
            <w:rPr/>
          </w:pPr>
          <w:hyperlink w:anchor="__RefHeading___Toc876022_1280447820">
            <w:r>
              <w:rPr>
                <w:webHidden/>
                <w:rStyle w:val="IndexLink"/>
                <w:rtl w:val="true"/>
              </w:rPr>
              <w:t xml:space="preserve">ثانياً </w:t>
            </w:r>
            <w:r>
              <w:rPr>
                <w:rStyle w:val="IndexLink"/>
                <w:rtl w:val="true"/>
              </w:rPr>
              <w:t xml:space="preserve">- </w:t>
            </w:r>
            <w:r>
              <w:rPr>
                <w:rStyle w:val="IndexLink"/>
                <w:rtl w:val="true"/>
              </w:rPr>
              <w:t>الروايات الدالّة على ذمّ الشعر</w:t>
            </w:r>
            <w:r>
              <w:rPr>
                <w:rStyle w:val="IndexLink"/>
                <w:rtl w:val="true"/>
              </w:rPr>
              <w:t>:</w:t>
              <w:tab/>
            </w:r>
            <w:r>
              <w:rPr>
                <w:rStyle w:val="IndexLink"/>
              </w:rPr>
              <w:t>267</w:t>
            </w:r>
          </w:hyperlink>
        </w:p>
        <w:p>
          <w:pPr>
            <w:pStyle w:val="Contents3"/>
            <w:tabs>
              <w:tab w:val="clear" w:pos="8459"/>
              <w:tab w:val="right" w:pos="9026" w:leader="dot"/>
            </w:tabs>
            <w:rPr/>
          </w:pPr>
          <w:hyperlink w:anchor="__RefHeading___Toc876024_1280447820">
            <w:r>
              <w:rPr>
                <w:webHidden/>
                <w:rStyle w:val="IndexLink"/>
                <w:rtl w:val="true"/>
              </w:rPr>
              <w:t>المقام الثالث</w:t>
            </w:r>
            <w:r>
              <w:rPr>
                <w:rStyle w:val="IndexLink"/>
                <w:rtl w:val="true"/>
              </w:rPr>
              <w:t xml:space="preserve">: </w:t>
            </w:r>
            <w:r>
              <w:rPr>
                <w:rStyle w:val="IndexLink"/>
                <w:rtl w:val="true"/>
              </w:rPr>
              <w:t>في النصوص الدالّة على رجحان الأشعار المنظومة في رثاء و مدح أهل البيت عليهم السلام أو الأشعار الحقّة</w:t>
            </w:r>
            <w:r>
              <w:rPr>
                <w:rStyle w:val="IndexLink"/>
                <w:rtl w:val="true"/>
              </w:rPr>
              <w:tab/>
            </w:r>
            <w:r>
              <w:rPr>
                <w:rStyle w:val="IndexLink"/>
              </w:rPr>
              <w:t>275</w:t>
            </w:r>
          </w:hyperlink>
        </w:p>
        <w:p>
          <w:pPr>
            <w:pStyle w:val="Contents3"/>
            <w:tabs>
              <w:tab w:val="clear" w:pos="8459"/>
              <w:tab w:val="right" w:pos="9026" w:leader="dot"/>
            </w:tabs>
            <w:rPr/>
          </w:pPr>
          <w:hyperlink w:anchor="__RefHeading___Toc876026_1280447820">
            <w:r>
              <w:rPr>
                <w:webHidden/>
                <w:rStyle w:val="IndexLink"/>
                <w:rtl w:val="true"/>
              </w:rPr>
              <w:t>المقام الرابع</w:t>
            </w:r>
            <w:r>
              <w:rPr>
                <w:rStyle w:val="IndexLink"/>
                <w:rtl w:val="true"/>
              </w:rPr>
              <w:t xml:space="preserve">: </w:t>
            </w:r>
            <w:r>
              <w:rPr>
                <w:rStyle w:val="IndexLink"/>
                <w:rtl w:val="true"/>
              </w:rPr>
              <w:t>في كيفية الجمع بين الأخبار والأدلّة</w:t>
            </w:r>
            <w:r>
              <w:rPr>
                <w:rStyle w:val="IndexLink"/>
                <w:rtl w:val="true"/>
              </w:rPr>
              <w:tab/>
            </w:r>
            <w:r>
              <w:rPr>
                <w:rStyle w:val="IndexLink"/>
              </w:rPr>
              <w:t>282</w:t>
            </w:r>
          </w:hyperlink>
        </w:p>
        <w:p>
          <w:pPr>
            <w:pStyle w:val="Contents4"/>
            <w:tabs>
              <w:tab w:val="clear" w:pos="8176"/>
              <w:tab w:val="right" w:pos="9026" w:leader="dot"/>
            </w:tabs>
            <w:rPr/>
          </w:pPr>
          <w:hyperlink w:anchor="__RefHeading___Toc876028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876030_1280447820">
            <w:r>
              <w:rPr>
                <w:webHidden/>
                <w:rStyle w:val="IndexLink"/>
                <w:rtl w:val="true"/>
              </w:rPr>
              <w:t>تنبيهات</w:t>
            </w:r>
            <w:r>
              <w:rPr>
                <w:rStyle w:val="IndexLink"/>
                <w:rtl w:val="true"/>
              </w:rPr>
              <w:t>:</w:t>
              <w:tab/>
            </w:r>
            <w:r>
              <w:rPr>
                <w:rStyle w:val="IndexLink"/>
              </w:rPr>
              <w:t>287</w:t>
            </w:r>
          </w:hyperlink>
        </w:p>
        <w:p>
          <w:pPr>
            <w:pStyle w:val="Contents5"/>
            <w:tabs>
              <w:tab w:val="clear" w:pos="7892"/>
              <w:tab w:val="right" w:pos="9026" w:leader="dot"/>
            </w:tabs>
            <w:rPr/>
          </w:pPr>
          <w:hyperlink w:anchor="__RefHeading___Toc876032_1280447820">
            <w:r>
              <w:rPr>
                <w:webHidden/>
                <w:rStyle w:val="IndexLink"/>
                <w:rtl w:val="true"/>
              </w:rPr>
              <w:t>التنبيه الأوّل</w:t>
            </w:r>
            <w:r>
              <w:rPr>
                <w:rStyle w:val="IndexLink"/>
                <w:rtl w:val="true"/>
              </w:rPr>
              <w:t xml:space="preserve">: </w:t>
            </w:r>
            <w:r>
              <w:rPr>
                <w:rStyle w:val="IndexLink"/>
                <w:rtl w:val="true"/>
              </w:rPr>
              <w:t>في حكم استماع الأشعار</w:t>
            </w:r>
            <w:r>
              <w:rPr>
                <w:rStyle w:val="IndexLink"/>
                <w:rtl w:val="true"/>
              </w:rPr>
              <w:tab/>
            </w:r>
            <w:r>
              <w:rPr>
                <w:rStyle w:val="IndexLink"/>
              </w:rPr>
              <w:t>287</w:t>
            </w:r>
          </w:hyperlink>
        </w:p>
        <w:p>
          <w:pPr>
            <w:pStyle w:val="Contents5"/>
            <w:tabs>
              <w:tab w:val="clear" w:pos="7892"/>
              <w:tab w:val="right" w:pos="9026" w:leader="dot"/>
            </w:tabs>
            <w:rPr/>
          </w:pPr>
          <w:hyperlink w:anchor="__RefHeading___Toc876034_1280447820">
            <w:r>
              <w:rPr>
                <w:webHidden/>
                <w:rStyle w:val="IndexLink"/>
                <w:rtl w:val="true"/>
              </w:rPr>
              <w:t>التنبيه الثاني</w:t>
            </w:r>
            <w:r>
              <w:rPr>
                <w:rStyle w:val="IndexLink"/>
                <w:rtl w:val="true"/>
              </w:rPr>
              <w:t xml:space="preserve">: </w:t>
            </w:r>
            <w:r>
              <w:rPr>
                <w:rStyle w:val="IndexLink"/>
                <w:rtl w:val="true"/>
              </w:rPr>
              <w:t>في أنّ اتّصاف الأشعار بالمرجوحية من جهة اشتمالها على الباطل فقط أو مع ضميمية النظم والوزن</w:t>
            </w:r>
            <w:r>
              <w:rPr>
                <w:rStyle w:val="IndexLink"/>
                <w:rtl w:val="true"/>
              </w:rPr>
              <w:tab/>
            </w:r>
            <w:r>
              <w:rPr>
                <w:rStyle w:val="IndexLink"/>
              </w:rPr>
              <w:t>288</w:t>
            </w:r>
          </w:hyperlink>
        </w:p>
        <w:p>
          <w:pPr>
            <w:pStyle w:val="Contents2"/>
            <w:tabs>
              <w:tab w:val="clear" w:pos="8743"/>
              <w:tab w:val="right" w:pos="9026" w:leader="dot"/>
            </w:tabs>
            <w:rPr/>
          </w:pPr>
          <w:hyperlink w:anchor="__RefHeading___Toc876036_1280447820">
            <w:r>
              <w:rPr>
                <w:webHidden/>
                <w:rStyle w:val="IndexLink"/>
                <w:rtl w:val="true"/>
              </w:rPr>
              <w:t xml:space="preserve">المسألة الخامسة والثلاثون </w:t>
            </w:r>
            <w:r>
              <w:rPr>
                <w:rStyle w:val="IndexLink"/>
                <w:rtl w:val="true"/>
              </w:rPr>
              <w:t>«</w:t>
            </w:r>
            <w:r>
              <w:rPr>
                <w:rStyle w:val="IndexLink"/>
                <w:rtl w:val="true"/>
              </w:rPr>
              <w:t>في العجب</w:t>
            </w:r>
            <w:r>
              <w:rPr>
                <w:rStyle w:val="IndexLink"/>
                <w:rtl w:val="true"/>
              </w:rPr>
              <w:t>»</w:t>
              <w:tab/>
            </w:r>
            <w:r>
              <w:rPr>
                <w:rStyle w:val="IndexLink"/>
              </w:rPr>
              <w:t>290</w:t>
            </w:r>
          </w:hyperlink>
        </w:p>
        <w:p>
          <w:pPr>
            <w:pStyle w:val="Contents3"/>
            <w:tabs>
              <w:tab w:val="clear" w:pos="8459"/>
              <w:tab w:val="right" w:pos="9026" w:leader="dot"/>
            </w:tabs>
            <w:rPr/>
          </w:pPr>
          <w:hyperlink w:anchor="__RefHeading___Toc876038_1280447820">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876040_1280447820">
            <w:r>
              <w:rPr>
                <w:webHidden/>
                <w:rStyle w:val="IndexLink"/>
                <w:rtl w:val="true"/>
              </w:rPr>
              <w:t>الجهة الاُولى</w:t>
            </w:r>
            <w:r>
              <w:rPr>
                <w:rStyle w:val="IndexLink"/>
                <w:rtl w:val="true"/>
              </w:rPr>
              <w:t xml:space="preserve">: </w:t>
            </w:r>
            <w:r>
              <w:rPr>
                <w:rStyle w:val="IndexLink"/>
                <w:rtl w:val="true"/>
              </w:rPr>
              <w:t>في تعريف العجب المذموم</w:t>
            </w:r>
            <w:r>
              <w:rPr>
                <w:rStyle w:val="IndexLink"/>
                <w:rtl w:val="true"/>
              </w:rPr>
              <w:tab/>
            </w:r>
            <w:r>
              <w:rPr>
                <w:rStyle w:val="IndexLink"/>
              </w:rPr>
              <w:t>290</w:t>
            </w:r>
          </w:hyperlink>
        </w:p>
        <w:p>
          <w:pPr>
            <w:pStyle w:val="Contents3"/>
            <w:tabs>
              <w:tab w:val="clear" w:pos="8459"/>
              <w:tab w:val="right" w:pos="9026" w:leader="dot"/>
            </w:tabs>
            <w:rPr/>
          </w:pPr>
          <w:hyperlink w:anchor="__RefHeading___Toc876042_1280447820">
            <w:r>
              <w:rPr>
                <w:webHidden/>
                <w:rStyle w:val="IndexLink"/>
                <w:rtl w:val="true"/>
              </w:rPr>
              <w:t>الجهة الثانية</w:t>
            </w:r>
            <w:r>
              <w:rPr>
                <w:rStyle w:val="IndexLink"/>
                <w:rtl w:val="true"/>
              </w:rPr>
              <w:t xml:space="preserve">: </w:t>
            </w:r>
            <w:r>
              <w:rPr>
                <w:rStyle w:val="IndexLink"/>
                <w:rtl w:val="true"/>
              </w:rPr>
              <w:t>في ذمّه</w:t>
            </w:r>
            <w:r>
              <w:rPr>
                <w:rStyle w:val="IndexLink"/>
                <w:rtl w:val="true"/>
              </w:rPr>
              <w:tab/>
            </w:r>
            <w:r>
              <w:rPr>
                <w:rStyle w:val="IndexLink"/>
              </w:rPr>
              <w:t>291</w:t>
            </w:r>
          </w:hyperlink>
        </w:p>
        <w:p>
          <w:pPr>
            <w:pStyle w:val="Contents3"/>
            <w:tabs>
              <w:tab w:val="clear" w:pos="8459"/>
              <w:tab w:val="right" w:pos="9026" w:leader="dot"/>
            </w:tabs>
            <w:rPr/>
          </w:pPr>
          <w:hyperlink w:anchor="__RefHeading___Toc876044_1280447820">
            <w:r>
              <w:rPr>
                <w:webHidden/>
                <w:rStyle w:val="IndexLink"/>
                <w:rtl w:val="true"/>
              </w:rPr>
              <w:t>الجهة الثالثة</w:t>
            </w:r>
            <w:r>
              <w:rPr>
                <w:rStyle w:val="IndexLink"/>
                <w:rtl w:val="true"/>
              </w:rPr>
              <w:t xml:space="preserve">: </w:t>
            </w:r>
            <w:r>
              <w:rPr>
                <w:rStyle w:val="IndexLink"/>
                <w:rtl w:val="true"/>
              </w:rPr>
              <w:t>في حرمة العجب</w:t>
            </w:r>
            <w:r>
              <w:rPr>
                <w:rStyle w:val="IndexLink"/>
                <w:rtl w:val="true"/>
              </w:rPr>
              <w:tab/>
            </w:r>
            <w:r>
              <w:rPr>
                <w:rStyle w:val="IndexLink"/>
              </w:rPr>
              <w:t>293</w:t>
            </w:r>
          </w:hyperlink>
        </w:p>
        <w:p>
          <w:pPr>
            <w:pStyle w:val="Contents4"/>
            <w:tabs>
              <w:tab w:val="clear" w:pos="8176"/>
              <w:tab w:val="right" w:pos="9026" w:leader="dot"/>
            </w:tabs>
            <w:rPr/>
          </w:pPr>
          <w:hyperlink w:anchor="__RefHeading___Toc876046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876048_1280447820">
            <w:r>
              <w:rPr>
                <w:webHidden/>
                <w:rStyle w:val="IndexLink"/>
                <w:rtl w:val="true"/>
              </w:rPr>
              <w:t>الروايات</w:t>
            </w:r>
            <w:r>
              <w:rPr>
                <w:rStyle w:val="IndexLink"/>
                <w:rtl w:val="true"/>
              </w:rPr>
              <w:t>:</w:t>
              <w:tab/>
            </w:r>
            <w:r>
              <w:rPr>
                <w:rStyle w:val="IndexLink"/>
              </w:rPr>
              <w:t>295</w:t>
            </w:r>
          </w:hyperlink>
        </w:p>
        <w:p>
          <w:pPr>
            <w:pStyle w:val="Contents5"/>
            <w:tabs>
              <w:tab w:val="clear" w:pos="7892"/>
              <w:tab w:val="right" w:pos="9026" w:leader="dot"/>
            </w:tabs>
            <w:rPr/>
          </w:pPr>
          <w:hyperlink w:anchor="__RefHeading___Toc876050_1280447820">
            <w:r>
              <w:rPr>
                <w:webHidden/>
                <w:rStyle w:val="IndexLink"/>
                <w:rtl w:val="true"/>
              </w:rPr>
              <w:t>أحدها</w:t>
            </w:r>
            <w:r>
              <w:rPr>
                <w:rStyle w:val="IndexLink"/>
                <w:rtl w:val="true"/>
              </w:rPr>
              <w:t xml:space="preserve">: </w:t>
            </w:r>
            <w:r>
              <w:rPr>
                <w:rStyle w:val="IndexLink"/>
                <w:rtl w:val="true"/>
              </w:rPr>
              <w:t>صحيحة أبي حمزة الثمالي</w:t>
            </w:r>
            <w:r>
              <w:rPr>
                <w:rStyle w:val="IndexLink"/>
                <w:rtl w:val="true"/>
              </w:rPr>
              <w:tab/>
            </w:r>
            <w:r>
              <w:rPr>
                <w:rStyle w:val="IndexLink"/>
              </w:rPr>
              <w:t>295</w:t>
            </w:r>
          </w:hyperlink>
        </w:p>
        <w:p>
          <w:pPr>
            <w:pStyle w:val="Contents5"/>
            <w:tabs>
              <w:tab w:val="clear" w:pos="7892"/>
              <w:tab w:val="right" w:pos="9026" w:leader="dot"/>
            </w:tabs>
            <w:rPr/>
          </w:pPr>
          <w:hyperlink w:anchor="__RefHeading___Toc876052_1280447820">
            <w:r>
              <w:rPr>
                <w:webHidden/>
                <w:rStyle w:val="IndexLink"/>
                <w:rtl w:val="true"/>
              </w:rPr>
              <w:t>ثانيها</w:t>
            </w:r>
            <w:r>
              <w:rPr>
                <w:rStyle w:val="IndexLink"/>
                <w:rtl w:val="true"/>
              </w:rPr>
              <w:t xml:space="preserve">: </w:t>
            </w:r>
            <w:r>
              <w:rPr>
                <w:rStyle w:val="IndexLink"/>
                <w:rtl w:val="true"/>
              </w:rPr>
              <w:t>ما رواه المفيد في الأمالي</w:t>
            </w:r>
            <w:r>
              <w:rPr>
                <w:rStyle w:val="IndexLink"/>
                <w:rtl w:val="true"/>
              </w:rPr>
              <w:tab/>
            </w:r>
            <w:r>
              <w:rPr>
                <w:rStyle w:val="IndexLink"/>
              </w:rPr>
              <w:t>296</w:t>
            </w:r>
          </w:hyperlink>
        </w:p>
        <w:p>
          <w:pPr>
            <w:pStyle w:val="Contents5"/>
            <w:tabs>
              <w:tab w:val="clear" w:pos="7892"/>
              <w:tab w:val="right" w:pos="9026" w:leader="dot"/>
            </w:tabs>
            <w:rPr/>
          </w:pPr>
          <w:hyperlink w:anchor="__RefHeading___Toc876054_1280447820">
            <w:r>
              <w:rPr>
                <w:webHidden/>
                <w:rStyle w:val="IndexLink"/>
                <w:rtl w:val="true"/>
              </w:rPr>
              <w:t>ثالثها</w:t>
            </w:r>
            <w:r>
              <w:rPr>
                <w:rStyle w:val="IndexLink"/>
                <w:rtl w:val="true"/>
              </w:rPr>
              <w:t xml:space="preserve">: </w:t>
            </w:r>
            <w:r>
              <w:rPr>
                <w:rStyle w:val="IndexLink"/>
                <w:rtl w:val="true"/>
              </w:rPr>
              <w:t>صحيحة أبي حمزة الثمالي</w:t>
            </w:r>
            <w:r>
              <w:rPr>
                <w:rStyle w:val="IndexLink"/>
                <w:rtl w:val="true"/>
              </w:rPr>
              <w:tab/>
            </w:r>
            <w:r>
              <w:rPr>
                <w:rStyle w:val="IndexLink"/>
              </w:rPr>
              <w:t>297</w:t>
            </w:r>
          </w:hyperlink>
        </w:p>
        <w:p>
          <w:pPr>
            <w:pStyle w:val="Contents5"/>
            <w:tabs>
              <w:tab w:val="clear" w:pos="7892"/>
              <w:tab w:val="right" w:pos="9026" w:leader="dot"/>
            </w:tabs>
            <w:rPr/>
          </w:pPr>
          <w:hyperlink w:anchor="__RefHeading___Toc876056_1280447820">
            <w:r>
              <w:rPr>
                <w:webHidden/>
                <w:rStyle w:val="IndexLink"/>
                <w:rtl w:val="true"/>
              </w:rPr>
              <w:t>رابعها</w:t>
            </w:r>
            <w:r>
              <w:rPr>
                <w:rStyle w:val="IndexLink"/>
                <w:rtl w:val="true"/>
              </w:rPr>
              <w:t xml:space="preserve">: </w:t>
            </w:r>
            <w:r>
              <w:rPr>
                <w:rStyle w:val="IndexLink"/>
                <w:rtl w:val="true"/>
              </w:rPr>
              <w:t>صحيحة علي بن سويد</w:t>
            </w:r>
            <w:r>
              <w:rPr>
                <w:rStyle w:val="IndexLink"/>
                <w:rtl w:val="true"/>
              </w:rPr>
              <w:tab/>
            </w:r>
            <w:r>
              <w:rPr>
                <w:rStyle w:val="IndexLink"/>
              </w:rPr>
              <w:t>297</w:t>
            </w:r>
          </w:hyperlink>
        </w:p>
        <w:p>
          <w:pPr>
            <w:pStyle w:val="Contents5"/>
            <w:tabs>
              <w:tab w:val="clear" w:pos="7892"/>
              <w:tab w:val="right" w:pos="9026" w:leader="dot"/>
            </w:tabs>
            <w:rPr/>
          </w:pPr>
          <w:hyperlink w:anchor="__RefHeading___Toc876058_1280447820">
            <w:r>
              <w:rPr>
                <w:webHidden/>
                <w:rStyle w:val="IndexLink"/>
                <w:rtl w:val="true"/>
              </w:rPr>
              <w:t>خامسها</w:t>
            </w:r>
            <w:r>
              <w:rPr>
                <w:rStyle w:val="IndexLink"/>
                <w:rtl w:val="true"/>
              </w:rPr>
              <w:t xml:space="preserve">: </w:t>
            </w:r>
            <w:r>
              <w:rPr>
                <w:rStyle w:val="IndexLink"/>
                <w:rtl w:val="true"/>
              </w:rPr>
              <w:t>صحيحة يونس بن عمّار</w:t>
            </w:r>
            <w:r>
              <w:rPr>
                <w:rStyle w:val="IndexLink"/>
                <w:rtl w:val="true"/>
              </w:rPr>
              <w:tab/>
            </w:r>
            <w:r>
              <w:rPr>
                <w:rStyle w:val="IndexLink"/>
              </w:rPr>
              <w:t>297</w:t>
            </w:r>
          </w:hyperlink>
        </w:p>
        <w:p>
          <w:pPr>
            <w:pStyle w:val="Contents5"/>
            <w:tabs>
              <w:tab w:val="clear" w:pos="7892"/>
              <w:tab w:val="right" w:pos="9026" w:leader="dot"/>
            </w:tabs>
            <w:rPr/>
          </w:pPr>
          <w:hyperlink w:anchor="__RefHeading___Toc876060_1280447820">
            <w:r>
              <w:rPr>
                <w:webHidden/>
                <w:rStyle w:val="IndexLink"/>
                <w:rtl w:val="true"/>
              </w:rPr>
              <w:t>سادسها</w:t>
            </w:r>
            <w:r>
              <w:rPr>
                <w:rStyle w:val="IndexLink"/>
                <w:rtl w:val="true"/>
              </w:rPr>
              <w:t xml:space="preserve">: </w:t>
            </w:r>
            <w:r>
              <w:rPr>
                <w:rStyle w:val="IndexLink"/>
                <w:rtl w:val="true"/>
              </w:rPr>
              <w:t>ما رواه في الخصال</w:t>
            </w:r>
            <w:r>
              <w:rPr>
                <w:rStyle w:val="IndexLink"/>
                <w:rtl w:val="true"/>
              </w:rPr>
              <w:tab/>
            </w:r>
            <w:r>
              <w:rPr>
                <w:rStyle w:val="IndexLink"/>
              </w:rPr>
              <w:t>298</w:t>
            </w:r>
          </w:hyperlink>
        </w:p>
        <w:p>
          <w:pPr>
            <w:pStyle w:val="Contents3"/>
            <w:tabs>
              <w:tab w:val="clear" w:pos="8459"/>
              <w:tab w:val="right" w:pos="9026" w:leader="dot"/>
            </w:tabs>
            <w:rPr/>
          </w:pPr>
          <w:hyperlink w:anchor="__RefHeading___Toc876062_1280447820">
            <w:r>
              <w:rPr>
                <w:webHidden/>
                <w:rStyle w:val="IndexLink"/>
                <w:rtl w:val="true"/>
              </w:rPr>
              <w:t>الجهة الرابعه</w:t>
            </w:r>
            <w:r>
              <w:rPr>
                <w:rStyle w:val="IndexLink"/>
                <w:rtl w:val="true"/>
              </w:rPr>
              <w:t xml:space="preserve">: </w:t>
            </w:r>
            <w:r>
              <w:rPr>
                <w:rStyle w:val="IndexLink"/>
                <w:rtl w:val="true"/>
              </w:rPr>
              <w:t>في البطلان وعدمه</w:t>
            </w:r>
            <w:r>
              <w:rPr>
                <w:rStyle w:val="IndexLink"/>
                <w:rtl w:val="true"/>
              </w:rPr>
              <w:tab/>
            </w:r>
            <w:r>
              <w:rPr>
                <w:rStyle w:val="IndexLink"/>
              </w:rPr>
              <w:t>299</w:t>
            </w:r>
          </w:hyperlink>
        </w:p>
        <w:p>
          <w:pPr>
            <w:pStyle w:val="Contents4"/>
            <w:tabs>
              <w:tab w:val="clear" w:pos="8176"/>
              <w:tab w:val="right" w:pos="9026" w:leader="dot"/>
            </w:tabs>
            <w:rPr/>
          </w:pPr>
          <w:hyperlink w:anchor="__RefHeading___Toc876064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876066_1280447820">
            <w:r>
              <w:rPr>
                <w:webHidden/>
                <w:rStyle w:val="IndexLink"/>
                <w:rtl w:val="true"/>
              </w:rPr>
              <w:t>العجب المقارن</w:t>
            </w:r>
            <w:r>
              <w:rPr>
                <w:rStyle w:val="IndexLink"/>
                <w:rtl w:val="true"/>
              </w:rPr>
              <w:tab/>
            </w:r>
            <w:r>
              <w:rPr>
                <w:rStyle w:val="IndexLink"/>
              </w:rPr>
              <w:t>299</w:t>
            </w:r>
          </w:hyperlink>
        </w:p>
        <w:p>
          <w:pPr>
            <w:pStyle w:val="Contents4"/>
            <w:tabs>
              <w:tab w:val="clear" w:pos="8176"/>
              <w:tab w:val="right" w:pos="9026" w:leader="dot"/>
            </w:tabs>
            <w:rPr/>
          </w:pPr>
          <w:hyperlink w:anchor="__RefHeading___Toc876068_1280447820">
            <w:r>
              <w:rPr>
                <w:webHidden/>
                <w:rStyle w:val="IndexLink"/>
                <w:rtl w:val="true"/>
              </w:rPr>
              <w:t>العجب المتأخّر</w:t>
            </w:r>
            <w:r>
              <w:rPr>
                <w:rStyle w:val="IndexLink"/>
                <w:rtl w:val="true"/>
              </w:rPr>
              <w:tab/>
            </w:r>
            <w:r>
              <w:rPr>
                <w:rStyle w:val="IndexLink"/>
              </w:rPr>
              <w:t>300</w:t>
            </w:r>
          </w:hyperlink>
        </w:p>
        <w:p>
          <w:pPr>
            <w:pStyle w:val="Contents3"/>
            <w:tabs>
              <w:tab w:val="clear" w:pos="8459"/>
              <w:tab w:val="right" w:pos="9026" w:leader="dot"/>
            </w:tabs>
            <w:rPr/>
          </w:pPr>
          <w:hyperlink w:anchor="__RefHeading___Toc876070_1280447820">
            <w:r>
              <w:rPr>
                <w:webHidden/>
                <w:rStyle w:val="IndexLink"/>
                <w:rtl w:val="true"/>
              </w:rPr>
              <w:t>الجهة الخامسة</w:t>
            </w:r>
            <w:r>
              <w:rPr>
                <w:rStyle w:val="IndexLink"/>
                <w:rtl w:val="true"/>
              </w:rPr>
              <w:t xml:space="preserve">: </w:t>
            </w:r>
            <w:r>
              <w:rPr>
                <w:rStyle w:val="IndexLink"/>
                <w:rtl w:val="true"/>
              </w:rPr>
              <w:t>في عدم إضرار العجب بصحة العمل</w:t>
            </w:r>
            <w:r>
              <w:rPr>
                <w:rStyle w:val="IndexLink"/>
                <w:rtl w:val="true"/>
              </w:rPr>
              <w:tab/>
            </w:r>
            <w:r>
              <w:rPr>
                <w:rStyle w:val="IndexLink"/>
              </w:rPr>
              <w:t>304</w:t>
            </w:r>
          </w:hyperlink>
        </w:p>
        <w:p>
          <w:pPr>
            <w:pStyle w:val="Contents2"/>
            <w:tabs>
              <w:tab w:val="clear" w:pos="8743"/>
              <w:tab w:val="right" w:pos="9026" w:leader="dot"/>
            </w:tabs>
            <w:rPr/>
          </w:pPr>
          <w:hyperlink w:anchor="__RefHeading___Toc876072_1280447820">
            <w:r>
              <w:rPr>
                <w:webHidden/>
                <w:rStyle w:val="IndexLink"/>
                <w:rtl w:val="true"/>
              </w:rPr>
              <w:t xml:space="preserve">المسألة السادسة والثلاثون </w:t>
            </w:r>
            <w:r>
              <w:rPr>
                <w:rStyle w:val="IndexLink"/>
                <w:rtl w:val="true"/>
              </w:rPr>
              <w:t>«</w:t>
            </w:r>
            <w:r>
              <w:rPr>
                <w:rStyle w:val="IndexLink"/>
                <w:rtl w:val="true"/>
              </w:rPr>
              <w:t>في الغرور والتغرير</w:t>
            </w:r>
            <w:r>
              <w:rPr>
                <w:rStyle w:val="IndexLink"/>
                <w:rtl w:val="true"/>
              </w:rPr>
              <w:t>»</w:t>
              <w:tab/>
            </w:r>
            <w:r>
              <w:rPr>
                <w:rStyle w:val="IndexLink"/>
              </w:rPr>
              <w:t>306</w:t>
            </w:r>
          </w:hyperlink>
        </w:p>
        <w:p>
          <w:pPr>
            <w:pStyle w:val="Contents3"/>
            <w:tabs>
              <w:tab w:val="clear" w:pos="8459"/>
              <w:tab w:val="right" w:pos="9026" w:leader="dot"/>
            </w:tabs>
            <w:rPr/>
          </w:pPr>
          <w:hyperlink w:anchor="__RefHeading___Toc876074_1280447820">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876076_1280447820">
            <w:r>
              <w:rPr>
                <w:webHidden/>
                <w:rStyle w:val="IndexLink"/>
                <w:rtl w:val="true"/>
              </w:rPr>
              <w:t>الأمر الأوّل</w:t>
            </w:r>
            <w:r>
              <w:rPr>
                <w:rStyle w:val="IndexLink"/>
                <w:rtl w:val="true"/>
              </w:rPr>
              <w:t xml:space="preserve">: </w:t>
            </w:r>
            <w:r>
              <w:rPr>
                <w:rStyle w:val="IndexLink"/>
                <w:rtl w:val="true"/>
              </w:rPr>
              <w:t>في اعتبار اعتماد المغرور على قول الغار</w:t>
            </w:r>
            <w:r>
              <w:rPr>
                <w:rStyle w:val="IndexLink"/>
                <w:rtl w:val="true"/>
              </w:rPr>
              <w:tab/>
            </w:r>
            <w:r>
              <w:rPr>
                <w:rStyle w:val="IndexLink"/>
              </w:rPr>
              <w:t>306</w:t>
            </w:r>
          </w:hyperlink>
        </w:p>
        <w:p>
          <w:pPr>
            <w:pStyle w:val="Contents3"/>
            <w:tabs>
              <w:tab w:val="clear" w:pos="8459"/>
              <w:tab w:val="right" w:pos="9026" w:leader="dot"/>
            </w:tabs>
            <w:rPr/>
          </w:pPr>
          <w:hyperlink w:anchor="__RefHeading___Toc876078_1280447820">
            <w:r>
              <w:rPr>
                <w:webHidden/>
                <w:rStyle w:val="IndexLink"/>
                <w:rtl w:val="true"/>
              </w:rPr>
              <w:t>الأمر الثاني</w:t>
            </w:r>
            <w:r>
              <w:rPr>
                <w:rStyle w:val="IndexLink"/>
                <w:rtl w:val="true"/>
              </w:rPr>
              <w:t xml:space="preserve">: </w:t>
            </w:r>
            <w:r>
              <w:rPr>
                <w:rStyle w:val="IndexLink"/>
                <w:rtl w:val="true"/>
              </w:rPr>
              <w:t>في أدلّة حرمة التغرير وضمان الغارّ</w:t>
            </w:r>
            <w:r>
              <w:rPr>
                <w:rStyle w:val="IndexLink"/>
                <w:rtl w:val="true"/>
              </w:rPr>
              <w:tab/>
            </w:r>
            <w:r>
              <w:rPr>
                <w:rStyle w:val="IndexLink"/>
              </w:rPr>
              <w:t>307</w:t>
            </w:r>
          </w:hyperlink>
        </w:p>
        <w:p>
          <w:pPr>
            <w:pStyle w:val="Contents3"/>
            <w:tabs>
              <w:tab w:val="clear" w:pos="8459"/>
              <w:tab w:val="right" w:pos="9026" w:leader="dot"/>
            </w:tabs>
            <w:rPr/>
          </w:pPr>
          <w:hyperlink w:anchor="__RefHeading___Toc876080_1280447820">
            <w:r>
              <w:rPr>
                <w:webHidden/>
                <w:rStyle w:val="IndexLink"/>
                <w:rtl w:val="true"/>
              </w:rPr>
              <w:t>الأمر الثالث</w:t>
            </w:r>
            <w:r>
              <w:rPr>
                <w:rStyle w:val="IndexLink"/>
                <w:rtl w:val="true"/>
              </w:rPr>
              <w:t xml:space="preserve">: </w:t>
            </w:r>
            <w:r>
              <w:rPr>
                <w:rStyle w:val="IndexLink"/>
                <w:rtl w:val="true"/>
              </w:rPr>
              <w:t>إنّ التغرير محرّم سواء كان بالتسبيب أو إعداد المقدمات</w:t>
            </w:r>
            <w:r>
              <w:rPr>
                <w:rStyle w:val="IndexLink"/>
                <w:rtl w:val="true"/>
              </w:rPr>
              <w:tab/>
            </w:r>
            <w:r>
              <w:rPr>
                <w:rStyle w:val="IndexLink"/>
              </w:rPr>
              <w:t>312</w:t>
            </w:r>
          </w:hyperlink>
        </w:p>
        <w:p>
          <w:pPr>
            <w:pStyle w:val="Contents3"/>
            <w:tabs>
              <w:tab w:val="clear" w:pos="8459"/>
              <w:tab w:val="right" w:pos="9026" w:leader="dot"/>
            </w:tabs>
            <w:rPr/>
          </w:pPr>
          <w:hyperlink w:anchor="__RefHeading___Toc876082_1280447820">
            <w:r>
              <w:rPr>
                <w:webHidden/>
                <w:rStyle w:val="IndexLink"/>
                <w:rtl w:val="true"/>
              </w:rPr>
              <w:t>الأمر الرابع</w:t>
            </w:r>
            <w:r>
              <w:rPr>
                <w:rStyle w:val="IndexLink"/>
                <w:rtl w:val="true"/>
              </w:rPr>
              <w:t xml:space="preserve">: </w:t>
            </w:r>
            <w:r>
              <w:rPr>
                <w:rStyle w:val="IndexLink"/>
                <w:rtl w:val="true"/>
              </w:rPr>
              <w:t>إنّ الغارّ يتوقّف صدقه على كونه عالماً بالمفاسد</w:t>
            </w:r>
            <w:r>
              <w:rPr>
                <w:rStyle w:val="IndexLink"/>
                <w:rtl w:val="true"/>
              </w:rPr>
              <w:tab/>
            </w:r>
            <w:r>
              <w:rPr>
                <w:rStyle w:val="IndexLink"/>
              </w:rPr>
              <w:t>313</w:t>
            </w:r>
          </w:hyperlink>
        </w:p>
        <w:p>
          <w:pPr>
            <w:pStyle w:val="Contents3"/>
            <w:tabs>
              <w:tab w:val="clear" w:pos="8459"/>
              <w:tab w:val="right" w:pos="9026" w:leader="dot"/>
            </w:tabs>
            <w:rPr/>
          </w:pPr>
          <w:hyperlink w:anchor="__RefHeading___Toc876084_1280447820">
            <w:r>
              <w:rPr>
                <w:webHidden/>
                <w:rStyle w:val="IndexLink"/>
                <w:rtl w:val="true"/>
              </w:rPr>
              <w:t>الأمر الخامس</w:t>
            </w:r>
            <w:r>
              <w:rPr>
                <w:rStyle w:val="IndexLink"/>
                <w:rtl w:val="true"/>
              </w:rPr>
              <w:t xml:space="preserve">: </w:t>
            </w:r>
            <w:r>
              <w:rPr>
                <w:rStyle w:val="IndexLink"/>
                <w:rtl w:val="true"/>
              </w:rPr>
              <w:t>هل يجب الإعلام أو المنع أو الدفع اذا رأى غيره أراد ما فيه المفسدة</w:t>
            </w:r>
            <w:r>
              <w:rPr>
                <w:rStyle w:val="IndexLink"/>
                <w:rtl w:val="true"/>
              </w:rPr>
              <w:tab/>
            </w:r>
            <w:r>
              <w:rPr>
                <w:rStyle w:val="IndexLink"/>
              </w:rPr>
              <w:t>313</w:t>
            </w:r>
          </w:hyperlink>
        </w:p>
        <w:p>
          <w:pPr>
            <w:pStyle w:val="Contents3"/>
            <w:tabs>
              <w:tab w:val="clear" w:pos="8459"/>
              <w:tab w:val="right" w:pos="9026" w:leader="dot"/>
            </w:tabs>
            <w:rPr/>
          </w:pPr>
          <w:hyperlink w:anchor="__RefHeading___Toc876086_1280447820">
            <w:r>
              <w:rPr>
                <w:webHidden/>
                <w:rStyle w:val="IndexLink"/>
                <w:rtl w:val="true"/>
              </w:rPr>
              <w:t>الأمر السادس</w:t>
            </w:r>
            <w:r>
              <w:rPr>
                <w:rStyle w:val="IndexLink"/>
                <w:rtl w:val="true"/>
              </w:rPr>
              <w:t xml:space="preserve">: </w:t>
            </w:r>
            <w:r>
              <w:rPr>
                <w:rStyle w:val="IndexLink"/>
                <w:rtl w:val="true"/>
              </w:rPr>
              <w:t>لا يحرم التغرير فيما إذا كان المورد من الموارد التى يكون وجودها وعدمها على حد سواء</w:t>
            </w:r>
            <w:r>
              <w:rPr>
                <w:rStyle w:val="IndexLink"/>
                <w:rtl w:val="true"/>
              </w:rPr>
              <w:tab/>
            </w:r>
            <w:r>
              <w:rPr>
                <w:rStyle w:val="IndexLink"/>
              </w:rPr>
              <w:t>314</w:t>
            </w:r>
          </w:hyperlink>
        </w:p>
        <w:p>
          <w:pPr>
            <w:pStyle w:val="Contents3"/>
            <w:tabs>
              <w:tab w:val="clear" w:pos="8459"/>
              <w:tab w:val="right" w:pos="9026" w:leader="dot"/>
            </w:tabs>
            <w:rPr/>
          </w:pPr>
          <w:hyperlink w:anchor="__RefHeading___Toc876088_1280447820">
            <w:r>
              <w:rPr>
                <w:webHidden/>
                <w:rStyle w:val="IndexLink"/>
                <w:rtl w:val="true"/>
              </w:rPr>
              <w:t>الأمر السابع</w:t>
            </w:r>
            <w:r>
              <w:rPr>
                <w:rStyle w:val="IndexLink"/>
                <w:rtl w:val="true"/>
              </w:rPr>
              <w:t xml:space="preserve">: </w:t>
            </w:r>
            <w:r>
              <w:rPr>
                <w:rStyle w:val="IndexLink"/>
                <w:rtl w:val="true"/>
              </w:rPr>
              <w:t>في تعدّد الغارّ</w:t>
            </w:r>
            <w:r>
              <w:rPr>
                <w:rStyle w:val="IndexLink"/>
                <w:rtl w:val="true"/>
              </w:rPr>
              <w:tab/>
            </w:r>
            <w:r>
              <w:rPr>
                <w:rStyle w:val="IndexLink"/>
              </w:rPr>
              <w:t>314</w:t>
            </w:r>
          </w:hyperlink>
        </w:p>
        <w:p>
          <w:pPr>
            <w:pStyle w:val="Contents3"/>
            <w:tabs>
              <w:tab w:val="clear" w:pos="8459"/>
              <w:tab w:val="right" w:pos="9026" w:leader="dot"/>
            </w:tabs>
            <w:rPr/>
          </w:pPr>
          <w:hyperlink w:anchor="__RefHeading___Toc876090_1280447820">
            <w:r>
              <w:rPr>
                <w:webHidden/>
                <w:rStyle w:val="IndexLink"/>
                <w:rtl w:val="true"/>
              </w:rPr>
              <w:t>الأمر التاسع</w:t>
            </w:r>
            <w:r>
              <w:rPr>
                <w:rStyle w:val="IndexLink"/>
                <w:rtl w:val="true"/>
              </w:rPr>
              <w:t xml:space="preserve">: </w:t>
            </w:r>
            <w:r>
              <w:rPr>
                <w:rStyle w:val="IndexLink"/>
                <w:rtl w:val="true"/>
              </w:rPr>
              <w:t>التغرير موجب للضمان</w:t>
            </w:r>
            <w:r>
              <w:rPr>
                <w:rStyle w:val="IndexLink"/>
                <w:rtl w:val="true"/>
              </w:rPr>
              <w:tab/>
            </w:r>
            <w:r>
              <w:rPr>
                <w:rStyle w:val="IndexLink"/>
              </w:rPr>
              <w:t>314</w:t>
            </w:r>
          </w:hyperlink>
        </w:p>
        <w:p>
          <w:pPr>
            <w:pStyle w:val="Contents2"/>
            <w:tabs>
              <w:tab w:val="clear" w:pos="8743"/>
              <w:tab w:val="right" w:pos="9026" w:leader="dot"/>
            </w:tabs>
            <w:rPr/>
          </w:pPr>
          <w:hyperlink w:anchor="__RefHeading___Toc876092_1280447820">
            <w:r>
              <w:rPr>
                <w:webHidden/>
                <w:rStyle w:val="IndexLink"/>
                <w:rtl w:val="true"/>
              </w:rPr>
              <w:t xml:space="preserve">المسألة السابعة والثلاثون </w:t>
            </w:r>
            <w:r>
              <w:rPr>
                <w:rStyle w:val="IndexLink"/>
                <w:rtl w:val="true"/>
              </w:rPr>
              <w:t>«</w:t>
            </w:r>
            <w:r>
              <w:rPr>
                <w:rStyle w:val="IndexLink"/>
                <w:rtl w:val="true"/>
              </w:rPr>
              <w:t>في الغشّ‌</w:t>
            </w:r>
            <w:r>
              <w:rPr>
                <w:rStyle w:val="IndexLink"/>
                <w:rtl w:val="true"/>
              </w:rPr>
              <w:t>»</w:t>
              <w:tab/>
            </w:r>
            <w:r>
              <w:rPr>
                <w:rStyle w:val="IndexLink"/>
              </w:rPr>
              <w:t>316</w:t>
            </w:r>
          </w:hyperlink>
        </w:p>
        <w:p>
          <w:pPr>
            <w:pStyle w:val="Contents3"/>
            <w:tabs>
              <w:tab w:val="clear" w:pos="8459"/>
              <w:tab w:val="right" w:pos="9026" w:leader="dot"/>
            </w:tabs>
            <w:rPr/>
          </w:pPr>
          <w:hyperlink w:anchor="__RefHeading___Toc876094_128044782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876096_1280447820">
            <w:r>
              <w:rPr>
                <w:webHidden/>
                <w:rStyle w:val="IndexLink"/>
                <w:rtl w:val="true"/>
              </w:rPr>
              <w:t>الأمر الأوّل</w:t>
            </w:r>
            <w:r>
              <w:rPr>
                <w:rStyle w:val="IndexLink"/>
                <w:rtl w:val="true"/>
              </w:rPr>
              <w:t xml:space="preserve">: </w:t>
            </w:r>
            <w:r>
              <w:rPr>
                <w:rStyle w:val="IndexLink"/>
                <w:rtl w:val="true"/>
              </w:rPr>
              <w:t>في معنى الغشّ‌</w:t>
            </w:r>
            <w:r>
              <w:rPr>
                <w:rStyle w:val="IndexLink"/>
                <w:rtl w:val="true"/>
              </w:rPr>
              <w:tab/>
            </w:r>
            <w:r>
              <w:rPr>
                <w:rStyle w:val="IndexLink"/>
              </w:rPr>
              <w:t>316</w:t>
            </w:r>
          </w:hyperlink>
        </w:p>
        <w:p>
          <w:pPr>
            <w:pStyle w:val="Contents3"/>
            <w:tabs>
              <w:tab w:val="clear" w:pos="8459"/>
              <w:tab w:val="right" w:pos="9026" w:leader="dot"/>
            </w:tabs>
            <w:rPr/>
          </w:pPr>
          <w:hyperlink w:anchor="__RefHeading___Toc876098_1280447820">
            <w:r>
              <w:rPr>
                <w:webHidden/>
                <w:rStyle w:val="IndexLink"/>
                <w:rtl w:val="true"/>
              </w:rPr>
              <w:t>الأمر الثاني</w:t>
            </w:r>
            <w:r>
              <w:rPr>
                <w:rStyle w:val="IndexLink"/>
                <w:rtl w:val="true"/>
              </w:rPr>
              <w:t xml:space="preserve">: </w:t>
            </w:r>
            <w:r>
              <w:rPr>
                <w:rStyle w:val="IndexLink"/>
                <w:rtl w:val="true"/>
              </w:rPr>
              <w:t>في كلمات العلماء حول حرمة الغشّ‌</w:t>
            </w:r>
            <w:r>
              <w:rPr>
                <w:rStyle w:val="IndexLink"/>
                <w:rtl w:val="true"/>
              </w:rPr>
              <w:tab/>
            </w:r>
            <w:r>
              <w:rPr>
                <w:rStyle w:val="IndexLink"/>
              </w:rPr>
              <w:t>321</w:t>
            </w:r>
          </w:hyperlink>
        </w:p>
        <w:p>
          <w:pPr>
            <w:pStyle w:val="Contents3"/>
            <w:tabs>
              <w:tab w:val="clear" w:pos="8459"/>
              <w:tab w:val="right" w:pos="9026" w:leader="dot"/>
            </w:tabs>
            <w:rPr/>
          </w:pPr>
          <w:hyperlink w:anchor="__RefHeading___Toc876100_1280447820">
            <w:r>
              <w:rPr>
                <w:webHidden/>
                <w:rStyle w:val="IndexLink"/>
                <w:rtl w:val="true"/>
              </w:rPr>
              <w:t>الأمر الثالث</w:t>
            </w:r>
            <w:r>
              <w:rPr>
                <w:rStyle w:val="IndexLink"/>
                <w:rtl w:val="true"/>
              </w:rPr>
              <w:t xml:space="preserve">: </w:t>
            </w:r>
            <w:r>
              <w:rPr>
                <w:rStyle w:val="IndexLink"/>
                <w:rtl w:val="true"/>
              </w:rPr>
              <w:t>في الروايات الدالّة على حرمة الغشّ‌</w:t>
            </w:r>
            <w:r>
              <w:rPr>
                <w:rStyle w:val="IndexLink"/>
                <w:rtl w:val="true"/>
              </w:rPr>
              <w:tab/>
            </w:r>
            <w:r>
              <w:rPr>
                <w:rStyle w:val="IndexLink"/>
              </w:rPr>
              <w:t>323</w:t>
            </w:r>
          </w:hyperlink>
        </w:p>
        <w:p>
          <w:pPr>
            <w:pStyle w:val="Contents3"/>
            <w:tabs>
              <w:tab w:val="clear" w:pos="8459"/>
              <w:tab w:val="right" w:pos="9026" w:leader="dot"/>
            </w:tabs>
            <w:rPr/>
          </w:pPr>
          <w:hyperlink w:anchor="__RefHeading___Toc876102_1280447820">
            <w:r>
              <w:rPr>
                <w:webHidden/>
                <w:rStyle w:val="IndexLink"/>
                <w:rtl w:val="true"/>
              </w:rPr>
              <w:t>الأمر الرابع</w:t>
            </w:r>
            <w:r>
              <w:rPr>
                <w:rStyle w:val="IndexLink"/>
                <w:rtl w:val="true"/>
              </w:rPr>
              <w:t xml:space="preserve">: </w:t>
            </w:r>
            <w:r>
              <w:rPr>
                <w:rStyle w:val="IndexLink"/>
                <w:rtl w:val="true"/>
              </w:rPr>
              <w:t>في الظاهر من الكلمات والأخبار</w:t>
            </w:r>
            <w:r>
              <w:rPr>
                <w:rStyle w:val="IndexLink"/>
                <w:rtl w:val="true"/>
              </w:rPr>
              <w:tab/>
            </w:r>
            <w:r>
              <w:rPr>
                <w:rStyle w:val="IndexLink"/>
              </w:rPr>
              <w:t>325</w:t>
            </w:r>
          </w:hyperlink>
        </w:p>
        <w:p>
          <w:pPr>
            <w:pStyle w:val="Contents3"/>
            <w:tabs>
              <w:tab w:val="clear" w:pos="8459"/>
              <w:tab w:val="right" w:pos="9026" w:leader="dot"/>
            </w:tabs>
            <w:rPr/>
          </w:pPr>
          <w:hyperlink w:anchor="__RefHeading___Toc876104_1280447820">
            <w:r>
              <w:rPr>
                <w:webHidden/>
                <w:rStyle w:val="IndexLink"/>
                <w:rtl w:val="true"/>
              </w:rPr>
              <w:t>الأمر الخامس</w:t>
            </w:r>
            <w:r>
              <w:rPr>
                <w:rStyle w:val="IndexLink"/>
                <w:rtl w:val="true"/>
              </w:rPr>
              <w:t xml:space="preserve">: </w:t>
            </w:r>
            <w:r>
              <w:rPr>
                <w:rStyle w:val="IndexLink"/>
                <w:rtl w:val="true"/>
              </w:rPr>
              <w:t>في الصحّة والفساد</w:t>
            </w:r>
            <w:r>
              <w:rPr>
                <w:rStyle w:val="IndexLink"/>
                <w:rtl w:val="true"/>
              </w:rPr>
              <w:tab/>
            </w:r>
            <w:r>
              <w:rPr>
                <w:rStyle w:val="IndexLink"/>
              </w:rPr>
              <w:t>327</w:t>
            </w:r>
          </w:hyperlink>
        </w:p>
        <w:p>
          <w:pPr>
            <w:pStyle w:val="Contents2"/>
            <w:tabs>
              <w:tab w:val="clear" w:pos="8743"/>
              <w:tab w:val="right" w:pos="9026" w:leader="dot"/>
            </w:tabs>
            <w:rPr/>
          </w:pPr>
          <w:hyperlink w:anchor="__RefHeading___Toc876106_1280447820">
            <w:r>
              <w:rPr>
                <w:webHidden/>
                <w:rStyle w:val="IndexLink"/>
                <w:rtl w:val="true"/>
              </w:rPr>
              <w:t xml:space="preserve">المسألة الثامنة والثلاثون </w:t>
            </w:r>
            <w:r>
              <w:rPr>
                <w:rStyle w:val="IndexLink"/>
                <w:rtl w:val="true"/>
              </w:rPr>
              <w:t>«</w:t>
            </w:r>
            <w:r>
              <w:rPr>
                <w:rStyle w:val="IndexLink"/>
                <w:rtl w:val="true"/>
              </w:rPr>
              <w:t>في الغناء</w:t>
            </w:r>
            <w:r>
              <w:rPr>
                <w:rStyle w:val="IndexLink"/>
                <w:rtl w:val="true"/>
              </w:rPr>
              <w:t>»</w:t>
              <w:tab/>
            </w:r>
            <w:r>
              <w:rPr>
                <w:rStyle w:val="IndexLink"/>
              </w:rPr>
              <w:t>332</w:t>
            </w:r>
          </w:hyperlink>
        </w:p>
        <w:p>
          <w:pPr>
            <w:pStyle w:val="Contents3"/>
            <w:tabs>
              <w:tab w:val="clear" w:pos="8459"/>
              <w:tab w:val="right" w:pos="9026" w:leader="dot"/>
            </w:tabs>
            <w:rPr/>
          </w:pPr>
          <w:hyperlink w:anchor="__RefHeading___Toc876108_128044782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876110_1280447820">
            <w:r>
              <w:rPr>
                <w:webHidden/>
                <w:rStyle w:val="IndexLink"/>
                <w:rtl w:val="true"/>
              </w:rPr>
              <w:t>الجهة الاُولى</w:t>
            </w:r>
            <w:r>
              <w:rPr>
                <w:rStyle w:val="IndexLink"/>
                <w:rtl w:val="true"/>
              </w:rPr>
              <w:t xml:space="preserve">: </w:t>
            </w:r>
            <w:r>
              <w:rPr>
                <w:rStyle w:val="IndexLink"/>
                <w:rtl w:val="true"/>
              </w:rPr>
              <w:t>في كلمات الأصحاب</w:t>
            </w:r>
            <w:r>
              <w:rPr>
                <w:rStyle w:val="IndexLink"/>
                <w:rtl w:val="true"/>
              </w:rPr>
              <w:tab/>
            </w:r>
            <w:r>
              <w:rPr>
                <w:rStyle w:val="IndexLink"/>
              </w:rPr>
              <w:t>332</w:t>
            </w:r>
          </w:hyperlink>
        </w:p>
        <w:p>
          <w:pPr>
            <w:pStyle w:val="Contents3"/>
            <w:tabs>
              <w:tab w:val="clear" w:pos="8459"/>
              <w:tab w:val="right" w:pos="9026" w:leader="dot"/>
            </w:tabs>
            <w:rPr/>
          </w:pPr>
          <w:hyperlink w:anchor="__RefHeading___Toc876112_1280447820">
            <w:r>
              <w:rPr>
                <w:webHidden/>
                <w:rStyle w:val="IndexLink"/>
                <w:rtl w:val="true"/>
              </w:rPr>
              <w:t>الجهة الثانية</w:t>
            </w:r>
            <w:r>
              <w:rPr>
                <w:rStyle w:val="IndexLink"/>
                <w:rtl w:val="true"/>
              </w:rPr>
              <w:t xml:space="preserve">: </w:t>
            </w:r>
            <w:r>
              <w:rPr>
                <w:rStyle w:val="IndexLink"/>
                <w:rtl w:val="true"/>
              </w:rPr>
              <w:t>في حقيقة الغناء</w:t>
            </w:r>
            <w:r>
              <w:rPr>
                <w:rStyle w:val="IndexLink"/>
                <w:rtl w:val="true"/>
              </w:rPr>
              <w:tab/>
            </w:r>
            <w:r>
              <w:rPr>
                <w:rStyle w:val="IndexLink"/>
              </w:rPr>
              <w:t>348</w:t>
            </w:r>
          </w:hyperlink>
        </w:p>
        <w:p>
          <w:pPr>
            <w:pStyle w:val="Contents3"/>
            <w:tabs>
              <w:tab w:val="clear" w:pos="8459"/>
              <w:tab w:val="right" w:pos="9026" w:leader="dot"/>
            </w:tabs>
            <w:rPr/>
          </w:pPr>
          <w:hyperlink w:anchor="__RefHeading___Toc876114_1280447820">
            <w:r>
              <w:rPr>
                <w:webHidden/>
                <w:rStyle w:val="IndexLink"/>
                <w:rtl w:val="true"/>
              </w:rPr>
              <w:t>الجهة الثالثة</w:t>
            </w:r>
            <w:r>
              <w:rPr>
                <w:rStyle w:val="IndexLink"/>
                <w:rtl w:val="true"/>
              </w:rPr>
              <w:t xml:space="preserve">: </w:t>
            </w:r>
            <w:r>
              <w:rPr>
                <w:rStyle w:val="IndexLink"/>
                <w:rtl w:val="true"/>
              </w:rPr>
              <w:t>في أدلّة حرمة الغناء</w:t>
            </w:r>
            <w:r>
              <w:rPr>
                <w:rStyle w:val="IndexLink"/>
                <w:rtl w:val="true"/>
              </w:rPr>
              <w:tab/>
            </w:r>
            <w:r>
              <w:rPr>
                <w:rStyle w:val="IndexLink"/>
              </w:rPr>
              <w:t>371</w:t>
            </w:r>
          </w:hyperlink>
        </w:p>
        <w:p>
          <w:pPr>
            <w:pStyle w:val="Contents4"/>
            <w:tabs>
              <w:tab w:val="clear" w:pos="8176"/>
              <w:tab w:val="right" w:pos="9026" w:leader="dot"/>
            </w:tabs>
            <w:rPr/>
          </w:pPr>
          <w:hyperlink w:anchor="__RefHeading___Toc876116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876118_1280447820">
            <w:r>
              <w:rPr>
                <w:webHidden/>
                <w:rStyle w:val="IndexLink"/>
                <w:rtl w:val="true"/>
              </w:rPr>
              <w:t>تفصيل الفيض الكاشاني قدس سره</w:t>
            </w:r>
            <w:r>
              <w:rPr>
                <w:rStyle w:val="IndexLink"/>
                <w:rtl w:val="true"/>
              </w:rPr>
              <w:t>:</w:t>
              <w:tab/>
            </w:r>
            <w:r>
              <w:rPr>
                <w:rStyle w:val="IndexLink"/>
              </w:rPr>
              <w:t>387</w:t>
            </w:r>
          </w:hyperlink>
        </w:p>
        <w:p>
          <w:pPr>
            <w:pStyle w:val="Contents4"/>
            <w:tabs>
              <w:tab w:val="clear" w:pos="8176"/>
              <w:tab w:val="right" w:pos="9026" w:leader="dot"/>
            </w:tabs>
            <w:rPr/>
          </w:pPr>
          <w:hyperlink w:anchor="__RefHeading___Toc876120_1280447820">
            <w:r>
              <w:rPr>
                <w:webHidden/>
                <w:rStyle w:val="IndexLink"/>
                <w:rtl w:val="true"/>
              </w:rPr>
              <w:t>كلام السبزواري قدس سره</w:t>
            </w:r>
            <w:r>
              <w:rPr>
                <w:rStyle w:val="IndexLink"/>
                <w:rtl w:val="true"/>
              </w:rPr>
              <w:t>:</w:t>
              <w:tab/>
            </w:r>
            <w:r>
              <w:rPr>
                <w:rStyle w:val="IndexLink"/>
              </w:rPr>
              <w:t>397</w:t>
            </w:r>
          </w:hyperlink>
        </w:p>
        <w:p>
          <w:pPr>
            <w:pStyle w:val="Contents4"/>
            <w:tabs>
              <w:tab w:val="clear" w:pos="8176"/>
              <w:tab w:val="right" w:pos="9026" w:leader="dot"/>
            </w:tabs>
            <w:rPr/>
          </w:pPr>
          <w:hyperlink w:anchor="__RefHeading___Toc876122_1280447820">
            <w:r>
              <w:rPr>
                <w:webHidden/>
                <w:rStyle w:val="IndexLink"/>
                <w:rtl w:val="true"/>
              </w:rPr>
              <w:t>كلام السيّد المحقّق الخوئي قدس سره</w:t>
            </w:r>
            <w:r>
              <w:rPr>
                <w:rStyle w:val="IndexLink"/>
                <w:rtl w:val="true"/>
              </w:rPr>
              <w:t>:</w:t>
              <w:tab/>
            </w:r>
            <w:r>
              <w:rPr>
                <w:rStyle w:val="IndexLink"/>
              </w:rPr>
              <w:t>400</w:t>
            </w:r>
          </w:hyperlink>
        </w:p>
        <w:p>
          <w:pPr>
            <w:pStyle w:val="Contents4"/>
            <w:tabs>
              <w:tab w:val="clear" w:pos="8176"/>
              <w:tab w:val="right" w:pos="9026" w:leader="dot"/>
            </w:tabs>
            <w:rPr/>
          </w:pPr>
          <w:hyperlink w:anchor="__RefHeading___Toc876124_1280447820">
            <w:r>
              <w:rPr>
                <w:webHidden/>
                <w:rStyle w:val="IndexLink"/>
                <w:rtl w:val="true"/>
              </w:rPr>
              <w:t>أسئلة وأجوبة</w:t>
            </w:r>
            <w:r>
              <w:rPr>
                <w:rStyle w:val="IndexLink"/>
                <w:rtl w:val="true"/>
              </w:rPr>
              <w:t>:</w:t>
              <w:tab/>
            </w:r>
            <w:r>
              <w:rPr>
                <w:rStyle w:val="IndexLink"/>
              </w:rPr>
              <w:t>401</w:t>
            </w:r>
          </w:hyperlink>
        </w:p>
        <w:p>
          <w:pPr>
            <w:pStyle w:val="Contents5"/>
            <w:tabs>
              <w:tab w:val="clear" w:pos="7892"/>
              <w:tab w:val="right" w:pos="9026" w:leader="dot"/>
            </w:tabs>
            <w:rPr/>
          </w:pPr>
          <w:hyperlink w:anchor="__RefHeading___Toc876126_1280447820">
            <w:r>
              <w:rPr>
                <w:webHidden/>
                <w:rStyle w:val="IndexLink"/>
                <w:rtl w:val="true"/>
              </w:rPr>
              <w:t>السؤال الأوّل</w:t>
            </w:r>
            <w:r>
              <w:rPr>
                <w:rStyle w:val="IndexLink"/>
                <w:rtl w:val="true"/>
              </w:rPr>
              <w:t xml:space="preserve">: </w:t>
            </w:r>
            <w:r>
              <w:rPr>
                <w:rStyle w:val="IndexLink"/>
                <w:rtl w:val="true"/>
              </w:rPr>
              <w:t>هل يكون التغنّي بالنثر كالتغنّي بالنظم</w:t>
            </w:r>
            <w:r>
              <w:rPr>
                <w:rStyle w:val="IndexLink"/>
                <w:rtl w:val="true"/>
              </w:rPr>
              <w:tab/>
            </w:r>
            <w:r>
              <w:rPr>
                <w:rStyle w:val="IndexLink"/>
              </w:rPr>
              <w:t>401</w:t>
            </w:r>
          </w:hyperlink>
        </w:p>
        <w:p>
          <w:pPr>
            <w:pStyle w:val="Contents5"/>
            <w:tabs>
              <w:tab w:val="clear" w:pos="7892"/>
              <w:tab w:val="right" w:pos="9026" w:leader="dot"/>
            </w:tabs>
            <w:rPr/>
          </w:pPr>
          <w:hyperlink w:anchor="__RefHeading___Toc876128_1280447820">
            <w:r>
              <w:rPr>
                <w:webHidden/>
                <w:rStyle w:val="IndexLink"/>
                <w:rtl w:val="true"/>
              </w:rPr>
              <w:t>السؤال الثاني</w:t>
            </w:r>
            <w:r>
              <w:rPr>
                <w:rStyle w:val="IndexLink"/>
                <w:rtl w:val="true"/>
              </w:rPr>
              <w:t xml:space="preserve">: </w:t>
            </w:r>
            <w:r>
              <w:rPr>
                <w:rStyle w:val="IndexLink"/>
                <w:rtl w:val="true"/>
              </w:rPr>
              <w:t>هل تختصّ حرمة الغناء باللغة العربية أو لا؟</w:t>
            </w:r>
            <w:r>
              <w:rPr>
                <w:rStyle w:val="IndexLink"/>
                <w:rtl w:val="true"/>
              </w:rPr>
              <w:tab/>
            </w:r>
            <w:r>
              <w:rPr>
                <w:rStyle w:val="IndexLink"/>
              </w:rPr>
              <w:t>402</w:t>
            </w:r>
          </w:hyperlink>
        </w:p>
        <w:p>
          <w:pPr>
            <w:pStyle w:val="Contents5"/>
            <w:tabs>
              <w:tab w:val="clear" w:pos="7892"/>
              <w:tab w:val="right" w:pos="9026" w:leader="dot"/>
            </w:tabs>
            <w:rPr/>
          </w:pPr>
          <w:hyperlink w:anchor="__RefHeading___Toc876130_1280447820">
            <w:r>
              <w:rPr>
                <w:webHidden/>
                <w:rStyle w:val="IndexLink"/>
                <w:rtl w:val="true"/>
              </w:rPr>
              <w:t>السؤال الثالث</w:t>
            </w:r>
            <w:r>
              <w:rPr>
                <w:rStyle w:val="IndexLink"/>
                <w:rtl w:val="true"/>
              </w:rPr>
              <w:t xml:space="preserve">: </w:t>
            </w:r>
            <w:r>
              <w:rPr>
                <w:rStyle w:val="IndexLink"/>
                <w:rtl w:val="true"/>
              </w:rPr>
              <w:t>هل تكون حرمة الغناء من ناحية نفس الصوت أو من ناحية المحتوى‌؟</w:t>
            </w:r>
            <w:r>
              <w:rPr>
                <w:rStyle w:val="IndexLink"/>
                <w:rtl w:val="true"/>
              </w:rPr>
              <w:tab/>
            </w:r>
            <w:r>
              <w:rPr>
                <w:rStyle w:val="IndexLink"/>
              </w:rPr>
              <w:t>402</w:t>
            </w:r>
          </w:hyperlink>
        </w:p>
        <w:p>
          <w:pPr>
            <w:pStyle w:val="Contents5"/>
            <w:tabs>
              <w:tab w:val="clear" w:pos="7892"/>
              <w:tab w:val="right" w:pos="9026" w:leader="dot"/>
            </w:tabs>
            <w:rPr/>
          </w:pPr>
          <w:hyperlink w:anchor="__RefHeading___Toc876132_1280447820">
            <w:r>
              <w:rPr>
                <w:webHidden/>
                <w:rStyle w:val="IndexLink"/>
                <w:rtl w:val="true"/>
              </w:rPr>
              <w:t>السؤال الرابع</w:t>
            </w:r>
            <w:r>
              <w:rPr>
                <w:rStyle w:val="IndexLink"/>
                <w:rtl w:val="true"/>
              </w:rPr>
              <w:t xml:space="preserve">: </w:t>
            </w:r>
            <w:r>
              <w:rPr>
                <w:rStyle w:val="IndexLink"/>
                <w:rtl w:val="true"/>
              </w:rPr>
              <w:t>هل يكون حرمة الغناء مختصّة بما إذا قصد التطريب أو لا؟</w:t>
            </w:r>
            <w:r>
              <w:rPr>
                <w:rStyle w:val="IndexLink"/>
                <w:rtl w:val="true"/>
              </w:rPr>
              <w:tab/>
            </w:r>
            <w:r>
              <w:rPr>
                <w:rStyle w:val="IndexLink"/>
              </w:rPr>
              <w:t>402</w:t>
            </w:r>
          </w:hyperlink>
        </w:p>
        <w:p>
          <w:pPr>
            <w:pStyle w:val="Contents5"/>
            <w:tabs>
              <w:tab w:val="clear" w:pos="7892"/>
              <w:tab w:val="right" w:pos="9026" w:leader="dot"/>
            </w:tabs>
            <w:rPr/>
          </w:pPr>
          <w:hyperlink w:anchor="__RefHeading___Toc876134_1280447820">
            <w:r>
              <w:rPr>
                <w:webHidden/>
                <w:rStyle w:val="IndexLink"/>
                <w:rtl w:val="true"/>
              </w:rPr>
              <w:t>السؤال الخامس</w:t>
            </w:r>
            <w:r>
              <w:rPr>
                <w:rStyle w:val="IndexLink"/>
                <w:rtl w:val="true"/>
              </w:rPr>
              <w:t xml:space="preserve">: </w:t>
            </w:r>
            <w:r>
              <w:rPr>
                <w:rStyle w:val="IndexLink"/>
                <w:rtl w:val="true"/>
              </w:rPr>
              <w:t>هل يجوز توليد الصوت اللهوي بالآلات الحديثة‌؟</w:t>
            </w:r>
            <w:r>
              <w:rPr>
                <w:rStyle w:val="IndexLink"/>
                <w:rtl w:val="true"/>
              </w:rPr>
              <w:tab/>
            </w:r>
            <w:r>
              <w:rPr>
                <w:rStyle w:val="IndexLink"/>
              </w:rPr>
              <w:t>402</w:t>
            </w:r>
          </w:hyperlink>
        </w:p>
        <w:p>
          <w:pPr>
            <w:pStyle w:val="Contents5"/>
            <w:tabs>
              <w:tab w:val="clear" w:pos="7892"/>
              <w:tab w:val="right" w:pos="9026" w:leader="dot"/>
            </w:tabs>
            <w:rPr/>
          </w:pPr>
          <w:hyperlink w:anchor="__RefHeading___Toc876136_1280447820">
            <w:r>
              <w:rPr>
                <w:webHidden/>
                <w:rStyle w:val="IndexLink"/>
                <w:rtl w:val="true"/>
              </w:rPr>
              <w:t>السؤال السادس</w:t>
            </w:r>
            <w:r>
              <w:rPr>
                <w:rStyle w:val="IndexLink"/>
                <w:rtl w:val="true"/>
              </w:rPr>
              <w:t xml:space="preserve">: </w:t>
            </w:r>
            <w:r>
              <w:rPr>
                <w:rStyle w:val="IndexLink"/>
                <w:rtl w:val="true"/>
              </w:rPr>
              <w:t>هل يجوز استماع الصوت اللهوي الذي يكون وسيلة للطرب المعنوي‌؟</w:t>
            </w:r>
            <w:r>
              <w:rPr>
                <w:rStyle w:val="IndexLink"/>
                <w:rtl w:val="true"/>
              </w:rPr>
              <w:tab/>
            </w:r>
            <w:r>
              <w:rPr>
                <w:rStyle w:val="IndexLink"/>
              </w:rPr>
              <w:t>403</w:t>
            </w:r>
          </w:hyperlink>
        </w:p>
        <w:p>
          <w:pPr>
            <w:pStyle w:val="Contents5"/>
            <w:tabs>
              <w:tab w:val="clear" w:pos="7892"/>
              <w:tab w:val="right" w:pos="9026" w:leader="dot"/>
            </w:tabs>
            <w:rPr/>
          </w:pPr>
          <w:hyperlink w:anchor="__RefHeading___Toc876138_1280447820">
            <w:r>
              <w:rPr>
                <w:webHidden/>
                <w:rStyle w:val="IndexLink"/>
                <w:rtl w:val="true"/>
              </w:rPr>
              <w:t>السؤال السابع</w:t>
            </w:r>
            <w:r>
              <w:rPr>
                <w:rStyle w:val="IndexLink"/>
                <w:rtl w:val="true"/>
              </w:rPr>
              <w:t xml:space="preserve">: </w:t>
            </w:r>
            <w:r>
              <w:rPr>
                <w:rStyle w:val="IndexLink"/>
                <w:rtl w:val="true"/>
              </w:rPr>
              <w:t>هل تختصّ حرمة الغناء بالنسوان أو لا؟</w:t>
            </w:r>
            <w:r>
              <w:rPr>
                <w:rStyle w:val="IndexLink"/>
                <w:rtl w:val="true"/>
              </w:rPr>
              <w:tab/>
            </w:r>
            <w:r>
              <w:rPr>
                <w:rStyle w:val="IndexLink"/>
              </w:rPr>
              <w:t>403</w:t>
            </w:r>
          </w:hyperlink>
        </w:p>
        <w:p>
          <w:pPr>
            <w:pStyle w:val="Contents5"/>
            <w:tabs>
              <w:tab w:val="clear" w:pos="7892"/>
              <w:tab w:val="right" w:pos="9026" w:leader="dot"/>
            </w:tabs>
            <w:rPr/>
          </w:pPr>
          <w:hyperlink w:anchor="__RefHeading___Toc876140_1280447820">
            <w:r>
              <w:rPr>
                <w:webHidden/>
                <w:rStyle w:val="IndexLink"/>
                <w:rtl w:val="true"/>
              </w:rPr>
              <w:t>السؤال الثامن</w:t>
            </w:r>
            <w:r>
              <w:rPr>
                <w:rStyle w:val="IndexLink"/>
                <w:rtl w:val="true"/>
              </w:rPr>
              <w:t xml:space="preserve">: </w:t>
            </w:r>
            <w:r>
              <w:rPr>
                <w:rStyle w:val="IndexLink"/>
                <w:rtl w:val="true"/>
              </w:rPr>
              <w:t>هل يجوز التداوى بالغناء أو لا؟</w:t>
            </w:r>
            <w:r>
              <w:rPr>
                <w:rStyle w:val="IndexLink"/>
                <w:rtl w:val="true"/>
              </w:rPr>
              <w:tab/>
            </w:r>
            <w:r>
              <w:rPr>
                <w:rStyle w:val="IndexLink"/>
              </w:rPr>
              <w:t>403</w:t>
            </w:r>
          </w:hyperlink>
        </w:p>
        <w:p>
          <w:pPr>
            <w:pStyle w:val="Contents3"/>
            <w:tabs>
              <w:tab w:val="clear" w:pos="8459"/>
              <w:tab w:val="right" w:pos="9026" w:leader="dot"/>
            </w:tabs>
            <w:rPr/>
          </w:pPr>
          <w:hyperlink w:anchor="__RefHeading___Toc876142_1280447820">
            <w:r>
              <w:rPr>
                <w:webHidden/>
                <w:rStyle w:val="IndexLink"/>
                <w:rtl w:val="true"/>
              </w:rPr>
              <w:t>الجهة الرابعة</w:t>
            </w:r>
            <w:r>
              <w:rPr>
                <w:rStyle w:val="IndexLink"/>
                <w:rtl w:val="true"/>
              </w:rPr>
              <w:t xml:space="preserve">: </w:t>
            </w:r>
            <w:r>
              <w:rPr>
                <w:rStyle w:val="IndexLink"/>
                <w:rtl w:val="true"/>
              </w:rPr>
              <w:t>في موارد الاستثناء</w:t>
            </w:r>
            <w:r>
              <w:rPr>
                <w:rStyle w:val="IndexLink"/>
                <w:rtl w:val="true"/>
              </w:rPr>
              <w:tab/>
            </w:r>
            <w:r>
              <w:rPr>
                <w:rStyle w:val="IndexLink"/>
              </w:rPr>
              <w:t>404</w:t>
            </w:r>
          </w:hyperlink>
        </w:p>
        <w:p>
          <w:pPr>
            <w:pStyle w:val="Contents4"/>
            <w:tabs>
              <w:tab w:val="clear" w:pos="8176"/>
              <w:tab w:val="right" w:pos="9026" w:leader="dot"/>
            </w:tabs>
            <w:rPr/>
          </w:pPr>
          <w:hyperlink w:anchor="__RefHeading___Toc876144_1280447820">
            <w:r>
              <w:rPr>
                <w:webHidden/>
                <w:rStyle w:val="IndexLink"/>
                <w:rtl w:val="true"/>
              </w:rPr>
              <w:t>أحدها</w:t>
            </w:r>
            <w:r>
              <w:rPr>
                <w:rStyle w:val="IndexLink"/>
                <w:rtl w:val="true"/>
              </w:rPr>
              <w:t xml:space="preserve">: </w:t>
            </w:r>
            <w:r>
              <w:rPr>
                <w:rStyle w:val="IndexLink"/>
                <w:rtl w:val="true"/>
              </w:rPr>
              <w:t>المراثي ونحوها</w:t>
            </w:r>
            <w:r>
              <w:rPr>
                <w:rStyle w:val="IndexLink"/>
                <w:rtl w:val="true"/>
              </w:rPr>
              <w:tab/>
            </w:r>
            <w:r>
              <w:rPr>
                <w:rStyle w:val="IndexLink"/>
              </w:rPr>
              <w:t>404</w:t>
            </w:r>
          </w:hyperlink>
        </w:p>
        <w:p>
          <w:pPr>
            <w:pStyle w:val="Contents4"/>
            <w:tabs>
              <w:tab w:val="clear" w:pos="8176"/>
              <w:tab w:val="right" w:pos="9026" w:leader="dot"/>
            </w:tabs>
            <w:rPr/>
          </w:pPr>
          <w:hyperlink w:anchor="__RefHeading___Toc876146_1280447820">
            <w:r>
              <w:rPr>
                <w:webHidden/>
                <w:rStyle w:val="IndexLink"/>
                <w:rtl w:val="true"/>
              </w:rPr>
              <w:t>ثانيها</w:t>
            </w:r>
            <w:r>
              <w:rPr>
                <w:rStyle w:val="IndexLink"/>
                <w:rtl w:val="true"/>
              </w:rPr>
              <w:t xml:space="preserve">: </w:t>
            </w:r>
            <w:r>
              <w:rPr>
                <w:rStyle w:val="IndexLink"/>
                <w:rtl w:val="true"/>
              </w:rPr>
              <w:t>غناء المغنّية لزفّ العرائس</w:t>
            </w:r>
            <w:r>
              <w:rPr>
                <w:rStyle w:val="IndexLink"/>
                <w:rtl w:val="true"/>
              </w:rPr>
              <w:tab/>
            </w:r>
            <w:r>
              <w:rPr>
                <w:rStyle w:val="IndexLink"/>
              </w:rPr>
              <w:t>408</w:t>
            </w:r>
          </w:hyperlink>
        </w:p>
        <w:p>
          <w:pPr>
            <w:pStyle w:val="Contents4"/>
            <w:tabs>
              <w:tab w:val="clear" w:pos="8176"/>
              <w:tab w:val="right" w:pos="9026" w:leader="dot"/>
            </w:tabs>
            <w:rPr/>
          </w:pPr>
          <w:hyperlink w:anchor="__RefHeading___Toc876148_1280447820">
            <w:r>
              <w:rPr>
                <w:webHidden/>
                <w:rStyle w:val="IndexLink"/>
                <w:rtl w:val="true"/>
              </w:rPr>
              <w:t>ثالثها</w:t>
            </w:r>
            <w:r>
              <w:rPr>
                <w:rStyle w:val="IndexLink"/>
                <w:rtl w:val="true"/>
              </w:rPr>
              <w:t xml:space="preserve">: </w:t>
            </w:r>
            <w:r>
              <w:rPr>
                <w:rStyle w:val="IndexLink"/>
                <w:rtl w:val="true"/>
              </w:rPr>
              <w:t>الحداء لسوق الإبل</w:t>
            </w:r>
            <w:r>
              <w:rPr>
                <w:rStyle w:val="IndexLink"/>
                <w:rtl w:val="true"/>
              </w:rPr>
              <w:tab/>
            </w:r>
            <w:r>
              <w:rPr>
                <w:rStyle w:val="IndexLink"/>
              </w:rPr>
              <w:t>412</w:t>
            </w:r>
          </w:hyperlink>
        </w:p>
        <w:p>
          <w:pPr>
            <w:pStyle w:val="Contents2"/>
            <w:tabs>
              <w:tab w:val="clear" w:pos="8743"/>
              <w:tab w:val="right" w:pos="9026" w:leader="dot"/>
            </w:tabs>
            <w:rPr/>
          </w:pPr>
          <w:hyperlink w:anchor="__RefHeading___Toc876150_1280447820">
            <w:r>
              <w:rPr>
                <w:webHidden/>
                <w:rStyle w:val="IndexLink"/>
                <w:rtl w:val="true"/>
              </w:rPr>
              <w:t xml:space="preserve">المسألة التاسعة والثلاثون </w:t>
            </w:r>
            <w:r>
              <w:rPr>
                <w:rStyle w:val="IndexLink"/>
                <w:rtl w:val="true"/>
              </w:rPr>
              <w:t>«</w:t>
            </w:r>
            <w:r>
              <w:rPr>
                <w:rStyle w:val="IndexLink"/>
                <w:rtl w:val="true"/>
              </w:rPr>
              <w:t>في الغيبة</w:t>
            </w:r>
            <w:r>
              <w:rPr>
                <w:rStyle w:val="IndexLink"/>
                <w:rtl w:val="true"/>
              </w:rPr>
              <w:t>»</w:t>
              <w:tab/>
            </w:r>
            <w:r>
              <w:rPr>
                <w:rStyle w:val="IndexLink"/>
              </w:rPr>
              <w:t>418</w:t>
            </w:r>
          </w:hyperlink>
        </w:p>
        <w:p>
          <w:pPr>
            <w:pStyle w:val="Contents3"/>
            <w:tabs>
              <w:tab w:val="clear" w:pos="8459"/>
              <w:tab w:val="right" w:pos="9026" w:leader="dot"/>
            </w:tabs>
            <w:rPr/>
          </w:pPr>
          <w:hyperlink w:anchor="__RefHeading___Toc876152_1280447820">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876154_1280447820">
            <w:r>
              <w:rPr>
                <w:webHidden/>
                <w:rStyle w:val="IndexLink"/>
                <w:rtl w:val="true"/>
              </w:rPr>
              <w:t>المقام الأوّل</w:t>
            </w:r>
            <w:r>
              <w:rPr>
                <w:rStyle w:val="IndexLink"/>
                <w:rtl w:val="true"/>
              </w:rPr>
              <w:t xml:space="preserve">: </w:t>
            </w:r>
            <w:r>
              <w:rPr>
                <w:rStyle w:val="IndexLink"/>
                <w:rtl w:val="true"/>
              </w:rPr>
              <w:t>في تعريف الغيبة</w:t>
            </w:r>
            <w:r>
              <w:rPr>
                <w:rStyle w:val="IndexLink"/>
                <w:rtl w:val="true"/>
              </w:rPr>
              <w:tab/>
            </w:r>
            <w:r>
              <w:rPr>
                <w:rStyle w:val="IndexLink"/>
              </w:rPr>
              <w:t>418</w:t>
            </w:r>
          </w:hyperlink>
        </w:p>
        <w:p>
          <w:pPr>
            <w:pStyle w:val="Contents4"/>
            <w:tabs>
              <w:tab w:val="clear" w:pos="8176"/>
              <w:tab w:val="right" w:pos="9026" w:leader="dot"/>
            </w:tabs>
            <w:rPr/>
          </w:pPr>
          <w:hyperlink w:anchor="__RefHeading___Toc876156_1280447820">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876158_1280447820">
            <w:r>
              <w:rPr>
                <w:webHidden/>
                <w:rStyle w:val="IndexLink"/>
                <w:rtl w:val="true"/>
              </w:rPr>
              <w:t>تنبيهات</w:t>
            </w:r>
            <w:r>
              <w:rPr>
                <w:rStyle w:val="IndexLink"/>
                <w:rtl w:val="true"/>
              </w:rPr>
              <w:t>:</w:t>
              <w:tab/>
            </w:r>
            <w:r>
              <w:rPr>
                <w:rStyle w:val="IndexLink"/>
              </w:rPr>
              <w:t>423</w:t>
            </w:r>
          </w:hyperlink>
        </w:p>
        <w:p>
          <w:pPr>
            <w:pStyle w:val="Contents5"/>
            <w:tabs>
              <w:tab w:val="clear" w:pos="7892"/>
              <w:tab w:val="right" w:pos="9026" w:leader="dot"/>
            </w:tabs>
            <w:rPr/>
          </w:pPr>
          <w:hyperlink w:anchor="__RefHeading___Toc876160_1280447820">
            <w:r>
              <w:rPr>
                <w:webHidden/>
                <w:rStyle w:val="IndexLink"/>
                <w:rtl w:val="true"/>
              </w:rPr>
              <w:t>التنبيه الأوّل</w:t>
            </w:r>
            <w:r>
              <w:rPr>
                <w:rStyle w:val="IndexLink"/>
                <w:rtl w:val="true"/>
              </w:rPr>
              <w:t xml:space="preserve">: </w:t>
            </w:r>
            <w:r>
              <w:rPr>
                <w:rStyle w:val="IndexLink"/>
                <w:rtl w:val="true"/>
              </w:rPr>
              <w:t>في عدم اعتبار قصد الانتقاص</w:t>
            </w:r>
            <w:r>
              <w:rPr>
                <w:rStyle w:val="IndexLink"/>
                <w:rtl w:val="true"/>
              </w:rPr>
              <w:tab/>
            </w:r>
            <w:r>
              <w:rPr>
                <w:rStyle w:val="IndexLink"/>
              </w:rPr>
              <w:t>423</w:t>
            </w:r>
          </w:hyperlink>
        </w:p>
        <w:p>
          <w:pPr>
            <w:pStyle w:val="Contents5"/>
            <w:tabs>
              <w:tab w:val="clear" w:pos="7892"/>
              <w:tab w:val="right" w:pos="9026" w:leader="dot"/>
            </w:tabs>
            <w:rPr/>
          </w:pPr>
          <w:hyperlink w:anchor="__RefHeading___Toc876162_1280447820">
            <w:r>
              <w:rPr>
                <w:webHidden/>
                <w:rStyle w:val="IndexLink"/>
                <w:rtl w:val="true"/>
              </w:rPr>
              <w:t>التنبيه الثاني</w:t>
            </w:r>
            <w:r>
              <w:rPr>
                <w:rStyle w:val="IndexLink"/>
                <w:rtl w:val="true"/>
              </w:rPr>
              <w:t xml:space="preserve">: </w:t>
            </w:r>
            <w:r>
              <w:rPr>
                <w:rStyle w:val="IndexLink"/>
                <w:rtl w:val="true"/>
              </w:rPr>
              <w:t>في عدم اختصاص الغيبة بما يكون في ارتكابه حدّ</w:t>
            </w:r>
            <w:r>
              <w:rPr>
                <w:rStyle w:val="IndexLink"/>
                <w:rtl w:val="true"/>
              </w:rPr>
              <w:tab/>
            </w:r>
            <w:r>
              <w:rPr>
                <w:rStyle w:val="IndexLink"/>
              </w:rPr>
              <w:t>426</w:t>
            </w:r>
          </w:hyperlink>
        </w:p>
        <w:p>
          <w:pPr>
            <w:pStyle w:val="Contents5"/>
            <w:tabs>
              <w:tab w:val="clear" w:pos="7892"/>
              <w:tab w:val="right" w:pos="9026" w:leader="dot"/>
            </w:tabs>
            <w:rPr/>
          </w:pPr>
          <w:hyperlink w:anchor="__RefHeading___Toc876164_1280447820">
            <w:r>
              <w:rPr>
                <w:webHidden/>
                <w:rStyle w:val="IndexLink"/>
                <w:rtl w:val="true"/>
              </w:rPr>
              <w:t>التنبيه الثالث</w:t>
            </w:r>
            <w:r>
              <w:rPr>
                <w:rStyle w:val="IndexLink"/>
                <w:rtl w:val="true"/>
              </w:rPr>
              <w:t xml:space="preserve">: </w:t>
            </w:r>
            <w:r>
              <w:rPr>
                <w:rStyle w:val="IndexLink"/>
                <w:rtl w:val="true"/>
              </w:rPr>
              <w:t>في حكم نفي الكمال</w:t>
            </w:r>
            <w:r>
              <w:rPr>
                <w:rStyle w:val="IndexLink"/>
                <w:rtl w:val="true"/>
              </w:rPr>
              <w:tab/>
            </w:r>
            <w:r>
              <w:rPr>
                <w:rStyle w:val="IndexLink"/>
              </w:rPr>
              <w:t>427</w:t>
            </w:r>
          </w:hyperlink>
        </w:p>
        <w:p>
          <w:pPr>
            <w:pStyle w:val="Contents5"/>
            <w:tabs>
              <w:tab w:val="clear" w:pos="7892"/>
              <w:tab w:val="right" w:pos="9026" w:leader="dot"/>
            </w:tabs>
            <w:rPr/>
          </w:pPr>
          <w:hyperlink w:anchor="__RefHeading___Toc876166_1280447820">
            <w:r>
              <w:rPr>
                <w:webHidden/>
                <w:rStyle w:val="IndexLink"/>
                <w:rtl w:val="true"/>
              </w:rPr>
              <w:t>التنبيه الرابع</w:t>
            </w:r>
            <w:r>
              <w:rPr>
                <w:rStyle w:val="IndexLink"/>
                <w:rtl w:val="true"/>
              </w:rPr>
              <w:t xml:space="preserve">: </w:t>
            </w:r>
            <w:r>
              <w:rPr>
                <w:rStyle w:val="IndexLink"/>
                <w:rtl w:val="true"/>
              </w:rPr>
              <w:t>في العيوب الظاهرة</w:t>
            </w:r>
            <w:r>
              <w:rPr>
                <w:rStyle w:val="IndexLink"/>
                <w:rtl w:val="true"/>
              </w:rPr>
              <w:tab/>
            </w:r>
            <w:r>
              <w:rPr>
                <w:rStyle w:val="IndexLink"/>
              </w:rPr>
              <w:t>427</w:t>
            </w:r>
          </w:hyperlink>
        </w:p>
        <w:p>
          <w:pPr>
            <w:pStyle w:val="Contents5"/>
            <w:tabs>
              <w:tab w:val="clear" w:pos="7892"/>
              <w:tab w:val="right" w:pos="9026" w:leader="dot"/>
            </w:tabs>
            <w:rPr/>
          </w:pPr>
          <w:hyperlink w:anchor="__RefHeading___Toc876168_1280447820">
            <w:r>
              <w:rPr>
                <w:webHidden/>
                <w:rStyle w:val="IndexLink"/>
                <w:rtl w:val="true"/>
              </w:rPr>
              <w:t>التنبيه الخامس</w:t>
            </w:r>
            <w:r>
              <w:rPr>
                <w:rStyle w:val="IndexLink"/>
                <w:rtl w:val="true"/>
              </w:rPr>
              <w:t xml:space="preserve">: </w:t>
            </w:r>
            <w:r>
              <w:rPr>
                <w:rStyle w:val="IndexLink"/>
                <w:rtl w:val="true"/>
              </w:rPr>
              <w:t>في أنواع العيب والنقصان</w:t>
            </w:r>
            <w:r>
              <w:rPr>
                <w:rStyle w:val="IndexLink"/>
                <w:rtl w:val="true"/>
              </w:rPr>
              <w:tab/>
            </w:r>
            <w:r>
              <w:rPr>
                <w:rStyle w:val="IndexLink"/>
              </w:rPr>
              <w:t>428</w:t>
            </w:r>
          </w:hyperlink>
        </w:p>
        <w:p>
          <w:pPr>
            <w:pStyle w:val="Contents5"/>
            <w:tabs>
              <w:tab w:val="clear" w:pos="7892"/>
              <w:tab w:val="right" w:pos="9026" w:leader="dot"/>
            </w:tabs>
            <w:rPr/>
          </w:pPr>
          <w:hyperlink w:anchor="__RefHeading___Toc876170_1280447820">
            <w:r>
              <w:rPr>
                <w:webHidden/>
                <w:rStyle w:val="IndexLink"/>
                <w:rtl w:val="true"/>
              </w:rPr>
              <w:t>التنبيه السادس</w:t>
            </w:r>
            <w:r>
              <w:rPr>
                <w:rStyle w:val="IndexLink"/>
                <w:rtl w:val="true"/>
              </w:rPr>
              <w:t xml:space="preserve">: </w:t>
            </w:r>
            <w:r>
              <w:rPr>
                <w:rStyle w:val="IndexLink"/>
                <w:rtl w:val="true"/>
              </w:rPr>
              <w:t>في أنواع ذكر العيب</w:t>
            </w:r>
            <w:r>
              <w:rPr>
                <w:rStyle w:val="IndexLink"/>
                <w:rtl w:val="true"/>
              </w:rPr>
              <w:tab/>
            </w:r>
            <w:r>
              <w:rPr>
                <w:rStyle w:val="IndexLink"/>
              </w:rPr>
              <w:t>429</w:t>
            </w:r>
          </w:hyperlink>
        </w:p>
        <w:p>
          <w:pPr>
            <w:pStyle w:val="Contents5"/>
            <w:tabs>
              <w:tab w:val="clear" w:pos="7892"/>
              <w:tab w:val="right" w:pos="9026" w:leader="dot"/>
            </w:tabs>
            <w:rPr/>
          </w:pPr>
          <w:hyperlink w:anchor="__RefHeading___Toc876172_1280447820">
            <w:r>
              <w:rPr>
                <w:webHidden/>
                <w:rStyle w:val="IndexLink"/>
                <w:rtl w:val="true"/>
              </w:rPr>
              <w:t>التنبيه السابع</w:t>
            </w:r>
            <w:r>
              <w:rPr>
                <w:rStyle w:val="IndexLink"/>
                <w:rtl w:val="true"/>
              </w:rPr>
              <w:t xml:space="preserve">: </w:t>
            </w:r>
            <w:r>
              <w:rPr>
                <w:rStyle w:val="IndexLink"/>
                <w:rtl w:val="true"/>
              </w:rPr>
              <w:t>في المراد من الستر</w:t>
            </w:r>
            <w:r>
              <w:rPr>
                <w:rStyle w:val="IndexLink"/>
                <w:rtl w:val="true"/>
              </w:rPr>
              <w:tab/>
            </w:r>
            <w:r>
              <w:rPr>
                <w:rStyle w:val="IndexLink"/>
              </w:rPr>
              <w:t>431</w:t>
            </w:r>
          </w:hyperlink>
        </w:p>
        <w:p>
          <w:pPr>
            <w:pStyle w:val="Contents5"/>
            <w:tabs>
              <w:tab w:val="clear" w:pos="7892"/>
              <w:tab w:val="right" w:pos="9026" w:leader="dot"/>
            </w:tabs>
            <w:rPr/>
          </w:pPr>
          <w:hyperlink w:anchor="__RefHeading___Toc876174_1280447820">
            <w:r>
              <w:rPr>
                <w:webHidden/>
                <w:rStyle w:val="IndexLink"/>
                <w:rtl w:val="true"/>
              </w:rPr>
              <w:t>التنبيه الثامن</w:t>
            </w:r>
            <w:r>
              <w:rPr>
                <w:rStyle w:val="IndexLink"/>
                <w:rtl w:val="true"/>
              </w:rPr>
              <w:t xml:space="preserve">: </w:t>
            </w:r>
            <w:r>
              <w:rPr>
                <w:rStyle w:val="IndexLink"/>
                <w:rtl w:val="true"/>
              </w:rPr>
              <w:t>في اعتبار حضور المخاطب الملتفت عند من يذكر عيب الغير</w:t>
            </w:r>
            <w:r>
              <w:rPr>
                <w:rStyle w:val="IndexLink"/>
                <w:rtl w:val="true"/>
              </w:rPr>
              <w:tab/>
            </w:r>
            <w:r>
              <w:rPr>
                <w:rStyle w:val="IndexLink"/>
              </w:rPr>
              <w:t>433</w:t>
            </w:r>
          </w:hyperlink>
        </w:p>
        <w:p>
          <w:pPr>
            <w:pStyle w:val="Contents5"/>
            <w:tabs>
              <w:tab w:val="clear" w:pos="7892"/>
              <w:tab w:val="right" w:pos="9026" w:leader="dot"/>
            </w:tabs>
            <w:rPr/>
          </w:pPr>
          <w:hyperlink w:anchor="__RefHeading___Toc876176_1280447820">
            <w:r>
              <w:rPr>
                <w:webHidden/>
                <w:rStyle w:val="IndexLink"/>
                <w:rtl w:val="true"/>
              </w:rPr>
              <w:t>التنبيه التاسع</w:t>
            </w:r>
            <w:r>
              <w:rPr>
                <w:rStyle w:val="IndexLink"/>
                <w:rtl w:val="true"/>
              </w:rPr>
              <w:t xml:space="preserve">: </w:t>
            </w:r>
            <w:r>
              <w:rPr>
                <w:rStyle w:val="IndexLink"/>
                <w:rtl w:val="true"/>
              </w:rPr>
              <w:t>في عدم صدق الغيبة مع حضور المغتاب بالفتح</w:t>
            </w:r>
            <w:r>
              <w:rPr>
                <w:rStyle w:val="IndexLink"/>
                <w:rtl w:val="true"/>
              </w:rPr>
              <w:tab/>
            </w:r>
            <w:r>
              <w:rPr>
                <w:rStyle w:val="IndexLink"/>
              </w:rPr>
              <w:t>434</w:t>
            </w:r>
          </w:hyperlink>
        </w:p>
        <w:p>
          <w:pPr>
            <w:pStyle w:val="Contents5"/>
            <w:tabs>
              <w:tab w:val="clear" w:pos="7892"/>
              <w:tab w:val="right" w:pos="9026" w:leader="dot"/>
            </w:tabs>
            <w:rPr/>
          </w:pPr>
          <w:hyperlink w:anchor="__RefHeading___Toc876178_1280447820">
            <w:r>
              <w:rPr>
                <w:webHidden/>
                <w:rStyle w:val="IndexLink"/>
                <w:rtl w:val="true"/>
              </w:rPr>
              <w:t>التنبيه العاشر</w:t>
            </w:r>
            <w:r>
              <w:rPr>
                <w:rStyle w:val="IndexLink"/>
                <w:rtl w:val="true"/>
              </w:rPr>
              <w:t xml:space="preserve">: </w:t>
            </w:r>
            <w:r>
              <w:rPr>
                <w:rStyle w:val="IndexLink"/>
                <w:rtl w:val="true"/>
              </w:rPr>
              <w:t>في الشك في دخالة شىء في تحقق موضوع الغيبة</w:t>
            </w:r>
            <w:r>
              <w:rPr>
                <w:rStyle w:val="IndexLink"/>
                <w:rtl w:val="true"/>
              </w:rPr>
              <w:tab/>
            </w:r>
            <w:r>
              <w:rPr>
                <w:rStyle w:val="IndexLink"/>
              </w:rPr>
              <w:t>435</w:t>
            </w:r>
          </w:hyperlink>
        </w:p>
        <w:p>
          <w:pPr>
            <w:pStyle w:val="Contents5"/>
            <w:tabs>
              <w:tab w:val="clear" w:pos="7892"/>
              <w:tab w:val="right" w:pos="9026" w:leader="dot"/>
            </w:tabs>
            <w:rPr/>
          </w:pPr>
          <w:hyperlink w:anchor="__RefHeading___Toc876180_1280447820">
            <w:r>
              <w:rPr>
                <w:webHidden/>
                <w:rStyle w:val="IndexLink"/>
                <w:rtl w:val="true"/>
              </w:rPr>
              <w:t>التنبيه الحادي عشر</w:t>
            </w:r>
            <w:r>
              <w:rPr>
                <w:rStyle w:val="IndexLink"/>
                <w:rtl w:val="true"/>
              </w:rPr>
              <w:t xml:space="preserve">: </w:t>
            </w:r>
            <w:r>
              <w:rPr>
                <w:rStyle w:val="IndexLink"/>
                <w:rtl w:val="true"/>
              </w:rPr>
              <w:t>في عدم الفرق بين أن تكون الغيبة بالدلالة المطابقية أو بغيرها</w:t>
            </w:r>
            <w:r>
              <w:rPr>
                <w:rStyle w:val="IndexLink"/>
                <w:rtl w:val="true"/>
              </w:rPr>
              <w:tab/>
            </w:r>
            <w:r>
              <w:rPr>
                <w:rStyle w:val="IndexLink"/>
              </w:rPr>
              <w:t>436</w:t>
            </w:r>
          </w:hyperlink>
        </w:p>
        <w:p>
          <w:pPr>
            <w:pStyle w:val="Contents5"/>
            <w:tabs>
              <w:tab w:val="clear" w:pos="7892"/>
              <w:tab w:val="right" w:pos="9026" w:leader="dot"/>
            </w:tabs>
            <w:rPr/>
          </w:pPr>
          <w:hyperlink w:anchor="__RefHeading___Toc876182_1280447820">
            <w:r>
              <w:rPr>
                <w:webHidden/>
                <w:rStyle w:val="IndexLink"/>
                <w:rtl w:val="true"/>
              </w:rPr>
              <w:t>التنبيه الثاني عشر</w:t>
            </w:r>
            <w:r>
              <w:rPr>
                <w:rStyle w:val="IndexLink"/>
                <w:rtl w:val="true"/>
              </w:rPr>
              <w:t xml:space="preserve">: </w:t>
            </w:r>
            <w:r>
              <w:rPr>
                <w:rStyle w:val="IndexLink"/>
                <w:rtl w:val="true"/>
              </w:rPr>
              <w:t>في حكم غيبة من يكون مردّداً بين أشخاص</w:t>
            </w:r>
            <w:r>
              <w:rPr>
                <w:rStyle w:val="IndexLink"/>
                <w:rtl w:val="true"/>
              </w:rPr>
              <w:tab/>
            </w:r>
            <w:r>
              <w:rPr>
                <w:rStyle w:val="IndexLink"/>
              </w:rPr>
              <w:t>437</w:t>
            </w:r>
          </w:hyperlink>
        </w:p>
        <w:p>
          <w:pPr>
            <w:pStyle w:val="Contents3"/>
            <w:tabs>
              <w:tab w:val="clear" w:pos="8459"/>
              <w:tab w:val="right" w:pos="9026" w:leader="dot"/>
            </w:tabs>
            <w:rPr/>
          </w:pPr>
          <w:hyperlink w:anchor="__RefHeading___Toc876184_1280447820">
            <w:r>
              <w:rPr>
                <w:webHidden/>
                <w:rStyle w:val="IndexLink"/>
                <w:rtl w:val="true"/>
              </w:rPr>
              <w:t>المقام الثاني</w:t>
            </w:r>
            <w:r>
              <w:rPr>
                <w:rStyle w:val="IndexLink"/>
                <w:rtl w:val="true"/>
              </w:rPr>
              <w:t xml:space="preserve">: </w:t>
            </w:r>
            <w:r>
              <w:rPr>
                <w:rStyle w:val="IndexLink"/>
                <w:rtl w:val="true"/>
              </w:rPr>
              <w:t>في أدلّة تحريم الغيبة</w:t>
            </w:r>
            <w:r>
              <w:rPr>
                <w:rStyle w:val="IndexLink"/>
                <w:rtl w:val="true"/>
              </w:rPr>
              <w:tab/>
            </w:r>
            <w:r>
              <w:rPr>
                <w:rStyle w:val="IndexLink"/>
              </w:rPr>
              <w:t>439</w:t>
            </w:r>
          </w:hyperlink>
        </w:p>
        <w:p>
          <w:pPr>
            <w:pStyle w:val="Contents4"/>
            <w:tabs>
              <w:tab w:val="clear" w:pos="8176"/>
              <w:tab w:val="right" w:pos="9026" w:leader="dot"/>
            </w:tabs>
            <w:rPr/>
          </w:pPr>
          <w:hyperlink w:anchor="__RefHeading___Toc876186_1280447820">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876188_1280447820">
            <w:r>
              <w:rPr>
                <w:webHidden/>
                <w:rStyle w:val="IndexLink"/>
                <w:rtl w:val="true"/>
              </w:rPr>
              <w:t>هل تختصّ حرمة الغيبة بالمؤمن‌؟</w:t>
            </w:r>
            <w:r>
              <w:rPr>
                <w:rStyle w:val="IndexLink"/>
                <w:rtl w:val="true"/>
              </w:rPr>
              <w:tab/>
            </w:r>
            <w:r>
              <w:rPr>
                <w:rStyle w:val="IndexLink"/>
              </w:rPr>
              <w:t>451</w:t>
            </w:r>
          </w:hyperlink>
        </w:p>
        <w:p>
          <w:pPr>
            <w:pStyle w:val="Contents4"/>
            <w:tabs>
              <w:tab w:val="clear" w:pos="8176"/>
              <w:tab w:val="right" w:pos="9026" w:leader="dot"/>
            </w:tabs>
            <w:rPr/>
          </w:pPr>
          <w:hyperlink w:anchor="__RefHeading___Toc876190_1280447820">
            <w:r>
              <w:rPr>
                <w:webHidden/>
                <w:rStyle w:val="IndexLink"/>
                <w:rtl w:val="true"/>
              </w:rPr>
              <w:t>غيبة الصبيان والمجانين</w:t>
            </w:r>
            <w:r>
              <w:rPr>
                <w:rStyle w:val="IndexLink"/>
                <w:rtl w:val="true"/>
              </w:rPr>
              <w:t>:</w:t>
              <w:tab/>
            </w:r>
            <w:r>
              <w:rPr>
                <w:rStyle w:val="IndexLink"/>
              </w:rPr>
              <w:t>454</w:t>
            </w:r>
          </w:hyperlink>
        </w:p>
        <w:p>
          <w:pPr>
            <w:pStyle w:val="Contents3"/>
            <w:tabs>
              <w:tab w:val="clear" w:pos="8459"/>
              <w:tab w:val="right" w:pos="9026" w:leader="dot"/>
            </w:tabs>
            <w:rPr/>
          </w:pPr>
          <w:hyperlink w:anchor="__RefHeading___Toc876192_1280447820">
            <w:r>
              <w:rPr>
                <w:webHidden/>
                <w:rStyle w:val="IndexLink"/>
                <w:rtl w:val="true"/>
              </w:rPr>
              <w:t>المقام الثالث</w:t>
            </w:r>
            <w:r>
              <w:rPr>
                <w:rStyle w:val="IndexLink"/>
                <w:rtl w:val="true"/>
              </w:rPr>
              <w:t xml:space="preserve">: </w:t>
            </w:r>
            <w:r>
              <w:rPr>
                <w:rStyle w:val="IndexLink"/>
                <w:rtl w:val="true"/>
              </w:rPr>
              <w:t>في كفّارة الغيبة</w:t>
            </w:r>
            <w:r>
              <w:rPr>
                <w:rStyle w:val="IndexLink"/>
                <w:rtl w:val="true"/>
              </w:rPr>
              <w:tab/>
            </w:r>
            <w:r>
              <w:rPr>
                <w:rStyle w:val="IndexLink"/>
              </w:rPr>
              <w:t>456</w:t>
            </w:r>
          </w:hyperlink>
        </w:p>
        <w:p>
          <w:pPr>
            <w:pStyle w:val="Contents3"/>
            <w:tabs>
              <w:tab w:val="clear" w:pos="8459"/>
              <w:tab w:val="right" w:pos="9026" w:leader="dot"/>
            </w:tabs>
            <w:rPr/>
          </w:pPr>
          <w:hyperlink w:anchor="__RefHeading___Toc876194_1280447820">
            <w:r>
              <w:rPr>
                <w:webHidden/>
                <w:rStyle w:val="IndexLink"/>
                <w:rtl w:val="true"/>
              </w:rPr>
              <w:t>المقام الرابع</w:t>
            </w:r>
            <w:r>
              <w:rPr>
                <w:rStyle w:val="IndexLink"/>
                <w:rtl w:val="true"/>
              </w:rPr>
              <w:t xml:space="preserve">: </w:t>
            </w:r>
            <w:r>
              <w:rPr>
                <w:rStyle w:val="IndexLink"/>
                <w:rtl w:val="true"/>
              </w:rPr>
              <w:t>في موارد الاستثناء</w:t>
            </w:r>
            <w:r>
              <w:rPr>
                <w:rStyle w:val="IndexLink"/>
                <w:rtl w:val="true"/>
              </w:rPr>
              <w:tab/>
            </w:r>
            <w:r>
              <w:rPr>
                <w:rStyle w:val="IndexLink"/>
              </w:rPr>
              <w:t>467</w:t>
            </w:r>
          </w:hyperlink>
        </w:p>
        <w:p>
          <w:pPr>
            <w:pStyle w:val="Contents4"/>
            <w:tabs>
              <w:tab w:val="clear" w:pos="8176"/>
              <w:tab w:val="right" w:pos="9026" w:leader="dot"/>
            </w:tabs>
            <w:rPr/>
          </w:pPr>
          <w:hyperlink w:anchor="__RefHeading___Toc876196_1280447820">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876198_1280447820">
            <w:r>
              <w:rPr>
                <w:webHidden/>
                <w:rStyle w:val="IndexLink"/>
                <w:rtl w:val="true"/>
              </w:rPr>
              <w:t>تنبيهات</w:t>
            </w:r>
            <w:r>
              <w:rPr>
                <w:rStyle w:val="IndexLink"/>
                <w:rtl w:val="true"/>
              </w:rPr>
              <w:t>:</w:t>
              <w:tab/>
            </w:r>
            <w:r>
              <w:rPr>
                <w:rStyle w:val="IndexLink"/>
              </w:rPr>
              <w:t>485</w:t>
            </w:r>
          </w:hyperlink>
        </w:p>
        <w:p>
          <w:pPr>
            <w:pStyle w:val="Contents5"/>
            <w:tabs>
              <w:tab w:val="clear" w:pos="7892"/>
              <w:tab w:val="right" w:pos="9026" w:leader="dot"/>
            </w:tabs>
            <w:rPr/>
          </w:pPr>
          <w:hyperlink w:anchor="__RefHeading___Toc876200_1280447820">
            <w:r>
              <w:rPr>
                <w:webHidden/>
                <w:rStyle w:val="IndexLink"/>
                <w:rtl w:val="true"/>
              </w:rPr>
              <w:t>التنبيه الأوّل</w:t>
            </w:r>
            <w:r>
              <w:rPr>
                <w:rStyle w:val="IndexLink"/>
                <w:rtl w:val="true"/>
              </w:rPr>
              <w:t xml:space="preserve">: </w:t>
            </w:r>
            <w:r>
              <w:rPr>
                <w:rStyle w:val="IndexLink"/>
                <w:rtl w:val="true"/>
              </w:rPr>
              <w:t>في جواز غيبة المتجاهر فيما تجاهر به</w:t>
            </w:r>
            <w:r>
              <w:rPr>
                <w:rStyle w:val="IndexLink"/>
                <w:rtl w:val="true"/>
              </w:rPr>
              <w:tab/>
            </w:r>
            <w:r>
              <w:rPr>
                <w:rStyle w:val="IndexLink"/>
              </w:rPr>
              <w:t>485</w:t>
            </w:r>
          </w:hyperlink>
        </w:p>
        <w:p>
          <w:pPr>
            <w:pStyle w:val="Contents5"/>
            <w:tabs>
              <w:tab w:val="clear" w:pos="7892"/>
              <w:tab w:val="right" w:pos="9026" w:leader="dot"/>
            </w:tabs>
            <w:rPr/>
          </w:pPr>
          <w:hyperlink w:anchor="__RefHeading___Toc876202_1280447820">
            <w:r>
              <w:rPr>
                <w:webHidden/>
                <w:rStyle w:val="IndexLink"/>
                <w:rtl w:val="true"/>
              </w:rPr>
              <w:t>التنبيه الثاني</w:t>
            </w:r>
            <w:r>
              <w:rPr>
                <w:rStyle w:val="IndexLink"/>
                <w:rtl w:val="true"/>
              </w:rPr>
              <w:t xml:space="preserve">: </w:t>
            </w:r>
            <w:r>
              <w:rPr>
                <w:rStyle w:val="IndexLink"/>
                <w:rtl w:val="true"/>
              </w:rPr>
              <w:t>هل يجوز اغتياب المتجاهر في غير ما تجاهر به‌؟</w:t>
            </w:r>
            <w:r>
              <w:rPr>
                <w:rStyle w:val="IndexLink"/>
                <w:rtl w:val="true"/>
              </w:rPr>
              <w:tab/>
            </w:r>
            <w:r>
              <w:rPr>
                <w:rStyle w:val="IndexLink"/>
              </w:rPr>
              <w:t>486</w:t>
            </w:r>
          </w:hyperlink>
        </w:p>
        <w:p>
          <w:pPr>
            <w:pStyle w:val="Contents5"/>
            <w:tabs>
              <w:tab w:val="clear" w:pos="7892"/>
              <w:tab w:val="right" w:pos="9026" w:leader="dot"/>
            </w:tabs>
            <w:rPr/>
          </w:pPr>
          <w:hyperlink w:anchor="__RefHeading___Toc876204_1280447820">
            <w:r>
              <w:rPr>
                <w:webHidden/>
                <w:rStyle w:val="IndexLink"/>
                <w:rtl w:val="true"/>
              </w:rPr>
              <w:t>التنبيه الثالث</w:t>
            </w:r>
            <w:r>
              <w:rPr>
                <w:rStyle w:val="IndexLink"/>
                <w:rtl w:val="true"/>
              </w:rPr>
              <w:t xml:space="preserve">: </w:t>
            </w:r>
            <w:r>
              <w:rPr>
                <w:rStyle w:val="IndexLink"/>
                <w:rtl w:val="true"/>
              </w:rPr>
              <w:t>في المراد من المتجاهر بالفسق</w:t>
            </w:r>
            <w:r>
              <w:rPr>
                <w:rStyle w:val="IndexLink"/>
                <w:rtl w:val="true"/>
              </w:rPr>
              <w:tab/>
            </w:r>
            <w:r>
              <w:rPr>
                <w:rStyle w:val="IndexLink"/>
              </w:rPr>
              <w:t>488</w:t>
            </w:r>
          </w:hyperlink>
        </w:p>
        <w:p>
          <w:pPr>
            <w:pStyle w:val="Contents5"/>
            <w:tabs>
              <w:tab w:val="clear" w:pos="7892"/>
              <w:tab w:val="right" w:pos="9026" w:leader="dot"/>
            </w:tabs>
            <w:rPr/>
          </w:pPr>
          <w:hyperlink w:anchor="__RefHeading___Toc876206_1280447820">
            <w:r>
              <w:rPr>
                <w:webHidden/>
                <w:rStyle w:val="IndexLink"/>
                <w:rtl w:val="true"/>
              </w:rPr>
              <w:t>التنبيه الرابع</w:t>
            </w:r>
            <w:r>
              <w:rPr>
                <w:rStyle w:val="IndexLink"/>
                <w:rtl w:val="true"/>
              </w:rPr>
              <w:t xml:space="preserve">: </w:t>
            </w:r>
            <w:r>
              <w:rPr>
                <w:rStyle w:val="IndexLink"/>
                <w:rtl w:val="true"/>
              </w:rPr>
              <w:t>في حكم غيبة المتجاهر في غير بلده إذا كان مستور الفسق عندهم</w:t>
            </w:r>
            <w:r>
              <w:rPr>
                <w:rStyle w:val="IndexLink"/>
                <w:rtl w:val="true"/>
              </w:rPr>
              <w:tab/>
            </w:r>
            <w:r>
              <w:rPr>
                <w:rStyle w:val="IndexLink"/>
              </w:rPr>
              <w:t>488</w:t>
            </w:r>
          </w:hyperlink>
        </w:p>
        <w:p>
          <w:pPr>
            <w:pStyle w:val="Contents5"/>
            <w:tabs>
              <w:tab w:val="clear" w:pos="7892"/>
              <w:tab w:val="right" w:pos="9026" w:leader="dot"/>
            </w:tabs>
            <w:rPr/>
          </w:pPr>
          <w:hyperlink w:anchor="__RefHeading___Toc876208_1280447820">
            <w:r>
              <w:rPr>
                <w:webHidden/>
                <w:rStyle w:val="IndexLink"/>
                <w:rtl w:val="true"/>
              </w:rPr>
              <w:t>التنبيه الخامس</w:t>
            </w:r>
            <w:r>
              <w:rPr>
                <w:rStyle w:val="IndexLink"/>
                <w:rtl w:val="true"/>
              </w:rPr>
              <w:t xml:space="preserve">: </w:t>
            </w:r>
            <w:r>
              <w:rPr>
                <w:rStyle w:val="IndexLink"/>
                <w:rtl w:val="true"/>
              </w:rPr>
              <w:t>إذا صار المتجاهر ساتراً لعيوبه وتائباً</w:t>
            </w:r>
            <w:r>
              <w:rPr>
                <w:rStyle w:val="IndexLink"/>
                <w:rtl w:val="true"/>
              </w:rPr>
              <w:tab/>
            </w:r>
            <w:r>
              <w:rPr>
                <w:rStyle w:val="IndexLink"/>
              </w:rPr>
              <w:t>490</w:t>
            </w:r>
          </w:hyperlink>
        </w:p>
        <w:p>
          <w:pPr>
            <w:pStyle w:val="Contents3"/>
            <w:tabs>
              <w:tab w:val="clear" w:pos="8459"/>
              <w:tab w:val="right" w:pos="9026" w:leader="dot"/>
            </w:tabs>
            <w:rPr/>
          </w:pPr>
          <w:hyperlink w:anchor="__RefHeading___Toc876210_1280447820">
            <w:r>
              <w:rPr>
                <w:webHidden/>
                <w:rStyle w:val="IndexLink"/>
                <w:rtl w:val="true"/>
              </w:rPr>
              <w:t>المقام الخامس</w:t>
            </w:r>
            <w:r>
              <w:rPr>
                <w:rStyle w:val="IndexLink"/>
                <w:rtl w:val="true"/>
              </w:rPr>
              <w:t xml:space="preserve">: </w:t>
            </w:r>
            <w:r>
              <w:rPr>
                <w:rStyle w:val="IndexLink"/>
                <w:rtl w:val="true"/>
              </w:rPr>
              <w:t>في حكم استماع الغيبة</w:t>
            </w:r>
            <w:r>
              <w:rPr>
                <w:rStyle w:val="IndexLink"/>
                <w:rtl w:val="true"/>
              </w:rPr>
              <w:tab/>
            </w:r>
            <w:r>
              <w:rPr>
                <w:rStyle w:val="IndexLink"/>
              </w:rPr>
              <w:t>499</w:t>
            </w:r>
          </w:hyperlink>
        </w:p>
        <w:p>
          <w:pPr>
            <w:pStyle w:val="Contents4"/>
            <w:tabs>
              <w:tab w:val="clear" w:pos="8176"/>
              <w:tab w:val="right" w:pos="9026" w:leader="dot"/>
            </w:tabs>
            <w:rPr/>
          </w:pPr>
          <w:hyperlink w:anchor="__RefHeading___Toc876212_1280447820">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876214_1280447820">
            <w:r>
              <w:rPr>
                <w:webHidden/>
                <w:rStyle w:val="IndexLink"/>
                <w:rtl w:val="true"/>
              </w:rPr>
              <w:t>فروع</w:t>
            </w:r>
            <w:r>
              <w:rPr>
                <w:rStyle w:val="IndexLink"/>
                <w:rtl w:val="true"/>
              </w:rPr>
              <w:t>:</w:t>
              <w:tab/>
            </w:r>
            <w:r>
              <w:rPr>
                <w:rStyle w:val="IndexLink"/>
              </w:rPr>
              <w:t>509</w:t>
            </w:r>
          </w:hyperlink>
        </w:p>
        <w:p>
          <w:pPr>
            <w:pStyle w:val="Contents5"/>
            <w:tabs>
              <w:tab w:val="clear" w:pos="7892"/>
              <w:tab w:val="right" w:pos="9026" w:leader="dot"/>
            </w:tabs>
            <w:rPr/>
          </w:pPr>
          <w:hyperlink w:anchor="__RefHeading___Toc876216_1280447820">
            <w:r>
              <w:rPr>
                <w:webHidden/>
                <w:rStyle w:val="IndexLink"/>
                <w:rtl w:val="true"/>
              </w:rPr>
              <w:t>الأوّل</w:t>
            </w:r>
            <w:r>
              <w:rPr>
                <w:rStyle w:val="IndexLink"/>
                <w:rtl w:val="true"/>
              </w:rPr>
              <w:t xml:space="preserve">: </w:t>
            </w:r>
            <w:r>
              <w:rPr>
                <w:rStyle w:val="IndexLink"/>
                <w:rtl w:val="true"/>
              </w:rPr>
              <w:t>في حكم عدم الملازمة بين جواز الغيبة بالإكراه وجواز الاستماع</w:t>
            </w:r>
            <w:r>
              <w:rPr>
                <w:rStyle w:val="IndexLink"/>
                <w:rtl w:val="true"/>
              </w:rPr>
              <w:tab/>
            </w:r>
            <w:r>
              <w:rPr>
                <w:rStyle w:val="IndexLink"/>
              </w:rPr>
              <w:t>509</w:t>
            </w:r>
          </w:hyperlink>
        </w:p>
        <w:p>
          <w:pPr>
            <w:pStyle w:val="Contents5"/>
            <w:tabs>
              <w:tab w:val="clear" w:pos="7892"/>
              <w:tab w:val="right" w:pos="9026" w:leader="dot"/>
            </w:tabs>
            <w:rPr/>
          </w:pPr>
          <w:hyperlink w:anchor="__RefHeading___Toc876218_1280447820">
            <w:r>
              <w:rPr>
                <w:webHidden/>
                <w:rStyle w:val="IndexLink"/>
                <w:rtl w:val="true"/>
              </w:rPr>
              <w:t>الثاني</w:t>
            </w:r>
            <w:r>
              <w:rPr>
                <w:rStyle w:val="IndexLink"/>
                <w:rtl w:val="true"/>
              </w:rPr>
              <w:t xml:space="preserve">: </w:t>
            </w:r>
            <w:r>
              <w:rPr>
                <w:rStyle w:val="IndexLink"/>
                <w:rtl w:val="true"/>
              </w:rPr>
              <w:t>في حكم غيبة من يكون متجاهراً عند المغتاب بالكسر ومستوراً عند المستمع</w:t>
            </w:r>
            <w:r>
              <w:rPr>
                <w:rStyle w:val="IndexLink"/>
                <w:rtl w:val="true"/>
              </w:rPr>
              <w:tab/>
            </w:r>
            <w:r>
              <w:rPr>
                <w:rStyle w:val="IndexLink"/>
              </w:rPr>
              <w:t>509</w:t>
            </w:r>
          </w:hyperlink>
        </w:p>
        <w:p>
          <w:pPr>
            <w:pStyle w:val="Contents5"/>
            <w:tabs>
              <w:tab w:val="clear" w:pos="7892"/>
              <w:tab w:val="right" w:pos="9026" w:leader="dot"/>
            </w:tabs>
            <w:rPr/>
          </w:pPr>
          <w:hyperlink w:anchor="__RefHeading___Toc876220_1280447820">
            <w:r>
              <w:rPr>
                <w:webHidden/>
                <w:rStyle w:val="IndexLink"/>
                <w:rtl w:val="true"/>
              </w:rPr>
              <w:t>الثالث</w:t>
            </w:r>
            <w:r>
              <w:rPr>
                <w:rStyle w:val="IndexLink"/>
                <w:rtl w:val="true"/>
              </w:rPr>
              <w:t xml:space="preserve">: </w:t>
            </w:r>
            <w:r>
              <w:rPr>
                <w:rStyle w:val="IndexLink"/>
                <w:rtl w:val="true"/>
              </w:rPr>
              <w:t>يجب عند الاغتياب أمران</w:t>
            </w:r>
            <w:r>
              <w:rPr>
                <w:rStyle w:val="IndexLink"/>
                <w:rtl w:val="true"/>
              </w:rPr>
              <w:t xml:space="preserve">: </w:t>
            </w:r>
            <w:r>
              <w:rPr>
                <w:rStyle w:val="IndexLink"/>
                <w:rtl w:val="true"/>
              </w:rPr>
              <w:t>أحدهما</w:t>
            </w:r>
            <w:r>
              <w:rPr>
                <w:rStyle w:val="IndexLink"/>
                <w:rtl w:val="true"/>
              </w:rPr>
              <w:t xml:space="preserve">: </w:t>
            </w:r>
            <w:r>
              <w:rPr>
                <w:rStyle w:val="IndexLink"/>
                <w:rtl w:val="true"/>
              </w:rPr>
              <w:t>نهي المغتاب بالكسر وثانيهما</w:t>
            </w:r>
            <w:r>
              <w:rPr>
                <w:rStyle w:val="IndexLink"/>
                <w:rtl w:val="true"/>
              </w:rPr>
              <w:t xml:space="preserve">: </w:t>
            </w:r>
            <w:r>
              <w:rPr>
                <w:rStyle w:val="IndexLink"/>
                <w:rtl w:val="true"/>
              </w:rPr>
              <w:t>ردّ الغيبة</w:t>
            </w:r>
            <w:r>
              <w:rPr>
                <w:rStyle w:val="IndexLink"/>
                <w:rtl w:val="true"/>
              </w:rPr>
              <w:tab/>
            </w:r>
            <w:r>
              <w:rPr>
                <w:rStyle w:val="IndexLink"/>
              </w:rPr>
              <w:t>511</w:t>
            </w:r>
          </w:hyperlink>
        </w:p>
        <w:p>
          <w:pPr>
            <w:pStyle w:val="Contents5"/>
            <w:tabs>
              <w:tab w:val="clear" w:pos="7892"/>
              <w:tab w:val="right" w:pos="9026" w:leader="dot"/>
            </w:tabs>
            <w:rPr/>
          </w:pPr>
          <w:hyperlink w:anchor="__RefHeading___Toc876222_1280447820">
            <w:r>
              <w:rPr>
                <w:webHidden/>
                <w:rStyle w:val="IndexLink"/>
                <w:rtl w:val="true"/>
              </w:rPr>
              <w:t>الرابع</w:t>
            </w:r>
            <w:r>
              <w:rPr>
                <w:rStyle w:val="IndexLink"/>
                <w:rtl w:val="true"/>
              </w:rPr>
              <w:t xml:space="preserve">: </w:t>
            </w:r>
            <w:r>
              <w:rPr>
                <w:rStyle w:val="IndexLink"/>
                <w:rtl w:val="true"/>
              </w:rPr>
              <w:t>المراد من ردّ الغيبة هو انتصار المغتاب بالفتح</w:t>
            </w:r>
            <w:r>
              <w:rPr>
                <w:rStyle w:val="IndexLink"/>
                <w:rtl w:val="true"/>
              </w:rPr>
              <w:tab/>
            </w:r>
            <w:r>
              <w:rPr>
                <w:rStyle w:val="IndexLink"/>
              </w:rPr>
              <w:t>512</w:t>
            </w:r>
          </w:hyperlink>
        </w:p>
        <w:p>
          <w:pPr>
            <w:pStyle w:val="Contents5"/>
            <w:tabs>
              <w:tab w:val="clear" w:pos="7892"/>
              <w:tab w:val="right" w:pos="9026" w:leader="dot"/>
            </w:tabs>
            <w:rPr/>
          </w:pPr>
          <w:hyperlink w:anchor="__RefHeading___Toc876224_1280447820">
            <w:r>
              <w:rPr>
                <w:webHidden/>
                <w:rStyle w:val="IndexLink"/>
                <w:rtl w:val="true"/>
              </w:rPr>
              <w:t>الخامس</w:t>
            </w:r>
            <w:r>
              <w:rPr>
                <w:rStyle w:val="IndexLink"/>
                <w:rtl w:val="true"/>
              </w:rPr>
              <w:t xml:space="preserve">: </w:t>
            </w:r>
            <w:r>
              <w:rPr>
                <w:rStyle w:val="IndexLink"/>
                <w:rtl w:val="true"/>
              </w:rPr>
              <w:t>في حكم ذي اللسانين</w:t>
            </w:r>
            <w:r>
              <w:rPr>
                <w:rStyle w:val="IndexLink"/>
                <w:rtl w:val="true"/>
              </w:rPr>
              <w:tab/>
            </w:r>
            <w:r>
              <w:rPr>
                <w:rStyle w:val="IndexLink"/>
              </w:rPr>
              <w:t>513</w:t>
            </w:r>
          </w:hyperlink>
        </w:p>
        <w:p>
          <w:pPr>
            <w:pStyle w:val="Contents5"/>
            <w:tabs>
              <w:tab w:val="clear" w:pos="7892"/>
              <w:tab w:val="right" w:pos="9026" w:leader="dot"/>
            </w:tabs>
            <w:rPr/>
          </w:pPr>
          <w:hyperlink w:anchor="__RefHeading___Toc876226_1280447820">
            <w:r>
              <w:rPr>
                <w:webHidden/>
                <w:rStyle w:val="IndexLink"/>
                <w:rtl w:val="true"/>
              </w:rPr>
              <w:t>السادس</w:t>
            </w:r>
            <w:r>
              <w:rPr>
                <w:rStyle w:val="IndexLink"/>
                <w:rtl w:val="true"/>
              </w:rPr>
              <w:t xml:space="preserve">: </w:t>
            </w:r>
            <w:r>
              <w:rPr>
                <w:rStyle w:val="IndexLink"/>
                <w:rtl w:val="true"/>
              </w:rPr>
              <w:t>في حكم الشبهة الموضوعية</w:t>
            </w:r>
            <w:r>
              <w:rPr>
                <w:rStyle w:val="IndexLink"/>
                <w:rtl w:val="true"/>
              </w:rPr>
              <w:tab/>
            </w:r>
            <w:r>
              <w:rPr>
                <w:rStyle w:val="IndexLink"/>
              </w:rPr>
              <w:t>516</w:t>
            </w:r>
          </w:hyperlink>
        </w:p>
        <w:p>
          <w:pPr>
            <w:pStyle w:val="Contents5"/>
            <w:tabs>
              <w:tab w:val="clear" w:pos="7892"/>
              <w:tab w:val="right" w:pos="9026" w:leader="dot"/>
            </w:tabs>
            <w:rPr/>
          </w:pPr>
          <w:hyperlink w:anchor="__RefHeading___Toc876228_1280447820">
            <w:r>
              <w:rPr>
                <w:webHidden/>
                <w:rStyle w:val="IndexLink"/>
                <w:rtl w:val="true"/>
              </w:rPr>
              <w:t>السابع</w:t>
            </w:r>
            <w:r>
              <w:rPr>
                <w:rStyle w:val="IndexLink"/>
                <w:rtl w:val="true"/>
              </w:rPr>
              <w:t xml:space="preserve">: </w:t>
            </w:r>
            <w:r>
              <w:rPr>
                <w:rStyle w:val="IndexLink"/>
                <w:rtl w:val="true"/>
              </w:rPr>
              <w:t>في حكم استماع الغيبة بقصد صحيح</w:t>
            </w:r>
            <w:r>
              <w:rPr>
                <w:rStyle w:val="IndexLink"/>
                <w:rtl w:val="true"/>
              </w:rPr>
              <w:tab/>
            </w:r>
            <w:r>
              <w:rPr>
                <w:rStyle w:val="IndexLink"/>
              </w:rPr>
              <w:t>519</w:t>
            </w:r>
          </w:hyperlink>
        </w:p>
        <w:p>
          <w:pPr>
            <w:pStyle w:val="Contents5"/>
            <w:tabs>
              <w:tab w:val="clear" w:pos="7892"/>
              <w:tab w:val="right" w:pos="9026" w:leader="dot"/>
            </w:tabs>
            <w:rPr/>
          </w:pPr>
          <w:hyperlink w:anchor="__RefHeading___Toc876230_1280447820">
            <w:r>
              <w:rPr>
                <w:webHidden/>
                <w:rStyle w:val="IndexLink"/>
                <w:rtl w:val="true"/>
              </w:rPr>
              <w:t>الثامن</w:t>
            </w:r>
            <w:r>
              <w:rPr>
                <w:rStyle w:val="IndexLink"/>
                <w:rtl w:val="true"/>
              </w:rPr>
              <w:t xml:space="preserve">: </w:t>
            </w:r>
            <w:r>
              <w:rPr>
                <w:rStyle w:val="IndexLink"/>
                <w:rtl w:val="true"/>
              </w:rPr>
              <w:t>في حكم غيبة أحد عند من علم بما في المغتاب بالفتح</w:t>
            </w:r>
            <w:r>
              <w:rPr>
                <w:rStyle w:val="IndexLink"/>
                <w:rtl w:val="true"/>
              </w:rPr>
              <w:tab/>
            </w:r>
            <w:r>
              <w:rPr>
                <w:rStyle w:val="IndexLink"/>
              </w:rPr>
              <w:t>521</w:t>
            </w:r>
          </w:hyperlink>
        </w:p>
        <w:p>
          <w:pPr>
            <w:pStyle w:val="Contents5"/>
            <w:tabs>
              <w:tab w:val="clear" w:pos="7892"/>
              <w:tab w:val="right" w:pos="9026" w:leader="dot"/>
            </w:tabs>
            <w:rPr/>
          </w:pPr>
          <w:hyperlink w:anchor="__RefHeading___Toc876232_1280447820">
            <w:r>
              <w:rPr>
                <w:webHidden/>
                <w:rStyle w:val="IndexLink"/>
                <w:rtl w:val="true"/>
              </w:rPr>
              <w:t>التاسع</w:t>
            </w:r>
            <w:r>
              <w:rPr>
                <w:rStyle w:val="IndexLink"/>
                <w:rtl w:val="true"/>
              </w:rPr>
              <w:t xml:space="preserve">: </w:t>
            </w:r>
            <w:r>
              <w:rPr>
                <w:rStyle w:val="IndexLink"/>
                <w:rtl w:val="true"/>
              </w:rPr>
              <w:t>في حكم استماع من لا يعرف المغتاب بالفتح غيبة أحد</w:t>
            </w:r>
            <w:r>
              <w:rPr>
                <w:rStyle w:val="IndexLink"/>
                <w:rtl w:val="true"/>
              </w:rPr>
              <w:tab/>
            </w:r>
            <w:r>
              <w:rPr>
                <w:rStyle w:val="IndexLink"/>
              </w:rPr>
              <w:t>522</w:t>
            </w:r>
          </w:hyperlink>
        </w:p>
        <w:p>
          <w:pPr>
            <w:pStyle w:val="Contents5"/>
            <w:tabs>
              <w:tab w:val="clear" w:pos="7892"/>
              <w:tab w:val="right" w:pos="9026" w:leader="dot"/>
            </w:tabs>
            <w:rPr/>
          </w:pPr>
          <w:hyperlink w:anchor="__RefHeading___Toc876234_1280447820">
            <w:r>
              <w:rPr>
                <w:webHidden/>
                <w:rStyle w:val="IndexLink"/>
                <w:rtl w:val="true"/>
              </w:rPr>
              <w:t>العاشر</w:t>
            </w:r>
            <w:r>
              <w:rPr>
                <w:rStyle w:val="IndexLink"/>
                <w:rtl w:val="true"/>
              </w:rPr>
              <w:t xml:space="preserve">: </w:t>
            </w:r>
            <w:r>
              <w:rPr>
                <w:rStyle w:val="IndexLink"/>
                <w:rtl w:val="true"/>
              </w:rPr>
              <w:t>في حكم غيبة من كان عيبه مستوراً عند الغيبة ولكن يكشف لاحقاً</w:t>
            </w:r>
            <w:r>
              <w:rPr>
                <w:rStyle w:val="IndexLink"/>
                <w:rtl w:val="true"/>
              </w:rPr>
              <w:tab/>
            </w:r>
            <w:r>
              <w:rPr>
                <w:rStyle w:val="IndexLink"/>
              </w:rPr>
              <w:t>522</w:t>
            </w:r>
          </w:hyperlink>
        </w:p>
        <w:p>
          <w:pPr>
            <w:pStyle w:val="Contents5"/>
            <w:tabs>
              <w:tab w:val="clear" w:pos="7892"/>
              <w:tab w:val="right" w:pos="9026" w:leader="dot"/>
            </w:tabs>
            <w:rPr/>
          </w:pPr>
          <w:hyperlink w:anchor="__RefHeading___Toc876236_1280447820">
            <w:r>
              <w:rPr>
                <w:webHidden/>
                <w:rStyle w:val="IndexLink"/>
                <w:rtl w:val="true"/>
              </w:rPr>
              <w:t>الحادي عشر</w:t>
            </w:r>
            <w:r>
              <w:rPr>
                <w:rStyle w:val="IndexLink"/>
                <w:rtl w:val="true"/>
              </w:rPr>
              <w:t xml:space="preserve">: </w:t>
            </w:r>
            <w:r>
              <w:rPr>
                <w:rStyle w:val="IndexLink"/>
                <w:rtl w:val="true"/>
              </w:rPr>
              <w:t>لا يندرج فى الغيبة ذكر موارد الخلل والنقص فى وظائف المتصدّين</w:t>
            </w:r>
            <w:r>
              <w:rPr>
                <w:rStyle w:val="IndexLink"/>
                <w:rtl w:val="true"/>
              </w:rPr>
              <w:tab/>
            </w:r>
            <w:r>
              <w:rPr>
                <w:rStyle w:val="IndexLink"/>
              </w:rPr>
              <w:t>522</w:t>
            </w:r>
          </w:hyperlink>
        </w:p>
        <w:p>
          <w:pPr>
            <w:pStyle w:val="Contents5"/>
            <w:tabs>
              <w:tab w:val="clear" w:pos="7892"/>
              <w:tab w:val="right" w:pos="9026" w:leader="dot"/>
            </w:tabs>
            <w:rPr/>
          </w:pPr>
          <w:hyperlink w:anchor="__RefHeading___Toc876238_1280447820">
            <w:r>
              <w:rPr>
                <w:webHidden/>
                <w:rStyle w:val="IndexLink"/>
                <w:rtl w:val="true"/>
              </w:rPr>
              <w:t>الثاني عشر</w:t>
            </w:r>
            <w:r>
              <w:rPr>
                <w:rStyle w:val="IndexLink"/>
                <w:rtl w:val="true"/>
              </w:rPr>
              <w:t xml:space="preserve">: </w:t>
            </w:r>
            <w:r>
              <w:rPr>
                <w:rStyle w:val="IndexLink"/>
                <w:rtl w:val="true"/>
              </w:rPr>
              <w:t>لا يجوز أخذ الاُجرة على الغيبة المحرّمة</w:t>
            </w:r>
            <w:r>
              <w:rPr>
                <w:rStyle w:val="IndexLink"/>
                <w:rtl w:val="true"/>
              </w:rPr>
              <w:tab/>
            </w:r>
            <w:r>
              <w:rPr>
                <w:rStyle w:val="IndexLink"/>
              </w:rPr>
              <w:t>522</w:t>
            </w:r>
          </w:hyperlink>
        </w:p>
        <w:p>
          <w:pPr>
            <w:pStyle w:val="Contents5"/>
            <w:tabs>
              <w:tab w:val="clear" w:pos="7892"/>
              <w:tab w:val="right" w:pos="9026" w:leader="dot"/>
            </w:tabs>
            <w:rPr/>
          </w:pPr>
          <w:hyperlink w:anchor="__RefHeading___Toc876240_1280447820">
            <w:r>
              <w:rPr>
                <w:webHidden/>
                <w:rStyle w:val="IndexLink"/>
                <w:rtl w:val="true"/>
              </w:rPr>
              <w:t>الثالث عشر</w:t>
            </w:r>
            <w:r>
              <w:rPr>
                <w:rStyle w:val="IndexLink"/>
                <w:rtl w:val="true"/>
              </w:rPr>
              <w:t xml:space="preserve">: </w:t>
            </w:r>
            <w:r>
              <w:rPr>
                <w:rStyle w:val="IndexLink"/>
                <w:rtl w:val="true"/>
              </w:rPr>
              <w:t>في حرمة نقل الغيبة عن الغير</w:t>
            </w:r>
            <w:r>
              <w:rPr>
                <w:rStyle w:val="IndexLink"/>
                <w:rtl w:val="true"/>
              </w:rPr>
              <w:tab/>
            </w:r>
            <w:r>
              <w:rPr>
                <w:rStyle w:val="IndexLink"/>
              </w:rPr>
              <w:t>523</w:t>
            </w:r>
          </w:hyperlink>
        </w:p>
        <w:p>
          <w:pPr>
            <w:pStyle w:val="Contents2"/>
            <w:tabs>
              <w:tab w:val="clear" w:pos="8743"/>
              <w:tab w:val="right" w:pos="9026" w:leader="dot"/>
            </w:tabs>
            <w:rPr/>
          </w:pPr>
          <w:hyperlink w:anchor="__RefHeading___Toc876242_1280447820">
            <w:r>
              <w:rPr>
                <w:webHidden/>
                <w:rStyle w:val="IndexLink"/>
                <w:rtl w:val="true"/>
              </w:rPr>
              <w:t>الفهرس</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23_405710"/>
      <w:bookmarkStart w:id="1" w:name="pg17323_405710"/>
      <w:bookmarkEnd w:id="1"/>
    </w:p>
    <w:p>
      <w:pPr>
        <w:pStyle w:val="Heading2"/>
        <w:numPr>
          <w:ilvl w:val="1"/>
          <w:numId w:val="1"/>
        </w:numPr>
        <w:rPr/>
      </w:pPr>
      <w:bookmarkStart w:id="2" w:name="pg17323_405710"/>
      <w:bookmarkStart w:id="3" w:name="__RefHeading___Toc875792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البحوث‌الهامه ف‍ی‌‌ال‍م‍ک‍اس‍ب‌‌ال‍م‍ح‍رم‍ه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راه‌حق‏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978-964-5515-01-5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978-600-5515-04-6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کار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‌‬۸م‌۷۰۲۱۴۳ ۱۳۸۱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۴۵۲۴۴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5794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الهامّة ج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محسن الخرّازي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رضا الجعفري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23_405719"/>
      <w:bookmarkStart w:id="8" w:name="pg17323_405719"/>
      <w:bookmarkEnd w:id="8"/>
    </w:p>
    <w:p>
      <w:pPr>
        <w:pStyle w:val="Heading2"/>
        <w:numPr>
          <w:ilvl w:val="1"/>
          <w:numId w:val="1"/>
        </w:numPr>
        <w:rPr/>
      </w:pPr>
      <w:bookmarkStart w:id="9" w:name="pg17323_405719"/>
      <w:bookmarkStart w:id="10" w:name="__RefHeading___Toc875796_1280447820"/>
      <w:bookmarkStart w:id="11" w:name="_Toc3"/>
      <w:bookmarkEnd w:id="9"/>
      <w:bookmarkEnd w:id="10"/>
      <w:r>
        <w:rPr>
          <w:rtl w:val="true"/>
        </w:rPr>
        <w:t xml:space="preserve">المسألة الثالثة والعشرون </w:t>
      </w:r>
      <w:r>
        <w:rPr>
          <w:rtl w:val="true"/>
        </w:rPr>
        <w:t>«</w:t>
      </w:r>
      <w:r>
        <w:rPr>
          <w:rtl w:val="true"/>
        </w:rPr>
        <w:t>في الرشوة</w:t>
      </w:r>
      <w:r>
        <w:rPr>
          <w:rtl w:val="true"/>
        </w:rPr>
        <w:t>»</w:t>
      </w:r>
      <w:bookmarkEnd w:id="11"/>
    </w:p>
    <w:p>
      <w:pPr>
        <w:pStyle w:val="Heading3"/>
        <w:numPr>
          <w:ilvl w:val="2"/>
          <w:numId w:val="1"/>
        </w:numPr>
        <w:rPr/>
      </w:pPr>
      <w:bookmarkStart w:id="12" w:name="__RefHeading___Toc875798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والكلام فيها يقع في مقامات</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875800_1280447820"/>
      <w:bookmarkStart w:id="15" w:name="_Toc5"/>
      <w:bookmarkEnd w:id="14"/>
      <w:r>
        <w:rPr>
          <w:rtl w:val="true"/>
        </w:rPr>
        <w:t>المقام الأوّل</w:t>
      </w:r>
      <w:r>
        <w:rPr>
          <w:rtl w:val="true"/>
        </w:rPr>
        <w:t xml:space="preserve">: </w:t>
      </w:r>
      <w:r>
        <w:rPr>
          <w:rtl w:val="true"/>
        </w:rPr>
        <w:t>في موضوع الرشوة وحقيقتها</w:t>
      </w:r>
      <w:bookmarkEnd w:id="15"/>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ورِشا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الوصلة إلى الحاجة بالمصانعة، وأصله من الرشا الذي يتوصّل به إلى الماء، فالراشي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يعينه على الباطل، والمرتشي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والرائش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يسعى بينهما يستزيد لهذا أو يستنقص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يعطى توصّلاً إلى أخذ حقّ أو دفع ظلم فغير 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جماعة من أئمّة التابعين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يصانع الرجل عن نفسه وماله إذا خاف الظلم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والرشوة قلّ ما تستعمل إلاّ فيما يتوصّل به إلى إبطال حقّ‌ </w:t>
      </w:r>
    </w:p>
    <w:p>
      <w:pPr>
        <w:pStyle w:val="BookText"/>
        <w:rPr/>
      </w:pPr>
      <w:r>
        <w:rPr>
          <w:rFonts w:ascii="Amiri" w:hAnsi="Amiri" w:eastAsia="Amiri" w:cs="Amiri"/>
          <w:color w:val="111111"/>
          <w:sz w:val="28"/>
          <w:sz w:val="28"/>
          <w:szCs w:val="28"/>
          <w:rtl w:val="true"/>
          <w:lang w:bidi="ar-SA"/>
        </w:rPr>
        <w:t>أو تمشية باطل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يعطيه الشخص للحاكم وغيره ليحكم له أو يحمله على ما يريد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لزوم رفع اليد عن اطلاق كلام صاحب القاموس؛ لأنّه تفسير بالأعمّ كما هو شأن اللغوي أحياناً، وإلاّ لشمل إطلاقه الجعل في مثل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يقول به أحد، وهو كماترى؛ ولذا أخرج في النهاية ما يتوصّل به إلى أخذ حقّ أو دفع ظلم عن معنى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فالمتيقّن من معنى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في قبال الحكم بالباطل كما يقتضيه ما في مجمع البحرين؛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والرشوة قلّ ما تستعمل إلاّ فيما يتوصّل به إلى إبطال حقّ أو تمشية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انصرافها عمّا إذا كانت لإحقاق الحقّ‌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الإيرواني قدس سره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القطع بأنّ مطلق الجعل على عمل ليس رشوة وإن أوهمته عبارة القاموس والنهاية؛ وإلاّ لدخل فيه أجرة الاُجراء والأكرة والمكاري، ولئن سُلّم عموم اللفظ فالمحرّم هو قسم خاصّ منه، والمتيقّن من المتّصف بالتحريم هو المال المدفوع بإزاء الحكم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منصرف لفظ الرشوة أيضاً عرفاً هو هذا لا غير، ويشهد له عبارة المجمع، فما عداها تبقى تحت أصالة الحلّ بل وعمومات صحّة المعاملات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حال فدفع المال لأجل أن لا يقبل القاضي الرشوة من المبطل ثمّ يحكم هو على طبق </w:t>
      </w:r>
    </w:p>
    <w:p>
      <w:pPr>
        <w:pStyle w:val="BookText"/>
        <w:rPr/>
      </w:pPr>
      <w:r>
        <w:rPr>
          <w:rFonts w:ascii="Amiri" w:hAnsi="Amiri" w:eastAsia="Amiri" w:cs="Amiri"/>
          <w:color w:val="111111"/>
          <w:sz w:val="28"/>
          <w:sz w:val="28"/>
          <w:szCs w:val="28"/>
          <w:rtl w:val="true"/>
          <w:lang w:bidi="ar-SA"/>
        </w:rPr>
        <w:t>الواقع بمقتضى طبعه ليس من الرشوة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ربّما يستدلّ في المقام بروايات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بإسناده عن محمّد بن عليّ بن محبوب، عن محمّد بن عيسى بن عبيد، عن أحمد بن إبراهيم، عن عبد الرحمان، عن يوسف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وآله من نظر إلى فرج امرأة لا تحلّ له، ورجلاً خان أخاه في امرأته، ورجلاً احتاج الناس إليه لتفقّهه فسألهم الرشوة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سؤال الرشوة لبذل فقهه، فيكون ظاهراً في حرمة أخذ الرشوة للحكم بالحقّ‌، أو للنظر في أمر المترافعين ليحكم بعد ذلك بينهما بالحقّ من غير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حمله على سؤال الرشوة للحكم للراشي حقّاً كان أو باطلاً، كما فسّره في 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المراد سؤال الجعل والاُجرة، فأطلق عليه الرشوة تأكيداً للحرمة؛ وإلاّ فالاُجرة غير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استعمال اللفظ في معنى معلوم لا يوجب كونه حقيقة فيه؛ حتّى يستكشف المعنى عند عدم القرينة على المشهور، خلافاً للسيّد المرتضى قدس سره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ضعيفة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وإن حكم بالحقّ؟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حكم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الحكم بالباطل فهو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 بالإرسال وإن كانت دلالته على شمول الرشوة للحكم بالحقّ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جعل الحكم بالباطل من مصاديق الكفر لا ينافي كونه من مصاديق الرشوة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المتعدّدة الدالّة على أنّ الرشا في الحكم كفر بالله العظيم، فإنّ مدلولها مشعر بكونها أعمّ‌</w:t>
      </w:r>
      <w:r>
        <w:rPr>
          <w:rStyle w:val="FootnoteAnchor"/>
          <w:rtl w:val="true"/>
        </w:rPr>
        <w:footnoteReference w:id="10"/>
      </w:r>
      <w:r>
        <w:rPr>
          <w:rFonts w:ascii="Amiri" w:hAnsi="Amiri" w:eastAsia="Amiri" w:cs="Amiri"/>
          <w:color w:val="111111"/>
          <w:sz w:val="28"/>
          <w:sz w:val="28"/>
          <w:szCs w:val="28"/>
          <w:rtl w:val="true"/>
          <w:lang w:bidi="ar-SA"/>
        </w:rPr>
        <w:t>أو أنّها مطلقة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الروايات في مقام بيان آثار الرشوة، كالكفر بالله العظيم، لا في مقام بيان تفسير معنى الرشوة وتفصيل الموضوع، وعليه فلا تكون تلك الروايات دالّة على تعميم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كون بعضها في مقام عدّ موارد السحت لا تفصيل معنى السحت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 أنّ الرشوة بحسب العرف واللغة لا تشمل الجعل على الحكم بالحقّ وإن قلنا بأنّها لا تختصّ بالجعل على الحكم بالباطل، بل تشمل الجعل على الحكم الموافق مطلقاً سواء كان حقّاً أو باطلاً، كما يظهر من المصباح المنير وذهب إليه الميرزا الشيرازي قدس سره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ذكر يظهر ما في بعض الكلمات من تعميم معنى الرشوة، كالمحكي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الجعل من المتحاكمين للحاكم رشوة، والمحكي عن 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الرشوة هي ما يبذله أحد المتحاكمين؛ لما عرفت من عدم دليل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إمكان أن يكون مرادهم من هذه العبائر الإشارة الإجمالية، فلا يستفاد منها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السيّد الخوئي قدس سره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المتحصّل من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العرف واللغة مع ضمّ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ما يعطيه أحد الشخصين للآخر لإحقاق حقّ أو تمشية باطل أو للتملّق أو الوصلة إلى الحاجة بالمصانعة أو في عمل لا يقابل بالاُجرة والجعل عند العرف والعقلاء وإن كان محطّاً لغرضهم ومورداً لنظرهم، بل يفعلون ذلك العمل للتعاون والتعاضد فيما بينهم، كإحقاق الحقّ وإبطال الباطل، وترك الظلم والإيذاء أو دفعهما، وتسليم الأوقاف إلى غيره؛ كأن يرشو الرجل على أن يتحوّله عن منزله فيسكنه غيره، أو يتحوّله عن مكان في المساجد فيجلس فيه غيره، إلى غير ذلك من الموارد التي لم يتعارف أخذ الاُجرة عليها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عدم جواز أخذ الاُجرة على شيء أو عدم الاعتياد على أخذ الاُجرة لا يستلزم صدق الرشوة عليه وإن كان الأخذ المذكور غير جائز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الانضمام المذكور لا يفيد إلاّ الاختصاص بغير الحكم بالحقّ‌، كما أنّ انضمام كلمات العلماء إلى العرف واللغة لا يفيد، مع أنّ المعتبر هو العرف واللغة، وأيضاً تعميم معنى الرشوة بالنسبة إلى غير الحكم لا يساعده معناها اللغوي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في الجواهر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الرشا حرام سواء حكم لباذله أو عليه بحقّ أو باطل؛ إذ لا </w:t>
      </w:r>
    </w:p>
    <w:p>
      <w:pPr>
        <w:pStyle w:val="BookText"/>
        <w:rPr/>
      </w:pPr>
      <w:r>
        <w:rPr>
          <w:rFonts w:ascii="Amiri" w:hAnsi="Amiri" w:eastAsia="Amiri" w:cs="Amiri"/>
          <w:color w:val="111111"/>
          <w:sz w:val="28"/>
          <w:sz w:val="28"/>
          <w:szCs w:val="28"/>
          <w:rtl w:val="true"/>
          <w:lang w:bidi="ar-SA"/>
        </w:rPr>
        <w:t>مدخلية لتأثيره في الحاكم وعدمه؛ لإطلاق النصّ ومعاقد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عساه يقال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البأس به إذا لم يؤثّر في الحاكم، واضح الفساد، كوضوح احتمال حليّته لو بذله المحقّ على الحكم بحقّه فحكم له 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تحصيل الحقّ على بذله لقضاة الجور جاز للراشي وحرم على المرتشي، كما صرّح به غير واحد، بل لا أجد فيه خلافاً؛ لقصور أدلّة الحرمة عن تناول الفرض</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عرفت أنّ النصوص غير تامّة دلالةً أو سنداً، ومعاقد الإجماعات مع احتمال أو معلومية استنادها إلى المدارك المذكورة لا تكشف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تعميم الرشوة بالنسبة إلى الحكم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يستدلّ على عدم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غلّ من الإمام فهو سحت، وأكل مال اليتيم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 من أعمال الولاة الظلمة،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اُجور القضاة واُجور الفواجر وثمن الخمر والنبيذ والمسكر والربا بعد البيّنة، فأمّا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فإنّ ذلك الكفر بالله العظيم وبرسوله صلى الله عليه وآله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الرشا في الحكم مقابلاً لاُجور القضاة خصوصاً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خروج الاُجرة على تولّي القضاء للحكم بالحقّ عن معنى الرشوة، واختصاصها بما يقابل الحكم بالحقّ ولو بمثل ما أفاده في المصباح المنير من الحكم الموافق للراشي مطلقاً؛ سواء كان حقّاً أو باطلاً، من دون اختصاصه بخصوص الباطل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الرواية منصرفة إلى قضاة الجور الذين </w:t>
      </w:r>
    </w:p>
    <w:p>
      <w:pPr>
        <w:pStyle w:val="BookText"/>
        <w:rPr/>
      </w:pPr>
      <w:r>
        <w:rPr>
          <w:rFonts w:ascii="Amiri" w:hAnsi="Amiri" w:eastAsia="Amiri" w:cs="Amiri"/>
          <w:color w:val="111111"/>
          <w:sz w:val="28"/>
          <w:sz w:val="28"/>
          <w:szCs w:val="28"/>
          <w:rtl w:val="true"/>
          <w:lang w:bidi="ar-SA"/>
        </w:rPr>
        <w:t>يأخذون الاُجرة من خلفاء الجور، فلا تشمل الجعل للفقهاء العدول على الحكم بالحقّ‌، فتأمّل؛ إذ لا دليل على الانصراف إلاّ غلبة وجود قضاة العامّة، ومن المعلوم أنّ غلبة الوجود لا توجب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يظهر ما في كلام الميرزا الشيرازي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الظاهر منها ذلك؛ من حيث انسباق الذهن منها إلى الاُجور المتعارفة المعهودة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نعم، الاُجرة على القضاء ليست برشوة، وعليه فلا تكون الرواية دالّة على عدم التعميم كما لا دلالة لها على التعميم؛ لأنّ المحمول مترتّب على الرشا في الحكم، وصدق الرشا في الحكم فيما إذا كان الحكم بالحقّ غير ثابت، إلاّ أن يقال بإطلاق الموضوع، كما يظهر من السيّد الكلبايكاني،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تدلّ الرواية على شمول الرشوة للحكم بالحقّ‌،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المذكور وهو الكفر بالله العظيم، فإنّه لا يترتّب على الحكم بالحقّ وبما أنزل الله؛ لأنّ الحكم بغير ما أنزل الله يكون كفراً، لا الحكم بما أنزل الله تعالى،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بالله العظيم هو الرشا لا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في اللغة لا تشمل ما يعطى للحكم بالحقّ‌، بل هي ما يبذل بإزاء الحكم بالباطل، أو الحكم الموافق للراشي مطلقاً؛ سواء كان باطلاً أو حقّاً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الظاهر من الشيخ الأعظم قدس سره، خلافاً للمحقّق الثاني وصريح الحلّي وغيرهما من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الرشوة هو 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الحبل الذي يتوصّل به إلى الماء، فاستعملت لفظة الرشوة بهذه المناسبة فيما يتوصّل به إلى الحكم، ويكون معناها هو الوصلة إلى الحكم، ولا اختصاص لها بالوصلة إلى الحكم بالباطل، بل تشمل مايعطى للحاكم للحكم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المقصود من عبارة القاموس؛ لوضوح أنّ مطلق الجعل كالاُجرة والإجارة ليس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تخصيصها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ومجمع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متّخذ من الفتاوى، كما أشار إليه في النهاية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جماعة من أئمّة التابعين جواز إعطاء الرشوة عند خوف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اللازم في المعنى اللغوي هو أن يلاحظ موارد الاستعمال مع قطع النظر عن الفتاوى، هذا مضافاً إلى أنّ فتوى التابعين وغيرهم عند خوف الظلم لعلّه من باب أنّ الضرورات تبيح المحذورات لا من باب عدم شمول الرشوة، فهو تخصيص حكميّ لا موضوعيّ‌، فلا وجه لإخراج ما يعطى توصّلاً إلى أخذ حقّ أو دفع ظلم عن الرشوة موضوعاً كمايظهر من النهاية، وكيف كان فقد يؤيّد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انسباق المعنى العامّ من اللفظ عرفاً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شيخنا الاُستاذ الأراكي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لفظها مأخوذ من الرشا؛ بمعنى الحبل الذي يتوصّل به إلى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فاستعمل بالمناسبة في هذا المعنى الذي هو مغاير للاُجرة والجعل عند العرف، لا أنّ له وضعاً مستقلاًّ لهذا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الرشوة بحسب المعنى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يعبّر عنه في الفارسية تارةً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كريم نعل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واُخرى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كسي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وثالثةً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سبيل چرب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المعلوم مغايرة هذا مع الإجارة </w:t>
      </w:r>
    </w:p>
    <w:p>
      <w:pPr>
        <w:pStyle w:val="BookText"/>
        <w:rPr/>
      </w:pPr>
      <w:r>
        <w:rPr>
          <w:rFonts w:ascii="Amiri" w:hAnsi="Amiri" w:eastAsia="Amiri" w:cs="Amiri"/>
          <w:color w:val="111111"/>
          <w:sz w:val="28"/>
          <w:sz w:val="28"/>
          <w:szCs w:val="28"/>
          <w:rtl w:val="true"/>
          <w:lang w:bidi="ar-SA"/>
        </w:rPr>
        <w:t>والجعالة، فلو آجر نفسه للقضاء والحكم فلا يشمله عنوان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اختصاص الرشوة بالحكم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إطلاق قول السيّد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الرشوة أعمّ من أن يكون للحكم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بالجواز عند الاضطرار والضرورة كما يدلّ عليه بعض الأخبار، كموثّقة حكم بن حكيم الصيرفي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أنّه لا فرق في الحاكم بين أن يحكم بين المترافعين اللذين اختلفا في حكم المسألة، وبين أن يحكم بينهما في الإجرائيّات من دون اختلافهما في الحكم، كما إذا امتنع أحدهما عن أداء حقّ الآخر، فإنّ الحكم حينئذ يكون في مقام الإجراء لا في الشبهة الحكمية؛ لصدق الرشوة بالنسبة إلى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الأصبغ 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عن حوائج الناس؛ احتجب الله عنه يوم القيامة وعن حوائجه، وإن أخذ هديّةً كان غلولاً، وإن أخذ الرشوة فهو مشرك</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فإنّ الوالي كثيراً ما يحكم في الإجرائيّات، فالرواية أطلقت الرشوة على ما أخذه لكي يحكم للباذل، مع أنّ حكمه ليس إلاّ في الإجرائيّات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المستفاد من العرف واللغة هو اشتراط صدق الرشوة؛ بأن يكون إعطاء الرشوة لأجل أن يحكم له الحاكم، وعليه فلو علم أنّ الحاكم حكم له طبق الموازين الشرعية ولا تأثير لما أعطاه في الحكم لَما صدقت الرشوة على ما أعطاه؛ لأنّها في الحقيقة تكون تشويقاً لما بنى عليه الحاكم في أحكامه للحكم طبق الموازين الشرعية، ومع عدم صدق </w:t>
      </w:r>
      <w:bookmarkStart w:id="16" w:name="pg17323_405739"/>
    </w:p>
    <w:p>
      <w:pPr>
        <w:pStyle w:val="BookText"/>
        <w:rPr/>
      </w:pPr>
      <w:bookmarkEnd w:id="16"/>
      <w:r>
        <w:rPr>
          <w:rFonts w:ascii="Amiri" w:hAnsi="Amiri" w:eastAsia="Amiri" w:cs="Amiri"/>
          <w:color w:val="111111"/>
          <w:sz w:val="28"/>
          <w:sz w:val="28"/>
          <w:szCs w:val="28"/>
          <w:rtl w:val="true"/>
          <w:lang w:bidi="ar-SA"/>
        </w:rPr>
        <w:t>الرشوة على ما يعطيه لا يحرم من هذه الجهة، كما لا يخفى</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875802_1280447820"/>
      <w:bookmarkStart w:id="18" w:name="_Toc6"/>
      <w:bookmarkEnd w:id="17"/>
      <w:r>
        <w:rPr>
          <w:rtl w:val="true"/>
        </w:rPr>
        <w:t>المقام الثاني</w:t>
      </w:r>
      <w:r>
        <w:rPr>
          <w:rtl w:val="true"/>
        </w:rPr>
        <w:t xml:space="preserve">: </w:t>
      </w:r>
      <w:r>
        <w:rPr>
          <w:rtl w:val="true"/>
        </w:rPr>
        <w:t>في حرمة الرّشوة</w:t>
      </w:r>
      <w:bookmarkEnd w:id="18"/>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وسحت إجماعاً بقسميه ونصوصاً مستفيضة أو متواترة، بل في بعضها أنّه الكفر بالله العظيم، 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وآله الراشي والمرتشي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وفي المسالك وفي جامع المقاصد أنّ على تحريمها إجماع المسلمين، ويدلّ عليه الكتاب والسنّة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فالحرمة من الواضحات، ويدلّ عليها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تدفعوا، وهو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فمحلّه الجزم، واحتمالُ كون محلّه النصب على الظرفية وذلك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تَنهَ عن خُلُق وتأتي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لاحتياجه إلى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نهى عن الإدلاء بالمال إلى الحكّام لإبطال الحقّ وإقامة الباطل حتّى يأكلوا بذلك فريقاً من أموال الناس بالإثم والعدوان، وهذا هو معنى الرشوة بالحمل الشائع الصناعي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المحقّق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قريباً أن 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إدلاء المال المتنازع فيه إليهم الحاصل ذلك برفع الخصومات إليهم، فيأكلوا مقداراً من ذلك المال، ويحكموا لغير مستحقّه في مقدار آخر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ظهور في الآية المباركة في كون المدفوع إلى الحكّام مال الغير، بل هي أعمّ من ذلك، أو ظاهرة في كون المدفوع مال المعطي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 ظهور كون المدفوع هو مال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جوامع الجامع من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أمرها والحكومة فيها إلى الحكّام لتأكلوا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من أموال الناس،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لأنّ الإدلاء في الآية بنفس أموالكم لا بالحكومة في الأموال المتنازع فيها، والتقدير خلاف الأصل، ولعلّ ما ذهب إليه الإيرواني يرجع إلى ما في جوامع الجامع، لوصفه إدلاء المال المتنازع فيه إلى الحكّام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الحاصل ذلك برفع الخصومات إليهم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وكيف كان، ينقدح ممّا ذكر وجه ضعف القول باختصاص نزول الآية بخصوص أموال اليتامى والوديعة، وقد نهى الله تعالى فيها عن إعطاء مقدار من تلك الأموال للقضاة والحكّام لأكل الباقي بالإثم والعدوان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فهي أجنبيّة عن الرشوة؛ لما عرفت من أنّ الآية الكريمة أعمّ‌، ولا وجه لدعوى الاختصاص بها، ولا ينافيه تفسير الآية بأحد الاُمور المذكورة؛ فإنّها من باب ذكر المصاديق، ولذلك 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التفاسير من قبيل بيان المصداق، </w:t>
      </w:r>
    </w:p>
    <w:p>
      <w:pPr>
        <w:pStyle w:val="BookText"/>
        <w:rPr/>
      </w:pPr>
      <w:r>
        <w:rPr>
          <w:rFonts w:ascii="Amiri" w:hAnsi="Amiri" w:eastAsia="Amiri" w:cs="Amiri"/>
          <w:color w:val="111111"/>
          <w:sz w:val="28"/>
          <w:sz w:val="28"/>
          <w:szCs w:val="28"/>
          <w:rtl w:val="true"/>
          <w:lang w:bidi="ar-SA"/>
        </w:rPr>
        <w:t>والقرآن لا يختصّ بطائفة ولا بمصداق، بل يجري كمجرى الشمس والقمر، كما دلّت عليه جملة من الروايات</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سلّم أنّ المدفوع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بصدق الرشوة عليه أيضاً؛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يتوصّل به إلى الحكم، وهو يصدق سواء كان من مال نفسه أو مال الغير،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تدلّ على عدم جواز إعطاء المال للحكّام ليحكموا له بأموال الناس حتّى يتمكّن من التصرّف فيها، ولكنّ الآية مختصّة بالحكم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إعطاء المال لغرض الحكم بالباطل ممنوعاً بالآية كان إعطاء المال عوضاً عن الحكم محرّماً بالفحوى</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بين الحكم والجعل لا تكون رشوة كما عرفت في البحث عن معنى الرشوة، بل تدخل في عنوان الاُجرة والإجارة، وذلك العنوان موضوع الحكم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عليها من السنّة روايات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عدّة من أصحابنا، عن أحمد بن محمّد، عن الحسين بن سعيد، عن أخيه الحسن، عن زرعة، عن سماعة،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في الحكم هو الكفر بالله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عقاب الأعمال، عن أبيه، عن أحمد بن إدريس، عن محمّد بن أحمد، عن موسى بن عمر، عن ابن سنان، عن أبي الجارود، عن سعد الإسكاف، عن الأصبغ، 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من حوائج الناس؛ احتجب الله عنه يوم القيامة وعن حوائجه، وإن أخذ هديّةً كان غلولاً، وإن أخذ الرشوة فهو مشرك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عمّار بن مروان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فإنّ ذلك الكفر بالله العظيم وبرسوله صلى الله عليه وآله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الرشا في الحكم فهو الكفر بالله العظيم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 وثمن الكلب، وثمن الخمر، ومهر البغيّ‌، والرشوة في الحكم، وأجر الكاهن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الرشا في الحكم فهو الكفر بالله العظيم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الفقيه، عن جعفر بن محمّد، عن آبائه عليهم السلام في وصيّة النبّي صلى الله عليه وآله لعلىّ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السحت ثمن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والرشوة في الحكم، وأجر الكاهن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يوسف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صلى الله عليه وآله من نظر إلى </w:t>
      </w:r>
    </w:p>
    <w:p>
      <w:pPr>
        <w:pStyle w:val="BookText"/>
        <w:rPr/>
      </w:pPr>
      <w:r>
        <w:rPr>
          <w:rFonts w:ascii="Amiri" w:hAnsi="Amiri" w:eastAsia="Amiri" w:cs="Amiri"/>
          <w:color w:val="111111"/>
          <w:sz w:val="28"/>
          <w:sz w:val="28"/>
          <w:szCs w:val="28"/>
          <w:rtl w:val="true"/>
          <w:lang w:bidi="ar-SA"/>
        </w:rPr>
        <w:t>فرج امرأة لا تحلّ له، ورجلاً خان أخاه في امرأته، ورجلاً احتاج الناس إليه لتفقّهه فسألهم الرشوة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نهج البلاغة، عن أميرالمؤمنين عليه السلام في عهد طويل كتبه إلى مالك الأشتر حين ولاّه على مصر وأعمالها،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واختر للحكم بين الناس أفضل رعيّتك في نفسك ممّن لا تضيق به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صفات القاضي،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تعاهد قضائه، وافسح له في البذل ما يزيح علّته وتقلّ معه حاجته إلى الناس، وأعطه من المنزلة لديك ما لا يطمع فيه غيره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عن الحسن بن محمّد بن سماعة، عن إسماعيل بن أبي سمّاك، عن محمّد بن أبي حمزة، عن حكم بن حكيم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وسأله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يشترون منّا القرب والأدوات، فيوكّلون الوكيل حتّى يستوفيه منّا، فنرشوه حتّى لا يظلمنا؟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تصلح به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إذا أنت رشوته يأخذ أقلّ من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خلاصة العلاّمة في ترجمة إسماعيل بن أبي سمّاك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واقفيّ‌، فلا أعتمد حينئذ على روايته،</w:t>
      </w:r>
      <w:r>
        <w:rPr>
          <w:rStyle w:val="FootnoteAnchor"/>
          <w:rtl w:val="true"/>
        </w:rPr>
        <w:footnoteReference w:id="39"/>
      </w:r>
      <w:r>
        <w:rPr>
          <w:rFonts w:ascii="Amiri" w:hAnsi="Amiri" w:eastAsia="Amiri" w:cs="Amiri"/>
          <w:color w:val="111111"/>
          <w:sz w:val="28"/>
          <w:sz w:val="28"/>
          <w:szCs w:val="28"/>
          <w:rtl w:val="true"/>
          <w:lang w:bidi="ar-SA"/>
        </w:rPr>
        <w:t xml:space="preserve">وحكم بن حكيم الصيرفي ثقة، وعدم الاعتماد على إسماعيل من جهة كونه واقفيّاً مع التصريح بكونه ثقة لا يضرّ، والظاهر منه هو جواز </w:t>
      </w:r>
      <w:bookmarkStart w:id="19" w:name="pg17323_405750"/>
    </w:p>
    <w:p>
      <w:pPr>
        <w:pStyle w:val="BookText"/>
        <w:rPr/>
      </w:pPr>
      <w:bookmarkEnd w:id="19"/>
      <w:r>
        <w:rPr>
          <w:rFonts w:ascii="Amiri" w:hAnsi="Amiri" w:eastAsia="Amiri" w:cs="Amiri"/>
          <w:color w:val="111111"/>
          <w:sz w:val="28"/>
          <w:sz w:val="28"/>
          <w:szCs w:val="28"/>
          <w:rtl w:val="true"/>
          <w:lang w:bidi="ar-SA"/>
        </w:rPr>
        <w:t>إعطاء الرشوة عند اقتضاء مصلحة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الأدلّة هو حرمة الرشوة من دون فرق بين أن تكون الرشوة للوصلة إلى خصوص الحكم بالباطل أو لخصوص الحكم بالحقّ أو للأعمّ‌؛ وذلك لإطلاق الأدلّة بعد ما عرفت من عدم اختصاص الموضوع بغير الحكم بالحقّ‌، كما ذهب إليه في الجواهر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توقّف تحصيل الحقّ على بذله لقضاة حكّام الجور جاز للراشي وحرم على المرتشي، كما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به غير واحد، بل لا أجد فيه خلافاً؛ لقصور أدلّة الحرمة عن تناول الفرض الذي تدلّ عليه اُصول الشرع وقواعده المستفادة من الكتاب والسنّة والإجماع والعقل؛ ضرورة أنّ للإنسان التوصّل إلى حقّه بذلك ونحوه ممّا هو محرّم عليه في الاختيار، بل ذلك كالإكراه على الرشا الذي لا بأس به على الراشي معه عقلاً ونقلاً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875804_1280447820"/>
      <w:bookmarkStart w:id="21" w:name="_Toc7"/>
      <w:bookmarkEnd w:id="20"/>
      <w:r>
        <w:rPr>
          <w:rtl w:val="true"/>
        </w:rPr>
        <w:t>المقام الثالث</w:t>
      </w:r>
      <w:r>
        <w:rPr>
          <w:rtl w:val="true"/>
        </w:rPr>
        <w:t xml:space="preserve">: </w:t>
      </w:r>
      <w:r>
        <w:rPr>
          <w:rtl w:val="true"/>
        </w:rPr>
        <w:t>في حرمة أخذ الجعل والاُجرة على القضاء وتصدّي أمر المرافعة</w:t>
      </w:r>
      <w:bookmarkEnd w:id="21"/>
    </w:p>
    <w:p>
      <w:pPr>
        <w:pStyle w:val="BookText"/>
        <w:rPr/>
      </w:pPr>
      <w:r>
        <w:rPr>
          <w:rFonts w:ascii="Amiri" w:hAnsi="Amiri" w:eastAsia="Amiri" w:cs="Amiri"/>
          <w:color w:val="111111"/>
          <w:sz w:val="28"/>
          <w:sz w:val="28"/>
          <w:szCs w:val="28"/>
          <w:rtl w:val="true"/>
          <w:lang w:bidi="ar-SA"/>
        </w:rPr>
        <w:t>ويدلّ عليها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عمّار بن مروان عن أبي عبدالله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والسحت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 من أعمال الولاة الظلمة،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اُجور القضاة واُجور الفواجر، وثمن الخمر </w:t>
      </w:r>
    </w:p>
    <w:p>
      <w:pPr>
        <w:pStyle w:val="BookText"/>
        <w:rPr/>
      </w:pPr>
      <w:r>
        <w:rPr>
          <w:rFonts w:ascii="Amiri" w:hAnsi="Amiri" w:eastAsia="Amiri" w:cs="Amiri"/>
          <w:color w:val="111111"/>
          <w:sz w:val="28"/>
          <w:sz w:val="28"/>
          <w:szCs w:val="28"/>
          <w:rtl w:val="true"/>
          <w:lang w:bidi="ar-SA"/>
        </w:rPr>
        <w:t>والنبيذ المسكر، والربا بعد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الشيخ الأعظم قدس سره بإطلاقها على حرمة ذلك بناءً على أنّ الأجر في العرف يشمل الجعل، وإن كان بينهما فرق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الإيرواني قدس سره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منصرفها هو قضاة العامّة المنصوبون من قبل سلاطين الجور؛ ومعلوم أنّ حرمة اُجورهم لعدم لياقتهم للقضاوة بفقدان الإيمان والعلم والعدالة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احتمال رجوع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اُجور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اُصيب من أعمال الولاة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فيختصّ بقضاة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أنّه لا وجه لدعوى الانصراف مع عموم عنوان القضاة وعدم قيام قرينة على اختصاصها بقضاة العامّة؛ إذ مجرّد الغلبة الخارجية لا توجب الانصراف، وإرجاع الضمير المذكور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اُصيب من أعمال الولاة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العطف ومقام عدّ أنواع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اُجور الفواجر وثمن الخمر والنبيذ المسكر والربا بعد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يساعد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الاُجرة هو أخذ الجعل والاُجرة على تصدّي أمر المرافعة والقضاء، وهو خارج عن حقيقة الرشوة؛ فإنّها في مقابل الحكم للباذل، كما أنّه غير مرتبط بجواز الارتزاق من بيت المال من دون جعله مقابلاً للتصدّي أو القضاء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أبوعبدالله عليه السلام عن قاض بين قريتين يأخذ من </w:t>
      </w:r>
    </w:p>
    <w:p>
      <w:pPr>
        <w:pStyle w:val="BookText"/>
        <w:rPr/>
      </w:pPr>
      <w:r>
        <w:rPr>
          <w:rFonts w:ascii="Amiri" w:hAnsi="Amiri" w:eastAsia="Amiri" w:cs="Amiri"/>
          <w:color w:val="111111"/>
          <w:sz w:val="28"/>
          <w:sz w:val="28"/>
          <w:szCs w:val="28"/>
          <w:rtl w:val="true"/>
          <w:lang w:bidi="ar-SA"/>
        </w:rPr>
        <w:t>السلطان على القضاء الرزق‌؟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هو جعل الأجر على الحكم من دون فرق بين كونه من بيت المال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المحقّق الكركي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الرواية على حرمة أخذ الاُجرة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سلطان الجور،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القاضي المنصوب من قبل الجائر الذي لا يكون أهلاً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تقييد السلطان بالجائر، كما أنّه لا شاهد على كون القاضي هو المنصوب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بيان حرمة جعل الرزق مقابلاً للقضاء من ناحية السلطان سواء كان من بيت المال أو غيره، وعليه فلو كان القاضي أهلاً للقضاء وجعل له في قبال قضائه وتصدّيه جعلاً من بيت المال؛ كان ذلك محرّماً وإن كان السلطان سلطان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في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عليه الصحيحة هو حرمة أخذ الرزق كاُجرة الأجير، وهذا غير إعطاء الرزق لا بعنوان المقابلة للعمل وإن كان بلحاظه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ما في ملحقات العروة، حيث حمله على الارتزاق من بيت المال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عوضاً عنه لا ارتزاقاً، </w:t>
      </w:r>
    </w:p>
    <w:p>
      <w:pPr>
        <w:pStyle w:val="BookText"/>
        <w:rPr/>
      </w:pPr>
      <w:r>
        <w:rPr>
          <w:rFonts w:ascii="Amiri" w:hAnsi="Amiri" w:eastAsia="Amiri" w:cs="Amiri"/>
          <w:color w:val="111111"/>
          <w:sz w:val="28"/>
          <w:sz w:val="28"/>
          <w:szCs w:val="28"/>
          <w:rtl w:val="true"/>
          <w:lang w:bidi="ar-SA"/>
        </w:rPr>
        <w:t>كماترى</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التكلّف في حمل الرواية على كون المراد من القضاة قضاة الجور، وأنّ حرمة الارتزاق من جهة عدم أهليّة القاضي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استبعاد 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مقابلة القضاء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الارتزاق، ولكنّه لا ينافي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الجعفريّات بإسناده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والرشوة في الحكم، وأجر القاضي إلاّ قاض يجرى عليه من بيت المال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الأدلّة على حرمة جعل الاُجرة أو الجعل في مقابل تصدّي أمر القضاء مطلقاً؛ سواء كان القاضي محتاجاً أم لم يكن، وسواء تعيّن عليه القضاء أم لم يتعيّن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المقنعة والمحكي عن القاضي هو الجواز مطلقاً، واستدلّ له بالأصل، وبما رواه في معاني الأخبار عن أحمد بن محمّد بن الهيثم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عن تميم بن بهلول، عن أبيه، عن محمّد بن سنان،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استأكل بعلمه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في شيعتك ومواليك قوماً يتحمّلون علومكم ويبثّونها في شيعتكم، فلا يعدمون على ذلك منهم البرّ والصلة والإكرام‌؟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اُولئك بمستأكلين؛ إنّما المستأكل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يفتي بغير علم ولا هدىً من الله عزّ وجلّ ليبطل به الحقوق؛ طمعاً في حطام الدنيا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فيها إمّا للغاية أو للعاقبة، 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على حرمة أخذ المال في مقابل الحكم بالباطل،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حرمة الانتصاب للفتوى من غير علم طمعاً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يظهر منه حصر الاستئكال المذموم فيما كان لأجل الحكم بالباطل أو مع عدم معرفة الحقّ‌، وعليه فيجوز الاستئكال مع الحكم بالحقّ مطلقاً؛ سواء كان محتاجاً أم لم يكن، وسواء تعيّن عليه القضاء أم لم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بتميم بن بهلول وأبيه، فلا تنهض للمعارضة مع الصحاح الدالّة على حرمة اُجور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مسوقة لدفع توهّم السائل؛ بأنّ من تحمّل علوم الأئمّة عليهم السلام وبثّها في شيعتهم ووصل إليه منهم البرّ والإحسان بغير مطالبة كان من المستأكلين بعلمه، فأجاب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من الاستئكال المذموم، وإنّما المستأكلون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يفتون بغير علم لإبطال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فمفهوم الحصر هو العقد السلبي المذكور في الرواية صريحاً، وليس فيها تعرّض لأخذ الاُجرة على الحكم بالحقّ‌؛ لا مفهوماً ولا منطوقاً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يؤول إليه دعوى الحصر الإضافي، والقول بأنّه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بعدما عرفت من مساق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التعرّض لصورة أخذ الاُجرة على الحكم بالحقّ لا تكون الرواية منافية مع الصحاح الدالّة على حرمة أخذ الاُجرة على الحكم والقضاء بالحقّ‌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إرشاد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تسليم إطلاق الرواية ودلالتها على </w:t>
      </w:r>
    </w:p>
    <w:p>
      <w:pPr>
        <w:pStyle w:val="BookText"/>
        <w:rPr/>
      </w:pPr>
      <w:r>
        <w:rPr>
          <w:rFonts w:ascii="Amiri" w:hAnsi="Amiri" w:eastAsia="Amiri" w:cs="Amiri"/>
          <w:color w:val="111111"/>
          <w:sz w:val="28"/>
          <w:sz w:val="28"/>
          <w:szCs w:val="28"/>
          <w:rtl w:val="true"/>
          <w:lang w:bidi="ar-SA"/>
        </w:rPr>
        <w:t>جواز الاستئكال في صورة أخذ الاُجرة على الحكم بالحقّ‌، يقيّد إطلاقها بمثل صحيحة عمّار بن مروان المتقدّمة</w:t>
      </w:r>
      <w:r>
        <w:rPr>
          <w:rStyle w:val="FootnoteAnchor"/>
          <w:rtl w:val="true"/>
        </w:rPr>
        <w:footnoteReference w:id="51"/>
      </w:r>
      <w:r>
        <w:rPr>
          <w:rFonts w:ascii="Amiri" w:hAnsi="Amiri" w:eastAsia="Amiri" w:cs="Amiri"/>
          <w:color w:val="111111"/>
          <w:sz w:val="28"/>
          <w:sz w:val="28"/>
          <w:szCs w:val="28"/>
          <w:rtl w:val="true"/>
          <w:lang w:bidi="ar-SA"/>
        </w:rPr>
        <w:t>، بناءً على اختصاص القضاة بقضاة العدل والحكم بحكم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صحيحة عبدالله بن سنان وصحيحة عمّار بن مروان هو عدم صحّة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حاجة القاضي وعدم تعيّن القضاء عليه؛ فيجوز أخذ الجعل والاُجرة على القضاء، وبين عدم حاجته وكون القضاء متعيّناً عليه إمّا بتعيين الإمام أو عدم وجود الغير؛ فلا يجوز أخذ الجعل والاُجرة على القضاء، كما حكي عن العلاّمة قدس سره في المختلف؛ وذلك لإطلاق الصحاح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صحيحة عمّار بن مروان بصورة غنى القاضي وعدم حاجته؛ من جهة أن القضاة في ذلك الزمان كانوا من المرتزقة من بيت المال ومنصوبين من قبل مدّعي الخلافة على المسلمين، ومن المعلوم أنّ القضاة الذين كانوا كذلك لم يحتاجوا إلى أخذ المال من المترافعين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إرشاد الطالب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الوارد في الصحيحة لا يختصّ بالقضاة المنصوبين في ذلك الزمان ليقال بعدم حاجتهم؛ إذ القضيّة قضيّة حقيقية لا خارجية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صحيحة ابن سنان تدلّ على حكم الأخذ على القضاء من دون فرض كون القاضي من قضاة السلطان حتّى يقال إنّه من المرتزقة ولم يحتج إلى أخذ المال من المترافعين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الاستدلال برواية يوسف بن جابر على اعتبار الغنى في حرمة أخذ الجعل </w:t>
      </w:r>
    </w:p>
    <w:p>
      <w:pPr>
        <w:pStyle w:val="BookText"/>
        <w:rPr/>
      </w:pPr>
      <w:r>
        <w:rPr>
          <w:rFonts w:ascii="Amiri" w:hAnsi="Amiri" w:eastAsia="Amiri" w:cs="Amiri"/>
          <w:color w:val="111111"/>
          <w:sz w:val="28"/>
          <w:sz w:val="28"/>
          <w:szCs w:val="28"/>
          <w:rtl w:val="true"/>
          <w:lang w:bidi="ar-SA"/>
        </w:rPr>
        <w:t>والاُجرة؛ وذلك لقول أبي جعفر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احتاج الناس إليه لتفقّهه فسألهم الرشوة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بدعوى استبعاد أن يكون من هو مرجع للناس في فقهه محتاجاً إليهم، كما ترى؛ لضعف الرواية سنداً، هذا مضافاً إلى أنّه لا ملازمة بين مراجعة الناس إلى شخص في أخذ فقهه وبين عدم احتياجه إليهم في أخذ الجعل والاُجرة، على أنّ موضوع الرواية هو الرشوة لا أخذ الجعل والاُجرة على القضاء،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الجعل والاُجرة، وإنّما اُطلق عليه الرشوة تأكيداً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الجعل والاُجرة على القضاء أو على تصدّي أمر القضاء بنحو المعاملة والمبادلة محرّم، من دون فرق بين أن يكون القضاء متعيّناً عليه أو لا، وبين أن يكون القاضي غنيّاً أو لا، وكلّ ذلك لإطلاق الأدلّة وعدم شاهد على التقييد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والأضعف من الاستدلال المذكور على الجواز مطلقاً هو الاستدلال بالأصل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الأصل دليل حيث لا دليل، وقد عرفت تمامية دلالة الأخبار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أيضاً للأخذ بإطلاق أدلّة النفوذ مع تقييده بالصحاح الدالّة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كلام السيّد في الملحقات حيث اختار الجواز مطلقاً، فراجع</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الشيخ الأنصاري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إطلاق ما تقدّم حرمة الجعل حتّى فيما إذا لم يحصل له كفاية من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كتبرّع متبرّع أو بيت مال موجود أو مال آخر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يوجد من يجبره الحاكم على الإنفاق عليه، لكن يعارض وجوب القضاء حينئذ وجوب التكسّب، والترجيح لوجوب 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w:t>
      </w:r>
      <w:bookmarkStart w:id="22" w:name="pg17323_405764"/>
    </w:p>
    <w:p>
      <w:pPr>
        <w:pStyle w:val="BookText"/>
        <w:rPr/>
      </w:pPr>
      <w:bookmarkEnd w:id="22"/>
      <w:r>
        <w:rPr>
          <w:rFonts w:ascii="Amiri" w:hAnsi="Amiri" w:eastAsia="Amiri" w:cs="Amiri"/>
          <w:color w:val="111111"/>
          <w:sz w:val="28"/>
          <w:sz w:val="28"/>
          <w:szCs w:val="28"/>
          <w:rtl w:val="true"/>
          <w:lang w:bidi="ar-SA"/>
        </w:rPr>
        <w:t xml:space="preserve">جواز الجعل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يتعيّن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الاستنقاذ لا المعاوضة، بل يمكن القول بجواز المعاوضة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لانصراف الأخبار إلى غير الفرض</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فالحرمة مختصّة بالقضاة، ولا تشمل غيرهم ممّن يخدمون في المحاكم الشرعية ويهيّئون المقدّمات</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75806_1280447820"/>
      <w:bookmarkStart w:id="24" w:name="_Toc8"/>
      <w:bookmarkEnd w:id="23"/>
      <w:r>
        <w:rPr>
          <w:rtl w:val="true"/>
        </w:rPr>
        <w:t>المقام الرابع</w:t>
      </w:r>
      <w:r>
        <w:rPr>
          <w:rtl w:val="true"/>
        </w:rPr>
        <w:t xml:space="preserve">: </w:t>
      </w:r>
      <w:r>
        <w:rPr>
          <w:rtl w:val="true"/>
        </w:rPr>
        <w:t>في حكم أخذ الجعل والاُجرة على التصدّي لأمر الفتوى أو بيان الأحكام والمعارف الدينية</w:t>
      </w:r>
      <w:bookmarkEnd w:id="24"/>
    </w:p>
    <w:p>
      <w:pPr>
        <w:pStyle w:val="BookText"/>
        <w:rPr/>
      </w:pPr>
      <w:r>
        <w:rPr>
          <w:rFonts w:ascii="Amiri" w:hAnsi="Amiri" w:eastAsia="Amiri" w:cs="Amiri"/>
          <w:color w:val="111111"/>
          <w:sz w:val="28"/>
          <w:sz w:val="28"/>
          <w:szCs w:val="28"/>
          <w:rtl w:val="true"/>
          <w:lang w:bidi="ar-SA"/>
        </w:rPr>
        <w:t>ربّما يقال بعدم الجواز مطلقاً؛ للتعدّي من أدلّة حرمة أخذ الجعل والاُجرة على القضاء، بدعوى عدم احتمال الفرق بينهما في ذلك</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البابين، ولذا لم يعتبر الأصحاب في الفتوى جميع ما اعتبروه في باب القضاء؛ من البصر والكتابة والاكتفاء عند الاختلاف بمطلق المرجّح بينهما من الصفات ولو كانا مرجوحين بالنسبة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يؤول إليه ما في جامع المدارك حيث قال بالفرق بين القضاء بين الناس والفتوى؛ ولذا مع الاختلاف يؤخذ بالقضاء، كما لو كان نظر أحد المتخاصمين في الفتوى إلى خروج منجّزات المريض من الأصل، والآخر من الثلث، فترافعا عند الحاكم فقضى موافقاً لأحدهما، فلابدّ من التسليم، ويكون المحكوم عليه آخذاً به على خلاف نظره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مقام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أخذ شيء مع كون نظر المعطي إلى القضاء، سواء كان القضاء </w:t>
      </w:r>
    </w:p>
    <w:p>
      <w:pPr>
        <w:pStyle w:val="BookText"/>
        <w:rPr/>
      </w:pPr>
      <w:r>
        <w:rPr>
          <w:rFonts w:ascii="IRNazanin" w:hAnsi="IRNazanin" w:eastAsia="IRNazanin"/>
          <w:color w:val="111111"/>
          <w:sz w:val="28"/>
          <w:sz w:val="28"/>
          <w:szCs w:val="28"/>
          <w:rtl w:val="true"/>
          <w:lang w:bidi="fa-IR"/>
        </w:rPr>
        <w:t>بحقّ أو بباطل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بحسب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الصورتين، بل الظاهر أنّ نظر السائل إلى الناقلين لمقالة المعصوم كما هو شأن الرواة، كسائر نقلة فتاوى المجتهدين في هذه الأعصار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فمقتضى الأصل وإطلاقات أدلّة النفوذ هو جواز أخذ الجعل والاُجرة على الإفتاء أو تعليم الأحكام، وأمّا رواية حمزة بن حمران ورواية يوسف بن جابر فقد عرفت ما فيهما من الضعف، واختصاص رواية حمزة بن حمران بالإفتاء بغير علم ولا هدى لإبطال الحقوق، ورواية يوسف بن جابر بالرشوة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السؤال عن الجعل والاُجرة، وإطلاق الرشوة عليه ليس من باب استعمال اللفظ في معناه الحقيقي، بل هو من باب إفادة التأكيد في حرمة أخذ شيء في قبال 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مصباح الفقاهة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أنّه لا يجوز أخذ الاُجرة والرشوة على تبليغ الأحكام الشرعية وتعليم المسائل الدينية؛ فقد عرفت فيما تقدّم أنّ منصب القضاوة والإفتاء والتبليغ يقتضي المجّانية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لعدم الدليل على حرمة أخذ الاُجرة، ولاختصاص الرشوة بما يعطى في قبال الحكم، ودعوى اقتضاء المجّانية في منصب الإفتاء والتبليغ أوّل الكلام، إلاّ أن يدّعى سيرة الأنبياء والأولياء على ذلك، وقد ورد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وغير ذلك من الآيات، بل يكون أخذ الاُجرة في مقابل </w:t>
      </w:r>
      <w:bookmarkStart w:id="25" w:name="pg17323_405769"/>
    </w:p>
    <w:p>
      <w:pPr>
        <w:pStyle w:val="BookText"/>
        <w:rPr/>
      </w:pPr>
      <w:bookmarkEnd w:id="25"/>
      <w:r>
        <w:rPr>
          <w:rFonts w:ascii="Amiri" w:hAnsi="Amiri" w:eastAsia="Amiri" w:cs="Amiri"/>
          <w:color w:val="111111"/>
          <w:sz w:val="28"/>
          <w:sz w:val="28"/>
          <w:szCs w:val="28"/>
          <w:rtl w:val="true"/>
          <w:lang w:bidi="ar-SA"/>
        </w:rPr>
        <w:t>الإفتاء والتبليغ قبيحاً عند المتشرّعة، وعليه فالأحوط هو الاجتناب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حرمة لأخذ الجعل والاُجرة لغير تبليغ الأحكام والمعارف الدينية والإفتاء ممّا يتصدّى له المحقّقون من تأليف الكتب أو الرسائل أو تنقيحها أو تتبّع الموضوعات الدينية أو تدريس ما يكون خارجاً عن دائرة تبليغ الأحكام والإفتاء، بل لا مانع من أخذ الاُجرة في مقابل ذكر المصيبة والمراثي لسيّدنا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75808_1280447820"/>
      <w:bookmarkStart w:id="27" w:name="_Toc9"/>
      <w:bookmarkEnd w:id="26"/>
      <w:r>
        <w:rPr>
          <w:rtl w:val="true"/>
        </w:rPr>
        <w:t>المقام الخامس</w:t>
      </w:r>
      <w:r>
        <w:rPr>
          <w:rtl w:val="true"/>
        </w:rPr>
        <w:t xml:space="preserve">: </w:t>
      </w:r>
      <w:r>
        <w:rPr>
          <w:rtl w:val="true"/>
        </w:rPr>
        <w:t>في جواز ارتزاق القاضي من بيت المال</w:t>
      </w:r>
      <w:bookmarkEnd w:id="27"/>
    </w:p>
    <w:p>
      <w:pPr>
        <w:pStyle w:val="BookText"/>
        <w:rPr/>
      </w:pPr>
      <w:r>
        <w:rPr>
          <w:rFonts w:ascii="Amiri" w:hAnsi="Amiri" w:eastAsia="Amiri" w:cs="Amiri"/>
          <w:color w:val="111111"/>
          <w:sz w:val="28"/>
          <w:sz w:val="28"/>
          <w:szCs w:val="28"/>
          <w:rtl w:val="true"/>
          <w:lang w:bidi="ar-SA"/>
        </w:rPr>
        <w:t>ولا إشكال فيه سواء كان محتاجاً إليه أو لم يكن، ولكن بشرط وجود المصلحة في الإعطاء للقضاء؛ لأنّ بيت المال معدّ لمصالح المسلمين، والقضاء من مهمّاتها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بن عيسى الطويلة، 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الزكاة وحصّة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الباقي، فيكون بعد ذلك أرزاق أعوانه على دين الله وفي مصلحة ما ينوبه من تقوية الإسلام وتقوية الدين في وجوه الجهاد، وغير ذلك ممّا فيه مصلحة العامّة</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حمّاد بن عيسى من أصحاب الإجماع فإنّ المرسلة معتبرة بناءً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جواز الارتزاق بالحاجة ولو بسبب القيام بالمصالح المانع له من التكسّب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منع كما في الملحقات</w:t>
      </w:r>
      <w:r>
        <w:rPr>
          <w:rStyle w:val="FootnoteAnchor"/>
          <w:rtl w:val="true"/>
        </w:rPr>
        <w:footnoteReference w:id="61"/>
      </w:r>
      <w:r>
        <w:rPr>
          <w:rFonts w:ascii="Amiri" w:hAnsi="Amiri" w:eastAsia="Amiri" w:cs="Amiri"/>
          <w:color w:val="111111"/>
          <w:sz w:val="28"/>
          <w:sz w:val="28"/>
          <w:szCs w:val="28"/>
          <w:rtl w:val="true"/>
          <w:lang w:bidi="ar-SA"/>
        </w:rPr>
        <w:t>، كممنوعية دعوى أنّ بيت المال معدّ للمحاويج، كلّ ذلك لإطلاق المرسلة المذكورة في جواز صرف بيت المال في المصالح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ما في نهج البلاغة ممّا كتبه عليه السلام إلى مالك الأشتر في عهد طويل، فقد ذكر فيه صفات القاضي،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وافسح له في البذل ما يزيل علّته، وتقلّ معه حاجته إلى الناس</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ظاهره اختصاصه بصورة الحاجة، وربّما يقال في وجه عدم جواز الإعطاء مع الغنى والتعيّن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مصلحة فيه؛ لعدم جواز التقاعد عنه حتّى يكون الرزق داعياً له، بل التقاعد عنه إلى أن يعطى الرزق حينئذ موجب للفسق المخرج عن أهليّة القضاء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فإنّ المصلحة ربّما تقتضي الممانعة عن حصول التقاعد؛ فإنّ التقاعد ليس بمصلحة القضاء أو النظام، وإن كان التقاعد حراماً على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يتراءى من الميرزا حبيب الله الرشتي قدس سره صدق الرشوة فيما إذا امتنع إلاّ بالارتزاق</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لاختصاص الرشوة بما إذا كان الحكم للباذل، وليس 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يجوز إعطاء الرزق مع متبرّع بالقضاء أو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المال معدّ لتحصيل مصالح المسلمين، فلا يجوز صرفه إلاّ فيما اذا توقّف تحصيل المصلحة على صرفه، فيحرم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المال معدّ لصرفه على من يقوم بمصالح المسلمين وإن لم يتوقّف تحصيل المصلحة على قيامه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إلى الثاني الميرزا الآشتياني قدس سره؛ نظراً إلى أنّ تحصيل المصلحة حكمة </w:t>
      </w:r>
    </w:p>
    <w:p>
      <w:pPr>
        <w:pStyle w:val="BookText"/>
        <w:rPr/>
      </w:pPr>
      <w:r>
        <w:rPr>
          <w:rFonts w:ascii="Amiri" w:hAnsi="Amiri" w:eastAsia="Amiri" w:cs="Amiri"/>
          <w:color w:val="111111"/>
          <w:sz w:val="28"/>
          <w:sz w:val="28"/>
          <w:szCs w:val="28"/>
          <w:rtl w:val="true"/>
          <w:lang w:bidi="ar-SA"/>
        </w:rPr>
        <w:t>لجعل بيت المال لا علّة يدور الحكم مداره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مرسلة حمّاد هو موضوعية المصلحة، وعليه فلا يجوز بدون إحرازها، فإذا قام بالقضاء متبرّع لا تكون المصلحة في إعطاء الرزق لغيره إلاّ إذا كان في ذلك رجحان من جهات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حرمة ارتزاق القاضي بصحيحة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عن قاض بين فريقين يأخذ من السلطان على القضاء الرزق‌؟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عرفت 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على حرمة أخذ الرزق كاُجرة الأجير، وهذا غير إعطاء الرزق بغير عنوان المقابلة للعمل وإن كان بداعيه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الرزق والأجر واضح عرفاً وشرعاً، ولعلّ وجه الفرق هو اعتبار الاُجرة والمدّة ونوع العمل في الإجارة، أو اعتبار مقدار الجعل ونوع العمل في الجعالة دون الارتزاق؛ فإنّه لا يعتبر فيه شيء عدا المصلحة، وهي تقتضي أن يعطى للقاضي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 في تبيين الفرق بين الاُجرة والرزق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فرضنا أنّه لم يقع في تلك السنة مرافعة كثيرة بل مرافعة أصلاً لم يستردّ من الرزق شيئاً</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هو الاسترداد في الإجارة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الفرق المذكور تأمّل ونظر؛ لأنّ الاسترداد صحيح فيما إذا كان الأجر مقابلاً </w:t>
      </w:r>
    </w:p>
    <w:p>
      <w:pPr>
        <w:pStyle w:val="BookText"/>
        <w:rPr/>
      </w:pPr>
      <w:r>
        <w:rPr>
          <w:rFonts w:ascii="Amiri" w:hAnsi="Amiri" w:eastAsia="Amiri" w:cs="Amiri"/>
          <w:color w:val="111111"/>
          <w:sz w:val="28"/>
          <w:sz w:val="28"/>
          <w:szCs w:val="28"/>
          <w:rtl w:val="true"/>
          <w:lang w:bidi="ar-SA"/>
        </w:rPr>
        <w:t>للقضاء في كلّ مرافعة، وأمّا إذا كان مقابلاً لتصدّي مسؤولية القضاء فلا يستردّ منه شيء أيضاً عند عدم وقوع المرافعة في السنة أصلاً؛ لأنّ الاجر في مقابل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عدم الاسترداد في الرزق فيما إذا لم يبق شيء من الرزق، وإلاّ فاسترداده مع الإباحة بل مع الملكية جائز كما لا يخفى، وعليه فالفرق بما ذكر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أفاد وأجاد السيّد قدس سره في الملحقات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الارتزاق غير الاُجرة، فإنّها عوض العمل، بخلافه فإنّه بسبب كون الشخص قاضياً مثلاً أو مؤذّناً أو نحو ذلك</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 أنّ الرزق لكون القاضي مصرفاً لبيت المال لا في مقابل عمله، وهذا بخلاف الاُجرة؛ فإنّه إمّا أن يكون مقابلاً للعمل أو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المستند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الارتزاق منه أخذ الرزق منه لأجل كونه قاضياً، لا لقضائه وعليه وبإزائه، وإعطاء الوالي أيضاً كذلك، والفرق بين المعنيين واضح؛ فإنّ الأخ يعطي أخاه لكونه أخاً له لا لأجر الاُخوّة وبإزائه، وكذا من وقف على المؤذّن مثلاً أو نذر له شيئاً فهو يعطيه لأجل كونه مؤذّناً لا بإزاء أذانه؛ ولذا لو وقف أحد ضياعاً على شيعة بلده أو صائميه فيجوز لهم الارتزاق من نمائه، مع أنّه لا يجوز أخذ شيء بإزاء التشيّع والصوم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فيما ذكر من جواز الارتزاق بين أن يأخذ من السلطان العادل أو من الجائر إذا كان أهلاً للقضاء وكانت قضاوته بمصلحة الاُمّة؛ لما عرفت من دلالة المعتبرة على أنّ بيت المال معدّ لمصالح المسلمين، والقضاء من مهمّاتها، فإذا عرف القاضي أنّ المصلحة تقتضي التصدّي وأخذ الرزق من بيت المال جاز له ذلك وإن كان السلطان </w:t>
      </w:r>
    </w:p>
    <w:p>
      <w:pPr>
        <w:pStyle w:val="BookText"/>
        <w:rPr/>
      </w:pPr>
      <w:r>
        <w:rPr>
          <w:rFonts w:ascii="Amiri" w:hAnsi="Amiri" w:eastAsia="Amiri" w:cs="Amiri"/>
          <w:color w:val="111111"/>
          <w:sz w:val="28"/>
          <w:sz w:val="28"/>
          <w:szCs w:val="28"/>
          <w:rtl w:val="true"/>
          <w:lang w:bidi="ar-SA"/>
        </w:rPr>
        <w:t>جائراً؛ لأنّ بيت المال معدّ لذلك، والآخذ مجاز في التصرّف؛ لكونه مجتهداً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أشار إليه الشيخ الأعظم قدس سره من أدلّة حلّية بيت المال لأهله ولو خرج من يد الجائر، ولعلّ مراده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جوائز السلطان، كمصحّحة أبي المغرا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بالعامل فيجيزني بالدراهم، آخذها؟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وغير ذلك من أخبار جوائز السلطان التي سيأتي نقلها في البحث عن جوائز السلطان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تدلّ على جواز أخذ القاضي بطريق أولى، نعم من لم تجتمع فيه شرائط القضاء لا يجوز له أن يرتزق من بيت المال من هذه الجهة؛ لعدم كونه من موارد مصرف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 السلطان عادلاً أو جائراً، ويدلّ عليه ما دلّ على حرمة أكل المال بالباطل من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الميرزا حبيب الله الرشتي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البيت المجتمع فيه مال المسلمين؛ أعني ما اُعدّ لمصالحهم، كسهم سبيل الله من الزكاة والاُجور المحصّلة من الأراضي الخراجية والأوقاف العامّة لكلّ المسلمين؛ فإنّ المسلمين في هذه الأموال شرّع سواء، وليس المراد به مطلق الزكاة أو ما يرجع إلى الفقراء</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في كتاب القضاء للميرزا الآشتياني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يجتمع فيه الزكاة </w:t>
      </w:r>
      <w:bookmarkStart w:id="28" w:name="pg17323_405780"/>
    </w:p>
    <w:p>
      <w:pPr>
        <w:pStyle w:val="BookText"/>
        <w:rPr/>
      </w:pPr>
      <w:bookmarkEnd w:id="28"/>
      <w:r>
        <w:rPr>
          <w:rFonts w:ascii="Amiri" w:hAnsi="Amiri" w:eastAsia="Amiri" w:cs="Amiri"/>
          <w:color w:val="111111"/>
          <w:sz w:val="28"/>
          <w:sz w:val="28"/>
          <w:szCs w:val="28"/>
          <w:rtl w:val="true"/>
          <w:lang w:bidi="ar-SA"/>
        </w:rPr>
        <w:t>والخمس والصدقات ووجوه المظالم وغيرها ممّا يكون مختصّاً بالفقراء، فلا يكون من بيت المال في شيء، ولا يجوز صرف ما يجتمع فيه في مصالح المسلمين، بل لابدّ أن يعطى لمستحقّيه من الفقراء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ثمّ إنّه لو لم يكن هناك بيت مال فهل يجوز له الارتزاق من سائر الوجوه التي مصرفها الخير أو سبيل الله‌؟</w:t>
      </w:r>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الجواز مع الضرورة والحاجة؛ لتوقّف التوصّل إلى ذلك الخير العامّ بالارتزاق، وأمّا بدونها فيشكل سيّما مع التعيين، بل لا يجوز حينئذ البتّة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عدم الجواز مع عدم الحاجة والتعيين هو عدم إحراز الإطلاق في سائر الوجوه، وهذا بخلاف بيت المال؛ لما عرفت من إطلاق مرسلة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استشكل السيّد في الملحقات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يختصّ جواز الارتزاق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 عدم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المال، وأمّا سائر الوجوه التي مصرفها الخير أو سبيل الله فيشكل جواز ارتزاقه منها بدون الحاجة والضرورة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875810_1280447820"/>
      <w:bookmarkStart w:id="30" w:name="_Toc10"/>
      <w:bookmarkEnd w:id="29"/>
      <w:r>
        <w:rPr>
          <w:rtl w:val="true"/>
        </w:rPr>
        <w:t>المقام السادس</w:t>
      </w:r>
      <w:r>
        <w:rPr>
          <w:rtl w:val="true"/>
        </w:rPr>
        <w:t xml:space="preserve">: </w:t>
      </w:r>
      <w:r>
        <w:rPr>
          <w:rtl w:val="true"/>
        </w:rPr>
        <w:t>في حكم أخذ القضاة الهدايا</w:t>
      </w:r>
      <w:bookmarkEnd w:id="3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من أنواع الهديّة هو ما يبذله الباذل على وجه الهبة ليورث المودّة بينه وبين الحاكم، فيحكم له حقّاً كان أو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فرّق بين الهديّة المذكورة والرشوة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الرشوة تبذل في مقابل الحكم، والهديّة تبذل لإيراث المحبّة الموجبة للحكم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الفرق المذكور هو الجواز، ولكنّ هذا الفرق لا يكون فارقاً؛ لاندراجها في الرشوة لغةً بناءً على ما ذكره في المصباح المنير في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يعطيه الشخص للحاكم وغيره ليحكم له أو يحمله على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الأثير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الوصلة إلى الحاجة بالمصانعة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فمن المعلوم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ليحكم له أو يحمله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بما إذا لم يتوسّط غرض آخر كالمودّة، فكما أنّ الرشوة تشمل ما إذا أوجبت الحكم من دون وساطة المودّة، فكذلك تشمل ما إذا أوجبت ذلك مع وساطتها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الرشوة هو ما كان بإزاء الحكم لا ما كان بداعيه، ولكنّه فيما إذا لم يكن إطلاق في كلام اللغويّين، والمفروض هو وجود الإطلاق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الغاية لا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الغاية أعمّ من كونها أوّلية أو نهائية، ويشهد له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يحمله على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حكم العرف بصدق الرشوة عليها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مال الشيخ الأعظم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حرمتها؛ لأنّها رشوة أو بحكمها بتنقيح المناط</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وإن لم يجزم بذلك، بل 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الفقهاء بحرمة الهديّة الغير المعهودة قبل القضاء؛ لأنّه قرينة على أنّ المقصود منه الحكم ولو فرضاً، وهو </w:t>
      </w:r>
    </w:p>
    <w:p>
      <w:pPr>
        <w:pStyle w:val="BookText"/>
        <w:rPr/>
      </w:pPr>
      <w:r>
        <w:rPr>
          <w:rFonts w:ascii="Amiri" w:hAnsi="Amiri" w:eastAsia="Amiri" w:cs="Amiri"/>
          <w:color w:val="111111"/>
          <w:sz w:val="28"/>
          <w:sz w:val="28"/>
          <w:szCs w:val="28"/>
          <w:rtl w:val="true"/>
          <w:lang w:bidi="ar-SA"/>
        </w:rPr>
        <w:t>كذلك؛ لصدق الرشوة عرفاً، فيشمله إطلاقاتها</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أورد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المعهودة من الهدايا التي لا ترتبط بكونه قاضياً، بل تعطى بعنوان القرابة أو المودّة المطلقة ولا يقصد بها الحكم؛ إذ لا إشكال في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إدراج الهدايا التي تعطى لكي يحكم القاضي له عند وقوع المرافعة؛ فإنّ الرشوة صادقة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صدق الإدلاء بالمال إلى الحكّام لأكل أموال الناس، وهو منهيّ عنه بنصّ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من دون فرق بين أن يكون الأكل المذكور غرضاً أوّليّاً أو نهائيّاً للإدلاء ودفع المال، فلو لم يثبت أنّ الهديّة المذكورة رشوة فلا أقلّ أنّها إدلاء، ولكنّه أخصّ من المدّعى؛ لاختصاصه بالحكم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كلّه، فيمكن القول بإلحاق الهديّة بالرشوة حكماً؛ لعدم احتمال الفرق بينهما في الغاية المذكورة، كما أشار إليه الشيخ الأعظم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بحكمها بتنقيح 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تنقيح المناط هو التنقيح القطعي لا الظنّي، وعليه فلا يرد عليه ما أورده في مصباح الفقاهة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غاية ما يحصل من تنقيح المناط هو الظنّ بذلك، والظنّ لا يغني من الحقّ شيئاً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الشيخ الأعظم قدس سره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استظهار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اُخرى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كان غلولاً، وإن أخذ </w:t>
      </w:r>
    </w:p>
    <w:p>
      <w:pPr>
        <w:pStyle w:val="BookText"/>
        <w:rPr/>
      </w:pPr>
      <w:r>
        <w:rPr>
          <w:rFonts w:ascii="Amiri" w:hAnsi="Amiri" w:eastAsia="Amiri" w:cs="Amiri"/>
          <w:color w:val="111111"/>
          <w:sz w:val="28"/>
          <w:sz w:val="28"/>
          <w:szCs w:val="28"/>
          <w:rtl w:val="true"/>
          <w:lang w:bidi="ar-SA"/>
        </w:rPr>
        <w:t>الرشوة فهو مشرك</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ضعيفة السند،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واردة في هدايا الولاة دون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حرمتها هو أنّها تكون عن كره وخوف من ظلم الوالي وجوره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هدايا العمّال غلولٌ‌،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فقد روى الحسن بن محمّد الطوسي في الأمالي، عن أبيه عن ابن مهديّ‌، عن ابن عقدة، عن عبد الرحمان، عن أبيه، عن ليث، عن عطاء، عن جابر،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الاُمراء غلول</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مصباح الفقاهة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ضعيفة،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مختصّة بالاُمراء،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 يراد من إضافة الهدايا إلى العمّال إضافة المصدر إلى الفاعل دون المفعول؛ بمعنى أنّ الهدايا التي تصل إلى الرعيّة من عمّال سلاطين الجور غلول، فتكون الرواية راجعة إلى جوائز السلطان وعمّاله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الوجه الأخير وإن كان في نفسه جيّداً إلاّ أنّه إنّما يتمّ فيما إذا علم كون الهديّة من الأموال المحرّمة، وإلاّ فلا وجه لكونها غلولاً، على أنّه بعيد عن ظاهر الرواية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استدلّ النراقي قدس سره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المرويّ في كتب العامّة عن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النبيّ صلى الله عليه وآله رجلاً يقال له اللثة على الصدقة،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اُهدي إليّ‌، فقام النبيّ صلى الله عليه وآله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فما بال العامل </w:t>
      </w:r>
    </w:p>
    <w:p>
      <w:pPr>
        <w:pStyle w:val="BookText"/>
        <w:rPr/>
      </w:pPr>
      <w:r>
        <w:rPr>
          <w:rFonts w:ascii="Amiri" w:hAnsi="Amiri" w:eastAsia="Amiri" w:cs="Amiri"/>
          <w:color w:val="111111"/>
          <w:sz w:val="28"/>
          <w:sz w:val="28"/>
          <w:szCs w:val="28"/>
          <w:rtl w:val="true"/>
          <w:lang w:bidi="ar-SA"/>
        </w:rPr>
        <w:t>نستعمله فيأتينا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عملكم وهذا الذي اُهدي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قعد في بيت أبيه واُمّه فنظر هل يهدى له أم لا؟ والذي نفسي بيده، لا يقبل أحد منكم منها شيئاً إلاّ جاء به يوم القيامة يحمله على عنقه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هذا مضافاً إلى أنّ موضوع الرواية هو عمّال الصدقة، فلا ترتبط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صلى الله عليه وآله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قعد في بيت أبيه واُمّه فنظر هل يهدى 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يشعر بالتعميم؛ فإنّه كالكبرى، ولا خصوصية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تقدّمت في إسباغ الوضوء عن الرضا، عن آبائه، عن عليّ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مجهولة،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في خصوص الهديّة بعد قضاء حاجة المؤمن، ولم يقل أحد بحرمتها هناك؛ لما دلّ على جواز قبول الهديّة من المؤمن بل من الكافر، ولما دلّ على استحباب الإهداء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فلابدّ من حمل الرواية على الكراهة ورجحان التجنّب عن قبول الهدايا من أهل الحاجة إليه؛ لئلاّ يقع في الرشوة يوماً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وللرواية توجيهات تكون الرواية على بعضها محمولة على </w:t>
      </w:r>
    </w:p>
    <w:p>
      <w:pPr>
        <w:pStyle w:val="BookText"/>
        <w:rPr/>
      </w:pPr>
      <w:r>
        <w:rPr>
          <w:rFonts w:ascii="Amiri" w:hAnsi="Amiri" w:eastAsia="Amiri" w:cs="Amiri"/>
          <w:color w:val="111111"/>
          <w:sz w:val="28"/>
          <w:sz w:val="28"/>
          <w:szCs w:val="28"/>
          <w:rtl w:val="true"/>
          <w:lang w:bidi="ar-SA"/>
        </w:rPr>
        <w:t>ظاهرها من التحريم، وعلى بعضها محمولة على المبالغة في رجحان التجنّب عن قبول الهدايا من أهل الحاجة؛ لئلاّ يقع في الرشوة يوماً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من بعض التوجيهات التي تكون الرواية معه محمولة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كانت الحاجة هي القضاء، وكان القاضي مراعياً في قضائه جانب أشخاص يعطونه الهدايا بعد القضاء؛ فإنّها لو لم تصدق عليها الرشوة اُلحقت بها حكماً؛ لعدم الفرق بين إعطاء الهديّة ليحكم القاضي وبين أن يحكم القاضي لكي يهدي إليه المحكوم له،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المذكورة غير مرتبطة بالهديّة المعطاة للقاضي، ولكن صدق الرشوة على هديّة القضاة قبل القضاء لغةً وعرفاً يكفي في حرمتها إن أوجبت المودّة المؤثّرة في الحكم، هذا مضافاً إلى صدق الإدلاء فيما إذا كانت الهديّة للحكم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بالهديّة المذكورة ما إذا حكم القاضي لشخص أو أشخاص ليعطى الهديّة بعد الحكم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القاضي لو صرّح بأنّي لا أحكم على طبق مراد المعطي ولكن مع ذلك كانت الهدايا مؤثّرة فيه لكونها مورثة للمودّة الموجبة للحكم له، لم يفد ذلك في رفع الحرمة؛ لصدق الرشوة عليها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المعطي أنّ الهدايا لا تؤثّر في الحاكم بوجه لأنّ القاضي يحكم له على طبق الموازين الشرعية فلا تصدق الرشوة عليها؛ لأنّ إعطاءها حينئذ لا يكون لغرض الحكم؛ لا الغرض الأوّلي ولا النهائي، بل يكون مرجعه إلى تشويق القاضي نحو ما بنى عليه من الحكم على طبق الموازين الشرعية، وعليه فلا تحرم الهدايا غير المؤثّرة في الحكم؛ لأنّها لا تكون بداعي الحكم أصلاً، بل تعطى </w:t>
      </w:r>
    </w:p>
    <w:p>
      <w:pPr>
        <w:pStyle w:val="BookText"/>
        <w:rPr/>
      </w:pPr>
      <w:r>
        <w:rPr>
          <w:rFonts w:ascii="Amiri" w:hAnsi="Amiri" w:eastAsia="Amiri" w:cs="Amiri"/>
          <w:color w:val="111111"/>
          <w:sz w:val="28"/>
          <w:sz w:val="28"/>
          <w:szCs w:val="28"/>
          <w:rtl w:val="true"/>
          <w:lang w:bidi="ar-SA"/>
        </w:rPr>
        <w:t>لأغراض اُخرى 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ومعاقد الإجماعات مع عدم التأثير في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ثابتة؛ لأنّ الرشوة هي التي يكون الداعي فيها الحكم، والمفروض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الرشوة لا تنحصر في الهدايا المالية، بل تشمل كلّ نفع سواء كان عيناً أو منفعةً أو عملاً أومدحاً وثناءً‌،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الملحقات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 قد تكون مالاً من عين أو منفعة، وقد تكون عملاً للقاضي كخياطة ثوبه أو تعمير داره أو نحوهما، وقد تكون قولاً كمدحه والثناء عليه لإمالة قلبه إلى نفسه ليحكم له، وقد تكون فعلاً من الأفعال كالسعي في حوائجه وإظهار تعظيمه وتبجيله ونحو ذلك، فكلّ ذلك محرّم؛ إمّا لصدق الرشوة عليها أو للإلحاق بها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الرشوة خاصّة في الأموال وفي بذلها على جهة الرشوة، أو أنّها تعمّها وتعمّ الأموال بل والأقوال، كمدح القاضي والثناء عليه والمبادرة إلى حوائجه وإظهار تبجيله وتعظيمه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وإن شكّ في بعض الأفراد في الدخول في الاسم أو جزم بعدمه فلا يبعد الدخول في الحكم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يظهر حكم المعاملات المشتملة على المحاباة والمساهلة والمسامحة، كبيعه من القاضي ما يساوي عشرة دراهم بدرهم؛ فإنّه داخل تحت عنوان الرشوة، سواء كان غرضه الأصلي من المعاملة هو حكم القاضي له باطلاً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أو باطلاً </w:t>
      </w:r>
      <w:r>
        <w:rPr>
          <w:rFonts w:eastAsia="Amiri" w:cs="Amiri" w:ascii="Amiri" w:hAnsi="Amiri"/>
          <w:color w:val="111111"/>
          <w:sz w:val="28"/>
          <w:szCs w:val="28"/>
          <w:rtl w:val="true"/>
          <w:lang w:bidi="ar-SA"/>
        </w:rPr>
        <w:t xml:space="preserve">- </w:t>
      </w:r>
      <w:bookmarkStart w:id="31" w:name="pg17323_405795"/>
    </w:p>
    <w:p>
      <w:pPr>
        <w:pStyle w:val="BookText"/>
        <w:rPr/>
      </w:pPr>
      <w:bookmarkEnd w:id="31"/>
      <w:r>
        <w:rPr>
          <w:rFonts w:ascii="Amiri" w:hAnsi="Amiri" w:eastAsia="Amiri" w:cs="Amiri"/>
          <w:color w:val="111111"/>
          <w:sz w:val="28"/>
          <w:sz w:val="28"/>
          <w:szCs w:val="28"/>
          <w:rtl w:val="true"/>
          <w:lang w:bidi="ar-SA"/>
        </w:rPr>
        <w:t>بحيث لولا ذلك لم يقصد المعاملة أصلاً، أو كان غرضه من تقليل الثمن هو الحكم المذكور وإن قصد المعاملة، ولو لم يحكم له تصدق الرشوة عليه، ولا فرق في ذلك بين أن يكون الغرض والداعي كالمشروط في العقد أو لا يكون، كلّ ذلك لصدق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يندرج في الرشوة ما إذا قصد أصل المعاملة وحابى فيها لجلب قلب القاضي حتّى يحكم له؛ لما عرفت من صدق الرشوة عليه لغةً وعرفاً، فإنّه كالهديّة التي توجب المودّة الموجبة للحكم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أدرج فيها في إرشاد الطالب ما إذا باع من القاضي بثمن المثل ولكن كان البيع بداعي الحكم له بحيث لولا حكمه له أمسك على متاعه ولم يبعه لا منه ولا من غيره، كما يتّفق ذلك في بعض أزمنة عزّة وجود المبيع</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لأنّه نفع، وإن أبيت من صدق الرشوة فلا أقلّ تكون المحاباة في الصور المذكورة ملحقة بالرشوة في الحكم، كما ذهب إليه الشيخ الأعظم قدس سره</w:t>
      </w:r>
      <w:r>
        <w:rPr>
          <w:rStyle w:val="FootnoteAnchor"/>
          <w:rtl w:val="true"/>
        </w:rPr>
        <w:footnoteReference w:id="89"/>
      </w:r>
      <w:r>
        <w:rPr>
          <w:rFonts w:ascii="Amiri" w:hAnsi="Amiri" w:eastAsia="Amiri" w:cs="Amiri"/>
          <w:color w:val="111111"/>
          <w:sz w:val="28"/>
          <w:sz w:val="28"/>
          <w:szCs w:val="28"/>
          <w:rtl w:val="true"/>
          <w:lang w:bidi="ar-SA"/>
        </w:rPr>
        <w:t>لعدم الفرق بينها وبين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من المحاباة مجرّد تعظيم القاضي أو التودّد المحض أو التقرّب إلى الله فلا وجه للحرمة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75812_1280447820"/>
      <w:bookmarkStart w:id="33" w:name="_Toc11"/>
      <w:bookmarkEnd w:id="32"/>
      <w:r>
        <w:rPr>
          <w:rtl w:val="true"/>
        </w:rPr>
        <w:t>المقام السابع</w:t>
      </w:r>
      <w:r>
        <w:rPr>
          <w:rtl w:val="true"/>
        </w:rPr>
        <w:t xml:space="preserve">: </w:t>
      </w:r>
      <w:r>
        <w:rPr>
          <w:rtl w:val="true"/>
        </w:rPr>
        <w:t>في الهدايا للاُمراء والولاة والعمّال وغيرهم ممّن يشتغل في الحكومة</w:t>
      </w:r>
      <w:bookmarkEnd w:id="3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إطلاق كلمات اللغويّين في معنى الرشوة يشملها؛ لما عرفت من تصريح الفيّومي في المصباح المنير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يعطيه الشخص للحاكم </w:t>
      </w:r>
    </w:p>
    <w:p>
      <w:pPr>
        <w:pStyle w:val="BookText"/>
        <w:rPr/>
      </w:pPr>
      <w:r>
        <w:rPr>
          <w:rFonts w:ascii="Amiri" w:hAnsi="Amiri" w:eastAsia="Amiri" w:cs="Amiri"/>
          <w:color w:val="111111"/>
          <w:sz w:val="28"/>
          <w:sz w:val="28"/>
          <w:szCs w:val="28"/>
          <w:rtl w:val="true"/>
          <w:lang w:bidi="ar-SA"/>
        </w:rPr>
        <w:t>وغيره ليحكم له أو يحمله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فبذل شيء للوالي لكي يحكم له في الأحكام العرفية رشوة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الحكم في اللغة إلى خصوص الأحكام القضائية،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أعمّ والحاكم لا يختصّ بالقاضي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عبارة المصباح المنير لا تختصّ بالحكم ولا بالحاكم؛ لعطف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يحمله على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قوله قبل ذلك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يعطيه الشخص للحاكم و غيره ليحكم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الرشوة على ما يعطى لهم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كان غلولاً، وإن أخذ الرشوة فهو مشرك</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يمكن القول بحرمتها؛ للمطلقات الدالّة على حرمة الرشوة، مضافاً إلى الروايات الخاصّة الواردة في الاُمراء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الاُمراء غلول</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بناءً على أنّ الإضافة لاميّة لا نشويّة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الساعدي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فما بال العامل نستعمله فيأتينا فيقول هذا من عملكم وهذا الذي اُهدي لي، فهلاّ قعد في بيت أبيه واُمّه فنظر هل يهدى 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يقبل أحد منكم منها شيئاً إلاّ جاء به يوم القيامة </w:t>
      </w:r>
    </w:p>
    <w:p>
      <w:pPr>
        <w:pStyle w:val="BookText"/>
        <w:rPr/>
      </w:pPr>
      <w:r>
        <w:rPr>
          <w:rFonts w:ascii="Amiri" w:hAnsi="Amiri" w:eastAsia="Amiri" w:cs="Amiri"/>
          <w:color w:val="111111"/>
          <w:sz w:val="28"/>
          <w:sz w:val="28"/>
          <w:szCs w:val="28"/>
          <w:rtl w:val="true"/>
          <w:lang w:bidi="ar-SA"/>
        </w:rPr>
        <w:t>يحمله على عنقه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دلالة المطلقات؛ فإنّها منصرفة إلى الرشا في الأحكام القضائية، فشمولها بالنسبة إلى الأحكام العرفية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الرشا في الحكم فهو الكفر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وإن كان كثير منها في الرشا في الحكم القضائي لكن فيها ما هو مطلق،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 الرشوة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والمرتشي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ومثلهما كاف لإثبات حرمة مطلق الأحكام ولو كانت أحكاماً عرفية؛ لعدم التنافي بين هاتين الروايتين وبقيّة الروايات الواردة في الأحكام القضائية لأنّها مثبتات، فلا وجه لدعوى تقييدهما بالرشا في الأحكام القضائية بناءً على انصراف المطلقات إليها؛ ولذلك ذهب في الجواهر إلى إمكان الأخذ بإطلاق الروايتين لإثبات الحرمة في غير الأحكام أيضاً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الروايتين ضعيفتان، فلا يمكن إثبات الحرمة بهما في غير الأحكام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دليل لحرمة هدايا الاُمراء والولاة والعمّال من جهة المطلقات الواردة في حرمة الرشوة بعد انصرافهاإلى الأحكام القضائية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الخاصّة الواردة في هدايا الاُمراء والعمّال ضعيفة، فلا يمكن رفع اليد عن عمومات أدلّة النفوذ بمثلها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لذلك ذهب في مصباح الفقاهة إلى أنّ هديّة الولاة مكروهة</w:t>
      </w:r>
      <w:r>
        <w:rPr>
          <w:rStyle w:val="FootnoteAnchor"/>
          <w:rtl w:val="true"/>
        </w:rPr>
        <w:footnoteReference w:id="94"/>
      </w:r>
      <w:r>
        <w:rPr>
          <w:rFonts w:ascii="Amiri" w:hAnsi="Amiri" w:eastAsia="Amiri" w:cs="Amiri"/>
          <w:color w:val="111111"/>
          <w:sz w:val="28"/>
          <w:sz w:val="28"/>
          <w:szCs w:val="28"/>
          <w:rtl w:val="true"/>
          <w:lang w:bidi="ar-SA"/>
        </w:rPr>
        <w:t>لكفاية الروايات الخاصّة في الحكم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للاُمراء والولاة والعمّال ونحوهم التواني في الخدمات التي اُنيطت بهم، أو المطالبة بالاُجرة أو الجعل أو غيرهما من الهدايا؛ لأنّهم كالأجير الخاصّ في الإتيان بتلك الخدمات في المدّة المعيّنة بالمباشرة، فلا يجوز لهم مطالبة شيء آخر أو أخذ شيء آخر وراء ما تعاقدوا عليه مع الحكومة؛ لأنّ المطالبة أو أخذ شيء آخر ينافي اتّفاقهم مع الحكومة في الإتيان بالخدمات المعيّنة لأرباب الحاجة مجّاناً، فكما لا يجوز للأجير الخاصّ أن يعمل لغيره بالإجارة أو الجعالة أو التبرّع ولا لنفسه عملاً ينافي حقّ المستأجر إلاّ مع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 عليه الإجماع، مضافاً إلى خبر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الرجل يستأجر الرجل بأجر معلوم، فيبعثه في ضيعة، فيعطيه رجل آخر دراهم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كذا وكذا وما ربحت بيني وبينك‌؟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له الذي استأجره فليس به بأس</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في المقام؛ لأنّ الولاة ونحوهم كالأجير الخاصّ‌؛ في أنّ عملهم في الوقت المعيّن ملك للمستأجر وهو الحكومة، وملكية الحكومة بالنسبة إلى عملهم تمنع عن تعلّق عقد جديد آخر به أو الإتيان بكيفية تنافي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أبرموا عقوداً اُخرى بعد تحقّق الإجارة للأعمال الموظّفة بالمباشرة في الوقت المعيّن من دون أخذ شيء آخر من غير المستأجر، كانت العقود المتأخّرة منافية لحقّ المستأجر وتصرّفاً في حقّه، ومقتضى القاعدة هو بطلانها إلاّ إذا أذن المستأجر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 العلاّمة الخوئي قدس سره في مسألة الأجير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وبما أنّ الإجارة الثانية قد </w:t>
      </w:r>
    </w:p>
    <w:p>
      <w:pPr>
        <w:pStyle w:val="BookText"/>
        <w:rPr/>
      </w:pPr>
      <w:r>
        <w:rPr>
          <w:rFonts w:ascii="Amiri" w:hAnsi="Amiri" w:eastAsia="Amiri" w:cs="Amiri"/>
          <w:color w:val="111111"/>
          <w:sz w:val="28"/>
          <w:sz w:val="28"/>
          <w:szCs w:val="28"/>
          <w:rtl w:val="true"/>
          <w:lang w:bidi="ar-SA"/>
        </w:rPr>
        <w:t>وقعت على ملك المستأجر فتكون صحّتها منوطة بإجازته، فإن أجازها استحقّ الاُجرة المسمّاة في تلك الاُجرة، وإن ردّها بطلت وكان بالخيار بين فسخ الإجارة الاُولى واسترجاع المسمّاة فيها، وبين الإمضاء والمطالبة باُجرة المثل للمنفعة الفائتة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يملك الأجير فيما إذا أجاز المستأجر الإجارة الثانية إلاّ الاُجرة المسمّاة في الإجارة الاُولى، وإذا ردّ المستأجر الإجارة الثانية صارت الإجارة الثانية باطلة، ولا يملك الأجير الاُجرة المسمّاة فيها؛ لبطلان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فسخ المستأجر الإجارة الاُولى لزم على الأجير ردّ الاُجرة المسمّاة في الإجارة الاُولى؛ لفسخها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أبقى المستأجر الإجارة الاُولى استحقّ الأجير الاُجرة المسمّاة في الإجارة الاُولى، ولكن يلزم على الأجير أن يعطي المستأجر اُجرة المثل للمنفعة الفائتة؛ بسبب إتيان العمل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صورة ردّ المستأجر الإجارة الثانية وفسخ الإجارة الاُولى هل يستحقّ الأجير شيئاً بالنسبة إلى ما عمله للغير أم لا؟</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الاُجرة المسمّاة في الإجارة الثانية لبطلانها؛ وذلك لوقوعها في حقّ الغير وردّ المستأجر، وعدم كفاية ارتفاع الحقّ عنه بفسخ المستأجر للإجارة الاُولى في صحّة الإجارة الثانية بعد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لم يكن العمل للغير مجّاناً فإذا ارتفع حقّ المستأجر عنه بفسخ الإجارة الاُولى صار العمل للأجير، فيستحقّ اُجرة المثل في مقابل عمله للغير إن كان حلالاً، وعليه فيجب على الغير أن يعطي اُجرة المثل للعمل المذكور إلى الأجير، لا الاُجرة المسمّاة في الإجارة الثانية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حكم الأجير والمستأجر الأوّل، وأمّا حكم المستأجر الثاني </w:t>
      </w:r>
    </w:p>
    <w:p>
      <w:pPr>
        <w:pStyle w:val="BookText"/>
        <w:rPr/>
      </w:pPr>
      <w:r>
        <w:rPr>
          <w:rFonts w:ascii="Amiri" w:hAnsi="Amiri" w:eastAsia="Amiri" w:cs="Amiri"/>
          <w:color w:val="111111"/>
          <w:sz w:val="28"/>
          <w:sz w:val="28"/>
          <w:szCs w:val="28"/>
          <w:rtl w:val="true"/>
          <w:lang w:bidi="ar-SA"/>
        </w:rPr>
        <w:t>بالنسبة إلى المستأجر الأوّل فيمكن أن يقال إنّه ارتكب المعصية مع الالتفات بسبب استيلائه على المنفعة المملوكة للمستأجر الأوّل من دون استيئذان منه، فإذا دعا الثاني الأجير لعمل بإجارة أو نحوها فبعد قبوله وشروعه فيه فقد استولى على المنفعة المملوكة للمستأجر الأوّل، وهذا الاستيلاء عدوان وظلم ومحرّم بالنسبة إلى حقّ المستأجر الأوّل، بل لو زاد زيادة حكمية كالوصف والهيئة بسبب عمل الأجير على شيء من أموال المستأجر الثاني كالثياب ونحوها، فإن لم يُجِز المستأجر الأوّل الإجارة الثانية ولم يفسخ الإجارة الاُولى استحقّ اُجرة المثل على الأجير بالنسبة إلى المنفعة الفائتة، وصار شريكاً في مالية الثياب بالنسبة إلى الزيادة الحكمية الحاصلة في الملك؛ إذ الوصف والهيئة وإن لم يلحظا مع الموصوف مستقلاًّ ولكنّه فيما إذا كان المالك واحداً، بخلاف ما إذا كان المالك متعدّداً؛ ولذا ذهب بعض مشايخنا إلى الشركة في المالية عند الفسخ أو الإقالة وغيرهما، كما هو مذكور في خيار الغبن بالنسبة إلى الزيادة الحكمية،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سائر العقود المنافية للإجارة الاُولى، بل يمكن أن يقال فيما إذا قبل الهدايا ليأتي لهم بالخدمات الموظّفة ففوّت الأجير على المستأجر ملكه؛ لأنّه استأجره على أن يأتي بالخدمات الموظّفة لأرباب الحاجة مجّاناً، فلا جرم يضمن الأجير ويثبت للمستأجر خيار تعذّر التسليم، فله الفسخ واسترجاع تمام الاُجرة المسمّاة، كما أنّ له الإبقاء والمطالبة باُجرة المثل عوضاً عن المنفعة الفائتة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السابقة تعلّقت بالكلّي؛ فلا تنافيه العقود المتأخّرة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الكلّي المنحصر فرده في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الأجير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لتعلّق عقد آخر به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34" w:name="pg17323_405808"/>
    </w:p>
    <w:p>
      <w:pPr>
        <w:pStyle w:val="BookText"/>
        <w:rPr/>
      </w:pPr>
      <w:bookmarkEnd w:id="34"/>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الخاصّة تمنع عن المطالبة أو أخذ شيء آخر وراء ما عقدوا مع الحكومة، وعليه فأخذ الاُجرة أو الجعل أو الهدايا من غير الحكومة في مقابل الخدمات الموظّفة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هذه الاُمور للخدمات في غير وقت الخدمة أو في مقابل ما يكون خارجاً عن اتّفاقهم مع الحكومة فلا يحرم، كما أنّ الهدايا إذا لم تكن في مقابل عمل أو كانت بعد العمل لمجرّد التودّد والمحبّة أو التعظيم والتبجيل، فلا دليل على الحرمة إلاّ إذا اشترط عدم قبول مثلها في عقد لازم أو منعت عنها الحكومة بالحكم السلطاني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إشاعة الارتشاء بين الاُمراء والولاة وعمّال الحكومة توجب اختلال النظام ووقوع الناس في المشاقّ ووهن الحكومة الإسلامية، وكلّ ما يكون كذلك فهو محرّم؛ لوجوب إقامة النظام وحفظ النظام الإسلامي وإعزازه، ومن مقدّمات هذا الوجوب هو ترك ما ينافيه وهو إشاعة الارتشاء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أخصّ من المدّعى؛ لأنّ المحرّم في هذا الدليل هو الإشاعة لا أصل الرشوة، على أنّ للحاكم الإسلامي أن يمنع عن ذلك فيما إذا رأى المصلحة في المنع عنه ولو لم يكن محرّماً بالعنوان الأوّلي، فيجب إطاعته مادام المنع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حرمة الارتشاء في المقام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مخدوش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الإجماع،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محتمل المدرك</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75814_1280447820"/>
      <w:bookmarkStart w:id="36" w:name="_Toc12"/>
      <w:bookmarkEnd w:id="35"/>
      <w:r>
        <w:rPr>
          <w:rtl w:val="true"/>
        </w:rPr>
        <w:t>المقام الثامن</w:t>
      </w:r>
      <w:r>
        <w:rPr>
          <w:rtl w:val="true"/>
        </w:rPr>
        <w:t xml:space="preserve">: </w:t>
      </w:r>
      <w:r>
        <w:rPr>
          <w:rtl w:val="true"/>
        </w:rPr>
        <w:t>في حكم الرشوة في غير الأحكام القضائية والإجرائية والعرفية</w:t>
      </w:r>
      <w:bookmarkEnd w:id="36"/>
    </w:p>
    <w:p>
      <w:pPr>
        <w:pStyle w:val="Heading4"/>
        <w:numPr>
          <w:ilvl w:val="3"/>
          <w:numId w:val="1"/>
        </w:numPr>
        <w:rPr/>
      </w:pPr>
      <w:bookmarkStart w:id="37" w:name="__RefHeading___Toc875816_1280447820"/>
      <w:bookmarkStart w:id="38" w:name="_Toc13"/>
      <w:bookmarkEnd w:id="37"/>
      <w:r>
        <w:rPr>
          <w:rtl w:val="true"/>
        </w:rPr>
        <w:t>اشارة</w:t>
      </w:r>
      <w:bookmarkEnd w:id="3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وينقدح السؤال حينئذ عن حكم إعطاء الرشوه لغير العمّال والولاة والاُمراء في مقابل </w:t>
      </w:r>
      <w:bookmarkStart w:id="39" w:name="pg17323_405810"/>
    </w:p>
    <w:p>
      <w:pPr>
        <w:pStyle w:val="BookText"/>
        <w:rPr/>
      </w:pPr>
      <w:bookmarkEnd w:id="39"/>
      <w:r>
        <w:rPr>
          <w:rFonts w:ascii="Amiri" w:hAnsi="Amiri" w:eastAsia="Amiri" w:cs="Amiri"/>
          <w:color w:val="111111"/>
          <w:sz w:val="28"/>
          <w:sz w:val="28"/>
          <w:szCs w:val="28"/>
          <w:rtl w:val="true"/>
          <w:lang w:bidi="ar-SA"/>
        </w:rPr>
        <w:t>أن يعمل له مايريد؛ هل هو جائز أو لا؟</w:t>
      </w:r>
    </w:p>
    <w:p>
      <w:pPr>
        <w:pStyle w:val="BookText"/>
        <w:rPr/>
      </w:pPr>
      <w:r>
        <w:rPr>
          <w:rFonts w:ascii="Amiri" w:hAnsi="Amiri" w:eastAsia="Amiri" w:cs="Amiri"/>
          <w:color w:val="111111"/>
          <w:sz w:val="28"/>
          <w:sz w:val="28"/>
          <w:szCs w:val="28"/>
          <w:rtl w:val="true"/>
          <w:lang w:bidi="ar-SA"/>
        </w:rPr>
        <w:t>والرشوة وإن كانت صادقة عليه من جهة إطلاق اللغة والعرف، ولكن قد عرفت عدم دليل عامّ على حرمة مطلق الرشوة؛ لاختصاص الأدلّة بالأحكام فلا تشمل غيرها، فحينئذ يجب ملاحظة مقتضى القواعد،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للمسألة صوراً مختلفة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875818_1280447820"/>
      <w:bookmarkStart w:id="41" w:name="_Toc14"/>
      <w:bookmarkEnd w:id="40"/>
      <w:r>
        <w:rPr>
          <w:rtl w:val="true"/>
        </w:rPr>
        <w:t>الصورة الاُولى</w:t>
      </w:r>
      <w:r>
        <w:rPr>
          <w:rtl w:val="true"/>
        </w:rPr>
        <w:t xml:space="preserve">: </w:t>
      </w:r>
      <w:r>
        <w:rPr>
          <w:rtl w:val="true"/>
        </w:rPr>
        <w:t>أن يكون مورد الرشوة مباحاً</w:t>
      </w:r>
      <w:bookmarkEnd w:id="41"/>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المذكور مباحاً، فلا إشكال في بذل شيء لشخص لكي يعمله له؛ إذ لا دليل على حرمة بذل الرشوة مع كون العمل سائغاً في نفسه وصالحاً لأنّ يقابل بالمال وإن كان العمل ممّا يفعله كثيرون لمجرّد التعاون ولا يأخذون عليه مالاً،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الجواز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يرشو الرجل الرشوة على أن يتحوّل من منزله فيسكنه‌؟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المشترك، كالمدارس، والمساجد، والأسواق، أو الأراضي المفتوحة عنوة، أو الموقوفة على قبيل، وهما منه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الإعطاء هو البذل بعنوان الرشوة لكي يرفع يده عمّا له حقّ الاستيفاء لا المعاملة بالنسبة إلى حقّ السبق ونحوه؛ وإلاّ فهو خارج عن الرشوة وداخل في المعاملة، ولا إشكال فيه؛ إذ من المعلوم أنّ مورد الرشوة مباح؛ لأنّ الباذل أيضاً ممّن يجوز له السكني، كما أنّ رفع اليد عمّا له حقّ الاستيفاء أيضاً جائز، وربّما استدلّ عليه أيضاً بما رواه الشيخ الطوسي قدس سره عن الحسن بن محمّد بن سماعة، عن إسماعيل بن أبي سمّال، عن محمّد بن أبي حمزة، عن حكم بن حكيم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وقد 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يشترون منّا القرب والأدوات، فيوكّلون الوكيل حتّى يستوفيه منّا، فنرشوه حتّى لا يظلمنا؟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تصلح به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ساعة </w:t>
      </w:r>
      <w:bookmarkStart w:id="42" w:name="pg17323_405812"/>
    </w:p>
    <w:p>
      <w:pPr>
        <w:pStyle w:val="BookText"/>
        <w:rPr/>
      </w:pPr>
      <w:bookmarkEnd w:id="4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إذا أنت رشوته يأخذ أقلّ من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فصّلت بين الحاجة المحلّلة والمحرّمة،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تصلح به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إعطاء الرشوة للمباح، وهو أن لا يظلمه الوكيل،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يدلّ على بطلان الرشوة؛ لكونها واقعة في مقابل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لعدم توثيق إسماعيل بن أبي سمّال، والقول بأنّه موثّق لتوثيق النجاشي إيّاه عند ذكر أخيه إبراهيم غير سديد؛ لعدم إحراز توثيق النجاشي؛ لاحتمال أن يكون التوثيق مرتبطاً بأخيه،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أبي سمّال ثقة هو وأخوه إسماعيل بن أبي سمّال، رويا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وإن دلّت على جواز الرشوة لكنّها مختصّة بدفع الظلم، ومحلّ الكلام أعمّ منه، بل دفع الظلم من الضرورات التي تبيح الإعطاء للباذل دون المبذول له، والكلام في صورة جواز البذل والأخذ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المقصود من ذيل الروياية هو إعطاء الرشوة للوكيل كي يأخذ اقل من المتّفق عليه، ومن المعلوم أنّ الرّشوة حينئذ تقع في مقابل الحرام وتكون فاسدة، بخلاف ما إذا كانت لرفع الظلم،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الرشوة في غير الأحكام لغير من يكون أجيراً للحكومة لا إشكال فيه إن كان العمل من المباحات، وهكذا لا إشكال في أخذها في الصورة المذكورة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75820_1280447820"/>
      <w:bookmarkStart w:id="44" w:name="_Toc15"/>
      <w:bookmarkEnd w:id="43"/>
      <w:r>
        <w:rPr>
          <w:rtl w:val="true"/>
        </w:rPr>
        <w:t>الصورة الثانية</w:t>
      </w:r>
      <w:r>
        <w:rPr>
          <w:rtl w:val="true"/>
        </w:rPr>
        <w:t xml:space="preserve">: </w:t>
      </w:r>
      <w:r>
        <w:rPr>
          <w:rtl w:val="true"/>
        </w:rPr>
        <w:t>أن يكون مورد الرشوة حراماً</w:t>
      </w:r>
      <w:bookmarkEnd w:id="4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المبذول له الرشوة محرّماً، ولا إشكال في كون الرشوة </w:t>
      </w:r>
    </w:p>
    <w:p>
      <w:pPr>
        <w:pStyle w:val="BookText"/>
        <w:rPr/>
      </w:pPr>
      <w:r>
        <w:rPr>
          <w:rFonts w:ascii="Amiri" w:hAnsi="Amiri" w:eastAsia="Amiri" w:cs="Amiri"/>
          <w:color w:val="111111"/>
          <w:sz w:val="28"/>
          <w:sz w:val="28"/>
          <w:szCs w:val="28"/>
          <w:rtl w:val="true"/>
          <w:lang w:bidi="ar-SA"/>
        </w:rPr>
        <w:t xml:space="preserve">محرّمة، لا لكونه رشوة لعدم الدليل على حرمتها عدا بعض الإطلاقات التي تكون منصرفة إلى الرشا في الأحكام، بل لأنّه أكل للمال بالباطل،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يحرم القبض والإقباض من حيث المعاملة، بل الحرمة من جهة فساد المعاملة والتصرّف فيه؛ لأنّ المبذول باق على ملك باذله، فلا يجوز للمبذول له أن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ذكر من عدم حرمة القبض والإقباض في نفسه من حيث المعاملة حرمته من جهة اُخرى، كالمعاونة على الإثم، أو إعداد مقدّمات الحرام بناءً على حرمة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خبر حكم بن حكيم الصيرفي بناءً على ما عرفت من أنّ المراد منه هو إعطاء الرشوة كي يأخذ الوكيل أقلّ ممّا التزمه مع الحكومة، ومقتضاه هو فساد الرشوة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روي عن مولانا أميرالمؤمنين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توبيخ مرضعة لطفل لقيط أمرها بجلب امرأة تأتيها وتأخذ الطفل وتقبّله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مظلوم، يابن المظلومة، يابن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تجلبها من جهة هديّة أعطتها إيّاها لعدم جلبها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صلى الله عليه وآله، طفت بالطفل جميع المصلّى فما وجدت أحداً أخذه منّي، فقال لها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وحقّ صاحب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امرأة وأخذت منك الطفل وقبَّلَته وبكت، ثمّ ردَدَتْه إليك وأنت تشبّثْتِ بها فأعطتك الرشوة، ثمّ وعَدَتكِ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 المرضعة، ثمّ تعجّبت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أتعلم الغيب‌؟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لا يعلم الغيب إلاّ الله، وهذا علم علّمنيه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الصدق حسن؛ الكلام كذلك كان، وإنّي بين يديك؛ مرني مهما تأمرني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45" w:name="pg17323_405817"/>
    </w:p>
    <w:p>
      <w:pPr>
        <w:pStyle w:val="BookText"/>
        <w:rPr/>
      </w:pPr>
      <w:bookmarkEnd w:id="45"/>
      <w:r>
        <w:rPr>
          <w:rFonts w:ascii="Amiri" w:hAnsi="Amiri" w:eastAsia="Amiri" w:cs="Amiri"/>
          <w:color w:val="111111"/>
          <w:sz w:val="28"/>
          <w:sz w:val="28"/>
          <w:szCs w:val="28"/>
          <w:rtl w:val="true"/>
          <w:lang w:bidi="ar-SA"/>
        </w:rPr>
        <w:t xml:space="preserve">لأنّ هذه الرواية تدلّ على ذمّ أخذ الرشوة في مقابل ترخيص غير مجاز؛ إذ التعبير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التي تخلّفت عن أمره وعن الهديّة بالرشوة يشير إلى حرمة الرشوة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كلّ حرام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المحرّم ربّما يكون هو تقديم مَن حقُّه التأخير على مَن حقّه التقديم فإنّه ظلم، فكلّ ما يأخذه في مقابل هذا التقديم محرّم، فإذا قدّم من حقّه التأخير على من حقّه التقديم واشترى شيئاً فالباطل هو ما أخذه في مقابل التقديم، وأمّا الاشتراء فلا وجه لبطلانه وإن كان محرّماً بالنهي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فيه بين أن يكون آخذ الرشوة متّحداً مع البائع أو متعدّداً، ففي صورة الاتّحاد يكون ما بإزاء التقديم المذكور محرّماً وما بإزاء الشيء المشترى محلّلاً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قرّر البائع التقديم لصنف خاصّ أو لأقربائه وأحبّائه، فالتقديم فيه لا يكون ظلماً؛ لأنّ الحقّ متقيّد بعدم مورد من موارد هذا الاستثناء، فإذا سبق أحد إلى الشراء وجاء بعده أحد من الصنف المذكور لم يكن تقديمه ظلماً؛ لأنّ الظلم فيما إذا أثبت الحقّ للسابق، وفي الفرض لم يثبت الحقّ للسابق مع مجيء الصنف المذكور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 للسابق حقّ اشتراء عدد من الشيء، واستفاد من هذا الحقّ لاشتراء بعض الأعداد لأحبّائه وأصدقائه، لم يكن تقديم بعض الأحبّاء حينئذ ظلماً؛ لأنّه استفاد من حقّه ولم يتعدّ عن الحدّ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إذا أخذ في مقابل التقديم المجاز شيئاً لم يكن محرّماً، بخلاف ما إذا أخذ في مقابل التقديم غير المجاز فإنّه ظلم ومحرّم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875822_1280447820"/>
      <w:bookmarkStart w:id="47" w:name="_Toc16"/>
      <w:bookmarkEnd w:id="46"/>
      <w:r>
        <w:rPr>
          <w:rtl w:val="true"/>
        </w:rPr>
        <w:t>الصورة الثالثة</w:t>
      </w:r>
      <w:r>
        <w:rPr>
          <w:rtl w:val="true"/>
        </w:rPr>
        <w:t xml:space="preserve">: </w:t>
      </w:r>
      <w:r>
        <w:rPr>
          <w:rtl w:val="true"/>
        </w:rPr>
        <w:t>أن يكون المورد مشتركاً بين الحلال والحرام</w:t>
      </w:r>
      <w:bookmarkEnd w:id="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مشتركاً بين الحلال والحرام، لكن بذل شيئاً بعنوان الرشوة على إصلاحه حراماً أو حلالاً، فقد ذهب الشيخ الأعظم قدس سره إلى حرمته معلّلاً ذلك </w:t>
      </w:r>
    </w:p>
    <w:p>
      <w:pPr>
        <w:pStyle w:val="BookText"/>
        <w:rPr/>
      </w:pPr>
      <w:r>
        <w:rPr>
          <w:rFonts w:ascii="Amiri" w:hAnsi="Amiri" w:eastAsia="Amiri" w:cs="Amiri"/>
          <w:color w:val="111111"/>
          <w:sz w:val="28"/>
          <w:sz w:val="28"/>
          <w:szCs w:val="28"/>
          <w:rtl w:val="true"/>
          <w:lang w:bidi="ar-SA"/>
        </w:rPr>
        <w:t>بأنّه أكل للمال بالباطل، مضافاً إلى إمكان الاستدلال على حرمته بفحوى إطلاق ما تقدّم في هديّة الولاة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من الفحوى أنّ الهديّة إذا كانت محرّمة فالرشوة محرّمة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المال على الجهة المشتركة بين المحلّل والمحرّم ليس من أكل المال بالباطل، فإنّ أكل المال إنّما يكون باطلاً إذا كان بالأسباب التي علم بطلانها في الشريعة كالقمار والغزو ونحوهما، ولم يعلم بطلان أخذ المال على العمل المشترك بين الحلال والحرام، فلا يكون من مصاديق أكل المال بالباطل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في الصحّة والحلّية هو إحراز عدم كونه أكلاً للمال بالباطل بعد تقييد الأسباب الشرعية بما لم يكن باطلاً، فما لم يحرز ذلك لا تشمله أدلّة النفوذ، ومقتضى الأصل هو عدم الانتقال، فلا يجوز التصرّف فيه؛ فجواز التصرّف متفرّع على الانتقال، وهو متفرّع على شمول أدلّة النفوذ، وهو متفرّع على تقييده بالحلال، والمفروض عدمه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إرشاد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متعلّق الإجارة عملاً يتحقّق حلالاً وحراماً فلابدّ من تقييد مورد الإجارة في عقدها بتحقّقه حلالاً؛ لئلاّ يكون الأمر بالوفاء بها منافياً لما دلّ على حرمة العمل ويعمّه وجوب الوفاء بها على كلّ تقدير، ومع إطلاق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التصريح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يعمّها كما هو المقرّر في البحث عن اجتماع الأمر والنهي</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ما فيه؛ لأنّ أدلّة نفوذ الإجارة مختصّة بالمنافع المشروعة والمحلّلة التي يمكن أن يستوفيها المالك بنفسه فيملّكها للغير بالإيجار، دون المنافع المحرّمة التي ليست له السلطنة عليها، ففي إجارة الأعمال لو آجر نفسه لعمل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أو ضرب أو كذب أو نقل خمر من مكان إلى آخر ونحو ذلك من المحرّمات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الإجارة؛ نظراً إلى ما ذكر من عدم السلطنة له على هذه الأعمال بعد النهي الشرعي، فلا تعتبر ملكيّته لما هو ممنوع شرعاً ولا سلطنة له عليه، فلا إطلاق لأدلّة وجوب الوفاء حتّى يمنع عن أدلّة الحرمة سواء قلنا بجواز الاجتماع أم لم نقل؛ إذ مع حرمة المنافع لا موضوع لأدلّة نفوذ الإجارة حتّى يتنافي دليل نفوذها عند الإطلاق مع أدلّة الحرمة كي يحكم عليه بما تقرّر في مبحث اجتماع الأمر والنهي، ولذا اشترط الفقهاء في صحّة الإجارة أن تكون المنفعة مباحة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ونحوها تبطل فيما إذا كان العمل مشتركاً بين الحلال والحرام وبذل شيئاً على إصلاحه حلالاً أو حراماً؛ لعدم احراز شمول أدلّة النفوذ بالنسبة إليها، وعدم إحراز شمولها لعدم معلومية إباحة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بفحوى ما دلّ على حرمة الهدايا للولاة،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الروايات المذكورة في الهدايا للولاة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فحواها، كما أفاد العلاّمة الخوئي قدس سره، هو حرمة إعطاء الرشوة للولاة والعمّال، لا غيرهما من الناس</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البطلان، فإن عمل الأجير أو المبذول له عملاً مباحاً فهل يستحقّ شيئاً أو لا؟ </w:t>
      </w:r>
      <w:bookmarkStart w:id="48" w:name="pg17323_405823"/>
    </w:p>
    <w:p>
      <w:pPr>
        <w:pStyle w:val="BookText"/>
        <w:rPr/>
      </w:pPr>
      <w:bookmarkEnd w:id="48"/>
      <w:r>
        <w:rPr>
          <w:rFonts w:ascii="Amiri" w:hAnsi="Amiri" w:eastAsia="Amiri" w:cs="Amiri"/>
          <w:color w:val="111111"/>
          <w:sz w:val="28"/>
          <w:sz w:val="28"/>
          <w:szCs w:val="28"/>
          <w:rtl w:val="true"/>
          <w:lang w:bidi="ar-SA"/>
        </w:rPr>
        <w:t>ذهب في إرشاد الطالب إلى استحقاق اُجرة المثل؛ لتضمّن الإجارة الإذن في العمل الموجب للضمان، بخلاف ما إذا أتى بعمل محرّم فإنّه لا يستحقّ شيئاً، فإنّ أخذ المال في مقابل الحرام أكل 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ذلك ما إذا استأجره للجامع بين قراءة القرآن أو الغناء، فعلى تقدير قراءة القرآن يستحقّ اُجرة المثل؛ لقاعدة الضمان المستفاد من الأمر بالعمل والإذن فيه، وعلى تقدير التغنّي لا يستحقّ شيئاً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فالمباح مأذون فيه عند إجارة العمل المشترك بين الحلال والحرام، ومقتضى كونه مأذوناً فيه أنّ العمل المباح المحترم يؤتى به بإذن المؤجر وطلبه، فالعامل يستحقّ حينئذ اُجرة المثل بعد ما عرفت من بطلان الإجارة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75824_1280447820"/>
      <w:bookmarkStart w:id="50" w:name="_Toc17"/>
      <w:bookmarkEnd w:id="49"/>
      <w:r>
        <w:rPr>
          <w:rtl w:val="true"/>
        </w:rPr>
        <w:t>المقام التاسع</w:t>
      </w:r>
      <w:r>
        <w:rPr>
          <w:rtl w:val="true"/>
        </w:rPr>
        <w:t xml:space="preserve">: </w:t>
      </w:r>
      <w:r>
        <w:rPr>
          <w:rtl w:val="true"/>
        </w:rPr>
        <w:t>في ضمان القضاة بالنسبة إلى المأخوذ اُجرة أو جعالة أو رشوة</w:t>
      </w:r>
      <w:bookmarkEnd w:id="50"/>
    </w:p>
    <w:p>
      <w:pPr>
        <w:pStyle w:val="Heading4"/>
        <w:numPr>
          <w:ilvl w:val="3"/>
          <w:numId w:val="1"/>
        </w:numPr>
        <w:rPr/>
      </w:pPr>
      <w:bookmarkStart w:id="51" w:name="__RefHeading___Toc875826_128044782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حكم بحرمة أخذه وجب على الآخذ ردّه وردّ بدله مع التلف إذا قصد مقابلته بالحكم، كالجعل والاُجرة، حيث حكم بتحريمهما، وكذا الرشوة لأنّها حقيقةً جعل على الباطل، ولذا فسّره في القاموس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يقصد بها المقابلة بل أعطى مجّاناً ليكون داعياً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ضمانه؛ لأنّ مرجعه إلى هبة مجّانية فاسدة؛ إذ الداعي لا يعدّ عوضاً، وما لا يضمن بصحيحه لا يضمن بفاسده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ما فيه؛ لما مرّ من عدم اختصاص الرشوة بما يقابل الباطل، كما لا </w:t>
      </w:r>
      <w:bookmarkStart w:id="53" w:name="pg17323_405829"/>
    </w:p>
    <w:p>
      <w:pPr>
        <w:pStyle w:val="BookText"/>
        <w:rPr/>
      </w:pPr>
      <w:bookmarkEnd w:id="53"/>
      <w:r>
        <w:rPr>
          <w:rFonts w:ascii="Amiri" w:hAnsi="Amiri" w:eastAsia="Amiri" w:cs="Amiri"/>
          <w:color w:val="111111"/>
          <w:sz w:val="28"/>
          <w:sz w:val="28"/>
          <w:szCs w:val="28"/>
          <w:rtl w:val="true"/>
          <w:lang w:bidi="ar-SA"/>
        </w:rPr>
        <w:t>وجه لاختصاصها بصورة المقابلة؛ لصدقها على ما إذا كانت الهديّة بنحو الداعي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فالتحقيق في المسألة يقتضي ملاحظتها بصورها، وهي كما يلي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875828_1280447820"/>
      <w:bookmarkStart w:id="55" w:name="_Toc19"/>
      <w:bookmarkEnd w:id="54"/>
      <w:r>
        <w:rPr>
          <w:rtl w:val="true"/>
        </w:rPr>
        <w:t>الصورة الاُولى</w:t>
      </w:r>
      <w:r>
        <w:rPr>
          <w:rtl w:val="true"/>
        </w:rPr>
        <w:t xml:space="preserve">: </w:t>
      </w:r>
      <w:r>
        <w:rPr>
          <w:rtl w:val="true"/>
        </w:rPr>
        <w:t>أن يكون المعطى عوضاً عن الحكم بنحو الإجارة أو الجعالة</w:t>
      </w:r>
      <w:bookmarkEnd w:id="55"/>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المعطى عوضاً عن الحكم بنحو الإجارة أو الجعالة، فلا اشكال في حرمته وعدم انتقاله، كما تدلّ عليه الروايات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عمّار بن مروان، حيث قال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أنواع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الاُجور إذا كانت سحتاً ومحرّمة لا تنتقل إلى القضاة، فيجب عليهم ردّها مع بقائها، وضمانها عند تلفها، كما يدلّ عليه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الحديث يدلّ على اشتغال العهدة بالنسبة إلى العين، فمن آثار هذا الاشتغال والمسؤولية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حفظها، وتأديتها إلى مالكها، وضمان ماليّتها عند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مرسل لا سند له، وإنّما نقله العلاّمة قدس سره في كتبه مرسلاً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ضعفه منجبر بعمل القدماء؛ حيث استدلّ به الشيخ في كتابي الغصب والرهن من الخلاف</w:t>
      </w:r>
      <w:r>
        <w:rPr>
          <w:rStyle w:val="FootnoteAnchor"/>
          <w:rtl w:val="true"/>
        </w:rPr>
        <w:footnoteReference w:id="107"/>
      </w:r>
      <w:r>
        <w:rPr>
          <w:rFonts w:ascii="Amiri" w:hAnsi="Amiri" w:eastAsia="Amiri" w:cs="Amiri"/>
          <w:color w:val="111111"/>
          <w:sz w:val="28"/>
          <w:sz w:val="28"/>
          <w:szCs w:val="28"/>
          <w:rtl w:val="true"/>
          <w:lang w:bidi="ar-SA"/>
        </w:rPr>
        <w:t>، وفي كتاب الغصب من المبسوط</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 إدريس في السرائر، حيث أسنده جزماً إلى رسول الله صلى الله عليه وآله في كتاب الرهن في موضعين</w:t>
      </w:r>
      <w:r>
        <w:rPr>
          <w:rStyle w:val="FootnoteAnchor"/>
          <w:rtl w:val="true"/>
        </w:rPr>
        <w:footnoteReference w:id="109"/>
      </w:r>
      <w:r>
        <w:rPr>
          <w:rFonts w:ascii="Amiri" w:hAnsi="Amiri" w:eastAsia="Amiri" w:cs="Amiri"/>
          <w:color w:val="111111"/>
          <w:sz w:val="28"/>
          <w:sz w:val="28"/>
          <w:szCs w:val="28"/>
          <w:rtl w:val="true"/>
          <w:lang w:bidi="ar-SA"/>
        </w:rPr>
        <w:t>، واحتجّ به على المخالف في كتاب الغصب</w:t>
      </w:r>
      <w:r>
        <w:rPr>
          <w:rStyle w:val="FootnoteAnchor"/>
          <w:rtl w:val="true"/>
        </w:rPr>
        <w:footnoteReference w:id="110"/>
      </w:r>
      <w:r>
        <w:rPr>
          <w:rFonts w:ascii="Amiri" w:hAnsi="Amiri" w:eastAsia="Amiri" w:cs="Amiri"/>
          <w:color w:val="111111"/>
          <w:sz w:val="28"/>
          <w:sz w:val="28"/>
          <w:szCs w:val="28"/>
          <w:rtl w:val="true"/>
          <w:lang w:bidi="ar-SA"/>
        </w:rPr>
        <w:t>، واستدلّ به في كتابي الغصب</w:t>
      </w:r>
      <w:r>
        <w:rPr>
          <w:rStyle w:val="FootnoteAnchor"/>
          <w:rtl w:val="true"/>
        </w:rPr>
        <w:footnoteReference w:id="111"/>
      </w:r>
      <w:r>
        <w:rPr>
          <w:rFonts w:ascii="Amiri" w:hAnsi="Amiri" w:eastAsia="Amiri" w:cs="Amiri"/>
          <w:color w:val="111111"/>
          <w:sz w:val="28"/>
          <w:sz w:val="28"/>
          <w:szCs w:val="28"/>
          <w:rtl w:val="true"/>
          <w:lang w:bidi="ar-SA"/>
        </w:rPr>
        <w:t>والوديعة</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إسناده جزماً مع أنّه لم يعمل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 عن </w:t>
      </w:r>
    </w:p>
    <w:p>
      <w:pPr>
        <w:pStyle w:val="BookText"/>
        <w:rPr/>
      </w:pPr>
      <w:r>
        <w:rPr>
          <w:rFonts w:ascii="Amiri" w:hAnsi="Amiri" w:eastAsia="Amiri" w:cs="Amiri"/>
          <w:color w:val="111111"/>
          <w:sz w:val="28"/>
          <w:sz w:val="28"/>
          <w:szCs w:val="28"/>
          <w:rtl w:val="true"/>
          <w:lang w:bidi="ar-SA"/>
        </w:rPr>
        <w:t>الوثوق بصدوره وشهرته عندهم بل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به على المخالف ابن زهرة في كتاب الغصب من الغنية</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عبارته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في المسألة لا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كلام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القدماء وإن ذكروا هذه الرواية ولكن يحتمل أن يكون ذكرهم من باب الاحتجاج على المخالفين لا من باب الاستدلال للمسألة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السند من جهة شهرته بين الفريقين غنيّ عن البحث والتكلّم فيه؛ لأنّ هذه الشهرة توجب الوثوق بصدوره منه صلى الله عليه وآله</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بالنسبة إلى التلف والإتلاف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إمكان الاستدلال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المفروض في هذه الصورة هو المعاوضة، ومقتضى صحيحها هو الضمان، ففاسده كذلك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في الملحقات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القاعدة المذكورة</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لكون الإجماع المدّعى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الشيخ الطوسي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المدرك، أو لكون قاعدة اليد المدّعى أنّها مدرك هذه القاعدة مختصّة بالأعيان، أو لكون قاعدة احترام مال المؤمن المدّعى أنّها مدرك هذه القاعدة مختصّة بضمان الإتلاف فلا تشمل التلف السماوي، ولا منافاة بين عدم الضمان والاحترام، فهذه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قاعدة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مدركها هو قاعدة الإقدام؛ لما عليه بناء العقلاء في أبواب معاملاتهم على أنّه إذا أخذ شيئاً من الطرف بعنوان أنّه يعطي بدله وعوضه؛ فإن تراضيا على عوض معيّن وسمّياه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نسمّيه بالمسمّى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ذلك المسمّى فيرون المأخوذ مضموناً على الآخذ بالضمان الواقعي؛ أي المثل أو القيمة، فلو تلف المأخوذ في يده يرونه ضامناً، فإذا حكم الشارع بفساد معاملة وعدم لزوم أداء المسمّى لذلك الآخر فيرونه ضامناً بالضمان الواقعي، ولم يصدر ردع عن هذا البناء، فيكون ضمان المقبوض بالعقد الفاسد إذا تلف عند القابض على القاعدة، 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مع عدم ردع الشارع الذي هو كاشف عن الإمضاء</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فاجعل الدليل الآخر هو قاعدة الإقدام بالتقريب المذكور في القواعد الفقهية الذي مرّ آنفاً، فتدبّر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يمكن الإيراد على الضمان بالإقدام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التسلّط المجّاني لا يوجب الضمان؛ إذ الراشي راض بإتلاف المرتشي إيّاها، فيكون هو الهاتك لحرمة ماله؛ حيث إنّه سلّطه عليه مع علمه بعدم ملكيّته وحرمته عليه، فرضاه وإن كان مقيّداً بالعوض الذي هو الحكم إلاّ أنّ قيده حاصل بعد فرض الحكم له، فحاله حال سائر المقبوضات بالعقود الفاسدة، وقد بيّنّا فيها عدم الضمان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رضاه مقيّداً، بالحكم له، ولم يحكم له، يمكن أن يقال فيه بالضمان؛ لأنّ المفروض أنّ رضاه كان مقيّداً، والقيد لم يحصل</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إقدام على الضمان؛ فلا وجه للاستدلال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يضمن </w:t>
      </w:r>
      <w:bookmarkStart w:id="56" w:name="pg17323_405835"/>
    </w:p>
    <w:p>
      <w:pPr>
        <w:pStyle w:val="BookText"/>
        <w:rPr/>
      </w:pPr>
      <w:bookmarkEnd w:id="56"/>
      <w:r>
        <w:rPr>
          <w:rFonts w:ascii="Amiri" w:hAnsi="Amiri" w:eastAsia="Amiri" w:cs="Amiri"/>
          <w:color w:val="111111"/>
          <w:sz w:val="28"/>
          <w:sz w:val="28"/>
          <w:szCs w:val="28"/>
          <w:rtl w:val="true"/>
          <w:lang w:bidi="ar-SA"/>
        </w:rPr>
        <w:t>بصحيحه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مدركها على الفرض هو قاعدة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الاستدلال للضمان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الموضوع فيها هو اليد التي لا تكون مأذونة شرعاً؛ إذ المفروض أنّ اليد في المقام ليست مأذونة شرعاً</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75830_1280447820"/>
      <w:bookmarkStart w:id="58" w:name="_Toc20"/>
      <w:bookmarkEnd w:id="57"/>
      <w:r>
        <w:rPr>
          <w:rtl w:val="true"/>
        </w:rPr>
        <w:t>الصورة الثانية</w:t>
      </w:r>
      <w:r>
        <w:rPr>
          <w:rtl w:val="true"/>
        </w:rPr>
        <w:t xml:space="preserve">: </w:t>
      </w:r>
      <w:r>
        <w:rPr>
          <w:rtl w:val="true"/>
        </w:rPr>
        <w:t>هي المحاباة مع القاضي بتقليل الثمن</w:t>
      </w:r>
      <w:bookmarkEnd w:id="58"/>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يحابي القاضي في المعاملة بتقليل الثمن أو بنفس بيع شيء عزيز الوجود، وقد مرّ أنّ الرشوة تصدق عليهما، ومقتضاه كون المبيع سحتاً؛ فلا توجب المعاملة الانتقال، ومعه يجب عليه ردّ العين إن كانت موجودة، وإلاّ فقيمتها الواقعية إن كانت 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مصباح الفقاهة إلى أنّ هذه الصورة كالصورة الاُولى في الحرمة التكليفية، ولكن لا وجه للضمان لما نقص من القيمة؛ فإنّ غاية الأمر أنّ المعاملة كانت مشروطة بالشرط الفاسد، وقد عرفت إجمالاً وستعرف تفصيلاً أنّ الشروط مطلقاً لا تقابل بجزء من الثمن، وأنّ الفاسد منها لا يوجب فساد المعاملة وإنّما يثبت الخيار فقط للمشروط 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المحاباة لا تختصّ بصورة الشرط، بل تعمّ ما إذا حابى في أصل البيع في شيء عزيز الوجود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الرشوة تصدق على المعاملة في الصورتين، ومع صدقها يحكم على المعاملة بالسحت، ومقتضاه البطلان الموجب للضمان بقيمته الواقعية، كما يشهد له خبر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 وثمن الكلب، وثمن الخمر، ومهر البغيّ‌، والرشوة في الحكم، وأجر الكاهن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59" w:name="pg17323_405837"/>
    </w:p>
    <w:p>
      <w:pPr>
        <w:pStyle w:val="BookText"/>
        <w:rPr/>
      </w:pPr>
      <w:bookmarkEnd w:id="59"/>
      <w:r>
        <w:rPr>
          <w:rFonts w:ascii="Amiri" w:hAnsi="Amiri" w:eastAsia="Amiri" w:cs="Amiri"/>
          <w:color w:val="111111"/>
          <w:sz w:val="28"/>
          <w:sz w:val="28"/>
          <w:szCs w:val="28"/>
          <w:rtl w:val="true"/>
          <w:lang w:bidi="ar-SA"/>
        </w:rPr>
        <w:t>وفي خبر يزيد بن فرقد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في الحكم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ظهور قوله عليه السلام في صحيحة عمّار بن مروان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الرشا في الحكم فهو الكفر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موارد السحت من اُجور القضاة والفواجر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الرشا في الحكم كفراً زائداً على ما في المذكورات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ما إذا كان الغرض الأصلي من البيع هو حكم القاضي بحيث لو لم يكن ذلك لما أقدم عليه، وبين ما إذا كان الغرض من التقليل في الثمن هو ذلك لا أصل المعاملة؛ فإنّ الرشوة تصدق على المعاملة في الصورة الاُولى دون الثانية، بل الرشوة هي التقليل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لأنّ مرجع الصور إلى صدق الرشوة على المبيع المأخوذ سواء كان بتقليل الثمن أو لم يكن، وصدق السحت على المبيع كصدق السحت على الثمن يوجب البطلان؛ لدلالته على عدم الانتقال الموجب للضمان بقيمته الواقعية، وعليه فلا وجه لعدم الضمان بالنسبة إلى تقليل الثمن عند التلف</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875832_1280447820"/>
      <w:bookmarkStart w:id="61" w:name="_Toc21"/>
      <w:bookmarkEnd w:id="60"/>
      <w:r>
        <w:rPr>
          <w:rtl w:val="true"/>
        </w:rPr>
        <w:t>الصورة الثالثة</w:t>
      </w:r>
      <w:r>
        <w:rPr>
          <w:rtl w:val="true"/>
        </w:rPr>
        <w:t xml:space="preserve">: </w:t>
      </w:r>
      <w:r>
        <w:rPr>
          <w:rtl w:val="true"/>
        </w:rPr>
        <w:t>هي إرسال الهدايا إلى القاضي بداعى الحكم له</w:t>
      </w:r>
      <w:bookmarkEnd w:id="61"/>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إلى القاضي هديّة بداعي الحكم له، فقد ذهب الشيخ الأعظم قدس سره 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ضمانه؛ لأنّ مرجعه إلى هبة مجّانية فاسدة؛ إذ الداعي لا يعدّ عوضاً، وما لا يضمن بصحيحه لا يضمن بفاسده، وكونها من السحت إنّما يدلّ على حرمة الأخذ لا على الضمان،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بغير اليد المتفرّعة على التسليط المجّاني؛ ولذا لا يضمن بالهبة الفاسدة في غير هذا المقام</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الرشوة تصدق على الهديّة المذكورة لغةً‌؛ لإطلاق كلمات </w:t>
      </w:r>
      <w:bookmarkStart w:id="62" w:name="pg17323_405839"/>
    </w:p>
    <w:p>
      <w:pPr>
        <w:pStyle w:val="BookText"/>
        <w:rPr/>
      </w:pPr>
      <w:bookmarkEnd w:id="62"/>
      <w:r>
        <w:rPr>
          <w:rFonts w:ascii="Amiri" w:hAnsi="Amiri" w:eastAsia="Amiri" w:cs="Amiri"/>
          <w:color w:val="111111"/>
          <w:sz w:val="28"/>
          <w:sz w:val="28"/>
          <w:szCs w:val="28"/>
          <w:rtl w:val="true"/>
          <w:lang w:bidi="ar-SA"/>
        </w:rPr>
        <w:t>اللغويّين، بل تصدق عليها عرفاً، فمع الصدق يكون ما أخذه بعنوان الرشوة حراماً، ومقتضى حرمته وكونه سحتاً هو عدم انتقاله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السحت على مجرّد الأخذ كما ترى؛ لأنّ الرشوة هي ما يعطى كما صرّح به في المصباح المنير، لا مجرّد الأخذ،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عطفها في الأخبار على ثمن الميتة وثمن الكلب ومهر البغيّ‌،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فيشمله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خُصّص بالأمانات بالدليل، فيبقى الباقي تحت العموم والتسليط المجّاني على وجه الحرمة ليس بأمانة، ولا دليل على خروجه عن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واضحة الشمول للمقام مع الأخبار الدالّة على حرمة الرشوة وكونها سحتاً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75834_1280447820"/>
      <w:bookmarkStart w:id="64" w:name="_Toc22"/>
      <w:bookmarkEnd w:id="63"/>
      <w:r>
        <w:rPr>
          <w:rtl w:val="true"/>
        </w:rPr>
        <w:t>المقام العاشر</w:t>
      </w:r>
      <w:r>
        <w:rPr>
          <w:rtl w:val="true"/>
        </w:rPr>
        <w:t xml:space="preserve">: </w:t>
      </w:r>
      <w:r>
        <w:rPr>
          <w:rtl w:val="true"/>
        </w:rPr>
        <w:t>في عدم نفوذ حكم الحاكم الآخذ للرشوة وإن كان على القاعدة وبالحقّ‌</w:t>
      </w:r>
      <w:bookmarkEnd w:id="64"/>
    </w:p>
    <w:p>
      <w:pPr>
        <w:pStyle w:val="BookText"/>
        <w:rPr/>
      </w:pPr>
      <w:r>
        <w:rPr>
          <w:rFonts w:ascii="Amiri" w:hAnsi="Amiri" w:eastAsia="Amiri" w:cs="Amiri"/>
          <w:color w:val="111111"/>
          <w:sz w:val="28"/>
          <w:sz w:val="28"/>
          <w:szCs w:val="28"/>
          <w:rtl w:val="true"/>
          <w:lang w:bidi="ar-SA"/>
        </w:rPr>
        <w:t>وذلك لأنّ أخذ الرشوة من الكبائر؛ لتنزيله منزلة الكفر في الأخبار المتعدّدة،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الرشا في الحكم فهو الكفر بالله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ومقتضاه سقوط عدالة القاضي بأخذ الرشوة، ومعه لا يكون جامعاً للشرائط؛ فلا ينفذ حكمه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 السيّد قدس سره في الملحقات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ينفذ حكم الحاكم الآخذ للرشوة وإن كان على القاعدة وبالحقّ‌؛ لصيرورته فاسقاً بأخذها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تاب بعد الأخذ ثمّ حكم بالحقّ بعد التوبة صحّ ونفذ</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تاب بعد الحكم ثمّ حكم مجدّداً صحّ ونفذ</w:t>
      </w:r>
      <w:r>
        <w:rPr>
          <w:rFonts w:eastAsia="Amiri" w:cs="Amiri" w:ascii="Amiri" w:hAnsi="Amiri"/>
          <w:color w:val="111111"/>
          <w:sz w:val="28"/>
          <w:szCs w:val="28"/>
          <w:rtl w:val="true"/>
          <w:lang w:bidi="ar-SA"/>
        </w:rPr>
        <w:t xml:space="preserve">. </w:t>
      </w:r>
      <w:bookmarkStart w:id="65" w:name="pg17323_405842"/>
    </w:p>
    <w:p>
      <w:pPr>
        <w:pStyle w:val="Heading3"/>
        <w:numPr>
          <w:ilvl w:val="2"/>
          <w:numId w:val="1"/>
        </w:numPr>
        <w:rPr/>
      </w:pPr>
      <w:bookmarkStart w:id="66" w:name="__RefHeading___Toc875836_1280447820"/>
      <w:bookmarkStart w:id="67" w:name="_Toc23"/>
      <w:bookmarkEnd w:id="65"/>
      <w:bookmarkEnd w:id="66"/>
      <w:r>
        <w:rPr>
          <w:rtl w:val="true"/>
        </w:rPr>
        <w:t>المقام الحادي عشر</w:t>
      </w:r>
      <w:r>
        <w:rPr>
          <w:rtl w:val="true"/>
        </w:rPr>
        <w:t xml:space="preserve">: </w:t>
      </w:r>
      <w:r>
        <w:rPr>
          <w:rtl w:val="true"/>
        </w:rPr>
        <w:t>في عدم ابراء الذمة باعطاء الخمس أو الزكوة الى الحاكم بعنوان الرشوة</w:t>
      </w:r>
      <w:bookmarkEnd w:id="67"/>
    </w:p>
    <w:p>
      <w:pPr>
        <w:pStyle w:val="BookText"/>
        <w:rPr/>
      </w:pPr>
      <w:r>
        <w:rPr>
          <w:rFonts w:ascii="Amiri" w:hAnsi="Amiri" w:eastAsia="Amiri" w:cs="Amiri"/>
          <w:color w:val="111111"/>
          <w:sz w:val="28"/>
          <w:sz w:val="28"/>
          <w:szCs w:val="28"/>
          <w:rtl w:val="true"/>
          <w:lang w:bidi="ar-SA"/>
        </w:rPr>
        <w:t>لو دفع رجل إلى الحاكم خمساً أو زكاة واجبة بعنوان الرشوة لم تبرأ ذمّته منهما؛ لعدم إمكان قصد القربة بإعطائهما؛ لأنّهما عند أدائهما رشوة محرّمة، ومقتضى الحرمة هو المبغوضية والمبعّدية، فلا يمكن التقرّب بالمبعّد؛ ولذلك قال السيّد في الملحقات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دفع إلى الحاكم خمساً أو زكاة بقصد الرشوة لم تبرأ ذمّته منهما؛ لاعتبار القربة فيهما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875838_1280447820"/>
      <w:bookmarkStart w:id="69" w:name="_Toc24"/>
      <w:bookmarkEnd w:id="68"/>
      <w:r>
        <w:rPr>
          <w:rtl w:val="true"/>
        </w:rPr>
        <w:t>المقام الثاني عشر</w:t>
      </w:r>
      <w:r>
        <w:rPr>
          <w:rtl w:val="true"/>
        </w:rPr>
        <w:t xml:space="preserve">: </w:t>
      </w:r>
      <w:r>
        <w:rPr>
          <w:rtl w:val="true"/>
        </w:rPr>
        <w:t>في الشبهة الموضوعية والحكمية</w:t>
      </w:r>
      <w:bookmarkEnd w:id="69"/>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 بجواز أخذ هديّة شكّ في أنّها رشوة أو لا؛ لإطلاق أدلّة نفوذ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معنونة بعدم كون الهبة رشوة، وهو غير محرز، والتمسّك بالعموم في الشبهات المصداقية غير جائز، كما أنّ التمسّك بأصالة الحلّية في الشبهات المالية كالأعراض والنفوس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إجراء أصالة الصحّة في فعل الواهب، ومقتضاها الانتقال والنفوذ؛ لأنّها 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أفاد وأجاد في الملحقات حيث قال بجواز أخذها حملاً لفعله على الصحّة، إلاّ إذا كانت هناك قرينة على إرادته منها الرشوة، كما إذا لم يكن من عادته ذلك قبل المرافعة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عدم أخذها مطلقاً، ويمكن أن يقال بحرمتها حال المرافعة؛ لأنّه يصدق عليها الرشوة عرفاً، بل يمكن أن يقال بحرمتها تعبّداً؛ لما في بعض الأخبار من أنّ هدايا العمّال </w:t>
      </w:r>
      <w:bookmarkStart w:id="70" w:name="pg17323_405844"/>
    </w:p>
    <w:p>
      <w:pPr>
        <w:pStyle w:val="BookText"/>
        <w:rPr/>
      </w:pPr>
      <w:bookmarkEnd w:id="70"/>
      <w:r>
        <w:rPr>
          <w:rFonts w:ascii="IRNazanin" w:hAnsi="IRNazanin" w:eastAsia="IRNazanin"/>
          <w:color w:val="111111"/>
          <w:sz w:val="28"/>
          <w:sz w:val="28"/>
          <w:szCs w:val="28"/>
          <w:rtl w:val="true"/>
          <w:lang w:bidi="fa-IR"/>
        </w:rPr>
        <w:t>غلول أو سحت</w:t>
      </w:r>
      <w:r>
        <w:rPr>
          <w:rStyle w:val="FootnoteAnchor"/>
          <w:rtl w:val="true"/>
        </w:rPr>
        <w:footnoteReference w:id="125"/>
      </w:r>
      <w:r>
        <w:rPr>
          <w:rFonts w:ascii="Amiri" w:hAnsi="Amiri" w:eastAsia="Amiri" w:cs="Amiri"/>
          <w:color w:val="111111"/>
          <w:sz w:val="28"/>
          <w:sz w:val="28"/>
          <w:szCs w:val="28"/>
          <w:rtl w:val="true"/>
          <w:lang w:bidi="ar-SA"/>
        </w:rPr>
        <w:t>، بناءً على أنّ المراد من حمل الفعل على الصحّة هو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التمسّك ببعض الأخبار للحكم بالحرمة تعبّداً غير سديد؛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شكّ في أنّ أخذ الرشوة مع عدم التأثير محرّم أو لا، فالشبهة مفهومية، ومقتضى القاعدة في الشبهات المفهومية هو الأخذ بالقدر المتيقّن، والرجوع في الزائد إلى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السيّد قدس سره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البراءة من الحرمة</w:t>
      </w:r>
      <w:r>
        <w:rPr>
          <w:rStyle w:val="FootnoteAnchor"/>
          <w:rtl w:val="true"/>
        </w:rPr>
        <w:footnoteReference w:id="12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875840_1280447820"/>
      <w:bookmarkStart w:id="72" w:name="_Toc25"/>
      <w:bookmarkEnd w:id="71"/>
      <w:r>
        <w:rPr>
          <w:rtl w:val="true"/>
        </w:rPr>
        <w:t>المقام الثالث عشر</w:t>
      </w:r>
      <w:r>
        <w:rPr>
          <w:rtl w:val="true"/>
        </w:rPr>
        <w:t xml:space="preserve">: </w:t>
      </w:r>
      <w:r>
        <w:rPr>
          <w:rtl w:val="true"/>
        </w:rPr>
        <w:t>في حكم إعطاء الرشوة للقاضي فيما إذا توقّف استنقاذ الحقّ أو دفع الظلم أو التوصّل إلى الحاجة الضرورية على ذلك</w:t>
      </w:r>
      <w:bookmarkEnd w:id="72"/>
    </w:p>
    <w:p>
      <w:pPr>
        <w:pStyle w:val="BookText"/>
        <w:rPr/>
      </w:pPr>
      <w:r>
        <w:rPr>
          <w:rFonts w:ascii="Amiri" w:hAnsi="Amiri" w:eastAsia="Amiri" w:cs="Amiri"/>
          <w:color w:val="111111"/>
          <w:sz w:val="28"/>
          <w:sz w:val="28"/>
          <w:szCs w:val="28"/>
          <w:rtl w:val="true"/>
          <w:lang w:bidi="ar-SA"/>
        </w:rPr>
        <w:t>ولا يخفى عليك أنّ مقتضى قوله صلى الله عليه وآله في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إعطاء الرشوة عند الاضطرار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حكم بن حكيم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وقد 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يشترون منّا القرب والأدوات، فيوكّلون الوكيل حتّى يستوفيه منّا، فنرشوه حتّى لا يظلمنا؟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تصلح به مالك</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يجوز إعطاؤها عند الإكراه؛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استُكرهوا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لم يكن مضطرّاً أو مكرهاً فلا يجوز له إعطاء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w:t>
      </w:r>
      <w:bookmarkStart w:id="73" w:name="pg17323_405845"/>
    </w:p>
    <w:p>
      <w:pPr>
        <w:pStyle w:val="BookText"/>
        <w:rPr/>
      </w:pPr>
      <w:bookmarkEnd w:id="73"/>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إذ الإدلاء هو الإعطاء، ولقوله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والمرتشي، ومن بينهما يمشي</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يحرم التوسّط في الإيصال أو الاستزادة بل الاستنقاص؛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بينهما يمشي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كونه إعانة على الإثم،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الحرمة المذكورة مختصّة بموارد الرشا في الأحكام بناءً على انصراف أدلّة حرمة الرشوة إلى الرشا في الأحكام، وأمّا في غير تلك الموارد فهي تابعة لما يبذل فيه؛ فإن كان حراماً فهي حرام من باب مقدّمة الحرام أو الإعانة على الإثم فتأمّل، وإلاّ فلا حرمة إلاّ إذا كان أخذه منافياً لعقد لازم مع من استأجره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كعمّال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الإعطاء؛ لأنّه مناف لوجوب النهي عن المنكر، ولأنّه ربّما يوجب الإخلال بالنظام، فتدبّر جيّداً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75842_1280447820"/>
      <w:bookmarkStart w:id="75" w:name="_Toc26"/>
      <w:bookmarkEnd w:id="74"/>
      <w:r>
        <w:rPr>
          <w:rtl w:val="true"/>
        </w:rPr>
        <w:t>المقام الرابع عشر</w:t>
      </w:r>
      <w:r>
        <w:rPr>
          <w:rtl w:val="true"/>
        </w:rPr>
        <w:t xml:space="preserve">: </w:t>
      </w:r>
      <w:r>
        <w:rPr>
          <w:rtl w:val="true"/>
        </w:rPr>
        <w:t>في موارد اختلاف الدافع والقابض</w:t>
      </w:r>
      <w:bookmarkEnd w:id="75"/>
    </w:p>
    <w:p>
      <w:pPr>
        <w:pStyle w:val="BookText"/>
        <w:rPr/>
      </w:pPr>
      <w:r>
        <w:rPr>
          <w:rFonts w:ascii="Amiri" w:hAnsi="Amiri" w:eastAsia="Amiri" w:cs="Amiri"/>
          <w:color w:val="111111"/>
          <w:sz w:val="28"/>
          <w:sz w:val="28"/>
          <w:szCs w:val="28"/>
          <w:rtl w:val="true"/>
          <w:lang w:bidi="ar-SA"/>
        </w:rPr>
        <w:t>ويمكن تصوير موارد اختلافهما كما يلي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الدافع أنّ الرشوة هديّة ملحقة بالرشوة في الفساد والحرمة، وادّعى القابض أنّها هبة صحيحة لداعي القربة أو غيرها، فاتّفقا في وقوع الهديّة ولكن اختلفا في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تقديم الأوّل؛ لأنّ الدافع أعرف بنيّته، ولأصالة الضمان في اليد إذا كانت الدعوى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تقديم الثاني؛ لأنّه يدّعي </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تعليله بأنّه يدّعي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موافق لأصالة الصحّة، ومن المعلوم أنّ أصالة الصحّة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تتقدّم على جميع الاُصول الموضوعية، كما عليه بناء العقلاء والعلماء كافّة؛ إذ الدافع والقابض يتسالمان في شيء واحد وهو الهبة، وإنّما اختلافهما في أنّ الباذل ادّعى كونها على سبيل الرشوة والقابض ادّعى كونها على سبيل الهبة الصحيحة، فالأصل مع القابض، ومعه لا مورد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موضوعها هو ما إذا وضع القابض يده على مال الدافع بغير عقد صحيح، والمفروض أنّ القابض وضع يده على مال الدافع بعقد صحيح، فأصالة الصحّة تنفي موضوع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الأعرف بالنيّة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ثبوت هذه القاعدة إلاّ في موارد خاصّة كإخبار المرأة عن الحمل أو الحيض أو الطهر، فلا يجوز التعدّي إلى غيرها كما في مصباح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نقل بتقديم قول القابض فقد صرّح الشيخ قدس سره بالضمان معلّلاً ذلك بأصالة الضمان في اليد إذا كانت الدعوى بعد التلف</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 إن كان قبل تلف العين فالعين تستردّ إن لم تكن الهبة لذي رحم، وأمّا إذا كان النزاع بعد التلف فلا أثر له بوجه؛ فإنّه لا ضمان للهبة بعد التلف سواء كانت فاسدة أو صحيحة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ولعلّه لما عرفت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مع تقديم أدلّة الرشوة في الضمان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القاعدة متعنونة بما إذا لم تكن رشوة، فالتمسّك بها في المورد تمسّك بها في الشبهات المصداقية، ومقتضى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بعد التلف، كما ذهب إليه الشيخ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الدافع أنّها رشوة أو اُجرة على المحرّم، وادّعى القابض كونها هبة صحيحة، ولم يتّفقا على نوع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أنّه كذلك؛ لأنّ الأمر يدور بين الهبة الصحيحة والإجارة الفاسدة، ويحتمل العدم؛ إذ لا عقد مشترك هنا اختلفا في صحّته وفساده، فالدافع منكر لأصل العقد الذي يدّعيه القابض لا لصحّته، فيحلف على عدم وقوعه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وذهب في مصباح الفقاهة إلى تقديم قول الدافع؛ معلّلاً ذلك بأصالة عدم تحقّق الهبة الصحيحة الناقلة؛ فإنّها أمر وجوديّ وموضوع للأثر فالأصل عدمها، ولا تعارضها أصالة عدم تحقّق الرشوة المحرّمة أو الإجارة الفاسدة؛ لأنّهما لا أثر لهما، وإنّما الأثر مترتّب على عدم تحقّق السبب الناقل سواء تحقّق معه شيء من الأسباب الفاسده أم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لأصالة الصحّة المتقدّمة على الاُصول الموضوعية؛ لأنّ مدركها الإجماع وبناء العقلاء، وهما من الأدلّة اللبّية، فلابدّ فيها من الأخذ بالقدر المتيقّن؛ وهو ما كان مصبّ الدعوى أمراً واحداً معلوماً للمترافعين وكان الاختلاف في الخصوصيّات، وقد فرضنا أنّ المقام ليس كذلك</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الدافع أنّها رشوة والقابض أنّها هديّة فاسدة لدفع الغرم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p>
    <w:p>
      <w:pPr>
        <w:pStyle w:val="BookText"/>
        <w:rPr/>
      </w:pPr>
      <w:r>
        <w:rPr>
          <w:rFonts w:ascii="Amiri" w:hAnsi="Amiri" w:eastAsia="Amiri" w:cs="Amiri"/>
          <w:color w:val="111111"/>
          <w:sz w:val="28"/>
          <w:sz w:val="28"/>
          <w:szCs w:val="28"/>
          <w:rtl w:val="true"/>
          <w:lang w:bidi="ar-SA"/>
        </w:rPr>
        <w:t xml:space="preserve">على أنّ الهديّة المحرّمة لا توجب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واتّفقا على فساد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تقديم الأوّل لأصالة الضمان في اليد، أو الآخر لأصالة عدم سبب الضمان ومنع أصالة الضمان، وجهان، أقواهما الأوّل؛ لأنّ عموم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بالضمان إلاّ مع تسليط المالك مجّاناً، والأصل عدم تحقّقه، وهذا حاكم على أصالة عدم سبب الضمان،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 وغير منجبر بشيء؛ فلا يجوز الاستناد إليه، ثمّ تمسّك بالسيرة القطعية على أنّ وضع اليد على مال الغير بدون رضا مالكه موجب للضمان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اليد على مال الغير في المقام محرز بالوجدان، فإذا ضممنا إليه أصالة عدم رضا المالك بالتصرّف المجّاني تألّف الموضوع من الوجدان والأصل وحكم بالضمان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به عند القدماء كما يظهر من كلماتهم، فلا يرد على الشيخ ومن تبعه أنّ الاستدلال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أيضاً الاستدلال بالسيرة القطعية المذكورة إن ثبت اتّصالها إلى زمان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الكلام في محلّه</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7323_405856"/>
      <w:bookmarkStart w:id="77" w:name="pg17323_405856"/>
      <w:bookmarkEnd w:id="77"/>
    </w:p>
    <w:p>
      <w:pPr>
        <w:pStyle w:val="Heading2"/>
        <w:numPr>
          <w:ilvl w:val="1"/>
          <w:numId w:val="1"/>
        </w:numPr>
        <w:rPr/>
      </w:pPr>
      <w:bookmarkStart w:id="78" w:name="pg17323_405856"/>
      <w:bookmarkStart w:id="79" w:name="__RefHeading___Toc875844_1280447820"/>
      <w:bookmarkStart w:id="80" w:name="_Toc27"/>
      <w:bookmarkEnd w:id="78"/>
      <w:bookmarkEnd w:id="79"/>
      <w:r>
        <w:rPr>
          <w:rtl w:val="true"/>
        </w:rPr>
        <w:t xml:space="preserve">المسألة الرابعة والعشرون </w:t>
      </w:r>
      <w:r>
        <w:rPr>
          <w:rtl w:val="true"/>
        </w:rPr>
        <w:t>«</w:t>
      </w:r>
      <w:r>
        <w:rPr>
          <w:rtl w:val="true"/>
        </w:rPr>
        <w:t>في الرياء</w:t>
      </w:r>
      <w:r>
        <w:rPr>
          <w:rtl w:val="true"/>
        </w:rPr>
        <w:t>»</w:t>
      </w:r>
      <w:bookmarkEnd w:id="80"/>
    </w:p>
    <w:p>
      <w:pPr>
        <w:pStyle w:val="Heading3"/>
        <w:numPr>
          <w:ilvl w:val="2"/>
          <w:numId w:val="1"/>
        </w:numPr>
        <w:rPr/>
      </w:pPr>
      <w:bookmarkStart w:id="81" w:name="__RefHeading___Toc875846_1280447820"/>
      <w:bookmarkStart w:id="82" w:name="_Toc28"/>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ويقع البحث عنه في مقامات</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875848_1280447820"/>
      <w:bookmarkStart w:id="84" w:name="_Toc29"/>
      <w:bookmarkEnd w:id="83"/>
      <w:r>
        <w:rPr>
          <w:rtl w:val="true"/>
        </w:rPr>
        <w:t>المقام الأوّل</w:t>
      </w:r>
      <w:r>
        <w:rPr>
          <w:rtl w:val="true"/>
        </w:rPr>
        <w:t xml:space="preserve">: </w:t>
      </w:r>
      <w:r>
        <w:rPr>
          <w:rtl w:val="true"/>
        </w:rPr>
        <w:t>في حقيقة الرياء</w:t>
      </w:r>
      <w:bookmarkEnd w:id="84"/>
    </w:p>
    <w:p>
      <w:pPr>
        <w:pStyle w:val="BookText"/>
        <w:rPr/>
      </w:pPr>
      <w:r>
        <w:rPr>
          <w:rFonts w:ascii="Amiri" w:hAnsi="Amiri" w:eastAsia="Amiri" w:cs="Amiri"/>
          <w:color w:val="111111"/>
          <w:sz w:val="28"/>
          <w:sz w:val="28"/>
          <w:szCs w:val="28"/>
          <w:rtl w:val="true"/>
          <w:lang w:bidi="ar-SA"/>
        </w:rPr>
        <w:t>وهو أن يأتي بالعمل العبادي لإراءته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الرياء في غير العبادات فلا إشكال في جوازه لو لم نقل برجحانه في بعض الموارد، كتسلية المصاب</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75850_1280447820"/>
      <w:bookmarkStart w:id="86" w:name="_Toc30"/>
      <w:bookmarkEnd w:id="85"/>
      <w:r>
        <w:rPr>
          <w:rtl w:val="true"/>
        </w:rPr>
        <w:t>المقام الثاني</w:t>
      </w:r>
      <w:r>
        <w:rPr>
          <w:rtl w:val="true"/>
        </w:rPr>
        <w:t xml:space="preserve">: </w:t>
      </w:r>
      <w:r>
        <w:rPr>
          <w:rtl w:val="true"/>
        </w:rPr>
        <w:t>في حرمة الرياء</w:t>
      </w:r>
      <w:bookmarkEnd w:id="86"/>
    </w:p>
    <w:p>
      <w:pPr>
        <w:pStyle w:val="BookText"/>
        <w:rPr/>
      </w:pPr>
      <w:r>
        <w:rPr>
          <w:rFonts w:ascii="Amiri" w:hAnsi="Amiri" w:eastAsia="Amiri" w:cs="Amiri"/>
          <w:color w:val="111111"/>
          <w:sz w:val="28"/>
          <w:sz w:val="28"/>
          <w:szCs w:val="28"/>
          <w:rtl w:val="true"/>
          <w:lang w:bidi="ar-SA"/>
        </w:rPr>
        <w:t>ويدلّ عليه آيات وروايات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والإشراك بالعبادة يشمل الرياء؛ لأنّ المرائي يشرك غير الله فيها بإرضائه، والنهي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الحرمة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w:t>
      </w:r>
    </w:p>
    <w:p>
      <w:pPr>
        <w:pStyle w:val="BookText"/>
        <w:rPr/>
      </w:pPr>
      <w:r>
        <w:rPr>
          <w:rFonts w:ascii="Amiri" w:hAnsi="Amiri" w:eastAsia="Amiri" w:cs="Amiri"/>
          <w:color w:val="111111"/>
          <w:sz w:val="28"/>
          <w:sz w:val="28"/>
          <w:szCs w:val="28"/>
          <w:rtl w:val="true"/>
          <w:lang w:bidi="ar-SA"/>
        </w:rPr>
        <w:t>يُرٰاؤُنَ‌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والويل يدلّ على أنّ مورده حرام؛ لأنّه وعيد بالنار المؤلمة، والحرام في الآية الكريمة هو السهو عن الصلاة والرياء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السهو عن الصلاة هو السهو الناشئ من عدم الأهمّية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إنّه ليس إيّاي أراد بها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إذا كان سجّينيّاً كان محرّماً، وإلاّ لم يكن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السكوني أيضاً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تخبث فيه سرائرهم، وتحسن فيه علانيتهم؛ طمعاً في الدنيا، لا يريدون به ما عند ربّهم، يكون دينهم</w:t>
      </w:r>
      <w:r>
        <w:rPr>
          <w:rStyle w:val="FootnoteAnchor"/>
          <w:rtl w:val="true"/>
        </w:rPr>
        <w:footnoteReference w:id="139"/>
      </w:r>
      <w:r>
        <w:rPr>
          <w:rFonts w:ascii="Amiri" w:hAnsi="Amiri" w:eastAsia="Amiri" w:cs="Amiri"/>
          <w:color w:val="111111"/>
          <w:sz w:val="28"/>
          <w:sz w:val="28"/>
          <w:szCs w:val="28"/>
          <w:rtl w:val="true"/>
          <w:lang w:bidi="ar-SA"/>
        </w:rPr>
        <w:t>رياء، لايخالطهم خوف، يعمّهم الله بعقاب، فيدعونه دعاء الغريق فلا يستجيب لهم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 العقاب يدلّ على كونه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داود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أظهر للناس ما يحبّ الله عزّوجلّبارز الله بما كرهه؛ لقي الله وهو ماقت له</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البغض من أمر قبيح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الحسين بن علوان، عن جعفر،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تزيّن للناس بما يحبّ الله وبارز الله في السرّ بما يكره الله؛ لقي الله و هو عليه غضبان؛ له ماقت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والتقريب فيها كالتقريب السابق، مضافاً إلى تأكيده بإضافة 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زرارة وحمران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عمل عملاً يطلب به وجه الله والدار الآخرة وأدخل فيه رضا أحد من الناس كان مشركاً</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ظلم عظيم وموجب للعذاب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يوجب النار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مسعدة بن زياد، عن جعفر بن محمّد،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وآله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في أن لا تخادعوا الله فيخدعكم؛ فإنّه من يخادع الله يخدعه ويخلع منه الإيمان، ونفسَه يخدع لو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يخادع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ثمّ يريد به غيره، فاتّقوا الله في الرياء؛ فإنّه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عملك، وبطل أجرك، فلا خلاص 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87" w:name="pg17323_405863"/>
    </w:p>
    <w:p>
      <w:pPr>
        <w:pStyle w:val="BookText"/>
        <w:rPr/>
      </w:pPr>
      <w:bookmarkEnd w:id="87"/>
      <w:r>
        <w:rPr>
          <w:rFonts w:ascii="Amiri" w:hAnsi="Amiri" w:eastAsia="Amiri" w:cs="Amiri"/>
          <w:color w:val="111111"/>
          <w:sz w:val="28"/>
          <w:sz w:val="28"/>
          <w:szCs w:val="28"/>
          <w:rtl w:val="true"/>
          <w:lang w:bidi="ar-SA"/>
        </w:rPr>
        <w:t xml:space="preserve">وصحيحة عليّ بن جعفر، عن أخيه موسى بن جعفر،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برجال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 لهم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أشقياء وما كان</w:t>
      </w:r>
      <w:r>
        <w:rPr>
          <w:rStyle w:val="FootnoteAnchor"/>
          <w:rtl w:val="true"/>
        </w:rPr>
        <w:footnoteReference w:id="147"/>
      </w:r>
      <w:r>
        <w:rPr>
          <w:rFonts w:ascii="Amiri" w:hAnsi="Amiri" w:eastAsia="Amiri" w:cs="Amiri"/>
          <w:color w:val="111111"/>
          <w:sz w:val="28"/>
          <w:sz w:val="28"/>
          <w:szCs w:val="28"/>
          <w:rtl w:val="true"/>
          <w:lang w:bidi="ar-SA"/>
        </w:rPr>
        <w:t>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دلالة هذه الأخبار على حرمة الرياء في العبادة واضحة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75852_1280447820"/>
      <w:bookmarkStart w:id="89" w:name="_Toc31"/>
      <w:bookmarkEnd w:id="88"/>
      <w:r>
        <w:rPr>
          <w:rtl w:val="true"/>
        </w:rPr>
        <w:t>المقام الثالث</w:t>
      </w:r>
      <w:r>
        <w:rPr>
          <w:rtl w:val="true"/>
        </w:rPr>
        <w:t xml:space="preserve">: </w:t>
      </w:r>
      <w:r>
        <w:rPr>
          <w:rtl w:val="true"/>
        </w:rPr>
        <w:t>في بطلان العمل بالرياء</w:t>
      </w:r>
      <w:bookmarkEnd w:id="89"/>
    </w:p>
    <w:p>
      <w:pPr>
        <w:pStyle w:val="BookText"/>
        <w:rPr/>
      </w:pPr>
      <w:r>
        <w:rPr>
          <w:rFonts w:ascii="Amiri" w:hAnsi="Amiri" w:eastAsia="Amiri" w:cs="Amiri"/>
          <w:color w:val="111111"/>
          <w:sz w:val="28"/>
          <w:sz w:val="28"/>
          <w:szCs w:val="28"/>
          <w:rtl w:val="true"/>
          <w:lang w:bidi="ar-SA"/>
        </w:rPr>
        <w:t>لا يخفى عليك أنّه يشترط في نيّة العبادة الخلوص من الرياء، فلو نوى بها الرياء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فيه إلاّ من السيّد المرتضى في محكيّ الانتصار، حيث ذهب إلى الحرمة دون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حمله في مستند العروة على أنّه ناظر إلى بعض الأقسام ممّا يُرى فيه عدم التنافي بين الرياء وقصد القربة، كما في الضميمة على ما سيجيء تفصيلها؛ وإلاّ فاعتبار القربة في العبادات من الضروريّات التي لا تقبل الإنكار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والبطلان مقتضى قولِه عليه السلام في صحيحة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الشرك يمنع عن التقرّب إلى الله سبحانه وتعالى، وقولِه عليه السلام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المرائي يدعى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خاسر، حبط عملك وبطل أجرك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والحبط لا يجتمع مع صحّة العمل، وقولِه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مشركاً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الشرك يمنع عن التقرّب بالعبادة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صحيحة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90" w:name="pg17323_405865"/>
    </w:p>
    <w:p>
      <w:pPr>
        <w:pStyle w:val="BookText"/>
        <w:rPr/>
      </w:pPr>
      <w:bookmarkEnd w:id="90"/>
      <w:r>
        <w:rPr>
          <w:rFonts w:ascii="Amiri" w:hAnsi="Amiri" w:eastAsia="Amiri" w:cs="Amiri"/>
          <w:color w:val="111111"/>
          <w:sz w:val="28"/>
          <w:sz w:val="28"/>
          <w:szCs w:val="28"/>
          <w:rtl w:val="true"/>
          <w:lang w:bidi="ar-SA"/>
        </w:rPr>
        <w:t>خير شريك، فمن عمل لي ولغيري فهو لِمن عملَه؛ غيري</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75854_1280447820"/>
      <w:bookmarkStart w:id="92" w:name="_Toc32"/>
      <w:bookmarkEnd w:id="91"/>
      <w:r>
        <w:rPr>
          <w:rtl w:val="true"/>
        </w:rPr>
        <w:t>المقام الرابع</w:t>
      </w:r>
      <w:r>
        <w:rPr>
          <w:rtl w:val="true"/>
        </w:rPr>
        <w:t xml:space="preserve">: </w:t>
      </w:r>
      <w:r>
        <w:rPr>
          <w:rtl w:val="true"/>
        </w:rPr>
        <w:t>في صور الرياء</w:t>
      </w:r>
      <w:bookmarkEnd w:id="92"/>
    </w:p>
    <w:p>
      <w:pPr>
        <w:pStyle w:val="BookText"/>
        <w:rPr/>
      </w:pPr>
      <w:r>
        <w:rPr>
          <w:rFonts w:ascii="Amiri" w:hAnsi="Amiri" w:eastAsia="Amiri" w:cs="Amiri"/>
          <w:color w:val="111111"/>
          <w:sz w:val="28"/>
          <w:sz w:val="28"/>
          <w:szCs w:val="28"/>
          <w:rtl w:val="true"/>
          <w:lang w:bidi="ar-SA"/>
        </w:rPr>
        <w:t>للرياء صور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بالعمل لمجرّد إراته للناس من دون أن يقصد به امتثال أمر الله تعالى، وهذا باطل بلا إشكال، ومشمول للأخبار المتقدّمة من دون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داعيه ومحرّكه على العمل القربة وامتثال الأمر والرياء معاً، وهذا أيضاً باطل؛ سواء كانا مستقلّين، أو كان أحدهما تابعاً والآخر مستقلاًّ، أو كانا معاً منضمّين محرّكاً وداعياً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بجميع فروضه مشمول لإطلاق النصوص؛ لصدق إدخال رضا أحد من الناس عليها ولو كان الرياء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لي ولغيري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الصور المذكورة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الواجبة الرياء، فلا إشكال في أنّ نفس الجزء يصير باطلاً بالرياء وبتبعه تفسد الصلاة سواء تداركه مع بقاء محلّ التدارك أم لا؛ للإخلال بها من جهة النقيصة لو لم يتدارك أو من جهة الزيادة العمدية لو يتدارك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الزيادة عن مثل المقام في فرض التدارك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مسموعة؛ لصدق الزيادة العمدية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أتى بالجزء الواجب بقصد الجزئية رياءً‌، وأمّا إذا لم يقصد به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قرأ بعد الحمد مثلاً سورة الجمعة بقصد القرآنية رياءً وبعدها أتى بسورة اُخرى قاصداً بها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في مستند العروة </w:t>
      </w:r>
    </w:p>
    <w:p>
      <w:pPr>
        <w:pStyle w:val="BookText"/>
        <w:rPr/>
      </w:pPr>
      <w:r>
        <w:rPr>
          <w:rFonts w:ascii="Amiri" w:hAnsi="Amiri" w:eastAsia="Amiri" w:cs="Amiri"/>
          <w:color w:val="111111"/>
          <w:sz w:val="28"/>
          <w:sz w:val="28"/>
          <w:szCs w:val="28"/>
          <w:rtl w:val="true"/>
          <w:lang w:bidi="ar-SA"/>
        </w:rPr>
        <w:t>إلى أنّ الأقوى هو الصحّة؛ لقصور أدلّة البطلان عن الشمول للمقام؛ فإنّ المبطل من الكلام خاصّ بكلام الآدمي، ولا ريب أنّ الذكر أو الدعاء أو القرآن خارج عن موضوع كلام الآدمي وإن كان محرّماً فهو قرآن أو ذكر أو دعاء محرّم، ولا يعدّ من كلام الآدمي في شيء، واختلاف الحكم من كونه مأموراً به وعدمه لا يؤثّر في ذلك شيئاً، فهي خارجة عن الكلام المبطل خروجاً موضوعيّاً، والنسبة نسبة التخصّص دون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الاُمور المأتي بها رياءً إنّما تبطل الصلاة إذا كانت بعنوان الجزئية من جهة استلزام الزيادة حينئذ كما عرفت، دون ما إذا لم يقصد بها الجزئية، إلاّ إذا استلزم الفصل الطويل الماحي لصورة الصلاة، كما إذا قرأ سورة طويلة رياءً‌، فإنّها توجب البطلان من هذه الجهة وإن لم يقصد بها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الصلاة، وأمّا فيما عداها من سائر العبادات ممّا لا تكون الزيادة مبطلة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والغسل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للبطلان أصلاً؛ لعدم كون الزيادة مبطلة 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وجه آخر للبطلان لو تمّ لعمّ وشمل جميع أقسام العبادات، وهو التمسّك بإطلاق قوله عليه السلام في الصحيحة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فيه رضا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عمل تضمّن الرياء ورضا أحد من الناس ولو باعتبار جزئه كان باطلاً؛ لسراية الفساد الناشئ من الرياء إلى الكلّ كسراية النار في القطن، فينتج فساد الوضوء في الفرض المزبور فضلاً عن الصلاة، وكذا في غيرهما من سائر العبادات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الوجه مبنيّ على أن يكون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مطلق الظرفية، ومن الواضح عدم إمكان الالتزام بذلك؛ وإلاّ لزم القول بفساد الوضوء أو الصوم لو قرأ في الأثناء سورةً أو دعاءً أو ذكراً رياءً‌؛ لصدق إدخال رضا الناس فيه وكونه ظرفاً </w:t>
      </w:r>
    </w:p>
    <w:p>
      <w:pPr>
        <w:pStyle w:val="BookText"/>
        <w:rPr/>
      </w:pPr>
      <w:r>
        <w:rPr>
          <w:rFonts w:ascii="Amiri" w:hAnsi="Amiri" w:eastAsia="Amiri" w:cs="Amiri"/>
          <w:color w:val="111111"/>
          <w:sz w:val="28"/>
          <w:sz w:val="28"/>
          <w:szCs w:val="28"/>
          <w:rtl w:val="true"/>
          <w:lang w:bidi="ar-SA"/>
        </w:rPr>
        <w:t>للرياء وإن كان مبايناً مع المظروف وجوداً وماهيّةً‌، وهكذا يلزم فساد الحجّ لو أتى ببعض أجزائه رياءً‌، كالطواف أو السعي ونحوهما، وإلاّ تداركه في محلّه؛ لصدق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لا يمكن الالتزام به سيّما في الحجّ‌، بل هو غير محتمل جزماً، كما صرّح به المحقّق الهمداني في الحجّ وفي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بالظرفية معناها الواسع بحيث يشمل كون العمل الصادر منه وعاءً لعمل آخر صادر لغير الله، بل المراد نفي الخلوص وتشريك غيره معه تعالى في العبادة بحيث يصدر العمل الوحداني عن داع إلهيّ وداع ريائيّ‌، كما يفصح عنه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فيما نحن فيه بعد فرض التدارك، فلا جرم يختصّ البطلان بالجزء الذي راءى فيه ولا يعمّ غيره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النقض خارجة عن محلّ الكلام؛ لأنّها إمّا ليست بجزء كالقراءة في أثناء الصوم، والكلام في الأجزاء، ومقتضى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فيه رضا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العمل بالرياء في الأجزاء الواجبة؛ لصدق إدخال رضا أحد في العمل الوحداني كالصلاة بل الوضوء لو راءى في جزء منهما؛ إذ إدخال شيء في جزء من الشيء إدخال في الشيء المشتمل على الجزء المذكور؛ لاتّحاد الجزء مع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مجال للنقض بالحجّ بعد كون الحجّ أعمالاً، وإدخال الرياء في بعضها يفسد ذلك البعض الذي أدخله رضا غيره تعالى لا سائر الأعمال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الفساد يسري من الجزء أو الشرط إلى الكلّ إذا كان الرياء في الجزء أو الشرط، لاشتمال العمل على الجزء والشرط، بخلاف ما لم يكن كذلك، كقراءة السورة رياءً أثناء الصوم؛ إذ السورة ليست جزءاً ولا شرطاً للصوم، بل هي من المقارنات، ولا </w:t>
      </w:r>
    </w:p>
    <w:p>
      <w:pPr>
        <w:pStyle w:val="BookText"/>
        <w:rPr/>
      </w:pPr>
      <w:r>
        <w:rPr>
          <w:rFonts w:ascii="Amiri" w:hAnsi="Amiri" w:eastAsia="Amiri" w:cs="Amiri"/>
          <w:color w:val="111111"/>
          <w:sz w:val="28"/>
          <w:sz w:val="28"/>
          <w:szCs w:val="28"/>
          <w:rtl w:val="true"/>
          <w:lang w:bidi="ar-SA"/>
        </w:rPr>
        <w:t>دليل على سراية الفساد منها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الفاسد على المجموع بفساد بعض أجزائه أو شرائطه؛ لاتّحاد الجزء مع الكلّ دون المقارنات كما لا يخفى، وعليه فإذا كان بعض الأجزاء ريائيّاً كان المجموع ريائيّاً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المستحبّة الرياء، كالقنوت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المحقّق اليزدي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إيضاً باطل على الأقوى</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الرياء إذا كان في الجزء نفسه اختصّ الجزء بالبطلان، ولا وجه لسراية البطلان إلى غيره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يدّعى أنّه يصدق على مجموع العمل أنّه ممّا وقع فيه الرياء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ذلك مبنيّ على المسامحة؛ وإلاّ فموضوعه حقيقةً نفس الجزء، فيقدح فيه لا غير، فيكون الحال كما لو صلّى بلا قنوت، فإنّ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على بطلان الصلاة إنّما هو من جهة أنّ القنوت المراءى فيه مأتيّ به بقصد الجزئية، فإذا بطل لزمت الزيادة العمدية التي لا يفرّق في اقتضائها بطلانَ الصلاة بين أن تكون بالجزء الواجب والجزء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الأجزاء المستحبّة ليست أجزاء للماهيّة ولا أجزاء للفرد، وإنّما هي اُمور مستحبّة ظرفها الفعل الواجب، فلا يؤتى بها بقصد الجزئية على تقدير بطلانها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المستحبّ من الدعاء أو الذكر أمكن القول ببطلان الصلاة من جهة الكلام؛ بناءً على أنّ الدعاء والذكر المحرّمين من الكلام المبطل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إدخال رضا أحد من الناس في العمل الوحداني يصدق حقيقةً بالإتيان بالأجزاء المستحبّة رياءً‌؛ لاعتبار مجموع العمل ظرفاً واحداً عرفاً، فالأجزاء المستحبّة واقعة في الظرف المذكور، فلو راءى فيها أدخل رضا غيره تعالى في الظرف المذكور، ألا ترى أنّه يطلق المتنجّس على الثوب فيما إذا لاقى النجاسة مع أنّه لم ينجس إلاّ موضع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الرياء في الجزء يسري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المشتمل على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استحبابيّاً، فيكون العمل ريائيّاً؛ لاتّحاد الجزء مع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وجه لاختيار البطلان من ناحية كونه كلام آدميّ‌؛ لما عرفت من أنّ الدعاء الريائي ليس هو بكلام آدميّ ولا تترتّب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العمل لله لكنّه أتى به في مكان أو زمان خاصّين، وقَصَد بإتيانه في ذاك المكان أو ذاك الزمان أو غيرهما من الخصوصيّات الفردية الرياءَ‌، كما إذا أتى به في المسجد أو في الصفّ الأوّل من الجماعة أو في بعض المشاهد أو في أوّل الوقت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باطل عند السيّد المحقّق اليزدي، والوجه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الرياء هو عنوان الصلاة المقيّدة بالمكان أو الزمان الخاصّين، وهو متّحد مع ذات الصلاة في الخارج؛ لأنّ الخصوصية المشخّصة مصداق للطبيعة ومحقّقة لها، ومن الضروري أنّ الكلّي الطبيعي متّحد مع مصداقه خارجاً، وموجودان بوجود واحد؛ يضاف مرّة إلى الطبيعة واُخرى إلى الفرد، فليست الصلاة الموجودة في الخارج شيئاً آخر مغايراً للصلاة في هذا المكان ليكونا موجودين بوجودين، ولا يسري الفساد من أحدهما إلى الآخر، بل بينهما اتّحاد وعينيّة، فلابدّ من الحكم بالفساد والبطلان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كلّه فيما إذا راءى في الصلاة في هذا المكان بأن </w:t>
      </w:r>
    </w:p>
    <w:p>
      <w:pPr>
        <w:pStyle w:val="BookText"/>
        <w:rPr/>
      </w:pPr>
      <w:r>
        <w:rPr>
          <w:rFonts w:ascii="Amiri" w:hAnsi="Amiri" w:eastAsia="Amiri" w:cs="Amiri"/>
          <w:color w:val="111111"/>
          <w:sz w:val="28"/>
          <w:sz w:val="28"/>
          <w:szCs w:val="28"/>
          <w:rtl w:val="true"/>
          <w:lang w:bidi="ar-SA"/>
        </w:rPr>
        <w:t xml:space="preserve">كان مصبّ الرياء ومركزه هو مصداق الطبيعة بالذات؛ أعني الصلاة الكذائية، وأمّا إذا راءى في مجرّد الكون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تعلّق قصده الريائي بصرف البقاء في المسجد واللبث فيه أو في أحد المشاهد المشرّفة؛ ليرى الناس أنّه من أهل التقوى المعظّمين لشعائر الله، وفي خلال ذلك صلّى خالصاً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حينئذ للحكم بالفساد؛ لخروج الرياء عن حريم المأمور به وعدم مسّه بكرامته، فلا اتّحاد ولا عينيّة، غايته أنّه راءى في مقارنات العمل، ومثله لا ضير فيه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فإنّ القيام أو الركوع أو السجود ممّا يكون متقوّماً بالكون في المكان ومتّحداً معه ليس من المقارنات، فإذا كان مرائياً في المتّحد مع أجزاء الصلاة فلابدّ من الحكم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دخوله إلى المسجد ريائيّاً لا بقاؤه فيه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للحكم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المشهور من عدم جريان حكم اجتماع الأمر والنهي فيما إذا اتّحد المأمور به مع المنهي عنه في الوجود، وأمّا بناءً على المختار من جريانه في المتّحد فلا يحكم بالفساد، وإن كان الأحوط لزوماً هو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أوصاف العمل؛ كالإتيان بالصلاة جماعةً‌، أو القراءة بالتأنّي، أو بالخشوع، أو نحو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 السيّد المحقّق اليزدي بطلان العمل في هذه الصورة أيضاً،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الجماعة ونحوها باعتبارها ليست من الأفعال المستقلّة يجري عليها حكم خصوصية المكان والزمان بعينها، وقد عرفت حكمها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ما إذا لم يكن من الأفعال المستقلّة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بالنسبة إلى الأفعال 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كالخشوع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التفصيل في الخشوع الريائي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تعلّق القصد بهذا الفرد الخاصّ من الصلاة فتبطل؛ إذ الطبيعة وإن كانت مقصودة لله إلاّ أنّها لمّا كانت متّحدة مع فردها خارجاً فلا جرم يسري الفساد منه إليها، وبين ما إذا تعلّق قصده بالصلاة خالصاً لوجهه تعالى ثمّ بدا له أن يبكي أويخشع بحيث كان ذلك بنفسه موضوعاً مستقلاًّ للرياء لا أنّه من الأوّل قصد الصلاة المتّصفة بالخشوع الريائي، فحينئذ لا موجب للفساد</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عمل عملاً يطلب به وجه الله والدار الآخرة وأدخل فيه رضا أحد من الناس كان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للحكم بالبطلان؛ لأنّه أدخل في العمل رضا أحد من الناس بالخشوع الريائي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 بالنسبة إلى الصورة الاُولى، وأمّا بالنسبة إلى الصورة الثانية فلم يدخل رضا أحد من الناس في العمل العبادي بعد افتراض أنّ الخشوع المذكور ليس مأخوذاً في العمل العبادي، بل هو من المقارنات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الخشوع باعتباره من الكيفيّات المطلوبة في الصلاة فالرياء فيها كالرياء في الأجزاء في بطلان الصلاة،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في بعض الأعمال الخارجة عن الصلاة، كالتحنّك حال الصلاة، وهذا لا يكون مبطلاً إلاّ إذا رجع إلى الرياء في الصلاة متحنّكاً، كما ذهب إليه السيّد المحقّق اليزدي في العروة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عدم كون التحنّك حال الصلاة مبطلاً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التحنّك حينئذ من المقارنات، والرياء فيها أجنبىّ عن الرياء في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وجه البطلان فيما إذا رجع إلى الرياء في الصلاة متحنّكاً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الطبيعة وإن كانت مقصودة لله، إلاّ أنّها لمّا كانت متّحدة مع فردها خارجاً وكان الفرد مأتياً به رياءً فلا جرم يسري الفساد من الفرد إلى الطبيعة، فتبطل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في مقدّمات العمل، كما إذا كان الرياء في مشيه إلى المسجد لا في إتيان نفس العمل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البطلان في هذه الصورة، وذلك لأنّ المقدّمات خارجة عن العمل، فلا مقتضي للسراية ولا دخل للرياء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خالصاً لله لكنّه كان بحيث يعجبه أن يراه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المحقّق اليزدي قدس سره في 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بطلانه أيضاً، كما أنّ الخطور القلبي لا يضرّ خصوصاً إذا كان بحيث يتأذّى بهذا الخطور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يضرّ الرياء بترك الأضداد</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كأن كان في مجلس يتكلّم أهله بما يرجع إلى اُمور الدنيا، فأعرض عنهم وترك مجالستهم مظهراً أنّه لا يحبّ ذلك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السيّد المحقّق البروجردي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بطلان العمل بالإعجاب المذكور فيما إذا لم يكن له دخل في الداعي أصلاً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من أحد إلاّ وهو يحبّ أن يظهر له في الناس الخير إذا لم يكن صنع ذلك لذلك</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ترك الأضداد بالرياء راجع إلى الرياء في إبقاء العمل، وهو موجب </w:t>
      </w:r>
    </w:p>
    <w:p>
      <w:pPr>
        <w:pStyle w:val="BookText"/>
        <w:rPr/>
      </w:pPr>
      <w:r>
        <w:rPr>
          <w:rFonts w:ascii="Amiri" w:hAnsi="Amiri" w:eastAsia="Amiri" w:cs="Amiri"/>
          <w:color w:val="111111"/>
          <w:sz w:val="28"/>
          <w:sz w:val="28"/>
          <w:szCs w:val="28"/>
          <w:rtl w:val="true"/>
          <w:lang w:bidi="ar-SA"/>
        </w:rPr>
        <w:t>للفساد، إلاّ أن يكون مرائياً في ترك الأضداد بما هي لا بما هي أضداد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متأخّراً، وهو لا يوجب البطلان، فلو كان حين العمل قاصداً للخلوص ثمّ بعد إتمام الصلاة بدا له في ذكره أو عمل عملاً يدلّ على أنّه فعل كذا، لم يكن موجباً للبطلان؛ إذ المنافي للخلوص إنّما هو الرياء المقارن للعمل فإنّه يمنع عن صدوره على وجه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المتأخّر فلا تأثير له في المتقدّم؛ إذ الشيء لا ينقلب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ورد في مرسل علىّ بن أسباط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أشدّ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الإبقاء على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 الرجل بِصِلة وينفق نفقة لله وحده لا شريك له، فكتبت له سرّاً، ثمّ يذكرها، فتمحى فتكتب له علانية، ثمّ يذكرها، فتمحى فتكتب له رياءً‌</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فإنّها صريحة في سقوط العبادة بالكلّية بذكرها مرّتين؛ لأنّها مكتوبة بالرياء، ولكنّها لمكان الإرسال غير صالحة للاستدلال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مضافاً إلى إمكان حملها على عدم الثواب، لا البطلان المحتاج إلى الإعادة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أنّ الذكر المزبور والرياء بعد العمل صفة رذيلة ومنقصة في العبد ينبغي تنزيه ساحته عنه، كما تشهد به صحيحة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البارحة وصمت أمس، ونحو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كانوا يصبحون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البارحة وصمنا أمس، 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أنام الليل والنهار، ولو أجد بينهما </w:t>
      </w:r>
      <w:bookmarkStart w:id="93" w:name="pg17323_405885"/>
    </w:p>
    <w:p>
      <w:pPr>
        <w:pStyle w:val="BookText"/>
        <w:rPr/>
      </w:pPr>
      <w:bookmarkEnd w:id="93"/>
      <w:r>
        <w:rPr>
          <w:rFonts w:ascii="Amiri" w:hAnsi="Amiri" w:eastAsia="Amiri" w:cs="Amiri"/>
          <w:color w:val="111111"/>
          <w:sz w:val="28"/>
          <w:sz w:val="28"/>
          <w:szCs w:val="28"/>
          <w:rtl w:val="true"/>
          <w:lang w:bidi="ar-SA"/>
        </w:rPr>
        <w:t>شيئاً لنمته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فإنّها ظاهرة في عدم محبوبية الإفشاء والإشاعة، بل المحبوب كتمان العبادات عن الناس</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دليل على بطلان العمل بالرياء المتأخّر وإن أوجب ذهاب الثواب</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875856_1280447820"/>
      <w:bookmarkStart w:id="95" w:name="_Toc33"/>
      <w:bookmarkEnd w:id="94"/>
      <w:r>
        <w:rPr>
          <w:rtl w:val="true"/>
        </w:rPr>
        <w:t>المقام الخامس</w:t>
      </w:r>
      <w:r>
        <w:rPr>
          <w:rtl w:val="true"/>
        </w:rPr>
        <w:t xml:space="preserve">: </w:t>
      </w:r>
      <w:r>
        <w:rPr>
          <w:rtl w:val="true"/>
        </w:rPr>
        <w:t>في أحكام بطلان العبادة بالرياء</w:t>
      </w:r>
      <w:bookmarkEnd w:id="95"/>
    </w:p>
    <w:p>
      <w:pPr>
        <w:pStyle w:val="BookText"/>
        <w:rPr/>
      </w:pPr>
      <w:r>
        <w:rPr>
          <w:rFonts w:ascii="Amiri" w:hAnsi="Amiri" w:eastAsia="Amiri" w:cs="Amiri"/>
          <w:color w:val="111111"/>
          <w:sz w:val="28"/>
          <w:sz w:val="28"/>
          <w:szCs w:val="28"/>
          <w:rtl w:val="true"/>
          <w:lang w:bidi="ar-SA"/>
        </w:rPr>
        <w:t>يعتبر في صحّة عمل الأجير والمتبرّع في العبادة الإتيان بها مع قصد القربة، فلو أخلّ به بالرياء بنحو من الأنحاء المذكورة لم يسقط القضاء عن ذمّة المنوب عنه؛ لأنّ ذمّته مشغولة بأداء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أنّ القضاء لايسقط عن ذمّة المنوب عنه، فيما لو راءى الأجير، فحينئذ لو أخذ الأجير شيئاً في قبال ما أتى به من دون قربة كان أكلاً للمال بالباطل، واللازم عليه الإعادة إن كان الوقت باقياً وتمكّن من الإعادة، وإلاّ فالواجب ردّ المأخوذ، وعدم وجوب المطالبة إن لم يأخذ شيئاً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فيه بين العلم والجهل، فلو أتى بالعمل رياءً من جهة الجهل ثمّ علم أنّه حرام وغير موجب لسقوط الذمّة، كان عمله في حال الجهل باطلاً وغير مسقط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يستشكل في صحّة عمل الأجير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راءى فيه أو لم 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أخذ العوض؛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القربة ولا يتمشّى قصد القربة من النائب إذا أخذ العوض مع أنّ العمل العبادي موقوف عليه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السيّد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التحقيق أنّ أخذ الاُجرة داع لداعي القربة كما </w:t>
      </w:r>
    </w:p>
    <w:p>
      <w:pPr>
        <w:pStyle w:val="BookText"/>
        <w:rPr/>
      </w:pPr>
      <w:r>
        <w:rPr>
          <w:rFonts w:ascii="Amiri" w:hAnsi="Amiri" w:eastAsia="Amiri" w:cs="Amiri"/>
          <w:color w:val="111111"/>
          <w:sz w:val="28"/>
          <w:sz w:val="28"/>
          <w:szCs w:val="28"/>
          <w:rtl w:val="true"/>
          <w:lang w:bidi="ar-SA"/>
        </w:rPr>
        <w:t>في صلاة الحاجة وصلاة الاستسقاء؛ حيث إنّ الحاجة ونزول المطر داعيان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سيّدنا الاُستاذ المحقّق الداماد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الداعي إلى الداعي قد يكون محرّماً كشرب الخمر، كما إذا قال شخص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ركعتين فأنا أسقيك الخمر الكذائي، ومن المعلوم أنّ العرف حينئذ لا يرى الركعتين عبادة؛ إذ ليس محرّكه في الإتيان بالعبادة إلاّ فعلاً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عليه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لعمرو ولم يكن يمتثل أمره، فلو أعطاه بكر دنانير كي يمتثل أمر عمرو فإنّ امتثاله أمر عمرو لا يعدّ أنّه تقرّب إليه؛ للعلم بكونه عدوّاً له ولم يكن بصدد امتثال أمر عمرو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موارد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الحاجة والاستسقاء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الحاجة موجبة للتوجّه إلى عظمة الله تعالى وقدرته وأنّه أمكن له الإجابة، فيقصد التقرّب إليه بالصلاة أو الدعاء، لا أنّ الحاجة الدنيوية تكون داعية لحصول داعي القربة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الحاجة والاستسقاء لا يقاس عليهما؛ لأنّ كلاًّ من الداعي وداعي الداعي فيهما راجع إليه تعالى، بخلاف النيابة التي يكون الباعث فيها على العمل حقيقةً هو أخذ الاُجرة من غيره تعالى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السيّد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النيابة في حدّ نفسها إنّما وقعت متعلّقاً للأمر الاستحبابي النفسي، كما يدلّ عليه 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يلحق الرجل بعد موته‌؟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عنه، والصدقة عنه، والصوم عنه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وغير ذلك من الروايات، فإنّها تدلّ على جواز النيابة عن الأموات في مطلق العبادات وتفريغ ذممهم عنها؛ من دون فرق في ذلك بين الواجبات والمستحبّات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ويترتّب على ذلك صحّة الاستئجار للأموات؛ إذ مقتضى إطلاق هذه الأخبار هو الحكم بتفريغ ذمّة المنوب عنه بفعل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قد أتى به تبرّعاً لأجل حبّه للمنوب عنه، أم أتى به وفاءً لقصد الإجارة أو الجعالة، أم لغير ذلك من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تدلّ على أنّ النيابة في حدّ نفسها إنّما وقعت متعلّقة للأمر الاستحبابي النفسي، ولا ينبغي الشكّ في كون الأمر المذكور عباديّاً إذا كان مورد النيابة من العبادات كالصلاة والصيام ونحوهما، كما أنّه لابدّ من قصد التقرّب بالأمر المذكور في سقوطه؛ وإلاّ لم تتحقّق العبادة وبالتالي لم تتحقّق النيابة المأمور بها حسب الفرض، فعباديّة العمل النيابي تستدعي تعبّدية الأمر المتعلّق به بعنوان النيابة لا محالة، فلا مناص للنائب من قصد التقرّب بهذا الأمر لكي يتّصف متعلّقه بصفة العبادة التي هي مورد النيابة؛ فإنّه بدونه لم تصدر منه العبادة التي تصدّى للنيابة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الداعي إلى هذا المجموع المركّب من الصلاة وقصد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هو استحبابها الذاتي نظراً إلى كونه إحساناً إلى الميّت وصلةً له أو لأجل حبّه له وشفقته عليه، واُخرى يكون الداعي هو الوفاء بعقد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أخذ الاُجرة أكلاً للمال بالباطل، والداعي للأجير هو التسلّط على العوض بوجه شرعي؛ إذ ما لم يسلّم المعوّض لا يكون له حقّ المطالبة بالعوض، فالداعي بالتالي منته إلى الخوف من الله تعالى، فيكون الأمر الإجاري مؤكّداً للعباديّة لا منافياً لها، كما هو الحال في النذر، والشرط ضمن العقد، ونحوهما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السيّد المحقّق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التقرّب يعتبر فيه بما أنّه فعل المنوب عنه بحسب الاعتبار الذي صحّحه الشرع، والقربة المنويّة فيه هي قربه، وأمّا </w:t>
      </w:r>
    </w:p>
    <w:p>
      <w:pPr>
        <w:pStyle w:val="BookText"/>
        <w:rPr/>
      </w:pPr>
      <w:r>
        <w:rPr>
          <w:rFonts w:ascii="Amiri" w:hAnsi="Amiri" w:eastAsia="Amiri" w:cs="Amiri"/>
          <w:color w:val="111111"/>
          <w:sz w:val="28"/>
          <w:sz w:val="28"/>
          <w:szCs w:val="28"/>
          <w:rtl w:val="true"/>
          <w:lang w:bidi="ar-SA"/>
        </w:rPr>
        <w:t>النيابة التي هي فعل النائب فهي توصّلية لا يعتبر فيها التقرّب، فإن قصده استحقّ بها الثواب، وإلاّ فلا</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فقصد الأمر بالنيابة أجنبيّ عن قصد قربة المنوب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سيّدنا الإمام المجاهد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النائب يقصد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أجيراً كان أو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والبدلية عن فعل المنوب عنه، وتفرغ ذمّته ويتقرّب به ويثاب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قصد تقرّب المنوب عنه لا تقرّب نفسه، ولا يحصل له بذلك تقرّب إلاّ إن قصد في تحصيل هذا التقرّب للمنوب عنه الإحسان إليه لله تعالى، فيحصل له القرب أيضاً، كالمتبرّع لو كان قصده ذلك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تعليقته على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الأجير يأخذ الاُجرة لتحصيل قرب الغير لا قرب نفسه حتّى يقال إنّ أخذ الاُجرة مناف لقصد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إعطاء الاُجرة لتحصيل العمل القربي أيضاً منافياً للخلوص المعتبر في العبادة لكان للإشكال وجه، لكنّه ممنوع</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أنّه لا حاجة إلى تنزيل فعله منزلة فعل الميّت؛ إذ اللازم هو الإتيان بما اشتغلت به ذمّة الميّت؛ لأنّ أداء صلاة النائب كأداء ديون الغير؛ فكما أنّ أداء ديون الغير لا يحتاج إلى تنزيل فعل المؤدّي منزلة فعل المديون، فكذلك الإتيان بعبادة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 الروايات المتقدّمة الدالّة على مطلوبية الحجّ عنه والصدقة عنه والصلاة عنه من دون ذكر التنزيل يكفي في عدم لزوم التنزيل، وكفاية الإتيان بواجب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مانع من أخذ الاُجرة ليتحصّل قرب الغير لا قرب نفسه حتّى يقال إنّ أخذ الاُجرة مناف لقصد الله تعالى، ولعلّ هذا هو المستفاد من إطلاق الروايات الدالّة على مشروعية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دعوى قيام السيرة على ذلك</w:t>
      </w:r>
      <w:r>
        <w:rPr>
          <w:rFonts w:eastAsia="Amiri" w:cs="Amiri" w:ascii="Amiri" w:hAnsi="Amiri"/>
          <w:color w:val="111111"/>
          <w:sz w:val="28"/>
          <w:szCs w:val="28"/>
          <w:rtl w:val="true"/>
          <w:lang w:bidi="ar-SA"/>
        </w:rPr>
        <w:t xml:space="preserve">. </w:t>
      </w:r>
      <w:bookmarkStart w:id="96" w:name="pg17323_405894"/>
    </w:p>
    <w:p>
      <w:pPr>
        <w:pStyle w:val="Heading2"/>
        <w:numPr>
          <w:ilvl w:val="1"/>
          <w:numId w:val="1"/>
        </w:numPr>
        <w:rPr/>
      </w:pPr>
      <w:bookmarkStart w:id="97" w:name="__RefHeading___Toc875858_1280447820"/>
      <w:bookmarkStart w:id="98" w:name="_Toc34"/>
      <w:bookmarkEnd w:id="96"/>
      <w:bookmarkEnd w:id="97"/>
      <w:r>
        <w:rPr>
          <w:rtl w:val="true"/>
        </w:rPr>
        <w:t xml:space="preserve">المسألة الخامسة والعشرون </w:t>
      </w:r>
      <w:r>
        <w:rPr>
          <w:rtl w:val="true"/>
        </w:rPr>
        <w:t>«</w:t>
      </w:r>
      <w:r>
        <w:rPr>
          <w:rtl w:val="true"/>
        </w:rPr>
        <w:t>في زخرفة المساجد والمصاحف والمقابر</w:t>
      </w:r>
      <w:r>
        <w:rPr>
          <w:rtl w:val="true"/>
        </w:rPr>
        <w:t>»</w:t>
      </w:r>
      <w:bookmarkEnd w:id="98"/>
    </w:p>
    <w:p>
      <w:pPr>
        <w:pStyle w:val="Heading3"/>
        <w:numPr>
          <w:ilvl w:val="2"/>
          <w:numId w:val="1"/>
        </w:numPr>
        <w:rPr/>
      </w:pPr>
      <w:bookmarkStart w:id="99" w:name="__RefHeading___Toc875860_1280447820"/>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ويقع الكلام فيها من جهات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75862_1280447820"/>
      <w:bookmarkStart w:id="102" w:name="_Toc36"/>
      <w:bookmarkEnd w:id="101"/>
      <w:r>
        <w:rPr>
          <w:rtl w:val="true"/>
        </w:rPr>
        <w:t>الجهة الاُولى</w:t>
      </w:r>
      <w:r>
        <w:rPr>
          <w:rtl w:val="true"/>
        </w:rPr>
        <w:t xml:space="preserve">: </w:t>
      </w:r>
      <w:r>
        <w:rPr>
          <w:rtl w:val="true"/>
        </w:rPr>
        <w:t>في زخرفة المساجد</w:t>
      </w:r>
      <w:bookmarkEnd w:id="102"/>
    </w:p>
    <w:p>
      <w:pPr>
        <w:pStyle w:val="Heading4"/>
        <w:numPr>
          <w:ilvl w:val="3"/>
          <w:numId w:val="1"/>
        </w:numPr>
        <w:rPr/>
      </w:pPr>
      <w:bookmarkStart w:id="103" w:name="__RefHeading___Toc875864_1280447820"/>
      <w:bookmarkStart w:id="104" w:name="_Toc37"/>
      <w:bookmarkEnd w:id="103"/>
      <w:r>
        <w:rPr>
          <w:rtl w:val="true"/>
        </w:rPr>
        <w:t>اوّلاً</w:t>
      </w:r>
      <w:r>
        <w:rPr>
          <w:rtl w:val="true"/>
        </w:rPr>
        <w:t xml:space="preserve">: </w:t>
      </w:r>
      <w:r>
        <w:rPr>
          <w:rtl w:val="true"/>
        </w:rPr>
        <w:t>في نقل كلمات الأصحاب</w:t>
      </w:r>
      <w:bookmarkEnd w:id="104"/>
    </w:p>
    <w:p>
      <w:pPr>
        <w:pStyle w:val="BookText"/>
        <w:rPr/>
      </w:pPr>
      <w:r>
        <w:rPr>
          <w:rFonts w:ascii="Amiri" w:hAnsi="Amiri" w:eastAsia="Amiri" w:cs="Amiri"/>
          <w:color w:val="111111"/>
          <w:sz w:val="28"/>
          <w:sz w:val="28"/>
          <w:szCs w:val="28"/>
          <w:rtl w:val="true"/>
          <w:lang w:bidi="ar-SA"/>
        </w:rPr>
        <w:t>قال الشيخ الطوسي قدس سره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 أو مذهّبة أو فيها شيء من التصاوير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في مفتاح الكرامة عن المبسوط والسرائر حرمة الزخرفة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وينبغي أن لا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يظلّل ولا يزخرف</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المراسم في عداد المحرّمات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وأجر زخرفة المساجد وتزويقها، </w:t>
      </w:r>
    </w:p>
    <w:p>
      <w:pPr>
        <w:pStyle w:val="BookText"/>
        <w:rPr/>
      </w:pPr>
      <w:r>
        <w:rPr>
          <w:rFonts w:ascii="Amiri" w:hAnsi="Amiri" w:eastAsia="Amiri" w:cs="Amiri"/>
          <w:color w:val="111111"/>
          <w:sz w:val="28"/>
          <w:sz w:val="28"/>
          <w:szCs w:val="28"/>
          <w:rtl w:val="true"/>
          <w:lang w:bidi="ar-SA"/>
        </w:rPr>
        <w:t>وزخرفة المصاحف</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في مفتاح الكرامة حرمة الزخرفة عن الشرائع والنافع والمعتبر والمنتهى ونهاية الإحكام والتحرير والإرشاد والبيان وغيرها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الزخرفة ونقشها بالذهب أو بشيء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والنهاية تحريم النقش ولم يقيّده بكونه بالذهب، فيعمّ النقش بالذهب وغيره، وكذا صنع في المعتبر وشيخنا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هذا يكون النقش مطلقاً حراماً، والتذهيب وإن لم يكن بالنقش حرام، وتصويرها حرام أيضاً، صرّح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ويلوح من عبارة المعتبر، وهو لازم من تحريم النقش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عبارتهم يتناول صور الحيوان وغيرها</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القائل بحرمة تزيين المساجد بالذهب أو تحسينها بالصور والنقوش من القدماء هو الشيخ الطوسي وابن إدريس وسلاّر وابن البرّاج في المهذّب مع نقل خلافه في الجواهر عن كشف اللثام عن المهذّب والجامع، ومن المعلوم أنّ بمثل قول الشيخ وابن إدريس وسلاّر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قولهم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لاتثبت الشهرة بين القدماء، ولعلّه 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منع حصول شهرة معتدّ بها هنا كما لا يخفى على المتتبّع؛ ومن هنا كان خيرة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في الدروس </w:t>
      </w:r>
      <w:r>
        <w:rPr>
          <w:rFonts w:eastAsia="Amiri" w:cs="Amiri" w:ascii="Amiri" w:hAnsi="Amiri"/>
          <w:color w:val="111111"/>
          <w:sz w:val="28"/>
          <w:szCs w:val="28"/>
          <w:rtl w:val="true"/>
          <w:lang w:bidi="ar-SA"/>
        </w:rPr>
        <w:t xml:space="preserve">- </w:t>
      </w:r>
      <w:bookmarkStart w:id="105" w:name="pg17323_405898"/>
    </w:p>
    <w:p>
      <w:pPr>
        <w:pStyle w:val="BookText"/>
        <w:rPr/>
      </w:pPr>
      <w:bookmarkEnd w:id="105"/>
      <w:r>
        <w:rPr>
          <w:rFonts w:ascii="Amiri" w:hAnsi="Amiri" w:eastAsia="Amiri" w:cs="Amiri"/>
          <w:color w:val="111111"/>
          <w:sz w:val="28"/>
          <w:sz w:val="28"/>
          <w:szCs w:val="28"/>
          <w:rtl w:val="true"/>
          <w:lang w:bidi="ar-SA"/>
        </w:rPr>
        <w:t>الكراهة، كما هو ظاهر اُخرى، بل حكاه في الذكرى عن الجعفي أيضاً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الجعفي من الطبقة الاُولى من الفقهاء المتقدّمين، فلا شهرة بين القدماء بالنسبة إلى الحرمة، كما لا شهرة بين المتأخّرين؛ لما حكاه في مفتاح الكرامة من كراهة الزخرفة عن الدروس والنفلية والمفاتيح ومجمع البرهان والروض والكفاية والمدارك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شهرة بالنسبة إلى الحرمة لا من القدماء ولا من المتأخّرين وإن صرّح بعضهم بالحرمة، كما لا يخفى</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75866_1280447820"/>
      <w:bookmarkStart w:id="107" w:name="_Toc38"/>
      <w:bookmarkEnd w:id="106"/>
      <w:r>
        <w:rPr>
          <w:rtl w:val="true"/>
        </w:rPr>
        <w:t>ثانياً</w:t>
      </w:r>
      <w:r>
        <w:rPr>
          <w:rtl w:val="true"/>
        </w:rPr>
        <w:t xml:space="preserve">: </w:t>
      </w:r>
      <w:r>
        <w:rPr>
          <w:rtl w:val="true"/>
        </w:rPr>
        <w:t>في أدلّة حرمة زخرفة المساجد</w:t>
      </w:r>
      <w:bookmarkEnd w:id="107"/>
    </w:p>
    <w:p>
      <w:pPr>
        <w:pStyle w:val="BookText"/>
        <w:rPr/>
      </w:pP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استدلّ لحرمة زخرفة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تزيينها بالذهب أو نقشها وتصويرها ولو بغير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بدعة؛ إذ لم تكن تلك في زمن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الصلاة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بها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البدعة مع عدم قصد التشريع؛ فإنّ البدعة إدخال ما ليس من الدين فيه عمداً، والرخصة بأصالة الإباحة حاصلة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تزيين المساجد بالذهب إسراف وهو محرّم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الإسراف لا يخصّ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إمكان منعه؛ باعتبار حصول الغرض المعتدّ به من التحسين أو قصد تعظيم الشعائر، كما يصنعونه </w:t>
      </w:r>
    </w:p>
    <w:p>
      <w:pPr>
        <w:pStyle w:val="BookText"/>
        <w:rPr/>
      </w:pPr>
      <w:r>
        <w:rPr>
          <w:rFonts w:ascii="Amiri" w:hAnsi="Amiri" w:eastAsia="Amiri" w:cs="Amiri"/>
          <w:color w:val="111111"/>
          <w:sz w:val="28"/>
          <w:sz w:val="28"/>
          <w:szCs w:val="28"/>
          <w:rtl w:val="true"/>
          <w:lang w:bidi="ar-SA"/>
        </w:rPr>
        <w:t>في المشاهد المشرّفة أو نحو ذلك ممّا يمتنع معه اندراجه في الإسراف المنهي عنه كما هو واضح</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التحسين من الأغراض العقلائية، ومع المنع عنه في الشرع بالنسبة إلى المساجد كيف يوجب ذلك منع صدق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إطلاق لحرمة الإسراف حتّى في مثل المقام، بل غايته الكراهة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إمكان منع صدق تعظيم الشعائر بالتزيينات المذكورة في المساجد مع ما ورد من التخطئة الشرعية، كما في صحيحة عبدالله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بنى مسجده بالسميط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فزيد فيه، وبناه بالسعيدة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وبنى جداره بالاُنثى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اشتدّ عليهم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فاُقيمت فيه سوار</w:t>
      </w:r>
      <w:r>
        <w:rPr>
          <w:rStyle w:val="FootnoteAnchor"/>
          <w:rtl w:val="true"/>
        </w:rPr>
        <w:footnoteReference w:id="178"/>
      </w:r>
      <w:r>
        <w:rPr>
          <w:rFonts w:ascii="Amiri" w:hAnsi="Amiri" w:eastAsia="Amiri" w:cs="Amiri"/>
          <w:color w:val="111111"/>
          <w:sz w:val="28"/>
          <w:sz w:val="28"/>
          <w:szCs w:val="28"/>
          <w:rtl w:val="true"/>
          <w:lang w:bidi="ar-SA"/>
        </w:rPr>
        <w:t>من جذوع النخل، ثمّ طرحت عليه العوارض</w:t>
      </w:r>
      <w:r>
        <w:rPr>
          <w:rStyle w:val="FootnoteAnchor"/>
          <w:rtl w:val="true"/>
        </w:rPr>
        <w:footnoteReference w:id="179"/>
      </w:r>
      <w:r>
        <w:rPr>
          <w:rFonts w:ascii="IRNazanin" w:hAnsi="IRNazanin" w:eastAsia="IRNazanin"/>
          <w:color w:val="111111"/>
          <w:sz w:val="28"/>
          <w:sz w:val="28"/>
          <w:szCs w:val="28"/>
          <w:rtl w:val="true"/>
          <w:lang w:bidi="fa-IR"/>
        </w:rPr>
        <w:t>والخصف والأذخر</w:t>
      </w:r>
      <w:r>
        <w:rPr>
          <w:rStyle w:val="FootnoteAnchor"/>
          <w:rtl w:val="true"/>
        </w:rPr>
        <w:footnoteReference w:id="180"/>
      </w:r>
      <w:r>
        <w:rPr>
          <w:rFonts w:ascii="Amiri" w:hAnsi="Amiri" w:eastAsia="Amiri" w:cs="Amiri"/>
          <w:color w:val="111111"/>
          <w:sz w:val="28"/>
          <w:sz w:val="28"/>
          <w:szCs w:val="28"/>
          <w:rtl w:val="true"/>
          <w:lang w:bidi="ar-SA"/>
        </w:rPr>
        <w:t>، فعاشوا فيه حتّى أصابتهم الأمطار، فجعل المسجد يكفّ‌</w:t>
      </w:r>
      <w:r>
        <w:rPr>
          <w:rStyle w:val="FootnoteAnchor"/>
          <w:rtl w:val="true"/>
        </w:rPr>
        <w:footnoteReference w:id="181"/>
      </w:r>
      <w:r>
        <w:rPr>
          <w:rFonts w:ascii="Amiri" w:hAnsi="Amiri" w:eastAsia="Amiri" w:cs="Amiri"/>
          <w:color w:val="111111"/>
          <w:sz w:val="28"/>
          <w:sz w:val="28"/>
          <w:szCs w:val="28"/>
          <w:rtl w:val="true"/>
          <w:lang w:bidi="ar-SA"/>
        </w:rPr>
        <w:t>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عريش كعريش موسى، فلم يزل كذلك حتّى قبض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جداره قبل </w:t>
      </w:r>
    </w:p>
    <w:p>
      <w:pPr>
        <w:pStyle w:val="BookText"/>
        <w:rPr/>
      </w:pPr>
      <w:r>
        <w:rPr>
          <w:rFonts w:ascii="Amiri" w:hAnsi="Amiri" w:eastAsia="Amiri" w:cs="Amiri"/>
          <w:color w:val="111111"/>
          <w:sz w:val="28"/>
          <w:sz w:val="28"/>
          <w:szCs w:val="28"/>
          <w:rtl w:val="true"/>
          <w:lang w:bidi="ar-SA"/>
        </w:rPr>
        <w:t xml:space="preserve">أن يظلّل قامة، وكان إذا كان الفيء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قدر مربض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فإذا كان ضعف ذلك 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لبنة، والسعيدة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ونصف، والذكر والاُنثى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لبنتان مخالفتان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منها هو الإصرار على بساطة المساجد إلاّ عند اقتضاء الضرورة، فكيف يمكن دعوى مطلوبية التزيين بالذهب من باب تعظيم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التعظيم لو كان راجحاً لكان النبيّ صلى الله عليه وآله أمر بالبناء بنحو ما تعارف في البِيَع والكنائس، مع أنّه امتنع عنه عند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 بالمسجد فطيّن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عريش كعريش موسى، فلم يزل كذلك حتّى قبض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عن المساجد المظلّلة أتكره الصلاة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لا يضرّكم اليوم، ولو قد كان العدل لرأيتم كيف يصنع في ذلك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فمع تخطئة العرف في الشرع في مثل ما ذكر لا يخلو ما ذكره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تحقّق الإسراف بتعظيم الشعائر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تكن هذه الروايات أمكن القول بصدق تعظيم الشعائر، فيكون مشمولاً لما يستفاد من الإجماع وتضاعيف أخبار كثيرة وفحوى رجحان تعظيم البدن أو مناسك الحجّ‌؛ من مطلوبية تعظيم الشعائر مطلقاً، كما ذهب إليه المحقّق النراقي في العوائد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العامّة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تتباهى الناس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لتزخرفنّها كما زخرفت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تحمّر وتصفّر فتفتن الناس</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وأورد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الإغضاء عن دلالة بعضه أو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عدم صلاحيّته لإثبات الحرمة، كوضوح فساد دعوى الجبر سنداً ودلالةً بالشهرة؛ إذ لو سلّم صلاحيّة جبر الشهرة لمثل ذلك ممّا ورد من طرق العامّة يمكن منع حصول شهرة معتدّة بها هنا كما لا يخفى على المتتبّع</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تزيين المساجد بالذهب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 النهي عن إناء الذهب والفضّة هو حرمة الاستعمال والانتفاع بهما لتزيين المساجد أو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دليل على حرمة مطلق النقش وتصوير المساجد وإن لم يكن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منع التظليل في صحيحتي عبدالله بن سنان والحلبي،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تدلاّن على الحرمة؛ لأنّ الامتناع عن التظليل فعل، وهو لا يدلّ على أزيد من الكراهة، وكذا كراهة الإمام عليه السلام ذلك لا تدلّ على أزيد من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أنّهما تدلاّن على المنع عن التظليل لا التصوير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التصوير حكمه مستفاد منه بالأولويّة، ومع تسليم دلالتهما على حرمة تصوير المساجد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معارضتان بروايات اُخرى</w:t>
      </w:r>
      <w:r>
        <w:rPr>
          <w:rFonts w:eastAsia="Amiri" w:cs="Amiri" w:ascii="Amiri" w:hAnsi="Amiri"/>
          <w:color w:val="111111"/>
          <w:sz w:val="28"/>
          <w:szCs w:val="28"/>
          <w:rtl w:val="true"/>
          <w:lang w:bidi="ar-SA"/>
        </w:rPr>
        <w:t xml:space="preserve">: </w:t>
      </w:r>
      <w:bookmarkStart w:id="108" w:name="pg17323_405907"/>
    </w:p>
    <w:p>
      <w:pPr>
        <w:pStyle w:val="BookText"/>
        <w:rPr/>
      </w:pPr>
      <w:bookmarkEnd w:id="108"/>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عمّر المسجد، فزاد فيه زيادة كثيرة، وبنى جداره بحجارة منقوشة، وجعل عمده حجارة منقوشة</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شهادة على العدم؛ بملاحظة عدم الإنكار بذلك عليه خصوصاً من أميرالمؤمنين عليه السلام، وعدم عدّ مثله من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قرب الاسناد عن عبدالله بن الحسن، عن علىّ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المسجد يكتب في قبلته القرآن أو الشيء من ذكر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المسجد ينقش في قبلته بجصّ أو أصباغ‌؟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الطريق المذكور لا ينافي معروفية كتاب علىّ بن جعفر، فالرواية صحيحة وإن كان الطريق المذكور بعنوان أنّه طريق قريب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يمكن أن يكون عن الصلاة في المسجد المذكور لا عن النقش، وعليه فلا يدلّ على جواز النقش، فالعمدة أنّه لا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التصوير والنقش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كراهة ذلك في المساجد من جهة الأخبار الدالّة على كراهة الإمام عليه السلام وامتناع النبيّ صلى الله عليه وآله عن البناء فضلا عن تزيين المسجد بالنقوش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تتزاحم الكراهة بمصلحة اُخرى، فتجرى حينئذ قواعد باب التزاحم كما لا يخفى</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875868_1280447820"/>
      <w:bookmarkStart w:id="110" w:name="_Toc39"/>
      <w:bookmarkEnd w:id="109"/>
      <w:r>
        <w:rPr>
          <w:rtl w:val="true"/>
        </w:rPr>
        <w:t>الجهة الثانية</w:t>
      </w:r>
      <w:r>
        <w:rPr>
          <w:rtl w:val="true"/>
        </w:rPr>
        <w:t xml:space="preserve">: </w:t>
      </w:r>
      <w:r>
        <w:rPr>
          <w:rtl w:val="true"/>
        </w:rPr>
        <w:t>في أدلّة حرمة زخرفة المصاحف</w:t>
      </w:r>
      <w:bookmarkEnd w:id="1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لحرمة تزيين المصاحف وتعشيرها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الشيخ في التهذيب </w:t>
      </w:r>
    </w:p>
    <w:p>
      <w:pPr>
        <w:pStyle w:val="BookText"/>
        <w:rPr/>
      </w:pPr>
      <w:r>
        <w:rPr>
          <w:rFonts w:ascii="Amiri" w:hAnsi="Amiri" w:eastAsia="Amiri" w:cs="Amiri"/>
          <w:color w:val="111111"/>
          <w:sz w:val="28"/>
          <w:sz w:val="28"/>
          <w:szCs w:val="28"/>
          <w:rtl w:val="true"/>
          <w:lang w:bidi="ar-SA"/>
        </w:rPr>
        <w:t>بسند موثّق عن 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يعشّر المصاحف بالذهب‌؟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معيشتي‌؟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تركته لله جعل الله لك مخرجاً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الدلالة؛ لعدم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سلّمنا تماميّة دلالته وظهوره في الحرمة فهو يتعارض مع مصحّحة محمّد بن الورّاق التي رواها الكليني في الكافي عن علىّ بن إبراهيم، عن أبيه، عن صفوان، عن ابن مسكان، عن محمّد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عبدالله عليه السلام كتاباً فيه القرآن مختّم معشّر بالذهب وكتب في آخره سورة بالذهب، فأريته إيّاه، فلم يعب فيه شيئاً إلاّ كتابة القرآن بالذهب،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لايعجبني أن يكتب القرآن إلاّ بالسواد كما كتب أوّل مرّة</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جعلها 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ورود توثيق لمحمّد بن الورّاق، وإنّما يكتفى في توثيقه بنقل صفوان عن ابن مسكان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ويتعارض أيضاً مع مصحّحة داود بن سرحان المرويّة في الكافي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بتحلية المصاحف والسيوف بالذهب والفضّة بأس</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مقتضى الجمع بين صراحة مصحّحة داود بن سرحان وظهور مصحّحة محمّد بن الورّاق في الجواز، وبين ظهور موثّقة سماعة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فزخرفة المصاحف وتعشيرها بالذهب محكومان بالكراهة، فلا تغفل</w:t>
      </w:r>
      <w:r>
        <w:rPr>
          <w:rFonts w:eastAsia="Amiri" w:cs="Amiri" w:ascii="Amiri" w:hAnsi="Amiri"/>
          <w:color w:val="111111"/>
          <w:sz w:val="28"/>
          <w:szCs w:val="28"/>
          <w:rtl w:val="true"/>
          <w:lang w:bidi="ar-SA"/>
        </w:rPr>
        <w:t xml:space="preserve">. </w:t>
      </w:r>
      <w:bookmarkStart w:id="111" w:name="pg17323_405911"/>
    </w:p>
    <w:p>
      <w:pPr>
        <w:pStyle w:val="Heading3"/>
        <w:numPr>
          <w:ilvl w:val="2"/>
          <w:numId w:val="1"/>
        </w:numPr>
        <w:rPr/>
      </w:pPr>
      <w:bookmarkStart w:id="112" w:name="__RefHeading___Toc875870_1280447820"/>
      <w:bookmarkStart w:id="113" w:name="_Toc40"/>
      <w:bookmarkEnd w:id="111"/>
      <w:bookmarkEnd w:id="112"/>
      <w:r>
        <w:rPr>
          <w:rtl w:val="true"/>
        </w:rPr>
        <w:t>الجهة الثالثة</w:t>
      </w:r>
      <w:r>
        <w:rPr>
          <w:rtl w:val="true"/>
        </w:rPr>
        <w:t xml:space="preserve">: </w:t>
      </w:r>
      <w:r>
        <w:rPr>
          <w:rtl w:val="true"/>
        </w:rPr>
        <w:t>في زخرفة القبور بالتجصيص أو التطيين أو البناء عليها</w:t>
      </w:r>
      <w:bookmarkEnd w:id="113"/>
    </w:p>
    <w:p>
      <w:pPr>
        <w:pStyle w:val="BookText"/>
        <w:rPr/>
      </w:pPr>
      <w:r>
        <w:rPr>
          <w:rFonts w:ascii="Amiri" w:hAnsi="Amiri" w:eastAsia="Amiri" w:cs="Amiri"/>
          <w:color w:val="111111"/>
          <w:sz w:val="28"/>
          <w:sz w:val="28"/>
          <w:szCs w:val="28"/>
          <w:rtl w:val="true"/>
          <w:lang w:bidi="ar-SA"/>
        </w:rPr>
        <w:t>ولا إشكال في كونها مكروهة؛ لدلالة الروايات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علىّ بن أسباط عن 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عن البناء على القبر والجلوس عليه هل يصلح‌؟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البناء عليه، ولا الجلوس، ولا تجصيصه، ولا تطيينه</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ولذا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كراهة التجصيص ابتداءً أو بعد الاندراس؛ للإطلاق المتقدّم مع قصور المعارض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بالكراهة في التطيين وإن خصّها بغير طين القبر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دليل على حرمة التجصيص والتطيين ولا البناء على القبور عدا ما رواه في جامع الأحاديث عن إكمال الدين، عن كتاب جعفر بن محمّد بن شريح الحضرمي، عن عبدالله بن طلحة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السحت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في الحكم، ومهر البغيّ‌، وأجر الكاهن، وثمن الكلب، والذين يبنون البنيان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أرَ توثيقاً لجعفر بن محمّد بن شريح الحضرمي، نعم قال في 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شريح الحضرمي له كتاب رويناه بالإسناد الأوّل عن ابن همّام، عن حميد، عن أحمد بن زيد بن جعفر الأزدي البزّاز، عن محمّد ابن اُميّة بن القاسم الحضرمي، عن محمّد بن جعفر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عن أبي محمّد هارون بن موسى التلعكبري، عن أبي علىّ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وطريق الشيخ إليه ضعيف بأحمد بن زيد بن جعفر الأزدي البزّاز ومحمّد بن اُميّة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ضعيفة، ولكنّ دلالتها واضحة؛ لأنّ جعل اُجرة البنّاء سحتاً كاشف عن حرمتها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موثّقة يونس بن ظبيان المرويّة في التهذيب بإسناده عن محمّد بن يحيى، عن يعقوب بن يزيد، عن زياد بن مروان القندي، عن يونس بن ظبيان،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وآله أن يصلّى على قبر أو يقعد أو يبنى عليه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جعلناها موثّقة مع أنّ يونس بن ظبيان لم يرد فيه توثيق؛ لكفاية نقل صفوان وابن أبي عمير عنه في وثاقته، وكذا يكفي نقل ابن أبي عمير عن زياد القندي في توثيقه، هذا مضافاً إلى أنّ المفيد في الإرشاد عدّه من ثقات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دلالة النهي على الحرمة فهي وإن كانت واضحة إلاّ أنّها فيما إذا لم يكن مقترناً بالمكروهات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على القبر أو العقود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الاقتران المذكور يقرب أنّ المراد من النهي هو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حمله على الكراهة، فتدبّر جيّداً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وعدا ما رواه الشيخ بإسناده عن الحسين بن سعيد، عن النضر بن سويد، عن القاسم ابن سليمان، عن جرّاح المدائني،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تبنوا على القبور ولا تصوّروا سقوف البيوت؛ فإنّ رسول الله صلى الله عليه وآله كره ذلك</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لقاسم بن سليمان كتاباً يرويه النضر بن سويد، وأنّ لجرّاح المدائني كتاباً يرويه جماعة منهم النضر بن سويد، ولا توثيق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الغمض عن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الحرمة غير واضحة بعد تعليله بالكراهة التي هي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اقترانه ببعض المكروهات، فاستفادة حرمة البناء من هذه الروايات محلّ إشكال سنداً أو دلالةً‌، ولعلّه لذا جعله في مستند الشيعة من المكروهات؛ حيث قال في عدّ المكروهات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والبناء عليه إجماعاً كما عن المبسوط والتذكرة، سواء كان القبر في أرض مباحة مسبّلة أو مملوكة؛ لاستفاضة النصوص على النهي عنه المحمول على الكراهة إجماعاً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وفي المستند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واستثنى الشهيد وجماعة من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الأنبياء والأئمّة عليهم السلام مدّعياً فيه إطباق الإماميّة على أن يبنوا عليها، مخصّصاً للعمومات بإجماعهم على البناء في عهود كانت الأئمّة عليهم السلام ظاهرة بينهم وبعدهم من غير نكير، وبكون قبر الرسول صلى الله عليه وآله مبنيّاً عليه، وبالأخبار الدالّة على تعظيم قبورهم وعمارتها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إطباقهم على البناء ففيه كلام؛ فإنّ الأكثر من السلاطين والذين لا يمكن مخالفتهم سيّما مع عدم الاهتمام بالمخالفة؛ إذ غايته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قبر الرسول فهو وقع في البناء لكونه بيته، لا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تعظيم القبور فهو غير البناء عليها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يحسن التخصيص بما دلّ على فضل تعمير قبورهم، كرواية الساجي</w:t>
      </w:r>
      <w:r>
        <w:rPr>
          <w:rStyle w:val="FootnoteAnchor"/>
          <w:rtl w:val="true"/>
        </w:rPr>
        <w:footnoteReference w:id="199"/>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التهذيب،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قلوب نجباء من خلقه وصفوة من عباده تحنّ إليكم، وتحتمل المذلّة والأذى فيكم، فيعمرون قبوركم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يا علىّ‌، المخصوصون بشفاعتي والواردون حوضي، وهم زوّاري غداً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عمر قبوركم وتعاهدها فكأنّما أعان سليمان بن داود على بناء بيت المقدس</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فرحة الغري أيضاً بسندين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وتدلّ على فضل البناء عليها الروايات المتكثّرة المصرّحة بالأمر بالوقوف على باب الروضة أو القبّة أو الناحية المقدّسة، والاستئذان، وتقبيل العتبة، والدعاء عند ترائي القبّة الشريفة، ونحو ذلك ممّا وردت فيه الأخبار الغير العديدة المؤذنة برضاهم بل ميلهم إلى هذه الأبنية الشريفة، والآمرة بآداب متوقّفة على وجود الباب والقبّة والعتبة الموقوفة على البناء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ينبغي الريب في تخصيص عمومات المنع بغير قبورهم، واستحباب البناء عليها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التعدّي إلى قبور من علم انتسابه بالولادة إليه من الأبرار من أولادهم؛ لاحتمال دخوله في ضمير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قبوركم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لم يعلم انتسابه إليهم وكذا غير أولادهم من العلماء والصلحاء فلا أرى لإخراجهم من عمومات الكراهة وجهاً، والقول بعدم انصرافها إليهم فاسد؛ فالقول بالكراهة فيها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المراد بالبناء المكروه ما يسمّى بناءً عرفاً، وأمّا مطلق التظليل ولو بالصناديق والضرائح والخيام والفساطيط فلا دليل على كراهته، إلاّ أنّه ذكرها جماعة كما في القواعد وعن النهاية والمصباح والوسيلة والسرائر، ولا بأس به؛ لفتاواهم مع استثناء ما إذا تعلّق به غرض صحيح كما صرّح به بعضهم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أفاد وأجاد، إلاّ أنّ دعوى أنّ إطباقهم على البناء يكون على الأكثر من السلاطين والذين لا يمكن مخالفتهم، ممنوعة؛ إذ في عهد الأئمّة الطاهرين كان السلاطين على الأكثر غير مطبقين على ذلك، بل خالفوا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قبر الرسول صلى الله عليه وآله وإن كان واقعاً في البناء في بادئ الأمر إلاّ أنّه بعد تخريب البيت وتجديده يصدق على البناء الجديد أنّه بناء على القبر الشريف كما لا يخفى، مع أنّه لم ينقل عن أحد من المسلمين 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العلامّة المجلسي عن صاحب المدارك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فيستثنى من ذلك قبور الأنبياء والأئمّة عليهم السلام؛ لإطباق الناس على البناء على قبورهم من غير نكير، واستفاضة الروايات بالترغيب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استثناء قبور العلماء والصلحاء أيضاً استضعافاً لسند المنع، والتفاتاً إلى أنّ في ذلك تعظيماً لشعائر الإسلام، وتحصيلاً لكثير من المصالح الدينية كما لا يخفى</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استضعاف سند المنع محلّ منع بعد ما عرفت من كون بعض الروايات موثّقاً، بل ترفع اليد عن الكراهة بما ثبت من الشرع من رجحانه، أو من جهة انطباق عنوان راجح عليه، كتعظيم الشعائر وتحصيل كثير من المصالح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فاللائق هو استثناء قبور الأنبياء والأئمّة عليهم السلام من كراهة البناء على القبور، كما في الذكرى وغيرها، والمقام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استحباب 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كاستحباب المقام عندها وزيارتها وتعاهدها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يكون من ضروريّات المذهب إن لم يكن الدين، فلا حاجة للاستدلال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يلحق بقبور الأئمّة عليهم السلام قبور العلماء والصلحاء وأولاد الأئمّة عليهم السلام والشهداء ونحوهم، فتستثنى أيضاً من كراهة البناء ونحوه، كما تقضي به السيرة المستمرّة، مع ما فيه من كثير من المصالح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 لإطلاق أجلاّء الأصحاب من دون استثناء</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كراهة التجصيص والتجديد فيما عدا قبور الأنبياء والأئمّة عليهم السلام؛ لإطباق السلف والخلف على فعل ذلك بها؛ لأنّ فيه تعظيماً لشعائر الله عزّ وجلّ‌، ولفوات كثير من المقاصد الدينية بترك ذلك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 بعد نقل الأخبار الناهية عن البناء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الإماميّة مطبقة على مخالفة قضيّتين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المشاهد المشرّفة، فيمكن القدح في هذه الأخبار؛ لأنّها آحاد وبعضها ضعيف الإسناد، وقد عارضها أخبار أشهر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بالبناء عليه وضرب الفسطاط يصونه ومن يزوره، أو تخصيص هذه العمومات بإجماعهم في عهود كانت الأئمّة عليهم السلام ظاهرة فيهم وبعدهم من غير نكير، وبالأخبار الدالّة على تعظيم قبورهم وعمارتها وأفضليّة الصلاة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بعض ما سيأتي من الأخبار الدالّة على فضل زيارتهم وعمارة </w:t>
      </w:r>
    </w:p>
    <w:p>
      <w:pPr>
        <w:pStyle w:val="BookText"/>
        <w:rPr/>
      </w:pPr>
      <w:r>
        <w:rPr>
          <w:rFonts w:ascii="Amiri" w:hAnsi="Amiri" w:eastAsia="Amiri" w:cs="Amiri"/>
          <w:color w:val="111111"/>
          <w:sz w:val="28"/>
          <w:sz w:val="28"/>
          <w:szCs w:val="28"/>
          <w:rtl w:val="true"/>
          <w:lang w:bidi="ar-SA"/>
        </w:rPr>
        <w:t>قبورهم وتعاهدها والصلاة عندها،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كثيرة، ومع ذلك فقبر رسول الله صلى الله عليه وآله مبنيّ عليه في أكثر الأعصار، ولم ينقل عن أحد من السلف إنكاره، بل جعلوه أنسب لتعظيمه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هنا بذكر بعض الأخبار الدالّة على وجود البناء على قبور بعض الأئمّة عليهم السلام في عهدهم من دون إنكار منهم عليه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وعليّ بن الحسين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عن أحمد بن محمّد بن عيسى، عن القاسم بن يحيى، عن الحسن بن راشد، عن الحسين بن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ويونس بن ظبيان والمفضّل بن عمر وأبو سلمة السرّاج جلوساً عند أبي عبدالله عليه السلام وكان المتكلّم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أكبرنا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أحضر مجلس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حضرتهم فذكرتنا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الرخاء والسرور، فإنّك تأتي على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كثيراً ما أذكر الحسين عليه السلام، فأىّ شيء أقول‌؟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عبدالله، تعيد ذلك ثلاثاً، فإنّ السلام يصل إليك من قريب وبعيد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اُريد أن أزوره فكيف أقول وكيف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أبا عبدالله عليه السلام فاغتسل على شاطئ الفرات، ثمّ البس ثيابك الطاهرة، ثمّ امشِ حافياً؛ فإنّك في حرم من حرم الله وحرم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بالتكبير والتهليل والتمجيد والتعظيم لله كثيراً والصلاة على محمّد وأهل بيته حتّى تصير إلى باب الحائر،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المعلوم أنّ المصير إلى باب الحائر لا يمكن بدون البناء ولو بمثل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إذا أتيت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عن أبي حمزة الثمالي 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أتيت الباب الذي يلي المشرق فقف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من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 أنّ للحائر أبواباً وسقفاً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أيضاً في زيارة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الواسطي عن أبي الحسن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من الفضل كفضل من زار والده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ولم يمكن لي الدخول داخلاً؟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من وراء الجدار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علىّ بن الحسين بإسناده عن محمّد بن إسماعيل البرمكي، عن موسى بن عبدالله النخعي أنّه قال لعليّ بن 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صلى الله عليه وآله قولاً أقوله بليغاً كاملا إذا زرت واحداً منكم،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صرت إلى الباب فقف واشهد الشهادتين وأنت على غسل، فإذا دخلت ورأيت القبر فقف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لدلالة الدخول على أنّ للقبر الشريف 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الحسين بن بابويه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قبر الحسين ماشياً كتب الله له بكلّ خطوة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أتيت باب الحائر فكبّر أربعاً، ثمّ امشِ قليلا ثمّ كبّر أربعاً، ثمّ ائتِ رأسه فقف عليه فكبّر أربعاً، وصلِّ عنده، وسل الله حاجتك</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علىّ بن محمّد الخزّاز في كتاب الكفاية عن علىّ بن الحسين، عن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النبيّ صلى الله عليه وآله أنّه أخبره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وإنّ الإجابة تحت قبّته، والشفاء في تربته، والأئمّة من ولده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فهد في عدّة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عوّض الحسين من قتله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الشفاء في تربته، وإجابة الدعاء تحت قبّته، والأئمّة من ذرّيّته، وأن لاتعدّ أيّام زائريه من أعمارهم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عدّة الداعي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الصادق عليه السلام مرض، فأمر من عنده أن يستأجروا له أجيراً يدعو عند قبر الحسين عليه السلام، فوجدوا رجلاً فقالوا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أمضي، ولكنّ الحسين إمام مفترض الطاعة وهو إمام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الصادق عليه السلام وأخبروه،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كما قال، ولكنّ ما عرف أنّ لله تعالى بقاعاً يستجاب فيها الدعاء، فتلك البقعة من تلك البقاع</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البقعة لا تدلّ على البناء؛ لإطلاقها على القطعة من الأرض،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أَتٰاهٰا </w:t>
      </w:r>
    </w:p>
    <w:p>
      <w:pPr>
        <w:pStyle w:val="BookText"/>
        <w:rPr/>
      </w:pPr>
      <w:r>
        <w:rPr>
          <w:rFonts w:ascii="Amiri" w:hAnsi="Amiri" w:eastAsia="Amiri" w:cs="Amiri"/>
          <w:color w:val="111111"/>
          <w:sz w:val="28"/>
          <w:sz w:val="28"/>
          <w:szCs w:val="28"/>
          <w:rtl w:val="true"/>
          <w:lang w:bidi="ar-SA"/>
        </w:rPr>
        <w:t>نُودِيَ مِنْ شٰاطِئِ اَلْوٰادِ اَلْأَيْمَنِ فِي اَلْبُقْعَةِ اَلْمُبٰارَكَةِ‌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أللّهمّ إلاّ أن تحمل على القبّة بقرينة سائر الأخبار،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ثواب الأعمال عن محمّد بن الحسن، عن سعد، عن أحمد بن محمّد، عن أحمد بن عبدوس،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 أبي الحسن عليه السلام ببغداد فيها مشقّة، وإنّما نأتيه فنسلّم عليه من وراء الحيطان، فما لمن زاره من الثواب‌؟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مثل ما لمن أتى قبر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عليّ بن الحسين بإسناده عن الحسن بن علىّ بن فضّال،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بخراسان لبقعة يأتي عليها زمان تصير مختلف الملائكة، فلايزال فوج ينزل من السماء وفوج يصعد إلى أن ينفخ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بقعة 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بأرض طوس، وهي والله روضة من رياض الجنّة، من زارني في تلك البقعة كان كمن زار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 البقعة لا تدلّ على البناء، ولكنّ المراد من تلك البقعة هي القبّة؛ لرواية الهروي 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القبّة التي فيها قبر هارون في دار حميد بن قحطبة،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وفيها أدفن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فراجع</w:t>
      </w:r>
      <w:r>
        <w:rPr>
          <w:rFonts w:eastAsia="Amiri" w:cs="Amiri" w:ascii="Amiri" w:hAnsi="Amiri"/>
          <w:color w:val="111111"/>
          <w:sz w:val="28"/>
          <w:szCs w:val="28"/>
          <w:rtl w:val="true"/>
          <w:lang w:bidi="ar-SA"/>
        </w:rPr>
        <w:t xml:space="preserve">. </w:t>
      </w:r>
      <w:bookmarkStart w:id="114" w:name="pg17323_405932"/>
    </w:p>
    <w:p>
      <w:pPr>
        <w:pStyle w:val="Heading2"/>
        <w:numPr>
          <w:ilvl w:val="1"/>
          <w:numId w:val="1"/>
        </w:numPr>
        <w:rPr/>
      </w:pPr>
      <w:bookmarkStart w:id="115" w:name="__RefHeading___Toc875872_1280447820"/>
      <w:bookmarkStart w:id="116" w:name="_Toc41"/>
      <w:bookmarkEnd w:id="114"/>
      <w:bookmarkEnd w:id="115"/>
      <w:r>
        <w:rPr>
          <w:rtl w:val="true"/>
        </w:rPr>
        <w:t xml:space="preserve">المسألة السادسة والعشرون </w:t>
      </w:r>
      <w:r>
        <w:rPr>
          <w:rtl w:val="true"/>
        </w:rPr>
        <w:t>«</w:t>
      </w:r>
      <w:r>
        <w:rPr>
          <w:rtl w:val="true"/>
        </w:rPr>
        <w:t>في الزنا</w:t>
      </w:r>
      <w:r>
        <w:rPr>
          <w:rtl w:val="true"/>
        </w:rPr>
        <w:t>»</w:t>
      </w:r>
      <w:bookmarkEnd w:id="116"/>
    </w:p>
    <w:p>
      <w:pPr>
        <w:pStyle w:val="BookText"/>
        <w:rPr/>
      </w:pPr>
      <w:r>
        <w:rPr>
          <w:rFonts w:ascii="Amiri" w:hAnsi="Amiri" w:eastAsia="Amiri" w:cs="Amiri"/>
          <w:color w:val="111111"/>
          <w:sz w:val="28"/>
          <w:sz w:val="28"/>
          <w:szCs w:val="28"/>
          <w:rtl w:val="true"/>
          <w:lang w:bidi="ar-SA"/>
        </w:rPr>
        <w:t>لا إشكال ولا ريب في أنّ الزنا فجور وفاحشة ومعصية كبيرة، وهو موجب للحدّ الشرعي على ما فصّل في محلّه، من دون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الوضيع والشريف والعبد والحرّ، والرجل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وعقاب الزاني والزانية في الآخرة أليم شديد، وقد ورد في ذلك آيات وروايات عديدة 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اَلزّٰانِيَةُ وَ اَلزّٰانِي فَاجْلِدُوا كُلَّ وٰاحِدٍ مِنْهُمٰا مِائَةَ جَلْدَةٍ‌ </w:t>
      </w:r>
    </w:p>
    <w:p>
      <w:pPr>
        <w:pStyle w:val="BookText"/>
        <w:rPr/>
      </w:pPr>
      <w:r>
        <w:rPr>
          <w:rFonts w:ascii="Amiri" w:hAnsi="Amiri" w:eastAsia="Amiri" w:cs="Amiri"/>
          <w:color w:val="111111"/>
          <w:sz w:val="28"/>
          <w:sz w:val="28"/>
          <w:szCs w:val="28"/>
          <w:rtl w:val="true"/>
          <w:lang w:bidi="ar-SA"/>
        </w:rPr>
        <w:t>وَ لاٰ تَأْخُذْكُمْ بِهِمٰا رَأْفَةٌ فِي دِينِ اَللّٰهِ إِنْ كُنْتُمْ تُؤْمِنُونَ بِاللّٰهِ وَ اَلْيَوْمِ اَلْآخِرِ وَ 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الصدوق قدس سره في كتاب عقاب الأعمال عن مولانا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أهبّ الله ريحاً نتنة يتأذّى بها أهل الجمع، حتّى إذا هبّت تمسك بأنفاس الناس؛ ناداهم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هذه الريح التي قد آذتكم‌؟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 آذتنا وبلغت منّا كلّ 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الريح ريح فروج الزناة الذين لقوا الله بالزنا ثمّ لم يتوبوا، فالعنوهم لعنهم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يبقى في الموقف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الزناة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أيضاً عن الإمام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للزاني ستّة خصال؛ ثلاث في الدنيا وثلاث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بنور الوجه، ويورث الفقر، ويعجّل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فيسخط الربّ‌، وسوء الحساب، والخلود في النار</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عذاباً يوم القيامة رجل أقرّ نطفته في رحم يحرم عليه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عبدالله بن بكير،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في 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فارقه روح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الذي يفارقه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كلّ ما يؤخذ في قبال هذه الفحشاء حرام وأكل للمال بالباطل، من دون فرق بين أنواع المعاملات؛ سواء كان ذلك بالإجارة أم بغيرها، بل إجارة المحلّ لهذا العمل الشنيع أو إجارة السيّارة لخصوص الذهاب إليه محرّمة،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السحت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الفواجر</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الزانية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 وثمن الكلب، ثمن الخمر، ومهر البغيّ‌، والرشوة في الحكم، وأجر الكاهن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لمن ابتلي بذلك أن يتوب ويرجع إلى الله تعالى، وأن يعيد المأخوذ من الأموال إلى مالكيها إن كانوا معلومين، أو التصدّق بها عن مالكيها للفقراء غير السادة بإذن من الحاكم الشرعي إن لم يكونوا معلومين</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7323_405940"/>
      <w:bookmarkStart w:id="118" w:name="pg17323_405940"/>
      <w:bookmarkEnd w:id="118"/>
    </w:p>
    <w:p>
      <w:pPr>
        <w:pStyle w:val="Heading2"/>
        <w:numPr>
          <w:ilvl w:val="1"/>
          <w:numId w:val="1"/>
        </w:numPr>
        <w:rPr/>
      </w:pPr>
      <w:bookmarkStart w:id="119" w:name="pg17323_405940"/>
      <w:bookmarkStart w:id="120" w:name="__RefHeading___Toc875874_1280447820"/>
      <w:bookmarkStart w:id="121" w:name="_Toc42"/>
      <w:bookmarkEnd w:id="119"/>
      <w:bookmarkEnd w:id="120"/>
      <w:r>
        <w:rPr>
          <w:rtl w:val="true"/>
        </w:rPr>
        <w:t xml:space="preserve">المسألة السابعة والعشرون </w:t>
      </w:r>
      <w:r>
        <w:rPr>
          <w:rtl w:val="true"/>
        </w:rPr>
        <w:t>«</w:t>
      </w:r>
      <w:r>
        <w:rPr>
          <w:rtl w:val="true"/>
        </w:rPr>
        <w:t>في السباب</w:t>
      </w:r>
      <w:r>
        <w:rPr>
          <w:rtl w:val="true"/>
        </w:rPr>
        <w:t>»</w:t>
      </w:r>
      <w:bookmarkEnd w:id="121"/>
    </w:p>
    <w:p>
      <w:pPr>
        <w:pStyle w:val="Heading3"/>
        <w:numPr>
          <w:ilvl w:val="2"/>
          <w:numId w:val="1"/>
        </w:numPr>
        <w:rPr/>
      </w:pPr>
      <w:bookmarkStart w:id="122" w:name="__RefHeading___Toc875876_1280447820"/>
      <w:bookmarkStart w:id="123" w:name="_Toc43"/>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والكلام في المسألة يقع في مقامات</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75878_1280447820"/>
      <w:bookmarkStart w:id="125" w:name="_Toc44"/>
      <w:bookmarkEnd w:id="124"/>
      <w:r>
        <w:rPr>
          <w:rtl w:val="true"/>
        </w:rPr>
        <w:t>المقام الأوّل</w:t>
      </w:r>
      <w:r>
        <w:rPr>
          <w:rtl w:val="true"/>
        </w:rPr>
        <w:t xml:space="preserve">: </w:t>
      </w:r>
      <w:r>
        <w:rPr>
          <w:rtl w:val="true"/>
        </w:rPr>
        <w:t>في حرمة السباب</w:t>
      </w:r>
      <w:bookmarkEnd w:id="125"/>
    </w:p>
    <w:p>
      <w:pPr>
        <w:pStyle w:val="BookText"/>
        <w:rPr/>
      </w:pPr>
      <w:r>
        <w:rPr>
          <w:rFonts w:ascii="Amiri" w:hAnsi="Amiri" w:eastAsia="Amiri" w:cs="Amiri"/>
          <w:color w:val="111111"/>
          <w:sz w:val="28"/>
          <w:sz w:val="28"/>
          <w:szCs w:val="28"/>
          <w:rtl w:val="true"/>
          <w:lang w:bidi="ar-SA"/>
        </w:rPr>
        <w:t>استدلّ لحرمة السباب بمجموعة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تَلْمِزُوا أَنْفُسَكُمْ وَ لاٰ تَنٰابَزُوا بِالْأَلْقٰابِ بِئْسَ اَلاِسْمُ اَلْفُسُوقُ بَعْدَ اَلْإِيمٰانِ‌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زبدة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يعيب بعضكم بعضاً؛ فإنّ المؤمنين كنفس واحدة، واللمز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 بعضكم بعضاً باللقب السوء الذي لا يرضى به صاحبه، النبز مختصّ باللقب السوء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الجمع بين الإيمان والفسق، فلا يطلق الفاسق على المؤمن، وفيه إشعار بعدم الاجتماع بينهما، فتأمّل</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ويحتمل أن يكون المراد من الفسوق هو ذكر المؤمنين باللقب السوء، كما لعلّه يشير إليه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فالآية 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على أنّ ذكر المؤمنين بالألقاب السيّئة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السباب قد يكون بغير ذكر اللقب السوء، فالآية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اللقب أعمّ ممّا صار عنواناً، فتشمل الآية المباركة وصف شخص بوصف يفيد السبّ والشتم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فَاجْتَنِبُوا اَلرِّجْسَ مِنَ اَلْأَوْثٰانِ 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السباب من أوضح مصاديق قول الزور، والزور هو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في مصباح الفقاهة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ذلك ما ورد من تطبيق الآية على الكذب</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الأمر بالاجتناب هو الوجوب،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فارتكاب قول الزور محرّم، كما أنّ عدم الاجتناب عن الرجس محرّم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في إرشاد الطالب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 ظاهره الباطل، فيكون قول الزور هو الكلام الباطل، واتّصافه بالبطلان يكون باعتبار معناه لا محالة، فينطبق على الكذب وما هو متضمّن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الإنشاءات التي لا تتضمّن الأخبار الكاذبة فلا يكون فيها بطلان، كما إذا قال بمسمع من الناس لإنسان غير حاذق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الكلام المزبور باعتبار </w:t>
      </w:r>
    </w:p>
    <w:p>
      <w:pPr>
        <w:pStyle w:val="BookText"/>
        <w:rPr/>
      </w:pPr>
      <w:r>
        <w:rPr>
          <w:rFonts w:ascii="Amiri" w:hAnsi="Amiri" w:eastAsia="Amiri" w:cs="Amiri"/>
          <w:color w:val="111111"/>
          <w:sz w:val="28"/>
          <w:sz w:val="28"/>
          <w:szCs w:val="28"/>
          <w:rtl w:val="true"/>
          <w:lang w:bidi="ar-SA"/>
        </w:rPr>
        <w:t>كونه هدراً لكرامة ذلك الإنسان وتنقيصاً له سبٌّ‌، ولكن لا يكون من الباطل، نظير ما إذا قال للشجاع إنّه أسد؛ فإنّه مع فرض كونه شجاعاً لا يكون من الباطل</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لتخصيص الباطل بالأخبار الكاذبة حتّى لا يشمل الإنشاءات؛ لصحّة إطلاق الباطل على صيغ المعاملات أيضاً؛ باعتبار عدم ترتّب الأثر عليها مع أنّها إنشاءات لا أخبار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بل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القاموس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والشرك بالله تعالى، وأعياد اليهود والنصارى، والرئيس، ومجلس الغناء، وما يعبد من دون الله تعالى، والقوّة، وهذه وفاق بين لغة العرب والفرس</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الموارد المذكورة تشترك في عنوان الباطل، فلا وجه لدعوى اختصاص الباطل بالأخبار الكاذبة، مع أنّ العبارة من مقولة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الاشتراك اللفظي مع صدق معنى الباطل على غالب الموارد المذكورة،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السبّ عنوان مستقلّ ولو لم يوجب التنقيص، فلا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الكلام المزبور باعتبار كونه هدراً لكرامة ذلك الإنسان وتنقيصاً له، 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وجود الشبه في الجملة بين غير الحاذق والحمار لا يوجب خروج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الباطل، فلا تغفل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الجواب عمّا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الزور هو شهادة الزور، مستشهداً بما روي عن أيمن بن حزيم عن رسول الله صلى الله عليه وآله أنّه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شهادة الزور بالشرك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يدلّ على اختصاص قول الزور بشهادة </w:t>
      </w:r>
    </w:p>
    <w:p>
      <w:pPr>
        <w:pStyle w:val="BookText"/>
        <w:rPr/>
      </w:pPr>
      <w:r>
        <w:rPr>
          <w:rFonts w:ascii="Amiri" w:hAnsi="Amiri" w:eastAsia="Amiri" w:cs="Amiri"/>
          <w:color w:val="111111"/>
          <w:sz w:val="28"/>
          <w:sz w:val="28"/>
          <w:szCs w:val="28"/>
          <w:rtl w:val="true"/>
          <w:lang w:bidi="ar-SA"/>
        </w:rPr>
        <w:t>الزور؛ إذ لعلّ ذلك من باب ذكر أحد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زبدة البيان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أنّه يدخل فيه الغناء وسائر الأقوال الملهية</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إذ لو اختصّ قول الزور بشهادة الزور لم يدخل فيه الغناء وغيره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بالآية الكريمة على وجوب الاجتناب عن سباب المؤمنين صحيح؛ لأنّه قول الزور؛ لكونه باطلا وواقعاً في غير محلّه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السباب من مصاديق السوء من القول، وهو ممّا لا يحبّه الله تعالى، وكلّ ما لا يحبّه الله تعالى في القرآن الكريم يكون من المبغوضات؛ لعدم ذكر ما لا يحبّه الله تعالى في القرآن الكريم للمباحات أو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الاستثناء من المباح لا معنى له؛ إذ الجهر بالسوء من القول ممّن ظلم جائز بلا كلام، فإذا كان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المبغوضيّة دلّت الآية الكريمة على مبغوضيّة السباب، وهي مساوقة للحرمة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للجهر بالسوء لا للسوء،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ارتكاب إنسان سوءاً يكون إظهاره جهراً بالسوء، سواء كان 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المرتكب أم غيره، وأنّ الله لا يحبّ هذا الإظهار والجهر إلاّ من المظلوم؛ فإنّه يجوز له التظلّم وإظهار ما فعله الغير في حقّه من </w:t>
      </w:r>
    </w:p>
    <w:p>
      <w:pPr>
        <w:pStyle w:val="BookText"/>
        <w:rPr/>
      </w:pPr>
      <w:r>
        <w:rPr>
          <w:rFonts w:ascii="Amiri" w:hAnsi="Amiri" w:eastAsia="Amiri" w:cs="Amiri"/>
          <w:color w:val="111111"/>
          <w:sz w:val="28"/>
          <w:sz w:val="28"/>
          <w:szCs w:val="28"/>
          <w:rtl w:val="true"/>
          <w:lang w:bidi="ar-SA"/>
        </w:rPr>
        <w:t>السوء، وهذا لا يرتبط بالسبّ أصلا، 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فارتكاب الشخص للحرام معصية وإظهار ارتكابه للناس معصية اُخرى</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للسوء؛ لقربه إليه، وجعله بياناً للجهر خلاف الظاهر والاُسلوب العربي؛ إذ لا يفصل بين البيان والمبيّن به،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الأخبار، كما حكي عن مجمع البيان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في معنى الآية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الشتم في الانتصار إلاّ من ظلم، فلا بأس أن ينتصر ممّن ظلمه بما يجوز الانتصار به في الدين، وهو المروي عن أبي جعفر عليه السلام؛ وذلك لأنّ ظاهر المروي أنّ المراد من السوء هو القول السيّئ وهو الشتم، ولا يساعد ذلك مع جعل السوء مختصّاً بسوء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ينافيه ما روي عن أبي عبدالله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من ظلم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ينزل بالرجل فلا يحسن ضيافته، فلا جناح عليه في أن يذكره بسوء ما فعله</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فإنّ الظاهر منه أنّ المراد من السوء هو سوء ما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السوء من القول يعمّ ذكر السوء من الفعل؛ لأنّ ذكر السوء من الفعل هو السوء من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فيصحّ الاستدلال بالآية للمقام ولإظهار السوء من الفعل، فتدبّر جيّداً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السوء من القول لا يشمل سباب المؤمن؛ وذلك لعدم جواز السباب من المظلوم أيضاً لأنّه معصية، والتظلّم </w:t>
      </w:r>
    </w:p>
    <w:p>
      <w:pPr>
        <w:pStyle w:val="BookText"/>
        <w:rPr/>
      </w:pPr>
      <w:r>
        <w:rPr>
          <w:rFonts w:ascii="Amiri" w:hAnsi="Amiri" w:eastAsia="Amiri" w:cs="Amiri"/>
          <w:color w:val="111111"/>
          <w:sz w:val="28"/>
          <w:sz w:val="28"/>
          <w:szCs w:val="28"/>
          <w:rtl w:val="true"/>
          <w:lang w:bidi="ar-SA"/>
        </w:rPr>
        <w:t>بالمعصية لا معنى له، وهذا بخلاف إظهار ما فعله الغير في حقّه من السوء؛ فإنّه وإن كان ممنوعاً من جهة احترام الغير، ولكنّه صار جائزاً عند توقّف التظلّم على الإظهار؛ لأهمّية التظلّم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الاعتداء بالمثل إذا كان ما فعله الظالم من الفحشاء والمنكر في نفسه؛ ولذا لا يجوز لمن اُكره على شرب الخمر أن يكره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شرب الخمر، ولكن كما أنّ إظهار المعاصي أو العيوب ليس في نفسه من المنكر وإنّما هو ممنوع من ناحية أهمّية ستر المعاصي وعدم إشاعتها واحترام نفس المؤمن، كذلك لا يكون الشتم والسبّ في نفسهما من المنكر وإنّما هما ممنوعان من ناحية احترام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تخصيص موضوع الحرمة بالمؤمن أو المسلم ممّا يشهد على أنّ وجه الحرمة هو حفظ احترام المؤمن أو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توقّف التظلّم على شتم الظالم ارتفعت الحرمة؛ لعدم احترام الظالم، ولا يكون نفس الشتم والسبّ من والفحشاء والمنكر، كما أنّ حرمة الغيبة ترتفع إذا توقّف التظلّم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تدلّ على حرمة الجهر بالسوء من القول؛ سواء كان ذلك بإظهار ما فعله الغير من العيوب أو بذكر السبّ والشتم،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الروايات على أنّ السبّ فسوق، كموثّقة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وقتاله كفر، وأكل لحمه معصية، وحرمة ماله كحرمة دمه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البرقي مثله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الصدوق مرسلاً إلى آخره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المجالس والأخبار بإسناده الآتي عن أبي ذرّ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سباب المسلم فسوق</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تدلّ على حرمة نفس السبّ ولو لم يتعنون بعنوان آخر كالظلم والإيذاء ونحوهما؛ وذلك لأنّ الفسوق هو العصيان، وترك أمر الله،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الاُخرى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بني تميم أتى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فيما أوصاه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لظهور النهي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يصلح لكون النهي إرشاداً إلى أمر آخر وهو اكتساب العداوة،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حكمة الحكم، فتأمّل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ما رواه عليّ بن إبراهيم في تفسيره، عن أبيه، عن مسعدة بن صدقة،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أخفى من دبيب النمل على صفاة سوداء في ليلة ظلماء؟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المؤمنون يسبّون ما يعبد المشركون من دون الله، وكان المشركون يسبّون ما يعبد المؤمنون، فنهى الله عن سبّ آلهتهم لكيلا يسبّ الكفّار إله المؤمنين؛ فيكون المؤمنون قد أشركوا بالله من حيث لا يعلمون،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أيضاً ما رواه الكليني بسند 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أيسر ما رضي الناس به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ألسنتكم عنهم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كالمشرف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الهلكة</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كون النهي عن السباب إرشاداً إلى أنّه إشراف على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فبعض هذه الروايات يدلّ على حرمة السباب في نفسه ولو مع قطع النظر عن سائر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وينقدح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شيخنا الأعظم قدس سره من الاستدلال على حرمة السباب بأنّه ظلم وإيذاء وإذلال</w:t>
      </w:r>
      <w:r>
        <w:rPr>
          <w:rStyle w:val="FootnoteAnchor"/>
          <w:rtl w:val="true"/>
        </w:rPr>
        <w:footnoteReference w:id="251"/>
      </w:r>
      <w:r>
        <w:rPr>
          <w:rFonts w:ascii="Amiri" w:hAnsi="Amiri" w:eastAsia="Amiri" w:cs="Amiri"/>
          <w:color w:val="111111"/>
          <w:sz w:val="28"/>
          <w:sz w:val="28"/>
          <w:szCs w:val="28"/>
          <w:rtl w:val="true"/>
          <w:lang w:bidi="ar-SA"/>
        </w:rPr>
        <w:t>وذلك لأنّ هذه العناوين المذكورة ليست من لوازم السباب؛ لإمكان تحقّق السباب بدونها كما يمكن تحقّقها بدون السباب، وعليه فالنسبة بينها وبين عنوان السباب هي العموم من وجه؛ فكلّ واحد من هذه العناوين موضوع مستقلّ‌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ابتغاء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سبّ أحد أحداً في غيابه ولم يلزم منه هون له في نظر المخاطب ولم ينقص من حقّه شيء حتّى يصدق عليه الظلم، مع قطع النظر عن حرمة سبّه، والمفروض غياب المسبوب وعدم استماعه السبّ حتّى يتأثّر ويتأذّى بذلك، فيحكم بحرمته وكونه فسوقاً؛ لموثّق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w:t>
      </w:r>
    </w:p>
    <w:p>
      <w:pPr>
        <w:pStyle w:val="BookText"/>
        <w:rPr/>
      </w:pPr>
      <w:r>
        <w:rPr>
          <w:rFonts w:ascii="Amiri" w:hAnsi="Amiri" w:eastAsia="Amiri" w:cs="Amiri"/>
          <w:color w:val="111111"/>
          <w:sz w:val="28"/>
          <w:sz w:val="28"/>
          <w:szCs w:val="28"/>
          <w:rtl w:val="true"/>
          <w:lang w:bidi="ar-SA"/>
        </w:rPr>
        <w:t xml:space="preserve">إلى أنّ الإذلال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التعرّض لعرض المؤمن وكرامته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الظلم وليس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كون العناوين المذكورة مستقلّة في تعلّق الحرمة فاللازم هو تعدّد العقوبة فيما إذا اجتمعت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عدّة من أصحابنا، عن أحمد بن محمّد بن عيسى، عن الحسن بن محبوب، عن عبد الرحمان بن الحجّاج، عن أبي الحسن موسى عليه السلام في رجلين يتسابّان‌؟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البادئ منهما أظلم، ووزره ووزر صاحبه عليه ما لم يعتذر إلى المظلوم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هو التعرّض لصورة كون كلّ واحد من الطرفين بصدد سبّ الآخر، لا أنّ أحدهما صدر منه السبّ وكان الآخر في مقام الدفاع والتظلّم؛ وإلاّ فلا مجال للتعبير بأنّ البادئ منهما أظلم؛ لدلالته على أنّ الآخر ظالم أيضاً، مع أنّه لو كان في مقام الدفاع والتظلّم لا يكون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تدلّ الرواية على حرمة السبّ بعنوان الظلم لا بعنوان نفسه، ولعلّه من جهة الملازمة بين السبّ والظلم بحسب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ووزر صاحبه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لا يكون على صاحبه شيء من الوزر،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لولا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البادئ منهما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قرينة على أنّ كلّ واحد منهما ارتكب ظلماً، وعليه فيحمل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ووزر صاحبه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وزر صاحبه عليه؛ لكونه مسبّباً لوزره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الوزر في الرواية بما إذا لم يعتذر إلى الآخر لا يمكن الأخذ </w:t>
      </w:r>
    </w:p>
    <w:p>
      <w:pPr>
        <w:pStyle w:val="BookText"/>
        <w:rPr/>
      </w:pPr>
      <w:r>
        <w:rPr>
          <w:rFonts w:ascii="Amiri" w:hAnsi="Amiri" w:eastAsia="Amiri" w:cs="Amiri"/>
          <w:color w:val="111111"/>
          <w:sz w:val="28"/>
          <w:sz w:val="28"/>
          <w:szCs w:val="28"/>
          <w:rtl w:val="true"/>
          <w:lang w:bidi="ar-SA"/>
        </w:rPr>
        <w:t>بظاهره؛ فإنّ الاعتذار إلى المظلوم في سبّه وإيقاعه في السبّ لا يوجب ارتفاع الوزر بل ارتفاعه موقوف على التوبة إلاّ أن يكون الداعي إلى اعتذاره توبته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قيد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ووزر صاحبه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إشكال فيه؛ حيث إنّ كون وزر صاحبه عليه من جهة التسبيب، فإذا اعتذر انتفى التسبيب بقاءً ولا حاجة إلى التوبة إلاّ في رفع العقوبة عمّا فعل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اعتذاره بداعي التوبة برأ من الوزرين كما أفاده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الرواية أوردها الكليني بنفس السند في باب السفه من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ووزره ووزر صاحبه عليه ما لم يتعدّ المظلوم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فيكون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يتعدّ المظلوم ما اُبيح له من مقابلته، فالمراد بوزر صاحبه الوزر التقديري ولكن هذه النسخة لا تنسجم مع قوله عليه السلام في صدر الرواية من أنّ البادئ منهما أظلم؛ إذ المقابلة بما اُبيح للمظلوم لا تكون ظلماً، ولا وزر له حتّى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ووزر صاحبه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 على الوزر التقديري خلاف الظاهر من الصدر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المازندراني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إثم سبّ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البادئ هو الحامل له على الردّ، وإن كان منتصراً فلا إثم على المنتصر؛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56"/>
      </w:r>
      <w:r>
        <w:rPr>
          <w:rFonts w:ascii="Amiri" w:hAnsi="Amiri" w:eastAsia="Amiri" w:cs="Amiri"/>
          <w:color w:val="111111"/>
          <w:sz w:val="28"/>
          <w:sz w:val="28"/>
          <w:szCs w:val="28"/>
          <w:rtl w:val="true"/>
          <w:lang w:bidi="ar-SA"/>
        </w:rPr>
        <w:t>، لكنّ الصادر منه سبّ يترتّب عليه الإثم، إلاّ أنّ الشرع أسقط منه المؤاخذة وجعلها على البادئ؛ للعلّة المتقدّمة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26" w:name="pg17323_405961"/>
    </w:p>
    <w:p>
      <w:pPr>
        <w:pStyle w:val="BookText"/>
        <w:rPr/>
      </w:pPr>
      <w:bookmarkEnd w:id="12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الإثم ممنوع بعد جواز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فإجمال الذيل لا يضرّ بدلالة الرواية على أنّ السبّ والشتم ظلم ومعصية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الواردة في تحريم الفحش والبذاء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جملة من هذه الآيات والروايات تكفي للدلالة على حرمة سباب المؤمنين، فلا تغفل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75880_1280447820"/>
      <w:bookmarkStart w:id="128" w:name="_Toc45"/>
      <w:bookmarkEnd w:id="127"/>
      <w:r>
        <w:rPr>
          <w:rtl w:val="true"/>
        </w:rPr>
        <w:t>المقام الثاني</w:t>
      </w:r>
      <w:r>
        <w:rPr>
          <w:rtl w:val="true"/>
        </w:rPr>
        <w:t xml:space="preserve">: </w:t>
      </w:r>
      <w:r>
        <w:rPr>
          <w:rtl w:val="true"/>
        </w:rPr>
        <w:t>في المراد من السباب</w:t>
      </w:r>
      <w:bookmarkEnd w:id="128"/>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المرجع في السبّ إلى العرف، وفسّره في جامع المقاصد بإسناده ما يقتضي نقصه إليه،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الوضيع والناقص، وفي كلام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 والشتم بمعنى واحد، وفي كلام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 أن تصف الشخص بما هو إزراء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فيدخل في النقص كلّ ما يوجب الأذى، كالقذف والحقير والوضيع والكلب والكافر والمرتدّ، والتعيير بشيء من بلاء الله تعالى، كالأجذم والأبرص</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إرشاد الطالب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يظهر الفرق بين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جامع المقاصد</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واضح؛ لأنّ ما في جامع المقاصد هو إسناد ما له اقتضاء النقص، بخلاف الثالث فإنّه ظاهر في كون السبّ موجباً للنقص بالفعل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المحكي عن جامع المقاصد بما عرفت من أنّ السبّ هو عنوان مستقلّ للحرمة ولو لم يوجب التنقيص بالفعل أو لم يتعنون بعنوان آخر كالظلم والإيذاء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اقتضاء التنقيص، فلفظ الوضيع أو الناقص ونحوهما له اقتضاء النقص؛ ولذا يصحّ أن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 أعمّ من الظلم أو الإيذاء أو الإهانة أو التحقير أو التنقيص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ما في بعض العبائر من أنّ حقيقة السبّ هي الإهانة بالتنقيص سواء كان بالقذف أو بالوصف بمثل الحمار والكلب، وأمّا الإهانة بغير التنقيص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يخاطبه على وجه يعدّ إهانة ولم يكن فيه تنقيص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ليس بسبّ‌؛ لما عرفت من كفاية الاقتضاء للتنقيص في صدق السبّ‌، ولا يتوقّف على حصول التنقيص بالفعل، فلو لم يحصل تنقيص بالفعل مع إسناد الوضيع أو الحمار أو الكلب إليه صدق عليه السبّ والشتم؛ لأنّه ممّا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وجه لاعتبار قصد الإهانة؛ لصدق السبّ والشتم بدونه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ينقدح ما في كلام الشيخ قدس سره من أنّه يعتبر فيه قصد الإهانة والنقص؛ وذلك لما عرفت من صدق السبّ والشتم بذكر ما فيه اقتضاء النقص والإهانة ولو لم يحصلا أو لم يقصدا من ذكره، وكلّ ذلك للصدق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 والشتم يراد بهما التعيير بذكر ما فيه اقتضاء الإهانة والتنقيص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قيّد السبّ بوصف الوجيع، والمراد منه دخالة الإيلام والإيجاع في معنى السبّ والشتم، مع أنّه كما ترى؛ لأنّ الشتم والسبّ أعمّ ولا وجه لتقييده ببعض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يرجع إليه ما في لسان العرب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عيّر بالبخل، 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w:t>
      </w:r>
      <w:r>
        <w:rPr>
          <w:rStyle w:val="FootnoteAnchor"/>
          <w:rtl w:val="true"/>
        </w:rPr>
        <w:footnoteReference w:id="260"/>
      </w:r>
      <w:r>
        <w:rPr>
          <w:rFonts w:ascii="Amiri" w:hAnsi="Amiri" w:eastAsia="Amiri" w:cs="Amiri"/>
          <w:color w:val="111111"/>
          <w:sz w:val="28"/>
          <w:sz w:val="28"/>
          <w:szCs w:val="28"/>
          <w:rtl w:val="true"/>
          <w:lang w:bidi="ar-SA"/>
        </w:rPr>
        <w:t>لأنّه اعتبر التعيير في صدق السبّ والشتم، لا حصول النقص والإهانة فالمعتبر في صدق السبّ هو التعيير بذكر ما فيه اقتضاء الإهانة والتنقيص ولو لم يلازم الظلم أو الإيذاء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المواجهة مع المسبوب لا تعتبر في صدق السبّ‌؛ لوضوح صدقه من دونها، فيقع الكلام حينئذ في الفرق بينه وبين الغيبة، وهو واضح، فإنّ الغيبة إظهار لما ستره الله تعالى، </w:t>
      </w:r>
    </w:p>
    <w:p>
      <w:pPr>
        <w:pStyle w:val="BookText"/>
        <w:rPr/>
      </w:pPr>
      <w:r>
        <w:rPr>
          <w:rFonts w:ascii="Amiri" w:hAnsi="Amiri" w:eastAsia="Amiri" w:cs="Amiri"/>
          <w:color w:val="111111"/>
          <w:sz w:val="28"/>
          <w:sz w:val="28"/>
          <w:szCs w:val="28"/>
          <w:rtl w:val="true"/>
          <w:lang w:bidi="ar-SA"/>
        </w:rPr>
        <w:t>بخلاف السبّ فإنّه قد يتحقّق من دون أن يكون إظهاراً لما ستره الله تعالى؛ كأن يخاطب المسبوب بصفة ظاهرة مع التعيير بها، كما أنّ الغيبة قد تتحقّق من دون تعيير، كأن يظهر عيبه المستور بلا قصد التعيير كالمستشار، وقد يجتمعان كما إذا عيّره بإظهار المستور، وعليه فالنسبة بينهما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المحقّق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السبّ والغيبة هي التباين؛ فإنّ السبّ هو ما كان بقصد الإنشاء، وأمّا الغيبة فجملة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مصباح الفقاهة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هذه التفرقة؛ فإنّ كلاًّ منهما يتحقّق بكلّ من الإنشاء والإخبار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السبّ بالتعيير بالآثار عن وجود شخص فاسق في آباء فرد أو وجود رذيلة في صفات أحد، كما يمكن أن يكون بالتعيير بوصف مشهود كالعمى الذي يكون من الإنشاءات، ولكنّ الغيبة لابدّ أن تكون بالإخبار عن عيب مستور ولا تتصوّر بالإنشاء 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 بالتعيير بالإخبار يكون التعيير دخيلاً في تحقّق السبّ لا الإخبار، وعليه فالسبّ من مقولة الإنشاء لا من مقولة الإخبار، كما أنّ الغيبة من مقولة الإخبار،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التباين المذكور لا يمنع من كون النسبة بينهما في الصدق من باب العموم من وجه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الفرق بين السبّ واللعن واضح؛ فإنّهما وإن كانا من مقولة الإنشاء ولكن اللعن من مقولة الدعاء عليهم، بخلاف السبّ فإنّه ليس دعاء عليهم فيستحقّ اللعن الظالمون والمنكرون والملحدون والذين يؤذون الله ورسوله، كما نصّ عليه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129" w:name="pg17323_405967"/>
    </w:p>
    <w:p>
      <w:pPr>
        <w:pStyle w:val="BookText"/>
        <w:rPr/>
      </w:pPr>
      <w:bookmarkEnd w:id="129"/>
      <w:r>
        <w:rPr>
          <w:rFonts w:ascii="Amiri" w:hAnsi="Amiri" w:eastAsia="Amiri" w:cs="Amiri"/>
          <w:color w:val="111111"/>
          <w:sz w:val="28"/>
          <w:sz w:val="28"/>
          <w:szCs w:val="28"/>
          <w:rtl w:val="true"/>
          <w:lang w:bidi="ar-SA"/>
        </w:rPr>
        <w:t>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875882_1280447820"/>
      <w:bookmarkStart w:id="131" w:name="_Toc46"/>
      <w:bookmarkEnd w:id="130"/>
      <w:r>
        <w:rPr>
          <w:rtl w:val="true"/>
        </w:rPr>
        <w:t>المقام الثالث</w:t>
      </w:r>
      <w:r>
        <w:rPr>
          <w:rtl w:val="true"/>
        </w:rPr>
        <w:t xml:space="preserve">: </w:t>
      </w:r>
      <w:r>
        <w:rPr>
          <w:rtl w:val="true"/>
        </w:rPr>
        <w:t>في المسبوب</w:t>
      </w:r>
      <w:bookmarkEnd w:id="131"/>
    </w:p>
    <w:p>
      <w:pPr>
        <w:pStyle w:val="BookText"/>
        <w:rPr/>
      </w:pPr>
      <w:r>
        <w:rPr>
          <w:rFonts w:ascii="Amiri" w:hAnsi="Amiri" w:eastAsia="Amiri" w:cs="Amiri"/>
          <w:color w:val="111111"/>
          <w:sz w:val="28"/>
          <w:sz w:val="28"/>
          <w:szCs w:val="28"/>
          <w:rtl w:val="true"/>
          <w:lang w:bidi="ar-SA"/>
        </w:rPr>
        <w:t>قال في المواهب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سبّ المؤمن حرام من غير فرق بين الموافق والمخالف؛ لما عرفت من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وقتاله كفر، وأكل لحمه معصية، وحرمة ماله كحرمة دمه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المؤمن هو الذي آمن بكلّ ما لزم الاعتقاد به ممّا نزل من الله تعالى وحكم به العقل، ومن المعلوم أنّ من لم يؤمن ببعض ما أنزل الله إلى رسوله وحكم به العقل لم يصدق عليه المؤمن بوصف الإطلاق، وعدم صدق المؤمن عليه ليس من جهة اختلاف المفهوم بل من جهة اختلاف المصداق؛ فإنّ مصداق ما نزل من الله تعالى عند ظهور الإسلام كان منحصراً في قلائل من الاُمور، بخلافه عند رحلة النبيّ صلى الله عليه وآله، فإنّه صار كثيراً غاية الكثرة، والمؤمن هو الذي آمن بجميع ما نزل منه وحكم به العقل من دون تفرقة في ذلك، ولا يطلق المؤمن على وجه الإطلاق لو آمن ببعض وكفر ببعض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الاعتقاد إجمالاً بما نزل منه تعالى وحكم به العقل في صدق المؤمن وإن أخطأ في التطبيق، وعليه يصدق على جميع المستضعفين من المسلمين الذين يؤمنون بما نزل منه تعالى وحكم به العقل إجمالاً أنّهم مؤمنون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جملة من الأخبار الكثيرة هو لزوم المعرفة التفصيلية في صدق </w:t>
      </w:r>
    </w:p>
    <w:p>
      <w:pPr>
        <w:pStyle w:val="BookText"/>
        <w:rPr/>
      </w:pPr>
      <w:r>
        <w:rPr>
          <w:rFonts w:ascii="Amiri" w:hAnsi="Amiri" w:eastAsia="Amiri" w:cs="Amiri"/>
          <w:color w:val="111111"/>
          <w:sz w:val="28"/>
          <w:sz w:val="28"/>
          <w:szCs w:val="28"/>
          <w:rtl w:val="true"/>
          <w:lang w:bidi="ar-SA"/>
        </w:rPr>
        <w:t>الإيمان، ولا يكفي للمتمكّن منها المعرفة الإجمالية، ومن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امامه مات ميتة جاهلية</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الإجمالي لا يكفي في صدق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بحسب الواقع ونفس الأمر، ولكنّ مقتضى بعض الأخبار أنّ غير المؤمنين من طوائف المسلمين محكومون بجميع أحكام الإسلام بحسب الظاهر، وعليه فلا فرق بينهم وبين المؤمنين في حرمة السبّ‌، ومن جملة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حمران بن أعين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 في القلب، وأفضى به إلى الله عزّ وجلّ‌، وصدّقه العمل بالطاعة لله والتسليم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قول أو فعل، وهو الذي عليه جماعة الناس من الفرق كلّها، وبه حقنت الدماء، وعليه جرت المواريث، وجاز النكاح، واجتمعوا على الصلاة والزكاة والصوم والحجّ‌، فخرجوا بذلك من الكفر واُضيفوا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لا يشرك الإيمان، والإيمان يشرك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للمؤمن فضل على المسلم في شيء من الفضائل والأحكام والحدود وغير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هما يجريان في ذلك مجرىً واحداً، ولكن للمؤمن فضل على المسلم في أعمالهما وما يتقرّبان به إلى الله عزّ وجلّ‌</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تدلّ على أنّ المؤمن والمسلم مشتركان في الأحكام عدا ما خرج بالأدلّة والنصوص، هذا مضافاً إلى تعليل التعزير في الافتراء على المملوك في موثّقة أبي بصير بحرمة الإسلام</w:t>
      </w:r>
      <w:r>
        <w:rPr>
          <w:rStyle w:val="FootnoteAnchor"/>
          <w:rtl w:val="true"/>
        </w:rPr>
        <w:footnoteReference w:id="266"/>
      </w:r>
      <w:r>
        <w:rPr>
          <w:rFonts w:ascii="Amiri" w:hAnsi="Amiri" w:eastAsia="Amiri" w:cs="Amiri"/>
          <w:color w:val="111111"/>
          <w:sz w:val="28"/>
          <w:sz w:val="28"/>
          <w:szCs w:val="28"/>
          <w:rtl w:val="true"/>
          <w:lang w:bidi="ar-SA"/>
        </w:rPr>
        <w:t>، وإلى تحريم تعيير المسلم وغيبته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فحرمة السباب تعمّ المسلم من الموافق والمخالف ولو بحسب الظاهر،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اختصاص الموضوع بالمؤمنين والمسلمين هو عدم شمول الآيات والروايات لغير المؤمنين والمسلمين من الكفّار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الناس فتكتسبوا العداو ة بينهم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لإثبات حرمة السبّ بالنسبة إليهم؛ لأنّ النهي فيه ليس مولويّاً؛ لظهوره في الإرشاد، فهو تابع لما يرشد إليه؛ فإن كان محرّماً فالسبّ محرّم،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تذييله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اَلاِسْمُ اَلْفُسُوقُ بَعْدَ اَلْإِيمٰانِ‌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لا يشمل غير المؤمن والمسلم؛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اَلاِسْمُ اَلْفُسُوقُ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للقرينية على أنّ المراد هو التنابز بالألقاب بالنسبة إلى المؤمن والمسلم لا المشرك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بالنسبة إلى غير المسلمين والمؤمنين؛ إذ مع عدم الكرامة للكفّار والمشركين لا يكون السبّ في حقّهم باطلا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أنّ السوء من القول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لا يشمل غير المؤمنين من الكفّار والمشركين؛ لأنّ سبّهم </w:t>
      </w:r>
    </w:p>
    <w:p>
      <w:pPr>
        <w:pStyle w:val="BookText"/>
        <w:rPr/>
      </w:pPr>
      <w:r>
        <w:rPr>
          <w:rFonts w:ascii="Amiri" w:hAnsi="Amiri" w:eastAsia="Amiri" w:cs="Amiri"/>
          <w:color w:val="111111"/>
          <w:sz w:val="28"/>
          <w:sz w:val="28"/>
          <w:szCs w:val="28"/>
          <w:rtl w:val="true"/>
          <w:lang w:bidi="ar-SA"/>
        </w:rPr>
        <w:t>وشتمهم مع ما هم عليه من الكفر والإلحاد والصدّ عن سبيل الله وقتل المسلمين ليس سوءاً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أنّهم ظلمونا، وذكرهم بالسوء من القول من قِبل المسلمين يكون داخلاً في المستثنى؛ أي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وبالجملة، تختصّ الأدلّة من الآيات والروايات بسبّ المؤمنين والمسلمين، ولا تشمل غيرهم من الكفّار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سبّهم في الآيات والروايات فمن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اَلْكَلْبِ‌</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إطلاق أدلّة السبّ فليحمل على غير الكفّار والمشركين؛ جمعاً بينه وبين الأدلّة الدالّة على سبّهم وشتمهم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أنّ سبّ الكفّار والمشركين ليس محكوماً بالحرمة في نفسه فلا يذهب عليك أنّ حكمه في نفسه هو الكراهة، كما يؤيّد ذلك بل يشهد له 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كلام له وقد سمع قوماً من أصحابه يسبّون أهل الشام أيّام حربهم بصفّين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أكره أن تكونوا سبّابين، ولكنّكم لو وصفتم أعمالهم وذكرتم حالهم كان أصوب في القول وأبلغ في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ابتغاء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يبعد أن يقال بكراهة سبّ غير المؤمن إذا لم يترتّب عليه </w:t>
      </w:r>
    </w:p>
    <w:p>
      <w:pPr>
        <w:pStyle w:val="BookText"/>
        <w:rPr/>
      </w:pP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يكون سبّهم محكوماً بالحرمة من جهة كونه سبباً للعداو ة أو سبّ المقدّسات، كما لعلّه يدلّ عليه صحيحة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بني تميم أتى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فيما أوصاه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سبّ مجوسيّاً بحضرة أبي عبدالله عليه السلام، فزبره ونهاه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تزوّج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ذلك عندهم النكاح‌؟</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أنّ الممنوع هو السبّ في العلن أو مظانّ سماعهم، فإنّه يكون سبباً للعداو ة وسبّ المقدّسات، ويؤيّده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وسبّ أعداء الله حيث يسمعونكم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ينبغي لكم أن تعلموا حدّ سبّهم لله كيف هو؟ إنّه من سبّ أولياء الله فقد انتهك سبّ الله، ومن أظلم عند الله ممّن استسبّلله وأولياء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 فاتّبعوا أمر الله، ولا حول ولا قوّة إلاّ بالله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ذلك بصحيحة هشام بن سالم، عن حبيب السجستاني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التوراة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ناجى الله عزّ وجلّ به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اكتم مكتوم سرّي في سريرتك، وأظهر في علانيتك المداراة عنّي لعدوّي وعدوّك من خلقي، ولا تستسبّ لي عندهم بإظهار </w:t>
      </w:r>
      <w:bookmarkStart w:id="132" w:name="pg17323_405977"/>
    </w:p>
    <w:p>
      <w:pPr>
        <w:pStyle w:val="BookText"/>
        <w:rPr/>
      </w:pPr>
      <w:bookmarkEnd w:id="132"/>
      <w:r>
        <w:rPr>
          <w:rFonts w:ascii="Amiri" w:hAnsi="Amiri" w:eastAsia="Amiri" w:cs="Amiri"/>
          <w:color w:val="111111"/>
          <w:sz w:val="28"/>
          <w:sz w:val="28"/>
          <w:szCs w:val="28"/>
          <w:rtl w:val="true"/>
          <w:lang w:bidi="ar-SA"/>
        </w:rPr>
        <w:t>مكتوم سرّي؛ فتشرك عدوّي وعدوّك في سبّي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وبالمروي عن عيون الأخبار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مثالب</w:t>
      </w:r>
      <w:r>
        <w:rPr>
          <w:rStyle w:val="FootnoteAnchor"/>
          <w:rtl w:val="true"/>
        </w:rPr>
        <w:footnoteReference w:id="282"/>
      </w:r>
      <w:r>
        <w:rPr>
          <w:rFonts w:ascii="Amiri" w:hAnsi="Amiri" w:eastAsia="Amiri" w:cs="Amiri"/>
          <w:color w:val="111111"/>
          <w:sz w:val="28"/>
          <w:sz w:val="28"/>
          <w:szCs w:val="28"/>
          <w:rtl w:val="true"/>
          <w:lang w:bidi="ar-SA"/>
        </w:rPr>
        <w:t>أعدائنا بأسمائهم سبّونا بأسمائنا،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875884_1280447820"/>
      <w:bookmarkStart w:id="134" w:name="_Toc47"/>
      <w:bookmarkEnd w:id="133"/>
      <w:r>
        <w:rPr>
          <w:rtl w:val="true"/>
        </w:rPr>
        <w:t>المقام الرابع</w:t>
      </w:r>
      <w:r>
        <w:rPr>
          <w:rtl w:val="true"/>
        </w:rPr>
        <w:t xml:space="preserve">: </w:t>
      </w:r>
      <w:r>
        <w:rPr>
          <w:rtl w:val="true"/>
        </w:rPr>
        <w:t>في تبعات السبّ‌</w:t>
      </w:r>
      <w:bookmarkEnd w:id="134"/>
    </w:p>
    <w:p>
      <w:pPr>
        <w:pStyle w:val="BookText"/>
        <w:rPr/>
      </w:pPr>
      <w:r>
        <w:rPr>
          <w:rFonts w:ascii="Amiri" w:hAnsi="Amiri" w:eastAsia="Amiri" w:cs="Amiri"/>
          <w:color w:val="111111"/>
          <w:sz w:val="28"/>
          <w:sz w:val="28"/>
          <w:szCs w:val="28"/>
          <w:rtl w:val="true"/>
          <w:lang w:bidi="ar-SA"/>
        </w:rPr>
        <w:t>لا يخفى أنّ السبّ موجب للتعزير غالباً أو للحدّ أحياناً، ويختلف مقدار التعزير بحسب ما يراه الحاكم الشرعي، وإذا كان المسبوب هو النبيّ صلى الله عليه وآله أو أهل بيته عليهم السلام كان السابّ محكوماً بالقتل وإن كان من بعض طوائف المسلمين، ولا خلاف في ذلك، بل الإجماع بقسميه عليه، وتدلّ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الدالّة على أنّه موجب للتعزير أو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سبّ رجلاً بغير قذف به، هل يجلد؟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تعزير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لم يكن يحدّ في التعريض حتّى يأتي بالفرية المصرّحة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 أو يا ابن الزانية، أو لست </w:t>
      </w:r>
    </w:p>
    <w:p>
      <w:pPr>
        <w:pStyle w:val="BookText"/>
        <w:rPr/>
      </w:pPr>
      <w:r>
        <w:rPr>
          <w:rFonts w:ascii="Amiri" w:hAnsi="Amiri" w:eastAsia="Amiri" w:cs="Amiri"/>
          <w:color w:val="111111"/>
          <w:sz w:val="28"/>
          <w:sz w:val="28"/>
          <w:szCs w:val="28"/>
          <w:rtl w:val="true"/>
          <w:lang w:bidi="ar-SA"/>
        </w:rPr>
        <w:t>لأبيك</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الجرّاح المدائني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أنت خنزير فليس فيه حدّ، ولكن فيه موعظة وبعض العقوبة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مريم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في الهجاء التعزير</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 الدالّة على كونه موجباً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عن أبي عبدالله عليه السلام أنّه سئل عمّن شتم رسول الله صلى الله عليه وآله‌؟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الأدنى فالأدنى قبل أن يرفع إلى الإمام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يقيّد ذلك بما إذا لم يكن خوف على نفسه، كما تدلّ عليه 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هذيل كان يسبّ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الآن سبّ النبيّ صلى الله عليه وآله أيقتل‌؟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تخف على نفسك فاقتله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بما إذا لم يكن موجباً لقتل بريء، كما تدلّ عليه صحيحة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سبّابة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الدم والله لولا أن تعمّ به بريئاً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يعمّ به بريئاً؟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مؤمن بكافر</w:t>
      </w:r>
      <w:r>
        <w:rPr>
          <w:rFonts w:eastAsia="Amiri" w:cs="Amiri" w:ascii="Amiri" w:hAnsi="Amiri"/>
          <w:color w:val="111111"/>
          <w:sz w:val="28"/>
          <w:szCs w:val="28"/>
          <w:rtl w:val="true"/>
          <w:lang w:bidi="ar-SA"/>
        </w:rPr>
        <w:t xml:space="preserve">...» </w:t>
      </w:r>
      <w:bookmarkStart w:id="135" w:name="pg17323_405981"/>
    </w:p>
    <w:p>
      <w:pPr>
        <w:pStyle w:val="BookText"/>
        <w:rPr/>
      </w:pPr>
      <w:bookmarkEnd w:id="135"/>
      <w:r>
        <w:rPr>
          <w:rFonts w:ascii="Amiri" w:hAnsi="Amiri" w:eastAsia="Amiri" w:cs="Amiri"/>
          <w:color w:val="111111"/>
          <w:sz w:val="28"/>
          <w:sz w:val="28"/>
          <w:szCs w:val="28"/>
          <w:rtl w:val="true"/>
          <w:lang w:bidi="ar-SA"/>
        </w:rPr>
        <w:t>الحديث</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يذهب عليك أنّ السيّد المحقّق الخوئي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ويلحق بسبّ النبيّ صلى الله عليه وآله سبّ الأئمّة عليهم السلام وسبّ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خلاف بين الأصحاب، بل ادّعي عليه الإجماع بقسميه؛ وذلك لما علم من الخارج بالضرورة أنّ الأئمّة عليهم السلام والصدّيقة الطاهرة بمنزلة نفس النبيّ صلى الله عليه وآله، وأنّ حكمهم عليهم السلام حكمه صلى الله عليه وآله، وكلّهم يجرون مجرى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بصحيحة هشام بن سالم الواردة في سبّابة عليّ عليه السلام وصحيحة داود بن فرقد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صحيحة داود بن فرقد تناولت الناصب لا السابّ‌، وأمّا صحيحة هشام بن سالم فلها ذيل يدلّ على عدم التعرّض لمن يذكر أبا عبدالله ويؤذي أصحابه، ولعلّ الذيل محمول على عدم السبّ والنصب أو على صورة إثارة الفتنة لو قتله، وكيف كان فالمسألة واضحة؛ لكون الأئمّة عليهم السلام وسيّدتنا فاطمة عليها السلام في حكم النبيّ صلى الله عليه وآله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صحيحة هشام بن سالم الواردة في سبّابة عليّ عليه السلام،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السبّ عند التقيّة كما نصّت عليه معتبرة ابن أبي عمير، عن جميل،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التقيّة، فوالله لقد علم أنّ هذه الآية نزلت في عمّار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875886_1280447820"/>
      <w:bookmarkStart w:id="137" w:name="_Toc48"/>
      <w:bookmarkEnd w:id="136"/>
      <w:r>
        <w:rPr>
          <w:rtl w:val="true"/>
        </w:rPr>
        <w:t>المقام الخامس</w:t>
      </w:r>
      <w:r>
        <w:rPr>
          <w:rtl w:val="true"/>
        </w:rPr>
        <w:t xml:space="preserve">: </w:t>
      </w:r>
      <w:r>
        <w:rPr>
          <w:rtl w:val="true"/>
        </w:rPr>
        <w:t>في موارد الاستثناء</w:t>
      </w:r>
      <w:bookmarkEnd w:id="13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المتجاهر بالفسق،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يستثنى من المؤمن المظاهر </w:t>
      </w:r>
    </w:p>
    <w:p>
      <w:pPr>
        <w:pStyle w:val="BookText"/>
        <w:rPr/>
      </w:pPr>
      <w:r>
        <w:rPr>
          <w:rFonts w:ascii="Amiri" w:hAnsi="Amiri" w:eastAsia="Amiri" w:cs="Amiri"/>
          <w:color w:val="111111"/>
          <w:sz w:val="28"/>
          <w:sz w:val="28"/>
          <w:szCs w:val="28"/>
          <w:rtl w:val="true"/>
          <w:lang w:bidi="ar-SA"/>
        </w:rPr>
        <w:t>بالفسق؛ لما سيجيء في الغيبة من أنّه لا حرمة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جواز سبّه كونه من باب النهي عن المنكر فيشترط بشروطه أم لا؟ ظاهر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والأحوط الأوّل</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الاستثناءَ في المقام متفرّعاً على استثنائه في الغيبة محلُّ تأمّل؛ و ذلك لما ذكره السيّد المحقّق الخوئي قدس سره في مسألة الغيبة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معتبر على جواز غيبة المتجاهر بالفسق ليكون مقيّداً للإطلاقات الدالّة على حرمة الغيبة مطلقاً، بل وجه تجويز غيبة المتجاهر فيما تظاهر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خروجه عن حدود الغيبة تخصّصاً وموضوعاً؛ لأنّه كشف ستره بنفسه بالتظاهر قبل أن يكشفه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مورد للغيبة كما لا يخفى</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إنّه في المقام ليس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مقيّداً بعدم التظاهر بالفسق، فجواز الغيبة فيما تجاهر به لا يلازم جواز السبّ‌؛ لأنّ موضوع السبّ لا يرتفع بالتجاهر، بخلاف موضوع الغيبة فإنّه يرتفع بالتجاهر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كرامة المؤمن بالتجاهر ترتفع ومع ارتفاعها يجوز الغيبة والسبّ‌،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تكون الكرامة من ناحية إيمانه لا من جهة عدم المعصية وعدم التجاهر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عدم جواز السبّ بالمعاصي التي لم يتجاهر بها بطريق أولى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تجويز سبّ المتجاهر من باب الأمر بالمعروف والنهي عن المنكر فمشروط بوجود شرائطهما المذكورة في باب الأمر بالمعروف والنهي عن المنكر، ومعنى ذلك أنّه بمجرّد التجاهر لا يجوز السبّ‌، بل لوتوقّف الانتهاء عن المعصية عليه لكان سبّه بما </w:t>
      </w:r>
    </w:p>
    <w:p>
      <w:pPr>
        <w:pStyle w:val="BookText"/>
        <w:rPr/>
      </w:pPr>
      <w:r>
        <w:rPr>
          <w:rFonts w:ascii="IRNazanin" w:hAnsi="IRNazanin" w:eastAsia="IRNazanin"/>
          <w:color w:val="111111"/>
          <w:sz w:val="28"/>
          <w:sz w:val="28"/>
          <w:szCs w:val="28"/>
          <w:rtl w:val="true"/>
          <w:lang w:bidi="fa-IR"/>
        </w:rPr>
        <w:t>تجاهر به جائزاً إذا تمّت سائر 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كما دلّت عليه الروايات المتعدّدة،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سرحان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w:t>
      </w:r>
      <w:r>
        <w:rPr>
          <w:rStyle w:val="FootnoteAnchor"/>
          <w:rtl w:val="true"/>
        </w:rPr>
        <w:footnoteReference w:id="296"/>
      </w:r>
      <w:r>
        <w:rPr>
          <w:rFonts w:ascii="Amiri" w:hAnsi="Amiri" w:eastAsia="Amiri" w:cs="Amiri"/>
          <w:color w:val="111111"/>
          <w:sz w:val="28"/>
          <w:sz w:val="28"/>
          <w:szCs w:val="28"/>
          <w:rtl w:val="true"/>
          <w:lang w:bidi="ar-SA"/>
        </w:rPr>
        <w:t>، وباهتوهم كيلا يطمعوا في الفساد في الإسلام، ويحذرهم الناس ولا يتعلّمون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اقتضت التقيّة، كما نصّت عليه معتبرة ابن أبي عمير، عن جميل،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التقيّة، فوالله لقد علم أنّ هذه الآية نزلت في عمّار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و مُطْمَئِنٌّ بِالْإِيمٰانِ‌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يتأثّر المسبوب من السبّ‌، كقول الوالد لولده أو السيّد لعبده عند مشاهدة 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 وعند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ونحو ذلك، وهذا هو الظاهر من شيخنا الأعظم قدس سره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السيّد المحقّق الخوئي قدس سره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الإطلاقات المتقدّمة أنّ سبّ المؤمن حرام مطلقاً سواء تأثّر أم لم يتأثّر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لم يوجب إهانة المسبوب في نظر العرف كان خارجاً عن عنوان السبّ‌ </w:t>
      </w:r>
    </w:p>
    <w:p>
      <w:pPr>
        <w:pStyle w:val="BookText"/>
        <w:rPr/>
      </w:pPr>
      <w:r>
        <w:rPr>
          <w:rFonts w:ascii="Amiri" w:hAnsi="Amiri" w:eastAsia="Amiri" w:cs="Amiri"/>
          <w:color w:val="111111"/>
          <w:sz w:val="28"/>
          <w:sz w:val="28"/>
          <w:szCs w:val="28"/>
          <w:rtl w:val="true"/>
          <w:lang w:bidi="ar-SA"/>
        </w:rPr>
        <w:t>موضوعاً؛ لما عرفت من اعتبار الإهانة والاستنقاص في مفهوم السبّ‌</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أفاد وأجاد في أنّ المعيار ليس هو التأثّر وعدمه، بل مقتضى إطلاق الأدلّة هو حرمة السبّ وإن لم يتأثّر المسبوب، وأمّا ما أفاده من اعتبار الإهانة والاستنقاص في مفهوم السبّ فقد عرفت ما فيه؛ من أنّ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إسناد ما يقتضي النقص إليه، مثل الوضيع والناقص، لا فعليّة النقص والإهانة، وعليه فكلّ ما يقتضي النقص من لفظ أو عبارة يكون محرّماً وإن لم يتأثّر المسبوب ولم يحصل النقص والإهانة بالفعل بجهة من الجهات؛ إذ مع اقتضاء النقص والإهانة لم يسلب عنه عنوان السبّ‌، ومع صدق عنوان السبّ يشمله إطلاق الأدلّة الدالّة على حرمة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يحرم لو كان اللفظ المذكور عند العرف غير مقتض للنقص والإهانة أصلاً بحيث لا يطلق عليه عنوان السبّ‌، فلا تشمله الأدلّة الدالّة على حرمة السبّ‌، كما إذا تكلّم به حبّاً لولده بتشبيهه بحيوان في كثرة الحركة وشدّتها مثلاً، أو إذا تكلّم به حبّاً لزوجته بما يستقبح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إرشاد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فمقتضى موثّقة أبي بصير المتقدّمة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لم يعدّ الكلام المزبور من المولى أو الأب سبّاً وإهانةً‌، كما إذا تكلّم به حبّاً لولده، فيكون نظير ما إذا قال لزوجته ما يستقبح ذكره للغير في عدم كونه هدراً للكرامة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الوالد أو المعلّم في مقام التأديب وتوقّف ذلك على السبّ‌، فإنّ اللفظ المذكور حينئذ وإن كان مقتضياً للنقص ولكن يجوز ذكره لأهمّية التأديب؛ إذ مع أهمّية التأديب تسقط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في هذه الصورة تتزاحم حرمة السبّ مع الأهمّ‌، </w:t>
      </w:r>
    </w:p>
    <w:p>
      <w:pPr>
        <w:pStyle w:val="BookText"/>
        <w:rPr/>
      </w:pPr>
      <w:r>
        <w:rPr>
          <w:rFonts w:ascii="Amiri" w:hAnsi="Amiri" w:eastAsia="Amiri" w:cs="Amiri"/>
          <w:color w:val="111111"/>
          <w:sz w:val="28"/>
          <w:sz w:val="28"/>
          <w:szCs w:val="28"/>
          <w:rtl w:val="true"/>
          <w:lang w:bidi="ar-SA"/>
        </w:rPr>
        <w:t>ومقتضاه سقوط الحرمة عن الفعلية، وإن كان المتزاحم مساوياً معه أوجب التخيير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مع التزاحم بالأهمّ أو المساوي والحكم بسقوط الحرمة أو التخيير لا مجال للتقييد بما إذا لم يكن موجباً للإيذاء؛ لارتفاع حرمة الإيذاء أيضاً من ناحية التزاحم، فيجوز السبّ لو توقّف التأديب عليه ولو صار ذلك موجباً لإيذائه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أنّه لا دليل على تجويز السبّ للمعلّم أو الوالد مطلقاً ولو لم يكن لغرض التأديب؛ لأنّ السبّ مقتض للنقص والإهانة ولو كان من معلّم أو والد، ومع الاقتضاء المذكور يطلق عليه السبّ‌، فتشمله العمومات الدالّة على حرمة السبّ‌، والتأثّر وعدمه لا دخل لهما في صدق السبّ وعدمه، بل يكفي في صدقه اقتضاء النقص والإهانة، وهو موجود في سبّ الوالد أو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على جواز السبّ للوالد مطلقاً بمثل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استمرار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سديد؛ لأنّ الأوّل راجع إلى الجهات الأخلاقية الناشئة من الجهات التكوينية؛ فإنّ الولد بحسب التكوين من المواهب الإلهية للوالد، فلا يناسبه أن يعارض أباه في تصرّفاته؛ وإلاّ فمن الواضح أنّ الولد ليس بمملوك لوالده، 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التصرّف فيما يرجع إلى الأولاد تصرُّفَ الموالي في عبيدهم واُمورهم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ثبت كونه كالمملوك للوالد لما جاز سبّه لو لم يكن لغرض التأديب كما لا يجوز ضربه، فالاستدلال به لجواز السبّ مطلقاً كما ترى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ممنوعة في غير مورد التأديب، والقدر المتيقّن منها في الوالد والمعلّم هو مقام التأديب إذا توقّف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النقص والإهانة في سبّ الوالد والولد والمعلّم والمتعلّم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خلافه إلاّ ما شذّ وندر، فتدبّر جيّدا</w:t>
      </w:r>
      <w:r>
        <w:rPr>
          <w:rFonts w:eastAsia="Amiri" w:cs="Amiri" w:ascii="Amiri" w:hAnsi="Amiri"/>
          <w:color w:val="111111"/>
          <w:sz w:val="28"/>
          <w:szCs w:val="28"/>
          <w:rtl w:val="true"/>
          <w:lang w:bidi="ar-SA"/>
        </w:rPr>
        <w:t xml:space="preserve">. </w:t>
      </w:r>
      <w:bookmarkStart w:id="138" w:name="pg17323_405994"/>
    </w:p>
    <w:p>
      <w:pPr>
        <w:pStyle w:val="Heading2"/>
        <w:numPr>
          <w:ilvl w:val="1"/>
          <w:numId w:val="1"/>
        </w:numPr>
        <w:rPr/>
      </w:pPr>
      <w:bookmarkStart w:id="139" w:name="__RefHeading___Toc875888_1280447820"/>
      <w:bookmarkStart w:id="140" w:name="_Toc49"/>
      <w:bookmarkEnd w:id="138"/>
      <w:bookmarkEnd w:id="139"/>
      <w:r>
        <w:rPr>
          <w:rtl w:val="true"/>
        </w:rPr>
        <w:t xml:space="preserve">المسألة الثامنة والعشرون </w:t>
      </w:r>
      <w:r>
        <w:rPr>
          <w:rtl w:val="true"/>
        </w:rPr>
        <w:t>«</w:t>
      </w:r>
      <w:r>
        <w:rPr>
          <w:rtl w:val="true"/>
        </w:rPr>
        <w:t>في السحر</w:t>
      </w:r>
      <w:r>
        <w:rPr>
          <w:rtl w:val="true"/>
        </w:rPr>
        <w:t>»</w:t>
      </w:r>
      <w:bookmarkEnd w:id="140"/>
    </w:p>
    <w:p>
      <w:pPr>
        <w:pStyle w:val="Heading3"/>
        <w:numPr>
          <w:ilvl w:val="2"/>
          <w:numId w:val="1"/>
        </w:numPr>
        <w:rPr/>
      </w:pPr>
      <w:bookmarkStart w:id="141" w:name="__RefHeading___Toc875890_1280447820"/>
      <w:bookmarkStart w:id="142" w:name="_Toc50"/>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والكلام في المسألة يقع ضمن اُمور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75892_1280447820"/>
      <w:bookmarkStart w:id="144" w:name="_Toc51"/>
      <w:bookmarkEnd w:id="143"/>
      <w:r>
        <w:rPr>
          <w:rtl w:val="true"/>
        </w:rPr>
        <w:t>الأمر الأوّل</w:t>
      </w:r>
      <w:r>
        <w:rPr>
          <w:rtl w:val="true"/>
        </w:rPr>
        <w:t xml:space="preserve">: </w:t>
      </w:r>
      <w:r>
        <w:rPr>
          <w:rtl w:val="true"/>
        </w:rPr>
        <w:t>في معناه لغةً وعرفاً</w:t>
      </w:r>
      <w:bookmarkEnd w:id="14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يقرّب فيه إلى الشيطان وبمعونة منه، وكلّ ما لطف مأخذه ودقّ فهو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أسحار وسحور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 يَسْحَره سحراً وسحراً وسحرة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البيانُ في فِطْنَة، كما جاء في الحديث أنّ قيس بن عاصم المنقري والزبرقان بن بدر وعمرو بن الأهتم قدموا على النبيّ صلى الله عليه وآله، فسأل النبيّ صلى الله عليه وآله عمراً عن الزبرقان فأثنى عليه خيراً، فلم يرضَ الزبرقان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إنّه ليعلم أنّني أفضل ممّا قال، ولكنّه حسد مكاني منك، فأثنى عليه عمرو 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عليه في الاُولى ولا في الآخرة، ولكنّه أرضاني فقلت بالرضا، ثمّ أسخطني فقلت بالسخط،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يبلغ من ثنائه أنّه يمدح الإنسان فيصدق فيه حتّى يصرف قلوب السامعين إليه؛ أي إلى قوله، </w:t>
      </w:r>
    </w:p>
    <w:p>
      <w:pPr>
        <w:pStyle w:val="BookText"/>
        <w:rPr/>
      </w:pPr>
      <w:r>
        <w:rPr>
          <w:rFonts w:ascii="Amiri" w:hAnsi="Amiri" w:eastAsia="Amiri" w:cs="Amiri"/>
          <w:color w:val="111111"/>
          <w:sz w:val="28"/>
          <w:sz w:val="28"/>
          <w:szCs w:val="28"/>
          <w:rtl w:val="true"/>
          <w:lang w:bidi="ar-SA"/>
        </w:rPr>
        <w:t>ويذمّه فيصدق فيه حتّى يصرف قلوبهم أيضاً عنه إلى قوله الآخر، فكأنّه سحر السامعين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 أئمّة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البيان ما يكتسب من الإثم ما يكتسبه الساحر بسحره، فيكون في معرض الذمّ‌، وبه صرّح أبو عبيد البكري الأندلسي في شرح أمثال أبي عبيد القاسم بن سلاّم، وصحّحه غير واحد من العلماء، ونقله السيوطي في مرقاة الصعود فأقرّه،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صيغ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الوجهين فيه ظاهران، كما قال الجماهير من أرباب الغريب وأهل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السحر صرف الشيء عن حقيقته إلى غيره؛ فكأنّ الساحر لمّا أرى الباطل في صورة الحقّ وخيّل الشيء على غير حقيقته فقد سحر الشيء عن وجهه؛ أي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شمر عن ابن أبي 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إنّما سمّت السحر سحراً لأنّه يزيل الصحّة إلى المرض، وإنّما يقال سحره؛ أي أزاله عن البغض إلى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 إليها الحبّ فانقاد صعبه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من السحر الحلال التحبّب</w:t>
      </w:r>
    </w:p>
    <w:p>
      <w:pPr>
        <w:pStyle w:val="BookText"/>
        <w:rPr/>
      </w:pPr>
      <w:r>
        <w:rPr>
          <w:rFonts w:ascii="Amiri" w:hAnsi="Amiri" w:eastAsia="Amiri" w:cs="Amiri"/>
          <w:color w:val="111111"/>
          <w:sz w:val="28"/>
          <w:sz w:val="28"/>
          <w:szCs w:val="28"/>
          <w:rtl w:val="true"/>
          <w:lang w:bidi="ar-SA"/>
        </w:rPr>
        <w:t>يريد أنّ غلبة حبّها كالسحر وليس به؛ لأنّه حبّ حلال، والحلال لا يكون سحراً؛ لأنّ السحر فيه كالخداع</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هو إخراج الباطل في صورة الحقّ‌، ويقال هو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وسحره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استماله برقّته وحسن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فخر الدين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السحر في عرف الشرع مختصّ بكلّ أمر يخفى سببه، ويتخيّل على </w:t>
      </w:r>
    </w:p>
    <w:p>
      <w:pPr>
        <w:pStyle w:val="BookText"/>
        <w:rPr/>
      </w:pPr>
      <w:r>
        <w:rPr>
          <w:rFonts w:ascii="Amiri" w:hAnsi="Amiri" w:eastAsia="Amiri" w:cs="Amiri"/>
          <w:color w:val="111111"/>
          <w:sz w:val="28"/>
          <w:sz w:val="28"/>
          <w:szCs w:val="28"/>
          <w:rtl w:val="true"/>
          <w:lang w:bidi="ar-SA"/>
        </w:rPr>
        <w:t>غير حقيقته، ويجري مجرى التمويه والخداع،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وإذا اُطلق ذمّ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مقيّداً فيما يمدح ويحمد،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البيان سحر؛ لأنّ صاحبه يوضّح الشيء المشكل ويكشف عن حقيقته بحسن بيانه، فيستميل القلوب كما تستمال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البيان من إبداع التركيب وغرابة التأليف ما يجذب السامع ويخرجه إلى حدّ يكاد يشغله عن غيره شبّه بالسحر الحقيقي،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السحر الحلال</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والمحكي عن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السحر الأخذة التي تأخذ العين حتّى يظنّ أنّ الأمر كما يرى وليس الأصل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الأخذة، وكلّ ما لطف مأخذه ودقّ فهو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الشيء عن حقيقته إلى غيرها؛ فكأنّ الساحر لمّا رأى الباطل في صورة الحقّ خيّل الشيء على غير حقيقته فقد سحر الشيء عن وجهه؛ أي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الفرّاء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تُسْحَرُونَ‌</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فأنّى تُصْرَفون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سحرك عن وجه كذا وكذا؟ أي صرفك</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سحره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 السحر وخدعه، وفلاناً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w:t>
      </w:r>
    </w:p>
    <w:p>
      <w:pPr>
        <w:pStyle w:val="BookText"/>
        <w:rPr/>
      </w:pPr>
      <w:r>
        <w:rPr>
          <w:rFonts w:ascii="Amiri" w:hAnsi="Amiri" w:eastAsia="Amiri" w:cs="Amiri"/>
          <w:color w:val="111111"/>
          <w:sz w:val="28"/>
          <w:sz w:val="28"/>
          <w:szCs w:val="28"/>
          <w:rtl w:val="true"/>
          <w:lang w:bidi="ar-SA"/>
        </w:rPr>
        <w:t>وبكلامه وألحاظه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استماله وسلب 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إخراج الشيء في أحسن معارضه حتّى يفتن؛ ولذلك قيل للرائق المعجب هو السحر الحلال،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 الفضّة إذا طليتها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والتمويه يجريان مجرىً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ما يستعان في تحصيله بالتقرّب إلى الشيطان ممّا لا يستقلّ به الإنسان، وإطلاقه على ما يفعله من الحيل حقيقة لغويّة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صاحب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يقرّب إلى الشياطين، ومن السحر الأخذة التي تأخذ العين حتّى تظنّ أنّ الأمر كما ترى وليس الأمر كماترى، فالسحر عمل خفيّ‌؛ لخفاء سببه؛ يصوّر الشيء بخلاف صورته، ويقلبه عن جنسه في الظاهر ولا يقلبه عن جنسه في الحقيقة، ألا ترى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المصادر اللغوية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كلماتهم ومن المحاورات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هو أن يصرف الساحر الشيء عن وجهه في عيون الناس على سبيل الخدعة والتمويه بحيث يلبس الباطل بلباس الحقّ والحقيقة ويري الباطل في صورة الحقّ‌، ولا يقلبه عن جنسه في الحقيقة، ويستعين في تحصيله بالتقرّب إلى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فاللازم أن يحمل قوله في تاج العروس ولسان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لطف مأخذه ودقّ فهو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وإلاّ فمن المعلوم أنّه ليس كلّ ما لطف مأخذه ودقّ فهو من السحر، ألا ترى أنّ مثل الأجهزة الكهربائية كالراديو والتلفاز والحاسوب وغيرها من الصناعات الحديثة مشمولة للعبارة </w:t>
      </w:r>
    </w:p>
    <w:p>
      <w:pPr>
        <w:pStyle w:val="BookText"/>
        <w:rPr/>
      </w:pPr>
      <w:r>
        <w:rPr>
          <w:rFonts w:ascii="Amiri" w:hAnsi="Amiri" w:eastAsia="Amiri" w:cs="Amiri"/>
          <w:color w:val="111111"/>
          <w:sz w:val="28"/>
          <w:sz w:val="28"/>
          <w:szCs w:val="28"/>
          <w:rtl w:val="true"/>
          <w:lang w:bidi="ar-SA"/>
        </w:rPr>
        <w:t>المذكورة مع أنّها ليست من مصاديق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منها هو صرف الشيء عن وجهه في عيون الناس على سبيل الخدعة والتمويه بحيث يلبس الباطل بلباس الحقّ ويستعين في تحصيله بالتقرّب إلى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في بعض 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أَلْقُوا فَلَمّٰا أَلْقَوْا سَحَرُوا أَعْيُنَ اَلنّٰاسِ وَ اِسْتَرْهَبُوهُمْ وَ جٰاؤُ بِسِحْرٍ عَظِيمٍ‌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حِبٰالُهُمْ وَ عِصِيُّهُمْ يُخَيَّلُ إِلَيْهِ مِنْ سِحْرِهِمْ أَنَّهٰا تَسْعىٰ‌</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الشيء عن وجهه على سبيل الخدعة والتمويه وتلبيس الباطل بلباس الحقّ مع التقرّب إلى الشياطين لا يمنع أن يجتمع مع حدوث اُمور وجودية في الواقع، كالعداوة أو المحبّة بين الزوجين أو بين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فَيَتَعَلَّمُونَ مِنْهُمٰا مٰا يُفَرِّقُونَ بِهِ بَيْنَ اَلْمَرْءِ وَ زَوْجِهِ وَ مٰا هُمْ بِضٰارِّينَ بِهِ مِنْ أَحَدٍ إِلاّٰ بِإِذْنِ اَللّٰهِ وَ يَتَعَلَّمُونَ مٰا يَضُرُّهُمْ وَ لاٰ يَنْفَعُهُمْ‌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فإنّ العداوة والإضرار من الاُمور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هذه الاُمور الوجودية هو صرف الشيء عن وجهه على سبيل الخدعة والتمويه مع التقرّب إلى الشياطين، فالسحر هو المنشأ لا ما يحدث بسببه من العداوة والمحبّة والإضرار، وعليه فإطلاق السحر على الاُمور المذكورة من باب تسمية الشيء باسم سببه، وهو من المجازات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ينقدح ما حكاه في تاج العروس عن ابن أبي عائشة من إطلاق السحر على </w:t>
      </w:r>
    </w:p>
    <w:p>
      <w:pPr>
        <w:pStyle w:val="BookText"/>
        <w:rPr/>
      </w:pPr>
      <w:r>
        <w:rPr>
          <w:rFonts w:ascii="Amiri" w:hAnsi="Amiri" w:eastAsia="Amiri" w:cs="Amiri"/>
          <w:color w:val="111111"/>
          <w:sz w:val="28"/>
          <w:sz w:val="28"/>
          <w:szCs w:val="28"/>
          <w:rtl w:val="true"/>
          <w:lang w:bidi="ar-SA"/>
        </w:rPr>
        <w:t>إزالة الصحّة إلى المرض مع أنّها مسبّبة عن السحر، وهذا الإطلاق مجازىّ من باب تسمية الشيء باسم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للسحر حقيقة واقعية، ولكن قد يترتّب عليه أمر واقعيّ‌؛ فقد يُظهر الساحر للمسحور شيئاً مهولاً فيخاف هذا ويصبح مجنوناً، أو يريه بحراً وفيه سفينة جارية، فيحاول المسحور أن يركبها فيقع من شاهق ويموت؛ فإنّ الجنون والموت وإن كانا من الاُمور الواقعية إلاّ أنّهما ترتّبا على الأمر التخيّلي الذي هو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العين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الشيء من جنسه في الظاهر ولا يقلبه عن جنسه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اُشير إلى ما ذكرناه في خبر الاحتجاج، حيث سئل الإمام عليه السلام عن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أيقلب الواقع إلى واقع آخر؟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أضعف من ذلك</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 والعقد أمران وجوديّان ويبعد كونهما من الخيالات، هذا مع ما ورد في سحر بعض الناس للنبيّ صلى الله عليه وآله، والالتزام بالتخيّل بالنسبة إلى الرسول الأكرم صلى الله عليه وآله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مصباح الفقاهة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يترتّب على السحر أمر واقعيّ‌، وعليه فالحلّ والعقد مترتّبان على السحر وليسا بنفسهما من السحر، بل الساحر يريد شيئاً يترتّب عليه العقد، فإذا زال السحر حصل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حكي بالنسبة إلى النبيّ صلى الله عليه وآله فهو أمر غير ثابت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في اللغة 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التمويه والخدعة والعمل الخفيّ بحيث يصرف الشيء عن حقيقته في عيون الناس، ويخرج الباطل في صورة الحقّ مع التقرّب </w:t>
      </w:r>
    </w:p>
    <w:p>
      <w:pPr>
        <w:pStyle w:val="BookText"/>
        <w:rPr/>
      </w:pPr>
      <w:r>
        <w:rPr>
          <w:rFonts w:ascii="Amiri" w:hAnsi="Amiri" w:eastAsia="Amiri" w:cs="Amiri"/>
          <w:color w:val="111111"/>
          <w:sz w:val="28"/>
          <w:sz w:val="28"/>
          <w:szCs w:val="28"/>
          <w:rtl w:val="true"/>
          <w:lang w:bidi="ar-SA"/>
        </w:rPr>
        <w:t>في تحصيله إلى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يقيّد التأثير المذكور بشيء خاصّ‌، كالكتابة أو الرقية أو الكلام، بل يشمل بإطلاقه ما إذا لم تكن الأعمال المذكورة موجودة كالإرادة، فاللازم من صرف الشيء في عيون الناس هو وجود المسحور، والتأثير فيه بإراءة الباطل في صورة الحقّ بنحو من الأنحاء، والاستعانة في ذلك بالتقرّب إلى الشياطين،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المعنى اللغوي والعرفي، فلا وجه لما عن الفخر الرازي من أنّ لفظ السحر في عرف الشرع مختصّ بكلّ أمر يخفى سببه ويتخيّل على غير حقيقته؛ إذ استعمال لفظ السحر في القرآن في معناه اللغوي والعرفي لا يوجب أن يكون هذا المعنى معنىً شرعيّاً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البيضاوي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السحر على ما يفعله من الحيل حقيقة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اختصاص السحر بأمر غير واقعيّ فالميز بينه وبين المعجزة واضح؛ لواقعية المعجزة دون السحر، ولعلّه لوضوح ذلك آمن سحرة فرعون بالله تعالى بعد ما رأوا واقعية معجزة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السحر أعمّ من الأمر الواقعي، فيمكن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المعجزة ليست لها أسباب عاديّة، بخلاف السحر فإنّ له أسباباً عاديّة يمكن تعلّمها وتعليمها وإن كانت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السحر بأيّ معنى كان في معرض البطلان ولا يدوم، بخلاف المعجزة، كما 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اَللّٰهُ اَلْحَقَّ بِكَلِمٰاتِهِ وَ لَوْ كَرِهَ اَلْمُجْرِمُونَ‌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قوله عزّ وجلّ على أنّ الذي جاؤوا به سحر، والسحر شأنه إظهار ما ليس بحقٍّ واقع في صورة الحقّ الواقع لحواسّ الناس وأنظارهم، وإذ كان باطلا </w:t>
      </w:r>
      <w:bookmarkStart w:id="145" w:name="pg17323_406001"/>
    </w:p>
    <w:p>
      <w:pPr>
        <w:pStyle w:val="BookText"/>
        <w:rPr/>
      </w:pPr>
      <w:bookmarkEnd w:id="145"/>
      <w:r>
        <w:rPr>
          <w:rFonts w:ascii="Amiri" w:hAnsi="Amiri" w:eastAsia="Amiri" w:cs="Amiri"/>
          <w:color w:val="111111"/>
          <w:sz w:val="28"/>
          <w:sz w:val="28"/>
          <w:szCs w:val="28"/>
          <w:rtl w:val="true"/>
          <w:lang w:bidi="ar-SA"/>
        </w:rPr>
        <w:t>في نفسه فإنّ الله سيبطله؛ لأنّ السنّة الإلهيّة جارية على إقرار الحقّ وإحقاقه في التكوين وإزهاق الباطل وإبطاله، فالدولة للحقّ وإن كانت للباطل جولة أحياناً؛ ولذا علّل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يُصْلِحُ عَمَلَ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الصلاح والفساد شأنان متقابلان، وقد جرت السنّة الإلهيّة أن يصلح ما هو صالح ويفسد ما هو فاسد؛ أي يرتّب على كلّ منهما أثره المناسب له المختصّ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هذه الحقيقة لهم ليوقفهم على سنّة إلهيّة حقّة غفلوا عنها وليهيّئ نفوسهم لما سيظهره عملا من غلبة الآية المعجزة على السحر وظهور الحقّ على الباطل؛ ولذا بادروا إلى الإيمان حين شاهدوا المعجزة وألقوا أنفسهم على الأرض ساجدين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875894_1280447820"/>
      <w:bookmarkStart w:id="147" w:name="_Toc52"/>
      <w:bookmarkEnd w:id="146"/>
      <w:r>
        <w:rPr>
          <w:rtl w:val="true"/>
        </w:rPr>
        <w:t>الأمر الثاني</w:t>
      </w:r>
      <w:r>
        <w:rPr>
          <w:rtl w:val="true"/>
        </w:rPr>
        <w:t xml:space="preserve">: </w:t>
      </w:r>
      <w:r>
        <w:rPr>
          <w:rtl w:val="true"/>
        </w:rPr>
        <w:t>في كلمات القدماء</w:t>
      </w:r>
      <w:bookmarkEnd w:id="147"/>
    </w:p>
    <w:p>
      <w:pPr>
        <w:pStyle w:val="BookText"/>
        <w:rPr/>
      </w:pPr>
      <w:r>
        <w:rPr>
          <w:rFonts w:ascii="Amiri" w:hAnsi="Amiri" w:eastAsia="Amiri" w:cs="Amiri"/>
          <w:color w:val="111111"/>
          <w:sz w:val="28"/>
          <w:sz w:val="28"/>
          <w:szCs w:val="28"/>
          <w:rtl w:val="true"/>
          <w:lang w:bidi="ar-SA"/>
        </w:rPr>
        <w:t>قال الشيخ الطوسي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 السحر وتعليمه والتكسّب به وأخذ الاُجرة عليه حرامٌ محظور، وكذلك التكسّب بالكهانة والقيافة والشعبذة وغير ذلك محرّمٌ محظور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المحرّمات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والكهانة، والشعبذة، والحيل المحرّمة</w:t>
      </w:r>
      <w:r>
        <w:rPr>
          <w:rStyle w:val="FootnoteAnchor"/>
          <w:rtl w:val="true"/>
        </w:rPr>
        <w:footnoteReference w:id="316"/>
      </w:r>
      <w:r>
        <w:rPr>
          <w:rFonts w:ascii="Amiri" w:hAnsi="Amiri" w:eastAsia="Amiri" w:cs="Amiri"/>
          <w:color w:val="111111"/>
          <w:sz w:val="28"/>
          <w:sz w:val="28"/>
          <w:szCs w:val="28"/>
          <w:rtl w:val="true"/>
          <w:lang w:bidi="ar-SA"/>
        </w:rPr>
        <w:t>، وما أشبه ذلك، والقيافة، والسحر وتعلّمه وتعليمه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المحظور على كلّ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والكهانة، والشعبذة وما أشبه ذلك من القيافة والسحر</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إصباح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المحرّمات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 السحر والكهانة والقيافة والشعبذة، والتكسّب بها كلّها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في كلمات القدماء غير هذه،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تعريف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السيّد المرتضى في رسالة الحدود والحقائق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تخييل ما ليس له حقيقة كالحقيقة، فيتعذّر على من لا يعلم وجه الجملة فيه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المحكي عن مجمع البرهان أنّ تحريم السحر وتعلّمه وتعليمه وأخذ الاُجرة عليه إجماعيّ بين المسلمين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حرمة عمله والتكسّب به، وعن الإيضاح والتنقيح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كلّه حرام في شريعة المسلمين، ومستحلّه كافر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المحرّمات لنفسها تعلّم شيء من السحر للعمل، وتعليمه كذلك وعمله، بلا خلاف أجده فيه في الجملة بين المسلمين فضلا عن غيرهم، بل هو من الضروريّات التي يدخل منكرها في سبيل الكافرين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148" w:name="pg17323_406003"/>
    </w:p>
    <w:p>
      <w:pPr>
        <w:pStyle w:val="BookText"/>
        <w:rPr/>
      </w:pPr>
      <w:bookmarkEnd w:id="148"/>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خلوّ كلمات القدماء عن تعريف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والضرورة مرتبطة بأصل حرمة السحر لا بالأقسام المذكورة في كلمات المتأخّرين؛ لعدم تعرّض القدماء لأقسامه، ولا أقلّ من الشكّ‌، فالقدر المتيقّن هو ذلك، ولا دليل على الأزيد من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نسبة حرمة جميع الأقسام إلى الإيضاح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عبارته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التنقيح؛ لأنّه اكتفى بنقل ذلك عن الغير</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875896_1280447820"/>
      <w:bookmarkStart w:id="150" w:name="_Toc53"/>
      <w:bookmarkEnd w:id="149"/>
      <w:r>
        <w:rPr>
          <w:rtl w:val="true"/>
        </w:rPr>
        <w:t>الأمر الثالث</w:t>
      </w:r>
      <w:r>
        <w:rPr>
          <w:rtl w:val="true"/>
        </w:rPr>
        <w:t xml:space="preserve">: </w:t>
      </w:r>
      <w:r>
        <w:rPr>
          <w:rtl w:val="true"/>
        </w:rPr>
        <w:t>في تعريف السحر</w:t>
      </w:r>
      <w:bookmarkEnd w:id="150"/>
    </w:p>
    <w:p>
      <w:pPr>
        <w:pStyle w:val="BookText"/>
        <w:rPr/>
      </w:pPr>
      <w:r>
        <w:rPr>
          <w:rFonts w:ascii="Amiri" w:hAnsi="Amiri" w:eastAsia="Amiri" w:cs="Amiri"/>
          <w:color w:val="111111"/>
          <w:sz w:val="28"/>
          <w:sz w:val="28"/>
          <w:szCs w:val="28"/>
          <w:rtl w:val="true"/>
          <w:lang w:bidi="ar-SA"/>
        </w:rPr>
        <w:t>لم نجد في كلمات المتقدّمين تعريفاً للسحر، وأمّا المتأخّرون فالظاهر أنّ أوّل من عرّفه منهم هو العلاّمة قدس سره في القواعد، حيث قال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كلام يتكلّم به أو يكتبه أو رقية، أو يعمل شيئاً يؤثّر في بدن المسحور أو قلبه أو عقله من غير مباشرة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عرّف بذلك حرفاً بحرف في التحرير والتذكرة إيضاح النافع والتنقيح والكفاية ومجمع البحرين، وكذا المنتهى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والمسالك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وعزائم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ذكر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 بسببها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المفاتيح، وزاد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الدخنة والتصوير والنفث وتصفية النفس، وكلّ ذلك مندرج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ظاهر المسالك ومحكيّ الدروس أنّ المعتبر في السحر </w:t>
      </w:r>
    </w:p>
    <w:p>
      <w:pPr>
        <w:pStyle w:val="BookText"/>
        <w:rPr/>
      </w:pPr>
      <w:r>
        <w:rPr>
          <w:rFonts w:ascii="Amiri" w:hAnsi="Amiri" w:eastAsia="Amiri" w:cs="Amiri"/>
          <w:color w:val="111111"/>
          <w:sz w:val="28"/>
          <w:sz w:val="28"/>
          <w:szCs w:val="28"/>
          <w:rtl w:val="true"/>
          <w:lang w:bidi="ar-SA"/>
        </w:rPr>
        <w:t xml:space="preserve">الإضرار، فإن اُريد من التأثير في عبارة القواعد وغيرها خصوص الإضرار بالمسحور فهو، وإلاّ كان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عبارة المسالك والدروس</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المحقّق الكركي في جامع المقاصد على تعريف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 في بدن المسحور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قيداً في الجميع</w:t>
      </w:r>
      <w:r>
        <w:rPr>
          <w:rStyle w:val="FootnoteAnchor"/>
          <w:rtl w:val="true"/>
        </w:rPr>
        <w:footnoteReference w:id="327"/>
      </w:r>
      <w:r>
        <w:rPr>
          <w:rFonts w:ascii="Amiri" w:hAnsi="Amiri" w:eastAsia="Amiri" w:cs="Amiri"/>
          <w:color w:val="111111"/>
          <w:sz w:val="28"/>
          <w:sz w:val="28"/>
          <w:szCs w:val="28"/>
          <w:rtl w:val="true"/>
          <w:lang w:bidi="ar-SA"/>
        </w:rPr>
        <w:t>يخرج عن التعريف كثير من أقسام السحر التي لا تحدث شيئاً في بدن أو قلب أو عقل، وبالأخير</w:t>
      </w:r>
      <w:r>
        <w:rPr>
          <w:rStyle w:val="FootnoteAnchor"/>
          <w:rtl w:val="true"/>
        </w:rPr>
        <w:footnoteReference w:id="328"/>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عنه السحر بالعمل؛ حيث لا يؤثّر في شيء من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الرجل عن زوجته بحيث لا يقدر على وطئها، وإلقاء البغضاء بينهما، ونحو ذلك</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المذكور مع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 في بدن المسحور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قيداً في الجميع ليس جامعاً لأفراد السحر؛ حيث لا ينحصر السحر فيما يوجب إحداث شيء في بدن أو قلب أو عقل، بل يمكن تحقّق السحر بدون ذلك، بل الأمر كذلك 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لخصوص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فالسحر عند المحقّق الكركي أعمّ من الموارد التي ذكرها العلاّمة قدس سره، ولا دليل على انحصاره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مراده من موارد الخروج عن السحر وعدم جامعية التعريف هو الإشارة إلى ما حكي عن الشهيدين والكاشاني؛ من أنّ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الجنّ والملائكة والاستنزال للشياطين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الغائبات وعلاج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واستحضارهم، وتلبّسهم ببدن صبيّ أو </w:t>
      </w:r>
    </w:p>
    <w:p>
      <w:pPr>
        <w:pStyle w:val="BookText"/>
        <w:rPr/>
      </w:pPr>
      <w:r>
        <w:rPr>
          <w:rFonts w:ascii="Amiri" w:hAnsi="Amiri" w:eastAsia="Amiri" w:cs="Amiri"/>
          <w:color w:val="111111"/>
          <w:sz w:val="28"/>
          <w:sz w:val="28"/>
          <w:szCs w:val="28"/>
          <w:rtl w:val="true"/>
          <w:lang w:bidi="ar-SA"/>
        </w:rPr>
        <w:t>امرأة، وكشف الغائبات على لسانه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الموارد فاقدة للتأثير المذكور في كلام العلاّمة ومع ذلك تكون 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استخدام الجنّ والملائكة واستنزال الشياطين ليس من السحر وإن حرم من وجه آخر؛ لكونه كهانة كما ستعرف؛ إذ لا تأثير لهذه الاُمور في شيء من البدن والعقل والقلب، ولا تسحر العين، ولا تورث استرهاباً؛ ولهذا ترك ذكرها الأكثر، وما ذكرهما غير الشهيدين ومن تأخّر عنهما، وبذلك يندفع عن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اعتراض المحقّق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إن كان قيداً في الجميع خرج عن التعريف كثير من أقسام السحر الذي لا يحدث شيئاً في بدن أو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خروج استخدام الجنّ والملائكة واستنزال الشياطين من السحر، ويؤيّده المحكي عن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الاستخدام من الكهانة، وأنّها غير السحر؛ قريبة منه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صاحب مفتاح الكرامة في رفع الإشكال عن القواعد أولى ممّا يستفاد من كلام الشيخ الأعظم قدس سره؛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 في بدن المسحور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استخدام الجنّ والملائكة واستنزال الشياطين؛ لأنّ المسحور هي الملائكة والجنّ والشياطين، والإضرار بهم يحصل بتسخيرهم وتعجيزهم عن المخالفة له وإلجائهم إلى الخدمة، وعليه فلفظ البدن لا خصوصية فيه، ولا يكون استخدام الجنّ والملائكة واستنزال الشياطين خارجاً عن حقيقة السحر وإن اُطلق عليه الكهانة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فعبارة القواعد بعمومها تشمل هذه الموارد، فلا يرد عليه ما أورده في جامع المقاصد من أنّ التعريف ليس بجامع؛ وذلك لأنّ تعميم التأثير في البدن لمثل التسخير وتعجيز </w:t>
      </w:r>
    </w:p>
    <w:p>
      <w:pPr>
        <w:pStyle w:val="BookText"/>
        <w:rPr/>
      </w:pPr>
      <w:r>
        <w:rPr>
          <w:rFonts w:ascii="Amiri" w:hAnsi="Amiri" w:eastAsia="Amiri" w:cs="Amiri"/>
          <w:color w:val="111111"/>
          <w:sz w:val="28"/>
          <w:sz w:val="28"/>
          <w:szCs w:val="28"/>
          <w:rtl w:val="true"/>
          <w:lang w:bidi="ar-SA"/>
        </w:rPr>
        <w:t>الشياطين أو الملائكة أو الجنّ خلاف الظاهر، وليس المسحور صادقاً عليهم ولا على من استمع إخباراتهم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تصدق الكهانة على جملة من التسخيرات والاستنزالات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يرفع الإشكال عن عبارة القواعد إلاّ بالالتزام بخروج هذه الموارد عن السحر كما ذهب إليه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تعريف العلاّمة من ناحية خلوّه عن قيد التخييل والتمويه والتقرّب إلى الشياطين مع اعتباره في اللغة؛ ولذا يشمل التعريف المذكور ما لا يكون سحراً، وعليه فالتعريف ليس بمانع من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تعريف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عرّفه فخر المحقّقين في الإيضاح بما هو أعمّ من القواعد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استحداث الخوارق بمجرّد التأثيرات النفسانية، أو بالاستعانة بالفلكيّات فقط، أو على سبيل تمزيج القوى السماوية بالقوى الأرضية، أو على سبيل الاستعانة بالأرواح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أهل المعقول الأوّل باسم السحر، والثاني بدعوة الكواكب، والثالث بالطلّسمات، والرابع بالعزائم، وكلّ ذلك محرّم في شريعة الإسلام، ومستحلّه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سبيل الاستعانة بخواصّ الأجسام السفلية فهو علم الخواصّ‌، أو الاستعانة بالنسب الرياضية؛ وهو علم الحيل وجرّ الأثقال، وهذان النوعان الأخيران ليسا من السحر</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أنّ جميع الصور الأربع سحر وإن ذهب الفلاسفة إلى اختصاص الأوّل باسم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أنّ هذا التعريف أعمّ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تعريف </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اعتبار مسحور فيه فضلا عن الإضرار ببدنه أو عقله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السحر هو صرف الشيء عن وجهه على سبيل الخديعة والتمويه من دون أن يكون له واقعية، فاستحداث الاُمور الخارقة للعادة ليس من السحر، ولو تمكّن أحد من إحداث الاُمور الغريبة بواسطة القوّة النفسانية الحاصلة بالرياضة أو بصرف المقدّمات فلا يقال له إنّه ساحر، بل لا دليل على حرمته؛ فإنّ هذا شعار أهل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كثيراً من الأقسام المزبورة بل كلّها خارج عن حقيقة السحر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السحر على الأوّل عند الفلاسفة مع عدم صدق السحر عليه عرفاً لا يفيد؛ إذ المعيار في تشخيص المفاهيم وتطبيقها هو العرف العامّ‌، وقد عرفت حكم العرف واللغة باختصاص السحر بما فيه التمويه والخدعة والتقرّب إلى الشياطين، والمفروض أنّ الأقسام المذكورة غير متقيّدة بهذه القيود، ومقتضاه خروج جميعها عن حقيقة السحر ولو اُطلق السحر على بعضها عند الفلاسفة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تعريف فخر المحقّقين قدس سره هو حصر السحر في الأربعة المذكورة، وعليه يلزم من ذلك خروج السحر بمعناه العرفي عن مصاديق السحر، كما أدرجه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الشعبذة أو الشعوذة</w:t>
      </w:r>
      <w:r>
        <w:rPr>
          <w:rStyle w:val="FootnoteAnchor"/>
          <w:rtl w:val="true"/>
        </w:rPr>
        <w:footnoteReference w:id="334"/>
      </w:r>
      <w:r>
        <w:rPr>
          <w:rFonts w:ascii="Amiri" w:hAnsi="Amiri" w:eastAsia="Amiri" w:cs="Amiri"/>
          <w:color w:val="111111"/>
          <w:sz w:val="28"/>
          <w:sz w:val="28"/>
          <w:szCs w:val="28"/>
          <w:rtl w:val="true"/>
          <w:lang w:bidi="ar-SA"/>
        </w:rPr>
        <w:t xml:space="preserve">، وهو كما ترى؛ لما عرفت من أنّ السحر هو ما يصدق السحر عليه عرفاً، والشعوذة أو الشعبذة أمر واقعيّ يفعله المشعوذ بسرعة من دون أن تكون خيالية واقعاً، وعليه فإنّه أدرج السحر في </w:t>
      </w:r>
    </w:p>
    <w:p>
      <w:pPr>
        <w:pStyle w:val="BookText"/>
        <w:rPr/>
      </w:pPr>
      <w:r>
        <w:rPr>
          <w:rFonts w:ascii="Amiri" w:hAnsi="Amiri" w:eastAsia="Amiri" w:cs="Amiri"/>
          <w:color w:val="111111"/>
          <w:sz w:val="28"/>
          <w:sz w:val="28"/>
          <w:szCs w:val="28"/>
          <w:rtl w:val="true"/>
          <w:lang w:bidi="ar-SA"/>
        </w:rPr>
        <w:t>مباينه وهو الشعوذة،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عرّفه العلاّمة المجلسي بالأعمّ من تعريفهما،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 أهل اللغة أنّه ما لطف وخفي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عرف الشرع مختصّ بكلّ أمر يخفى سببه ويتخيّل على غير حقيقته، ويجري مجرى التمويه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أعمّ من الكلّ‌؛ لأنّه ذكر بعد ذلك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الكلدانيّين الذين كانوا في قديم الدهر، وهم قوم كانوا يعبدون الكواكب، ويزعمون أنّها المدبّرة لهذا العالم، ومنها تصدير الخيرات والشرور والسعادات و النحوسات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أنّهم على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والساحر عند هذه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القوى العالية الفعّالة بسائطها ومركّباتها، ويعرف ما يليق بالعالم السفلي، ويعرف معدّاتها ليعدّها وعوائقها ليرفعها بحسب الطاقة البشرية، فيكون متمكّناً من استحداث ما يخرق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أصحاب الأوهام والنفوس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بالأرواح الأرضية، وقد أنكرها بعض الفلاسفة وقال بها الأكابر منهم، وهي في أنفسها مختلفة؛ فمنهم خيّرة وهم مؤمنو الجنّ‌، وشرّيرة وهم كفّار الجنّ وشياطينهم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التخيّلات والأخذ بالعيون، مثل راكب السفينة يتخيّل نفسه ساكناً والشطّ 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العجيبة التي تظهر من تركيب الآلات المركّبة على نسب الهندسة، كرقّاص يرقص وفارسان يقتتلان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بخواصّ الأدوية، مثل أن تجعل في الطعام بعض الأدوية المبلّدة </w:t>
      </w:r>
    </w:p>
    <w:p>
      <w:pPr>
        <w:pStyle w:val="BookText"/>
        <w:rPr/>
      </w:pPr>
      <w:r>
        <w:rPr>
          <w:rFonts w:ascii="Amiri" w:hAnsi="Amiri" w:eastAsia="Amiri" w:cs="Amiri"/>
          <w:color w:val="111111"/>
          <w:sz w:val="28"/>
          <w:sz w:val="28"/>
          <w:szCs w:val="28"/>
          <w:rtl w:val="true"/>
          <w:lang w:bidi="ar-SA"/>
        </w:rPr>
        <w:t>أو المزيلة للعقل، أو الدخن المسكر، أو عصارة البنج المجعول في الملبَّس</w:t>
      </w:r>
      <w:r>
        <w:rPr>
          <w:rStyle w:val="FootnoteAnchor"/>
          <w:rtl w:val="true"/>
        </w:rPr>
        <w:footnoteReference w:id="335"/>
      </w:r>
      <w:r>
        <w:rPr>
          <w:rFonts w:ascii="Amiri" w:hAnsi="Amiri" w:eastAsia="Amiri" w:cs="Amiri"/>
          <w:color w:val="111111"/>
          <w:sz w:val="28"/>
          <w:sz w:val="28"/>
          <w:szCs w:val="28"/>
          <w:rtl w:val="true"/>
          <w:lang w:bidi="ar-SA"/>
        </w:rPr>
        <w:t>، وهذا ممّا لاسبيل إلى إنكاره، وأثر المغناطيس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القلب، وهو أن يدّعي الساحر أنّه يعرف علم الكيميا وعلم اللَّهيا</w:t>
      </w:r>
      <w:r>
        <w:rPr>
          <w:rStyle w:val="FootnoteAnchor"/>
          <w:rtl w:val="true"/>
        </w:rPr>
        <w:footnoteReference w:id="336"/>
      </w:r>
      <w:r>
        <w:rPr>
          <w:rFonts w:ascii="Amiri" w:hAnsi="Amiri" w:eastAsia="Amiri" w:cs="Amiri"/>
          <w:color w:val="111111"/>
          <w:sz w:val="28"/>
          <w:sz w:val="28"/>
          <w:szCs w:val="28"/>
          <w:rtl w:val="true"/>
          <w:lang w:bidi="ar-SA"/>
        </w:rPr>
        <w:t>والاسم الأعظم؛ حتّى يميل إليه العوامّ‌، وليس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الملخّص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 بين ما ذكر في معنى السحر في غاية الإشكال، لكنّ المهمّ بيان حكمه لا موضوعه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عرف الشرع فيما ذكره مع خلوّ كلمات القدماء عن التعريف، كما ترى، ولا مجال أيضاً لدعوى الاتّفاق في المقام على التعريف المذكور في الشرع؛ لعدم ثبوت اتّفاق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المذكور هو التعريف العرفي كما عرفت، وجعله تعريفاً شرعيّاً لا مورد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دعوى الاكتفاء بالتعريف العرفي في كلمات العلماء والروايات لا بأس بها كما لا يخفى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السحر على الأقسام المذكورة عدا الرابع منها ليس على الحقيقة؛ لخلوّ السحر عن الواقعية، وتقييده بالتمويه والتخييل والخداع والتقرّب إلى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استحداث الاُمور الخارقة للعادة، وتأثير أصحاب الأوهام والنفوس القويّة، </w:t>
      </w:r>
    </w:p>
    <w:p>
      <w:pPr>
        <w:pStyle w:val="BookText"/>
        <w:rPr/>
      </w:pPr>
      <w:r>
        <w:rPr>
          <w:rFonts w:ascii="Amiri" w:hAnsi="Amiri" w:eastAsia="Amiri" w:cs="Amiri"/>
          <w:color w:val="111111"/>
          <w:sz w:val="28"/>
          <w:sz w:val="28"/>
          <w:szCs w:val="28"/>
          <w:rtl w:val="true"/>
          <w:lang w:bidi="ar-SA"/>
        </w:rPr>
        <w:t>والاستعانة بالأرواح الأرضية والأعمال العجيبة التي تظهر من تركيب الآلات على النسب الهندسية، والاستعانة بخواصّ الأدوية، وغيرها من الاُمور الواقعية، ليست بسحر موضوعاً وحكماً؛ لخلوّها عن قيد التمويه والتخييل والخداع، ولا يتناسب جعلها من أقسام السحر مع تعريف السحر في كلامه أوّلاً بما فيه التمويه والتخييل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بيان موارد إطلاق السحر ولو بناءً على المجاز، لا بيان موارد حقيقة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النميمة وإن كانت محرّمة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السحر وعن مورد الأخبار الدالّة على كفر الساحر ووجوب قتله؛ فإنّ من البديهي أنّ النمّام ليس بكافر ولا يجوز قتله</w:t>
      </w:r>
      <w:r>
        <w:rPr>
          <w:rStyle w:val="FootnoteAnchor"/>
          <w:rtl w:val="true"/>
        </w:rPr>
        <w:footnoteReference w:id="338"/>
      </w:r>
      <w:r>
        <w:rPr>
          <w:rFonts w:ascii="Amiri" w:hAnsi="Amiri" w:eastAsia="Amiri" w:cs="Amiri"/>
          <w:color w:val="111111"/>
          <w:sz w:val="28"/>
          <w:sz w:val="28"/>
          <w:szCs w:val="28"/>
          <w:rtl w:val="true"/>
          <w:lang w:bidi="ar-SA"/>
        </w:rPr>
        <w:t>، وإطلاق السحر عليها إنّما هو من باب المجاز؛ لشبهها به من بعض الجهات، كما أنّ تعليق القلب بإطلاقه ليس بسحر؛ وإلاّ لزم أن يكون مطلق الاستمالة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تعليق القلب على نحو خاصّ بما فيه التمويه والتخييل والخداع يصدق عليه السحر ويكون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بالنسبة إلى التعاريف الثلاثة المذكورة، وقد عرفت عدم تماميّتها والتخالف بينها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أصحاب التعاريف المذكورة إن كانوا في مقام بيان المعنى اللغوي والعرفي، فاللازم عليهم الاستدلال بكلمات أهل اللغة، وذكر قيود التعريف العرفي؛ من التخييل والتقرّب إلى الشياطين، والمفروض خلاف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كانوا في مقام بيان المعنى الشرعي والحقيقة الشرعية، فاللازم عليهم الاستدلال بالأدلّة الشرعية، والمفروض عدم استدلالهم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الإجماع مع ما عرفت من </w:t>
      </w:r>
    </w:p>
    <w:p>
      <w:pPr>
        <w:pStyle w:val="BookText"/>
        <w:rPr/>
      </w:pPr>
      <w:r>
        <w:rPr>
          <w:rFonts w:ascii="Amiri" w:hAnsi="Amiri" w:eastAsia="Amiri" w:cs="Amiri"/>
          <w:color w:val="111111"/>
          <w:sz w:val="28"/>
          <w:sz w:val="28"/>
          <w:szCs w:val="28"/>
          <w:rtl w:val="true"/>
          <w:lang w:bidi="ar-SA"/>
        </w:rPr>
        <w:t>خلوّ كلمات القدماء عن ذلك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كانوا في مقام بيان كلمات أهل الفنّ‌، فاللازم هو نقل كلماتهم بناءً على جواز الاكتفاء بتعريفهم، ولكنّه محلّ تأمّل ومنع؛ لأنّ المخاطب هو العرف العامّ لا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اتّضح لك اختلافهم في موضوع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قدر متيقّن له، فاللازم هو الاحتياط بين المحتملات التي يعلم عدم خروج السحر عنها، كما قيل ذلك في الأربعة المذكورة في تعريف فخر المحقّقين قدس سره، وإن كان له قدر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وهو المعنى اللغوي والعرفي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الاجتناب عنه، وأمّا غيره من الموارد المشكوكة فيرجع فيها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بلغة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في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له الحكم شرعاً بل مطلقاً اختلافاً لا يجمعه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 كونه سحراً بأن كان هناك مسحور وكان للسحر تأثير فيه من ضرر أو غيره حرم بالأخبار المتظافرة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صدق السحر لعدم وجود مسحور فيه أو عدم تأثير في بدنه أو عقله أو شيء من متعلّقه لم يحرم؛ لاحتمال دخل كلّ من الأمرين في تحقّق موضوعه، أللهمّ إلاّ أن يقوم هناك إجماع على تحريمه كما ادّعي ذلك في حرمة التسخيرات</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دعوى الإجماع مع خلوّ كلمات القدماء عن التعريف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التفصيل بين الإضرار وعدمه خروج عن محلّ الكلام الذي هو السحر الأعمّ من الضرر والإضرار، فلا وجه لإدخال الموارد الضررية في البحث عن السحر؛ فكلّ مورد يصدق عليه السحر يشمله الدليل الدالّ على حرمة السحر وإن لم يكن فيه ضرر أو </w:t>
      </w:r>
    </w:p>
    <w:p>
      <w:pPr>
        <w:pStyle w:val="BookText"/>
        <w:rPr/>
      </w:pPr>
      <w:r>
        <w:rPr>
          <w:rFonts w:ascii="Amiri" w:hAnsi="Amiri" w:eastAsia="Amiri" w:cs="Amiri"/>
          <w:color w:val="111111"/>
          <w:sz w:val="28"/>
          <w:sz w:val="28"/>
          <w:szCs w:val="28"/>
          <w:rtl w:val="true"/>
          <w:lang w:bidi="ar-SA"/>
        </w:rPr>
        <w:t>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لو كان الضرر دخيلاً لزم في صورة التزاحم تقديم أقوى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أنّ مجرّد صرف نفس المسحور عن الجريان على مقتضى إرادته يعدّ من الضرر فلا تخلو عن إشكال، ألا ترى أنّه لو كان إرادة الإنسان متعلّقة بما فيه خلاف المصلحة أو بما فيه المفسدة فعمل صديقه عملاً أوجب انصرافه، فهل يعدّ هذا إضراراً؟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والإنصاف أنّه لا وجه لرفع اليد عن المعنى العرفي للسحر مع عدم وجود دليل على الحقيقة الشرعية والمتشرّعية، وحيث إنّ المعنى العرفي ليس بواضح أيضاً فاللازم فيه أن يؤخذ بالقدر المتيقّن منه بعد الشكّ في بعض القيود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السحر عرّف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أو كتابة يحدث بسببه ضرر على من عُمل له في بدنه أو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 زيادة العمل في الجنس وتبديل الضرر بالأثر وإضافة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مع اشتراط عدم المباشرة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بالثالث مع زيادة العقد والرقى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عمل يستفاد منه حصول ملكة نفسانية يقتدر بها على أفعال غريبة وأسباب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باستحداث الخوارق؛ سواء كان بالتأثير النفساني، أو الاستعانة بالفلكيّات فقط، أو بتمزيج قواها بالقوى الأرضية، أو بالاستعانة بالأرواح الساذجة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كلاًّ منها منتقضة إمّا في الطرد أو العكس أو فيهما؛ لورود النقض بما يؤثّر في متعلّقات المسحور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كداره أو ولده أو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يوجب حدوث أمر غريب من غير تأثير في شخص، وبالسحر عملا، وبالدعوات المستجابة والتوسّل بالقرآن والأدعية، وبالمعجزة، والتوصّل إلى الاُمور الغريبة باستعمال القواعد الطبيعية،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أعثر على حدّ تامّ في كلماتهم، والمرجع في معرفته وإن كان هو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القاعدة وصرّح به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فيه أيضاً غير منقّح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العرف والتتبّع في موارد الاستعمال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يوجب حدوث أمر منوط بسبب خفىّ غير متداول عادةً‌، لا بمعنى أنّ كلّ ما كان كذلك هو سحر، بل بمعنى أنّ السحر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بتقوية النفس وتصفيتها حتّى يقوى على مثل ذلك العمل، كما هو دأب أهل الرياضة وعليه عمل أهل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القواعد الطبيعية أو الهندسية أو المداواة العلاجية، وهو المتداول عند الإفرنجيّين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بتسخير روحانيّات الأفلاك والكواكب ونحوها، وهو المشهور عن اليونانيّين والكلدانيّين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بتسخير الجنّ والشياطين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 مناسبة للمطلوب، كتماثيل أو نقوش أو عدّ أو نفث أو كتب منقسماً إلى رقية وعزيمة أو دخنة في وقت مختار، وهو المعروف عن النبط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أسماء مجهولة المعاني وكتابتها بترتيب خاصّ‌، ونسب ذلك إلى النبط والعرب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ألفاظ معلومة المعاني غير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 بعض الآيات والأدعية أو الأسماء من القلب أو الوضع في اللوح المربّع أو مع ضمّه مع عمل آخر من عقد أو تصوير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الأعداد في الألواح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عدم كون الأوّلين سحراً، كما أنّ الظاهر كون الخامس سحراً والبواقي </w:t>
      </w:r>
    </w:p>
    <w:p>
      <w:pPr>
        <w:pStyle w:val="BookText"/>
        <w:rPr/>
      </w:pPr>
      <w:r>
        <w:rPr>
          <w:rFonts w:ascii="Amiri" w:hAnsi="Amiri" w:eastAsia="Amiri" w:cs="Amiri"/>
          <w:color w:val="111111"/>
          <w:sz w:val="28"/>
          <w:sz w:val="28"/>
          <w:szCs w:val="28"/>
          <w:rtl w:val="true"/>
          <w:lang w:bidi="ar-SA"/>
        </w:rPr>
        <w:t>مشتبهة، والأصل يقتضي فيها الإباحة إلاّ ما علمت حرمته من جهة الإجماع كما هو الظاهر في التسخيرات</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أفاد وأجاد، ولكنّ تسليم الإجماع في التسخيرات مع خلوّ كلمات القدماء عن ذكر التعريف كما ترى هذا مضافاً إلى أنّ وجه الحرمة في التسخيرات لعلّه من جهة اُخرى، كالكهانة والإيذاء، لا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الخامسة المذكورة ليست بإطلاقها من السحر، بل تحتاج إلى تقييدها بما إذا كان ذلك للتمويه والخدعة مع التأثير في النفوس أو غيرها مع التقرّب فيه إلى الشياطين،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الأقسام المذكورة واضح؛ إذ القدر المتيقّن منها حرام والباقي جائز؛ أخذاً بأصالة البراءة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الظاهر من صدر كلام الشيخ الأنصاري قدس سره أنّ الأقسام الأربعة المذكورة في كلام الإيضاح تكون محرّمة؛ لشهادة المحدّث المجلسي قدس سره بدخول الأقسام المذكورة في البحار في المعنى المعروف للسحر عند أهل الشرع، فتشملها الإطلاقات، ولدعوى فخر المحقّقين في الإيضاح كون حرمتها من ضروريّات الدين، وأنّ مستحلّها كافر، وهو ظاهر الدروس أيضاً فحكم بقتل مستحلّها؛ فإنّا وإن لم نطمئنّ بدعوى الإجماعات المنقولة، إلاّ أنّ دعوى ضرورة الدين ممّا يوجب الاطمئنان بالحكم واتّفاق العلماء عليه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وشهادتهما كافية في إدراج الأقسام المذكورة في السحر، ولكنّ المستفاد من ذيل كلامه هو التأمّل في شهادة المجلسي؛ لظهور استناد شهادة المجلسي إلى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وجه الظهور هو الاستدلال باللغة قبل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معارضته بما تقدّم من الفخر من إخراج علمي الخواصّ والحيل من السحر، وما تقدّم من تخصيص صاحب المسالك وغيره السحرَ بما يحدث ضرراً، بل عرفت تخصيص العلاّمة له بما يؤثّر في بدن المسحور أو قلبه أو عقله، فهذه شهادة من هؤلاء على عدم عموم لفظ السحر لجميع ما تقدّم من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شهادة الاثبات لا يجري في هذا الموضع؛ لأنّ الظاهر استناد المثبتين إلى الاستعمال، والنافين إلى الاطّلاع على كون الاستعمال مجازاً للمناسبة، ومع ذلك ذهب الشيخ الأعظم قدس سره إلى الاحتياط، حيث قال بعد الصدر والذيل المذكورين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الاجتناب عن جميع ما تقدّم من الأقسام في البحار، بل لعلّه لا يخلو عن قوّة؛ لقوّة الظنّ من خبر الاحتجاج</w:t>
      </w:r>
      <w:r>
        <w:rPr>
          <w:rStyle w:val="FootnoteAnchor"/>
          <w:rtl w:val="true"/>
        </w:rPr>
        <w:footnoteReference w:id="34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إذ الخبر ضعيف، والظنّ المطلق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مصباح الفقاهة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إطلاق السحر على بعض الاُمور المذكورة في خبر كالسرعة والخفّة والنميمة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بنحو من العناية والمجاز</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بعد اعتراف المصنّف بكون شهادة المجلسي مستندة إلى الاجتهاد أو معارضة </w:t>
      </w:r>
    </w:p>
    <w:p>
      <w:pPr>
        <w:pStyle w:val="BookText"/>
        <w:rPr/>
      </w:pPr>
      <w:r>
        <w:rPr>
          <w:rFonts w:ascii="Amiri" w:hAnsi="Amiri" w:eastAsia="Amiri" w:cs="Amiri"/>
          <w:color w:val="111111"/>
          <w:sz w:val="28"/>
          <w:sz w:val="28"/>
          <w:szCs w:val="28"/>
          <w:rtl w:val="true"/>
          <w:lang w:bidi="ar-SA"/>
        </w:rPr>
        <w:t>بشهادة الآخرين كيف ذهب إلى قوّة الاحتياط في الأقسام المذكورة في كلام صاحب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دعوى الضرورة في الإيضاح لعلّها بالنسبة إلى أصل حرمة السحر لا السحر بما له من الأقسام المذكورة في كلام فخر المحقّقين وصاحب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مصباح الفقاهة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نجد في كلام المجلسي شهادة على كون الأقسام المذكورة من السحر عند عرف الشارع،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السحر في عرف الشرع مختصّ بكلّ مخفىّ سببه، ويتخيّل على غير حقيقته، ويجري مجرى التمويه والخداع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الأنواع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شهادة في ذلك على مقصود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معارضة شهادة المجلسي بما ذكره الفخر من إخراج علمي الخواصّ والحيل من السحر، وبما ذكره صاحب المسالك وغيره من تخصيصهم السحر بما يحدث ضرراً، وبما ذكره العلاّمة من تخصيصه السحر بما يؤثّر في بدن المسحور أو قلبه أو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الكشف عن عدم العموم في لفظ السحر لجميع ما تقدّم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وجه للاستدلال بشهادة المجلسي على حرمة الأقسام الأربعة المذكورة، كما أنّه لا وجه للاستدلال على حرمة الأقسام الأربعة بكون حرمتها من ضروريّات الدين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يوجب الاطمئنان بالحكم وباتّفاق العلماء عليه في جميع الأعصار؛ لأنّ تعارض الأقوال يمنع عن الاطمئنان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الدعوى المذكورة لا توجب الاطمئنان بالحكم إلاّ في المورد المتيقّن، كالإضرار بالمسحور في عقله أو بدنه أو ماله أو ما يرجع إليه من شؤونه، وأمّا في غير الموارد المتيقّنة فإنّه لا دليل على حرمة الاستعانة بالاُمور المتقدّمة، بل ربّما تكون مطلوبة </w:t>
      </w:r>
      <w:bookmarkStart w:id="151" w:name="pg17323_406017"/>
    </w:p>
    <w:p>
      <w:pPr>
        <w:pStyle w:val="BookText"/>
        <w:rPr/>
      </w:pPr>
      <w:bookmarkEnd w:id="151"/>
      <w:r>
        <w:rPr>
          <w:rFonts w:ascii="Amiri" w:hAnsi="Amiri" w:eastAsia="Amiri" w:cs="Amiri"/>
          <w:color w:val="111111"/>
          <w:sz w:val="28"/>
          <w:sz w:val="28"/>
          <w:szCs w:val="28"/>
          <w:rtl w:val="true"/>
          <w:lang w:bidi="ar-SA"/>
        </w:rPr>
        <w:t>لإبطال سحر مدّعي النبوّة والإمامة، ومع الشكّ فيه فأصالة البراءة محكّمة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أفاد وأجاد في أنّ اللازم عند الشكّ هو الأخذ بالقدر المتيقّن والرجوع في غيره إلى أصالة البراءة، وأمّا أنّ القدر المتيقّن هو الذي أفاده أو يحتاج إلى قيود اُخرى أيضاً فالظاهر أنّه محتاج إلى تقييده بما إذا كان للتمويه والخدعة مع زيادة قيد التقرّب إلى الشياطين، وأمّا دخالة الإضرار فلعلّها لا تكون شرطاً،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تثبت الحقيقة الشرعية أو المتشرّعية لعنوان السحر، فالمعتمد هو العرف، فيؤخذ بالموارد المتيقّنة التي حكم العرف بكونها من السحر فيحكم بحرمتها، بخلاف موارد الشكّ فإنّه يرجع فيها إلى أصالة البراءة،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75898_1280447820"/>
      <w:bookmarkStart w:id="153" w:name="_Toc54"/>
      <w:bookmarkEnd w:id="152"/>
      <w:r>
        <w:rPr>
          <w:rtl w:val="true"/>
        </w:rPr>
        <w:t>الأمر الرابع</w:t>
      </w:r>
      <w:r>
        <w:rPr>
          <w:rtl w:val="true"/>
        </w:rPr>
        <w:t xml:space="preserve">: </w:t>
      </w:r>
      <w:r>
        <w:rPr>
          <w:rtl w:val="true"/>
        </w:rPr>
        <w:t>في الأدلّة على حرمة السحر</w:t>
      </w:r>
      <w:bookmarkEnd w:id="153"/>
    </w:p>
    <w:p>
      <w:pPr>
        <w:pStyle w:val="BookText"/>
        <w:rPr/>
      </w:pPr>
      <w:r>
        <w:rPr>
          <w:rFonts w:ascii="Amiri" w:hAnsi="Amiri" w:eastAsia="Amiri" w:cs="Amiri"/>
          <w:color w:val="111111"/>
          <w:sz w:val="28"/>
          <w:sz w:val="28"/>
          <w:szCs w:val="28"/>
          <w:rtl w:val="true"/>
          <w:lang w:bidi="ar-SA"/>
        </w:rPr>
        <w:t>وهي مجموعة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لو لم يكن محرّماً لما كان تعلّمه وتعليمه محرّمين؛ حتّى أو عد الله تعالى على أنّ من اشتراه ما له في الآخرة من خلاق، ولما عبرّ عن تعليمه وتعلّمه واستعماله بالكفر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اَلشَّيٰاطِينَ كَفَرُوا يُعَلِّمُونَ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تَكْفُرْ فَيَتَعَلَّمُونَ مِنْهُمٰا مٰا يُفَرِّقُونَ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لاسترة في دلالتها على حرمة السحر مطلقاً سواء كان تعلّماً أو تعليماً أو عملا، بل تدلّ على كونه من المعاصي الكبيرة؛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تعلّمه أو علّمه أو عمله للتفرقة والمقاصد الباطلة محروم في الآخرة عن رحمة الله تعالى ومعذّب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ذلك في الشرع السابق لاتكفي للحرمة في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الإلهية النازلة في الشرع السابق بقيت على ما عليها ما لم يثبت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مٰا فِي يَمِينِكَ تَلْقَفْ مٰا صَنَعُوا إِنَّمٰا صَنَعُوا كَيْدُ سٰاحِرٍ وَ لاٰ يُفْلِحُ اَلسّٰاحِرُ حَيْثُ أَتىٰ‌</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الفوز والنجاة ملازم الهلاك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باعتبار بعض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كَيْدَكُمْ ثُمَّ اِئْتُوا صَفًّا وَ قَدْ أَفْلَحَ اَلْيَوْمَ مَنِ اِسْتَعْلىٰ‌</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تدلّ على نفي ظفر الساحر لا هلاكه وعذابه،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صَنَعُوا كَيْدُ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 حَيْثُ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والنتيجة أنّهم لا يظفرون، وعليه فالاستدلال بها لإثبات الحرمة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يُفْلِحُ اَلسّٰاحِرُ حَيْثُ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والظفر من خصوصيّات المصداق في الدنيا، كما أنّ النجاة من العذاب من خصوصيّات المصداق الاُخروي، ومقتضى العموم شموله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مٰا جِئْتُمْ بِهِ اَلسِّحْرُ إِنَّ اَللّٰهَ سَيُبْطِلُهُ‌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يُصْلِحُ عَمَلَ اَلْمُفْسِدِينَ‌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 لإثبات الحرمة لا يخلو عن إشكال؛ لأنّ هذه الآية الكريمة في مقام بيان عدم ظفرهم بالسحر، لا في مقام بيان عقوبتهم و مؤاخذتهم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عنهم بالمفسدين يدلّ على أنّ عملهم هو الإفساد، وهو ممّا يوجب العقوبة والمؤاخذة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زيد بن علىّ التي رواها الشيخ بإسناده عن محمّدبن الحسن الصفّار، عن أبي الجوزاء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علوان، عن عمرو بن خالد، عن زيد بن علىّ‌،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صلى الله عليه وآله عن الساحر،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رجلان عدلان فشهدا بذلك فقد حلّ دمه</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ضعفها لكون الحسين بل علوان عامّياً، كما ترى بعدما حكي عن ابن عقدة أنّ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أوثقَ من أخيه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أبو الجوزاء صحيح الحديث؛ روى عنه الأجلاّء، وعمرو بن خالد من رجال العامّة، ولكن روى عنه بعض الأجلاّء ونقل عن ابن فضّال أنّه وثّقه كما 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اسحاق بن عمّار المرويّة في التهذيب بإسناده عن محمد بن الحسن الصفّار، عن غياث بن كلوب بن قيس البجلي عن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كان آخر عهده بربّه، وحدّه القتل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وهذه الرواية معتبرة؛ لأنّ غياثاً من أولئك العامّة الذين صرّح الشيخ بأنّ العصابة عملت برواياتهم ممّا لم ينكروه، ولم يكن عندهم خلافه</w:t>
      </w:r>
      <w:r>
        <w:rPr>
          <w:rStyle w:val="FootnoteAnchor"/>
          <w:rtl w:val="true"/>
        </w:rPr>
        <w:footnoteReference w:id="353"/>
      </w:r>
      <w:r>
        <w:rPr>
          <w:rFonts w:ascii="Amiri" w:hAnsi="Amiri" w:eastAsia="Amiri" w:cs="Amiri"/>
          <w:color w:val="111111"/>
          <w:sz w:val="28"/>
          <w:sz w:val="28"/>
          <w:szCs w:val="28"/>
          <w:rtl w:val="true"/>
          <w:lang w:bidi="ar-SA"/>
        </w:rPr>
        <w:t>، وإسحاق بن عمّار صرّح بوثاقته، ونقل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نصر بن قابوس المرويّة عن الصدوق، عن الصفّار، عن الحسن بن علىّ الكوفي، عن إسحاق بن إبراهيم،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ملعون، والكاهن ملعون، والساحر ملعون، والمغنّية ملعونة، ومن آواها ملعون، وآكل كسبها ملعون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من ناحية الحسن بن علىّ الكوفي وإسحاق بن إبراهيم؛ لعدم توثيقهما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علىّ الكوفي قال الصدوق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ولكن يبقى الإشكال في إسحاق بن إبراهيم، وهو الحضيني؛ بقرينة نقل الحسن بن عليّ عنه، وجرت الخدمة للرضا عليه السلام على يده؛ ولذا قال في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قبول قوله؛ لكونه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يقتضي الوثاقة، وقال العلاّمة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قبول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ونصر بن قابوس ثقة، وعليه فلايبعد القول باعتبار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المرويّة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عن النوفلي، عن السكوني، عن جعفر بن محمّد، عن أبيه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وساحر الكفّار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لم لا يُقتل ساحر الكفّار؟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أعظم من السحر، ولأنّ السحر والشرك مقرونان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وتضعيف الرواية من ناحية النوفلي غير مقبول لأنّه وقع في طرق كثير من الأخبار المذكورة في الكتب المعتبرة، وهو يكفي في الوثوق به؛ وإلاّ لما نقلوا عنه بهذه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ناشر رواياته هو إبراهيم بن هاشم وهو أبو عليّ بن إبراهيم من القمّيّين؛ فلو كانت رواياته ضعيفة لما تحمّله القمّيّون، كما طعن القمّيّون على أحمد بن محمّد بن خالد البرقي بأنّه يروي عن الضعفاء ويعتمد على المراسيل، حتّى أنّ أحمد بن محمّد بن عيسى بعّده عن بلدة قم، ثمّ أعاده إليها واعتذر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في الوافي بسند صحيح عن صفوان عنه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العظيم الحسني المرويّة في الكافي عن عدّة من أصحابنا، عن أحمد بن محمّد بن خالد، عن عبد 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p>
    <w:p>
      <w:pPr>
        <w:pStyle w:val="BookText"/>
        <w:rPr/>
      </w:pPr>
      <w:r>
        <w:rPr>
          <w:rFonts w:ascii="Amiri" w:hAnsi="Amiri" w:eastAsia="Amiri" w:cs="Amiri"/>
          <w:color w:val="111111"/>
          <w:sz w:val="28"/>
          <w:sz w:val="28"/>
          <w:szCs w:val="28"/>
          <w:rtl w:val="true"/>
          <w:lang w:bidi="ar-SA"/>
        </w:rPr>
        <w:t>الثاني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عمروبن عبيد على أبي عبدالله عليه السلام، فلمّا سلّم وجلس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يَجْتَنِبُونَ كَبٰائِرَ اَلْإِثْمِ وَ اَلْفَوٰاحِشَ‌</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ثمّ أمسك، 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أعرف الكبائر من كتاب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يقول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والسحر؛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عمرو وله صراخ من بكائه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ونازعكم في الفضل والعلم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الخصال عن أبي هريرة 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السبع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بالله، والسحر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الكبائر تسع، أعظمهنّ الإشراك بالله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عليّ بن إبراهيم، عن أبيه، عن شيخ من أصحابنا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عيسى بن شفقي</w:t>
      </w:r>
      <w:r>
        <w:rPr>
          <w:rStyle w:val="FootnoteAnchor"/>
          <w:rtl w:val="true"/>
        </w:rPr>
        <w:footnoteReference w:id="363"/>
      </w:r>
      <w:r>
        <w:rPr>
          <w:rFonts w:ascii="Amiri" w:hAnsi="Amiri" w:eastAsia="Amiri" w:cs="Amiri"/>
          <w:color w:val="111111"/>
          <w:sz w:val="28"/>
          <w:sz w:val="28"/>
          <w:szCs w:val="28"/>
          <w:rtl w:val="true"/>
          <w:lang w:bidi="ar-SA"/>
        </w:rPr>
        <w:t xml:space="preserve">على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ساحراً يأتيه الناس </w:t>
      </w:r>
    </w:p>
    <w:p>
      <w:pPr>
        <w:pStyle w:val="BookText"/>
        <w:rPr/>
      </w:pPr>
      <w:r>
        <w:rPr>
          <w:rFonts w:ascii="Amiri" w:hAnsi="Amiri" w:eastAsia="Amiri" w:cs="Amiri"/>
          <w:color w:val="111111"/>
          <w:sz w:val="28"/>
          <w:sz w:val="28"/>
          <w:szCs w:val="28"/>
          <w:rtl w:val="true"/>
          <w:lang w:bidi="ar-SA"/>
        </w:rPr>
        <w:t xml:space="preserve">ويأخذ على ذلك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رجل كانت صناعتي السحر، وكنت آخذ عليه الأجر، وكان معاشي، وقد حججت منه، ومنّ الله عليَّ بلقائك، وقد تبت إلى الله عزّ وجلّ‌، فهل لي في شيء من ذلك مخرج‌؟ فقال له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 لا تعقد</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عيسى بن السقفي نحوه، ورواه الحميري في قرب الاسناد عن الهيثم بن أبي مسروق النهدي، عن أبيه، عن عيسى بن السقفي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شيخ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الراوي كان معتمداً وإن لم يسمّ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فالرواية تدلّ على حرمة السحر؛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النهي 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كلام السائل على مفروغيّته عن حرمة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إدريس في آخر السرائر نقلا من كتاب المشيخة للحسن بن محبوب،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بالجزيرة رجلاً ربّما أخبر من يأتيه يسأله عن الشيء يُسرَق أو شبه ذلك، فنسأله‌؟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والهيثم قريب الأمر، وله كتاب، وروى عنه بعض الأجلاّء، وصحّح العلاّمة طريقاً فيه الهيثم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وإن لم يدلّ على كون السؤال عن الشيء يُسرَق أو شبه ذلك مختصّاً بالسحر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ذلك من موارد الكهانة أو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إلى </w:t>
      </w:r>
    </w:p>
    <w:p>
      <w:pPr>
        <w:pStyle w:val="BookText"/>
        <w:rPr/>
      </w:pP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يدلّ على حرمة تعلّم السحر سواء كان مورد السؤال سحراً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عيون الأخبار بسند ضعيف عن الحسن بن علىّ العسكري،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عَلَى اَلْمَلَكَيْنِ بِبٰابِلَ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بعد نوح عليه السلام قد كثرت السحرة المموّهون، فبعث الله عزّ وجلّ ملكين إلى نبيّ ذلك الزمان يذكر ما يسحر به السحرة، وذكر ما يبطل به سحرهم، ويردّ به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النبيّ عن الملكين وأدّاه إلى عباد الله بأمر الله عزّ وجلّ‌، وأمرهم أن يقفوا به على السحر وأن يبطلوه، ونهاهم أن يسحروا به الناس، وهذا كما يدلّ على السمّ ما هو وعلى ما يدفع به غائلة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يعلّمان من أحد ذلك السحر وإبطاله حتّى يقولا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وامتحان للعباد؛ ليطيعوا الله فيما يتعلّمون من هذا، ويبطلوا به كيد السحرة ولا يسحروهم، فلا تكفر باستعمال هذا السحر وطلب الإضرار به ودعاء الناس إلى أن يعتقدوا أنّك به تحيي وتميت وتفعل ما لا يقدر عليه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ويتعلّمون مايضرّهم ولا ينفعهم؛ لأنّهم إذا تعلّموا ذلك السحر ليسحروا به ويضرّوا به فقد تعلّموا ما يضرّهم في دينهم ولا ينفعهم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رواه في عيون الأخبار عن علىّ بن الجهم بسند ضعيف أيضاً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والروايتان وإن كانتا ضعيفتين، ولكنّهما تشتملان على الاستدلال بالآية الكريمة الدالّة على حرمة تعلّم السحر، كما مرّ تفصيله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الخصال بسند ضعيف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ومدمن سحر، وقاطع 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الدالّة على حرمة تعليم السحر وتعلّمه وعمله، ولا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الأخبار المذكورة هو عدم الفرق في الحرمة بين أن يكون السحر مضرّاً أو لا، فمع صدق السحر ولو بدون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تشمله الإطلاقات، واختصاص بعض الأدلّة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رفع اليد عن الإطلاقات مع كون كلّ منهما نافياً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ضعف السند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النظر فيما حكي عن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المعتبر في السحر الإضرار؛ وذلك لصدق السحر بدون الإضرار، وإطلاق الأدلّة،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بعد اختصاص موضوع الحرمة بما يصدق عليه السحر عرفاً لا مانع ممّا لا يصدق عليه السحر، فيجوز أن يؤثّر شخص في بعض النفوس في رفع العداوة أو الوسواس أو في إيجاد المحبّة مادام لم يصدق عليه السحر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لحرمة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يصدق عليه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في الفقيه بإسناده عن إسماعيل بن مسلم، عن جعفر بن محمّد،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لامرأة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زوجاً، وبه عليَّ غلظة، وإنّي صنعت شيئاً لأعطفه عليَّ؟ 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كدّرت البحار وكدّرت الطين، ولعنتك الملائكة الأخيار وملائكة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فصامت المرأة نهارها وقامت ليلها وحلقت رأسها ولبست المسوح</w:t>
      </w:r>
      <w:r>
        <w:rPr>
          <w:rStyle w:val="FootnoteAnchor"/>
          <w:rtl w:val="true"/>
        </w:rPr>
        <w:footnoteReference w:id="370"/>
      </w:r>
      <w:r>
        <w:rPr>
          <w:rFonts w:ascii="Amiri" w:hAnsi="Amiri" w:eastAsia="Amiri" w:cs="Amiri"/>
          <w:color w:val="111111"/>
          <w:sz w:val="28"/>
          <w:sz w:val="28"/>
          <w:szCs w:val="28"/>
          <w:rtl w:val="true"/>
          <w:lang w:bidi="ar-SA"/>
        </w:rPr>
        <w:t>، فبلغ ذلك النبيّ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لا يقبل منها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السند؛ لجهالة إسماعيل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أفاده في مصباح الفقاهة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الرواية ما يدلّ على كون المصنوع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الرواية مخالفة للقواعد؛ فإنّها مشتملة على عدم قبول التوبة من المرأة التي صنعت لزوجها شيئاً يوجب المحبّة والعطف مع أنّ الثابت في الإسلام جواز توبة المرأة المرتدّة سواء أكانت فطرية أم ملّية، ومن المقطوع به أنّ سحرها لا يزيد على الارتداد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الرواية تعارضها معتبرة إسحاق بن عمّار،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كان آخر عهده بربّه، وحدّه القتل إلاّ أن يتوب</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لدلالتها على أنّ التوبة توجب درء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تعليم السحر وتعلّمه وعمله حرام، ومعصيته كبيرة، من دون فرق بين كونه مضرّاً وعدمه مادام يصدق عليه السحر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شيخنا الاُستاذ الأراكي قدس سره هو اختصاص الحرمة بعمل السحر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شيئاً من السحر قليلاً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فالظاهر منه رجوع الحرمة إلى العمل؛ فإنّه قد يضاف المبغوضية إلى التعلّم بلحاظ مبغوضية العمل، والقرينة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أن يقتل إلاّ أن 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مناسب للعمل كما لا </w:t>
      </w:r>
      <w:bookmarkStart w:id="154" w:name="pg17323_406027"/>
    </w:p>
    <w:p>
      <w:pPr>
        <w:pStyle w:val="BookText"/>
        <w:rPr/>
      </w:pPr>
      <w:bookmarkEnd w:id="154"/>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875900_1280447820"/>
      <w:bookmarkStart w:id="156" w:name="_Toc55"/>
      <w:bookmarkEnd w:id="155"/>
      <w:r>
        <w:rPr>
          <w:rtl w:val="true"/>
        </w:rPr>
        <w:t>الأمر الخامس</w:t>
      </w:r>
      <w:r>
        <w:rPr>
          <w:rtl w:val="true"/>
        </w:rPr>
        <w:t xml:space="preserve">: </w:t>
      </w:r>
      <w:r>
        <w:rPr>
          <w:rtl w:val="true"/>
        </w:rPr>
        <w:t>في استحقاق الحدّ</w:t>
      </w:r>
      <w:bookmarkEnd w:id="156"/>
    </w:p>
    <w:p>
      <w:pPr>
        <w:pStyle w:val="BookText"/>
        <w:rPr/>
      </w:pPr>
      <w:r>
        <w:rPr>
          <w:rFonts w:ascii="Amiri" w:hAnsi="Amiri" w:eastAsia="Amiri" w:cs="Amiri"/>
          <w:color w:val="111111"/>
          <w:sz w:val="28"/>
          <w:sz w:val="28"/>
          <w:szCs w:val="28"/>
          <w:rtl w:val="true"/>
          <w:lang w:bidi="ar-SA"/>
        </w:rPr>
        <w:t>يستحقّ حدّ القتل من اتّخذ السحر شغلاً وحرفةً له، واستدلّ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بمعتبرة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وساحر الكفّار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ولِمَ لا يقتل ساحر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أعظم من السحر، ولأنّ السحر والشرك مقرونان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الساحر الذي حكمه القتل هو من اتّخذ السحر شغلاً وحرفةً له، دون مطلق من عمل بالسحر ولو لم يكن ذلك حرفة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تكملة المنهاج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ذيل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السحر والشرك مقرونان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أنّ عمل السحر كالشرك في إيجابه القتل؛ سواء اتّخذه شغلاً وحرفة له أم لم يتّخذه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السحر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الكفر أعظم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بعنوان العلّة لعدم قتل ساحر الكفّار، وعليه فلا ارتباط لهذه العلّة بإيجاب القتل حتّى يستدلّ بها على أنّ إيجاب السحر للقتل كإيجاب الشرك للقتل بمقتضى كونهما مقرونين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الكفر أعظم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القتل لا للقتل؛ إذ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السحر والشرك مقرونان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العلّة </w:t>
      </w:r>
    </w:p>
    <w:p>
      <w:pPr>
        <w:pStyle w:val="BookText"/>
        <w:rPr/>
      </w:pPr>
      <w:r>
        <w:rPr>
          <w:rFonts w:ascii="Amiri" w:hAnsi="Amiri" w:eastAsia="Amiri" w:cs="Amiri"/>
          <w:color w:val="111111"/>
          <w:sz w:val="28"/>
          <w:sz w:val="28"/>
          <w:szCs w:val="28"/>
          <w:rtl w:val="true"/>
          <w:lang w:bidi="ar-SA"/>
        </w:rPr>
        <w:t>المتقدّمة، وهو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الذيل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المسلمين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الظاهر؛ لأنّ الجواب المذكور جواب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 يقتل ساحر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ولا أقلّ من الشكّ‌، فيكون الذيل المذكور مجملاً، ومع الإجمال لا يصحّ الاستدلال به؛ لكون مطلق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للقتل، كما لا دليل 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تعلّم السحر يوجب حدّ القتل؛ لمعتبرة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كان آخر عهده بربّه، وحدّه القتل إلاّ أن يتوب</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فإذا كان تعلّم السحر موجباً للقتل فالسحر الصادر ممّن لم يتّخذه حرفة له يوجب ذلك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التعلّم مقارن لصدق عنوان الساحر عليه، واستحقاقه مع مقارنة ذلك الصدق للقتل لا يلازم استحقاق من عمل بالسحر من دون صدق عنوان الساحر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شيء من السحر لا يلازم صدق عنوان الساحر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معتبرة إسحاق بن عمّار محمولة على ما إذا تعلّم وعمل؛ حملاً على الغالب من العمل للمتعلّم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تقييد بلا موجب، والفعلية الخارجية لا توجب الانصراف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ذيل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القتل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يدلّ على العمل؛ إذ التعلّم بنفسه لا يقبل التكرار، والتوبة والعزم على عدم التكرار لا مورد </w:t>
      </w:r>
    </w:p>
    <w:p>
      <w:pPr>
        <w:pStyle w:val="BookText"/>
        <w:rPr/>
      </w:pPr>
      <w:r>
        <w:rPr>
          <w:rFonts w:ascii="Amiri" w:hAnsi="Amiri" w:eastAsia="Amiri" w:cs="Amiri"/>
          <w:color w:val="111111"/>
          <w:sz w:val="28"/>
          <w:sz w:val="28"/>
          <w:szCs w:val="28"/>
          <w:rtl w:val="true"/>
          <w:lang w:bidi="ar-SA"/>
        </w:rPr>
        <w:t>لهما بالنسبة إلى التعلّم، فاستثناء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هو مقارنة التعلّم مع العمل، ومن المعلوم أنّ العمل قابل للتكرار، والتوبة عنه متصوّرة، ولكن لا يخفى عليك أنّ التعلّم ذو درجات، فالعزم على عدم التكرار باعتبار كون التعلّم ذا درجات متصوّر أيضاً، فلا دليل على مقارنة التعلّم مع العمل، كما لا دليل على مقارنة صدق عنوان الساحر عليه، فالتعلّم موجب لاستحقاق القتل من دون مقارنة لشيء ممّا ذكر، فالتمسّك بمعتبرة إسحاق بن عمّار لاستحقاق المتعلّم للسحر صحيح، وبالأولوية تدلّ على استحقاق من عمل سحراً ولو لم يكن حرفة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مراعاة صدق عنوان الساحر في إجراء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رواية إسحاق بن عمّار ضعيفة ولا جابر لها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غياث بن كلوب الواقع في السند ثقة كما نصّ عليه الشيخ في العدّة، فلا وجه لتضعيف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المستحقّ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 يصدق عليه عنوان الساحر؛ وهو الذي اتّخذ السحر شغلاً له وإن لم يقع منه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متعلّم السحر ومن عمل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دخالة للكفر ولا للاستحلال ولا للإضرار في استحقاق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ينقدح ما في بعض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ثبت كون الساحر معتقداً لما يراه الصابئون من أهل بابل فهو مرتدّ عن الإسلام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يثبت ذلك؛ فإن ثبت كون أعماله مؤثّرة فيما يدّعيه لقوّة نفسه تناوله تعريف الفقهاء بشرط أن يثبت أنّه ارتكب عملاً مضرّاً في عقل المسحور أو بدنه وأثّر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يثبت هذا ولا ذاك بل رأينا أنّه يعمل أعمالاً ولا نعلم اعتقاده ولا تحقّق لنا تأثير عمله في 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قتله وإن حرم عمله؛ لأنّه أكل للمال بالباطل في غالب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كلام شيخنا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بالغ في ذلك بعض علمائنا، فأثبت حكم الحدّ لكلّ ما عدّ سحراً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اعتماده على الحديث فالظاهر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منصرفة إلى ما هو الغالب في ذلك العهد من سحر البابليّين 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يعتقدون تأثير روحانية الكواكب بنحو الاستقلال أو الاشتراك، وتمزيج القوى العالية بالسافلة بدعوتها، ومثل ذلك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بما يضرّ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معتمداً على إجماع المسلمين فهو ثابت على منع السحر في الجملة لا مطلقاً، وإنّما يتمسّك للتعميم بالمطلق لا بالمجمل، والثابت بالإجماع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العلاّمة وأكثر الفقهاء الذين حكموا بحرمة السحر فسّروه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ضرر على المسحور في بدنه أو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مالكاً وأبا حنيفة حكما بقتل الساحر حدّاً؛ لكونه كافراً باعتقاده وتعلّمه وإن لم يعمل، والشافعي حكم به قصاصاً إذا ثبت قتل المسحور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العلاّمة التردّد</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اعتمادنا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الانصراف من جهة الغلبة في ذلك العصر إلى سحر البابليّين، فهي مندفعة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الغلبة الوجودية لا توجب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غلبة سحر البابليّين في جزيرة العرب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اعتقاد الاُلوهية أو الشرك بالنسبة إلى الأفلاك والكواكب لا مدخلية له في صدق السحر كما لا مدخلية للإضرار 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اعتبار ذلك إلى العلاّمة كماترى، ولا أقلّ من الشكّ في الدخالة، فمع صدق السحر وإطلاقه يؤخذ بإطلاق السحر؛ قضاءً للإطلاق، ولا حاجة إلى عنوان الارتداد ولا إلى صدق عنوان الساحر أيضاً كما عرفت، وإن كان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ولا إشكال في كفر الساحر مع الاستحلال للقسم المحرّم منه، فيجري عليه حكم المرتدّ من القتل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المستحلّ فقد يظهر من جماعة عدم القتل به، خلافاً لبعض فجعله حدّاً له مطلقاً، ولعلّه لإطلاق الأدلّة، ولا يخلو من توقّف، ويأتي تمام الكلام فيه في باب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بجميع أقسامه كفر كما يقضي به بعض الأخبار بل هو ظاهر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حصر أسباب الكفر في غيره، فالمراد حينئذ المبالغة في معصيته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إذ مع إطلاق الأدلّة لا مجال لحملها على ما إذا كان الساحر مستحلاًّ؛ فساحر المسلمين يستحقّ القتل ولو لم يكن مستحلاًّ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مع تصريح الأخبار بأنّ ساحر الكفّار لا يقتل لا يمكن حمل المطلقات على ما إذا كان الساحر كافراً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أفاد وأجاد في إرشاد الطالب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وحملها على صورة الاستحلال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توبة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سقوط حدّ القتل كما ذكر في الموثّقة، وبها يرفع اليد عن إطلاق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جواز قتله بل وجوبه؛ تحفّظاً على مصالح المسلمين ليكونوا على أمن من 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السحرة في عصر الأئمّة عليهم السلام كانوا غالباً من الكفّار ويعتقدون تأثير الكواكب والأجرام العلوية، لا يخفى ما فيها، مع أنّ رواية السكوني دالّة على قتل خصوص الساحر من المسلمين، فكيف تحمل على صورة كونه كافراً؟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يسهّل الخطب أنّ صاحب الجواهر اعترف في باب الحدود بأنّ إطلاق النصّ والفتوى يقتضي عدم الفرق بين المستحلّ وغيره، فما عن بعض المتأخّرين من القول باختصاصه بالأوّل لم نتحقّقه، وعلى تقديره غير واضح الوجه</w:t>
      </w:r>
      <w:r>
        <w:rPr>
          <w:rStyle w:val="FootnoteAnchor"/>
          <w:rtl w:val="true"/>
        </w:rPr>
        <w:footnoteReference w:id="382"/>
      </w:r>
      <w:r>
        <w:rPr>
          <w:rFonts w:ascii="Amiri" w:hAnsi="Amiri" w:eastAsia="Amiri" w:cs="Amiri"/>
          <w:color w:val="111111"/>
          <w:sz w:val="28"/>
          <w:sz w:val="28"/>
          <w:szCs w:val="28"/>
          <w:rtl w:val="true"/>
          <w:lang w:bidi="ar-SA"/>
        </w:rPr>
        <w:t>، كما صرّح في المقام بعدم جواز حمل جميع أقسامه على الكفر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ساحر الكفّار وإن لم يُحكم بقتله إلاّ أنّه صرّح في الشرائع بأنّه يؤدّب، ولا دليل عليه بالخصوص، ولعلّه من جهة ما هو المعروف من أنّ كلّ ذنب غير موجب للحدّ فهو موجب للتعزير، وإن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نصّ ظاهراً على الكلّية كما في جامع المدارك</w:t>
      </w:r>
      <w:r>
        <w:rPr>
          <w:rStyle w:val="FootnoteAnchor"/>
          <w:rtl w:val="true"/>
        </w:rPr>
        <w:footnoteReference w:id="383"/>
      </w:r>
      <w:r>
        <w:rPr>
          <w:rFonts w:ascii="Amiri" w:hAnsi="Amiri" w:eastAsia="Amiri" w:cs="Amiri"/>
          <w:color w:val="111111"/>
          <w:sz w:val="28"/>
          <w:sz w:val="28"/>
          <w:szCs w:val="28"/>
          <w:rtl w:val="true"/>
          <w:lang w:bidi="ar-SA"/>
        </w:rPr>
        <w:t>، ولكن يمكن اصطياد ما هو المعروف من الروايات الكثيرة الواردة في الموارد المختلفة، فراجع</w:t>
      </w:r>
      <w:r>
        <w:rPr>
          <w:rFonts w:eastAsia="Amiri" w:cs="Amiri" w:ascii="Amiri" w:hAnsi="Amiri"/>
          <w:color w:val="111111"/>
          <w:sz w:val="28"/>
          <w:szCs w:val="28"/>
          <w:rtl w:val="true"/>
          <w:lang w:bidi="ar-SA"/>
        </w:rPr>
        <w:t xml:space="preserve">. </w:t>
      </w:r>
      <w:bookmarkStart w:id="157" w:name="pg17323_406033"/>
    </w:p>
    <w:p>
      <w:pPr>
        <w:pStyle w:val="Heading3"/>
        <w:numPr>
          <w:ilvl w:val="2"/>
          <w:numId w:val="1"/>
        </w:numPr>
        <w:rPr/>
      </w:pPr>
      <w:bookmarkStart w:id="158" w:name="__RefHeading___Toc875902_1280447820"/>
      <w:bookmarkStart w:id="159" w:name="_Toc56"/>
      <w:bookmarkEnd w:id="157"/>
      <w:bookmarkEnd w:id="158"/>
      <w:r>
        <w:rPr>
          <w:rtl w:val="true"/>
        </w:rPr>
        <w:t>الأمر السادس</w:t>
      </w:r>
      <w:r>
        <w:rPr>
          <w:rtl w:val="true"/>
        </w:rPr>
        <w:t xml:space="preserve">: </w:t>
      </w:r>
      <w:r>
        <w:rPr>
          <w:rtl w:val="true"/>
        </w:rPr>
        <w:t>في جواز رفع السحر بالسحر</w:t>
      </w:r>
      <w:bookmarkEnd w:id="159"/>
    </w:p>
    <w:p>
      <w:pPr>
        <w:pStyle w:val="BookText"/>
        <w:rPr/>
      </w:pPr>
      <w:r>
        <w:rPr>
          <w:rFonts w:ascii="Amiri" w:hAnsi="Amiri" w:eastAsia="Amiri" w:cs="Amiri"/>
          <w:color w:val="111111"/>
          <w:sz w:val="28"/>
          <w:sz w:val="28"/>
          <w:szCs w:val="28"/>
          <w:rtl w:val="true"/>
          <w:lang w:bidi="ar-SA"/>
        </w:rPr>
        <w:t xml:space="preserve">واستدلّ له 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انصراف الأدلّة الناهية عن السحر إلى غير ما إذا قصد به غرض راجح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الواردة في قصّة هاروت وماروت،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لو لم يكن جائزاً في مقام رفع السحر لم يجز تعليمه أصلا، فجواز التعليم يدلّ على جواز العمل به في الجملة، والقدر المتيقّن هو صورة رفع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الاحتجاج، حيث قال السائل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الملكين هاروت وماروت وما يقول الناس بأنّهما يعلّمان الناس السحر؟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هما موضع ابتلاء وموقع فتنة، تسبيحهما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لو فعل الإنسان كذا وكذا لكان كذا وكذا، ولو يعالج بكذا وكذا لكان كذا أصناف السحر، فيتعلّمون منهما ما يخرج عنهما، فيقولان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فلا تأخذوا عنّا ما يضرّكم ولا ينفعكم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اشتماله على الآية الدالّة على جواز التعليم لغرض رفع السحر؛ إذ لو لم يكن السحر جائزاً في مقام رفع السحر لم يجز تعليمه أصلا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صحّة الاستدلال بالآية الكريمة لا يصحّح الاستدلال بالخبر بما هو خبر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عليّ بن إبراهيم، عن أبيه، عن شيخ من أصحابنا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بن سقفي على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ساحراً يأتيه الناس ويأخذ على ذلك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رجل كانت صناعتي السحر، وكنت آخذ عليه الأجر، وكان معاشي، وقد حججت منه، ومنّ الله عليَّ بلقائك، وقد تبت إلى الله </w:t>
      </w:r>
    </w:p>
    <w:p>
      <w:pPr>
        <w:pStyle w:val="BookText"/>
        <w:rPr/>
      </w:pPr>
      <w:r>
        <w:rPr>
          <w:rFonts w:ascii="Amiri" w:hAnsi="Amiri" w:eastAsia="Amiri" w:cs="Amiri"/>
          <w:color w:val="111111"/>
          <w:sz w:val="28"/>
          <w:sz w:val="28"/>
          <w:szCs w:val="28"/>
          <w:rtl w:val="true"/>
          <w:lang w:bidi="ar-SA"/>
        </w:rPr>
        <w:t>عزّ وجلّ‌، فهل لي في شيء من ذلك مخرج‌؟ فقال له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إرساله مانع عن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سابقاً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الراوي معتمداً ومن الأجلاّء، ولعلّه لذلك عبّر في الجواهر عن الخبر المزبور بالحسن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يقع الكلام في أنّه هل الحَلّ الحلال أعمّ ممّا كان العقد حاصلاً بسحر ساحر وما كان العقد حاصلاً بغيره كما في علاج من أصابه الجنّ بغير سحر ساحر، أو يختصّ بالقسم الأوّل‌؟</w:t>
      </w:r>
    </w:p>
    <w:p>
      <w:pPr>
        <w:pStyle w:val="BookText"/>
        <w:rPr/>
      </w:pPr>
      <w:r>
        <w:rPr>
          <w:rFonts w:ascii="Amiri" w:hAnsi="Amiri" w:eastAsia="Amiri" w:cs="Amiri"/>
          <w:color w:val="111111"/>
          <w:sz w:val="28"/>
          <w:sz w:val="28"/>
          <w:szCs w:val="28"/>
          <w:rtl w:val="true"/>
          <w:lang w:bidi="ar-SA"/>
        </w:rPr>
        <w:t>قال شيخنا الاُستاذ الأراكي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صدق الحلّ في القسم الثاني أيضاً، فلا وجه لدعوى الاختصاص إلاّ أن يدّعى الانصراف</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يظهر من بعض العبائر جواز السحر لدفع السحر، ولكنّه محلّ إشكال ومنع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الاُستاذ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التعميم للدفع للسحر الغير الحاصل؛ فإنّ الدليل مختصّ بالرفع، ولا مناط منقّح في البين أيضاً حتّى يدّعى شموله للتوقّي والدفع أيضاً، والله العالم بأحكامه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ويعتضد ذلك بمعتبرة السقفي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السحر؛ إذ لا معنى للحلّ إلاّ بعد العقد، بل لعلّ الآية الكريمة ظاهرة في تعليم السحر لرفع السحر الموجود من ناحية الشياطين بناءً على الملازمة بين تعليم الشياطين </w:t>
      </w:r>
    </w:p>
    <w:p>
      <w:pPr>
        <w:pStyle w:val="BookText"/>
        <w:rPr/>
      </w:pPr>
      <w:r>
        <w:rPr>
          <w:rFonts w:ascii="IRNazanin" w:hAnsi="IRNazanin" w:eastAsia="IRNazanin"/>
          <w:color w:val="111111"/>
          <w:sz w:val="28"/>
          <w:sz w:val="28"/>
          <w:szCs w:val="28"/>
          <w:rtl w:val="true"/>
          <w:lang w:bidi="fa-IR"/>
        </w:rPr>
        <w:t>وعمل السحر من الناس غالباً،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شككنا في جواز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فاللازم هو الرجوع إلى مطلقات الحرمة أو عمومها؛ قضاءً للقاعدة في تقييد المطلقات أو تخصيص العمومات من الأخذ بالقدر المتيقّن من المخصّصات أو المقيّدات، والرجوع إلى العمومات أو المطلقات في الشبهات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مصباح الفقاهة؛ من أنّ القدر المتيقّن من الجواز هو صورة دفع ضرر الساحر</w:t>
      </w:r>
      <w:r>
        <w:rPr>
          <w:rStyle w:val="FootnoteAnchor"/>
          <w:rtl w:val="true"/>
        </w:rPr>
        <w:footnoteReference w:id="389"/>
      </w:r>
      <w:r>
        <w:rPr>
          <w:rFonts w:ascii="Amiri" w:hAnsi="Amiri" w:eastAsia="Amiri" w:cs="Amiri"/>
          <w:color w:val="111111"/>
          <w:sz w:val="28"/>
          <w:sz w:val="28"/>
          <w:szCs w:val="28"/>
          <w:rtl w:val="true"/>
          <w:lang w:bidi="ar-SA"/>
        </w:rPr>
        <w:t>، مع أنّ الأمر بالعكس؛ لما عرفت من اختصاص الآية الكريمة وخبر السقفي بصورة رفع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العلاّمة والشهيد والفاضل الميسي والشهيد الثاني هو المنع عن حلّ السحر بالسحر إلاّ إذا اقتضت الضرورة وكان سبب الحلّ منحصراً في السحر، فلا يجوز ذلك فيما لو أمكن رفع السحر بغيره من الأدعية والتعويذات، وهو مقتضى عدم إطلاق الأدلّة المرخّصة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كذلك؛ لأنّ الآية الكريمة حكت قضيّة في واقعة، فلا إطلاق لها، كما أنّ رواية السقفي في مقام بيان مورد الحلال في الجملة وليست في مقام بيان الخصوصيّات والشرائط، وعليه فلا وجه لرفع اليد عن الأدلّة الناهية إلاّ في القدر المتيقّن؛ وهو صورة الضرورة وانحصار الأمر في السحر، ولا يخفى أنّه لا يحتاج الجواز في صورة الضرورة إلى الأدلّة الخاصّة، بل مقتضى القاعدة رفع الحرمة عند الضرورة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فرض توقّف دفع مفسدة ترجّح على مفسدة عمله عليه، اتّجه الجواز كما في غيره من المحرّمات؛ مثل الكذب وشرب الخمر وغيرهما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160" w:name="pg17323_406036"/>
    </w:p>
    <w:p>
      <w:pPr>
        <w:pStyle w:val="Heading3"/>
        <w:numPr>
          <w:ilvl w:val="2"/>
          <w:numId w:val="1"/>
        </w:numPr>
        <w:rPr/>
      </w:pPr>
      <w:bookmarkStart w:id="161" w:name="__RefHeading___Toc875904_1280447820"/>
      <w:bookmarkStart w:id="162" w:name="_Toc57"/>
      <w:bookmarkEnd w:id="160"/>
      <w:bookmarkEnd w:id="161"/>
      <w:r>
        <w:rPr>
          <w:rtl w:val="true"/>
        </w:rPr>
        <w:t>الأمر السابع</w:t>
      </w:r>
      <w:r>
        <w:rPr>
          <w:rtl w:val="true"/>
        </w:rPr>
        <w:t xml:space="preserve">: </w:t>
      </w:r>
      <w:r>
        <w:rPr>
          <w:rtl w:val="true"/>
        </w:rPr>
        <w:t>في تسخير الجنّ والأرواح</w:t>
      </w:r>
      <w:bookmarkEnd w:id="162"/>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التسخيرات بأقسامها داخلة في السحر على جميع تعاريفه، وقد عرفت أنّ الشهيدين مع أخذ الإضرار في تحريم السحر ذكرا أنّ استخدام الملائكة والجنّ من السحر، ولعلّ وجه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تضرّر المسخّر بتسخيره، وأمّا سائر التعاريف فالظاهر شمولها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عبارة الإيضاح أيضاً دخول هذه في معقد دعواه الضرورة على التحريم؛ لأنّ الظاهر دخولها في الأقسام والعزائم والنفث، ويدخل في ذلك تسخير الحيوانات من الهوام والسباع والوحوش وغير ذلك، خصوصاً الإنسان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أقسام التسخيرات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اختصاص السحر بما لا يكون له واقعية وبما يكون مقروناً بالتمويه والخدعة والاستعانة بالشيطان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الرياض من تضعيف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استخدام الملائكة والجنّ واستنزال الشياطين في كشف الغائبات وعلاج المصاب، واستحضارهم وتلبّسهم ببدن صبىّ أو امرأة، وكشف الغائبات على ذلك</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مفتاح الكرامة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 في بدن المسحور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استخدامات الجنّ والملائكة واستنزال الشياطين ليست من السحر وإن حرمت من وجه آخر؛ لكونه كهانة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لذلك قال المحقّق الإيرواني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الظاهر المحصّل من مجموع الأخبار </w:t>
      </w:r>
    </w:p>
    <w:p>
      <w:pPr>
        <w:pStyle w:val="BookText"/>
        <w:rPr/>
      </w:pPr>
      <w:r>
        <w:rPr>
          <w:rFonts w:ascii="Amiri" w:hAnsi="Amiri" w:eastAsia="Amiri" w:cs="Amiri"/>
          <w:color w:val="111111"/>
          <w:sz w:val="28"/>
          <w:sz w:val="28"/>
          <w:szCs w:val="28"/>
          <w:rtl w:val="true"/>
          <w:lang w:bidi="ar-SA"/>
        </w:rPr>
        <w:t>وكلمات الفقهاء 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التسخيرات بأقسامها من السحر، فإن حرمت حرمت من جهة اُخرى، ولأجل انطباق عنوان 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فالأمر في تسخير الحيوانات أوضح، فهل يمكن الالتزام بجواز تسخير الحيوانات بالقهر والغلبة والضرب ومع ذلك لا يجوز تسخيرها بما يوجب دخولها تحت الخدمة طوعاً؟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الوجه في خروج التسخيرات بأقسامها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صدق تعريف السحر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صرف الشيء عن وجهه على سبيل الخديعة والتمويه من دون أن يكون له واقعية، فاستحداث الاُمور الخارقة للعادة ليس من السحر، ولو تمكّن أحد من إحداث الاُمور الغريبة بواسطة القوّة النفسانية الحاصلة بالرياضة أو بصرف المقدّمات فلا يقال له إنّه ساحر، بل لا دليل على حرمته؛ فإنّ هذا شعار أهل 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خروج 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الاستعانة بالأرواح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السحر موضوعاً وحكماً، تعليماً وتعلّماً، بل لا دليل على حرمته في نفسه إلاّ إذا ترتّب عليه عنوان محرّم من إيذاء الإنسان والإضرار به، أو كانت مقدّماتها محرّمة، فيحرم الاشتغال بها؛ وإلاّ فلا يحرم استخدام الجنّ وكشف الغائبات بواسطتهم، بل لا دليل على حرمة إيذائهم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خروج الاستعانة بالأرواح الأرضية واستخدام الجنّ من السحر موضوعاً وحكماً،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انطبق على ذلك شيء من العناوين المحرّمة حكم عليه بالحرمة؛ لتلك الجهة المحرّمة لا لكونه سحراً، كما إذا اشتملت التسخيرات على المقدّمات المحرّمة، أو كان المسخِّر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لعمله ذلك عرضاً للتضرّر أو التلف أو الجنون أو لارتكاب شيء آخر من الاُمور غير المشروعة، أو كان</w:t>
      </w:r>
    </w:p>
    <w:p>
      <w:pPr>
        <w:pStyle w:val="BookText"/>
        <w:rPr/>
      </w:pPr>
      <w:r>
        <w:rPr>
          <w:rFonts w:ascii="Amiri" w:hAnsi="Amiri" w:eastAsia="Amiri" w:cs="Amiri"/>
          <w:color w:val="111111"/>
          <w:sz w:val="28"/>
          <w:sz w:val="28"/>
          <w:szCs w:val="28"/>
          <w:rtl w:val="true"/>
          <w:lang w:bidi="ar-SA"/>
        </w:rPr>
        <w:t xml:space="preserve">المسخَّر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من الإنس أو ملكاً وكان التسخير ظلماً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انتفاء العناوين المحرّمة فلا وجه للحرمة، كتسخير الكفّار من الإنس والجنّ وإن اشتمل ذلك على إيذائهم؛ وإلاّ لما جاز قتل الكفّار وأخذ الجزية منهم وهم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يجوز تسخير الحيوانات مطلقاً خصوصاً المؤذيات منها، كالعقارب والحيّات والسباع؛ وإلاّ لما جاز استخدام الحمولة وقتل المؤذيات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المحقّق الإيرواني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فالأمر في تسخير الحيوانات أوضح، فهل يمكن الالتزام بجواز تسخير الحيوانات بالقهر والغلبة والضرب ومع ذلك لا يجوز تسخيرها بما يوجب دخولها تحت الخدمة طوعاً؟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أفاد وأجاد، إلاّ أنّه مع حرمة الإيذاء والإضرار ولو في حقّ الكفّار محلّ تأمّل وإشكال إلاّ إذا كانوا في حرب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سلّمنا حرمة التسخيرات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ابتغاء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بنحو التسخير، وأمّا لو حصل في النفس بالعلم أو الرياضة أو كليهما قوّةٌ بها يقدر على الاتّصال بالملائكة والأرواح بدون التأثير فيهم وتسخيرهم بل بعد الاتّصال يسأل ويتقاضى عنهم بعض الاُمور أو بعض الإعانات فلا؛ لعدم وضوح كون ذلك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 إطلاق كلام الإيضاح له غير واضح أيضاً؛ إذ ليس في مقام الإطلاق؛ وإلاّ كان الاستشفاع بالملائكة أيضاً حراماً، بل هو ناظر إلى ما يدّعى أنّه التسخير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تعارض أقوال العلماء في تعريف السحر 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الاطمئنان بكون جميع أقسام السحر مورداً للاتّفاق والضرورة، وعليه فاللازم هو </w:t>
      </w:r>
    </w:p>
    <w:p>
      <w:pPr>
        <w:pStyle w:val="BookText"/>
        <w:rPr/>
      </w:pPr>
      <w:r>
        <w:rPr>
          <w:rFonts w:ascii="Amiri" w:hAnsi="Amiri" w:eastAsia="Amiri" w:cs="Amiri"/>
          <w:color w:val="111111"/>
          <w:sz w:val="28"/>
          <w:sz w:val="28"/>
          <w:szCs w:val="28"/>
          <w:rtl w:val="true"/>
          <w:lang w:bidi="ar-SA"/>
        </w:rPr>
        <w:t xml:space="preserve">الأخذ بالقدر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يصدق عليه السحر من غير أن يكون له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بالحرمة، وأمّا غيره فمحكوم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مورد يشكّ في كونه سحراً أو لا أو يشكّ في كونه ضرريّاً أو لا، فمقتضى البراءة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ينقدح ما في مستند الشيعة من قبول دعوى الإجماع في التسخيرات،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في عدم كون الأوّلين سحراً، كما أنّ الظاهر كون الخامس سحراً والبواقي مشتبهة يقتضي فيها الإباحة إلاّ ما علمت حرمته من جهة الإجماع كما هو الظاهر في التسخيرات</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سابقاً خلوّ عبارات القدماء عن تعريف السحر، ولم يتعرّض أحد منهم لشمول السحر للتسخيرات ولا لعدم جوازها، وعليه فدعوى الإجماع في مثل المقام تكون مبنيّة على الحدس على اتّفاق نظر السابقين مع المتأخّرين في تعريف السحر وشموله للتسخيرات، وهو كما ترى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حرمة التسخيرات ما لم تتأوّل بعنوان الإضرار أو الإيذاء أو الكهانة، وأنّ الحرام في السحر هو تعليمه وتعلّمه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رؤية عمل الساحر فلا دليل على حرمتها، فيجوز أن ينظر إلى عمل الساحر المرتكب للحرام، أللهمّ إلاّ أن يكون ترك الرؤية من مصاديق النهي عن المنكر، وبهذا الاعتبار لا يجوز رؤية عمل الساحر ومصاحبته كما لا يخفى</w:t>
      </w:r>
      <w:r>
        <w:rPr>
          <w:rFonts w:eastAsia="Amiri" w:cs="Amiri" w:ascii="Amiri" w:hAnsi="Amiri"/>
          <w:color w:val="111111"/>
          <w:sz w:val="28"/>
          <w:szCs w:val="28"/>
          <w:rtl w:val="true"/>
          <w:lang w:bidi="ar-SA"/>
        </w:rPr>
        <w:t xml:space="preserve">. </w:t>
      </w:r>
      <w:bookmarkStart w:id="163" w:name="pg17323_406040"/>
    </w:p>
    <w:p>
      <w:pPr>
        <w:pStyle w:val="Heading2"/>
        <w:numPr>
          <w:ilvl w:val="1"/>
          <w:numId w:val="1"/>
        </w:numPr>
        <w:rPr/>
      </w:pPr>
      <w:bookmarkStart w:id="164" w:name="__RefHeading___Toc875906_1280447820"/>
      <w:bookmarkStart w:id="165" w:name="_Toc58"/>
      <w:bookmarkEnd w:id="163"/>
      <w:bookmarkEnd w:id="164"/>
      <w:r>
        <w:rPr>
          <w:rtl w:val="true"/>
        </w:rPr>
        <w:t xml:space="preserve">المسألة التاسعة والعشرون </w:t>
      </w:r>
      <w:r>
        <w:rPr>
          <w:rtl w:val="true"/>
        </w:rPr>
        <w:t>«</w:t>
      </w:r>
      <w:r>
        <w:rPr>
          <w:rtl w:val="true"/>
        </w:rPr>
        <w:t>في السخرية</w:t>
      </w:r>
      <w:r>
        <w:rPr>
          <w:rtl w:val="true"/>
        </w:rPr>
        <w:t>»</w:t>
      </w:r>
      <w:bookmarkEnd w:id="165"/>
    </w:p>
    <w:p>
      <w:pPr>
        <w:pStyle w:val="Heading3"/>
        <w:numPr>
          <w:ilvl w:val="2"/>
          <w:numId w:val="1"/>
        </w:numPr>
        <w:rPr/>
      </w:pPr>
      <w:bookmarkStart w:id="166" w:name="__RefHeading___Toc875908_1280447820"/>
      <w:bookmarkStart w:id="167" w:name="_Toc59"/>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والكلام فيها يقع في عدّة جهات</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75910_1280447820"/>
      <w:bookmarkStart w:id="169" w:name="_Toc60"/>
      <w:bookmarkEnd w:id="168"/>
      <w:r>
        <w:rPr>
          <w:rtl w:val="true"/>
        </w:rPr>
        <w:t>الجهة الاُولى</w:t>
      </w:r>
      <w:r>
        <w:rPr>
          <w:rtl w:val="true"/>
        </w:rPr>
        <w:t xml:space="preserve">: </w:t>
      </w:r>
      <w:r>
        <w:rPr>
          <w:rtl w:val="true"/>
        </w:rPr>
        <w:t>في حقيقة السخرية</w:t>
      </w:r>
      <w:bookmarkEnd w:id="169"/>
    </w:p>
    <w:p>
      <w:pPr>
        <w:pStyle w:val="BookText"/>
        <w:rPr/>
      </w:pPr>
      <w:r>
        <w:rPr>
          <w:rFonts w:ascii="Amiri" w:hAnsi="Amiri" w:eastAsia="Amiri" w:cs="Amiri"/>
          <w:color w:val="111111"/>
          <w:sz w:val="28"/>
          <w:sz w:val="28"/>
          <w:szCs w:val="28"/>
          <w:rtl w:val="true"/>
          <w:lang w:bidi="ar-SA"/>
        </w:rPr>
        <w:t>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وسخر منه وبه بمعنىً واحد؛ أي هزئ به، والتعدّي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السعادات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السخرية والاستهزاء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محاكاة أقوال الناس أو أفعالهم أو صفاتهم وخلقهم؛ قولاً وفعلاً أو إيماءً وإشارةً‌، على وجه يضحك منه، وهو لا ينفكّ عن الإيذاء والتحقير والتنبيه على العيوب والنقائص وإن لم يكن ذلك بحضرة المستهزأ به، فيتضمّن الغيبة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ريب في أنّه صفةُ مَن لا حظّ له في الدين، وشيمة أراذل أحزاب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جميع ما ذكر إنّما هو في حقّ من يؤذي الناس ويهينهم باستهزائه وسخريته، وأمّا من جعل نفسه مسخرة ويسرّ أن يهزل ويسخر به وإن كان هو ظالماً لنفسه خارجاً عن شعار المؤمنين حيث أهان نفسه وأذلّها، إلاّ أنّ سخرية الغير به من جملة المزاح، ويأتي ما يذمّ منه وما يحمد، وإنّما المحرّم منه ما يؤدّي إلى </w:t>
      </w:r>
    </w:p>
    <w:p>
      <w:pPr>
        <w:pStyle w:val="BookText"/>
        <w:rPr/>
      </w:pPr>
      <w:r>
        <w:rPr>
          <w:rFonts w:ascii="Amiri" w:hAnsi="Amiri" w:eastAsia="Amiri" w:cs="Amiri"/>
          <w:color w:val="111111"/>
          <w:sz w:val="28"/>
          <w:sz w:val="28"/>
          <w:szCs w:val="28"/>
          <w:rtl w:val="true"/>
          <w:lang w:bidi="ar-SA"/>
        </w:rPr>
        <w:t>إيذائه وتحقيره بأن يضحك على كلامه إذا يخبط ولم ينتظم، أو على أفعاله إذا كانت مشوّشة، أو على صورته وخلقته إذا كان قصيراً أو طويلاً أو ناقصاً بعيب من العيوب، فالضحك على جملة ذلك داخل في السخرية المنهي عنها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الاستهزاء لا ينحصر في القول أو الفعل أو الإيماء والإشارة، بل يشمل أيضاً الكتابة والرسم المعبّر عنه في زماننا هذا بالكاريكاتير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تصدق السخرية على من أظهر الإيمان بنبيّ في الصباح وكفر به في المساء سخريةً‌، أو على من دعا شخصاً إلى الضيافة فأجاب مع أنّه لم يصدق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فجميع ما يوجب الاستهزاء والسخرية داخل في البحث، وأمّا الغيبة فليست ملازمة للسخرية وإن اتّحدت معها في بعض الأحيان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ينقدح ما في الميزان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السخرية هي الاستهزاء، وهو ذكر ما يستحقر ويستهان به الإنسان بقول أو إشارة أو فعل تقليداً بحيث يضحك منه بالطبع</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عرفت من أنّ الاستهزاء ربّما يتحقّق بالكتابة أو الرسوم الكاريكاتيرية أو بغيرهما ممّا ذكرناه آنفاً، وكان عليه أن يذكر هذه الموارد،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اكتفى بما ذكر من باب المثال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يذهب عليك أنّ من جعل نفسه في معرض السخرية ويسرّ أن يهزل به ويسخر منه فقد رضي بالإذلال والتحقير، ولا يوجب الرضا المذكور عدم صدق السخرية على الاستهزاء به، فلا وجه لجعله من أقسام المزاح بل هو من أقسام السخرية، ويترتّب عليه ما يترتّب على 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تقليد شخص في الكلام أو الأفعال خالياً عن </w:t>
      </w:r>
      <w:bookmarkStart w:id="170" w:name="pg17323_406042"/>
    </w:p>
    <w:p>
      <w:pPr>
        <w:pStyle w:val="BookText"/>
        <w:rPr/>
      </w:pPr>
      <w:bookmarkEnd w:id="170"/>
      <w:r>
        <w:rPr>
          <w:rFonts w:ascii="Amiri" w:hAnsi="Amiri" w:eastAsia="Amiri" w:cs="Amiri"/>
          <w:color w:val="111111"/>
          <w:sz w:val="28"/>
          <w:sz w:val="28"/>
          <w:szCs w:val="28"/>
          <w:rtl w:val="true"/>
          <w:lang w:bidi="ar-SA"/>
        </w:rPr>
        <w:t xml:space="preserve">الإذلال والتحقير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هازلاً لاجادّاً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المسخور منه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ذلك من أحبّائه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دخوله في المزاح، فتترتّب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كثرة المزاح تنافي المروءة، كما حكي عن مجموعة الشهيد نقلاً من كتاب معاذ بن ثابت إلى الحسن الجوهري، عن عمرو بن جميع،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وكثرة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يذهب البهاء عن الوجوه، ويذهب بالمروءة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السخرية لا تختصّ ببعض الموارد المذكورة، بل تعمّ جميع الموارد المذكورة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 هو صدقها، فيترتّب عليها حكمها، وليس كلّ تقليد لكلام الغير أو فعله سخرية، كما إذا كان ذلك للمحبّة لا للإذلال أو التحقير</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875912_1280447820"/>
      <w:bookmarkStart w:id="172" w:name="_Toc61"/>
      <w:bookmarkEnd w:id="171"/>
      <w:r>
        <w:rPr>
          <w:rtl w:val="true"/>
        </w:rPr>
        <w:t>الجهة الثانية</w:t>
      </w:r>
      <w:r>
        <w:rPr>
          <w:rtl w:val="true"/>
        </w:rPr>
        <w:t xml:space="preserve">: </w:t>
      </w:r>
      <w:r>
        <w:rPr>
          <w:rtl w:val="true"/>
        </w:rPr>
        <w:t>في أدلّة حرمتها</w:t>
      </w:r>
      <w:bookmarkEnd w:id="172"/>
    </w:p>
    <w:p>
      <w:pPr>
        <w:pStyle w:val="BookText"/>
        <w:rPr/>
      </w:pPr>
      <w:r>
        <w:rPr>
          <w:rFonts w:ascii="Amiri" w:hAnsi="Amiri" w:eastAsia="Amiri" w:cs="Amiri"/>
          <w:color w:val="111111"/>
          <w:sz w:val="28"/>
          <w:sz w:val="28"/>
          <w:szCs w:val="28"/>
          <w:rtl w:val="true"/>
          <w:lang w:bidi="ar-SA"/>
        </w:rPr>
        <w:t>يدلّ على حرمة السخرية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 لاٰ نِسٰاءٌ مِنْ نِسٰاءٍ عَسىٰ أَنْ يَكُنَّ خَيْراً مِنْهُنَّ‌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وهو في الأصل الرجال دون النساء؛ لقيامهم بالاُمور المهمّة دونهنّ‌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المراد بالقوم في الآية بما قوبل بالنساء</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زبدة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لا يسخر بعض المسلمين والمسلمات بعضهم، وإنّما اقتصر في الاُولى على المسلمين وفي الثانية على المسلمات للوقوع والكثرة؛ إذ قد </w:t>
      </w:r>
    </w:p>
    <w:p>
      <w:pPr>
        <w:pStyle w:val="BookText"/>
        <w:rPr/>
      </w:pPr>
      <w:r>
        <w:rPr>
          <w:rFonts w:ascii="Amiri" w:hAnsi="Amiri" w:eastAsia="Amiri" w:cs="Amiri"/>
          <w:color w:val="111111"/>
          <w:sz w:val="28"/>
          <w:sz w:val="28"/>
          <w:szCs w:val="28"/>
          <w:rtl w:val="true"/>
          <w:lang w:bidi="ar-SA"/>
        </w:rPr>
        <w:t>يكون المسخور منه خيراً عند الله من الساخر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القوم مخصوص بالرجال، كالنساء بالمرأة، ويحتمل العموم، وخصّ هنا للمقابلة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تقييد المسخور منه في الفقرة الاُولى بالرجال وفي الفقرة الثانية بالنساء من باب الوقوع والكثرة فلا يوجب تقييد الحكم، بل لا يجوز أن يسخر المؤمنون والمؤمنات بعضهم من بعض مطلقاً؛ سواء كان الساخر أو المسخور منه رجلاً أو امرأة، كما صرّح به في زبدة البيان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يسخر بعض المسلمين والمسلمات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ظهور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يَكُونُوا خَيْراً مِنْهُمْ‌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يَكُنَّ خَيْراً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احتمال الخير الفعلي يمنع من شمول الحكم لغير المؤمنين والمؤمنات؛ إذ لا يجتمع احتمال الخير بالفعل مع الكفر والنفاق، وعليه فالتحريم مختصّ بالسخرية من المؤمنين والمؤمنات ولا يشمل الكفّار والمنافقين، فلا حرمة للسخرية منهم ما لم ينطبق عليها عنوان من العناوين المحرّمة أو المرجوحة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يَكُونُوا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يَكُنَّ خَيْراً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سخرية المؤمنين والمؤمنات محرّمة مطلقاً وإن اطمأنّ الساخر أو علم بكون نفسه خيراً من المسخور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 فَيَسْخَرُونَ مِنْهُمْ سَخِرَ اَللّٰهُ مِنْهُمْ وَ لَهُمْ عَذٰابٌ أَلِيمٌ‌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واللَّمّاز كالهَمّاز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العَيّاب، وخصّ بعض اللغويّين الأوّل بمن يعيب في وجهك، </w:t>
      </w:r>
      <w:bookmarkStart w:id="173" w:name="pg17323_406044"/>
    </w:p>
    <w:p>
      <w:pPr>
        <w:pStyle w:val="BookText"/>
        <w:rPr/>
      </w:pPr>
      <w:bookmarkEnd w:id="173"/>
      <w:r>
        <w:rPr>
          <w:rFonts w:ascii="Amiri" w:hAnsi="Amiri" w:eastAsia="Amiri" w:cs="Amiri"/>
          <w:color w:val="111111"/>
          <w:sz w:val="28"/>
          <w:sz w:val="28"/>
          <w:szCs w:val="28"/>
          <w:rtl w:val="true"/>
          <w:lang w:bidi="ar-SA"/>
        </w:rPr>
        <w:t>والثاني بمن يعيب في ظهر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الذين يلمزون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المنافقون الذين كانوا يسخرون من الذين لا يجدون إلاّ جهدهم ومع ذلك كانوا ينفقون بمقدار قدرتهم، وكان ما أنفقوه قليلاً بالنسبة إلى ما أنفقه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تدلّ على حرمة السخرية واستحقاق الساخر للعذاب؛ ولذلك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الاستهزاء بالمؤمنين من كبائر الذنوب؛ لوقوع التصريح فيها بالعذاب</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875914_1280447820"/>
      <w:bookmarkStart w:id="175" w:name="_Toc62"/>
      <w:bookmarkEnd w:id="174"/>
      <w:r>
        <w:rPr>
          <w:rtl w:val="true"/>
        </w:rPr>
        <w:t>الجهة الثالثة</w:t>
      </w:r>
      <w:r>
        <w:rPr>
          <w:rtl w:val="true"/>
        </w:rPr>
        <w:t xml:space="preserve">: </w:t>
      </w:r>
      <w:r>
        <w:rPr>
          <w:rtl w:val="true"/>
        </w:rPr>
        <w:t>في كفر من استهزء بالايات</w:t>
      </w:r>
      <w:bookmarkEnd w:id="175"/>
    </w:p>
    <w:p>
      <w:pPr>
        <w:pStyle w:val="BookText"/>
        <w:rPr/>
      </w:pPr>
      <w:r>
        <w:rPr>
          <w:rFonts w:ascii="Amiri" w:hAnsi="Amiri" w:eastAsia="Amiri" w:cs="Amiri"/>
          <w:color w:val="111111"/>
          <w:sz w:val="28"/>
          <w:sz w:val="28"/>
          <w:szCs w:val="28"/>
          <w:rtl w:val="true"/>
          <w:lang w:bidi="ar-SA"/>
        </w:rPr>
        <w:t xml:space="preserve">إنّ الاستهزاء والسخرية من آيات الله والأنبياء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والأديان الإلهية كفرٌ، ويدلّ على ذلك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إِنَّمٰا كُنّٰا نَخُوضُ وَ نَلْعَبُ قُلْ أَ بِاللّٰهِ وَ آيٰاتِهِ وَ رَسُولِهِ كُنْتُمْ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176" w:name="pg17323_406045"/>
    </w:p>
    <w:p>
      <w:pPr>
        <w:pStyle w:val="BookText"/>
        <w:rPr/>
      </w:pPr>
      <w:bookmarkEnd w:id="176"/>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السخرية من المؤمنين والمؤمنات من جهة إيمانهم ترجع إلى السخرية من الدين، فيترتّب عليها ما يترتّب عليها إن كان الساخر ملتفتاً إلى ذلك، فتدبّر</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875916_1280447820"/>
      <w:bookmarkStart w:id="178" w:name="_Toc63"/>
      <w:bookmarkEnd w:id="177"/>
      <w:r>
        <w:rPr>
          <w:rtl w:val="true"/>
        </w:rPr>
        <w:t>الجهة الرابعة</w:t>
      </w:r>
      <w:r>
        <w:rPr>
          <w:rtl w:val="true"/>
        </w:rPr>
        <w:t xml:space="preserve">: </w:t>
      </w:r>
      <w:r>
        <w:rPr>
          <w:rtl w:val="true"/>
        </w:rPr>
        <w:t>في اختصاص الحرمة بما إذا كان الفرض هتكا</w:t>
      </w:r>
      <w:bookmarkEnd w:id="178"/>
    </w:p>
    <w:p>
      <w:pPr>
        <w:pStyle w:val="BookText"/>
        <w:rPr/>
      </w:pPr>
      <w:r>
        <w:rPr>
          <w:rFonts w:ascii="Amiri" w:hAnsi="Amiri" w:eastAsia="Amiri" w:cs="Amiri"/>
          <w:color w:val="111111"/>
          <w:sz w:val="28"/>
          <w:sz w:val="28"/>
          <w:szCs w:val="28"/>
          <w:rtl w:val="true"/>
          <w:lang w:bidi="ar-SA"/>
        </w:rPr>
        <w:t>إنّ حرمة سخرية المؤمنين والمؤمنات بعضهم من بعض واضحة فيما إذا كان الغرض تحقير المسخور منه وإذلاله وهتك حرمته، هذا مضافاً إلى أنّها لا تنفكّ نوعاً عن الإيذاء، وربّما تكون مصداقاً للغيبة أيضاً، كما إذا كانت في ظهر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الغرض ذلك، بل كان الغرض تنبيه الشخص إلى ما في نفسه من العيوب ليصلح نفسه، أو إلى ما في فعله وكيفية عمله من الإشكالات ليسعى في رفعها، ففي هذه الصورة يمكن القول بجوازها؛ لأنّها ليست بهتك، بل هي رفع الذلّة وإيجاد الرفعة، أو الإرشاد والنصيحة، أو الأمر بالمعروف والنهي عن المنكر فيما إذا انحصرت تلك الاُمور فيها، فلا تحرم وإن كانت موجبة للإيذاء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السخرية والاستهزاء يشمل تلك الموارد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منصرفة عن مثل هذه الموارد، وإن أبيت عن ذلك فقد تتزاحم مفسدة السخرية والاستهزاء مع مصلحة الأمر بالمعروف والنهي عن المنكر ونحوها، فاللازم حينئذ تقديم الأهمّ منهما إن كان، وإلاّ فهو محكوم بالتخيير فيما إذا دار الأمر بين المحذورين؛ أي الحرمة والوجوب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الحرمة لا ترتفع فيما إذا جعل الشخص نفسه في معرض السخرية ويسرّ أن يهزل ويسخر به؛ لأنّ الله تعالى لا يرضى بإذلال المؤمنين وإن رضوا هم بذلك</w:t>
      </w:r>
      <w:r>
        <w:rPr>
          <w:rFonts w:eastAsia="Amiri" w:cs="Amiri" w:ascii="Amiri" w:hAnsi="Amiri"/>
          <w:color w:val="111111"/>
          <w:sz w:val="28"/>
          <w:szCs w:val="28"/>
          <w:rtl w:val="true"/>
          <w:lang w:bidi="ar-SA"/>
        </w:rPr>
        <w:t xml:space="preserve">. </w:t>
      </w:r>
      <w:bookmarkStart w:id="179" w:name="pg17323_406046"/>
    </w:p>
    <w:p>
      <w:pPr>
        <w:pStyle w:val="BookText"/>
        <w:rPr/>
      </w:pPr>
      <w:bookmarkEnd w:id="179"/>
      <w:r>
        <w:rPr>
          <w:rFonts w:ascii="Amiri" w:hAnsi="Amiri" w:eastAsia="Amiri" w:cs="Amiri"/>
          <w:color w:val="111111"/>
          <w:sz w:val="28"/>
          <w:sz w:val="28"/>
          <w:szCs w:val="28"/>
          <w:rtl w:val="true"/>
          <w:lang w:bidi="ar-SA"/>
        </w:rPr>
        <w:t>وممّا ذكر يظهر ما في جامع السعادات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جعل نفسه مسخرة ويسرّ أن يهزل ويسخر به، وإن كان هو ظالماً لنفسه خارجاً عن شعار المؤمنين حيث أهان نفسه وأذلّها إلاّ أنّ سخرية الغير به من جملة المزاح، ويأتي به ما يذمّ منه وما يحمد، وإنّما المحرّم منه ما يؤدّي إلى إيذائه وتحقيره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التحقير والإذلال موجودان في هذه الصورة، وإطلاق دليل الحرمة يشملهما، وتخلّف الإيذاء لا يمنع عن حرمة الاستهزاء والسخرية مع وجود سائر 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الإذلال والتحقير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فلا تغفل</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875918_1280447820"/>
      <w:bookmarkStart w:id="181" w:name="_Toc64"/>
      <w:bookmarkEnd w:id="180"/>
      <w:r>
        <w:rPr>
          <w:rtl w:val="true"/>
        </w:rPr>
        <w:t>الجهة الخامسة</w:t>
      </w:r>
      <w:r>
        <w:rPr>
          <w:rtl w:val="true"/>
        </w:rPr>
        <w:t xml:space="preserve">: </w:t>
      </w:r>
      <w:r>
        <w:rPr>
          <w:rtl w:val="true"/>
        </w:rPr>
        <w:t>في إنّ الاكل في مقابل السخرية أكل المال بالباطل</w:t>
      </w:r>
      <w:bookmarkEnd w:id="181"/>
    </w:p>
    <w:p>
      <w:pPr>
        <w:pStyle w:val="BookText"/>
        <w:rPr/>
      </w:pPr>
      <w:r>
        <w:rPr>
          <w:rFonts w:ascii="Amiri" w:hAnsi="Amiri" w:eastAsia="Amiri" w:cs="Amiri"/>
          <w:color w:val="111111"/>
          <w:sz w:val="28"/>
          <w:sz w:val="28"/>
          <w:szCs w:val="28"/>
          <w:rtl w:val="true"/>
          <w:lang w:bidi="ar-SA"/>
        </w:rPr>
        <w:t>إنّ أخذ الاُجرة في مقابل السخرية أكلٌ للمال بالباطل، ولا يملكها الساخر؛ لأنّ السخرية محرّمة، والعمل المحرّم لا يقابل بالأعواض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والإذن والإجازة لا يوجبان الحلّية بعد كون السخرية محرّمة؛ لعدم رضا الشارع بإذلال المؤمنين، ورضا المسخور منه بالإذلال غير مقبول في الشرع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بطلان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 في خبر الحسن بن عليّ بن شعبة على أنّ كلّ أمر منهيّ عنه من جهة من الجهات فمحرّم على الإنسان إجارة نفسه فيه أو له؛ أو شيء منه أو 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يجوز أن يؤجر نفسه لعمل الاستهزاء أو السخرية كما لا يجوز ذلك لمقدّماتهما، وكما أنّ إيجار النفس لا يجوز لهما فكذلك لا يجوز ذلك لبعض العمل المحرّم أو لبعض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النهي عن الأكل في الآية الكريمة كالنهي عن المعاملة إرشادٌ إلى فساد المعاملة؛ لأنّه في قوّة النهي عن العوض والثمن، ومن المعلوم أنّ المعاملة بلا ثمن وعوض ليست بمعاملة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 بين الإجارة والجعالة والهبة المعوّضة والمصالحة بعد كون السخرية محرّمة كما عرفت؛ إذ مع المنع عنها لا مالية لها، ومع عدم ماليّتها لا تصلح للمعاملة بأيّة كيفية كانت كما لا يخفى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فيحرم مثل الكاريكاتير إن كان موجباً لتحقير أو إذلال المؤمنين أو المؤمنات، ولا يملك الساخر ما أخذه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لم يكن موجباً لذلك أو كان كذلك بالنسبة إلى غير المؤمنين من الكفّار والأجانب ممّن لا حرمة لهم فلا يكون محرّماً، ولا مانع من أخذ شيء في قباله، والله العالم</w:t>
      </w:r>
      <w:r>
        <w:rPr>
          <w:rFonts w:eastAsia="Amiri" w:cs="Amiri" w:ascii="Amiri" w:hAnsi="Amiri"/>
          <w:color w:val="111111"/>
          <w:sz w:val="28"/>
          <w:szCs w:val="28"/>
          <w:rtl w:val="true"/>
          <w:lang w:bidi="ar-SA"/>
        </w:rPr>
        <w:t xml:space="preserve">. </w:t>
      </w:r>
      <w:bookmarkStart w:id="182" w:name="pg17323_406048"/>
    </w:p>
    <w:p>
      <w:pPr>
        <w:pStyle w:val="Heading2"/>
        <w:numPr>
          <w:ilvl w:val="1"/>
          <w:numId w:val="1"/>
        </w:numPr>
        <w:rPr/>
      </w:pPr>
      <w:bookmarkStart w:id="183" w:name="__RefHeading___Toc875920_1280447820"/>
      <w:bookmarkStart w:id="184" w:name="_Toc65"/>
      <w:bookmarkEnd w:id="182"/>
      <w:bookmarkEnd w:id="183"/>
      <w:r>
        <w:rPr>
          <w:rtl w:val="true"/>
        </w:rPr>
        <w:t xml:space="preserve">المسألة الثلاثون </w:t>
      </w:r>
      <w:r>
        <w:rPr>
          <w:rtl w:val="true"/>
        </w:rPr>
        <w:t>«</w:t>
      </w:r>
      <w:r>
        <w:rPr>
          <w:rtl w:val="true"/>
        </w:rPr>
        <w:t>سدّ المعابر</w:t>
      </w:r>
      <w:r>
        <w:rPr>
          <w:rtl w:val="true"/>
        </w:rPr>
        <w:t>»</w:t>
      </w:r>
      <w:bookmarkEnd w:id="184"/>
    </w:p>
    <w:p>
      <w:pPr>
        <w:pStyle w:val="Heading3"/>
        <w:numPr>
          <w:ilvl w:val="2"/>
          <w:numId w:val="1"/>
        </w:numPr>
        <w:rPr/>
      </w:pPr>
      <w:bookmarkStart w:id="185" w:name="__RefHeading___Toc875922_1280447820"/>
      <w:bookmarkStart w:id="186" w:name="_Toc6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قال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الشوارع والطرق العامّة وإن كانت معدّة لاستطراق عامّة الناس ومنفعتها الأصلية التردّد فيها بالذهاب والإياب، إلاّ أنّه يجوز لكلّ أحد الانتفاع بها بغير ذلك؛ من جلوس أو نوم أو صلاة أو غيرها، بشرط أن لا يتضرّر بها أحد على الأحوط ولم يزاحم المستطرقين ولم يتضيّق على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قدس سره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الجلوس غير 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للاستراحة أو النزهة، وبين ما كان للحرفة والمعاملة إذا جلس في الرحاب والمواضع المتّسعة؛ لئلاّ يتضيّق على المارّة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الجلوس في الرحاب أو المواضع المتّسعة خارج عن محلّ البحث؛ لأنّ تلك المواضع ليست من الطرق، والبحث حول جواز الجلوس في نفس الطرق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الأصل والسيرة القطعية يقتضيان جواز </w:t>
      </w:r>
    </w:p>
    <w:p>
      <w:pPr>
        <w:pStyle w:val="BookText"/>
        <w:rPr/>
      </w:pPr>
      <w:r>
        <w:rPr>
          <w:rFonts w:ascii="Amiri" w:hAnsi="Amiri" w:eastAsia="Amiri" w:cs="Amiri"/>
          <w:color w:val="111111"/>
          <w:sz w:val="28"/>
          <w:sz w:val="28"/>
          <w:szCs w:val="28"/>
          <w:rtl w:val="true"/>
          <w:lang w:bidi="ar-SA"/>
        </w:rPr>
        <w:t>سائر وجوه الانتفاع بالمنافع المشتركة إذا لم تعارض أصل المنفعة المقصودة منه الذي اُعدّ لها؛ بإحياء المحيي أو بوقف الواقف أو بتسبيل المسبّل أو بغير ذلك،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يدوم اثر التصرّف كالبناء ونحوه، وبين ما لا يدوم مع فرض عدم إخراجه بذلك عمّا اُعدّ له، فلو بنى بعض أرض الطريق بآجرّ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يخرجه عن أصل الاستطراق، لم يكن بذلك بأس وإن كان مراده بذلك الاستئثار به لو أراد الجلوس عليه غير المضرّ بالمارّة؛ باعتبار أنّه ملكه، نحو وضع البساط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ولاينافي ذلك ثبوت حقّ الاستطراق بعدما سمعت من الإجماع على جواز الارتفاق بغير المضرّ به، فليس للمستطرق حينئذ اختيار هذه القطعة لاستطراقه بعد فرض وجود ما يصلح له غيرها؛ إذ الثابت له حقّ الاستطراق في المجموع لا في كلّ جزء؛ ومن هنا لم يكن له إزعاج الجالس غير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الطريقة على وضع القمامة وغيرها في الطرقات إذا لم تكن مضرّة بالمستطرق؛ لوجود ما يصلح لاستطراقه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اشتراك الناس فيها بعد أن كان الثابت من الاشتراك كونه على الوجه المزبور، بل مؤكّد له، ومن ذلك استمرار الناس على الانتفاع بالمساجد بغير العبادة مع عدم المزاحمة لأهل المنفعة المقصودة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الانتفاع بغيرها إلاّ ما جرت السيرة عليه، لا حاصل لها بعد أن علم منها الجواز على وجه الكلّية لا خصوص أفراد من الارتفاق، بل صريح كلمات الاصحاب أنّ المدار على تضرّر ذوي المنفعة المقصودة وعدمه كما هو واضح، والله العالم</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المحكي عن المسالك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اختلفوا في جواز الجلوس للبيع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بعضهم مطلقاً؛ لأنّه انتفاع بالبقعة في غير ما اُعدّت له، فكان كالانتفاع بالوقوفات الخاصّة في غير ما عيّنت له من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وهو المنع من ذلك في الطريق المسلوك الذي لا يؤمن تأذّي المارّة به غالباً، وجوازه في الرحاب المتّسعة في خلاله بحيث يؤمن تأذّي المارّة به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ما حكاه من القول الأوّل لم نعرفه لأحد من العامّة والخاصّة، وقد نقل هو وغيره إجماع الناس في جميع الأعصار على فعل ذلك مع عدم التضرّر، من غير فرق بين الجلوس للبيع وغيره انّ التفصيل المزبور لم نعرفه أيضاً لأحد إن لم يكن المراد به ما أشرنا إليه من ضرر المارّة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حاصل له أيضاً؛ ضرورة كون المدار في المنع على الضرر المزبور الذي يمكن القول بالجواز حتّى يحصل، لا المنع حتّى يعلم العدم، وإن كان هو محتملا أيضاً، إلاّ أنّ الأوّل أقوى</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ولقد أفاد وأجاد، إلاّ أنّ الإنصاف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الوقف ونحوه هو المنع عن غير الاستطراق؛ لأنّ الوقوف بحسب ما يوقفها أهلها، وإنّما ترفع اليد عنه بالسيرة القطعية، وعليه فمقتضى القاعدة هو وجوب الاجتناب عن غير الاستطراق إلاّ إذا كان من الموارد التي قامت عليها السيرة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الكليّة من السيرة، كما ترى؛ لانها دليل لبّي، وعليه ففي الموارد المشكوكة يرجع إلى مقتضى الأصل</w:t>
      </w:r>
      <w:r>
        <w:rPr>
          <w:rFonts w:eastAsia="Amiri" w:cs="Amiri" w:ascii="Amiri" w:hAnsi="Amiri"/>
          <w:color w:val="111111"/>
          <w:sz w:val="28"/>
          <w:szCs w:val="28"/>
          <w:rtl w:val="true"/>
          <w:lang w:bidi="ar-SA"/>
        </w:rPr>
        <w:t xml:space="preserve">. </w:t>
      </w:r>
      <w:bookmarkStart w:id="187" w:name="pg17323_406051"/>
    </w:p>
    <w:p>
      <w:pPr>
        <w:pStyle w:val="BookText"/>
        <w:rPr/>
      </w:pPr>
      <w:bookmarkEnd w:id="187"/>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الموارد المشكوكة، غير سديده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محمّد بن النعمان المفيد في الإرشاد، عن أبي بصير،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سار إلى الكوفة، وهدم بها أربعة مساجد، ولم يبقَ مسجد على وجه الأرض له شُرَف إلاّ هدمها وجعلها جمّاء، ووسّع الطريق الأعظم، وكسر كلّ جناح خارج في الطريق، وأبطل الكنف والميازيب إلى 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إطلاق كسر كلّ جناح خارج في الطريق وإبطال الكنف يقتضي حرمة إخراج الجناح في الطريق وحرمة إحداث الكنف والميازيب إلى الطرقات ولو لم يكن منافياً للاستطراق، وهو يساعد كون الأصل هو المنع، لا أنّ الأصل هو الجواز إلاّ إذا كان منافياً للاستطراق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الالتزام به مشكل؛ لما عرفت من أنّ التصرّف غير المنافي جائز، فالمنع عنه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الطريق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وغير نافذ</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875924_1280447820"/>
      <w:bookmarkStart w:id="189" w:name="_Toc67"/>
      <w:bookmarkEnd w:id="188"/>
      <w:r>
        <w:rPr>
          <w:rtl w:val="true"/>
        </w:rPr>
        <w:t>فالأوّل</w:t>
      </w:r>
      <w:r>
        <w:rPr>
          <w:rtl w:val="true"/>
        </w:rPr>
        <w:t xml:space="preserve">: </w:t>
      </w:r>
      <w:r>
        <w:rPr>
          <w:rtl w:val="true"/>
        </w:rPr>
        <w:t>الطريق نوعان نافذ وغير نافذ فالأول يسمّى بالشارع العام</w:t>
      </w:r>
      <w:bookmarkEnd w:id="189"/>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بالشارع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على الأنام كافّة، والناس فيه شرّع سواء، وليس لأحد إحياؤه والاختصاص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فلو جلس في موضع من الطريق ثمّ قام عنه؛ فإن كان جلوس استراحة بطل حقّه، فجاز لغيره الجلوس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لحرفة ومعاملة وقام بعد استيفاء غرضه وعدم نيّته العود، فلو عاد إليه بعد أن جلس في مجلسه غيره لم يكن له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 قبل استيفاء غرضه ناوياً للعود، ففي ثبوت حقّ له إشكال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ناحية احتمال صدق الحقّ بالنسبة إليه، فتشمله صحيحة طلحة بن زيد عن أبي </w:t>
      </w:r>
    </w:p>
    <w:p>
      <w:pPr>
        <w:pStyle w:val="BookText"/>
        <w:rPr/>
      </w:pPr>
      <w:r>
        <w:rPr>
          <w:rFonts w:ascii="Amiri" w:hAnsi="Amiri" w:eastAsia="Amiri" w:cs="Amiri"/>
          <w:color w:val="111111"/>
          <w:sz w:val="28"/>
          <w:sz w:val="28"/>
          <w:szCs w:val="28"/>
          <w:rtl w:val="true"/>
          <w:lang w:bidi="ar-SA"/>
        </w:rPr>
        <w:t>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يأخذ على بيوت السوق كراء</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الأجلاّء عن طلحة بن زيد، ومنهم صفوان الذي لا يروي إلاّ عن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ومرسلة محمّد بن إسماعيل، عن بعض أصحابه،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أو بالمدينة أو الحيرة أو المواضع التي يرجى فيها الفضل، فربّما خرج الرجل يتوضّأ فيجيء آخر فيصير مكانه‌؟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موضع فهو أحقّ به يومه وليلته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والمحكي عن المبسوط وجملة من كتب الفاضل والدروس وغيرها هو بقاء الحقّ لو كان له رحل فيه؛ مستنداً إلى فحوى ما ورد من ذلك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ما ذهب إليه صاحب الجواهر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حقّية الطريق للجالس بالسبق ووضع الرحل ونحو ذلك ليست كحقّية التحجير التي تنتقل بالصلح والإرث ونحوهما، بل هي لا تزيد على حرمة الظلم بدفعه عن مكانه وبالتصرّف برحله الموضوع في مكان كان يجوز له وضعه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فالمتيقّن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السيّد المحقّق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مزاحمة السابق مادام شاغلاً للمحلّ‌، لا الحقّ بالمعنى المبحوث عنه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أن يراد منه الحقّ بالمعنى المبحوث عنه؛ بدعوى ظهور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تحديده باليوم أو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بالمعنى المبحوث عنه، وعليه فلو </w:t>
      </w:r>
    </w:p>
    <w:p>
      <w:pPr>
        <w:pStyle w:val="BookText"/>
        <w:rPr/>
      </w:pPr>
      <w:r>
        <w:rPr>
          <w:rFonts w:ascii="Amiri" w:hAnsi="Amiri" w:eastAsia="Amiri" w:cs="Amiri"/>
          <w:color w:val="111111"/>
          <w:sz w:val="28"/>
          <w:sz w:val="28"/>
          <w:szCs w:val="28"/>
          <w:rtl w:val="true"/>
          <w:lang w:bidi="ar-SA"/>
        </w:rPr>
        <w:t>جلس في الطريق وقام قبل استيفاء غرضه ناوياً للعود بقي حقّه إلى الليل، وهكذا في المساجد وغيرها من الأمكنة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الرحل ونحوه معتبر من جهة مقام الإثبات؛ وإلاّ فنفس استيلائه على المحلّ يكفي في كونه أحقّ‌، بل اللازم هو كونه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مع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الأحقّية تحصل أيضاً مادام يصدق كون الشيء في يد المستحقّ وفي تصرّفه وتحت قبضته فأخذه منه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كدفعه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ولعلّه لذا اعتبروا الرحل مع نيّة العود في الطريق والمسجد، بخلاف ما إذا لم يكن له رحل؛ فإنّ نيّة العود لا تكفي في صدق كون الشيء في اليد وتحت قبضته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عرفت من احتمال كون اعتبار الرحل من جهة مقام الإثبات؛ وإلاّ فنفس الاستيلاء يكفي في كونه أحقّ بأيّ معنىً كان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الجلوس مزاحماً للمستطرقين لزم على الجالس ترك الجلوس، فلو لم يتركه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المعاملات الواقعة في هذا المحلّ فهي صحيحة؛ لأنّ الممنوع هو المزاحمة لا نفس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 أحد أجيراً لإيجاد المزاحمة بإشغال الطريق كان المأخوذ بعنوان الاُجرة محرّماً؛ لأنّ الحرام لا يكون قابلاً للمعاوضة، فيشمله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الموضع يصير شارعاً عاماً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التردّد في الموات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المالك بعض ملكه شارعاً عامّاً وتسبيلاً دائمياً لسلوك عامّة الناس، </w:t>
      </w:r>
      <w:bookmarkStart w:id="190" w:name="pg17323_406054"/>
    </w:p>
    <w:p>
      <w:pPr>
        <w:pStyle w:val="BookText"/>
        <w:rPr/>
      </w:pPr>
      <w:bookmarkEnd w:id="190"/>
      <w:r>
        <w:rPr>
          <w:rFonts w:ascii="Amiri" w:hAnsi="Amiri" w:eastAsia="Amiri" w:cs="Amiri"/>
          <w:color w:val="111111"/>
          <w:sz w:val="28"/>
          <w:sz w:val="28"/>
          <w:szCs w:val="28"/>
          <w:rtl w:val="true"/>
          <w:lang w:bidi="ar-SA"/>
        </w:rPr>
        <w:t>وسلك فيه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بإحياء جماعة أرضاً مواتاً، وترك بعضها مسلكاً نافذاً بين الدور والمساكن</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875926_1280447820"/>
      <w:bookmarkStart w:id="192" w:name="_Toc68"/>
      <w:bookmarkEnd w:id="191"/>
      <w:r>
        <w:rPr>
          <w:rtl w:val="true"/>
        </w:rPr>
        <w:t>وأمّا الثاني</w:t>
      </w:r>
      <w:r>
        <w:rPr>
          <w:rtl w:val="true"/>
        </w:rPr>
        <w:t xml:space="preserve">: </w:t>
      </w:r>
      <w:r>
        <w:rPr>
          <w:rtl w:val="true"/>
        </w:rPr>
        <w:t>أي الطريق غير النافذ</w:t>
      </w:r>
      <w:bookmarkEnd w:id="192"/>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غير النافذ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يسمّى بالشارع غير العامّ‌؛ لعدم السلوك منه إلى طريق آخر أو أرض مباحة، بل تحيط بجوانبه الثلاثة الدور والحيطان والجدران، فهو ملك لأرباب الدور التي أبوابها مفتوحة إليه، دون من كان حائط داره إليه من غير أن يكون بابها إليه، فيكون هو كالملك المشترك بين أشخاص؛ إذ يجوز لأربابه سدّه، وتقسيمه بينهم، وإدخال كلّ منهم حصّته في داره، ولا يجوز لأحد غيرهم بل ولا منهم أن يتصرّف فيه ولا في فضائه إلاّ بإذن من يعتبر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لغير الملاّك التصرّف فيه إلاّ فيما إذا قامت قرينة عليه، ولو تصرّف فيه بالمعاملة ونحوها ولم تقم قرينة على جوازها كان ذلك موجباً للإثم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المعاملات فلا كما مرّ؛ لأنّ العنوان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مغاير لعنوان المعاملات، وبقيّة الكلام في محلّه</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7323_406056"/>
      <w:bookmarkStart w:id="194" w:name="pg17323_406056"/>
      <w:bookmarkEnd w:id="194"/>
    </w:p>
    <w:p>
      <w:pPr>
        <w:pStyle w:val="Heading2"/>
        <w:numPr>
          <w:ilvl w:val="1"/>
          <w:numId w:val="1"/>
        </w:numPr>
        <w:rPr/>
      </w:pPr>
      <w:bookmarkStart w:id="195" w:name="pg17323_406056"/>
      <w:bookmarkStart w:id="196" w:name="__RefHeading___Toc875928_1280447820"/>
      <w:bookmarkStart w:id="197" w:name="_Toc69"/>
      <w:bookmarkEnd w:id="195"/>
      <w:bookmarkEnd w:id="196"/>
      <w:r>
        <w:rPr>
          <w:rtl w:val="true"/>
        </w:rPr>
        <w:t xml:space="preserve">المسألة الحادية والثلاثون </w:t>
      </w:r>
      <w:r>
        <w:rPr>
          <w:rtl w:val="true"/>
        </w:rPr>
        <w:t>«</w:t>
      </w:r>
      <w:r>
        <w:rPr>
          <w:rtl w:val="true"/>
        </w:rPr>
        <w:t>في السرقة</w:t>
      </w:r>
      <w:r>
        <w:rPr>
          <w:rtl w:val="true"/>
        </w:rPr>
        <w:t>»</w:t>
      </w:r>
      <w:bookmarkEnd w:id="197"/>
    </w:p>
    <w:p>
      <w:pPr>
        <w:pStyle w:val="BookText"/>
        <w:rPr/>
      </w:pPr>
      <w:r>
        <w:rPr>
          <w:rFonts w:ascii="Amiri" w:hAnsi="Amiri" w:eastAsia="Amiri" w:cs="Amiri"/>
          <w:color w:val="111111"/>
          <w:sz w:val="28"/>
          <w:sz w:val="28"/>
          <w:szCs w:val="28"/>
          <w:rtl w:val="true"/>
          <w:lang w:bidi="ar-SA"/>
        </w:rPr>
        <w:t>لا إشكال في كون سرقة الأموال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وسرقة الشيء لا تستلزم ملكيّته، بل يجب ردّ الأشياء المسروقة إلى ملاّكها، وإن تعيّبت ونقصت قيمتها فعلى السارق النقصان، وإن تلفت الأعيان المسروقة ضمن مثلها إن كانت مثليّة، وقيمتَها ان كانت قيميّة، كما 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والنماءات المتّصلة والمنفصلة منها لملاّكها، وما بذله السارق لحفظها أو حياتها لا يضمنه ملاّكها؛ لإقدام السرّاق عليها من دون إذن أو أمر منهم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والسرقة بشرائطها توجب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الأصابع الأربع من اليد اليمنى مع ترك الراحة والإبهام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الخاصّة، ولو سرق ثانيةً قُطعت رجله اليسرى من الساق وتِرُك له العقب، وإن سرق ثالثةً حُبس دائماً واُنفق عليه من بيت المال، وإن سرق من السجن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المسلم والكافر، والذكر والاُنثى، والحرّ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الكلام </w:t>
      </w:r>
    </w:p>
    <w:p>
      <w:pPr>
        <w:pStyle w:val="BookText"/>
        <w:rPr/>
      </w:pPr>
      <w:r>
        <w:rPr>
          <w:rFonts w:ascii="Amiri" w:hAnsi="Amiri" w:eastAsia="Amiri" w:cs="Amiri"/>
          <w:color w:val="111111"/>
          <w:sz w:val="28"/>
          <w:sz w:val="28"/>
          <w:szCs w:val="28"/>
          <w:rtl w:val="true"/>
          <w:lang w:bidi="ar-SA"/>
        </w:rPr>
        <w:t xml:space="preserve">في باب الحدود، وإنّما أوردنا البحث عنها هنا في الجملة للإشارة إلى أهمّية هذه المسألة؛ وهي أنّ الاشتغال بها يعدّ من المكاسب المحرّمة، والأسوء منه هو سرقة الحرّ وبيعه مع أنّ الحرّ ليس قابلاً للتملّك في نفسه، والأسوء منه هو سرقة الحرّ وبيعه إلى مراكز الفساد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شرّ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الفقهاء بأنّ من باع إنساناً حرّاً، صغيراً كان أو كبيراً ذكراً كان أو اُنثى، فعل حراماً وقطعت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معتبرة السكوني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أميرالمؤمنين عليه السلام اُتي برجل قد باع حرّاً فقطع يده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سرقه ولم يبعه اُدّب بما يراه الحاكم؛ للأصل بعد اختصاص النصوص بالبيع</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مورد سرقة الحرّ وعدم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عليه ثياب أو حلي يبلغ النصاب لم يقطع وإن كان صغيراً؛ لثبوت يده عليها، ولذا يحكم بأنّ ما في يد اللقيط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سرقته للمال معه على وجه لم تكن يده عليه اتّجه حينئذ القطع</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لو صارت سرقة الحرّ وبيعه شغلاً له لا يبعد القول بكونه مفسداً، فيجري عليه حكم المفسد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الكبرى من استحقاق المفسد القتل، ولا يتنافى ذلك مع موثّقة السكوني؛ لأنّ موردها ظاهر فيما إذا لم يكن ذلك شغلاً له، بل حمل الشيخ القطع في مورد رواية السكوني على أنّه لدفع فساده لا الحدّ للسرقة، ولعلّه لعدم كون الحرّ مالاً يبلغ النصاب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المزبور إن كان للفساد لا للسرقة فالمتّجه جريان حكم المفسد </w:t>
      </w:r>
    </w:p>
    <w:p>
      <w:pPr>
        <w:pStyle w:val="BookText"/>
        <w:rPr/>
      </w:pPr>
      <w:r>
        <w:rPr>
          <w:rFonts w:ascii="Amiri" w:hAnsi="Amiri" w:eastAsia="Amiri" w:cs="Amiri"/>
          <w:color w:val="111111"/>
          <w:sz w:val="28"/>
          <w:sz w:val="28"/>
          <w:szCs w:val="28"/>
          <w:rtl w:val="true"/>
          <w:lang w:bidi="ar-SA"/>
        </w:rPr>
        <w:t>عليه لا خصوص القطع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اجتهاد في مقابلة النصّ‌، على أنّه قابل لتخصيص ذلك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البحث عن كون القطع لقلع الفساد أو للحدّ لاأثر عمليّ له كما أفاد في جامع المدارك</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 يظهر ما في تحرير الوسيلة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سرق حرّاً كبيراً أو صغيراً، ذكراً أو اُنثى، لم يقطع حدّاً فهل يقطع دفعاً للفساد؟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وبه رواية، والأحوط ترك القطع، وتعزيره بما يراه الحاكم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عرفت من ثبوت القطع بموثّقة السكوني، هذا مع ذهاب المشهور إليه قطعاً، وإنّما الخلاف بينهم في أنّ القطع حدّ للسرقة أو لقلع الفساد، والله هو الهادي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يذهب عليك أنّ السرقة وإن كانت تطلق أيضاً على أخذ المطالب العلمية أو الأشعار أو غيرهما ممّا يعتبر من حقوق الآخرين من دون إذن أصحابها، ولكن هذه السرقة يختلف حكمها عن حكم سرقة الأموال والأنفس من القطع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للحاكم أن يعزِّر من أخذ كذلك مع صدق الظلم على أخذه من دون إذن من أصحابها، فلا تغفل</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7323_406060"/>
      <w:bookmarkStart w:id="199" w:name="pg17323_406060"/>
      <w:bookmarkEnd w:id="199"/>
    </w:p>
    <w:p>
      <w:pPr>
        <w:pStyle w:val="Heading2"/>
        <w:numPr>
          <w:ilvl w:val="1"/>
          <w:numId w:val="1"/>
        </w:numPr>
        <w:rPr/>
      </w:pPr>
      <w:bookmarkStart w:id="200" w:name="pg17323_406060"/>
      <w:bookmarkStart w:id="201" w:name="__RefHeading___Toc875930_1280447820"/>
      <w:bookmarkStart w:id="202" w:name="_Toc70"/>
      <w:bookmarkEnd w:id="200"/>
      <w:bookmarkEnd w:id="201"/>
      <w:r>
        <w:rPr>
          <w:rtl w:val="true"/>
        </w:rPr>
        <w:t xml:space="preserve">المسألة الثانية والثلاثون </w:t>
      </w:r>
      <w:r>
        <w:rPr>
          <w:rtl w:val="true"/>
        </w:rPr>
        <w:t>«</w:t>
      </w:r>
      <w:r>
        <w:rPr>
          <w:rtl w:val="true"/>
        </w:rPr>
        <w:t>في الشرب الحرام</w:t>
      </w:r>
      <w:r>
        <w:rPr>
          <w:rtl w:val="true"/>
        </w:rPr>
        <w:t>»</w:t>
      </w:r>
      <w:bookmarkEnd w:id="202"/>
    </w:p>
    <w:p>
      <w:pPr>
        <w:pStyle w:val="Heading3"/>
        <w:numPr>
          <w:ilvl w:val="2"/>
          <w:numId w:val="1"/>
        </w:numPr>
        <w:rPr/>
      </w:pPr>
      <w:bookmarkStart w:id="203" w:name="__RefHeading___Toc875932_1280447820"/>
      <w:bookmarkStart w:id="204" w:name="_Toc71"/>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والكلام فيها يقع في عدّة مقامات</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75934_1280447820"/>
      <w:bookmarkStart w:id="206" w:name="_Toc72"/>
      <w:bookmarkEnd w:id="205"/>
      <w:r>
        <w:rPr>
          <w:rtl w:val="true"/>
        </w:rPr>
        <w:t>المقام الأوّل</w:t>
      </w:r>
      <w:r>
        <w:rPr>
          <w:rtl w:val="true"/>
        </w:rPr>
        <w:t xml:space="preserve">: </w:t>
      </w:r>
      <w:r>
        <w:rPr>
          <w:rtl w:val="true"/>
        </w:rPr>
        <w:t>في شرب السموم القاتلة</w:t>
      </w:r>
      <w:bookmarkEnd w:id="206"/>
    </w:p>
    <w:p>
      <w:pPr>
        <w:pStyle w:val="BookText"/>
        <w:rPr/>
      </w:pPr>
      <w:r>
        <w:rPr>
          <w:rFonts w:ascii="Amiri" w:hAnsi="Amiri" w:eastAsia="Amiri" w:cs="Amiri"/>
          <w:color w:val="111111"/>
          <w:sz w:val="28"/>
          <w:sz w:val="28"/>
          <w:szCs w:val="28"/>
          <w:rtl w:val="true"/>
          <w:lang w:bidi="ar-SA"/>
        </w:rPr>
        <w:t>ولايخفى أنّ شربها لا يجوز،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أنواع المحرّمات من المأكولات والمشروبات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القاتلة قليلها وكثيرها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ولا إشكال، بل الإجماع بقسميه عليه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 ظُلْماً فَسَوْفَ نُصْلِيهِ نٰاراً وَ كٰانَ ذٰلِكَ عَلَى اَللّٰهِ يَسِيراً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النهي هو الحرمة، والتوعيد بالنار يدلّ على كونه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 الآية على كون القتل كبيرة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قتل بعض لبعض لا قتل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قامت قرينة على اندراج قتل بعض لبعض لعمّه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فِي سَبِيلِ اَللّٰهِ وَ لاٰ تُلْقُوا بِأَيْدِيكُمْ إِلَى اَلتَّهْلُكَةِ وَ 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فإنّ النهي عن الإلقاء في التهلكة 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إرشاد، ولا دلالة لها على الحكم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إلالقاء في التهلكة وإن كان عند العقلاء محكوماً بالمنع إلاّ أنّه لا يوجب أن يكون النهي الصادر عن الشارع لمحض الإرشاد، بل هو إمضاء مولويّ لما حكم به العقلاء، ولذا يكون ترك الامتثال موجباً لهتك حرمة المولى، والهتك يستلزم العقوبة، ولا يحمل الأمر أو النهي الشرعي على الإرشاد المحض إلاّ إذا لم يمكن الأمر أو النهي المولوي، كالأمر بالإطاعة في مثل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النهي عن ترك إطاعة الأمر بالإنفاق، والأمر بالإطاعة والنهي عن ترك الإطاعة إرشادٌ محض</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الكبرى الكلّية، كما يشهد له التمسّك به في مقامات اُخرى لحرمة الإلقاء في التهلكة، وحيث إنّ الإرشادية والمولوية ليستا في حاقّ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الوجوب والاستحباب ليسا </w:t>
      </w:r>
    </w:p>
    <w:p>
      <w:pPr>
        <w:pStyle w:val="BookText"/>
        <w:rPr/>
      </w:pPr>
      <w:r>
        <w:rPr>
          <w:rFonts w:ascii="Amiri" w:hAnsi="Amiri" w:eastAsia="Amiri" w:cs="Amiri"/>
          <w:color w:val="111111"/>
          <w:sz w:val="28"/>
          <w:sz w:val="28"/>
          <w:szCs w:val="28"/>
          <w:rtl w:val="true"/>
          <w:lang w:bidi="ar-SA"/>
        </w:rPr>
        <w:t xml:space="preserve">في حاقّهما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تستفادان من خارجهما، فلا مانع أن يكون الأمر الواحد أو النهي الواحد إرشاديّاً بالنسبة إلى مورد ومولويّاً بالنسبة إلى آخر، كما يمكن أن يكون دالاًّ على الوجوب بالنسبة إلى شيء وعلى الاستحباب بالنسبة إلى آخر، ففي المقام يكون النهي عن الإلقاء في التهلكة إرشاديّاً بالنسبة إلى ترك إطاعة الأمر بالإنفاق، وأمّا بالنسبة إلى غيره من الموارد فهو مولويّ‌،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ومرسلة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عمل بها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يكون فيه المضرّة على الإنسان في بدنه فحرام أكله إلاّ في 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من صنوف البقول ممّا فيه المضرّة على الإنسان في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بقول السموم القاتلة، ونظير الدفلاء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صنوف السمّ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أكله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هو إحراز العمل بالفقرة التي استدلّ بها، ولا يكفي لذلك العمل بسائر الفقرات مع إرسالها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نفي الضرر بناءً على شموله للإضرار بالنفس كما قرّر في محلّه، ولا ضرر أكبر من 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أن 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الضرر أو نفي الضرر؛ فإنّ نفي الضرر مطلقاً الذي يدلّ بدلالة الاقتضاء على نفي تجويز الضرر يساوي النهي عن الضرر، كما قرّر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حرمة أكل الطين وتعليلها بكونه موجباً لفساد البدن والهلاك</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عنوان السموم لا مدخلية له، بل المراد كلّ ما يوجب القتل ولو لم يكن من أنواع </w:t>
      </w:r>
      <w:bookmarkStart w:id="207" w:name="pg17323_406063"/>
    </w:p>
    <w:p>
      <w:pPr>
        <w:pStyle w:val="BookText"/>
        <w:rPr/>
      </w:pPr>
      <w:bookmarkEnd w:id="207"/>
      <w:r>
        <w:rPr>
          <w:rFonts w:ascii="Amiri" w:hAnsi="Amiri" w:eastAsia="Amiri" w:cs="Amiri"/>
          <w:color w:val="111111"/>
          <w:sz w:val="28"/>
          <w:sz w:val="28"/>
          <w:szCs w:val="28"/>
          <w:rtl w:val="true"/>
          <w:lang w:bidi="ar-SA"/>
        </w:rPr>
        <w:t>السموم، بل لا خصوصية لعنوان الشرب، فلو أدخل بواسطة الإبر ما يوجب القتل كالهواء ارتكب حراماً ولو لم يصدق عليه الشرب؛ كلّ ذلك لحرمة قتل النفس والإلقاء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الحرمة لا ترتفع بإذن من يريد قتل نفسه، فلا يجوز للطبيب إهلاكه بالإذن منه إن كان في حرج، وأخذ الاُجرة على الإهلاك ولو مع الإذن حرام، ولا يوجب النقل والانتقال، بل هو أكل للمال بالباطل، بل المباشر قاتل وتترتّب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الحيلولة دون وقوع القتل، ولا يجوز الإعانة عليه أصلا؛ لأنّه من المبغوضات الفعلية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المعاملة على السموم القاتلة مع عدم المنفعة المحلّلة الشائعة باطلة، ومقتضى البطلان عدم انتقال الثمن إلى البائع، بل لا تجوز المعاملة لو كان تناولها في الأيادي مظانّ القتل</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75936_1280447820"/>
      <w:bookmarkStart w:id="209" w:name="_Toc73"/>
      <w:bookmarkEnd w:id="208"/>
      <w:r>
        <w:rPr>
          <w:rtl w:val="true"/>
        </w:rPr>
        <w:t>المقام الثاني</w:t>
      </w:r>
      <w:r>
        <w:rPr>
          <w:rtl w:val="true"/>
        </w:rPr>
        <w:t xml:space="preserve">: </w:t>
      </w:r>
      <w:r>
        <w:rPr>
          <w:rtl w:val="true"/>
        </w:rPr>
        <w:t>في شرب الأفيون والسقمونيا ونحوهما</w:t>
      </w:r>
      <w:bookmarkEnd w:id="20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الأفيون</w:t>
      </w:r>
      <w:r>
        <w:rPr>
          <w:rStyle w:val="FootnoteAnchor"/>
          <w:rtl w:val="true"/>
        </w:rPr>
        <w:footnoteReference w:id="435"/>
      </w:r>
      <w:r>
        <w:rPr>
          <w:rFonts w:ascii="Amiri" w:hAnsi="Amiri" w:eastAsia="Amiri" w:cs="Amiri"/>
          <w:color w:val="111111"/>
          <w:sz w:val="28"/>
          <w:sz w:val="28"/>
          <w:szCs w:val="28"/>
          <w:rtl w:val="true"/>
          <w:lang w:bidi="ar-SA"/>
        </w:rPr>
        <w:t>والسقمونيا</w:t>
      </w:r>
      <w:r>
        <w:rPr>
          <w:rStyle w:val="FootnoteAnchor"/>
          <w:rtl w:val="true"/>
        </w:rPr>
        <w:footnoteReference w:id="436"/>
      </w:r>
      <w:r>
        <w:rPr>
          <w:rFonts w:ascii="IRNazanin" w:hAnsi="IRNazanin" w:eastAsia="IRNazanin"/>
          <w:color w:val="111111"/>
          <w:sz w:val="28"/>
          <w:sz w:val="28"/>
          <w:szCs w:val="28"/>
          <w:rtl w:val="true"/>
          <w:lang w:bidi="fa-IR"/>
        </w:rPr>
        <w:t>ونحوهما</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لا يقتل القليل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كالأفيون والسقمونيا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تناول القيراط والقيراطين إلى ربع الدينار في جملة حوائج المسهل فهذا لا بأس به؛ لغلبة السلامة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التخطّي إلى موضع المخاطرة، منه كالمثقال من السقمونيا والكثير من شحم الحنظل و او الشوكران، فإنّه لا يجوز؛ لما يتضمّن من ثقل المزاج وإفساده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عبارة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الاستفادة من الأفيون أو السقمونيا أو نحوهما ممّا لا يقتل قليله للتداوي والمعالجة إذا لم يكن في ذلك مخاطرة، وأمّا إذا كانت الاستفادة المذكورة موجبة للمخاطرة فلا يجوز في مقام المعالجة فضلا عن غيره؛ لما مرّ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صدق التهلكة لا يختصّ بموارد العلم بالموت، بل يشمل موارد الظنّ بل الاحتمال العقلائي؛ ولعلّه لذا اعترض الإمام عليه السلام على من غسّل المجدور غسل الجنابة فمات، كما ورد في معتبرة محمّد بن سكين وغيره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أصابته جنابة وهو مجدور، فغسّلوه فمات‌؟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ألا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شفاء العيّ السؤال</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مغسّل المجدور لم يعلم بأنّ تغسيله يوجب القتل؛ وإلاّ لما غسّله، وعليه يكون اعتراض الإمام مختصّاً بصورة الظنّ أو الاحتمال العقلائي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حكم العقلاء بوجوب الاجتناب عن صورة المخاطرة ومظانّها مع عدم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الاجتناب عن صورة المخاطرة ومظانّها لكون الفرار من الخطر جبلّيّاً، ولا حكم فيه للعقلاء حتّى يكون عدم الردع عنه إمضاءً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يمنع ذلك عن حكم العقلاء بوجوب الاجتناب عنه أيضاً، فيكون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إمضائيّاً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الحكم الشرعي المستفاد من عدم الردع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الحاجة إلى الحكم الشرعي متحقّقة ولو بإمضاء الحكم العقلائي؛ إذ ربّما لا يمنع الفرار الجبلّي عن الوقوع في الخطر، بل يحتاج إلى التأكيد الشرعي</w:t>
      </w:r>
      <w:r>
        <w:rPr>
          <w:rFonts w:eastAsia="Amiri" w:cs="Amiri" w:ascii="Amiri" w:hAnsi="Amiri"/>
          <w:color w:val="111111"/>
          <w:sz w:val="28"/>
          <w:szCs w:val="28"/>
          <w:rtl w:val="true"/>
          <w:lang w:bidi="ar-SA"/>
        </w:rPr>
        <w:t xml:space="preserve">. </w:t>
      </w:r>
      <w:bookmarkStart w:id="210" w:name="pg17323_406065"/>
    </w:p>
    <w:p>
      <w:pPr>
        <w:pStyle w:val="BookText"/>
        <w:rPr/>
      </w:pPr>
      <w:bookmarkEnd w:id="210"/>
      <w:r>
        <w:rPr>
          <w:rFonts w:ascii="Amiri" w:hAnsi="Amiri" w:eastAsia="Amiri" w:cs="Amiri"/>
          <w:color w:val="111111"/>
          <w:sz w:val="28"/>
          <w:sz w:val="28"/>
          <w:szCs w:val="28"/>
          <w:rtl w:val="true"/>
          <w:lang w:bidi="ar-SA"/>
        </w:rPr>
        <w:t>ثمّ إنّ لزوم الاجتناب عن موارد المخاطرة للتداوي إنّما هو في الحالات التي لم يرخّصها الطبيب الماهر المحتاط غير المتسامح ولا المتهوّر، وإلاّ فإذا رجّح الطبيب المذكور المعالجة المذكورة على عدمها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فعل ذلك للتداوي من داء جاز وإن خاطر إذا كان جارياً مجرى العقلاء؛ لإطلاق النصوص، مضافاً إلى السيرة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الروايات الواردة في ذلك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بسند صحيح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يشرب الدواء ويقطع العرق، وربّما انتفع به وربّما 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ويشرب</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بناءً على حمل هذه الرواية على صورة كون السلامة منه أكثر على وجه يجوّزه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الخصال عن إبراهيم بن مسلم، عن عبد الرحمان بن أبي نجران،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الرجل يشرب الدواء وربّما قتل وربّما سلم منه، وما يسلم منه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الدواء وأنزل الشفاء، وما خلق الله داءً إلاّ وجعل له دواء، فاشرب وسمِّ الله تعالى</w:t>
      </w:r>
      <w:r>
        <w:rPr>
          <w:rFonts w:eastAsia="Amiri" w:cs="Amiri" w:ascii="Amiri" w:hAnsi="Amiri"/>
          <w:color w:val="111111"/>
          <w:sz w:val="28"/>
          <w:szCs w:val="28"/>
          <w:rtl w:val="true"/>
          <w:lang w:bidi="ar-SA"/>
        </w:rPr>
        <w:t>»</w:t>
      </w:r>
      <w:r>
        <w:rPr>
          <w:rStyle w:val="FootnoteAnchor"/>
          <w:rtl w:val="true"/>
        </w:rPr>
        <w:footnoteReference w:id="440"/>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أوضح فيما إذا دار الأمر بين مخاطرتين ورجّح الطبيب الماهر طرف التداوي، فتدبّر جيّداً</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75938_1280447820"/>
      <w:bookmarkStart w:id="212" w:name="_Toc74"/>
      <w:bookmarkEnd w:id="211"/>
      <w:r>
        <w:rPr>
          <w:rtl w:val="true"/>
        </w:rPr>
        <w:t>المقام الثالث</w:t>
      </w:r>
      <w:r>
        <w:rPr>
          <w:rtl w:val="true"/>
        </w:rPr>
        <w:t xml:space="preserve">: </w:t>
      </w:r>
      <w:r>
        <w:rPr>
          <w:rtl w:val="true"/>
        </w:rPr>
        <w:t>في حرمة شرب المضرّ</w:t>
      </w:r>
      <w:bookmarkEnd w:id="2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ما يكون شربه مضرّاً وموجباً للنقص ولو لم يوجب الموت والفساد والمخاطرة</w:t>
      </w:r>
      <w:r>
        <w:rPr>
          <w:rFonts w:eastAsia="Amiri" w:cs="Amiri" w:ascii="Amiri" w:hAnsi="Amiri"/>
          <w:color w:val="111111"/>
          <w:sz w:val="28"/>
          <w:szCs w:val="28"/>
          <w:rtl w:val="true"/>
          <w:lang w:bidi="ar-SA"/>
        </w:rPr>
        <w:t xml:space="preserve">. </w:t>
      </w:r>
      <w:bookmarkStart w:id="213" w:name="pg17323_406066"/>
    </w:p>
    <w:p>
      <w:pPr>
        <w:pStyle w:val="BookText"/>
        <w:rPr/>
      </w:pPr>
      <w:bookmarkEnd w:id="213"/>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للإضرار بالنفس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الاجتناب عن الإضرار بالنفس أمر جبلّي لا يحتاج الإنسان فيه إلى النهي عنه شرعاً، وعليه فلا إطلاق لنفي الضرر بالنسبة إلى الإضرار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أنّه ليس كلّ ما يكون جبلّيّاً فهو موجب للاجتناب، بل كثيراً ما يحتاج في الترك إلى تقوية الداعي بالحكم الشرعي، فلا وجه لمنع عموم حديث نفي الضرر للإضرار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هذا هو لزوم الاحتراز عن مثل شرب الماء وأكل الغذاء زائداً على اللازم بالنسبة إلى من يتضرّر، والظاهر أنّ السيرة على خلاف هذا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سديد؛ لأنّ محلّ الكلام هو الضرر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حرمة الإضرار لا تختصّ بصورة العلم، بل تشمل المظنون أو المحتمل العقلائي أيضاً؛ ولذا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كلّ ما كان فيه الضرار علماً أو ظنّاً بل أو خوفاً معتدّاً به، حرم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875940_1280447820"/>
      <w:bookmarkStart w:id="215" w:name="_Toc75"/>
      <w:bookmarkEnd w:id="214"/>
      <w:r>
        <w:rPr>
          <w:rtl w:val="true"/>
        </w:rPr>
        <w:t>المقام الرابع</w:t>
      </w:r>
      <w:r>
        <w:rPr>
          <w:rtl w:val="true"/>
        </w:rPr>
        <w:t xml:space="preserve">: </w:t>
      </w:r>
      <w:r>
        <w:rPr>
          <w:rtl w:val="true"/>
        </w:rPr>
        <w:t>في حرمة شرب المواد المخدّرة</w:t>
      </w:r>
      <w:bookmarkEnd w:id="21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شرب جميع أنواع الموادّ المخدّرة لغير التداوي إذا كان مستتبعاً للضرر من جهة زيادة المقدار المستعمل منها أو من جهة إدمانه، بل لا يجوز إذا احتمل ذلك الاستتباع احتمالاً عقلائيّاً؛ لعدم الفرق في حرمة استعمال المضرّ بين معلوم الضرر ومظنونه، بل </w:t>
      </w:r>
    </w:p>
    <w:p>
      <w:pPr>
        <w:pStyle w:val="BookText"/>
        <w:rPr/>
      </w:pPr>
      <w:r>
        <w:rPr>
          <w:rFonts w:ascii="Amiri" w:hAnsi="Amiri" w:eastAsia="Amiri" w:cs="Amiri"/>
          <w:color w:val="111111"/>
          <w:sz w:val="28"/>
          <w:sz w:val="28"/>
          <w:szCs w:val="28"/>
          <w:rtl w:val="true"/>
          <w:lang w:bidi="ar-SA"/>
        </w:rPr>
        <w:t>ومحتمله إذا كان احتماله معتدّاً به عند العقلاء ولو من جهة أهمّية المحتمل؛ لصدق التهلكة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أيضاً بين أن يكون الضرر المترتّب عليه عاجلاً أو بعد مدّة؛ لصدق التهلكة على التقديرين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تناوله مرّة أو مرّتين مثلاً، أو لا يجوز؟</w:t>
      </w:r>
    </w:p>
    <w:p>
      <w:pPr>
        <w:pStyle w:val="BookText"/>
        <w:rPr/>
      </w:pPr>
      <w:r>
        <w:rPr>
          <w:rFonts w:ascii="Amiri" w:hAnsi="Amiri" w:eastAsia="Amiri" w:cs="Amiri"/>
          <w:color w:val="111111"/>
          <w:sz w:val="28"/>
          <w:sz w:val="28"/>
          <w:szCs w:val="28"/>
          <w:rtl w:val="true"/>
          <w:lang w:bidi="ar-SA"/>
        </w:rPr>
        <w:t>قال السيّد الفقيه أبو الحسن الأصفهاني قدس سره في وسيلته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الأفيون ومشتقّاته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يضرّ تناوله مرّة أو مرّتين مثلاً، ولكن يضرّ إدمانه وزيادة تكريره والتعوّد به، يحرم تكريره المضرّ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شرب الأفيون بانبلاعه أو شرب دخانه، فإنّه لا يضرّ مرّة أو مرّتين، لكنّ تكراره والمداومة عليه والتعوّد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المتداول في بعض البلاد خصوصاً ببعض كيفيّاته المعروفة 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غايَته، وفيه فساد وأيّ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بلاء وأيّ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عظيم، وبلاء جسيم، وخطر خطير، وفساد كبير، أعاذ الله المسلمين منه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أنّ نظره الشريف إلى ما لايضرّ ولا يكون مظنّة له، وأمّا إذا كان التناول مرّةً أو مرّتين في بعض أقسام الموادّ المخدّرة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كالهيروئين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للوقوع في التهلكة والضرر العظيم فالأحوط إن لم يكن الأقوى هو لزوم الاجتناب عنه؛ لما عرفت من صدق التهلكة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بناء العقلاء على الاحتراز عن الموارد التي يخاف الوقوع في التهلكة فيها مع عدم الردع عنها، فلا تغفل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في حرمة استعمال الموادّ المخدّرة بين شربها وأكلها، وبين استعمالها بواسطة الحقنة أو إدخالها في البدن عن طريق الإبر أو غير ذلك؛ لصدق التهلكة على جميع الطرق المذكورة وغيرها</w:t>
      </w:r>
      <w:r>
        <w:rPr>
          <w:rFonts w:eastAsia="Amiri" w:cs="Amiri" w:ascii="Amiri" w:hAnsi="Amiri"/>
          <w:color w:val="111111"/>
          <w:sz w:val="28"/>
          <w:szCs w:val="28"/>
          <w:rtl w:val="true"/>
          <w:lang w:bidi="ar-SA"/>
        </w:rPr>
        <w:t xml:space="preserve">. </w:t>
      </w:r>
      <w:bookmarkStart w:id="216" w:name="pg17323_406068"/>
    </w:p>
    <w:p>
      <w:pPr>
        <w:pStyle w:val="Heading3"/>
        <w:numPr>
          <w:ilvl w:val="2"/>
          <w:numId w:val="1"/>
        </w:numPr>
        <w:rPr/>
      </w:pPr>
      <w:bookmarkStart w:id="217" w:name="__RefHeading___Toc875942_1280447820"/>
      <w:bookmarkStart w:id="218" w:name="_Toc76"/>
      <w:bookmarkEnd w:id="216"/>
      <w:bookmarkEnd w:id="217"/>
      <w:r>
        <w:rPr>
          <w:rtl w:val="true"/>
        </w:rPr>
        <w:t>المقام الخامس</w:t>
      </w:r>
      <w:r>
        <w:rPr>
          <w:rtl w:val="true"/>
        </w:rPr>
        <w:t xml:space="preserve">: </w:t>
      </w:r>
      <w:r>
        <w:rPr>
          <w:rtl w:val="true"/>
        </w:rPr>
        <w:t>في حرمة توليد المواد المخدّرة</w:t>
      </w:r>
      <w:bookmarkEnd w:id="218"/>
    </w:p>
    <w:p>
      <w:pPr>
        <w:pStyle w:val="BookText"/>
        <w:rPr/>
      </w:pPr>
      <w:r>
        <w:rPr>
          <w:rFonts w:ascii="Amiri" w:hAnsi="Amiri" w:eastAsia="Amiri" w:cs="Amiri"/>
          <w:color w:val="111111"/>
          <w:sz w:val="28"/>
          <w:sz w:val="28"/>
          <w:szCs w:val="28"/>
          <w:rtl w:val="true"/>
          <w:lang w:bidi="ar-SA"/>
        </w:rPr>
        <w:t>يحرم إنتاج وتوليد الموادّ المخدّرة كالهيروئين إذا لم يكن لها منفعة شائعة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بيعها وشراؤها وحملها ونقلها، بل يجب على الحكومة وآحاد الناس النهي عنه؛ لأنّه من المنكرات، والثمن المأخوذ في بيعها لا ينتقل إلى البائع؛ لأنّه أكل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تنتقل الاُجرة في مقابل حملها ونقلها إلى الأجير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الإمام المجاهد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السؤال عن جواز المعاملة والارتزاق بثمن الموادّ المخدّرة الموسومة بالهيروئين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المعاملة عليها محرّمة، والثمن المأخوذ في مقابلها حرام، ولا يملكه، ولا يجوز الارتزاق به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875944_1280447820"/>
      <w:bookmarkStart w:id="220" w:name="_Toc77"/>
      <w:bookmarkEnd w:id="219"/>
      <w:r>
        <w:rPr>
          <w:rtl w:val="true"/>
        </w:rPr>
        <w:t>المقام السادس</w:t>
      </w:r>
      <w:r>
        <w:rPr>
          <w:rtl w:val="true"/>
        </w:rPr>
        <w:t xml:space="preserve">: </w:t>
      </w:r>
      <w:r>
        <w:rPr>
          <w:rtl w:val="true"/>
        </w:rPr>
        <w:t>في عدم جواز التخلّف عند نهى الحاكم عن موضوع</w:t>
      </w:r>
      <w:bookmarkEnd w:id="220"/>
    </w:p>
    <w:p>
      <w:pPr>
        <w:pStyle w:val="BookText"/>
        <w:rPr/>
      </w:pPr>
      <w:r>
        <w:rPr>
          <w:rFonts w:ascii="Amiri" w:hAnsi="Amiri" w:eastAsia="Amiri" w:cs="Amiri"/>
          <w:color w:val="111111"/>
          <w:sz w:val="28"/>
          <w:sz w:val="28"/>
          <w:szCs w:val="28"/>
          <w:rtl w:val="true"/>
          <w:lang w:bidi="ar-SA"/>
        </w:rPr>
        <w:t>إذا منع الوليّ الفقيه عن المعاملة على مثل الترياك الذي له منفعة محلّلة، فهل يمنع ذلك عن الانتقال أو لا؟</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التخلّف عن نهيه، ولكن لو تخلّف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ذلك عن النقل والانتقال، ولا يترتّب عليه الحكم الوضعي في الفرض المذكور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منع الوليّ الفقيه عن المعاملة على مثل الترياك وجبت الإطاعة حتّى على من لم يقلّده؛ لإطلاق أدلّة حرمة ردّ حكم الحاكم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الفقيه الكلبايكاني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منع المجتهد الجامع للشرائط عن موضوع مع </w:t>
      </w:r>
      <w:bookmarkStart w:id="221" w:name="pg17323_406069"/>
    </w:p>
    <w:p>
      <w:pPr>
        <w:pStyle w:val="BookText"/>
        <w:rPr/>
      </w:pPr>
      <w:bookmarkEnd w:id="221"/>
      <w:r>
        <w:rPr>
          <w:rFonts w:ascii="Amiri" w:hAnsi="Amiri" w:eastAsia="Amiri" w:cs="Amiri"/>
          <w:color w:val="111111"/>
          <w:sz w:val="28"/>
          <w:sz w:val="28"/>
          <w:szCs w:val="28"/>
          <w:rtl w:val="true"/>
          <w:lang w:bidi="ar-SA"/>
        </w:rPr>
        <w:t>اجتماع الشرائط وجبت إطاعته حتّى على غير مقلّده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875946_1280447820"/>
      <w:bookmarkStart w:id="223" w:name="_Toc78"/>
      <w:bookmarkEnd w:id="222"/>
      <w:r>
        <w:rPr>
          <w:rtl w:val="true"/>
        </w:rPr>
        <w:t>المقام السابع</w:t>
      </w:r>
      <w:r>
        <w:rPr>
          <w:rtl w:val="true"/>
        </w:rPr>
        <w:t xml:space="preserve">: </w:t>
      </w:r>
      <w:r>
        <w:rPr>
          <w:rtl w:val="true"/>
        </w:rPr>
        <w:t>في حرمة إدمان المضر</w:t>
      </w:r>
      <w:bookmarkEnd w:id="223"/>
    </w:p>
    <w:p>
      <w:pPr>
        <w:pStyle w:val="BookText"/>
        <w:rPr/>
      </w:pPr>
      <w:r>
        <w:rPr>
          <w:rFonts w:ascii="Amiri" w:hAnsi="Amiri" w:eastAsia="Amiri" w:cs="Amiri"/>
          <w:color w:val="111111"/>
          <w:sz w:val="28"/>
          <w:sz w:val="28"/>
          <w:szCs w:val="28"/>
          <w:rtl w:val="true"/>
          <w:lang w:bidi="ar-SA"/>
        </w:rPr>
        <w:t>يجب ترك الإدمان على المضرّ، 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حديث نفي الضرر والضرار؛ فإنّه لا فرق في حرمة الإضرار بين الإحداث والإبقاء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ترك الإدمان مستلزماً للضرر فإنّهما يتزاحمان، فإن كان بينهما أقوى قُدّم، وإلاّ فهو مختار بينهما وإن عوقب على المختار لو اختار الاستمرار على الإدمان؛ لأنّ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المدمن أن يترك إن لم يلزم منه الضرر</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نظره الشريف إلى الضرر الأقوى؛ وإلاّ فلو كان ترك الإدمان موجباً لضرر أقلّ من ضرر الإدمان وجب ترك الإدمان وإن تضرّر بذلك،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مساعدة المدمن على ترك الإدمان خصوصاً إذا كان مهلكاً؛ وذلك لمبغوضية الإدمان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عدم جواز دفع الآخرين نحو الإدمان؛ لأنّه إضرار، وهو حرام</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875948_1280447820"/>
      <w:bookmarkStart w:id="225" w:name="_Toc79"/>
      <w:bookmarkEnd w:id="224"/>
      <w:r>
        <w:rPr>
          <w:rtl w:val="true"/>
        </w:rPr>
        <w:t>المقام الثامن</w:t>
      </w:r>
      <w:r>
        <w:rPr>
          <w:rtl w:val="true"/>
        </w:rPr>
        <w:t xml:space="preserve">: </w:t>
      </w:r>
      <w:r>
        <w:rPr>
          <w:rtl w:val="true"/>
        </w:rPr>
        <w:t>في استحقاق المدمن للحد</w:t>
      </w:r>
      <w:bookmarkEnd w:id="22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يستحقّ المدمن الحدّ والقصاص أو لا؟ </w:t>
      </w:r>
      <w:bookmarkStart w:id="226" w:name="pg17323_406070"/>
    </w:p>
    <w:p>
      <w:pPr>
        <w:pStyle w:val="BookText"/>
        <w:rPr/>
      </w:pPr>
      <w:bookmarkEnd w:id="226"/>
      <w:r>
        <w:rPr>
          <w:rFonts w:ascii="Amiri" w:hAnsi="Amiri" w:eastAsia="Amiri" w:cs="Amiri"/>
          <w:color w:val="111111"/>
          <w:sz w:val="28"/>
          <w:sz w:val="28"/>
          <w:szCs w:val="28"/>
          <w:rtl w:val="true"/>
          <w:lang w:bidi="ar-SA"/>
        </w:rPr>
        <w:t>واُجيب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المدمن وغيره في الجنايات والمعاصي العمدية واستحقاق الحدود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صيرورته مسلوب الإرادة بحيث لا يصدق عليه أنّه قاصد ولا عامد يشكل الحكم بالاستحقاق، بل الأقوى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يستحقّ العقوبة الاُخروية؛ لأنّ الامتناع بالاختيار لا ينافي الاختيار، بل يترتّب على عمله ما لا يعتبر فيه القصد، كالضمانات والغرامات</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875950_1280447820"/>
      <w:bookmarkStart w:id="228" w:name="_Toc80"/>
      <w:bookmarkEnd w:id="227"/>
      <w:r>
        <w:rPr>
          <w:rtl w:val="true"/>
        </w:rPr>
        <w:t>المقام التاسع</w:t>
      </w:r>
      <w:r>
        <w:rPr>
          <w:rtl w:val="true"/>
        </w:rPr>
        <w:t xml:space="preserve">: </w:t>
      </w:r>
      <w:r>
        <w:rPr>
          <w:rtl w:val="true"/>
        </w:rPr>
        <w:t>في جواز المعالجة بالمواد المخدّرة وعدمها</w:t>
      </w:r>
      <w:bookmarkEnd w:id="228"/>
    </w:p>
    <w:p>
      <w:pPr>
        <w:pStyle w:val="BookText"/>
        <w:rPr/>
      </w:pPr>
      <w:r>
        <w:rPr>
          <w:rFonts w:ascii="Amiri" w:hAnsi="Amiri" w:eastAsia="Amiri" w:cs="Amiri"/>
          <w:color w:val="111111"/>
          <w:sz w:val="28"/>
          <w:sz w:val="28"/>
          <w:szCs w:val="28"/>
          <w:rtl w:val="true"/>
          <w:lang w:bidi="ar-SA"/>
        </w:rPr>
        <w:t>هل يجوز معالجة المرضى بمثل الهيروئين من الموادّ المخدّرة أو لا يجوز؟</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التخلّص من الموت عليها بحيث يضطرّ إليها ولا سبيل إلى غيرها كان جائزاً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التوقّف المذكور والاضطرار يعلمان من طريق مراجعة الطبيب الماهر الموثوق به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875952_1280447820"/>
      <w:bookmarkStart w:id="230" w:name="_Toc81"/>
      <w:bookmarkEnd w:id="229"/>
      <w:r>
        <w:rPr>
          <w:rtl w:val="true"/>
        </w:rPr>
        <w:t>المقام العاشر</w:t>
      </w:r>
      <w:r>
        <w:rPr>
          <w:rtl w:val="true"/>
        </w:rPr>
        <w:t xml:space="preserve">: </w:t>
      </w:r>
      <w:r>
        <w:rPr>
          <w:rtl w:val="true"/>
        </w:rPr>
        <w:t>في عدم جواز توزيع المواد المخدّرة</w:t>
      </w:r>
      <w:bookmarkEnd w:id="230"/>
    </w:p>
    <w:p>
      <w:pPr>
        <w:pStyle w:val="BookText"/>
        <w:rPr/>
      </w:pPr>
      <w:r>
        <w:rPr>
          <w:rFonts w:ascii="Amiri" w:hAnsi="Amiri" w:eastAsia="Amiri" w:cs="Amiri"/>
          <w:color w:val="111111"/>
          <w:sz w:val="28"/>
          <w:sz w:val="28"/>
          <w:szCs w:val="28"/>
          <w:rtl w:val="true"/>
          <w:lang w:bidi="ar-SA"/>
        </w:rPr>
        <w:t>لا يجوز توزيع الموادّ المخدّرة بين الناس؛ لأنّه إضرار لهم،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إجارة المحالّ لخصوص استعمالها؛ لأنّه إعانة على الحرام، ويحرم أخذ الاُجرة في مقابل ذلك إن كانت تلك المحالّ معدّة لشرب الموادّ المخدّرة واستعمالها؛ وذلك لبطلان الإجارة والمعاملة عند انحصار المنفعة في المحرّمة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875954_1280447820"/>
      <w:bookmarkStart w:id="232" w:name="_Toc82"/>
      <w:bookmarkEnd w:id="231"/>
      <w:r>
        <w:rPr>
          <w:rtl w:val="true"/>
        </w:rPr>
        <w:t>المقام الحادي عشر</w:t>
      </w:r>
      <w:r>
        <w:rPr>
          <w:rtl w:val="true"/>
        </w:rPr>
        <w:t xml:space="preserve">: </w:t>
      </w:r>
      <w:r>
        <w:rPr>
          <w:rtl w:val="true"/>
        </w:rPr>
        <w:t>في جوب ترك الاشتغال بالمواد المخدّرة</w:t>
      </w:r>
      <w:bookmarkEnd w:id="23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اشتغل بمبادلة الموادّ المخدّرة التي لا فائدة محلّلة لها وجب عليه ترك الشغل </w:t>
      </w:r>
      <w:bookmarkStart w:id="233" w:name="pg17323_406071"/>
    </w:p>
    <w:p>
      <w:pPr>
        <w:pStyle w:val="BookText"/>
        <w:rPr/>
      </w:pPr>
      <w:bookmarkEnd w:id="233"/>
      <w:r>
        <w:rPr>
          <w:rFonts w:ascii="Amiri" w:hAnsi="Amiri" w:eastAsia="Amiri" w:cs="Amiri"/>
          <w:color w:val="111111"/>
          <w:sz w:val="28"/>
          <w:sz w:val="28"/>
          <w:szCs w:val="28"/>
          <w:rtl w:val="true"/>
          <w:lang w:bidi="ar-SA"/>
        </w:rPr>
        <w:t>المذكور، وإن لم يتركه عزّر واُجبر على تركه؛ لأنّه أقدم على إضرار المسلمين، بل عدّه بعض العلماء من المفسدين، واستدل له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 بدعوى أنّ دفع فساد المفسدين في الأرض وقتلهم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رفع فتنتهم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عليه ارتكاز العقلاء، والآية الكريمة إمضاء لهذا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للآية الكريمة؛ لأنّ مفهومها هو عدم كون قتل النفس حينئذ كقتل الناس جميعاً، ولا تعرّض لها بالنسبة إلى جواز ذلك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ما عليه العقلاء؛ لأنّ الآية الكريمة إمضاء وإشارة إليها، فما عليه العقلاء بالإطلاق مورد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بناء العقلاء دليل لبّي، فلا إطلاق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ينحصر الدليل في الآية المذكورة، فاللازم هو الرجوع إلى الأدلّة الاُخرى،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البائع لا يملك ما قبضه من أموال في مقابل أعيان الموادّ المذكورة، فإن عرف ملاّكها فعليه ردّ أموالهم إليهم، وإن لم يعرفهم وجب عليه التصدّق عنهم للفقراء غير الهاشميّين مع إذن المجتهد الجامع للشرائط</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875956_1280447820"/>
      <w:bookmarkStart w:id="235" w:name="_Toc83"/>
      <w:bookmarkEnd w:id="234"/>
      <w:r>
        <w:rPr>
          <w:rtl w:val="true"/>
        </w:rPr>
        <w:t>المقام الثاني عشر</w:t>
      </w:r>
      <w:r>
        <w:rPr>
          <w:rtl w:val="true"/>
        </w:rPr>
        <w:t xml:space="preserve">: </w:t>
      </w:r>
      <w:r>
        <w:rPr>
          <w:rtl w:val="true"/>
        </w:rPr>
        <w:t>في عدم جواز البيع و شراء المواد المخدّرة</w:t>
      </w:r>
      <w:bookmarkEnd w:id="2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بيع ما له منفعة محرّمة ومنفعة محلّلة كبعض الموادّ بقصد الاستفادة من </w:t>
      </w:r>
      <w:bookmarkStart w:id="236" w:name="pg17323_406072"/>
    </w:p>
    <w:p>
      <w:pPr>
        <w:pStyle w:val="BookText"/>
        <w:rPr/>
      </w:pPr>
      <w:bookmarkEnd w:id="236"/>
      <w:r>
        <w:rPr>
          <w:rFonts w:ascii="Amiri" w:hAnsi="Amiri" w:eastAsia="Amiri" w:cs="Amiri"/>
          <w:color w:val="111111"/>
          <w:sz w:val="28"/>
          <w:sz w:val="28"/>
          <w:szCs w:val="28"/>
          <w:rtl w:val="true"/>
          <w:lang w:bidi="ar-SA"/>
        </w:rPr>
        <w:t>المحرّمة؛ لصدق الإعانة على الإثم عليه بلا إشكال، بخلاف ما إذا لم يقصدها فإنّه لا إشكال فيه وإن علم بأنّ غرض المشتري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يكون ترك البيع من مصاديق الدفع عن المنكر فلا يجوز</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875958_1280447820"/>
      <w:bookmarkStart w:id="238" w:name="_Toc84"/>
      <w:bookmarkEnd w:id="237"/>
      <w:r>
        <w:rPr>
          <w:rtl w:val="true"/>
        </w:rPr>
        <w:t>المقام الثالث عشر</w:t>
      </w:r>
      <w:r>
        <w:rPr>
          <w:rtl w:val="true"/>
        </w:rPr>
        <w:t xml:space="preserve">: </w:t>
      </w:r>
      <w:r>
        <w:rPr>
          <w:rtl w:val="true"/>
        </w:rPr>
        <w:t>في حكم شرب التتن</w:t>
      </w:r>
      <w:bookmarkEnd w:id="238"/>
    </w:p>
    <w:p>
      <w:pPr>
        <w:pStyle w:val="Heading4"/>
        <w:numPr>
          <w:ilvl w:val="3"/>
          <w:numId w:val="1"/>
        </w:numPr>
        <w:rPr/>
      </w:pPr>
      <w:bookmarkStart w:id="239" w:name="__RefHeading___Toc875960_1280447820"/>
      <w:bookmarkStart w:id="240" w:name="_Toc85"/>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يجوز شرب التتن إذا لم يكن فيه ضرر معتدّ به لا بالنسبة إلى الشارب ولا بالنسبة إلى غيره من الحاضرين؛ وذلك لعدم دليل على حرمته، والأصل هو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جديد؛ إذ لم يكن التتن في عصر الشارع، فاللازم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قرّر في أصالة البراءة؛ من أنّ غايته هو الشكّ في الحلّية وعدمها، ومقتضى أصالة الإباحة والبراءة هو الحلّية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شربه مضرّاً للشارب أو غيره من الحاضرين حرم ذلك؛ قضاءً لإطلاق حديث نفي الضرر والضرار بناءً على شموله للإضرار بالنفس أيضاً، كما قوّيناه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تفاوت في الضرر بين أن يكون موجباً لفساد البدن وتلفه، وبين ما لا يكون كذلك بل يكون ضرريّاً؛ وذلك لإطلاق حديث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اللازم أن يكون الضرر معتدّاً 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تعيين الضرر في بعض المصاديق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فليس هو من شؤون الفقيه، بل هو تابع لتشخيص الشاربين ومن حولهم خصوصاً مع اختلاف أحوالهم في التضرّر وعدمه والعلم به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يترك الاحتياط فيما لو اطّلع الشارب على مضرّاته بالنسبة له أو لغيره من الحاضرين بواسطة إخبار أهل الخبرة بها وكانت المضرّات معتدّاً بها فيما إذا لم يطمئنّ بها، وإلاّ فمع الاطمئنان بها فاللازم الاجتناب؛ قضاءً لإطلاق حديث نفي الضرر والضرار</w:t>
      </w:r>
      <w:r>
        <w:rPr>
          <w:rFonts w:eastAsia="Amiri" w:cs="Amiri" w:ascii="Amiri" w:hAnsi="Amiri"/>
          <w:color w:val="111111"/>
          <w:sz w:val="28"/>
          <w:szCs w:val="28"/>
          <w:rtl w:val="true"/>
          <w:lang w:bidi="ar-SA"/>
        </w:rPr>
        <w:t xml:space="preserve">. </w:t>
      </w:r>
      <w:bookmarkStart w:id="241" w:name="pg17323_406073"/>
    </w:p>
    <w:p>
      <w:pPr>
        <w:pStyle w:val="BookText"/>
        <w:rPr/>
      </w:pPr>
      <w:bookmarkEnd w:id="241"/>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شرب التتن محرّم من جهة صدق تضييع المال وإتلافه، فهي صحيحة إن لم يكن غرض عقلائي في شربه، كتخدير الأعصاب أو حصول النشاط أو نحوهما ممّا يزعمه الشاربون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غرض عقلائي يكفي لمنع صدق التضييع والإتلاف، فليكن كذلك بالنسبة إلى صدق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بينهما؛ لأنّه مع عدم صدق التضييع 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كحصول النشاط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شرب التتن في هذه الصورة موجباً للضرر أو الفساد من ناحية اُخرى كما لا يخفى</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875962_1280447820"/>
      <w:bookmarkStart w:id="243" w:name="_Toc86"/>
      <w:bookmarkEnd w:id="242"/>
      <w:r>
        <w:rPr>
          <w:rtl w:val="true"/>
        </w:rPr>
        <w:t>تنبيهات</w:t>
      </w:r>
      <w:r>
        <w:rPr>
          <w:rtl w:val="true"/>
        </w:rPr>
        <w:t>:</w:t>
      </w:r>
      <w:bookmarkEnd w:id="243"/>
    </w:p>
    <w:p>
      <w:pPr>
        <w:pStyle w:val="Heading5"/>
        <w:numPr>
          <w:ilvl w:val="4"/>
          <w:numId w:val="1"/>
        </w:numPr>
        <w:rPr/>
      </w:pPr>
      <w:bookmarkStart w:id="244" w:name="__RefHeading___Toc875964_1280447820"/>
      <w:bookmarkStart w:id="245" w:name="_Toc87"/>
      <w:bookmarkEnd w:id="244"/>
      <w:r>
        <w:rPr>
          <w:rtl w:val="true"/>
        </w:rPr>
        <w:t>التنبيه الأوّل</w:t>
      </w:r>
      <w:r>
        <w:rPr>
          <w:rtl w:val="true"/>
        </w:rPr>
        <w:t xml:space="preserve">: </w:t>
      </w:r>
      <w:r>
        <w:rPr>
          <w:rtl w:val="true"/>
        </w:rPr>
        <w:t>في عدم اختصاص الأحكام بعنوان الهيروئين أو الترياك</w:t>
      </w:r>
      <w:bookmarkEnd w:id="245"/>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ذكرناه من الأحكام بعنوانها الخاصّ كالهيروئين أو الترياك يجري في أمثالهما كالحشيش؛ إذ لا تختصّ الأحكام بخصوص عنوان الهيروئين أو الترياك؛ لأنّ هذين العنوانين لم يردا في النصوص حتّى يُحتاج إلى إلغاء الخصوصية للتعدّي منهما إلى غيرهما، بل دليل حرمة الإدمان عليهما ووجوب تركه هو كونهما مشمولين لنفي الضرر والضرار في الإسلام، وهذا جار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فمثل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عصارة تُستحصل من ساق بعض النباتات أو خليط من الأوراق والأزهار النباتية الخاصّة</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محكوماً بالأحكام المترتّبة على الهيروئين والترياك من الحرمة إذا كان الضرر الحاصل منه ضرراً معتدّاً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الأمر في الكوكائين المتّخذ من أوراق شجر الكوكا، فإنّه محكوم بحكم سائر </w:t>
      </w:r>
      <w:bookmarkStart w:id="246" w:name="pg17323_406074"/>
    </w:p>
    <w:p>
      <w:pPr>
        <w:pStyle w:val="BookText"/>
        <w:rPr/>
      </w:pPr>
      <w:bookmarkEnd w:id="246"/>
      <w:r>
        <w:rPr>
          <w:rFonts w:ascii="Amiri" w:hAnsi="Amiri" w:eastAsia="Amiri" w:cs="Amiri"/>
          <w:color w:val="111111"/>
          <w:sz w:val="28"/>
          <w:sz w:val="28"/>
          <w:szCs w:val="28"/>
          <w:rtl w:val="true"/>
          <w:lang w:bidi="ar-SA"/>
        </w:rPr>
        <w:t>الموادّ المخدّرة المذكورة إن كان مثلها في الآثار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 يظهر حال غير المذكورات ممّا يكون شريكاً معها في الآثار؛ لأنّ الدليل واحد كما لا يخفى</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875966_1280447820"/>
      <w:bookmarkStart w:id="248" w:name="_Toc88"/>
      <w:bookmarkEnd w:id="247"/>
      <w:r>
        <w:rPr>
          <w:rtl w:val="true"/>
        </w:rPr>
        <w:t>التنبيه الثاني</w:t>
      </w:r>
      <w:r>
        <w:rPr>
          <w:rtl w:val="true"/>
        </w:rPr>
        <w:t xml:space="preserve">: </w:t>
      </w:r>
      <w:r>
        <w:rPr>
          <w:rtl w:val="true"/>
        </w:rPr>
        <w:t>في حرمة شرب التتن الخمر فى الخمر</w:t>
      </w:r>
      <w:bookmarkEnd w:id="248"/>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خمّر التتن في الخمر أو المسكر بحيث يوجب شربه السكر فلا إشكال في حرمته وإن لم يكن التتن مضرّاً في نفسه؛ 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حرمة كلّ مسكر، فإذا كان شربه محرّماً حرم بيعه وحمله أيضاً 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التتن مضرّاً ومخمّراً في الخمر أو المسكر فيكون محرّماً من جهتين كما لا يخفى</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875968_1280447820"/>
      <w:bookmarkStart w:id="250" w:name="_Toc89"/>
      <w:bookmarkEnd w:id="249"/>
      <w:r>
        <w:rPr>
          <w:rtl w:val="true"/>
        </w:rPr>
        <w:t>التنبيه الثالث</w:t>
      </w:r>
      <w:r>
        <w:rPr>
          <w:rtl w:val="true"/>
        </w:rPr>
        <w:t xml:space="preserve">: </w:t>
      </w:r>
      <w:r>
        <w:rPr>
          <w:rtl w:val="true"/>
        </w:rPr>
        <w:t>في اجتماع حرمة الإضرار والإسكار</w:t>
      </w:r>
      <w:bookmarkEnd w:id="250"/>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كتب الطبّ أنّ الآثار الحادّة لمثل الهيروئين ربّما تفضي إلى حالة تسمّى بالسكر يمكن معها صدور القتل والجنايات الاُخرى من المدمن كإمكان صدورهما من شارب المسكر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أحد المؤلّفين في هذا المضمار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الحشيش قد يؤدّي إلى ما يشبه الجنون، ويحدث لآكله في الأغلب علائم تكون مشابهة للسكر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الموارد إن كان السكر حقيقيّاً اجتمع فيها حرمة الإضرار وحرمة الإسكار، وإلاّ فالحرمة من ناحية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مسكراً فقليله حرام ككثيره وإن لم يكن مسكراً كما لا يخفى</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875970_1280447820"/>
      <w:bookmarkStart w:id="252" w:name="_Toc90"/>
      <w:bookmarkEnd w:id="251"/>
      <w:r>
        <w:rPr>
          <w:rtl w:val="true"/>
        </w:rPr>
        <w:t>التنبيه الرابع</w:t>
      </w:r>
      <w:r>
        <w:rPr>
          <w:rtl w:val="true"/>
        </w:rPr>
        <w:t xml:space="preserve">: </w:t>
      </w:r>
      <w:r>
        <w:rPr>
          <w:rtl w:val="true"/>
        </w:rPr>
        <w:t>في وجوب الاجتناب عن شرب التتن فى الأمكنة العامّه</w:t>
      </w:r>
      <w:bookmarkEnd w:id="25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اطمأنّ بأنّ شرب التتن في الأمكنة العامّة مضرّ بحال الحاضرين يجب عليه الاجتناب عنه وإن لم يكن مضرّاً بحال نفسه، وإذا لم يطمئنّ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اطمأنّ‌ </w:t>
      </w:r>
      <w:bookmarkStart w:id="253" w:name="pg17323_406075"/>
    </w:p>
    <w:p>
      <w:pPr>
        <w:pStyle w:val="BookText"/>
        <w:rPr/>
      </w:pPr>
      <w:bookmarkEnd w:id="253"/>
      <w:r>
        <w:rPr>
          <w:rFonts w:ascii="Amiri" w:hAnsi="Amiri" w:eastAsia="Amiri" w:cs="Amiri"/>
          <w:color w:val="111111"/>
          <w:sz w:val="28"/>
          <w:sz w:val="28"/>
          <w:szCs w:val="28"/>
          <w:rtl w:val="true"/>
          <w:lang w:bidi="ar-SA"/>
        </w:rPr>
        <w:t>بعدم إضراره بحالهم فلا دليل على وجوب اجتنابه عنه، وإن احتمل الإضرار فالأحوط الاجتناب سيّما إذا أخبر به ذوو الخبرة، بل يجب الاجتناب في هذه الصورة؛ لقيام الأمارة على إضراره مقامَ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منع الحاكم الإسلامي عن شربه في الأمكنة العامّة وجبت إطاعته وحرم شربه فيها وإن علم بعدم الإضرار، فضلا عمّا إذا لم يعلم به؛ وذلك لعموم أدلّة حرمة ردّ حكم الحاكم، فلا تغفل</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875972_1280447820"/>
      <w:bookmarkStart w:id="255" w:name="_Toc91"/>
      <w:bookmarkEnd w:id="254"/>
      <w:r>
        <w:rPr>
          <w:rtl w:val="true"/>
        </w:rPr>
        <w:t>المقام الرابع عشر</w:t>
      </w:r>
      <w:r>
        <w:rPr>
          <w:rtl w:val="true"/>
        </w:rPr>
        <w:t xml:space="preserve">: </w:t>
      </w:r>
      <w:r>
        <w:rPr>
          <w:rtl w:val="true"/>
        </w:rPr>
        <w:t>في حرمة شرب الخمر والمسكر</w:t>
      </w:r>
      <w:bookmarkEnd w:id="255"/>
    </w:p>
    <w:p>
      <w:pPr>
        <w:pStyle w:val="Heading4"/>
        <w:numPr>
          <w:ilvl w:val="3"/>
          <w:numId w:val="1"/>
        </w:numPr>
        <w:rPr/>
      </w:pPr>
      <w:bookmarkStart w:id="256" w:name="__RefHeading___Toc875974_1280447820"/>
      <w:bookmarkStart w:id="257" w:name="_Toc92"/>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يحرم شرب الخمر والمسكر وغيرهما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الخامس في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وكلّ مسكر والعصير 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وكذا العلقة ولو في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مائع لاقته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الحيوان المحرّم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حرمة الخمر من ضروريّات دين المسلمين، ويدلّ عليها بعض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زبدة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الآية مبالغة زائدة من وجوه شتّى في تحريم الخمر والميسر؛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بالأصنام التي عبادتها كفر، والحصر بأنّه ليس إلاّ الرجس، ثمّ كونه من عمل الشيطان، ثمّ الأمر بالاجتناب بعد ذلك كلّه، والتصدير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والإشعار </w:t>
      </w:r>
    </w:p>
    <w:p>
      <w:pPr>
        <w:pStyle w:val="BookText"/>
        <w:rPr/>
      </w:pPr>
      <w:r>
        <w:rPr>
          <w:rFonts w:ascii="Amiri" w:hAnsi="Amiri" w:eastAsia="Amiri" w:cs="Amiri"/>
          <w:color w:val="111111"/>
          <w:sz w:val="28"/>
          <w:sz w:val="28"/>
          <w:szCs w:val="28"/>
          <w:rtl w:val="true"/>
          <w:lang w:bidi="ar-SA"/>
        </w:rPr>
        <w:t>بأنّ شاربها لا يفلح</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حرمة كلّ مسكر ولو لم يسمَّ بخمر فادّعي عليها الإجماع، ويدلّ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وغيره عن أبي الحسن الماضي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يحرّم الخمر لاسمها، ولكن حرّمها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مسكر حرام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ويحرم الفقّاع؛ لكونه من أنواع المسكرات، مضافاً إلى التصريح به في صحيحة محمّد بن إسماعيل بن بزيع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الفقّاع‌؟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وفيه حدّ شارب الخمر</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فرق في حرمة الخمر والمسكر مطلقاً بين قليله وكثيره، 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ابتدأني أبو عبدالله عليه السلام يوماً من غير أن أسأله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كلّه 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الجرعة منه حرام</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النبيذ؟ فإنّ أبا مريم يشربه ويزعم أنّك أمرت بشربه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آمر بشرب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شيء ما اتّقيت فيه سلطاناً ولا غيره،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w:t>
      </w:r>
    </w:p>
    <w:p>
      <w:pPr>
        <w:pStyle w:val="BookText"/>
        <w:rPr/>
      </w:pPr>
      <w:r>
        <w:rPr>
          <w:rFonts w:ascii="Amiri" w:hAnsi="Amiri" w:eastAsia="Amiri" w:cs="Amiri"/>
          <w:color w:val="111111"/>
          <w:sz w:val="28"/>
          <w:sz w:val="28"/>
          <w:szCs w:val="28"/>
          <w:rtl w:val="true"/>
          <w:lang w:bidi="ar-SA"/>
        </w:rPr>
        <w:t>فما أسكر كثيره فقليله حرام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فرق في حرمة الخمر بين شربه وبين إدخاله في الجوف بوجه من الوجوه وإن لم يصدق عليه عنوان الشرب، فلو جعل الخمر في قارورة وأدخله في الجوف بواسطة الإبرة ارتكب حراماً؛ إذ موضوع الحرمة عند العرف في مثل الخمر هو إدخاله في الجوف ولو بما لم يصدق عليه الشرب؛ ولذا نقول بحرمة الحقنة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مزج الخمر أو المسكر بمائع آخر ولم يستهلك فيه ترتّب عليه حكم شرب الخمر أو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استهلك في المائع الآخر، فإن كان المستهلك هو الخمر أو ما 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كالنبيذ المسكر والفقّاع صار المائع الآخر بملاقاة الخمر وما يلحق به نجساً، فلا يجوز شربه، ولكن لا يصدق على شربه أنّه شرب للخمر أو المسكر؛ ولذا يشكل الأمر في دعوى أنّ المعروف بل المتسالم عليه بين الأصحاب أنّ شرب المستهلَك فيه الخمر أو المسكر شربٌ للخمر أو المسكر وتترتّب عليه أحكامه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القول بحرمة شربه لعدّة من الروايات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لبعض أصحابنا على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أسكر كثيره فقليله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فأكسره بالماء؟ فقال له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وما للماء يحلّ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تشربه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صلحاء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أسألك عن النبيذ وأصفه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الحرام يحلّه كثير الماء؟ فردّ بكفيه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مسكر يصبّ عليه الماء حتّى تذهب عاديته ويذهب سكره‌؟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قطرة قطرت في حِبّ إلاّ اُهريق ذلك الحبّ‌</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موضوع الروايات أعمّ من مزج الخمر، فهو شامل أيضاً لمزج كلّ مسكر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يشمل صورة الاستهلاك؛ ولذا ذهب السيّد المحقّق الخوئي إلى حرمة شرب المستهلك فيه الخمر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السؤال أنّه لم يُرد صورة الاستهلاك؛ لأنّه أراد شرب المسكر بنحو لا يكون محرّماً، وأمّا مع الاستهلاك فلا يبقى شرب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بقوله في الرواية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قطرة قطرت في حبّ إلاّ اُهريق ذلك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عدم جواز شرب المستهلك في أمثال الأواني المتعارفة ولو بمثل الحِبّ‌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وحدة، وعليه فلا يدلّ على لزوم الإراقة؛ لأنّ فعل الإمام أعمّ من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يترك الاحتياط بالاجتناب عنه ولو مع الاستهلاك </w:t>
      </w:r>
      <w:bookmarkStart w:id="258" w:name="pg17323_406079"/>
    </w:p>
    <w:p>
      <w:pPr>
        <w:pStyle w:val="BookText"/>
        <w:rPr/>
      </w:pPr>
      <w:bookmarkEnd w:id="258"/>
      <w:r>
        <w:rPr>
          <w:rFonts w:ascii="Amiri" w:hAnsi="Amiri" w:eastAsia="Amiri" w:cs="Amiri"/>
          <w:color w:val="111111"/>
          <w:sz w:val="28"/>
          <w:sz w:val="28"/>
          <w:szCs w:val="28"/>
          <w:rtl w:val="true"/>
          <w:lang w:bidi="ar-SA"/>
        </w:rPr>
        <w:t>من جهة احتمال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مجهولاً، بناءً على ما في أقرب الموارد من أنّه قد يجمع بين الهاء والهمزة،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أهراقه يهريقه، ولكن يمكن ترجيح كونه فعلا ماضياً من ناحية ظهور كلام الإمام في العموم لا في خصوص حِبّ الإمام عليه السلام،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لم يوثّق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ثقة؛ لنقل الأجلاّء عنه، ومنهم صفوان الذي هو من الثلاثة الذين لا يروون ولا يرسلون إلاّ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الاستدلال بهذه الأخبار لحرمة مطلق الاستعمال؛ لأنّ المنسبق منها هو الشرب، فلا تغفل</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875976_1280447820"/>
      <w:bookmarkStart w:id="260" w:name="_Toc93"/>
      <w:bookmarkEnd w:id="259"/>
      <w:r>
        <w:rPr>
          <w:rtl w:val="true"/>
        </w:rPr>
        <w:t>تنبيهان</w:t>
      </w:r>
      <w:r>
        <w:rPr>
          <w:rtl w:val="true"/>
        </w:rPr>
        <w:t>:</w:t>
      </w:r>
      <w:bookmarkEnd w:id="260"/>
    </w:p>
    <w:p>
      <w:pPr>
        <w:pStyle w:val="Heading5"/>
        <w:numPr>
          <w:ilvl w:val="4"/>
          <w:numId w:val="1"/>
        </w:numPr>
        <w:rPr/>
      </w:pPr>
      <w:bookmarkStart w:id="261" w:name="__RefHeading___Toc875978_1280447820"/>
      <w:bookmarkStart w:id="262" w:name="_Toc94"/>
      <w:bookmarkEnd w:id="261"/>
      <w:r>
        <w:rPr>
          <w:rtl w:val="true"/>
        </w:rPr>
        <w:t>التنبيه الأوّل</w:t>
      </w:r>
      <w:r>
        <w:rPr>
          <w:rtl w:val="true"/>
        </w:rPr>
        <w:t xml:space="preserve">: </w:t>
      </w:r>
      <w:r>
        <w:rPr>
          <w:rtl w:val="true"/>
        </w:rPr>
        <w:t>في أنّه لا يجوز الجلوس على مائدة فيها خمر أو مسكر</w:t>
      </w:r>
      <w:bookmarkEnd w:id="262"/>
    </w:p>
    <w:p>
      <w:pPr>
        <w:pStyle w:val="BookText"/>
        <w:rPr/>
      </w:pPr>
      <w:r>
        <w:rPr>
          <w:rFonts w:ascii="Amiri" w:hAnsi="Amiri" w:eastAsia="Amiri" w:cs="Amiri"/>
          <w:color w:val="111111"/>
          <w:sz w:val="28"/>
          <w:sz w:val="28"/>
          <w:szCs w:val="28"/>
          <w:rtl w:val="true"/>
          <w:lang w:bidi="ar-SA"/>
        </w:rPr>
        <w:t>اعلم أنّه لا يجوز الجلوس على مائدة فيها خمر أو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الأكل على مائدة يشرب عليها شيء من المسكرات أو الفقّاع</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للخمر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عبدالله عليه السلام بالحيرة حين قدم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فختن بعض القوّاد ابناً له وصنع طعاماً ودعا الناس، وكان أبو عبدالله عليه السلام فيمن دعي، فبينا هو على المائدة يأكل ومعه عدّة على المائدة فاستسقى رجل منهم، فاُتي بقدح فيه شراب لهم، فلمّا أن صار القدح في يد الرجل قام أبو عبدالله عليه السلام عن المائدة، فسئل عن قيامه،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جلس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بالنسبة للخمر وغيره من المسكرات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بن موسى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المائدة إذا شرب عليها الخمر أو مسكر؟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رجل على مائدة منصوبة يأكل ممّا عليها ومع الرجل مسكر لم يُسقِ أحداً ممّن عليها بعد؟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 حتّى يشرب عليها، وإن وضع بعدما يشرب فالوذج فكل؛ فإنّها مائدة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كل الفالوذج</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تشمل غير الخمر من المسكرات، كما صرّح به المحقّق في الشرائع، وأشار إليه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إلحاق المصنّف المسكرات أو الفقّاع بالخمر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كشف اللثام نسبته إلى الأصحاب، ولعلّه للموثّق المزبور، أو بناءً على أنّ الخمر اسم لكلّ مسكر، أو على الإلحاق به؛ للقطع بعدم الخصوصية حتّى في الفقّاع الذي هو خمر مجهول واستصغره الناس</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المستفاد من الروايتين هو حرمة الأكل على مائدة فيها مسكر، بل يستفاد من الرواية الاُولى حرمة الجلوس عليها ولو لم يأكل؛ لإطلاق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جلس على مائدة يشرب عليها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لذا 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الأكل بل الجلوس على مائدة فيها المسكر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خصوصية للمائدة، بل لو كان المجلس مجلس شرب لم يجز الجلوس فيه ولو لم يكن فيه غير الشراب أو المسكر شيء آخر من الأطعمة والمأكولات، ومع إلغاء خصوصية المائدة فالمعيار هو صدق مجلس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فيشكل جواز الجلوس في </w:t>
      </w:r>
    </w:p>
    <w:p>
      <w:pPr>
        <w:pStyle w:val="BookText"/>
        <w:rPr/>
      </w:pPr>
      <w:r>
        <w:rPr>
          <w:rFonts w:ascii="Amiri" w:hAnsi="Amiri" w:eastAsia="Amiri" w:cs="Amiri"/>
          <w:color w:val="111111"/>
          <w:sz w:val="28"/>
          <w:sz w:val="28"/>
          <w:szCs w:val="28"/>
          <w:rtl w:val="true"/>
          <w:lang w:bidi="ar-SA"/>
        </w:rPr>
        <w:t>بيت فيه موائد متعدّدة يشرب على بعضها الشراب لو صدق على كلّ موضع منه أنّه مجلس شرب؛ فإنّ الجلوس فيه جلوس في مجلس الشرب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المجالس متعدّدة يشرب في بعضها الخمر أو المسكر اختصّت الحرمة بمجلس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وحدة مجلس الشرب، وهو يختلف باختلاف الموارد والمحافل، وقد تصدق الوحدة مع تعدّد الكراسي وملحقاته كمجالس العقد ونحوه، وربّما لا تصدق في السيّارات والطائرات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على حرمة الجلوس على المائدة أو الجلوس في مجلس الشرب وإن لم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الإنكار على شارب الخمر أو المسكر؛ إذ أقلّه القيام عن المائدة أو المجلس، والامتناع عن حضورها إعراضاً عن فاعل الشرب وإهانةً له، فيجب لذلك، ويحرم تركه بالمقام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المنكر إنّما يجب بشرائط،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التأثير، ومقتضى الروايات تحريم الجلوس والأكل حينئذ وإن لم ينهَ عن المنكر ولم يجوز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النهي عن المنكر لا يتقيّد بالمقام، بل بحسب مراتبه المعلومة على التدريج، وإذا لم يكن المقام من مراتبه لا يحرم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على حرمة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في الفقيه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تجالسوا شرّاب الخمر؛ فإنّ اللعنة إذا نزلت عمّت من في المجلس</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الإرسال وإن أرسله الصدوق جازماً؛ لأنّ المعتبر هو حصول الجزم، وهو غير متحقّق بجزم الصدوق، فتدبّر جيّداً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المستفاد منه النهي عن مجالسة الشرّاب وإن لم يكونوا حال </w:t>
      </w:r>
    </w:p>
    <w:p>
      <w:pPr>
        <w:pStyle w:val="BookText"/>
        <w:rPr/>
      </w:pPr>
      <w:r>
        <w:rPr>
          <w:rFonts w:ascii="Amiri" w:hAnsi="Amiri" w:eastAsia="Amiri" w:cs="Amiri"/>
          <w:color w:val="111111"/>
          <w:sz w:val="28"/>
          <w:sz w:val="28"/>
          <w:szCs w:val="28"/>
          <w:rtl w:val="true"/>
          <w:lang w:bidi="ar-SA"/>
        </w:rPr>
        <w:t>المجالسة شاربين، وهو غير الجلوس في مجلس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الأخبار هو حرمة الجلوس على مائدة يشرب عليها الخمر أو المسكر، وبدعوى إلغاء الخصوصية قلنا بحرمة الجلوس في مجلس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يتعدّى عن ذلك إلى مائدة يعصى عليها، كأكل الخنزير، بل حضور مجلس يعصى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لاختصاص الروايات بمجلس شرب الخمر أو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حضور مطلق المجالس المنعقدة على المعاصي والمعدّة لها من تلك النصوص؛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الخمر إنّما هو باعتبار غلبة استعمالها في ذلك الوقت مع الغناء والرقص والضرب بالعود ونحوها ممّا هو شائع في تلك الأزمنة، ولا دخالة لنوع منها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ظهور النصوص المزبورة بل والفتاوى فيه، بل يمكن دعوى ظهورهما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ولا يبعد كون الحكم المزبور تعبّديّاً لا يتعدّى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مقتض للحرمة من وجه آخر فلا بأس بالقول بها، ولكن هي غير حرمة نفس المائدة بمجرّد شرب شخص ممّن هو عليها خمراً أو مسكراً التي هي المرادة من النصّ والفتوى</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ينقدح ما في المحكي عن كشف اللثام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يحرم الجلوس على مائدة يعصى الله عليها، بل حضور مجلس يعصى الله تعالى فيه، إلاّ أن يضطرّ إليه أو يقدر على إزالة المنكر؛ لوجوب إنكاره، ولأنّ مجلس العصيان في معرض نزول العذاب بأهله</w:t>
      </w:r>
      <w:r>
        <w:rPr>
          <w:rFonts w:eastAsia="Amiri" w:cs="Amiri" w:ascii="Amiri" w:hAnsi="Amiri"/>
          <w:color w:val="111111"/>
          <w:sz w:val="28"/>
          <w:szCs w:val="28"/>
          <w:rtl w:val="true"/>
          <w:lang w:bidi="ar-SA"/>
        </w:rPr>
        <w:t xml:space="preserve">. </w:t>
      </w:r>
      <w:bookmarkStart w:id="263" w:name="pg17323_406083"/>
    </w:p>
    <w:p>
      <w:pPr>
        <w:pStyle w:val="BookText"/>
        <w:rPr/>
      </w:pPr>
      <w:bookmarkEnd w:id="263"/>
      <w:r>
        <w:rPr>
          <w:rFonts w:ascii="Amiri" w:hAnsi="Amiri" w:eastAsia="Amiri" w:cs="Amiri"/>
          <w:color w:val="111111"/>
          <w:sz w:val="28"/>
          <w:sz w:val="28"/>
          <w:szCs w:val="28"/>
          <w:rtl w:val="true"/>
          <w:lang w:bidi="ar-SA"/>
        </w:rPr>
        <w:t>لما عرفت من أنّ الحكم تعبّدي لا يتعدّى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النهي عن المنكر على الخروج عن مجلس المعصية أو عدّ الجلوس تأييداً لهم وجب الخروج، ولكنّ هذا غير حرمة نفس الجلوس المستفاد من الأخبار الواردة في الخمر أو المسكر،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مجلس العصيان في معرض نزول العذاب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تجالسوا شرّاب الخمر؛ فإنّ اللعنة إذا نزلت عمّت من في المجلس</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ومقتضى عموم التعليل عدم اختصاصه بمجلس شرب الخمر،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الجلوس في مجلس المعصية بناءً على أنّ الإلقاء في التهلكة محرّم بالنهي الإمضائي المولوي، وهو موجب للعقاب، مضافاً إلى ما فيه من اللعنة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التعليل المذكور للإرسال، هذا مضافاً إلى أنّ المرسلة تنهى عن مجالسة الشرّاب لا عن مجلس الشرب، فتدبّر</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875980_1280447820"/>
      <w:bookmarkStart w:id="265" w:name="_Toc95"/>
      <w:bookmarkEnd w:id="264"/>
      <w:r>
        <w:rPr>
          <w:rtl w:val="true"/>
        </w:rPr>
        <w:t>التنبيه الثاني</w:t>
      </w:r>
      <w:r>
        <w:rPr>
          <w:rtl w:val="true"/>
        </w:rPr>
        <w:t xml:space="preserve">: </w:t>
      </w:r>
      <w:r>
        <w:rPr>
          <w:rtl w:val="true"/>
        </w:rPr>
        <w:t>في جواز التداوى بالخمر أو المسكر وعدمه</w:t>
      </w:r>
      <w:bookmarkEnd w:id="265"/>
    </w:p>
    <w:p>
      <w:pPr>
        <w:pStyle w:val="Heading6"/>
        <w:numPr>
          <w:ilvl w:val="5"/>
          <w:numId w:val="1"/>
        </w:numPr>
        <w:rPr/>
      </w:pPr>
      <w:bookmarkStart w:id="266" w:name="__RefHeading___Toc875982_1280447820"/>
      <w:bookmarkStart w:id="267" w:name="_Toc96"/>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هل يجوز التداوي بالخمر أو المسكر أو لا؟</w:t>
      </w:r>
    </w:p>
    <w:p>
      <w:p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التداوي بها ولا بشيء من الأنبذة ولا بشيء من الأدوية معها شيء من المسكر أكلا ولا شرباً، ويجوز عند الضرورة أن يتداوى بها للعين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أنّ عدم جواز التداوي بالخمر وما يلحق بها لا يختصّ بصورة عدم الانحصار </w:t>
      </w:r>
    </w:p>
    <w:p>
      <w:pPr>
        <w:pStyle w:val="BookText"/>
        <w:rPr/>
      </w:pPr>
      <w:r>
        <w:rPr>
          <w:rFonts w:ascii="Amiri" w:hAnsi="Amiri" w:eastAsia="Amiri" w:cs="Amiri"/>
          <w:color w:val="111111"/>
          <w:sz w:val="28"/>
          <w:sz w:val="28"/>
          <w:szCs w:val="28"/>
          <w:rtl w:val="true"/>
          <w:lang w:bidi="ar-SA"/>
        </w:rPr>
        <w:t>وعدم الضرورة والاضطرار؛ لتخصيص الجواز بمورد التداوي بخصوص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الجواهر خصّ عدم الجواز بصورة عدم الضرورة والاضطرار، حيث ذكر في ذيل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التداوي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الانحصار، بلا خلاف، بل يمكن تحصيل الإجماع عليه فضلا عن محكيّه في كشف اللثام؛ لإطلاق أدلّة التحريم السالمة عن معارضة الرخصة فيه للمضطرّ المعلوم عدم تحقّقه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لعلّه كذلك مع عدم العلم بالانحصار؛ لعدم تحقّق عنوان الرخصة أيضاً، 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المسالك وكشف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حتّى مع الانحصار، بل عن الشيخ في الخلاف وظاهر المبسوط الإجماع عليه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لصحيح الحلبي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دواء عجن بالخمر؟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اُحبّ أن أنظر إليه، فكيف أتداوى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بمنزلة شحم الخنزير أو لحم الخنزير، وإنّ اُناساً ليتدا ون به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 ابن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عليه السلام أسأله عن رجل ينعت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p>
    <w:p>
      <w:pPr>
        <w:pStyle w:val="BookText"/>
        <w:rPr/>
      </w:pPr>
      <w:r>
        <w:rPr>
          <w:rFonts w:ascii="Amiri" w:hAnsi="Amiri" w:eastAsia="Amiri" w:cs="Amiri"/>
          <w:color w:val="111111"/>
          <w:sz w:val="28"/>
          <w:sz w:val="28"/>
          <w:szCs w:val="28"/>
          <w:rtl w:val="true"/>
          <w:lang w:bidi="ar-SA"/>
        </w:rPr>
        <w:t>الدواء من ريح البواسير، فيشربه بقدر سكُرّجة من نبيذ صلب؛ ليس يريد به اللذّة إنّما يريد به الدواء؟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ولا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لم يجعل في شيء ممّا حرّم دواء ولا شفاء</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 التي يمكن حملها على عدم الانحصار، كما أنّه يمكن إرادة عدم حصر الدواء في المحرّم من التعليل، أو ينزّل على الغلبة، على أنّه لم نجد القائل به في غير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سمعته من حلّ تناوله عند الاضطرار الذي لا ريب في كون المقام منه بشهادة الوجدان وأهل الخبرة، بل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حصول نفع به، وخبر عبد الرحمان بن الحجّاج المروي عن 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 الحسن عليه السلام عن الترياق،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إنّه يجعل فيه لحوم الأفاعي‌؟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تقذره علينا</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القاضي الجواز، وتبعه جماعة من متأخّري المتأخّرين، وهو الأقوى</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أي أطلق القاضي الجواز في صورة الانحصار، ولم يخصّصه بمورد خاصّ كالاكتحال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الغريب جزم المصنّف بالعدم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عند الضرورة أن يتداوى بها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حكاه في المسالك عن الأكثر، وفي كشف اللثام عن </w:t>
      </w:r>
    </w:p>
    <w:p>
      <w:pPr>
        <w:pStyle w:val="BookText"/>
        <w:rPr/>
      </w:pPr>
      <w:r>
        <w:rPr>
          <w:rFonts w:ascii="Amiri" w:hAnsi="Amiri" w:eastAsia="Amiri" w:cs="Amiri"/>
          <w:color w:val="111111"/>
          <w:sz w:val="28"/>
          <w:sz w:val="28"/>
          <w:szCs w:val="28"/>
          <w:rtl w:val="true"/>
          <w:lang w:bidi="ar-SA"/>
        </w:rPr>
        <w:t>الشيخ وجماعة، مستدلّين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وجوب دفع الضرر، وخصوص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حمزة الغنوي عن الصادق عليه السلام في رجل اشتكى عينيه، فبُعِث له كحل يعجن بالخمر؟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خبيث بمنزلة الميتة، فإن كان مضطرّاً فليكتحل به</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ضرورة منافاته للتعليل الذي هو منشأ المنع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كان المحكي عن ابن إدريس المنع هنا أيضاً، محتجّاً بالتعليل السابق المؤيّد بمرسل مروك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اكتحل بميل من مسكر كحّله الله بميل من نار</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بعد القول بحرمة مطلق الانتفاع به؛ لخصوص ما ورد فيه، مضافاً إلى ما سمعته في مطلق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 ذلك كلّه بعد الإحاطة بما ذكرناه؛ من أنّ الأصحّ الجواز مع الاضطرار وإن قلنا بحرمة الانتفاع به مطلقاً مع عدمه، ويمكن حمل المرسل المزبور عليه، والله العالم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خبر عبد الرحمان بن الحجّاج ضعيف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فيؤيَّد ما ذهب إليه صاحب الجواهر من الجواز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بموثّقة عمّار بن موسى عن أبي عبدالله عليه السلام في الإناء يشرب منه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سبع مرّات، وكذلك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الرجل أصابه العطش حتّى خاف على نفسه فأصاب </w:t>
      </w:r>
    </w:p>
    <w:p>
      <w:pPr>
        <w:pStyle w:val="BookText"/>
        <w:rPr/>
      </w:pPr>
      <w:r>
        <w:rPr>
          <w:rFonts w:ascii="Amiri" w:hAnsi="Amiri" w:eastAsia="Amiri" w:cs="Amiri"/>
          <w:color w:val="111111"/>
          <w:sz w:val="28"/>
          <w:sz w:val="28"/>
          <w:szCs w:val="28"/>
          <w:rtl w:val="true"/>
          <w:lang w:bidi="ar-SA"/>
        </w:rPr>
        <w:t>خمراً؟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منه قوته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في قبال موثّقتي هارون الغنوي وعمّار بن موسى روايات تمنع عن التداوي بشرب الخمر في صورة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اختصاص موثّقة عمّار بصورة التهلكة وموثّقة الغنوي بصورة الاكتحال، فلا تدلاّن على الجواز في مطلق موارد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فيما يلي الروايات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عيون أخبار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في شعبان سنة اثنتين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النيسابوري، 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محض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وتحريم كلّ شرب مسكر قليله وكثيره، وما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والمضطرّ لا يشرب الخمر؛ لأنّها تقتله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الواحد من مشايخ الصدوق، وقد أكثر الرواية عنه مترضّياً، وحكى عنه أنّه قال في موضع من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أصحّ‌</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وعليّ بن محمّد بن قتيبة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اعتمد أبو عمرو الكشّي في كتاب الرجال</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والاعتماد لا يكون إلاّ بعد ثبوت وثاقته لديه، وعليه فالأقوى هو اعتبار سند الرواية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معنى الرواية أنّ الخمر تكون ذات مفسدة التهلكة، ومعه لا وجه لانتظار البرء </w:t>
      </w:r>
    </w:p>
    <w:p>
      <w:pPr>
        <w:pStyle w:val="BookText"/>
        <w:rPr/>
      </w:pPr>
      <w:r>
        <w:rPr>
          <w:rFonts w:ascii="IRNazanin" w:hAnsi="IRNazanin" w:eastAsia="IRNazanin"/>
          <w:color w:val="111111"/>
          <w:sz w:val="28"/>
          <w:sz w:val="28"/>
          <w:szCs w:val="28"/>
          <w:rtl w:val="true"/>
          <w:lang w:bidi="fa-IR"/>
        </w:rPr>
        <w:t>والشفاء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تفسير العيّاشي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لا يشرب الخمر؛ لأنّها لا تزيده إلاّ شرّاً، فإن شربها قتلته، فلا يشربنّ منها قطرة</w:t>
      </w:r>
      <w:r>
        <w:rPr>
          <w:rFonts w:eastAsia="Amiri" w:cs="Amiri" w:ascii="Amiri" w:hAnsi="Amiri"/>
          <w:color w:val="111111"/>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البيّاع، عن عبدالله 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دواء يعجن بالخمر؛ لا يجوز أن يعجن بغيره إنّما هو اضطرار؟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يحلّ لمسلم أن ينظر إليه فكيف يتداوى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بمنزلة شحم الخنزير الذي يقع في كذا وكذا لا يكمل إلاّ به، فلا شفى الله أحداً شفاء خمر وشحم خنزير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لم يثبت اعتبار كتاب طبّ الأئمّة عليهم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الفضل المعروف بأبي عمر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يونس بن عبد الرحمان عن عليّ بن أبي حمزة، 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لا يشرب الخمر؛ لأنّها لا تزيده إلاّ شرّاً، ولأنّه إن شربها قتلته، فلا يشرب منها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تزيده إلاّ عطشاً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عليّ بن الحسين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الحديث هكذا كما أوردته، وشرب الخمر في حال الاضطرار مباح مطلق مثل الميتة والدم ولحم الخنزير، وإنّما أوردته لما فيه من </w:t>
      </w:r>
    </w:p>
    <w:p>
      <w:pPr>
        <w:pStyle w:val="BookText"/>
        <w:rPr/>
      </w:pPr>
      <w:r>
        <w:rPr>
          <w:rFonts w:ascii="Amiri" w:hAnsi="Amiri" w:eastAsia="Amiri" w:cs="Amiri"/>
          <w:color w:val="111111"/>
          <w:sz w:val="28"/>
          <w:sz w:val="28"/>
          <w:szCs w:val="28"/>
          <w:rtl w:val="true"/>
          <w:lang w:bidi="ar-SA"/>
        </w:rPr>
        <w:t>العلّة، ولا قوّة إلاّ بالله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ضعف الرواية؛ لجهالة أحمد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المذكور في حسنة ابن اُذينة وغيرها،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يجعل في رجس حرّمه شفاءً‌</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الجمع بين هذه الروايات الناهية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المعتبر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غيرها ممّا تجوّز التداوي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ما دلّ على الجواز على صور خاصّة، كإكحال العين أو خوف هلاك النفس، كما هو مقتضى صناعة الفقه؛ فإنّ النسبة بين موثّقة الغنوي وموثّقة عمّار وبين معتبرة الفضل بن شاذان هي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الاكتحال ليس بشرب، وتجويز الشرب عند الخوف على النفس ليس من باب التداوي بالشرب، بل من باب النجاة به من الموت، ومع إلغاء الخصوصية عنه إلى التداوي به يختصّ بصورة الهلكة، ولا يجوز التعدّي منها إلى مطلق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عبد الرحمان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ولايختصّ بصورة الضرورة والاضطرار، ومقتضى القاعدة مع الغمض عمّا في سنده هو حمله على صورة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إِثْمُهُمٰا أَكْبَرُ مِنْ نَفْعِهِمٰا</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بدعوى أنّ الظاهر منها هو حصول نفع بها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يكفيه التداوي بغير الشرب كالاكتحال مثلاً، فلا إطلاق لها</w:t>
      </w:r>
      <w:r>
        <w:rPr>
          <w:rFonts w:eastAsia="Amiri" w:cs="Amiri" w:ascii="Amiri" w:hAnsi="Amiri"/>
          <w:color w:val="111111"/>
          <w:sz w:val="28"/>
          <w:szCs w:val="28"/>
          <w:rtl w:val="true"/>
          <w:lang w:bidi="ar-SA"/>
        </w:rPr>
        <w:t xml:space="preserve">. </w:t>
      </w:r>
      <w:bookmarkStart w:id="268" w:name="pg17323_406090"/>
    </w:p>
    <w:p>
      <w:pPr>
        <w:pStyle w:val="BookText"/>
        <w:rPr/>
      </w:pPr>
      <w:bookmarkEnd w:id="268"/>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القول بجواز التداوي بشرب الخمر عند الاضطرار بحيث يؤدّي تركه إلى الهلكة أو ما يدانيها، خلافاً للمشهور حيث خصّوا الجواز بخصوص الاكتحال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وجه ما ذهب إليه السيّد في الوسيلة وسيّدنا الإمام في تحرير الوسيلة؛ من أنّ المشهور عدم جواز التداوي بالخمر بل بكلّ مسكر حتّى مع الانحصار، لكنّ الجواز لا يخلو من قوّة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بكون المرض قابلاً للعلاج، والعلم بأنّ ترك معالجته يؤدّي إلى الهلاك أو إلى ما يدانيه، والعلم بانحصار العلاج به بالمعنى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يخفى شدّة أمر الخمر، فلا يبادر إلى تناولها والمعالجة بها إلاّ إذا رأى من نفسه الهلاك لو ترك التداوي بها ولو بسبب توافق جماعة من الحذّاق واُولي الديانة والدراية من الأطبّاء، وإلاّ فليصطبر على المشقّة؛ فلعلّ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يعافيه لمّا رأى منه التحفّظ على دينه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875984_1280447820"/>
      <w:bookmarkStart w:id="270" w:name="_Toc97"/>
      <w:bookmarkEnd w:id="269"/>
      <w:r>
        <w:rPr>
          <w:rtl w:val="true"/>
        </w:rPr>
        <w:t>فروع</w:t>
      </w:r>
      <w:r>
        <w:rPr>
          <w:rtl w:val="true"/>
        </w:rPr>
        <w:t>:</w:t>
      </w:r>
      <w:bookmarkEnd w:id="270"/>
    </w:p>
    <w:p>
      <w:pPr>
        <w:pStyle w:val="Heading6"/>
        <w:numPr>
          <w:ilvl w:val="5"/>
          <w:numId w:val="1"/>
        </w:numPr>
        <w:rPr/>
      </w:pPr>
      <w:bookmarkStart w:id="271" w:name="__RefHeading___Toc875986_1280447820"/>
      <w:bookmarkStart w:id="272" w:name="_Toc98"/>
      <w:bookmarkEnd w:id="271"/>
      <w:r>
        <w:rPr>
          <w:rtl w:val="true"/>
        </w:rPr>
        <w:t>الأوّل</w:t>
      </w:r>
      <w:r>
        <w:rPr>
          <w:rtl w:val="true"/>
        </w:rPr>
        <w:t xml:space="preserve">: </w:t>
      </w:r>
      <w:r>
        <w:rPr>
          <w:rtl w:val="true"/>
        </w:rPr>
        <w:t>في جواز ارتياد الأماكن التى يقدم فيها الخمر و عدمه</w:t>
      </w:r>
      <w:bookmarkEnd w:id="2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ارتياد الأماكن التي يقدّم فيها الخمر مع الطعام أو لا يجوز؟</w:t>
      </w:r>
    </w:p>
    <w:p>
      <w:pPr>
        <w:pStyle w:val="BookText"/>
        <w:rPr/>
      </w:pPr>
      <w:r>
        <w:rPr>
          <w:rFonts w:ascii="Amiri" w:hAnsi="Amiri" w:eastAsia="Amiri" w:cs="Amiri"/>
          <w:color w:val="111111"/>
          <w:sz w:val="28"/>
          <w:sz w:val="28"/>
          <w:szCs w:val="28"/>
          <w:rtl w:val="true"/>
          <w:lang w:bidi="ar-SA"/>
        </w:rPr>
        <w:t>ذهب بعض الأعلام إلى الجواز بشرط أن لا يؤدّي ذلك إلى ترويج عمل هذه المطاعم، وبشرط أن لا يأكل من مائدة يشرب عليها الخمر ولا يجلس عليها 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الجلوس على مائدة اُخرى مجاورة لمائدة من يشرب الخمر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الجلوس على المائدة حرام ولو لم يأكل منها، بل لا خصوصية للمائدة، </w:t>
      </w:r>
      <w:bookmarkStart w:id="273" w:name="pg17323_406091"/>
    </w:p>
    <w:p>
      <w:pPr>
        <w:pStyle w:val="BookText"/>
        <w:rPr/>
      </w:pPr>
      <w:bookmarkEnd w:id="273"/>
      <w:r>
        <w:rPr>
          <w:rFonts w:ascii="Amiri" w:hAnsi="Amiri" w:eastAsia="Amiri" w:cs="Amiri"/>
          <w:color w:val="111111"/>
          <w:sz w:val="28"/>
          <w:sz w:val="28"/>
          <w:szCs w:val="28"/>
          <w:rtl w:val="true"/>
          <w:lang w:bidi="ar-SA"/>
        </w:rPr>
        <w:t>وإنّما الحرام هو الجلوس في مجلس الشرب، وعليه فالجلوس على مائدة مجاورة لمائدة يشرب عليها الخمر أيضاً غير جائز لو صدق وحدة المجلس؛ إذ العبرة بصدق وحدة المجلس بعد إلغاء خصوصية المائدة</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875988_1280447820"/>
      <w:bookmarkStart w:id="275" w:name="_Toc99"/>
      <w:bookmarkEnd w:id="274"/>
      <w:r>
        <w:rPr>
          <w:rtl w:val="true"/>
        </w:rPr>
        <w:t>الثاني</w:t>
      </w:r>
      <w:r>
        <w:rPr>
          <w:rtl w:val="true"/>
        </w:rPr>
        <w:t xml:space="preserve">: </w:t>
      </w:r>
      <w:r>
        <w:rPr>
          <w:rtl w:val="true"/>
        </w:rPr>
        <w:t>في وجوب ترك المقهى لو شرب الخمر فيه بعض آخر</w:t>
      </w:r>
      <w:bookmarkEnd w:id="27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مسلم في مقهى ليشرب الشاي، وجاء شخص آخر ليشرب الخمر على نفس المائدة، فهل يجب عليه قطع شرب الشاي والخروج أو لا؟</w:t>
      </w:r>
    </w:p>
    <w:p>
      <w:pPr>
        <w:pStyle w:val="BookText"/>
        <w:rPr/>
      </w:pPr>
      <w:r>
        <w:rPr>
          <w:rFonts w:ascii="Amiri" w:hAnsi="Amiri" w:eastAsia="Amiri" w:cs="Amiri"/>
          <w:color w:val="111111"/>
          <w:sz w:val="28"/>
          <w:sz w:val="28"/>
          <w:szCs w:val="28"/>
          <w:rtl w:val="true"/>
          <w:lang w:bidi="ar-SA"/>
        </w:rPr>
        <w:t>الظاهر هو وجوب القطع وترك تلك المائدة، بل يجب عليه الخروج من المقهى لو صدق وحدة مجلس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الخروج من المقهى ونحوه إذا تعدّدت المجالس ولم يكن مجلسه مجلس شرب</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875990_1280447820"/>
      <w:bookmarkStart w:id="277" w:name="_Toc100"/>
      <w:bookmarkEnd w:id="276"/>
      <w:r>
        <w:rPr>
          <w:rtl w:val="true"/>
        </w:rPr>
        <w:t>الثالث</w:t>
      </w:r>
      <w:r>
        <w:rPr>
          <w:rtl w:val="true"/>
        </w:rPr>
        <w:t xml:space="preserve">: </w:t>
      </w:r>
      <w:r>
        <w:rPr>
          <w:rtl w:val="true"/>
        </w:rPr>
        <w:t>في جواز شرب الأدوية المخلوطة بالكحول وعدمه</w:t>
      </w:r>
      <w:bookmarkEnd w:id="27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شرب الأدوية مع كون كثير منها مخلوطاً بالكحول‌؟</w:t>
      </w:r>
    </w:p>
    <w:p>
      <w:pPr>
        <w:pStyle w:val="BookText"/>
        <w:rPr/>
      </w:pPr>
      <w:r>
        <w:rPr>
          <w:rFonts w:ascii="Amiri" w:hAnsi="Amiri" w:eastAsia="Amiri" w:cs="Amiri"/>
          <w:color w:val="111111"/>
          <w:sz w:val="28"/>
          <w:sz w:val="28"/>
          <w:szCs w:val="28"/>
          <w:rtl w:val="true"/>
          <w:lang w:bidi="ar-SA"/>
        </w:rPr>
        <w:t>ذهب بعض الأعلام إلى جوازه معلّلاً بكونها طاهرة ومستهلكة فيها</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تأمّل ونظر؛ لأنّ الكحول المتّخذة من الخمر محكومة بما حكم على الخمر من النجاسة، فيوجب نجاسة الأدوية بالملاقاة قبل استهلاكها فيها</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875992_1280447820"/>
      <w:bookmarkStart w:id="279" w:name="_Toc101"/>
      <w:bookmarkEnd w:id="278"/>
      <w:r>
        <w:rPr>
          <w:rtl w:val="true"/>
        </w:rPr>
        <w:t>الرابع</w:t>
      </w:r>
      <w:r>
        <w:rPr>
          <w:rtl w:val="true"/>
        </w:rPr>
        <w:t xml:space="preserve">: </w:t>
      </w:r>
      <w:r>
        <w:rPr>
          <w:rtl w:val="true"/>
        </w:rPr>
        <w:t>في جواز شرب بعض الادوية التى استهلك المسكر فيه وعدمه</w:t>
      </w:r>
      <w:bookmarkEnd w:id="27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استهلك المسكر غير النجس في الأدوية، فهل يجوز شربه أو لا؟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 بالثاني؛ لمعتبرة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مسكر يصبّ عليه الماء حتّى تذهب عاديته ويذهب سكره‌؟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قطرة قطرت في حبّ إلاّ اُهريق ذلك الحبّ‌</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مجهول لا متكلم وحدة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 يدحرج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أراق 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اُبدلت الهمزة هاء، وقد يجمع بين الهاء والهمزة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أهراقه </w:t>
      </w:r>
      <w:bookmarkStart w:id="280" w:name="pg17323_406092"/>
    </w:p>
    <w:p>
      <w:pPr>
        <w:pStyle w:val="BookText"/>
        <w:rPr/>
      </w:pPr>
      <w:bookmarkEnd w:id="280"/>
      <w:r>
        <w:rPr>
          <w:rFonts w:ascii="Amiri" w:hAnsi="Amiri" w:eastAsia="Amiri" w:cs="Amiri"/>
          <w:color w:val="111111"/>
          <w:sz w:val="28"/>
          <w:sz w:val="28"/>
          <w:szCs w:val="28"/>
          <w:rtl w:val="true"/>
          <w:lang w:bidi="ar-SA"/>
        </w:rPr>
        <w:t xml:space="preserve">يهريقه، ولكنّ دلالته على لزوم الاجتناب عمّا استهلك فيه المسكر محلّ تأمّل؛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متكلّم وحدة فلا يدلّ على لزوم الاجتناب لأنّ فعل الإمام وهو الإهراق لا يدلّ على الوجوب، وبين أن يكون فعلاً ماضياً مجهولاً بناءً على جواز الجمع بين الهاء والهمزة كما نصّ عليه في أقرب الموارد، فيدلّ حينئذ على لزوم الاجتناب وإن لم يكن محكوماً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ترجيح كونه فعلاً ماضياً مجهولاً بظهور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قطرة قطرت في 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العموم لا في خصوص حبّ الإمام، فلا تغفل</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875994_1280447820"/>
      <w:bookmarkStart w:id="282" w:name="_Toc102"/>
      <w:bookmarkEnd w:id="281"/>
      <w:r>
        <w:rPr>
          <w:rtl w:val="true"/>
        </w:rPr>
        <w:t>الخامس</w:t>
      </w:r>
      <w:r>
        <w:rPr>
          <w:rtl w:val="true"/>
        </w:rPr>
        <w:t xml:space="preserve">: </w:t>
      </w:r>
      <w:r>
        <w:rPr>
          <w:rtl w:val="true"/>
        </w:rPr>
        <w:t>في التداوى بالمسكر أو الخمر بغير الشرب</w:t>
      </w:r>
      <w:bookmarkEnd w:id="28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التداوي بما استهلك فيه الخمر أو المسكر بغير الشرب جاز التداوي به؛ لرفع الحرمة بالاستهلاك؛ إذ مع الاستهلاك لا يصدق التداوي بالخمر أو المسكر، والأدلّة المانعة مخصوصة بشرب الخمر والمسكر، وهما لا يصدقان بعد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بعض التعليلات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شفى الله أحداً شفاءَ خمر وشحم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يجعل في شيء ممّا حرّم شفاءً ولا دواءً‌</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التداوي بالخمر أو المسكر مطلقاً، ولكنّه أجنبيّ عن مورد الاستهلاك؛ لعدم صدق التداوي بهما بعد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التعليلات هو صورة التداوي بالشرب، فتأمّل</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875996_1280447820"/>
      <w:bookmarkStart w:id="284" w:name="_Toc103"/>
      <w:bookmarkEnd w:id="283"/>
      <w:r>
        <w:rPr>
          <w:rtl w:val="true"/>
        </w:rPr>
        <w:t>السادس</w:t>
      </w:r>
      <w:r>
        <w:rPr>
          <w:rtl w:val="true"/>
        </w:rPr>
        <w:t xml:space="preserve">: </w:t>
      </w:r>
      <w:r>
        <w:rPr>
          <w:rtl w:val="true"/>
        </w:rPr>
        <w:t>هل يجوز ركوب الطائرات ونحوها مع العلم بشرب الخمر فيها</w:t>
      </w:r>
      <w:bookmarkEnd w:id="28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ركوب الطائرات ونحوها في صورة العلم بشرب بعض المسافرين الخمر أو المسكر، أو لا يجوز؟ </w:t>
      </w:r>
      <w:bookmarkStart w:id="285" w:name="pg17323_406093"/>
    </w:p>
    <w:p>
      <w:pPr>
        <w:pStyle w:val="BookText"/>
        <w:rPr/>
      </w:pPr>
      <w:bookmarkEnd w:id="285"/>
      <w:r>
        <w:rPr>
          <w:rFonts w:ascii="Amiri" w:hAnsi="Amiri" w:eastAsia="Amiri" w:cs="Amiri"/>
          <w:color w:val="111111"/>
          <w:sz w:val="28"/>
          <w:sz w:val="28"/>
          <w:szCs w:val="28"/>
          <w:rtl w:val="true"/>
          <w:lang w:bidi="ar-SA"/>
        </w:rPr>
        <w:t>يمكن القول بالجواز؛ لتعدّد المجالس فيها بتعدّد الكراسي، ولا يصدق على محلّ جلوسه أنّه مجلس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الطائرة مكان معدّ للأكل والشرب وكان على المائدة مسكر لا يجوز الجلوس في ذلك المحلّ‌، ولا الأكل ولا الشرب من تلك المائدة، فلا تغفل</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875998_1280447820"/>
      <w:bookmarkStart w:id="287" w:name="_Toc104"/>
      <w:bookmarkEnd w:id="286"/>
      <w:r>
        <w:rPr>
          <w:rtl w:val="true"/>
        </w:rPr>
        <w:t>السابع</w:t>
      </w:r>
      <w:r>
        <w:rPr>
          <w:rtl w:val="true"/>
        </w:rPr>
        <w:t xml:space="preserve">: </w:t>
      </w:r>
      <w:r>
        <w:rPr>
          <w:rtl w:val="true"/>
        </w:rPr>
        <w:t>في جواز شرب ماء الشعير الذى يجوزه الأطبّاء</w:t>
      </w:r>
      <w:bookmarkEnd w:id="28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شرب ماء الشعير الذي يجوّزه الأطبّاء لعلاج بعض الأمراض لأنّه غير الفقّاع؛ حيث إنّ الفقّاع يوجب النشوة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السكر 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الشعير لا يوجبها</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876000_1280447820"/>
      <w:bookmarkStart w:id="289" w:name="_Toc105"/>
      <w:bookmarkEnd w:id="288"/>
      <w:r>
        <w:rPr>
          <w:rtl w:val="true"/>
        </w:rPr>
        <w:t>الثامن</w:t>
      </w:r>
      <w:r>
        <w:rPr>
          <w:rtl w:val="true"/>
        </w:rPr>
        <w:t xml:space="preserve">: </w:t>
      </w:r>
      <w:r>
        <w:rPr>
          <w:rtl w:val="true"/>
        </w:rPr>
        <w:t>في عدم مالية الخمر أو المسكر</w:t>
      </w:r>
      <w:bookmarkEnd w:id="28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مالية للخمر ولا للمسكر فيما إذا كانا بيد من يريد شربهما، فيجوز بل يجب إراقتهما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الإناء الذي يحتويهما فهو باق على ملكية مالكه، وإتلافه يوجب الضمان فيما إذا لم تتوقّف المدافعة عليه، وإلاّ فقد صرّح سيّدنا الإمام المجاهد قدس سره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انجرّت المدافعة إلى وقوع ضرر على الفاعل، ككسر كأسه أو سكّينه بحيث كان من قبيل لازم المدافعة، فلا يبعد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الضرر على الآمر والناهي من قبل المرتكب كان ضامناً وعاصياً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كسر القارورة التي فيها الخمر مثلاً أو الصندوق الذي فيه آلات القمار ممّا لم يكن ذلك من قبيل لازم الدفع، ضمن وفعل حراماً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الملازمة العرفية غير ثابتة، ألا ترى أنّ أكل مال الغير في المخمصة جائز بل واجب ومع ذلك لا يوجب رفع الضمان مع أنّه لازم وجوب حفظ النفس‌؟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هناك من جهة أنّ التصرّف في مال الغير لمصلحة نفسه، </w:t>
      </w:r>
      <w:bookmarkStart w:id="290" w:name="pg17323_406094"/>
    </w:p>
    <w:p>
      <w:pPr>
        <w:pStyle w:val="BookText"/>
        <w:rPr/>
      </w:pPr>
      <w:bookmarkEnd w:id="290"/>
      <w:r>
        <w:rPr>
          <w:rFonts w:ascii="Amiri" w:hAnsi="Amiri" w:eastAsia="Amiri" w:cs="Amiri"/>
          <w:color w:val="111111"/>
          <w:sz w:val="28"/>
          <w:sz w:val="28"/>
          <w:szCs w:val="28"/>
          <w:rtl w:val="true"/>
          <w:lang w:bidi="ar-SA"/>
        </w:rPr>
        <w:t xml:space="preserve">بخلاف المقام فإنّ التصرّف فيه للمصلحة الاجتماعية؛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مضافاً إلى أنّ الحكم بالضمان مستلزم لتعطيل المدافعة،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من بيده الخمر أو المسكر مريداً للشرب، وأمّا إذا لم يرد ذلك بل أراد أن يجعلهما خلاًّ فهو أولى بهما، ولا يجوز أخذهما منه وإتلافهما كما لا يخفى</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876002_1280447820"/>
      <w:bookmarkStart w:id="292" w:name="_Toc106"/>
      <w:bookmarkEnd w:id="291"/>
      <w:r>
        <w:rPr>
          <w:rtl w:val="true"/>
        </w:rPr>
        <w:t>التاسع</w:t>
      </w:r>
      <w:r>
        <w:rPr>
          <w:rtl w:val="true"/>
        </w:rPr>
        <w:t xml:space="preserve">: </w:t>
      </w:r>
      <w:r>
        <w:rPr>
          <w:rtl w:val="true"/>
        </w:rPr>
        <w:t>في عدم جواز المعاملة على الخمر أو المسكر</w:t>
      </w:r>
      <w:bookmarkEnd w:id="292"/>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المعاملة على الخمر أو المسكر بعد أن عرفت فقدان ماليّتهما، وأخذ شيء في قبالهما أكل للمال بالباطل، وهو حرام؛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مضافاً إلى موثّقة عمّار بن مروان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الفواجر، وثمن الخمر والنبيذ والمسكر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876004_1280447820"/>
      <w:bookmarkStart w:id="294" w:name="_Toc107"/>
      <w:bookmarkEnd w:id="293"/>
      <w:r>
        <w:rPr>
          <w:rtl w:val="true"/>
        </w:rPr>
        <w:t>العاشر</w:t>
      </w:r>
      <w:r>
        <w:rPr>
          <w:rtl w:val="true"/>
        </w:rPr>
        <w:t xml:space="preserve">: </w:t>
      </w:r>
      <w:r>
        <w:rPr>
          <w:rtl w:val="true"/>
        </w:rPr>
        <w:t>في حكم دوران الأمر بين شرب الخمر و بين البول</w:t>
      </w:r>
      <w:bookmarkEnd w:id="294"/>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اضطرّ إلى خمر وبول تناول البول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نجساً؛ لأنّه أخفّ حرمةً منها، وعدم الحدّ عليه؛ لأنّه لا يسلب العقل والإيمان، ولا يؤدّي إلى شرّ 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 ماءً متنجّساً قدّمه على البول؛ لأنّ نجاسته عارضية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الاضطرار إلى شرب البول هل يقدّم بول نفسه على بول غيره أو لا؟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الأوّل خبر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الصادق عليه السلام عن رجل كان به داء فاُمر له بشرب البول‌؟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مضطرّ إلى 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bookmarkStart w:id="295" w:name="pg17323_406095"/>
    </w:p>
    <w:p>
      <w:pPr>
        <w:pStyle w:val="BookText"/>
        <w:rPr/>
      </w:pPr>
      <w:bookmarkEnd w:id="295"/>
      <w:r>
        <w:rPr>
          <w:rFonts w:ascii="Amiri" w:hAnsi="Amiri" w:eastAsia="Amiri" w:cs="Amiri"/>
          <w:color w:val="111111"/>
          <w:sz w:val="28"/>
          <w:sz w:val="28"/>
          <w:szCs w:val="28"/>
          <w:rtl w:val="true"/>
          <w:lang w:bidi="ar-SA"/>
        </w:rPr>
        <w:t>كان يضطرّ إلى شربه ولم يجد دواء لدائه فليشرب بوله، أمّا بول غيره فلا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الاكتفاء بشرب بول نفسه، وإن كان التخيير ذا وجه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876006_1280447820"/>
      <w:bookmarkStart w:id="297" w:name="_Toc108"/>
      <w:bookmarkEnd w:id="296"/>
      <w:r>
        <w:rPr>
          <w:rtl w:val="true"/>
        </w:rPr>
        <w:t>الحادي عشر</w:t>
      </w:r>
      <w:r>
        <w:rPr>
          <w:rtl w:val="true"/>
        </w:rPr>
        <w:t xml:space="preserve">: </w:t>
      </w:r>
      <w:r>
        <w:rPr>
          <w:rtl w:val="true"/>
        </w:rPr>
        <w:t>في عدم وجوب الاجتناب عما يشك فى اشتماله على المسكر</w:t>
      </w:r>
      <w:bookmarkEnd w:id="297"/>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اشتمال الأغذية أو الحلويات على المسكر أو الخمر وعدمه، لا يجب الفحص لو كانت في يد المسلم، وأمّا إذا كانت في غير يد المسلم وأمكن الفحص بسهولة فالأحوط الفحص؛ لعدم استقرار الشكّ بالفحص، ومع عدم استقراره لا يبقى موضوع لأصالة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يكتفى بمجرّد الشكّ ولو لم يكن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احتاج الفحص إلى مؤونة إضافية كالدقّة الزائدة فلا يجب الفحص، كما نصّ عليه في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أنظر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ولكنّك إنّما تريد أن تذهب بالشكّ الذي وقع في نفسك</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بناءً على أنّ النظر يحتاج إلى إعمال دقّة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الكلام في محلّه،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العصير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حرمته 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حمّاد بن عثمان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ثمّ بعد الغليان بالنار لا يحلّ حتّى يذهب ثلثاه بالنار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عبدالله 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أصابته النار فهو حرام حتّى يذهب ثلثاه ويبقى ثلثه</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الكلام في محلّه من كتاب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حرمة شرب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ولا إشكال فيها كما صرّحوا بها في محرّمات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تُمنع حرمة شرب دم الحيوان غير ذي النفس السائلة كالجراد والسمك ذي الفلس؛ بدعوى السيرة القطعية على أكله، وشمول دليل حلّ أكله لدمه معه إذا كان الدم مع اللحم، وأمّا لو كان منفرداً لم يحلّ‌؛ لإطلاق ما دلّ على حرمة الدم كتاباً وسنّةً‌، وعدم ثبوت السيرة إلاّ بالنسبة إلى ما لا تنفكّ اللحوم عنه، كالباقي في الباطن في مثل لحم الشاة، والتبعية مسلّمة مع عدم الاستثناء، وقد استثني الدم في الذبيحة، وفي مثل السمك لم يُستثنَ الدم، لكنّ عموم دليل الحرمة للدم يكفي في حرمته،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حرمتها وإن كانت من مأكول اللحم؛ لكونها من الخبائث، ولصدق الدم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يناقش في ثبوت العموم لحرمة الدم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العلقة لو كانت في غير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الموجودة في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استشكل فيها في جامع المدارك من جهة عدم صدق العلقة عليها، فمع صدق الدم عليها وعدم الانصراف عنها يشملها عموم ما دلّ على حرمته، ومع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الحرمة إلاّ من جهة كونها معدودة من الخبائث</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أيضاً التأمّل في ثبوت العموم للدم، ومع عدم العموم فالأصل هو الطهارة والإباحة، وإن كان لا ينبغي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كونها من الخبائث وإلاّ فمع ثبوت كونها كذلك تكون محرّمة، إلاّ أنّ كونها من الخبائث غير ثابت، فتدبّر جيّداً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تنجّس كلّ مائع لاقته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فيه في الجملة، ولا يجوز شرب المتنجّس كما لا يجوز شرب عين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إزالة النجاسة عن المأكول </w:t>
      </w:r>
    </w:p>
    <w:p>
      <w:pPr>
        <w:pStyle w:val="BookText"/>
        <w:rPr/>
      </w:pPr>
      <w:r>
        <w:rPr>
          <w:rFonts w:ascii="Amiri" w:hAnsi="Amiri" w:eastAsia="Amiri" w:cs="Amiri"/>
          <w:color w:val="111111"/>
          <w:sz w:val="28"/>
          <w:sz w:val="28"/>
          <w:szCs w:val="28"/>
          <w:rtl w:val="true"/>
          <w:lang w:bidi="ar-SA"/>
        </w:rPr>
        <w:t>والمشروب؛ لحرمة أكله وشربه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شرب أبوال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فلنجاستها، كما تدلّ عليه 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ومقتضى النجاسة حرمة شربها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شرب ألبان الحيوان المحرّم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فيها ظاهراً، قال في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له بالمرسل المذكور في البيض المنجبر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يؤكل لحمه فجميع ما كان منه من لبن أو بيض أو إنفحة فكلّ ذلك حلال طيّب</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فمفهومه عدم حلّية المذكورات من غير 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 هذا المرسل مدخلية حلّية اللحم في حلّية المذكورات؛ لأنّ الأصل في القيود الاحترازيةُ‌، لكن لا مانع من قيام شيء آخر مقام القيد المذكور</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أنّ حلّية اللحم وإن كانت دخيلة في حلّية المذكورات ولكن لا دليل على انحصار العلّية فيها، وبقيّة الكلام في محلّه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لبن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السيّد المحقّق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السؤال عن حكم شرب حليب المرأة سواء كان الشارب زوجها أو شخصاً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بأس بذلك في نفسه</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لعدم 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الاستخباث ممنوعة وإن قلنا </w:t>
      </w:r>
    </w:p>
    <w:p>
      <w:pPr>
        <w:pStyle w:val="BookText"/>
        <w:rPr/>
      </w:pPr>
      <w:r>
        <w:rPr>
          <w:rFonts w:ascii="Amiri" w:hAnsi="Amiri" w:eastAsia="Amiri" w:cs="Amiri"/>
          <w:color w:val="111111"/>
          <w:sz w:val="28"/>
          <w:sz w:val="28"/>
          <w:szCs w:val="28"/>
          <w:rtl w:val="true"/>
          <w:lang w:bidi="ar-SA"/>
        </w:rPr>
        <w:t>بحرمة مطلق الخبيث؛ لضعف وجه المنع عن حرمة مطلق الخبيث، وهو أنّه لم يدلّ أيّ دليل على حرمة أكل الخبيث إلاّ ما قيل من دلالة الآية المباركة عليها، قال تعالى في وصف نبيّه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ولكن من المقطوع به أنّه ليس المراد من الآية الكريمة أنّه صلى الله عليه وآله يحلّ لهم الطيّبات؛ أي الأجسام والذوات الطيّبة التي تشتهيها الطباع وترغب فيها وتلتذّ منها، ويحرّم الخبائث من الأجسام التي يتنفّر منها الطبع؛ فإنّ الآية المباركة بصدد توصيف النبيّ‌، ولا يعدّ ذلك التحليل ولا هذا التحريم كمالاً له، بل المراد الأعمال الطيّبة والأعمال الخبيثة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وصفه بأنّه يحلّل الطيّبات ويحرّم الخبائث؛ ولأنّه يحكي عن جامعيّة شريعته، وهو أيضاً من أوصافه؛ وإلاّ فالإشكال وارد بالنسبة إلى تحليل بعض الأعمال وتحريم بعض آخر؛ فإنّ التحليل والتحريم ليسا من أوصافه،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بمفهوم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يؤكل لحمه فجميع ما كان منه من لبن أو بيض أو إنفحة فكلّ هذا حلال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 بعدما عرفت أنّ حلّية اللحم ليست علّة منحصرة للجواز، هذا مضافاً إلى 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وجه احتياط بعض الأعلام، إلاّ أنّ عدم لزوم الاحتياط لا يخلو من قوّة، فتدبّر جيّداً</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7323_406100"/>
      <w:bookmarkStart w:id="299" w:name="pg17323_406100"/>
      <w:bookmarkEnd w:id="299"/>
    </w:p>
    <w:p>
      <w:pPr>
        <w:pStyle w:val="Heading2"/>
        <w:numPr>
          <w:ilvl w:val="1"/>
          <w:numId w:val="1"/>
        </w:numPr>
        <w:rPr/>
      </w:pPr>
      <w:bookmarkStart w:id="300" w:name="pg17323_406100"/>
      <w:bookmarkStart w:id="301" w:name="__RefHeading___Toc876008_1280447820"/>
      <w:bookmarkStart w:id="302" w:name="_Toc109"/>
      <w:bookmarkEnd w:id="300"/>
      <w:bookmarkEnd w:id="301"/>
      <w:r>
        <w:rPr>
          <w:rtl w:val="true"/>
        </w:rPr>
        <w:t xml:space="preserve">المسألة الثالثة والثلاثون </w:t>
      </w:r>
      <w:r>
        <w:rPr>
          <w:rtl w:val="true"/>
        </w:rPr>
        <w:t>«</w:t>
      </w:r>
      <w:r>
        <w:rPr>
          <w:rtl w:val="true"/>
        </w:rPr>
        <w:t>في الشعبذة</w:t>
      </w:r>
      <w:r>
        <w:rPr>
          <w:rtl w:val="true"/>
        </w:rPr>
        <w:t>»</w:t>
      </w:r>
      <w:bookmarkEnd w:id="302"/>
    </w:p>
    <w:p>
      <w:pPr>
        <w:pStyle w:val="BookText"/>
        <w:rPr/>
      </w:pPr>
      <w:r>
        <w:rPr>
          <w:rFonts w:ascii="Amiri" w:hAnsi="Amiri" w:eastAsia="Amiri" w:cs="Amiri"/>
          <w:color w:val="111111"/>
          <w:sz w:val="28"/>
          <w:sz w:val="28"/>
          <w:szCs w:val="28"/>
          <w:rtl w:val="true"/>
          <w:lang w:bidi="ar-SA"/>
        </w:rPr>
        <w:t>صرّح الشيخ الطوسي وابن إدريس وابن زهرة والصهرشتي بحرمة الشعبذة، وإليك فيما يلي جملة اُخرى من كلمات الفقهاء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الشعبذة المحرّمة بالإجماع المحكي والمحصّل، وبالدخول تحت الباطل والإغراء والتدليس واللهو وغيرهما، بل لعلّها من السحر على بعض الوجوه التي عرفتها فيه؛ لأنّها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فسّرها غير واحد بل نسب ذلك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السريعة التي تترتّب عليها الأفعال العجيبة بحيث يخفى على الحسّ الفرق بين الشيء وشبهه؛ لسرعة الانتقال منه إلى شبهه، فيحكم الرائي له بخلاف الواقع</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الشعبذة حرام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الحرمة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من الباطل واللهو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في السحر في الرواية المتقدّمة عن الاحتجاج، المنجبر وهنها بالإجماع المحكي، وفي بعض التعاريف المتقدّمة للسحر ما </w:t>
      </w:r>
    </w:p>
    <w:p>
      <w:pPr>
        <w:pStyle w:val="BookText"/>
        <w:rPr/>
      </w:pPr>
      <w:r>
        <w:rPr>
          <w:rFonts w:ascii="Amiri" w:hAnsi="Amiri" w:eastAsia="Amiri" w:cs="Amiri"/>
          <w:color w:val="111111"/>
          <w:sz w:val="28"/>
          <w:sz w:val="28"/>
          <w:szCs w:val="28"/>
          <w:rtl w:val="true"/>
          <w:lang w:bidi="ar-SA"/>
        </w:rPr>
        <w:t>يشملها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الميرزا محمّد تقي الشيرازي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الاستشهاد من الرواية المتقدّمة عن الاحتجاج هو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خطفة وسرعة ومخاريق وخفّة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ومحلّ الاستشهاد فيما حكاه 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التخييلات والأخذ بالعيون؛ مثل راكب السفينة يتخيّل نفسه ساكناً والشطّ متحرّكاً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مستند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الشعبذة،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الأفعال العجيبة المترتّبة على سرعة اليد بالحركة فتلبس على الحسّ‌، وعن الدروس نفي الخلاف في تحريمه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صرّح في المنتهى بنفي الخلاف عن التحريم، والظاهر أنّه لا دليل سواه؛ فإنّي لم أقف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خبر يدلّ على ذلك</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شيخنا الاُستاذ الأراكي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آخر يكون صرف الوهم والخيال يسمّى بالشعبذة وأخذ العين؛ فإنّ أغلاط العين مثل رؤيتها الشمس عند طلوعها بواسطة كبيرةً‌، ورؤية الكبير المرئي من البعيد صغيرة مشاهدة، فإذا أشغل المشعبذ باصرة الناظرين في غير الجهة التي يحتال فيها واستغرق تلك الجهة حواسّهم يعمل بسرعة عملاً يظهر بسببه خلاف ما يترقّبونه بواسطة هذه السرعة وذلك الاشتغال، وهذا هو المشار إليه في 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ونوع آخر منه خطفة وسرعة ومخاريق وخفّة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ضعف الوجوه المذكورة لحرمة الشعبذة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مندفعة بما أفاده في مصباح الفقاهة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 إجماع تعبّدي؛ لاحتمال استنادهم إلى سائر الوجوه المذكورة في المسألة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الاستناد إلى الوجوه المذكورة لا يضرّ بالإجماع إذا كان متّصلاً إلى زمان المعصوم؛ فإنّه حينئذ يكشف عن التقرير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اللازم أن تكون المسألة من المسائل الأصلية لا التفريعية الفرضية غير المتداولة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غير ثابت؛ لعدم ذكر له في كلمات القدماء، وفتوى جماعة من القدماء لا يساوق الإجماع، كما أنّ عدم الخلاف ليس بمساو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ابتغاء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حدسيّ من باب عدم وجدان الخلاف؛ إذ لم نظفر بالشيخ أو أحد القدماء ادّعاء الإجماع، والمنقول عن العلاّمة ادّعاء نفي الخلاف</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مجرّد عدم الخلاف لا يكفي في ثبوت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صدق عنوان الباطل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ممنوع؛ إذ ليس كلّ باطل حراماً، كما أنّ صدق اللهو لا يكفي في إثبات الحرمة مادام غير 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ابتغاء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لهو حراماً مادام لا يوجب تحريك القوى الشهوانية بنحو الإطراب</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إمكان منع صدق الباطل أو اللهو فيما إذا ترتّب عليه غرض عقلائي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بأنّه من اللهو والباطل 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في 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كونها من اللهو والباطل إذا ترتّب عليهما غرض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منع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على حرمتهما على الإطلاق، بل الحرام منهما هو القسم الخاصّ‌</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دعوى صدق السحر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ترى مع تصريح بعض اللغويّين بأنّها كالسحر، 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لعب يرى الإنسان منه ما ليس له حقيقة، كالسحر</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وقال في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الشعبذة كالسحر</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إذ مقتضى التشبيه هو عدم كونها منه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عطفَ الشعبذة على السحر مع الفصل بينهما بغيرهما في كلمات القدماء أو ذكرها قبل ذكر السحر دليلُ المغايرة، وإليك عبائرهم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 السحر وتعليمه والتكسّب به وأخذ الاُجرة عليه حرامٌ محظور، وكذلك التكسّب بالكهانة والقيافة والشعبذة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المحرّمات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والكهانة، والشعبذة، والحيل المحرّمة وما أشبه ذلك، والقيافة، والسحر، وتعلّمه وتعليمه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المحظورات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والكهانة، والشعبذة، وما أشبه ذلك من القيافة والسحر</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إصباح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المحرّمات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وتعلّم السحر، والكهانة، والقيافة، والشعبذة، والتكسّب بها كلّها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مجال للقول بأنّ الشعبذة من السحر وكون ذكرها من باب ذكر الخاصّ بعد العامّ‌؛ إذ مع تقدّم ذكر الشعبذة على السحر أو الفصل بينهما بغيرهما لا يبقى وجه لهذا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وتعتضد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المحقّق الإيرواني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المتبادر من الاستعمالات العرفية أنّ السحر لا واقعية له، بل مجرّد تصرّفات خيالية ناشئة من قوّة نفسانية لا من الأسباب الطبيعية، كما في شعلة الجوّالة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يفترق عن الشعبذة كافتراقه عن سائر التصرّفات التكوينية الحاصلة بالأسباب الطبيعية السفلية، أو الفلكية العلوية، أو المركّبة منهما، أو باستخدام المجرّدات</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أفاده في ابتغاء الفضيلة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 تأثير النفس في النفس، ولا يكون مورد البحث كذلك؛ لأنّه لا يؤثّر في نفس الطرف، بل يوجد العمل في الخارج سريعاً بلا إعمال عمل في نفسه وتأثير في قوّة تخيّله، والتمويه حاصل في مطلق الغشّ في الأجناس، بل في كلّ ما له ظاهر وليس باطنه كظاهره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وجود الشبه لا يوجب الحكم بالحرمة، وتعريف السحر على كلّ‌ </w:t>
      </w:r>
    </w:p>
    <w:p>
      <w:pPr>
        <w:pStyle w:val="BookText"/>
        <w:rPr/>
      </w:pPr>
      <w:r>
        <w:rPr>
          <w:rFonts w:ascii="Amiri" w:hAnsi="Amiri" w:eastAsia="Amiri" w:cs="Amiri"/>
          <w:color w:val="111111"/>
          <w:sz w:val="28"/>
          <w:sz w:val="28"/>
          <w:szCs w:val="28"/>
          <w:rtl w:val="true"/>
          <w:lang w:bidi="ar-SA"/>
        </w:rPr>
        <w:t>تقدير لا يشمل الشعبذة؛ لما عرفت من ظهور كلمات القدماء في أنّ بينهما مغايرة، فالحكم بالحرمة باعتبار كونها من مصاديق السحر غير سديد، وتخالفه كلمات اللغويّين والقدماء من أصحابنا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حكاه فريد وجدي في دائرة معارفه عن ابن خلدون من إدراج السحر في الشعوذة أو الشعبذة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تأثير القوى المتخيّلة صاحب هذا التأثير إلى القوى المتخيّلة يتصرّف فيها بنوع من التصرّف، ويكفي فيها أنواعاً من الخيالات والمحاكاة وصوراً ممّا يقصده من ذلك ثمّ ينزلها إلى الحسن بين الرائين بقوّة نفسه المؤثّرة فيه، فينظر الراؤون كأنّها في الخارج، وليس هناك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ويسمّى هذا عند الفلاسفة بالشعوذة أو الشعبذة</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ونظر؛ وذلك لأنّ هذا اصطلاح الفلاسفة، ولا تساعده كلمات القدماء الظاهرة في المغايرة بينهما ولاكلمات أهل اللغة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الاحتجاج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ونوع آخر منه خطفة وسرعة ومخاريق وخفّة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وغير منجبر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جبره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 بما أفاده السيّد المحقّق الخوئي قدس سره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المحكي إن كان حجّة في نفسه لزم اتّباعه لذلك؛ وإلاّ فإنّ ضمّ غير الحجّة إلى مثله لا يفيد الاعتبار</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أفاده في ابتغاء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 النميمة في خبر الاحتجاج من </w:t>
      </w:r>
    </w:p>
    <w:p>
      <w:pPr>
        <w:pStyle w:val="BookText"/>
        <w:rPr/>
      </w:pPr>
      <w:r>
        <w:rPr>
          <w:rFonts w:ascii="Amiri" w:hAnsi="Amiri" w:eastAsia="Amiri" w:cs="Amiri"/>
          <w:color w:val="111111"/>
          <w:sz w:val="28"/>
          <w:sz w:val="28"/>
          <w:szCs w:val="28"/>
          <w:rtl w:val="true"/>
          <w:lang w:bidi="ar-SA"/>
        </w:rPr>
        <w:t>السحر قرينة على أنّه في مقام تعداد ما يطلق عليه السحر ولو بالمجاز والمسامحة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الشعبذة أو الشعوذة غير محرّمة إلاّ إذا ترتّب عليها عنوان محرّم، كالإضرار بمؤمن ونحو 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جواز رسم شيء وتكراره على وجه خاصّ‌، كأن يرسم سيّارة بحيث يراها الناس متحرّكة ماشية مع أنّها ليست كذلك؛ لأنّ العمل المذكور متقوّم بأسبابه الخاصّة من الرسم وتكراره ونحوهما من الاُمور الواقعية، وليس ذلك بسحر؛ لعدم التصرّف في الأعين ولا في النفوس، بل هو عمل خارجي متقوّم بأسبابه الخارجية، ولا يترتّب عليه عنوان محرّم، وليس هو بباطل ولا لهو مع ترتّب الغرض الصحيح عليه، كما في بعض أنواع الأفلام، فتدبّر جيّداً</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7323_406108"/>
      <w:bookmarkStart w:id="304" w:name="pg17323_406108"/>
      <w:bookmarkEnd w:id="304"/>
    </w:p>
    <w:p>
      <w:pPr>
        <w:pStyle w:val="Heading2"/>
        <w:numPr>
          <w:ilvl w:val="1"/>
          <w:numId w:val="1"/>
        </w:numPr>
        <w:rPr/>
      </w:pPr>
      <w:bookmarkStart w:id="305" w:name="pg17323_406108"/>
      <w:bookmarkStart w:id="306" w:name="__RefHeading___Toc876010_1280447820"/>
      <w:bookmarkStart w:id="307" w:name="_Toc110"/>
      <w:bookmarkEnd w:id="305"/>
      <w:bookmarkEnd w:id="306"/>
      <w:r>
        <w:rPr>
          <w:rtl w:val="true"/>
        </w:rPr>
        <w:t xml:space="preserve">المسألة الرابعة والثلاثون </w:t>
      </w:r>
      <w:r>
        <w:rPr>
          <w:rtl w:val="true"/>
        </w:rPr>
        <w:t>«</w:t>
      </w:r>
      <w:r>
        <w:rPr>
          <w:rtl w:val="true"/>
        </w:rPr>
        <w:t>في الشعر</w:t>
      </w:r>
      <w:r>
        <w:rPr>
          <w:rtl w:val="true"/>
        </w:rPr>
        <w:t>»</w:t>
      </w:r>
      <w:bookmarkEnd w:id="307"/>
    </w:p>
    <w:p>
      <w:pPr>
        <w:pStyle w:val="Heading3"/>
        <w:numPr>
          <w:ilvl w:val="2"/>
          <w:numId w:val="1"/>
        </w:numPr>
        <w:rPr/>
      </w:pPr>
      <w:bookmarkStart w:id="308" w:name="__RefHeading___Toc876012_1280447820"/>
      <w:bookmarkStart w:id="309" w:name="_Toc111"/>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ويقع الكلام في مقامات</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876014_1280447820"/>
      <w:bookmarkStart w:id="311" w:name="_Toc112"/>
      <w:bookmarkEnd w:id="310"/>
      <w:r>
        <w:rPr>
          <w:rtl w:val="true"/>
        </w:rPr>
        <w:t>المقام الأوّل</w:t>
      </w:r>
      <w:r>
        <w:rPr>
          <w:rtl w:val="true"/>
        </w:rPr>
        <w:t xml:space="preserve">: </w:t>
      </w:r>
      <w:r>
        <w:rPr>
          <w:rtl w:val="true"/>
        </w:rPr>
        <w:t>في معنى الشعر</w:t>
      </w:r>
      <w:bookmarkEnd w:id="311"/>
    </w:p>
    <w:p>
      <w:pPr>
        <w:pStyle w:val="BookText"/>
        <w:rPr/>
      </w:pPr>
      <w:r>
        <w:rPr>
          <w:rFonts w:ascii="Amiri" w:hAnsi="Amiri" w:eastAsia="Amiri" w:cs="Amiri"/>
          <w:color w:val="111111"/>
          <w:sz w:val="28"/>
          <w:sz w:val="28"/>
          <w:szCs w:val="28"/>
          <w:rtl w:val="true"/>
          <w:lang w:bidi="ar-SA"/>
        </w:rPr>
        <w:t>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النظم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ما تركّب تركّباً متعاضداً وكان مقفّى موزوناً مقصوداً به ذلك، فما خلا من هذه القيود أو من بعضها فلا يسمّى شعراً، ولا يسمّى قائله شاعراً؛ ولهذا ما ورد في الكتاب أو السنّة موزوناً فليس بشعر، لعدم القصد أو التقفية، وكذلك ما يجري على ألسنة بعض الناس من غير قصد؛ لأنّه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فطنت وعلمت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شاعراً لفطنته وعلمه به، فإذا لم يقصده فكأنّه لم 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في الأصل،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شعرت 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وزناً ومعنى،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بدقائق الاُمور،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الإدراك بالحواسّ‌، وبالأخير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المصنّف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في كثير ممّا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يجوز؛ إذ كان كثيراً ممّا لا يكون محسوساً قد يكون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غلب على منظوم القول؛ لشرفه بالوزن والقافية؛ أي بالتزام وزنه على أوزان العرب والإتيان له بالقافية التي تربط وزنه وتظهر معناه وإن كان كلّ علم شعراً؛ حيث غلب الفقه على علم الشرع، والعود على المَندَل، والنجم على الثريّا، ومثل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سمّوا البيت الواحد شعراً، حكاه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ليس بقويّ إلاّ أن يكون على تسمية الجزء باسم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صاحب المفردات غلبته على المنظوم بكونه مشمولاً على دقائق العرب وخفايا أسرارها ولطائفها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هو الذي مال إليه أكثر أهل الأدب؛ لرقّته وكمال مناسبته، ولما بينه وبين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المناسبة في الرقّة، كما مال إليه بعض أهل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 بعلامات لا يجاوزها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صاحب التاج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البصائر 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عن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اِفْتَرٰاهُ بَلْ هُوَ شٰاعِرٌ</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حمل كثير من المفسّرين على أنّهم رموه بكونه آتياً بشعر منظوم مقفّى، حتّى تأوّلوا ما جاء في القرآن من كلّ كلام يشبه الموزون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جِفٰانٍ كَالْجَوٰابِ وَ قُدُورٍ رٰاسِيٰاتٍ‌</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وقال بعض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يقصدوا هذا المقصد فيما رموه؛ به وذلك أنّه ظاهر من هذا أنّه ليس على أساليب الشعر، وليس يخفى ذلك على الأغتام</w:t>
      </w:r>
      <w:r>
        <w:rPr>
          <w:rStyle w:val="FootnoteAnchor"/>
          <w:rtl w:val="true"/>
        </w:rPr>
        <w:footnoteReference w:id="536"/>
      </w:r>
      <w:r>
        <w:rPr>
          <w:rFonts w:ascii="IRNazanin" w:hAnsi="IRNazanin" w:eastAsia="IRNazanin"/>
          <w:color w:val="111111"/>
          <w:sz w:val="28"/>
          <w:sz w:val="28"/>
          <w:szCs w:val="28"/>
          <w:rtl w:val="true"/>
          <w:lang w:bidi="fa-IR"/>
        </w:rPr>
        <w:t xml:space="preserve">من العجم فضلا عن بلغاء </w:t>
      </w:r>
    </w:p>
    <w:p>
      <w:pPr>
        <w:pStyle w:val="BookText"/>
        <w:rPr/>
      </w:pPr>
      <w:r>
        <w:rPr>
          <w:rFonts w:ascii="Amiri" w:hAnsi="Amiri" w:eastAsia="Amiri" w:cs="Amiri"/>
          <w:color w:val="111111"/>
          <w:sz w:val="28"/>
          <w:sz w:val="28"/>
          <w:szCs w:val="28"/>
          <w:rtl w:val="true"/>
          <w:lang w:bidi="ar-SA"/>
        </w:rPr>
        <w:t>العرب، وإنّما رموه؛ فإنّ الشعر يعبّر به عن الكذب،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 حتّى سمّوا الأدلّة الكاذبة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الأدلّة الشعرية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قال تعالى في وصف عامّة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إلى آخر السورة، ولكون الشعر مقرّاً للكذب،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الشعر أكذبه</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وقال في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مصدر بمعنى العلم،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 وعند أهل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يقصد به الوزن والتقفية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الشعر،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مثل لابنوتامر؛ أي صاحب شعر</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وإن كان في الأصل مشتقّاً من الشعر بمعنى العلم والإحساس، ولكنّه بعدُ غلب على نظم مقفّى وموزون مقصود، وعليه فالشعر لا يشمل النثر ولو كان موزوناً؛ لأنّه لم يقصد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الغلبة لا تختصّ بزمان الإسلام بل كانت كذلك قبل الإسلام ونزول القرآن؛ لتبادر الشعر عندهم في المذكور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ما في كتاب ما وراء الفقه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الشعر فهو من الشعور وهو الإحساس،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واستشعرت به إذا أحسست به، وكلّ كلام يعبّر عن الشعور والأحاسيس النفسية أو يكون سبباً لإثارتها فهو شعر سواء كان منظوماً أو منثوراً؛ ومن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المنثور؛ فإنّه شعر من زاوية كونه ممثّلاً للشعور والأحاسيس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يمكننا أن نلتفت أنّ بين مفهوم النظم ومفهوم الشعر نسبة العموم من وجه</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w:t>
      </w:r>
    </w:p>
    <w:p>
      <w:pPr>
        <w:pStyle w:val="BookText"/>
        <w:rPr/>
      </w:pPr>
      <w:r>
        <w:rPr>
          <w:rFonts w:ascii="Amiri" w:hAnsi="Amiri" w:eastAsia="Amiri" w:cs="Amiri"/>
          <w:color w:val="111111"/>
          <w:sz w:val="28"/>
          <w:sz w:val="28"/>
          <w:szCs w:val="28"/>
          <w:rtl w:val="true"/>
          <w:lang w:bidi="ar-SA"/>
        </w:rPr>
        <w:t>نعرف أنّ الاستعمال الأعمق للشعر يتبع الوزن والقافية سواء كان فيه شعور أم لا، والاستعمال الأعمق للنظم يتبع الوزن والقافية سواء كان فيه شعور أم لا، إلاّ أنّ الاستعمال الغالب للشعر هو في النظم عموماً، وإن كان لا يخلو من تسامح على أيّ حال</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مقصوده إن كان اشتراك الشعر بين النظم والنثر ففيه منع؛ لأنّ الأصل المشتقّ منه وإن كان كذلك لكنّه مهجور، بل الاستعمال الغالب هو اختصاص الشعر بالنظم مع الخصوصيّات المذكورة في تعريفه، وعليه فمدح الشعر أو ذمّه لا يشمل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ما في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الذين غيّروا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وخالفوا أمر الله، هل رأيتم شاعراً قطّ تبعه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الذين وضعوا ديناً بآرائهم فتبعهم على ذلك الناس</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لاحتمال أن يكون ذلك من كلام القمّي لا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ضعف الرواية؛ لعدم كونها مسندة، وكذا عدم تمامية مدلولها، فلا تغفل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تصلح مرسلة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تعلّموا وتفقّهوا بغير علم فضلّوا وأضلّوا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للاستدلال على أنّ المراد بالشعراء في الآية الكريمة كلّ من يأتي بكلام شعريّ منظوماً كان أو منثوراً؛ لضعفها من جهة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احتمال أن يكون المراد ذلك بإلغاء الخصوصية لا باستعمال الشعر في الأعمّ‌</w:t>
      </w:r>
      <w:r>
        <w:rPr>
          <w:rFonts w:eastAsia="Amiri" w:cs="Amiri" w:ascii="Amiri" w:hAnsi="Amiri"/>
          <w:color w:val="111111"/>
          <w:sz w:val="28"/>
          <w:szCs w:val="28"/>
          <w:rtl w:val="true"/>
          <w:lang w:bidi="ar-SA"/>
        </w:rPr>
        <w:t xml:space="preserve">. </w:t>
      </w:r>
      <w:bookmarkStart w:id="312" w:name="pg17323_406112"/>
    </w:p>
    <w:p>
      <w:pPr>
        <w:pStyle w:val="BookText"/>
        <w:rPr/>
      </w:pPr>
      <w:bookmarkEnd w:id="312"/>
      <w:r>
        <w:rPr>
          <w:rFonts w:ascii="Amiri" w:hAnsi="Amiri" w:eastAsia="Amiri" w:cs="Amiri"/>
          <w:color w:val="111111"/>
          <w:sz w:val="28"/>
          <w:sz w:val="28"/>
          <w:szCs w:val="28"/>
          <w:rtl w:val="true"/>
          <w:lang w:bidi="ar-SA"/>
        </w:rPr>
        <w:t>ثمّ إنّ الشعر مستعمل في ذلك قبل الإسلام؛ لما عرفت من أنّ الغلبة ليست حادثة في الإسلام، والشاهد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فلو كان النثر الموزون أيضاً شعراً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فالشعر مع النثر قسيمان من الكلام، ولا وجه لجعل النسبة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فالآيات أو الروايات الدالّة على مرجوحية الشعر لا تشمل النثر، نعم مصداق الشعر في ذلك العصر هو الأشعار الجاهلية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ذلك فالبحث يقع في الأدلّة الدالّة على مرجوحية الشعر بمعناه الشائع والمتبادر منه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876016_1280447820"/>
      <w:bookmarkStart w:id="314" w:name="_Toc113"/>
      <w:bookmarkEnd w:id="313"/>
      <w:r>
        <w:rPr>
          <w:rtl w:val="true"/>
        </w:rPr>
        <w:t>المقام الثاني</w:t>
      </w:r>
      <w:r>
        <w:rPr>
          <w:rtl w:val="true"/>
        </w:rPr>
        <w:t xml:space="preserve">: </w:t>
      </w:r>
      <w:r>
        <w:rPr>
          <w:rtl w:val="true"/>
        </w:rPr>
        <w:t>في الأدلّة الدالّة على مرجوحية الشعر</w:t>
      </w:r>
      <w:bookmarkEnd w:id="314"/>
    </w:p>
    <w:p>
      <w:pPr>
        <w:pStyle w:val="Heading4"/>
        <w:numPr>
          <w:ilvl w:val="3"/>
          <w:numId w:val="1"/>
        </w:numPr>
        <w:rPr/>
      </w:pPr>
      <w:bookmarkStart w:id="315" w:name="__RefHeading___Toc876018_1280447820"/>
      <w:bookmarkStart w:id="316" w:name="_Toc114"/>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وروايات</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876020_1280447820"/>
      <w:bookmarkStart w:id="318" w:name="_Toc115"/>
      <w:bookmarkEnd w:id="317"/>
      <w:r>
        <w:rPr>
          <w:rtl w:val="true"/>
        </w:rPr>
        <w:t xml:space="preserve">أوّلاً </w:t>
      </w:r>
      <w:r>
        <w:rPr>
          <w:rtl w:val="true"/>
        </w:rPr>
        <w:t xml:space="preserve">- </w:t>
      </w:r>
      <w:r>
        <w:rPr>
          <w:rtl w:val="true"/>
        </w:rPr>
        <w:t>الآيات الكريمة</w:t>
      </w:r>
      <w:r>
        <w:rPr>
          <w:rtl w:val="true"/>
        </w:rPr>
        <w:t>:</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وَ أَكْثَرُهُمْ 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w:t>
      </w:r>
    </w:p>
    <w:p>
      <w:pPr>
        <w:pStyle w:val="BookText"/>
        <w:rPr/>
      </w:pPr>
      <w:r>
        <w:rPr>
          <w:rFonts w:ascii="Amiri" w:hAnsi="Amiri" w:eastAsia="Amiri" w:cs="Amiri"/>
          <w:color w:val="111111"/>
          <w:sz w:val="28"/>
          <w:sz w:val="28"/>
          <w:szCs w:val="28"/>
          <w:rtl w:val="true"/>
          <w:lang w:bidi="ar-SA"/>
        </w:rPr>
        <w:t xml:space="preserve">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كون الشعر صفة ذمّ‌، وكذا متابعة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الأخبار أيضاً؛ حتّى ورد إعادة الوضوء بقراءة ما زاد على ثلاثة أبيات، إلاّ أن يراد ما هو الباطل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يتّبعهم على باطلهم وكذبهم وفضول قولهم، وما هم عليه من الهجاء والتمزيق بالأعراض، والقدح في الأنساب، ومدح من لا يستحقّ المدح، ولا يستحسن ذلك منهم إلاّ الغاوون والسفهاء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الأردبيلي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التخصيص</w:t>
      </w:r>
      <w:r>
        <w:rPr>
          <w:rStyle w:val="FootnoteAnchor"/>
          <w:rtl w:val="true"/>
        </w:rPr>
        <w:footnoteReference w:id="545"/>
      </w:r>
      <w:r>
        <w:rPr>
          <w:rFonts w:ascii="Amiri" w:hAnsi="Amiri" w:eastAsia="Amiri" w:cs="Amiri"/>
          <w:color w:val="111111"/>
          <w:sz w:val="28"/>
          <w:sz w:val="28"/>
          <w:szCs w:val="28"/>
          <w:rtl w:val="true"/>
          <w:lang w:bidi="ar-SA"/>
        </w:rPr>
        <w:t>وجود الأشعار عن العلماء والصلحاء بل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إذا كان مشتملاً على النصيحة والحكمة والمباحات والحقّ والمراثي والمدح لأهل البيت عليهم السلام لا يذمّ‌،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ذَكَرُوا اَللّٰهَ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الشعراء المؤمنين الصالحين الذين يكثرون ذكر الله وتلاوة القرآن، وكان ذلك أغلب عليهم من الشعر، وإذا قالوا شعراً قالوه في توحيد الله والثناء عليه، والحكمة والموعظة والزهد والآداب الحسنة، ومدح رسول الله صلى الله عليه وآله والصحابة وصلحاء الاُمّة، وما لا بأس به من المعاني التي لا يتلطّخون فيها بذنب ولا يتلبّسون بشائبة ولا منقصة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فالمستفاد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الاستثناء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الشعر </w:t>
      </w:r>
    </w:p>
    <w:p>
      <w:pPr>
        <w:pStyle w:val="BookText"/>
        <w:rPr/>
      </w:pPr>
      <w:r>
        <w:rPr>
          <w:rFonts w:ascii="Amiri" w:hAnsi="Amiri" w:eastAsia="Amiri" w:cs="Amiri"/>
          <w:color w:val="111111"/>
          <w:sz w:val="28"/>
          <w:sz w:val="28"/>
          <w:szCs w:val="28"/>
          <w:rtl w:val="true"/>
          <w:lang w:bidi="ar-SA"/>
        </w:rPr>
        <w:t>والشعراء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ينشأ من العمى والضلالة، وقائله هو الضالّ وتابعه هو الغاوي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ينشأ من الإيمان والعمل الصالح وذكر الله كثيراً، فقائله هو الهادي وتابعه هو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فالمستثنى منه هو ذمّ الشعر والشاعر، والمستثنى بخلافه، ويستفاد منه المدح بالنسبة الى الشعراء المؤمنين العاملين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 الاستثناء منقطعاً فالمراد من الشعر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نوع خاصّ منهما وهو الشعر الجاهلي والشاعر الجاهلي الّذي يأتي بالأشعار الفاسدة الضالّة ولا هداية في أشعاره، لأنّه نفسه ضالّ‌، ولا ينافي إرادة الشعر الجاهلي والشاعر الجاهلي من الشعر والشعراء مع كونهما أعمّ‌؛ لوجود القرينة المذكورة، فالمراد منهما هو الشعر الجاهلي والشاعر الجاهلي مصداقاً، وعليه فالذمّ مختصّا بنوع خاصّ من الشعراء والأشعار لا مطلق الشعر والشعراء، ولا يستفاد من الآية الكريمة مدح للشعراء المؤمنين العاملين الذاكرين؛ إذ لا استثناء في هذه الصورة بالنسبة إلى الشعراء؛ لأنّ المفروض هو كون الاستثناء منقطعاً والشعر والشعراء صفة ذمّ حينئذ، ولكن من المعلوم بالقرينة أنّ المراد من الشعر والشعراء نوع خاصّ وهو الأشعار الجاهلية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الاستدلال بالآية الكريمة على مرجوحية الشعر ولو في الجملة بوجوه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الذمّ في الآية هم الشعراء، فإن كان المراد منهم من ينظم الشعر تمّ الاستدلال من هذه الناحية، ولكنّنا عرفنا قبل قليل أنّ الاستعمال الغالب للفظي الشعر والشعراء وإن كان ذلك إلاّ أنّ الواقع أنّ الشعر هو ما يرجع إلى العواطف النفسية </w:t>
      </w:r>
    </w:p>
    <w:p>
      <w:pPr>
        <w:pStyle w:val="BookText"/>
        <w:rPr/>
      </w:pPr>
      <w:r>
        <w:rPr>
          <w:rFonts w:ascii="Amiri" w:hAnsi="Amiri" w:eastAsia="Amiri" w:cs="Amiri"/>
          <w:color w:val="111111"/>
          <w:sz w:val="28"/>
          <w:sz w:val="28"/>
          <w:szCs w:val="28"/>
          <w:rtl w:val="true"/>
          <w:lang w:bidi="ar-SA"/>
        </w:rPr>
        <w:t>والخلجات القلبية سواء كان الكلام منظوماً أو منثوراً، ولا ربط له بالنظم ربطاً حقيقيّاً، إذاً فيختصّ موضوع الآية بمن يكثر شعوره النفسي لا من يكثر نظمه للشعر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فإنّ مع تسليم كون الاستعمال الغالب هو الشعر المتعارف لا مجال لدعوى استعمال الشعر في الآية الكريمة في مطلق الأحاسيس النفسية والخلجات القلبية سواء كانت منظومة أو منثورة؛ إذ المفروض أنّ الشعر ظاهر بغلبة الاستعمال في الشعر المتعارف، وعليه فالآية مربوطة بالشعر والشعراء لا بمن يكثر شعوره النفسي، فلا تشمل المنثور من الكلام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الغواية وإن كانت في اللغة ضدّ الهداية، إلاّ أنّنا يمكن أن نحمل معناها على معنى العواطف الجيّاشة والحماس المتزايد لأيّ أمر من اُمور الدنيا والآخرة، فلا يتعيّن إرادة الضلال منها، بل لا أقلّ من أن يكون هناك إطلاق شامل لكلا الشكلين من العاطفة كإطلاق الذي ذكرناه من الشعراء نفسه، بل سيكون لفظ الشعراء بمنزلة القرينة المتّصلة على هذا الفهم، ومن المعلوم أنّ ذوي العواطف الضالّة يتّبع بعضهم بعضاً، وذوي العواطف المحقّة يتّبع بعضهم بعضاً، ولا يتعيّن في الآية مجرّد الاتّباع على الضلال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الشائع في الغواية هو الضلالة، ودعوى إطلاقها وإرادة الأعمّ من الضلالة عجيبة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الاستثناء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ذَكَرُوا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المقصود الجدّي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الغواية، وعليه فكيف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القرينة المتّصلة لتعميم الغواية للهداية‌؟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لو كان الاستثناء منقطعاً ينحصر مصداق الشعراء في غير أهل الهداية، ويكون بين الشعراء، على أنّ مورد الاستثناء التقابل، ومعه لا مجال لكون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القرينة على إرادة الأعمّ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تنزّلنا وقبلنا اختصاص الغواية بالضلال فهذا لا يلازم كون الشعراء أشدّ غواية ممّن يتّبعهم من الغاوين كما ذكرنا في أصل الاستدلال من هذه الجهة، وما ذنب الفرد إذا اتّبعه شخص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بالتأكيد خالية من الإشارة إلى أنّ اتّباع الغاوين للشعراء إنّما هو على الغواية والضلال، بل ظاهرها اتّباعهم على الشعر وهو العاطفة، وقد عرفنا أنّه شامل للعاطفة الصحيحة والعاطفة الباطلة وغير مختصّ بالباطلة لا محالة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من الضعف؛ لظهور الاتّباع في أنّ الشعراء يدعونهم نحو الضلالة وهم يحبّونهم، فالسبب هم الشعراء وهم مضلّون، وبهذه المناسبة هم أشدّ غواية؛ لأنّهم ضاّلون ومضلّون، بخلاف التابعين فإنّهم 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التهافت بين صدر كلامه وذيله؛ لأنّه مع تسليم اختصاص الغواية بالضلال كيف تكون أعمّ من العاطفة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وَ أَكْثَرُهُمْ 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على أنّ المقصود من الشعراء هم الذين كانوا مورداً لتنزّل الشياطين، ومن المعلوم أنّ هؤلاء هم الذين لا يتّبعهم إلاّ الغاوون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w:t>
      </w:r>
    </w:p>
    <w:p>
      <w:pPr>
        <w:pStyle w:val="BookText"/>
        <w:rPr/>
      </w:pPr>
      <w:r>
        <w:rPr>
          <w:rFonts w:ascii="Amiri" w:hAnsi="Amiri" w:eastAsia="Amiri" w:cs="Amiri"/>
          <w:color w:val="111111"/>
          <w:sz w:val="28"/>
          <w:sz w:val="28"/>
          <w:szCs w:val="28"/>
          <w:rtl w:val="true"/>
          <w:lang w:bidi="ar-SA"/>
        </w:rPr>
        <w:t>لاٰ يَفْعَلُونَ‌</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يدلّ أيضاً على أنّ مورد الذمّ هو الأشعار والشعراء الذين كانوا كذلك، بخلاف من ليس كذلك من الشعراء المؤمنين، فلا مجال لتعميم الشعر والشعراء؛ إذ لا يناسب الوصف المذكور في الآية إلاّ القسم الجاهلي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الوديان وديان الأفكار والمعاني وليس الوديان الأرضية، وتلك الوديان إمّا أن يراد بها خصوص الوديان الباطلة أو ما يشمل الحقّ والباطل، وكلاهما فعل باطل؛ إذ لا يحقّ للفرد أن يفكّر تفكيراً باطلا لا قليلاً ولا كثيراً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سديد؛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الذمّ‌، وهو يناسب الوديان الباطلة، فلا يشمل الوديان الحقّة من الأساس،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الوديان هو الوديان الأرضية وليس الوديان الذهنية؛ فإنّ الأوّل حقيقة والآخر مجاز، ويتعيّن حمل اللفظ على المعنى الحقيقي، إذاً فهم يهيمون في الوديان الأرضية، وليس هذا بأمر باطل على أيّ حال، بل لا شكّ أنّ وجوهاً عديدة من هذا الهيام حقّ أو أقرب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محصّل لها؛ إذ قرينة السياق قرينة ذمّ‌، ومن هذه الجهة اختصّت الآية بالهيام الباطل، والوديان الأرضية كناية عن الوديان الذهنية الباطلة، فالذمّ المستفاد من الآية الكريمة يختصّ بشعراء الجاهلية الكَذَبة الفَسَقة؛ لاختصاص الآية بهم مصداقاً في عصر النزول ولو بالقرينة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أفاد وأجاد في الميزان حيث قال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أَكْثَرُهُمْ كٰاذِبُونَ‌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ومحصّل حجّة الآيات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الشياطين لابتناء جبلّتهم على الشرّ لا يتنزّلون إلاّ على كلّ كذّاب فاجر، وأكثرهم كاذبون في اخبارهم، والنبيّ صلى الله عليه وآله ليس بأفّاك أثيم، ولا ما يوحى إليه من الكلام كذباً مختلقاً؛ فليس ممّن تنزّل عليه الشياطين ولا الذي ينزل عليه شيطان، ولا القرآن النازل عليه من إلقاء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رمي المشركين للنبيّ صلى الله عليه وآله بأنّه شاعر، نبّه عليه بعد 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شيطاناً يوحي إليه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وملخّص حجّة الآيات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ليس بشاعر؛ لأنّ الشعراء يتّبعهم الغاوون؛ لابتناء صناعتهم على الغواية وخلاف الرشد، لكن الذين يتّبعونه إنّما يتّبعونه ابتغاءً للرشد وإصابة الواقع وطلباً للحقّ‌؛ لابتناء ما عنده من الكلام المشتمل على الدعوة على الحقّ والرشد دون الباطل والغيّ‌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ذَكَرُوا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استثناء من الشعراء المذمومين، والمستثنون هم شعراء المؤمنين؛ فإنّ الإيمان وصالحات الأعمال تردع الإنسان بالطبع عن ترك الحقّ واتّباع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الذكر الكثير لله سبحانه يجعل الإنسان على ذكر منه تعالى، مقبلاً إلى الحقّ الذي يرتضيه، مدبراً عن الباطل الذي لا يحبّ الاشتغال به، فلا يعرض لهؤلاء ما كان يعرض لاُولئك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يظهر وجه تقييد المستثنى بالإيمان وعمل الصالحات ثمّ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ذَكَرُوا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ذهب إليه مبنيّ على كون الاستثناء متّصلاً، وقد عرفت أنّ هنا احتمالاً آخر؛ وهو كون الاستثناء منقطعاً، وأنّ الشعر والشعراء بمعناهما الجاهلي صفة ذمّ حينئذ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والشعر مستعمل في هذه الآية أيضاً في الشعر الاصطلاحي الأعمّ منه ومن النثر؛ قضاءً لكثرة الاستعمال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الشعر هو الشعر الجاهلي الرائج الذي كان هجواً وباطلا، كما يشهد له التقابل بين الشعر والذكر؛ فإنّ الظاهر منه أنّ الشعر في مقابل الذكر، والذكر في مقابل الشعر، وهو لا يستقيم إلاّ إذا اُريد من الشعر الشعر الجاهلي ولو بحسب المصداق الرائج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لو كان الشعر أعمّ من النثر ومن الحقّ والباطل لكان النثر الحاكي عن الحقّ من أقسام الذكر، ولا يصحّ أن يقال هو ممّا لا ينبغي له، فكيف يجعل مقابلا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للشعر المصطلح عليه في الجاهلية، ولا يشمل الأشعار الحقّة ولا النثر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نفي تعليمه تعالى إيّاه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لا يحسن قول الشعر، لا أن يحسنه ويمتنع من قوله لنهي الله سبحانه وتعالى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والمحصّل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تعليمه تعالى إيّاه الشعر لا يوجب نقصاً فيه ولا هو تعجيز له، بل لرفع درجته وتنزيه ساحته عمّا يتحاوره العارف بصناعة الشعر؛ فيقع في معرض تزيين المعاني بالتخييلات الشعرية الكاذبة التي كلّما أمعن فيها كان الكلام أوقع في النفس، وتنظيم الكلام بأوزان موسيقية ليكون أوقع في السمع، فلا ينبغي له صلى الله عليه وآله أن يقول الشعر وهو رسول الله صلى الله عليه وآله، وآية رسالته ومتن دعوته القرآن المعجز في بيانه الذي </w:t>
      </w:r>
    </w:p>
    <w:p>
      <w:pPr>
        <w:pStyle w:val="BookText"/>
        <w:rPr/>
      </w:pPr>
      <w:r>
        <w:rPr>
          <w:rFonts w:ascii="Amiri" w:hAnsi="Amiri" w:eastAsia="Amiri" w:cs="Amiri"/>
          <w:color w:val="111111"/>
          <w:sz w:val="28"/>
          <w:sz w:val="28"/>
          <w:szCs w:val="28"/>
          <w:rtl w:val="true"/>
          <w:lang w:bidi="ar-SA"/>
        </w:rPr>
        <w:t>هو ذكر وقرآن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ذِكْرٌ وَ قُرْآنٌ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القرآن هو الذكر المحض والمقروء المبيّن، ولا مجال لاحتمال أن يكون كالشعر الحاوي للباطل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وإن دلّت على أنّ الشعر لا يليق بتعليم النبيّ صلى الله عليه وآله ولكنّ المقصود منه هو الشعر بمعناه الاصطلاحي وما يكون في قبال الذكر، وهو ليس إلاّ الأشعار الجاهلية الباطلة، فلا يستفاد منه الذمّ والتحقير بالنسبة إلى مطلق الشعر ولو كان ذكراً وحكمة، كما لا يشمل النثر؛ لأنّ النثر ليس بشعر من دون فرق بين كونه حقّاً أو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أَ إِنّٰا لَتٰارِكُوا آلِهَتِنٰا لِشٰاعِرٍ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اَلْمُرْسَلِينَ‌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أنّ قول الشاعر عندهم ليس ممّا ينبغي أن يصغى إليه سيّما إذا كان مجنوناً، وهذا اعتراف منهم بأنّ المقصود من رمي القرآن بالشعر في كلامهم هو الكذب، ولا يصلح الكذب لأنّ يتّبع في رفع الاعتقاد، فردعهم الله تعالى في نسبة القرآن إلى الشعر بمعناه الجاهلي والكذب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 بِالْحَقِّ وَ صَدَّقَ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الرسول صلى الله عليه وآله جاء بالحقّ وتصديق المرسلين، ومن المعلوم أنّ المرسلين كانوا على حقّ‌، فكيف يكون تصديقهم من الباطل وكذباً وشعريّاً؟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ورمي القرآن بالشعر مع وضوح عدم كونه شعراً عند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على أنّهم قصدوا بذلك رميه بالكذب؛ فإنّ الشاعر الجاهلي كاذب، حتّى سمّوا الأدلّة الكاذبة بالأدلّة الشعرية، فعنوان الشاعر في هذه الآية صفة ذمّ‌، ولكن أرادوا منه الشعر الجاهلي، والقرآن الكريم ردّ النسبة المذكورة إلى القرآن، ونزّه ساحة النبيّ صلى الله عليه وآله عنها، ولا </w:t>
      </w:r>
      <w:bookmarkStart w:id="319" w:name="pg17323_406121"/>
    </w:p>
    <w:p>
      <w:pPr>
        <w:pStyle w:val="BookText"/>
        <w:rPr/>
      </w:pPr>
      <w:bookmarkEnd w:id="319"/>
      <w:r>
        <w:rPr>
          <w:rFonts w:ascii="Amiri" w:hAnsi="Amiri" w:eastAsia="Amiri" w:cs="Amiri"/>
          <w:color w:val="111111"/>
          <w:sz w:val="28"/>
          <w:sz w:val="28"/>
          <w:szCs w:val="28"/>
          <w:rtl w:val="true"/>
          <w:lang w:bidi="ar-SA"/>
        </w:rPr>
        <w:t>نظر لله تعالى بالنسبة إلى الأشعار الحقّة ولا الشعراء المؤمنين، فلا يصحّ جعل الآية ممّا تدلّ على ذمّ الشعر والشعراء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أَضْغٰاثُ أَحْلاٰمٍ بَلِ اِفْتَرٰاهُ بَلْ هُوَ شٰاعِرٌ فَلْيَأْتِنٰا بِآيَةٍ كَمٰا أُرْسِلَ اَلْأَوَّلُونَ‌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يدلّ على أنّ الكفّار بعد نسبة التشويش والاختلاط والافتراء إلى القرآن والرسول صلى الله عليه وآله رموه بأنّه أتى بالشعر، وقصدوا بذلك الشعر الباطل والجاهلي؛ بقرينة كونهم في مقام تكذيب النبيّ صلى الله عليه وآله، كما يشهد له تقدّم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 والافتراء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صلى الله عليه وآله؛ ولذا طلبوا منه الإتيان بالآية والمعجزة، فأجاب الله سبحانه وتعالى بعد أربع آيات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إِلَيْكُمْ كِتٰاباً فِيهِ ذِكْرُكُمْ أَ فَلاٰ تَعْقِلُونَ‌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القرآن نازلاً من الله تعالى وذكراً فلا مجال للرمي المذكور، بل هو من أعظم الآيات، ومعه لا حاجة إلى آية اُخرى، فهذه الآية أيضاً لا تدلّ على ذمّ مطلق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المذكورة لا تدلّ على ذمّ الشعر الحاوي للحقّ‌، وإنّما تدلّ على ذمّ الشعر الجاهلي فقط</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876022_1280447820"/>
      <w:bookmarkStart w:id="321" w:name="_Toc116"/>
      <w:bookmarkEnd w:id="320"/>
      <w:r>
        <w:rPr>
          <w:rtl w:val="true"/>
        </w:rPr>
        <w:t xml:space="preserve">ثانياً </w:t>
      </w:r>
      <w:r>
        <w:rPr>
          <w:rtl w:val="true"/>
        </w:rPr>
        <w:t xml:space="preserve">- </w:t>
      </w:r>
      <w:r>
        <w:rPr>
          <w:rtl w:val="true"/>
        </w:rPr>
        <w:t>الروايات الدالّة على ذمّ الشعر</w:t>
      </w:r>
      <w:r>
        <w:rPr>
          <w:rtl w:val="true"/>
        </w:rPr>
        <w:t>:</w:t>
      </w:r>
      <w:bookmarkEnd w:id="32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نشيد الشعر هل ينقض الوضوء، أو ظلم الرجل صاحبه، أو الكذب‌؟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أن يكون الشعر يصدق فيه، أو يكون يسيراً من الشعر؛ الأبيات الثلاثة والأربعة، فأمّا أن يكثر من الشعر الباطل فهو ينقض الوضوء</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p>
    <w:p>
      <w:pPr>
        <w:pStyle w:val="BookText"/>
        <w:rPr/>
      </w:pPr>
      <w:r>
        <w:rPr>
          <w:rFonts w:ascii="Amiri" w:hAnsi="Amiri" w:eastAsia="Amiri" w:cs="Amiri"/>
          <w:color w:val="111111"/>
          <w:sz w:val="28"/>
          <w:sz w:val="28"/>
          <w:szCs w:val="28"/>
          <w:rtl w:val="true"/>
          <w:lang w:bidi="ar-SA"/>
        </w:rPr>
        <w:t>الوسائل بعد نقل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الاستحباب، وحكى بعض علمائنا انعقاد الإجماع على عدم الوجوب، وذلك دالّ على ترجيح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الموثّقة لا تدلّ إلاّ على أنّ إكثار الشعر الباطل موجب لنقض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وتعارضها معتبرة معاوية بن ميسرة المرويّة عن محمّد بن الحسن، عن المفيد، عن أحمد بن محمّد، عن أبيه، عن سعد بن عبدالله، عن أحمد بن محمّد بن عيسى، عن عليّ بن الحكم، عن معاوية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إنشاد الشعر هل ينقض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الوسائل بعد نقل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الصدوق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تقدّم من حصر النواقض في عدّة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تقييد المعتبرة بما إذا كان الشعر يصدق فيه أو كان يسيراً كالأبيات الثلاثة والأربعة، بخلاف ما إذا كان الشعر باطلا وجاهليّاً فإنّ غير اليسير منه يكون موجباً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متعارضتان، لقوّة دلالة المعتبرة على عدم النقض لاعتضادها بحصر النواقض في عدّة أحاديث، ودعوى الإجماع على عدم كونه موجباً لذلك، وعليه فتحمل الموثّقة على الاستحباب كما نسب إلى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الموثّقة تدلّ على الحكم الوضعي وهو نقض الوضوء، ولا دلالة لها على مرجوحية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 الوضوء يكشف عن المرجوحية في الجملة كما لا يخفى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نوف المروي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أيّوب بن نوح، عن الربيع بن محمّد المسلي، عن عبد الأعلى،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نوف، </w:t>
      </w:r>
    </w:p>
    <w:p>
      <w:pPr>
        <w:pStyle w:val="BookText"/>
        <w:rPr/>
      </w:pPr>
      <w:r>
        <w:rPr>
          <w:rFonts w:ascii="Amiri" w:hAnsi="Amiri" w:eastAsia="Amiri" w:cs="Amiri"/>
          <w:color w:val="111111"/>
          <w:sz w:val="28"/>
          <w:sz w:val="28"/>
          <w:szCs w:val="28"/>
          <w:rtl w:val="true"/>
          <w:lang w:bidi="ar-SA"/>
        </w:rPr>
        <w:t>إيّاك أن تكون عشّاراً، أو شاعراً، أو شرطيّاً، أو عريفاً، أو صاحب عرطبة وهي الطنبور، أو صاحب كوبة وهو الطبل؛ فإنّ نبيّ الله خرج ذات ليلة فنظر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الساعة التي لا يردّ فيها دعوة إلاّ دعوة عريف أو دعوة شاعر أو شرطيّ أو صاحب عرطبة أو صاحب كوبة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يدلّ على ذمّ الشاعر مطلقاً، أللهمّ إلاّ أن يحمل على الشعر الجاهلي بقرينة السياق وعدم إجابة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ضعف الخبر؛ لعدم توثيق الربيع بن محمّد المسلّي ونوف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التعليقة أنّه يظهر من الأخبار كونه من خواصّ أميرالمؤمنين عليه السلام، ولكنّه لا يرفع ضعف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مروان المرويّة عن الكشّي، عن جعفر بن معروف، عن محمّد بن الحسين، عن جعفر بن بشير، عن ابن بكير،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وعنده ابن خرّبوذ فأنشدني شيئاً،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يمتلئ جوف الرجل قيحاً خير من أن يمتلئ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بذلك من يقول الشعر،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الاستفهام الإنكاري وليس إخباراً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فالسند موثّق وإن لم يوثّق جعفر بن معروف؛ لأنّه مردّد بين من يقال في حقّه إنّه وكيل وبين من يروي عنه العيّاشي كثيراً، وأيّهما كان يدلّ على وثاقته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لعلّ المقصود من الشعر في الرواية هو الشعر الباطل؛ حيث إنّه يناسب التشبيه </w:t>
      </w:r>
    </w:p>
    <w:p>
      <w:pPr>
        <w:pStyle w:val="BookText"/>
        <w:rPr/>
      </w:pPr>
      <w:r>
        <w:rPr>
          <w:rFonts w:ascii="Amiri" w:hAnsi="Amiri" w:eastAsia="Amiri" w:cs="Amiri"/>
          <w:color w:val="111111"/>
          <w:sz w:val="28"/>
          <w:sz w:val="28"/>
          <w:szCs w:val="28"/>
          <w:rtl w:val="true"/>
          <w:lang w:bidi="ar-SA"/>
        </w:rPr>
        <w:t>بالقيح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القضيّة قضيّة في واقعة فلا إطلاق لها، فلا يستفاد منها ذمّ بالنسبة إلى مطلق الشعر،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محمّد بن الحسين الرضي في المجازات النبوية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امرئ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يوم القيامة يحمل لواء الشعر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لحكماً، وإنّ من البيان لسحراً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لواء الشعر إلى النار يدلّ على أنّ نوع أشعاره يوجب استحقاق النار، وليس ذلك إلاّ لكونها من الأباطيل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الفقيه في رواية إبراهيم بن أبي البلاد، عن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أنشد بيت شعر يوم الجمعة فهو حظّه من ذلك اليوم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تدلّ على عدم مقبولية سائر الأعمال، وكفى به حزازة، وهي مطلقة لكنّها مختصّة بيوم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الرواية مرويّة في الخصال مرسلة، كما أنّ ما في الفقيه لعلّه إشارة إلى رواية الخصال،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عليه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تمثّل ببيت شعر من الخنا ليلة الجمعة لم تقبل منه صلاة تلك الليلة، ومن تمثّل في يوم الجمعة لم تقبل منه صلاة في يومه ذلك</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لا يدلّ إلاّ على مرجوحية شعر الخنا في ليلة الجمعة ويومها، ولا يشمل غيره إلاّ أن يكون سالكاً مسلكه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محمّد بن عليّ بن محبوب، عن الحسن بن عليّ الكوفي، عن الحسين بن يزيد، عن إسماعيل بن أبي زياد،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تمثّل ببيت شعر من الخنا لم يقبل منه صلاة في ذلك اليوم، ومن تمثّل بالليل لم تقبل منه صلاة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الجعفريّات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ولقي الله تعالى يوم يلقاه ولا خلاق له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معتبرة، ولكنّها لا تدلّ إلاّ على مرجوحية شعر الخنا في مطلق اليوم والليلة، بل تدلّ على حرمته وكونه من المعاصي الكبيرة مطلقاً، بيد أنّها مختصّة بشعر الخنا ولا تشمل غيره إلاّ إذا كان من سنخه فيلحق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محمّد بن يحيى، عن أحمد بن محمّد، عن ابن محبوب، عن عبد الرحمان بن الحجّاج، عن جعفر بن إبراهيم، عن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سمعتموه ينشد الشعر في المساجد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إنّما نصبت المساجد للقرآن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وجعفر بن إبراهيم لم يوثّق؛ لمغايرته مع جعفر بن إبراهيم بن محمّد بن عليّ بن عبدالله بن جعفر الطيّار، وإلاّ فقد وثّقه العلاّمة قدس سره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عن محمّد بن عليّ بن محبوب، عن محمّد بن أحمد الهاشمي، عن العمركي، عن عليّ بن جعفر، عن أخيه موسى عليه السلام، سألته عن الشعر أيصلح أن ينشد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والسند معتبر؛ لأنّ محمّد بن أحمد الهاشمي متّحد مع محمّد بن أحمد العلوي وهو ممّن روى عنه الأجلاّء ولم يستثنه ابن الوليد، وعبّر عنه الصدوق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النجاشي أنّه من شيوخ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بينهما هو حمل الرواية الاُولى على كراهة الشعر في المساجد بناءً على صحّتهما، فلا تدلّ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عن الصادق عليه السلام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لا يسلّم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والمجوس، والنصراني، والرجل على غائطه وعلى موائد الخمر، وعلى الشاعر الذي يقذف المحصنات، وعلى المتفكّهين بسبّ الاُمّهات</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لها على ذمّ مطلق الشعر، بل تختصّ بصورة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نباتة 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لا ينبغي أن يسلّم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وأصحاب النرد والشطرنج، وأصحاب الخمر والبربط والطنبور، والمتفكّهون بسبّ الاُمّهات، والشعراء</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ضعيف؛ لاشتماله على ابن طريف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دلالته مطلقة، أللهمّ إلاّ أن يحمل على نوع خاصّ من الشعر؛ وهو الشعر الجاهلي الذي يؤيّده السياق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رواية الشعر للصائم، وللمحرم، وفي الحرم، وفي يوم الجمعة، وأن يروى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 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شعر حقّ‌</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ينشد الشعر بليل، ولا ينشد في شهر رمضان بليل ولا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فإنّه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فينا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يدلاّن على مرجوحية الشعر في مطلق الليل وفي شهر رمضان مطلقاً؛ ليلاً كان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مرجوحية الشعر في حال الإحرام وفي يوم الجمعة وفي الحرم، وظاهر الرواية الثانية هو النهي ومقتضاه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الاُولى تدلّ على الكراهة،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الكراهة الاصطلاحية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حمل النهي في الرواية الثانية والكراهة في الرواية الاُولى على الاصطلاحية بالقرائن الخارجية؛ كالإجماع على عدم حرمة ذلك، وذهاب الأصحاب إلى الكراهة دون الحرمة، وعليه فيدلاّن على كراهة مطلق الأشعار في مطلق الليالي، وفي شهر رمضان مطلقاً؛ ليلاً كان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ويعارضهما ما رواه الفضل بن الحسن الطبرسي في كتاب الآداب الدينية عن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يروون عن آبائك عليهم السلام أنّ الشعر ليلة الجمعة ويوم الجمعة وفي شهر رمضان وفي الليل مكروه، وقد هممت أن أرثي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شهر رمضان‌؟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اِرثِ أبا الحسنفي ليلة الجمعة وفي شهر رمضان وفي الليل وفي سائر الأيّام؛ فإنّ الله يكافئك على ذلك</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واختصاصه بالمراثي لا يقدح في التعميم؛ لإمكان التعدّي عنها بعدم القول بالفصل كما ادّعي، على ما في المستمسك</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ومع ضعفها لا تصلح للمعارضة،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 ضعفها بما حكي من عدم عمل الأصحاب بعموم الروايتين بالنسبة إلى المراثي والمدائح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ادّعي من موافقة عموم الكراهة للعامّة،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للروايات المتعدّدة الدالّة على ترغيب الشعراء نحو مدح أهل البيت عليهم السلام، أو ترغيب الناس نحو تعليم بعض الأشعار الحقّة للأطفال، أو تجويز الشعر حال السفر أو حال الطواف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ذهب الشهيدان في الذكرى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الثاني وصاحب المدارك إلى اختصاص الكراهة في شهر رمضان بغير المراثي ومدح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فالمكروه من الشعر هو المنظوم في غير مراثي أهل البيت عليهم السلام، ومدائحهم بل يكره الشعر غير الحِكَمي بناءً على إلحاقه بهما كما لعلّه لا يبعد ذلك؛ قال في العروة في مكروهات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 الشعر، ولا يبعد اختصاصه بغير المراثي أو المشتمل على المطالب الحقّة من دون إغراق أو مدح الأئمّة عليهم السلام، وإن كان يظهر من بعض الأخبار التعميم</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الجمع أولى ممّا ذهب إليه في الوافي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 الشعر تخييليّاً فالحكم بكراهته مطلقاً وإن كان في مدح أهل البيت عليهم السلام، وبين ما إذا لم يكن كذلك فالحكم بعدم الكراهة؛ لأنّه لا شاهد عليه، بل هو جمع تبرّعي، وهذا لفظه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ذيل الصحيحة الاُولى من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الإنشاد قراءة الشعر، والشعر غلب على المنظوم من القول،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التخييلي الذي هو إحدى الصناعات الخمس نظماً كان أو 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المنظوم المشتمل على الحكمة والموعظة أو المناجاة مع الله سبحانه ممّا لم </w:t>
      </w:r>
      <w:bookmarkStart w:id="322" w:name="pg17323_406129"/>
    </w:p>
    <w:p>
      <w:pPr>
        <w:pStyle w:val="BookText"/>
        <w:rPr/>
      </w:pPr>
      <w:bookmarkEnd w:id="322"/>
      <w:r>
        <w:rPr>
          <w:rFonts w:ascii="Amiri" w:hAnsi="Amiri" w:eastAsia="Amiri" w:cs="Amiri"/>
          <w:color w:val="111111"/>
          <w:sz w:val="28"/>
          <w:sz w:val="28"/>
          <w:szCs w:val="28"/>
          <w:rtl w:val="true"/>
          <w:lang w:bidi="ar-SA"/>
        </w:rPr>
        <w:t>يكن فيه تخييل شعري مستثنى عن هذا الحكم أو غير داخل فيه؛ لما ورد أنّ ما لا بأس به من الشعر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مدحنا أهل البيت؛ وذلك لأنّ كونه في مدحهم عليهم السلام لا يخرجه عن التخييل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موضوع الكلام حقّاً كحكمة أو موعظة لا يخرجه عن التخييل الشعري، فأمّا إذا لم يكن كلاماً شعريّاً بل كان موزوناً فقط فلا بأس</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أولوية الجمع بين الأخبار بشهادة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المذكور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يرد منه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إذا كان مؤدّياً إلى الضلال والفساد يكون مكروهاً بل محرّماً، وتزيد الكراهة أو الحرمة بحسب اختلاف الأيّام والأزمنة بل والأمكنة والأحوال الشريفة عدا ما استثني، كما سيأتي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876024_1280447820"/>
      <w:bookmarkStart w:id="324" w:name="_Toc117"/>
      <w:bookmarkEnd w:id="323"/>
      <w:r>
        <w:rPr>
          <w:rtl w:val="true"/>
        </w:rPr>
        <w:t>المقام الثالث</w:t>
      </w:r>
      <w:r>
        <w:rPr>
          <w:rtl w:val="true"/>
        </w:rPr>
        <w:t xml:space="preserve">: </w:t>
      </w:r>
      <w:r>
        <w:rPr>
          <w:rtl w:val="true"/>
        </w:rPr>
        <w:t>في النصوص الدالّة على رجحان الأشعار المنظومة في رثاء و مدح أهل البيت عليهم السلام أو الأشعار الحقّة</w:t>
      </w:r>
      <w:bookmarkEnd w:id="324"/>
    </w:p>
    <w:p>
      <w:pPr>
        <w:pStyle w:val="BookText"/>
        <w:rPr/>
      </w:pP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الترغيب في رثاء الحسين عليه السلام، كمعتبرة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عبدالله عليه السلام قال لجعفر بن عفّان الطائي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تقول الشعر في الحسين عليه السلام وتجيد؟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 فبكى ومن حوله حتّى سالت الدموع على وجهه ولحيته،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جعفر، والله لقد شهدك ملائكة الله المقرّبون هاهنا يسمعون قولك في الحسين، </w:t>
      </w:r>
    </w:p>
    <w:p>
      <w:pPr>
        <w:pStyle w:val="BookText"/>
        <w:rPr/>
      </w:pPr>
      <w:r>
        <w:rPr>
          <w:rFonts w:ascii="Amiri" w:hAnsi="Amiri" w:eastAsia="Amiri" w:cs="Amiri"/>
          <w:color w:val="111111"/>
          <w:sz w:val="28"/>
          <w:sz w:val="28"/>
          <w:szCs w:val="28"/>
          <w:rtl w:val="true"/>
          <w:lang w:bidi="ar-SA"/>
        </w:rPr>
        <w:t xml:space="preserve">ولقد بكوا كما بكينا وأكثر، ولقد أوجب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ساعتك الجنّة بأسرها، وغفر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أزيدك‌؟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قال في الحسين عليه السلام شعراً فبكى وأبكى به إلاّ أوجب الله له الجنّة وغفر له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موثّق، إلاّ أنّ زيداً الشحّام لم يوثّق توثيقاً خاصّاً، لكن يكفي في وثاقته نقل جماعة كتابه منهم صفوان بن يحيى، مضافاً إلى نقل جماعة من الأجلاّء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الترغيب المذكور بنحو مطلق من دون تقييد لا يتناسب مع كراهته بالفعل ولو في بعض الأيّام والليالي، والروايات بهذا المضمون متعدّدة 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الترغيب في مدح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معتبرة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فينا بيت شعر بنى الله تعالى له بيتاً في الجنّة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موثّق، إلاّ أنّ عبدالله بن الفضل الهاشمي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يكفيه رواية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عبيد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الكميت بن زيد على أبي جعفر عليه السلام وأنا عنده،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مُتَيَّم مُستَهامِ‌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منها قال للكميت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لاتزال مؤيّداً بروح القدس ما دمت تقول فينا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عبدالله بن حمّاد عن أبي عبدالله عليه السلام، وذكر حديثاً طويلاً في ثواب زيارة </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 قوماً يأتونه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الكوفة وناساً غيرهم ونساء يندبنه، وذلك في النصف من شعبان؛ فمن بين قارئ يقرأ وقاصّ يقصّ ونادب يندب وقائل يقول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شهدت بعض ما تصفه،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الناس من يَفِد إلينا ويمدحنا ويرثي لنا، وجعل عدوّنا من يطعن عليهم من قرابتنا وغيرهم يهدّدونهم ويقبّحون ما يصنعون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موثّق إلاّ أنّه مشتمل على علىّ بن محمّد بن سليمان النوفلي الواقع في الطريق، وهو غير النوفلي المعروف الذي اعتمد الأصحاب عليه في نقل روايات السكوني،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غير ذلك من 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البأس بالأشعار الحقّة،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الكلام في الطواف وإنشاد الشعر والضحك في الفريضة أو غير الفريضة، أيستقيم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والشعر ما كان لا بأس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يدلّ على عدم البأس بإنشاد الشعر في الحرم وحال الإحرام والطواف فيما إذا لم يكن الشعر من الأشعار الجاهلية التي فيها البأس، فالأشعار الحقّة ما تكون مشمولة للأخبار الدالّة على الذمّ للجمع بينهما بحمل المطلق على المقيّد؛ لأنّ الصحيحة أخصّ من المطلقات، فإذا لم يكن بأس بإنشاد الشعر في حال الطواف في المسجد الحرام والحرم فعدم البأس في سائر المساجد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الترغيب في تعليم الأشعار للأطفال والأولاد، مثل ما رواه في كمال الدين عن السيّد الجليل شمس الدين فخّار بن معد الموسوي في كتاب الحجّة في إيمان أبي طالب بإسناده عن أبي الفرج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المعمّر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مسعدة بن صدقة، عن عمّه،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أميرالمؤمنين عليه السلام يعجبه أن يروى شعر أبي طالب وأن يُدوَّن،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 وعلّموا أولادكم؛ فإنّه كان على دين الله، وفيه علم كثير</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عن نصر بن صباح، عن إسحاق بن محمّد البصري، عن محمّد بن جمهور، عن أبي داود المسترق، عن عليّ بن النعمان،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شعر العبدي؛ فإنّه على دين الله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الترغيب في الشعر لتنوح به النساء، فقد روى الكشّي عن محمّد بن مسعود، عن حمدان بن أحمد، عن سليمان المسترق، عن سفيان بن مصعب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شعراً تنوح به النساء</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استثناء ما ليس فيه جفاء،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المحاسن عن أحمد بن أبي عبدالله البرقي، عن النوفلي، عن السكوني،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 والشعر ما كان منه ليس فيه جفاء</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فصل بين الصدق وغيره أو بين القليل والكثير،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نشيد الشعر هل ينقض الوضوء، أو ظلم الرجل صاحبه، أو الكذب‌؟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أن يكون الشعر يصدق فيه، أو يكون يسيراً من الشعر؛ الأبيات الثلاثة والأربعة، فأمّا أن يكثر من الشعر الباطل فهو ينقض الوضوء</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قراءة بعض الأنبياء والأئمّة عليهم السلام بعض الأشعار في بعض الأحوال،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العيون والخصال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أميرالمؤمنين عليه السلام عن أوّل من قال الشعر؟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شعره‌؟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اُنزل على الأرض من السماء فرأى تربتها وسعتها وهواها وقتل قابيل هابيل فقال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بَشاشَةُ الوَجْهِ المَلِيحِ‌</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اُمّي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ولحمي</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 فهمي وعلمي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عن سيّدنا الحسين عليه السلام في ليلة العاشر من المحرّم ويومه سيّما إذا كان جمعة، وما روي عن الإمام الصادق عليه السلام</w:t>
      </w:r>
      <w:r>
        <w:rPr>
          <w:rStyle w:val="FootnoteAnchor"/>
          <w:rtl w:val="true"/>
        </w:rPr>
        <w:footnoteReference w:id="589"/>
      </w:r>
      <w:r>
        <w:rPr>
          <w:rFonts w:ascii="Amiri" w:hAnsi="Amiri" w:eastAsia="Amiri" w:cs="Amiri"/>
          <w:color w:val="111111"/>
          <w:sz w:val="28"/>
          <w:sz w:val="28"/>
          <w:szCs w:val="28"/>
          <w:rtl w:val="true"/>
          <w:lang w:bidi="ar-SA"/>
        </w:rPr>
        <w:t>، وما روي عن الإمام الرضا عليه السلام</w:t>
      </w:r>
      <w:r>
        <w:rPr>
          <w:rStyle w:val="FootnoteAnchor"/>
          <w:rtl w:val="true"/>
        </w:rPr>
        <w:footnoteReference w:id="590"/>
      </w:r>
      <w:r>
        <w:rPr>
          <w:rFonts w:ascii="Amiri" w:hAnsi="Amiri" w:eastAsia="Amiri" w:cs="Amiri"/>
          <w:color w:val="111111"/>
          <w:sz w:val="28"/>
          <w:sz w:val="28"/>
          <w:szCs w:val="28"/>
          <w:rtl w:val="true"/>
          <w:lang w:bidi="ar-SA"/>
        </w:rPr>
        <w:t>، وغير ذلك من الأشعار والأراجيز المنقولة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ترغيب الشعراء وحثّهم إلى هجاء الكفّار، قال العلاّمة الأميني قدس سره في كتاب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صلى الله عليه وآله يحثّ الشعراء إلى هذه الناحية، ويأمرهم بالاحتفاظ بها، ويرشدهم إلى أخذ حديث المخالفين له وأحسابهم وتأريخ نشآتهم ممّن يعرفها وهجائهم، كما كان يأمرهم بتعلّم القرآن العزيز، وكان يراه نصرةً للإسلام وجهاداً دون الدين الحنيف، وكان يصوّر للشاعر جهاده وينصّ به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اهجوا بالشعر؛ إنّ المؤمن يجاهد بنفسه وماله، والذي نفس محمّد بيده كأنّما تنضحونهم بالنبل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ما ترمونهم به نضح النبل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فكأنّما تنضحونهم بالنبل فيما تقولون لهم من الشعر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صلى الله عليه وآله يثوّر شعراءه إلى الجدال بنبال النظم وحسام القريض، ويحرّضهم إلى الحماسة في مجابهة الكفّار في قولهم المضادّ لمبدئه القدسيّ ويبثّ فيهم روحاً دينيّاً قويّاً، ويؤكّد فيهم حميّةً تجاه الحميّة الجاهلية، وكان يوجِد فيهم هياجاً ونشاطاً في النشر والدعاية، وشوقاً مؤكّداً إلى الدفاع عن حامية الإسلام المقدّس، ورغبةً في المجاهدة </w:t>
      </w:r>
    </w:p>
    <w:p>
      <w:pPr>
        <w:pStyle w:val="BookText"/>
        <w:rPr/>
      </w:pPr>
      <w:r>
        <w:rPr>
          <w:rFonts w:ascii="Amiri" w:hAnsi="Amiri" w:eastAsia="Amiri" w:cs="Amiri"/>
          <w:color w:val="111111"/>
          <w:sz w:val="28"/>
          <w:sz w:val="28"/>
          <w:szCs w:val="28"/>
          <w:rtl w:val="true"/>
          <w:lang w:bidi="ar-SA"/>
        </w:rPr>
        <w:t>بالنظم بمثل قوله صلى الله عليه وآله للشاعر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 المشركين؛ فإنّ روح القدس معك ما هاجَيْتَهم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هجُهُم؛ فإنّ جبرئيل معك</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ارتياح النبيّ صلى الله عليه وآله ونشاطه ببعض الأشعار، كارتياحه لشعر عمّه شيخ الأباطح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استسقى فسقي،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لقرّت عيناه، من ينشدنا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علىّ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w:t>
      </w:r>
      <w:r>
        <w:rPr>
          <w:rStyle w:val="FootnoteAnchor"/>
          <w:rtl w:val="true"/>
        </w:rPr>
        <w:footnoteReference w:id="592"/>
      </w:r>
      <w:r>
        <w:rPr>
          <w:rFonts w:ascii="Amiri" w:hAnsi="Amiri" w:eastAsia="Amiri" w:cs="Amiri"/>
          <w:color w:val="111111"/>
          <w:sz w:val="28"/>
          <w:sz w:val="28"/>
          <w:szCs w:val="28"/>
          <w:rtl w:val="true"/>
          <w:lang w:bidi="ar-SA"/>
        </w:rPr>
        <w:t>اليَتامى عِصْمَة للأرامِلِ</w:t>
      </w:r>
    </w:p>
    <w:p>
      <w:pPr>
        <w:pStyle w:val="BookText"/>
        <w:rPr/>
      </w:pPr>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وكارتياحه لشعر عمّه العبّاس بن عبد المطلّب ولشعر عمرو بن سالم ولشعر النابغة الجعدي ولشعر كعب بن زهير لمّا أنشده في مسجده الشريف لاميّته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إثرها لَم يُفْدَ مَكْبُولُ‌</w:t>
      </w:r>
    </w:p>
    <w:p>
      <w:pPr>
        <w:pStyle w:val="BookText"/>
        <w:rPr/>
      </w:pPr>
      <w:r>
        <w:rPr>
          <w:rFonts w:ascii="Amiri" w:hAnsi="Amiri" w:eastAsia="Amiri" w:cs="Amiri"/>
          <w:color w:val="111111"/>
          <w:sz w:val="28"/>
          <w:sz w:val="28"/>
          <w:szCs w:val="28"/>
          <w:rtl w:val="true"/>
          <w:lang w:bidi="ar-SA"/>
        </w:rPr>
        <w:t>وكارتياحه لشعر عبدالله بن رواحة ولشعر حسّان بن ثابت يوم غدير خمّ ودعائه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لاتزال يا حسّان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أشعاره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تَلْقَ مِنّا فِي الوِلايَةِ عاصِيا </w:t>
      </w:r>
      <w:bookmarkStart w:id="325" w:name="pg17323_406136"/>
    </w:p>
    <w:p>
      <w:pPr>
        <w:pStyle w:val="BookText"/>
        <w:rPr/>
      </w:pPr>
      <w:bookmarkEnd w:id="325"/>
      <w:r>
        <w:rPr>
          <w:rFonts w:ascii="Amiri" w:hAnsi="Amiri" w:eastAsia="Amiri" w:cs="Amiri"/>
          <w:color w:val="111111"/>
          <w:sz w:val="28"/>
          <w:sz w:val="28"/>
          <w:szCs w:val="28"/>
          <w:rtl w:val="true"/>
          <w:lang w:bidi="ar-SA"/>
        </w:rPr>
        <w:t xml:space="preserve">فَقالَ لَهُ قُمْ يا عَلِىُّ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وكارتياحه لشعر أبي بكير الهذلي، وغير ذلك</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الحثّ والترغيب إلى إنشاد الأشعار الواردة في فضائل أهل البيت ورثائهم كان مستمرّاً ومتناقلا بين الأئمّة عليهم السلام وأصحابهم بحيث لا تبعد دعوى السيرة القطعية على رجحان تلك الأشعار بل سائر الأشعار الحقّة، كما تشهد له محافلهم ومجالسهم في الأيّام والليالي المختلفة، 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تدوينهم دواوين الشعر التي حكاها في الفهرست وغيره من كتب التراجم</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876026_1280447820"/>
      <w:bookmarkStart w:id="327" w:name="_Toc118"/>
      <w:bookmarkEnd w:id="326"/>
      <w:r>
        <w:rPr>
          <w:rtl w:val="true"/>
        </w:rPr>
        <w:t>المقام الرابع</w:t>
      </w:r>
      <w:r>
        <w:rPr>
          <w:rtl w:val="true"/>
        </w:rPr>
        <w:t xml:space="preserve">: </w:t>
      </w:r>
      <w:r>
        <w:rPr>
          <w:rtl w:val="true"/>
        </w:rPr>
        <w:t>في كيفية الجمع بين الأخبار والأدلّة</w:t>
      </w:r>
      <w:bookmarkEnd w:id="327"/>
    </w:p>
    <w:p>
      <w:pPr>
        <w:pStyle w:val="Heading4"/>
        <w:numPr>
          <w:ilvl w:val="3"/>
          <w:numId w:val="1"/>
        </w:numPr>
        <w:rPr/>
      </w:pPr>
      <w:bookmarkStart w:id="328" w:name="__RefHeading___Toc876028_1280447820"/>
      <w:bookmarkStart w:id="329" w:name="_Toc119"/>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لا يخفى عليك أنّ النسبة بين الأخبار بعضها إزاء بعض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النسبة بينهما العموم والخصوص أو الإطلاق والتقييد فحينئذ يخصّص العموم أو يقيّد الإطلاق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جوازه عند الطواف في المسجد الحرام إذا لم يكن في محتواه بأس، فيقدّم ما دلّ على الجواز على ما نهي عنه في حال الإحرام أو المسجد أو الحرم؛ قضاءً لأخصّيّة ما 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الشعر الذي لا بأس فيه جائزاً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الطواف والإحرام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 للأخصّيّة فلا مانع منه في سائر المساجد بطريق أولى، كما لايخفى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النسبة بين هذه الأخبار وبين الأخبار الناهية عن الشعر في الليالي والأيّام فهي العموم من وجه؛ إذ الشعر الذي ليس فيه بأس قد يكون في النهار أو يكون في الليل؛ في غير شهر رمضان أو في شهر رمضان؛ في يوم الجمعة أو غير يوم الجمعة، كما أنّ الشعر المنهي عنه في تلك الأيّام والليالي قد يكون فيه ما فيه بأس أو لا يكون كذلك، فتكون النسبة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النسبة بين ما رغّب نحو رثاء الحسين أو أهل البيت عليهم السلام أو مدحهم وبين ما دلّ على النهي عن الشعر في الليالي أو الأيّام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أو ليالي شهر رمضان وأيّامه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 لأنّ الرثاء أو المدح قد يقع في الليالي أو في الأيّام، في غير يوم الجمعة، أو في يوم الجمعة، في أيّام شهر رمضان ولياليه أو في غيرها كما أنّ الشعر في الليالي أو يوم الجمعة قد يكون رثاءً أو مدحاً لأهل البيت عليهم السلام وقد يكون غيرهما من أنواع الشعر، فتكون النسبة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دلّ على جواز الشعر الذي ليس فيه جفاء في السفر فإنّه أعمّ من أن يكون في الليالي أو يوم الجمعة، ومن أن يكون في ليالي شهر رمضان وأيّامه أو في غيرها، فتكون النسبة بينه وبين ما نهى عن الشعر في تلك الأيّام والليالي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فيه جفاء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 على هذا النسبة بين ما دلّ على الأمر بتعليم بعض الأشعار للأطفال أو النساء، أو الأمر بهجاء الكفّار بالشعر، وبين ما نهى عن الشعر مطلقاً؛ فإنّ بينهما نسبة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مورد تكون النسبة بينهما العموم من وجه فلا مجال للتخصيص أو التقييد، بل مقتضى القاعدة هو التعارض والتساقط والرجوع إلى الأصل لو لم نعلم بصدورهما، وأمّا مع العلم بصدور الطرفين فمقتضى القاعدة هو التزاحم في مورد </w:t>
      </w:r>
    </w:p>
    <w:p>
      <w:pPr>
        <w:pStyle w:val="BookText"/>
        <w:rPr/>
      </w:pPr>
      <w:r>
        <w:rPr>
          <w:rFonts w:ascii="Amiri" w:hAnsi="Amiri" w:eastAsia="Amiri" w:cs="Amiri"/>
          <w:color w:val="111111"/>
          <w:sz w:val="28"/>
          <w:sz w:val="28"/>
          <w:szCs w:val="28"/>
          <w:rtl w:val="true"/>
          <w:lang w:bidi="ar-SA"/>
        </w:rPr>
        <w:t>المزاحمة والرجوع إلى الأهمّ وسقوط الآخر عن الفعلية، ولعلّ الأهمّ يختلف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الأهمّ هو ما تقع عليه السيرة من ذكر فضائل أهل البيت ومدائحهم ورثائهم بالشعر ولو في الليالي أو يوم الجمعة أو في أيّام شهر رمضان ولياليه،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الشيباني، عن جعفر بن محمّد بن القاسم العلوي، عن عبيد الله بن نهيك، عن ابن أبي عمير، عن الحسن بن عطيّة، عن عمر بن يزيد، عن الورد بن كميت،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جعفر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 إنّي قلت فيكم أبياتاً، أفتأذن لي في إنشادها؟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أيّام 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هذا مضافاً إلى قوّة دعوى ظهور الترغيبات والحثّ على الرثاء والمديح في رجحانها مطلقاً من دون تقييد،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حزازة في الشعر إذا كان صادقاً وحقّاً أو رثاءً أو مدحاً لأهل البيت عليهم السلام، أو هجاءً للكفّار الذين يهجون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الأيّام والليالي بعد تقديم موارد الجواز والترغيب نحو المطلقات؛ للأخصّية أو للأهمّية على التفصيل الذي عرفت آنفاً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الشعر باطلا فهو مكروه في الليالي وأيّام شهر رمضان ولياليه ويوم </w:t>
      </w:r>
    </w:p>
    <w:p>
      <w:pPr>
        <w:pStyle w:val="BookText"/>
        <w:rPr/>
      </w:pPr>
      <w:r>
        <w:rPr>
          <w:rFonts w:ascii="Amiri" w:hAnsi="Amiri" w:eastAsia="Amiri" w:cs="Amiri"/>
          <w:color w:val="111111"/>
          <w:sz w:val="28"/>
          <w:sz w:val="28"/>
          <w:szCs w:val="28"/>
          <w:rtl w:val="true"/>
          <w:lang w:bidi="ar-SA"/>
        </w:rPr>
        <w:t>الجمعة، بل قد يكون محرّماً إذا كان كذباً وضلالة، وتختلف هذه الحزازة باختلاف أهمّية الأيّام والليالي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روي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الشعر لحكماً</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ناظر إلى القسم الأوّل،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روى الصدوق قدس سره في معاني الأخبار بسند صحيح عن حمّاد بن عثمان، عن أبي جعفر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شاعراً يتّبعه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قوم تفقّهوا لغير الدين فضلّوا وأضلّوا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نحوه في شرح الآيات الباهرة محمّد بن جمهور بإسناده يرفعه إلى أبي عبدالله 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رأيتم من الشعراء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هؤلاء الفقهاء الذين يُشعِرون قلوب الناس بالباطل؛ فهم الشعراء الذين يُتَّبَعون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المقصود من الروايتين إلحاق مورد متّحد معه في الملاك وهم الفقهاء الضالّون والمضلّون؛ لأنّهم وإن لم يصدق عليهم عنوان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من اختصاص الشعر بالنظم لغلبة استعماله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يشملهم بملاك ذمّ الشعراء وهو القول بالكذب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اتّباع الشعراء في قبال اتّباع الفقهاء الضالّين والمضلّين قليلا نفاه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شاعراً يتّبعه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فالنفي إضافيّ بالنسبة إلى أتباع الفقهاء المذكورين؛ وإلاّ فلا خفاء في أنّ للشعراء أيضاً أتباعاً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 يظهر الجواب أيضاً عن مرسلة الصدوق، حيث قال في اعتقاداته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الصادق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القصّاص</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فغير الشعر من كلام المبطلين والمضلّين ملحق به إذا كان متّحداً معه في الملاك وإن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هم قوم تفقّهوا لغير الدين فضلّوا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للغاوين، وأنّهم هم المبطلون الذين يتّبعون الشعراء في ابتناء فتاويهم على القياس والاستحسان والإحساسات ونحوها، فالآية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تابعي الشعراء هم الفقهاء المذكورون؛ لغلبتهم بالنسبة إلى غيرهم، وعليه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معناها الاصطلاحي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المقصود من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في معناها الأصلي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نظماً أو نثراً بقرينة اتّباع الغاوين؛ إذ لو اُريد منها المعنى الذي غلب استعماله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 النظم والكلام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لاتّباع الغاوين معنى واضح، فبقرينة الاتّباع المذكور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الشاعر الذي أنشأ النظم أو أنشده، فيشمل المبطلين والفقهاء المذكورين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إليه يؤول المحكيّ عن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شمول الشعراء للّذين صناعتهم الشعر وللمبطلين والمغيّرين لدين الله؛ فإنّ حجج المبطلين من أهل الجدل أكثرها خيالات شعرية لاحقيقة لها، وتمويهات لا طائل تحتها كأقاويل الشعراء، فكلا الفريقين سيّان في أنّهم في كلّ واد يهيمون وأنّهم يقولون ما لا يفعلون، إلاّ أنّ ذكر اتّباع الغاوين إنّما هو بالنظر </w:t>
      </w:r>
      <w:bookmarkStart w:id="330" w:name="pg17323_406141"/>
    </w:p>
    <w:p>
      <w:pPr>
        <w:pStyle w:val="BookText"/>
        <w:rPr/>
      </w:pPr>
      <w:bookmarkEnd w:id="330"/>
      <w:r>
        <w:rPr>
          <w:rFonts w:ascii="Amiri" w:hAnsi="Amiri" w:eastAsia="Amiri" w:cs="Amiri"/>
          <w:color w:val="111111"/>
          <w:sz w:val="28"/>
          <w:sz w:val="28"/>
          <w:szCs w:val="28"/>
          <w:rtl w:val="true"/>
          <w:lang w:bidi="ar-SA"/>
        </w:rPr>
        <w:t>إلى من له رئاسة في الإضلال من أهل المذاهب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الكلام خروج عن طريقة فهم الألفاظ؛ لأنّ غاية الأمر جواز استعمال اللفظ في معنى عامّ يشمل المعنيين، ومع ذلك فيتبع متعلّقات ذلك اللفظ لما اُريد منه بمعنى مناسب للقدر المشترك، وأمّا جعل بعض متعلّقاته راجعاً إلى أحد المعنيين الأوّليّين دون الآخر فليس من طريقة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فالأنسب فيما رامه من التوفيق أن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عامّ يشمل صاحبي صناعة الشعر والمبطلين من أهل الجدل، والاتّباع على مجرّد الإصغاء والاستماع والركون إليه،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لا خصوص الاتّباع من حيث الرئاسة والمرؤوسية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الاحتمال الثاني أظهر؛ لعدم لزوم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غلب استعماله فيه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876030_1280447820"/>
      <w:bookmarkStart w:id="332" w:name="_Toc120"/>
      <w:bookmarkEnd w:id="331"/>
      <w:r>
        <w:rPr>
          <w:rtl w:val="true"/>
        </w:rPr>
        <w:t>تنبيهات</w:t>
      </w:r>
      <w:r>
        <w:rPr>
          <w:rtl w:val="true"/>
        </w:rPr>
        <w:t>:</w:t>
      </w:r>
      <w:bookmarkEnd w:id="332"/>
    </w:p>
    <w:p>
      <w:pPr>
        <w:pStyle w:val="Heading5"/>
        <w:numPr>
          <w:ilvl w:val="4"/>
          <w:numId w:val="1"/>
        </w:numPr>
        <w:rPr/>
      </w:pPr>
      <w:bookmarkStart w:id="333" w:name="__RefHeading___Toc876032_1280447820"/>
      <w:bookmarkStart w:id="334" w:name="_Toc121"/>
      <w:bookmarkEnd w:id="333"/>
      <w:r>
        <w:rPr>
          <w:rtl w:val="true"/>
        </w:rPr>
        <w:t>التنبيه الأوّل</w:t>
      </w:r>
      <w:r>
        <w:rPr>
          <w:rtl w:val="true"/>
        </w:rPr>
        <w:t xml:space="preserve">: </w:t>
      </w:r>
      <w:r>
        <w:rPr>
          <w:rtl w:val="true"/>
        </w:rPr>
        <w:t>في حكم استماع الأشعار</w:t>
      </w:r>
      <w:bookmarkEnd w:id="334"/>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المكروه أو الحرام هو إنشاد الشعر وقراءته، وأمّا الاستماع فلا يكون كذلك إلاّ إذا صدق عليه عنوان محرّم كالغيبة فيحرم الاستماع، أو كان منكراً من المنكرات فيجب النهي ولو بترك الوقوف والاستماع؛ وذلك لعدم صدق قراءة الشعر وإنشاده على مجرّد الاستماع، وموضوع الأخبار هو قراءة الشعر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الاستماع موجباً للتأثّر والاتّباع فلا يبعد القول بالمنع عنه؛ لشمول قوله </w:t>
      </w:r>
      <w:bookmarkStart w:id="335" w:name="pg17323_406142"/>
    </w:p>
    <w:p>
      <w:pPr>
        <w:pStyle w:val="BookText"/>
        <w:rPr/>
      </w:pPr>
      <w:bookmarkEnd w:id="335"/>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فتدبّر جيّداً</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876034_1280447820"/>
      <w:bookmarkStart w:id="337" w:name="_Toc122"/>
      <w:bookmarkEnd w:id="336"/>
      <w:r>
        <w:rPr>
          <w:rtl w:val="true"/>
        </w:rPr>
        <w:t>التنبيه الثاني</w:t>
      </w:r>
      <w:r>
        <w:rPr>
          <w:rtl w:val="true"/>
        </w:rPr>
        <w:t xml:space="preserve">: </w:t>
      </w:r>
      <w:r>
        <w:rPr>
          <w:rtl w:val="true"/>
        </w:rPr>
        <w:t>في أنّ اتّصاف الأشعار بالمرجوحية من جهة اشتمالها على الباطل فقط أو مع ضميمية النظم والوزن</w:t>
      </w:r>
      <w:bookmarkEnd w:id="337"/>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اتّصاف الشعر بالمرجوحية في موارد المرجوحية هو من جهة اشتماله على الباطل فقط، أو من جهة كونه كذلك مع ضميمة دخالة النظم والوزن‌؟</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الوزن والنظم لا يكونان مرجوحين، 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ارتفاع المرجوحية فيما إذا كان محتواه حقّاً ومدحاً ورثاءً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للوزن والنظم مدخلية في سرعة نشر الباطل وإشاعته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بمرجوحية النثر بمجرّد مماثلته للشعر في الاحتواء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التعدّي؛ لاحتمال مدخلية النظم والوزن في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مدلول النثر ضلالةً وإضلالاً حرمت قراءته ونشره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مذمومية الشعر أو حرمته أو جوازه ورجحانه بين أن يكون المنشد له رجلاً أو امرأة؛ وذلك لإطلاق أدلّة ذمّ الشعر أو رجحانه، فلا وجه للتفصيل بينهما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يوجد عدد من النساء المسلمات الشواعر، وقد تلقّى العلماء والمتديّنون أشعارهنّ المحتوية على الحقّ والمدح والرثاء لأهل البيت عليهم السلام بالقبول، أو الردّ لو لم يكن محتواها ذلك</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7323_406144"/>
      <w:bookmarkStart w:id="339" w:name="pg17323_406144"/>
      <w:bookmarkEnd w:id="339"/>
    </w:p>
    <w:p>
      <w:pPr>
        <w:pStyle w:val="Heading2"/>
        <w:numPr>
          <w:ilvl w:val="1"/>
          <w:numId w:val="1"/>
        </w:numPr>
        <w:rPr/>
      </w:pPr>
      <w:bookmarkStart w:id="340" w:name="pg17323_406144"/>
      <w:bookmarkStart w:id="341" w:name="__RefHeading___Toc876036_1280447820"/>
      <w:bookmarkStart w:id="342" w:name="_Toc123"/>
      <w:bookmarkEnd w:id="340"/>
      <w:bookmarkEnd w:id="341"/>
      <w:r>
        <w:rPr>
          <w:rtl w:val="true"/>
        </w:rPr>
        <w:t xml:space="preserve">المسألة الخامسة والثلاثون </w:t>
      </w:r>
      <w:r>
        <w:rPr>
          <w:rtl w:val="true"/>
        </w:rPr>
        <w:t>«</w:t>
      </w:r>
      <w:r>
        <w:rPr>
          <w:rtl w:val="true"/>
        </w:rPr>
        <w:t>في العجب</w:t>
      </w:r>
      <w:r>
        <w:rPr>
          <w:rtl w:val="true"/>
        </w:rPr>
        <w:t>»</w:t>
      </w:r>
      <w:bookmarkEnd w:id="342"/>
    </w:p>
    <w:p>
      <w:pPr>
        <w:pStyle w:val="Heading3"/>
        <w:numPr>
          <w:ilvl w:val="2"/>
          <w:numId w:val="1"/>
        </w:numPr>
        <w:rPr/>
      </w:pPr>
      <w:bookmarkStart w:id="343" w:name="__RefHeading___Toc876038_1280447820"/>
      <w:bookmarkStart w:id="344" w:name="_Toc124"/>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ويقع الكلام في عدّة جهات</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876040_1280447820"/>
      <w:bookmarkStart w:id="346" w:name="_Toc125"/>
      <w:bookmarkEnd w:id="345"/>
      <w:r>
        <w:rPr>
          <w:rtl w:val="true"/>
        </w:rPr>
        <w:t>الجهة الاُولى</w:t>
      </w:r>
      <w:r>
        <w:rPr>
          <w:rtl w:val="true"/>
        </w:rPr>
        <w:t xml:space="preserve">: </w:t>
      </w:r>
      <w:r>
        <w:rPr>
          <w:rtl w:val="true"/>
        </w:rPr>
        <w:t>في تعريف العجب المذموم</w:t>
      </w:r>
      <w:bookmarkEnd w:id="346"/>
    </w:p>
    <w:p>
      <w:p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يرى المرء نفسه غير مقصّر في مقام العبودية؛ ومؤدّياً لحقّ الربوبية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تعريف للشيء ببعض مصاديقه أو مراتبه؛ لأنّ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أفاد في جامع السعادات</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استعظام نفسه لأجل ما يرى لها من صفة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التعريف السابق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عمّم السيّد المحقّق الخوئي قدس سره تعريفه في باب الوضوء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إعظام العمل واعتقاد أنّه عظيم؛ إمّا لكيفيتّه، وإمّا </w:t>
      </w:r>
      <w:bookmarkStart w:id="347" w:name="pg17323_406145"/>
    </w:p>
    <w:p>
      <w:pPr>
        <w:pStyle w:val="BookText"/>
        <w:rPr/>
      </w:pPr>
      <w:bookmarkEnd w:id="347"/>
      <w:r>
        <w:rPr>
          <w:rFonts w:ascii="Amiri" w:hAnsi="Amiri" w:eastAsia="Amiri" w:cs="Amiri"/>
          <w:color w:val="111111"/>
          <w:sz w:val="28"/>
          <w:sz w:val="28"/>
          <w:szCs w:val="28"/>
          <w:rtl w:val="true"/>
          <w:lang w:bidi="ar-SA"/>
        </w:rPr>
        <w:t>لكميّته، وإمّا من جهة صدوره منه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العجب ليس بمساو للكبر؛ لعدم اعتبار رؤية نفسه فوق الغير في هذا الكمال وهذه النعمة في مفهومه، بخلاف الكبر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يرى لنفسه مزيّة على غيره في صفة كمال</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فالعجب إمّا متأخّر عن العمل أو مقارن له</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76042_1280447820"/>
      <w:bookmarkStart w:id="349" w:name="_Toc126"/>
      <w:bookmarkEnd w:id="348"/>
      <w:r>
        <w:rPr>
          <w:rtl w:val="true"/>
        </w:rPr>
        <w:t>الجهة الثانية</w:t>
      </w:r>
      <w:r>
        <w:rPr>
          <w:rtl w:val="true"/>
        </w:rPr>
        <w:t xml:space="preserve">: </w:t>
      </w:r>
      <w:r>
        <w:rPr>
          <w:rtl w:val="true"/>
        </w:rPr>
        <w:t>في ذمّه</w:t>
      </w:r>
      <w:bookmarkEnd w:id="34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شبهة في قبح صفة العجب تكويناً، بل كشفها عن خفّة عقل صاحبها؛ ضرورة أنّ العاقل الكيّس متى لاحظ وفور نعم الباري تعالى البالغة من الكثرة حدّاً لاتحصى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أبرزها نعمة الوجود، ثمّ النعم الظاهرية والباطنية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نفسه عاجزاً عن أداء شكر واحدة منها، كيف وهو ممكن لايزال يستمدّ القوى من بارئه، ولا يستغني عنه طرفة عين، بل يفتقر إليه في جميع حالاته حتّى حالة التصدّي للشكر، فيحتاج إلى شكر آخر، فيتسلسل‌؟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تعرف أنّه لو استغرق في العبادة طيلة حياته واستوعبت ليله ونهاره؛ لم يكن يقابل نعمة من نعمه الجزيلة، فكيف وهو لا يتشاغل بها إلاّ في بضع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فإعجابه بعبادته الضئيلة التي استمدّ مبادئها منه تعالى، والحقيرة تجاه تلكم النعمة العظيمة، وهو بهذه المثابة من العجز بحيث لا يستطيع من أداء شكر نعمة الوجود فقط، فضلاً عن سائر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القبح والوهن، بل لا يكاد يجتمع مع سلامة العقل، إلاّ إذا فرض محالاً أنّه واجب الوجودثان، فلعلّ مثله يتمكّن من أداء شكره؛ </w:t>
      </w:r>
    </w:p>
    <w:p>
      <w:pPr>
        <w:pStyle w:val="BookText"/>
        <w:rPr/>
      </w:pPr>
      <w:r>
        <w:rPr>
          <w:rFonts w:ascii="Amiri" w:hAnsi="Amiri" w:eastAsia="Amiri" w:cs="Amiri"/>
          <w:color w:val="111111"/>
          <w:sz w:val="28"/>
          <w:sz w:val="28"/>
          <w:szCs w:val="28"/>
          <w:rtl w:val="true"/>
          <w:lang w:bidi="ar-SA"/>
        </w:rPr>
        <w:t>لعدم انتساب وجوده إليه تعالى</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مطلق الإعجاب فهو أيضاً كذلك؛ لعدم الاطّلاع على قبول العمل؛ إذ يمكن أن تمنع عنه بعض الاُمور الخفيّة، كما ورد أنّ نيّة السوء لمؤمن تمنع عن قبول الأعمال، هذا مضافاً إلى عدم إحراز حسن العاقبة، وعدم الاطمئنان بدوام ما رآه حسناً وبقائه، ومعه كيف نطمئنّ بالأعمال ونتوكّأعليها؟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النراقي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كلّ العَجَب ممّن يعجب بعمله وهو لا يدري بِمَ يختم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اُعجب بنفسه وفعله فقد ضلّ عن نهج الرشاد، وادّعى ما ليس له، والمدّعي من غير حقّ كاذب وإن أخفى دعواه وطال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أوّل ما يفعل بالمعجب نزع ما اُعجب به؛ ليعلم أنّه عاجز حقير، ويشهد على نفسه؛ ليكون الحجّة عليه أوكد، كما فعل بإبليس</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الكليني في الكافي عن أبى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سيّئة تسوؤك خير عند الله من حسنة تعجبك</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فالإعجاب يوجب انقلاب الحسنة إلى ما يكون أدون من السيّئة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المسيح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الحواريّين، كم من سراج أطفاه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عابد أفسده العجب</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350" w:name="pg17323_406147"/>
    </w:p>
    <w:p>
      <w:pPr>
        <w:pStyle w:val="BookText"/>
        <w:rPr/>
      </w:pPr>
      <w:bookmarkEnd w:id="350"/>
      <w:r>
        <w:rPr>
          <w:rFonts w:ascii="Amiri" w:hAnsi="Amiri" w:eastAsia="Amiri" w:cs="Amiri"/>
          <w:color w:val="111111"/>
          <w:sz w:val="28"/>
          <w:sz w:val="28"/>
          <w:szCs w:val="28"/>
          <w:rtl w:val="true"/>
          <w:lang w:bidi="ar-SA"/>
        </w:rPr>
        <w:t>وفي صحيحة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ولا يحسد بعضكم بعضاً؛ إنّ عيسى بن مريم عليه السلام كان من شرائعه السيح في البلاد، فخرج في بعض سيحه ومعه رجل من أصحابه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اللزوم لعيسى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عيسى عليه السلام إلى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بصحّة يقين منه، فمشى على ظهر الماء، فقال الرجل القصير حين نظر إلى عيسى عليه السلام جازه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بصحّة يقين منه، فمشى على الماء ولحق بعيسى عليه السلام، فدخله العجب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عيسى روح الله يمشي على الماء وأنا أمشي على الماء، فما فضله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فرمي في الماء فاستغاث بعيسى عليه السلام، فتناوله من الماء فأخرجه،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يا 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روح الله يمشي على الماء وأنا أمشي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فدخلني من ذلك عجب، فقال له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نفسك في غير الموضع الذي وضعك الله فيك، فمقتك الله على ما قلت، إلى الله عزّ وجلّ ممّا قلت، فتاب الرجل وعاد إلى مرتبته التي وضعه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فلاإشكال في كون العجب مذموماً ومنقصة بجميع مراتبه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876044_1280447820"/>
      <w:bookmarkStart w:id="352" w:name="_Toc127"/>
      <w:bookmarkEnd w:id="351"/>
      <w:r>
        <w:rPr>
          <w:rtl w:val="true"/>
        </w:rPr>
        <w:t>الجهة الثالثة</w:t>
      </w:r>
      <w:r>
        <w:rPr>
          <w:rtl w:val="true"/>
        </w:rPr>
        <w:t xml:space="preserve">: </w:t>
      </w:r>
      <w:r>
        <w:rPr>
          <w:rtl w:val="true"/>
        </w:rPr>
        <w:t>في حرمة العجب</w:t>
      </w:r>
      <w:bookmarkEnd w:id="352"/>
    </w:p>
    <w:p>
      <w:pPr>
        <w:pStyle w:val="Heading4"/>
        <w:numPr>
          <w:ilvl w:val="3"/>
          <w:numId w:val="1"/>
        </w:numPr>
        <w:rPr/>
      </w:pPr>
      <w:bookmarkStart w:id="353" w:name="__RefHeading___Toc876046_1280447820"/>
      <w:bookmarkStart w:id="354" w:name="_Toc128"/>
      <w:bookmarkEnd w:id="353"/>
      <w:r>
        <w:rPr>
          <w:rtl w:val="true"/>
        </w:rPr>
        <w:t>اشارة</w:t>
      </w:r>
      <w:bookmarkEnd w:id="35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حكمه تشريعاً فلا ينبغي التأمّل في حرمته؛ لأوله إلى هتك حرمة المولى وتحقير نِعمه؛ إذ المعجب بعمله يرى نفسه غير مقصّر تجاه نعم ربّه؛ لأنّه قد أتى بما يساويها أو يزيد عليها، 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له تعالى عليه، وهو من أعظم الكبائر والجرائم على أنّ النصوص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على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الكليني بإسناد عن أبي عبيدة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المؤمنين لمن يجتهد في عبادتي، فيقوم من رُقاده ولذيذ وساده، فيجتهد لي الليالي، فيتعب نفسه في عبادتي فأضربه بالنعاس الليلة والليلتين؛ نظراً منّي له، وإبقاءً عليه، فينام حتّى يصبح، فيقوم وهو ماقت لنفسه زارى لنفسه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اُخلّي بينه وبين ما يريد من عبادتي لدخله العجب من ذلك، فيصيّره العجب إلى الفتنة بأعماله، فيأتيه من ذلك ما فيه هلاكه؛ لعجبه بأعماله، ورضاه عن نفسه، حتّى يظنّ أنّه قد فاق العابدين، وجاز في عبادته حدّ التقصير، فيتباعد منّي عند ذلك وهو يظنّ أنّه يتقرّب إلىّ‌</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وإن كانت واضحة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 مظانّاً للفتنة والهلاك والتباعد عن المبدأ المتعال؛ لأنّها من علائم كبيرة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السند ضعيف؛ لاشتماله على داود ابن كثير الرقّي الذي تعارض فيه التوثيق والتضعيف، فلا يمكن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وهو خائف مشفق، ثمّ يعمل شيئاً من البرّ فيدخله شبه العجب‌؟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حاله الاُولى وهو خائف أحسن حالاً منه في حال عجبه</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واضحة الدلالة؛ لأنّ مفادها أنّ المعصية مع الخوف أهون من العبادة مع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مع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معتبرة السند؛ إذ ليس فيه من يتأمّل فيه ما عدا محمّد بن عيسى العبيدي الذي استثناه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لشيخه‌؟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يونس، لكنّك عرفت غير مرّة ما في </w:t>
      </w:r>
      <w:bookmarkStart w:id="355" w:name="pg17323_406149"/>
    </w:p>
    <w:p>
      <w:pPr>
        <w:pStyle w:val="BookText"/>
        <w:rPr/>
      </w:pPr>
      <w:bookmarkEnd w:id="355"/>
      <w:r>
        <w:rPr>
          <w:rFonts w:ascii="Amiri" w:hAnsi="Amiri" w:eastAsia="Amiri" w:cs="Amiri"/>
          <w:color w:val="111111"/>
          <w:sz w:val="28"/>
          <w:sz w:val="28"/>
          <w:szCs w:val="28"/>
          <w:rtl w:val="true"/>
          <w:lang w:bidi="ar-SA"/>
        </w:rPr>
        <w:t>هذا الاستثناء، وأنّه محكوم بالتوثيق،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ينبغي التأمّل في أنّ الإعجاب مبغوض عقلاً ومحرّم شرعاً، بل قد عدّ من المهلكات فيما رواه الصدوق بإسناده عن أبي حمزة الثمالي</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أفاد وأجاد ولكن مع ذلك لا يخلو كلامه عن بعض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داود الرقّي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فيه التوثيق والتضعيف، فلا يمكن التعويل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حيث إنّ التضعيف فيه ناشئ من رميه بالغلوّ وفساد المذهب، وفي مثله يقدّم التوثيق على التضعيف؛ لأنّ الغلوّ وفساد المذهب لا ينافيان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الغلوّ في ذلك العصر ربّما يتوهّم تحقّقه بما لم يكن غلوّاً، كما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الروايات أعمّ ممّا ذكره؛ لعدم اختصاصه بما إذا يرى نفسه غير مقصّر في مقام العبودية، وإن كان الخبر الأوّل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تلك</w:t>
      </w:r>
    </w:p>
    <w:p>
      <w:pPr>
        <w:pStyle w:val="Heading4"/>
        <w:numPr>
          <w:ilvl w:val="3"/>
          <w:numId w:val="1"/>
        </w:numPr>
        <w:rPr/>
      </w:pPr>
      <w:bookmarkStart w:id="356" w:name="__RefHeading___Toc876048_1280447820"/>
      <w:bookmarkStart w:id="357" w:name="_Toc129"/>
      <w:bookmarkEnd w:id="356"/>
      <w:r>
        <w:rPr>
          <w:rtl w:val="true"/>
        </w:rPr>
        <w:t>الروايات</w:t>
      </w:r>
      <w:r>
        <w:rPr>
          <w:rtl w:val="true"/>
        </w:rPr>
        <w:t>:</w:t>
      </w:r>
      <w:bookmarkEnd w:id="357"/>
    </w:p>
    <w:p>
      <w:pPr>
        <w:pStyle w:val="Heading5"/>
        <w:numPr>
          <w:ilvl w:val="4"/>
          <w:numId w:val="1"/>
        </w:numPr>
        <w:rPr/>
      </w:pPr>
      <w:bookmarkStart w:id="358" w:name="__RefHeading___Toc876050_1280447820"/>
      <w:bookmarkStart w:id="359" w:name="_Toc130"/>
      <w:bookmarkEnd w:id="358"/>
      <w:r>
        <w:rPr>
          <w:rtl w:val="true"/>
        </w:rPr>
        <w:t>أحدها</w:t>
      </w:r>
      <w:r>
        <w:rPr>
          <w:rtl w:val="true"/>
        </w:rPr>
        <w:t xml:space="preserve">: </w:t>
      </w:r>
      <w:r>
        <w:rPr>
          <w:rtl w:val="true"/>
        </w:rPr>
        <w:t>صحيحة أبي حمزة الثمالي</w:t>
      </w:r>
      <w:bookmarkEnd w:id="35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حمزة الثمالي عن أبي عبدالله عليه السلام أو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 وثلاث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المنجيات‌؟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 في السرّ كأنّك تراه؛ فإن لم تكن تراه فإنّه يراك والعدل في الرضا والغضب، والقصد في الغنى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المهلكات‌؟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متّبع، وشحّ مطاع، وإعجاب المرء بنفسه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مقتضى عدم تقييده بشيء هو التعميم، فلا يختصّ ذلك بما ذكره السيّد المحقّق الخوئي قدس سره، فإعجاب المرء بنفسه مطلقاً من المهلكات والمحرّمات</w:t>
      </w:r>
      <w:r>
        <w:rPr>
          <w:rFonts w:eastAsia="Amiri" w:cs="Amiri" w:ascii="Amiri" w:hAnsi="Amiri"/>
          <w:color w:val="111111"/>
          <w:sz w:val="28"/>
          <w:szCs w:val="28"/>
          <w:rtl w:val="true"/>
          <w:lang w:bidi="ar-SA"/>
        </w:rPr>
        <w:t xml:space="preserve">. </w:t>
      </w:r>
      <w:bookmarkStart w:id="360" w:name="pg17323_406150"/>
    </w:p>
    <w:p>
      <w:pPr>
        <w:pStyle w:val="Heading5"/>
        <w:numPr>
          <w:ilvl w:val="4"/>
          <w:numId w:val="1"/>
        </w:numPr>
        <w:rPr/>
      </w:pPr>
      <w:bookmarkStart w:id="361" w:name="__RefHeading___Toc876052_1280447820"/>
      <w:bookmarkStart w:id="362" w:name="_Toc131"/>
      <w:bookmarkEnd w:id="360"/>
      <w:bookmarkEnd w:id="361"/>
      <w:r>
        <w:rPr>
          <w:rtl w:val="true"/>
        </w:rPr>
        <w:t>ثانيها</w:t>
      </w:r>
      <w:r>
        <w:rPr>
          <w:rtl w:val="true"/>
        </w:rPr>
        <w:t xml:space="preserve">: </w:t>
      </w:r>
      <w:r>
        <w:rPr>
          <w:rtl w:val="true"/>
        </w:rPr>
        <w:t>ما رواه المفيد في الأمالي</w:t>
      </w:r>
      <w:bookmarkEnd w:id="36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المفيد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الجليل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الكليني، عن علىّ بن إبراهيم، عن محمّد بن عيسى اليقطيني، عن يونس بن عبد الرحمان، عن سعدان بن مسلم،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موسى عليه السلام جالس إذ أقبل إبليس وعليه برنس ذو ألوان، فلمّا دنا من موسى عليه السلام خلع البرنس وقام إلى موسى فسلّم عليه،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قرّب الله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إنّما جئت لاُسلّم عليك لمكانك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به قلوب بني آدم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بالذنب الذي إذا أذنبه إبن آدم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واستكثر عمله، وصغر في عينه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وأنذر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اُبشّر المذنبين واُنذر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أنّي أقبل التوبة وأعفو عن الذنب، وأنذر الصدّيقين أن لا يعجبوا بأعمالهم؛ فإنّه ليس عبد أنصبه للحساب إلاّ هلك</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وقدعبّر فيها عن مطلق إعجاب المرء بنفسه بالذنب، هذا مضافاً إلى أنّ المستفاد منها أنّه من المهلكات وممّا يوجب استحواذ الشيطان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اليقطيني وإن ضعّفه بعض، ولكنّه لا يقاوم توثيق الآخرين له؛ من جهة أنّ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رميه بالغلوّ</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سعدان بن مسلم هو ممّن روى عنه صفوان، كما حكي عن الفهرست بسند فيه </w:t>
      </w:r>
      <w:bookmarkStart w:id="363" w:name="pg17323_406151"/>
    </w:p>
    <w:p>
      <w:pPr>
        <w:pStyle w:val="BookText"/>
        <w:rPr/>
      </w:pPr>
      <w:bookmarkEnd w:id="363"/>
      <w:r>
        <w:rPr>
          <w:rFonts w:ascii="Amiri" w:hAnsi="Amiri" w:eastAsia="Amiri" w:cs="Amiri"/>
          <w:color w:val="111111"/>
          <w:sz w:val="28"/>
          <w:sz w:val="28"/>
          <w:szCs w:val="28"/>
          <w:rtl w:val="true"/>
          <w:lang w:bidi="ar-SA"/>
        </w:rPr>
        <w:t>ابن بُطّة، وعن النجاشي والخلاصة أنّ ابن بطّة كبير المنزلة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جعفر بن بطّة ضعيفاً مخلّطاً فيما 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مخلّطاً لا يضرّ بوثاقته؛ وذلك لاحتمال أن يكون وصف ابن الوليد إيّاه بالضعف ناظراً إلى ضعفه في الرواية لا في الوثاقة، ومع هذا الاحتمال لا يكون معارضاً مع ما في رجال النجاشي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المنزلة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تغفل</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876054_1280447820"/>
      <w:bookmarkStart w:id="365" w:name="_Toc132"/>
      <w:bookmarkEnd w:id="364"/>
      <w:r>
        <w:rPr>
          <w:rtl w:val="true"/>
        </w:rPr>
        <w:t>ثالثها</w:t>
      </w:r>
      <w:r>
        <w:rPr>
          <w:rtl w:val="true"/>
        </w:rPr>
        <w:t xml:space="preserve">: </w:t>
      </w:r>
      <w:r>
        <w:rPr>
          <w:rtl w:val="true"/>
        </w:rPr>
        <w:t>صحيحة أبي حمزة الثمالي</w:t>
      </w:r>
      <w:bookmarkEnd w:id="36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الثمالي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لمن يسألني الشيء من طاعتي لأحبّه، فأصرف ذلك عنه؛ لكيلا يعجبه عمله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مطلق، ولا يتقيّد بما ذكره السيّد المحقّق الخوئي قدس سره وهو بإطلاقه يدلّ على مبغوضية العجب</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876056_1280447820"/>
      <w:bookmarkStart w:id="367" w:name="_Toc133"/>
      <w:bookmarkEnd w:id="366"/>
      <w:r>
        <w:rPr>
          <w:rtl w:val="true"/>
        </w:rPr>
        <w:t>رابعها</w:t>
      </w:r>
      <w:r>
        <w:rPr>
          <w:rtl w:val="true"/>
        </w:rPr>
        <w:t xml:space="preserve">: </w:t>
      </w:r>
      <w:r>
        <w:rPr>
          <w:rtl w:val="true"/>
        </w:rPr>
        <w:t>صحيحة علي بن سويد</w:t>
      </w:r>
      <w:bookmarkEnd w:id="367"/>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سويد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الذي يفسد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للعبد سوء عمله فيراه حسناً فيعجبه، ويحسب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العبد بربّه، فيمنّ على الله عزّ وجلّ‌، ولله عليه فيه المنّ‌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الصحيحة تدلّ على درجات العجب ومراتبه، والإدلال من تلك المراتب كما أنّ توهّم حسن العمل السيّئ منها، والموردان مذكوران في الرواية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فهي تدلّ على مفروغية كون العجب موجباً لفساد العمل، وأنّه لا إشكال في كون ما ذكر فيها من مراتب الضلالة والهلاكه</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876058_1280447820"/>
      <w:bookmarkStart w:id="369" w:name="_Toc134"/>
      <w:bookmarkEnd w:id="368"/>
      <w:r>
        <w:rPr>
          <w:rtl w:val="true"/>
        </w:rPr>
        <w:t>خامسها</w:t>
      </w:r>
      <w:r>
        <w:rPr>
          <w:rtl w:val="true"/>
        </w:rPr>
        <w:t xml:space="preserve">: </w:t>
      </w:r>
      <w:r>
        <w:rPr>
          <w:rtl w:val="true"/>
        </w:rPr>
        <w:t>صحيحة يونس بن عمّار</w:t>
      </w:r>
      <w:bookmarkEnd w:id="36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يونس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وأنا حاضر</w:t>
      </w:r>
      <w:r>
        <w:rPr>
          <w:rFonts w:eastAsia="Amiri" w:cs="Amiri" w:ascii="Amiri" w:hAnsi="Amiri"/>
          <w:color w:val="111111"/>
          <w:sz w:val="28"/>
          <w:szCs w:val="28"/>
          <w:rtl w:val="true"/>
          <w:lang w:bidi="ar-SA"/>
        </w:rPr>
        <w:t xml:space="preserve">: </w:t>
      </w:r>
      <w:bookmarkStart w:id="370" w:name="pg17323_406152"/>
    </w:p>
    <w:p>
      <w:pPr>
        <w:pStyle w:val="BookText"/>
        <w:rPr/>
      </w:pPr>
      <w:bookmarkEnd w:id="370"/>
      <w:r>
        <w:rPr>
          <w:rFonts w:ascii="Amiri" w:hAnsi="Amiri" w:eastAsia="Amiri" w:cs="Amiri"/>
          <w:color w:val="111111"/>
          <w:sz w:val="28"/>
          <w:sz w:val="28"/>
          <w:szCs w:val="28"/>
          <w:rtl w:val="true"/>
          <w:lang w:bidi="ar-SA"/>
        </w:rPr>
        <w:t>الرجل يكون في صلاته خالياً، فيدخله العجب‌؟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أوّل صلاته بنيّة يريد بها ربّه فلا يضرّه ما دخله بعد ذلك، فليمضِ في صلاته وليخسأ الشيطان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مفروغية أنّ العجب المقارن يضرّ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تحمل على أنّ العجب موجب لنقص كمالها، وسيجيء وجهه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876060_1280447820"/>
      <w:bookmarkStart w:id="372" w:name="_Toc135"/>
      <w:bookmarkEnd w:id="371"/>
      <w:r>
        <w:rPr>
          <w:rtl w:val="true"/>
        </w:rPr>
        <w:t>سادسها</w:t>
      </w:r>
      <w:r>
        <w:rPr>
          <w:rtl w:val="true"/>
        </w:rPr>
        <w:t xml:space="preserve">: </w:t>
      </w:r>
      <w:r>
        <w:rPr>
          <w:rtl w:val="true"/>
        </w:rPr>
        <w:t>ما رواه في الخصال</w:t>
      </w:r>
      <w:bookmarkEnd w:id="372"/>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الخصال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عن أبيه، عن حمّاد بن عيسى، عمّن ذكره،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 السلام 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والعجب، وسوء الخلق، وقلّة الصبر؛ فإنّه لا يستقيم لك على هذه الخصال الثلاث صاحب، ولا يزال لك عليها من الناس مجانب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بالنسبة لنا، وإن كان غير مرسل عند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التعبير بالذنب عن العجب، وأنّه من المهلكات، وأنّه يحتاج إلى التوبة، وأنّه من مظانّ الفتنة والتباعد عن الله تعالى، وغير ذلك من التعبيرات، يدلّ على حرمة مطلق الإعجاب، فاللازم هو الاجتناب عنه مطلقاً، ولا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موضوع تلك الأخبار هو مطلق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لحمله على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 للعجب درجات فإنّ ملاك الحرمة يكون متفاوتاً بحسبها، فتأمّل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العجب يوجب الابتلاء باُمور تنتهي إلى الضلالة والجهل والكفر والبغى والظلم، وغير ذلك من المفاسد، كما روى في جامع السعادات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العجب نباتٌ حبّها الكفر، وأرضها النفاق، وماؤها البغي وأغصانها الجهل، وورقها الضلالة، وثمرها اللعنة والخلود في النار، فمن اختار العجب فقد بذر الكفر وزرع النفاق، ولابدّ أن </w:t>
      </w:r>
      <w:bookmarkStart w:id="373" w:name="pg17323_406153"/>
    </w:p>
    <w:p>
      <w:pPr>
        <w:pStyle w:val="BookText"/>
        <w:rPr/>
      </w:pPr>
      <w:bookmarkEnd w:id="373"/>
      <w:r>
        <w:rPr>
          <w:rFonts w:ascii="Amiri" w:hAnsi="Amiri" w:eastAsia="Amiri" w:cs="Amiri"/>
          <w:color w:val="111111"/>
          <w:sz w:val="28"/>
          <w:sz w:val="28"/>
          <w:szCs w:val="28"/>
          <w:rtl w:val="true"/>
          <w:lang w:bidi="ar-SA"/>
        </w:rPr>
        <w:t>يثمر</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يذهب عليك أنّ الاستبشار بالأعمال الحسنة ليس بعجب؛ لأنّه خال عن استعظام النفس من جهة الأعمال المذكورة، بل هو استعظام لله في إعطاء توفيق تحقّقه، وهو من علائم خير العباد، كما ورد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أحسنوا استبشروا</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فلاتغفل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محلّ الكلام وإن كان هو إعجاب المرء بعمله، ولكنّ إعجاب المرء برأيه وعقله أيضاً كذلك؛ لأنّه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 في أنّه من المهلكات؛ لأنّه إذا رأى نفسه أعقل الناس وترك مشاورتهم واستقلّ في أعماله برأيه، فلا محالة يقع في المهلكة والخسران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876062_1280447820"/>
      <w:bookmarkStart w:id="375" w:name="_Toc136"/>
      <w:bookmarkEnd w:id="374"/>
      <w:r>
        <w:rPr>
          <w:rtl w:val="true"/>
        </w:rPr>
        <w:t>الجهة الرابعه</w:t>
      </w:r>
      <w:r>
        <w:rPr>
          <w:rtl w:val="true"/>
        </w:rPr>
        <w:t xml:space="preserve">: </w:t>
      </w:r>
      <w:r>
        <w:rPr>
          <w:rtl w:val="true"/>
        </w:rPr>
        <w:t>في البطلان وعدمه</w:t>
      </w:r>
      <w:bookmarkEnd w:id="375"/>
    </w:p>
    <w:p>
      <w:pPr>
        <w:pStyle w:val="Heading4"/>
        <w:numPr>
          <w:ilvl w:val="3"/>
          <w:numId w:val="1"/>
        </w:numPr>
        <w:rPr/>
      </w:pPr>
      <w:bookmarkStart w:id="376" w:name="__RefHeading___Toc876064_1280447820"/>
      <w:bookmarkStart w:id="377" w:name="_Toc137"/>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والكلام فيه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العجب المقارن، وإمّا في العجب المتأخّر</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876066_1280447820"/>
      <w:bookmarkStart w:id="379" w:name="_Toc138"/>
      <w:bookmarkEnd w:id="378"/>
      <w:r>
        <w:rPr>
          <w:rtl w:val="true"/>
        </w:rPr>
        <w:t>العجب المقارن</w:t>
      </w:r>
      <w:bookmarkEnd w:id="37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العجب المقارن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السيّد المحقّق الخوئي قدس سره في باب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الأصحاب عدم كونه موجباً للبطلان؛ وذلك لأجل أنّ العجّب فعل نفسانيّ‌، والصلاة عمل خارجيّ فلا اتّحاد بينهما ليسري الفساد منه إليها، ولادليل على بطلان الصلاة المقرونة بذلك بعد صدورها عن نيّة خالصة كما هو المفروض، وعدم خلل في شي ممّا يعتبر فيها، فالصحّة إذاً مطابقة لمقتضى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ربّما يستفاد الفساد ممّا رواه في الكافي بإسناده عن عليّ بن سويد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380" w:name="pg17323_406154"/>
    </w:p>
    <w:p>
      <w:pPr>
        <w:pStyle w:val="BookText"/>
        <w:rPr/>
      </w:pPr>
      <w:bookmarkEnd w:id="380"/>
      <w:r>
        <w:rPr>
          <w:rFonts w:ascii="Amiri" w:hAnsi="Amiri" w:eastAsia="Amiri" w:cs="Amiri"/>
          <w:color w:val="111111"/>
          <w:sz w:val="28"/>
          <w:sz w:val="28"/>
          <w:szCs w:val="28"/>
          <w:rtl w:val="true"/>
          <w:lang w:bidi="ar-SA"/>
        </w:rPr>
        <w:t>عن العجب الذي يفسد العمل‌؟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للعبد سوء عمله فيراه حسناً فيعجبه، ويحسب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العبد بربّه، فيمنّ على الله عزّ وجلّ‌، ولله عليه فيه المنّ‌</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فإنّ السند صحيح؛ إذ الظاهر أنّ المراد بالراوي هو عليّ بن سويد السائي الذي وثّقه الشيخ من غير معارض، وقد دلّت على أنّ مفسدية العجب في الجملة أمر مسلّم مفروغ عنه عند الراوي، وقد أقرّه الإمام عليه السلام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أنّها غير دالّة على البطلان فيما نحن فيه؛ فإنّ الفساد في الدرجة الاُولى لم يطرأ على العمل الصحيح الذي هو محلّ الكلام، بل العمل كان فاسداً من الأوّل وإن حسب المعجب أنّه يحسن صنعاً، فتوصيف العجب بالمفسدية من قبيل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فم الركيّة،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لِيُذْهِبَ عَنْكُمُ اَلرِّجْسَ‌</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الدرجة الثانية فالفساد أيضاً واضح؛ ضرورة أنّ المنّ مبطل للعمل، كما يكشف عنه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المنّة إذا كانت مبطلة للصدقة المعطاة للفقير فكيف لا تبطل الإيمان بالله الغنيّ وأين هذا كلّه من الفساد الذي نتكلّم حوله من إعجاب المرء بعبادته بحيث يرى نفسه غير مقصّر في مقام العبودية ومؤدّياً لحقّ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مبغوض ومحرّم كما تقدّم، إلاّ أنّ إبطاله للعمل لا دليل عليه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876068_1280447820"/>
      <w:bookmarkStart w:id="382" w:name="_Toc139"/>
      <w:bookmarkEnd w:id="381"/>
      <w:r>
        <w:rPr>
          <w:rtl w:val="true"/>
        </w:rPr>
        <w:t>العجب المتأخّر</w:t>
      </w:r>
      <w:bookmarkEnd w:id="38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العجب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كونه موجباً للبطلان أظهر؛ وذلك لما تقدّم في الرياء اللاحق من عدم تأثيره في السابق؛ إذ الشيء لا ينقلب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السيّد المحقّق الخوئي في كتاب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السيّد صاحب العروة حكم بعدم بطلان العمل بالعجب المتأخّر، وهذا هو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الإجماع، إلاّ أنّ المحقّق الهمداني قدس سره نقل عن السيّد المعاصر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السيّد علىّ في كتابه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العبادة بالعجب المتأخّر فضلاً عن مقارنه؛ مستدّلاً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بظواهر الأخبار الواردة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باستحالة الشرط المتأخّر، وأنّ العمل بعدما وقع مطابقاً للأمر وبعدما حكم الشارع عليه بالصحّة يستحيل أن ينقلب عمّا وقع عليه بحدوث ذلك الأمر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ولكنّا ذكرنا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المتأخّر ممّا لا استحالة فيه، ولا مانع من اشتراط العمل بأمر متأخّر؛ لأنّ مرجعه إلى تقيّد العمل بأن يأتي بعده بأمر كذا، فالواجب هو الحصّة الخاصّة من العمل؛ وهو الذي يتعقّب بالشرط، فإذا اُتي بالعبادة ولم يتحقّق بعدها ذلك الشرط كشف هذا عن أنّ ما تحقّق لم تكن هى الحصّة الخاصّة المأمور بها، فلا محالة يقع باطلة، فالشرط المتأخّر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دلالة الدليل عليه في مقام الإثبات، والصحيح أنّه لا دليل على اشتراط العبادة بعدم العجب المتأخّر؛ لأنّ أكثر الأخبار ضعيفة سنداً، على أنّها قاصرة الدلالة على بطلان العبادة بالعجب، فلا يمكن الاعتماد عليها في الأحكام الشرعية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لو فرضناها صحيحة من حيث الدلالة والسند أيضاً لم نكن نلتزم ببطلان العبادة بالعجب المتأخّر؛ وذلك للقطع بعدم كونه مبطلاً، فلا مناص من تأويل تلك الأخبار وحملها على نفي الثواب؛ وذلك لأنّ العجب ليس بأعظم من الكفر المتأخّر، فلو أنّ المكلّف كفر ثمّ أسلم لم تجب عليه إعادة أعماله السابقة فضلاً عن قضائها؛ لأنّه لا يوجب بطلان الأعمال المتقدّمة، فكيف بالعجب المتأخّر؟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العجب يوجب </w:t>
      </w:r>
    </w:p>
    <w:p>
      <w:pPr>
        <w:pStyle w:val="BookText"/>
        <w:rPr/>
      </w:pPr>
      <w:r>
        <w:rPr>
          <w:rFonts w:ascii="Amiri" w:hAnsi="Amiri" w:eastAsia="Amiri" w:cs="Amiri"/>
          <w:color w:val="111111"/>
          <w:sz w:val="28"/>
          <w:sz w:val="28"/>
          <w:szCs w:val="28"/>
          <w:rtl w:val="true"/>
          <w:lang w:bidi="ar-SA"/>
        </w:rPr>
        <w:t>بطلان العبادة في مقام إعطاء الثواب، لا في مقام الامتثال حتّى تجب إعادته فضلاً عن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الواردة في المقام أيضاً لا دلالة لها على بطلان العبادة بالعجب المقارن فضلاً عن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تلك الأخبار، وبيّن عدم دلالتها، ومن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أبي حمزة الثمالي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وهوى متّبع، وإعجاب المرء بنفسه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في نظائرها أنّ إهلاك العجب بمعنى استلزامه لمثل التحقير لعبادة الغير أو التكبّر أو تحقير الله سبحانه أو غيرها، ولا دلالة لها على إبطال العمل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العلل عن النبّي صلى الله عليه وآله عن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إلىّ عبد بمثل أداء ما افترضت عليه، وإنّ من عبادي المؤمنين لمن يريد الباب من العبادة فأكفّه عنه؛ لئلاّ يدخله العجب فيفسده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لها على بطلان العمل بالعجب؛ لأنّه أسند الإفساد إلى نفس العامل بمعنى هلاكه، لا إلى العمل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مرويّة عن النبّي صلى الله عليه وآله بطريق لا يمكن الاعتماد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شيء من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العمل به مقارناً كان أو متأخّراً، وإنّما تدلّ على أنّه من الصفات الخبيثة المهلكة البالغة</w:t>
      </w:r>
    </w:p>
    <w:p>
      <w:pPr>
        <w:pStyle w:val="BookText"/>
        <w:rPr/>
      </w:pPr>
      <w:r>
        <w:rPr>
          <w:rFonts w:ascii="Amiri" w:hAnsi="Amiri" w:eastAsia="Amiri" w:cs="Amiri"/>
          <w:color w:val="111111"/>
          <w:sz w:val="28"/>
          <w:sz w:val="28"/>
          <w:szCs w:val="28"/>
          <w:rtl w:val="true"/>
          <w:lang w:bidi="ar-SA"/>
        </w:rPr>
        <w:t>بالإنسان إلى ما لا يرضى به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من الأخبار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رواه يونس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صلاته خالياً، فيدخله العجب‌؟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أوّل صلاته بنيّة يريد بها ربّه فلا يضرّه ما دخله بعد ذلك، فليمضِ في صلاته، وليخسأ الشيطان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قد يتوهّم دلالتها على بطلان العبادة بالعجب المقارن إذا كان في أوّلها؛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الدلالة، فلابدّ من حمل الرواية على معنى آخر؛ لعدم إمكان حملها على ظاهرها من جهة القرينة العقلية واللفظية، وأمّا القرينة العقلية فللقطع بأنّ العجب لو كان مبطلاً للعمل فلا يفرّق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تحقّقه أوّل العبادة، وبين حدوثه أثناءها، أو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القرينة اللفظية فهي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في صلاته، وليخسأ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العجب إذا تحقّق وقلنا بكونه مبطلاً للعمل فلامعنى للمضي فيه لإخساء الشيطان؛ لأنّه باطل على الفرض، وعليه فلابدّ من حملها على الوسوسة الطارئة على الإنسان بعد دخوله في العبادة، لأنّ الشيطان عدوّ عجيب للإنسان؛ فقد يجيء من قبل الوسوسة في أنّ العمل مقرون بالعجب، فهو باطل أو لا ثواب له، وقد أمر عليه السلام بالمضي في العمل وعدم الاعتناء به؛ ليخسأ الشيطان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المستمسك في توجيه عدم إبطال العجب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الذي يقتضيه الأصل بعد عدم الدليل على البطلان، وما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من المهلكات، وأنّه </w:t>
      </w:r>
      <w:bookmarkStart w:id="383" w:name="pg17323_406158"/>
    </w:p>
    <w:p>
      <w:pPr>
        <w:pStyle w:val="BookText"/>
        <w:rPr/>
      </w:pPr>
      <w:bookmarkEnd w:id="383"/>
      <w:r>
        <w:rPr>
          <w:rFonts w:ascii="Amiri" w:hAnsi="Amiri" w:eastAsia="Amiri" w:cs="Amiri"/>
          <w:color w:val="111111"/>
          <w:sz w:val="28"/>
          <w:sz w:val="28"/>
          <w:szCs w:val="28"/>
          <w:rtl w:val="true"/>
          <w:lang w:bidi="ar-SA"/>
        </w:rPr>
        <w:t xml:space="preserve">مانع عن صعود العمل إلى الله تعالى، ومانع من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البطلان؛ فإنّه أعمّ‌، وكذا ما يظهر من كثير منها من أنّه محرّم؛ فإنّه لا ينطبق على العمل ليوجب امتناع التقرّب به كما لا يخفى</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لا يبطل بالعجب المقارن؛ لما عرفت من عدم دلالة الأدلّة عليه، و لأنّ مقتضى الأصل هو عدم كونه مبطلاً، وإن كان الأحوط هو الإعادة أو القضاء لحكاية القول بالبطلان عن بعض المشايخ في الجواهر ومصباح الفقيه</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876070_1280447820"/>
      <w:bookmarkStart w:id="385" w:name="_Toc140"/>
      <w:bookmarkEnd w:id="384"/>
      <w:r>
        <w:rPr>
          <w:rtl w:val="true"/>
        </w:rPr>
        <w:t>الجهة الخامسة</w:t>
      </w:r>
      <w:r>
        <w:rPr>
          <w:rtl w:val="true"/>
        </w:rPr>
        <w:t xml:space="preserve">: </w:t>
      </w:r>
      <w:r>
        <w:rPr>
          <w:rtl w:val="true"/>
        </w:rPr>
        <w:t>في عدم إضرار العجب بصحة العمل</w:t>
      </w:r>
      <w:bookmarkEnd w:id="385"/>
    </w:p>
    <w:p>
      <w:pPr>
        <w:pStyle w:val="BookText"/>
        <w:rPr/>
      </w:pPr>
      <w:r>
        <w:rPr>
          <w:rFonts w:ascii="Amiri" w:hAnsi="Amiri" w:eastAsia="Amiri" w:cs="Amiri"/>
          <w:color w:val="111111"/>
          <w:sz w:val="28"/>
          <w:sz w:val="28"/>
          <w:szCs w:val="28"/>
          <w:rtl w:val="true"/>
          <w:lang w:bidi="ar-SA"/>
        </w:rPr>
        <w:t xml:space="preserve">إنّ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بصحّة العمل، ومع عدم إضراره بها يكون العمل الاستئجاري المأتي به بالعجب مسقطاً لذمّة المنوب عنه ومقرّباً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العجب يوجب إبطال الثواب أو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يضرّ ذلك بالعمل الاستئجاري أو لا؟</w:t>
      </w:r>
    </w:p>
    <w:p>
      <w:pPr>
        <w:pStyle w:val="BookText"/>
        <w:rPr/>
      </w:pPr>
      <w:r>
        <w:rPr>
          <w:rFonts w:ascii="Amiri" w:hAnsi="Amiri" w:eastAsia="Amiri" w:cs="Amiri"/>
          <w:color w:val="111111"/>
          <w:sz w:val="28"/>
          <w:sz w:val="28"/>
          <w:szCs w:val="28"/>
          <w:rtl w:val="true"/>
          <w:lang w:bidi="ar-SA"/>
        </w:rPr>
        <w:t>الظاهر هو الثاني؛ لأنّ النظر في الاستئجار إلى الإتيان بما يكون صحيحاً وموجباً لسقوط الذمّة، ولا نظر فيه إلى خلوّ المأتي به عمّا ينقص ثوابه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إبطال الثواب ونقصانه من جهة عمل النائب بما هو نائب لا عمل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على النائب أن يأتي بالعمل خالياً عمّا ينقص ثوابه، فإذا تخلّف عنه وأتى بما ينقص سقط ما في ذمّة المنوب عنه، ولكنّ النائب لا يستحقّ اُجرة المسمّى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استحقاق الأجير لاُجرة أصل العمل فهو متفرّع على أن يكون الإنشاء متعدّداً، كما إذا اشترط في ضمن عقد الإجارة أن يأتي بالعمل مع الخصوصية المذكورة، وأمّا إذا كان مورد الإجارة متقيّداً بالخصوصية المذكورة وتخلّف فلا يستحقّ شيئاً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كيفية تعيين قيمة أصل العمل فبأن يعرف نسبة أصل العمل بالإضافة إلى العمل المقرون بالخصوصية، ويؤخذ بتلك النسبة من اُجرة المسمّى، فتدبّر جيدّاً</w:t>
      </w:r>
      <w:r>
        <w:rPr>
          <w:rFonts w:eastAsia="Amiri" w:cs="Amiri" w:ascii="Amiri" w:hAnsi="Amiri"/>
          <w:color w:val="111111"/>
          <w:sz w:val="28"/>
          <w:szCs w:val="28"/>
          <w:rtl w:val="true"/>
          <w:lang w:bidi="ar-SA"/>
        </w:rPr>
        <w:t xml:space="preserve">. </w:t>
      </w:r>
      <w:bookmarkStart w:id="386" w:name="pg17323_406160"/>
    </w:p>
    <w:p>
      <w:pPr>
        <w:pStyle w:val="Heading2"/>
        <w:numPr>
          <w:ilvl w:val="1"/>
          <w:numId w:val="1"/>
        </w:numPr>
        <w:rPr/>
      </w:pPr>
      <w:bookmarkStart w:id="387" w:name="__RefHeading___Toc876072_1280447820"/>
      <w:bookmarkStart w:id="388" w:name="_Toc141"/>
      <w:bookmarkEnd w:id="386"/>
      <w:bookmarkEnd w:id="387"/>
      <w:r>
        <w:rPr>
          <w:rtl w:val="true"/>
        </w:rPr>
        <w:t xml:space="preserve">المسألة السادسة والثلاثون </w:t>
      </w:r>
      <w:r>
        <w:rPr>
          <w:rtl w:val="true"/>
        </w:rPr>
        <w:t>«</w:t>
      </w:r>
      <w:r>
        <w:rPr>
          <w:rtl w:val="true"/>
        </w:rPr>
        <w:t>في الغرور والتغرير</w:t>
      </w:r>
      <w:r>
        <w:rPr>
          <w:rtl w:val="true"/>
        </w:rPr>
        <w:t>»</w:t>
      </w:r>
      <w:bookmarkEnd w:id="388"/>
    </w:p>
    <w:p>
      <w:pPr>
        <w:pStyle w:val="Heading3"/>
        <w:numPr>
          <w:ilvl w:val="2"/>
          <w:numId w:val="1"/>
        </w:numPr>
        <w:rPr/>
      </w:pPr>
      <w:bookmarkStart w:id="389" w:name="__RefHeading___Toc876074_1280447820"/>
      <w:bookmarkStart w:id="390" w:name="_Toc142"/>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والكلام في المسألة يقع في عدّة اُمور</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876076_1280447820"/>
      <w:bookmarkStart w:id="392" w:name="_Toc143"/>
      <w:bookmarkEnd w:id="391"/>
      <w:r>
        <w:rPr>
          <w:rtl w:val="true"/>
        </w:rPr>
        <w:t>الأمر الأوّل</w:t>
      </w:r>
      <w:r>
        <w:rPr>
          <w:rtl w:val="true"/>
        </w:rPr>
        <w:t xml:space="preserve">: </w:t>
      </w:r>
      <w:r>
        <w:rPr>
          <w:rtl w:val="true"/>
        </w:rPr>
        <w:t>في اعتبار اعتماد المغرور على قول الغار</w:t>
      </w:r>
      <w:bookmarkEnd w:id="392"/>
    </w:p>
    <w:p>
      <w:pPr>
        <w:pStyle w:val="BookText"/>
        <w:rPr/>
      </w:pPr>
      <w:r>
        <w:rPr>
          <w:rFonts w:ascii="Amiri" w:hAnsi="Amiri" w:eastAsia="Amiri" w:cs="Amiri"/>
          <w:color w:val="111111"/>
          <w:sz w:val="28"/>
          <w:sz w:val="28"/>
          <w:szCs w:val="28"/>
          <w:rtl w:val="true"/>
          <w:lang w:bidi="ar-SA"/>
        </w:rPr>
        <w:t>إنّ المعتبر في صدق التغرير هو جهل المغرور بالحكم أو الموضوع؛ ولذا استدلّ الشيخ الأعظم بقاعدة حرمة التغرير على حرمة بيع الدهن المتنجّس بدون الإعلام</w:t>
      </w:r>
      <w:r>
        <w:rPr>
          <w:rStyle w:val="FootnoteAnchor"/>
          <w:rtl w:val="true"/>
        </w:rPr>
        <w:footnoteReference w:id="632"/>
      </w:r>
      <w:r>
        <w:rPr>
          <w:rFonts w:ascii="Amiri" w:hAnsi="Amiri" w:eastAsia="Amiri" w:cs="Amiri"/>
          <w:color w:val="111111"/>
          <w:sz w:val="28"/>
          <w:sz w:val="28"/>
          <w:szCs w:val="28"/>
          <w:rtl w:val="true"/>
          <w:lang w:bidi="ar-SA"/>
        </w:rPr>
        <w:t>بدعوى أنّ البيع المذكور يلقي المشتري في الحرام الواقعي، وهو 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الإلقاء المذكور يتوقّف على اعتماد المغرور في العمل على قول الغارّ، وعليه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الجهل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المغرور على قول الغارّ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 حرمة التغرير ليس اعتماد المغرور في العمل على قول الغارّ، بل يمكن أن يكون الملاك هو كون الغارّ سبباً لوقوع الغير في الحرام والمفاسد الواقعية، ألا ترى أنّ التغرير صادق على فعل من وضع خمراً مكان شيء آخر من الأشربة المحلّلة في </w:t>
      </w:r>
      <w:bookmarkStart w:id="393" w:name="pg17323_406161"/>
    </w:p>
    <w:p>
      <w:pPr>
        <w:pStyle w:val="BookText"/>
        <w:rPr/>
      </w:pPr>
      <w:bookmarkEnd w:id="393"/>
      <w:r>
        <w:rPr>
          <w:rFonts w:ascii="Amiri" w:hAnsi="Amiri" w:eastAsia="Amiri" w:cs="Amiri"/>
          <w:color w:val="111111"/>
          <w:sz w:val="28"/>
          <w:sz w:val="28"/>
          <w:szCs w:val="28"/>
          <w:rtl w:val="true"/>
          <w:lang w:bidi="ar-SA"/>
        </w:rPr>
        <w:t>دار الغير فجاء صاحب الدار وشربه، مع أنّه لم يعتمد على قول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 الاعتماد على الغير لزم أن لا يصدق عنوان المغرور عليه، وهو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التغرير هو إلقاء الغير في المفاسد مع جهل المغرور بالحكم أو الموضوع</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876078_1280447820"/>
      <w:bookmarkStart w:id="395" w:name="_Toc144"/>
      <w:bookmarkEnd w:id="394"/>
      <w:r>
        <w:rPr>
          <w:rtl w:val="true"/>
        </w:rPr>
        <w:t>الأمر الثاني</w:t>
      </w:r>
      <w:r>
        <w:rPr>
          <w:rtl w:val="true"/>
        </w:rPr>
        <w:t xml:space="preserve">: </w:t>
      </w:r>
      <w:r>
        <w:rPr>
          <w:rtl w:val="true"/>
        </w:rPr>
        <w:t>في أدلّة حرمة التغرير وضمان الغارّ</w:t>
      </w:r>
      <w:bookmarkEnd w:id="39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جرت سيرتهم وبناؤهم في جميع الأعصار على منع الغارّ ونهيه والحكم بضمانه للخسارة الواردة على المغرور بسبب تغرير الغارّ، وحيث إنّ الشارع لم يردع عن هذه السيرة العقلائية فيكون ذلك دليلاً على تقريره وإمضائه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المرويّة في الكافي، عن محمّد بن يحيى، عن محمّد بن الحسن،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نظر إلى امرأة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أنّها غير ابنته وأنّها أمة‌؟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الوليدة على مواليها، والولد للرجل، وعلى الذي زوّجه قيمة ثمن الولد يعطيه موالي الوليدة كما غرّ الرجل وخدعه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 السيّد المحقّق الخوئي قدس سره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وإن عبّر عنها بالصحيحة في كلمات بعضهم ضعيفة السند بمحمّد بن سنان؛ حيث لم يثبت توثيق الرجل، إذاً فهي ساقطة عن الاعتبار، ولا يمكن الاعتماد عليها في شيء</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الموثّق هو محمّد بن سنان بن طريف الهاشمي أخوه عبدالله، </w:t>
      </w:r>
    </w:p>
    <w:p>
      <w:pPr>
        <w:pStyle w:val="BookText"/>
        <w:rPr/>
      </w:pPr>
      <w:r>
        <w:rPr>
          <w:rFonts w:ascii="Amiri" w:hAnsi="Amiri" w:eastAsia="Amiri" w:cs="Amiri"/>
          <w:color w:val="111111"/>
          <w:sz w:val="28"/>
          <w:sz w:val="28"/>
          <w:szCs w:val="28"/>
          <w:rtl w:val="true"/>
          <w:lang w:bidi="ar-SA"/>
        </w:rPr>
        <w:t>وهو الذي روى بلا واسطة عن الإمام الصادق عليه السلام، بخلاف من روى عنه عليه السلام بالواسطة أو روى عن الإمام الكاظم والإمام الرضا والإمام الجواد عليهم السلام من دون واسطة، فإنّه أبو جعفر الزاهري وقد وثّقه جماعة وضعّفه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المستند في التضعيف ضعيف، وهو نقله بعض الروايات التي كان فهمها مشكلاً، فحمل ذلك على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إكثار الرواية عنه من مثل أحمد بن محمّد بن عيسى، وهو يوجب الوثوق به أيضاً؛ لأنّه هو الذي أخرج بعض الرواة من بلدة قم المشرّفة من جهة نقله عن الضعفاء، فكيف نَقَلَ وأكثَرَ الرواية هو بنفسه عن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 في جامع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رواية جمع كثير من العدول والثقات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حسن حاله وقبول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المولى محمّد تقي المجلسي في شرحه على مشيخة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أخباره في الغلوّ، ولا نجد فيها غلوّاً، بل الذي يظهر منها أنّه كان من صاحب الأسرار</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صحيحة كما صرّح بذلك بعض الأكابر، ولا ينبغي الإشكال فيها من هذه الجهة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تقريب الاستدلال بهذه الرواية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غرّ الرجل وخدعه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اُذْكُرُوهُ كَمٰا هَدٰاكُمْ‌</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 والتعليل بنفس التغرير لضمان قيمة ثمن الولد لموالي الوليدة، وعليه تدلّ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تعليلها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التغرير موجب للضمان، وحيث إنّ التعليل عامّ فلا يختصّ الحكم بالضمان بمورد الرواية، بل يستفاد منه الحكم الكلّي، وهو أنّ التغرير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وخدعه يدلّ على </w:t>
      </w:r>
    </w:p>
    <w:p>
      <w:pPr>
        <w:pStyle w:val="BookText"/>
        <w:rPr/>
      </w:pPr>
      <w:r>
        <w:rPr>
          <w:rFonts w:ascii="Amiri" w:hAnsi="Amiri" w:eastAsia="Amiri" w:cs="Amiri"/>
          <w:color w:val="111111"/>
          <w:sz w:val="28"/>
          <w:sz w:val="28"/>
          <w:szCs w:val="28"/>
          <w:rtl w:val="true"/>
          <w:lang w:bidi="ar-SA"/>
        </w:rPr>
        <w:t>الحرمة التكليفية أيضاً؛ حيث إنّ الخدعة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ضمان المغرور ليس له في هذه الرواية عين ولا أثر، بل ظاهرها رجوع الموالي إلى الغارّ بلا واسطة، وهو غير ما نحن فيه، فلابدّ من توجيهها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ضمان الغارّ هو أساس المسألة، وأمّا المغرور فضمانه معلوم ومفروغ عنه فيما إذا تصرّف في مال الغير، ويرجع إلى الغارّ لو رجع إليه وأخذ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الرواية على 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التغرير موجباً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حفص بن البختري عن أبي عبدالله عليه السلام في العجين من الماء النجس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ممّن يستحلّ الميتة</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بدعوى أنّها تدلّ على لزوم بيع العجين النجس ممّن يستحلّ الميتة، ومقتضاه عدم جواز بيعه من مسلم، ولعلّ وجهه هو عدم وجود منفعة محلّلة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بإطلاقها تدلّ على حرمة التغرير إن كان المشتري جاهلاً، أو على حرمة التسبيب إن كان المشتري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التعميم يحتاج إلى إلغاء الخصوصية في المورد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عبيدة عن أبي جعفر عليه السلام قال في رجل تزوّج امرأة من وليّها، فوجد بها عيباً بعدما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دلّست العفلاء والبرصاء والمجنونة والمفضاة ومن كان بها زمانة ظاهرة فإنّها تردّ على أهلها من غير طلاق، ويأخذ الزوج المهر من وليّها الذي كان دلّسها، فإن لم يكن وليّها علم بشيء من ذلك فلا شيء عليه، وتردّ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39"/>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مشعر </w:t>
      </w:r>
    </w:p>
    <w:p>
      <w:pPr>
        <w:pStyle w:val="BookText"/>
        <w:rPr/>
      </w:pPr>
      <w:r>
        <w:rPr>
          <w:rFonts w:ascii="Amiri" w:hAnsi="Amiri" w:eastAsia="Amiri" w:cs="Amiri"/>
          <w:color w:val="111111"/>
          <w:sz w:val="28"/>
          <w:sz w:val="28"/>
          <w:szCs w:val="28"/>
          <w:rtl w:val="true"/>
          <w:lang w:bidi="ar-SA"/>
        </w:rPr>
        <w:t>بالعلّيّة، ولعلّه يستفاد منه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 التدليس هو كتم العيب عن الزوج أو المشتري فهو أخصّ من 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رفاعة بن موسى المرويّة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أحمد بن محمّد،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البرصاء،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في امرأة زوّجها وليّها وهي 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المهر بما استحلّ من فرجها، وأنّ المهر على الذي زوّجها؛ وإنّما صار عليه المهر لأنّه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إدريس في آخر السرائر نقلاً من كتاب نوادر أحمد بن محمّد بن أبي نصر البزنطي، عن الحلبي، عن أبي عبدالله عليه السلام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مجال لتضعيف الرواية بسبب اشتمالها على سهل بن زياد؛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سهل بن زياد موثّق، مضافاً إلى أنّ طريق ابن إدريس إلى الكتاب، صحيح وأيضاً الكتاب المذكور معروف، ولا حاجة بعد ذلك إلى السند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منصوص العلّة، وهو أظهر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يختصّ بباب النكاح؛ لأنّ العلّة تعمّم، نعم يختصّ بالموارد التي فيها عيب قابل للكتمان، هذا مع قطع النظر عن الروايات الواردة في خصوص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ورد في أبواب العيوب والتدليس، ومثل ما ورد في أبواب نكاح الأمة، أو ما ورد في أبواب الشهادات أو ما ورد في الميتة المختلطة بالمذكّى والأمر ببيعها ممّن يستحلّها، أو ما ورد في إراقة المرق الذي قطرت فيه قطرة من خمر؛ أو إطعامه أهل الذمّة والكلاب، أو ما دلّ على أنّ من أفتى بغير علم لحقه وزر من عمل بفتياه، وغير ذلك من الموارد الخاصّة التي يمكن أن تكون مؤيّدة لحرمة التغرير وكونه موجباً </w:t>
      </w:r>
    </w:p>
    <w:p>
      <w:pPr>
        <w:pStyle w:val="BookText"/>
        <w:rPr/>
      </w:pPr>
      <w:r>
        <w:rPr>
          <w:rFonts w:ascii="IRNazanin" w:hAnsi="IRNazanin" w:eastAsia="IRNazanin"/>
          <w:color w:val="111111"/>
          <w:sz w:val="28"/>
          <w:sz w:val="28"/>
          <w:szCs w:val="28"/>
          <w:rtl w:val="true"/>
          <w:lang w:bidi="fa-IR"/>
        </w:rPr>
        <w:t>للضمان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إمكان تأييد حرمة التغرير بما أفاده الشيخ الأعظم قدس سره من دليل الاعتبار،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 الحرام وشربه من القبيح ولو في حقّ الجاهل؛ ولذا يكون الاحتياط فيه مطلوباً مع الشكّ‌؛ إذ لو كان للعلم دخل في قبحه لم يحسن الاحتياط، وحينئذ فيكون إعطاء النجس للجاهل المذكور إغراءً بالقبيح، وهو قبيح عقلاً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الميرزا الشيرازي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يتمّ إذا لم يستند في الترخيص إلى أصل شرعيّ كأصالة الطهارة؛ فإنّ الترخيص الشرعي كاشف عن تدارك المفسدة، وإلاّ كان الترخيص إيقاعاً في القبيح، وهو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يكتفى في حسن الاحتياط برعاية المصالح الأوّلية؛ إذ هي أولى بالمراعاة في نظر العقل وإن كان مفسدة تركها متداركة فعلاً بترخيص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تدارك المفسدة الواقعية بمصلحة الترخيص الشرعي بالنسبة إلى الجاهل لا يمنع عن حرمة التغرير بالنسبة إلى الغارّ؛ من جهة أنّ التغرير إلقاء للغير في المفاسد الواقعية، أو من جهة أنّ التغرير تفويت لغرض الشارع، خصوصاً إذا كان الغارّ هو السبب في ارتكاب الحرام مع الاستناد المذكور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مقيّدة بعلم المكلّفين؛ وإلاّ لزم التصويب المستحيل أو الباطل، فالأحكام الواقعية وملاكاتها شاملة لحالتي 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غرض الشارع من بعث المكلّفين نحوها وتكليفهم بها ليس الاّ امتثالها بالإتيان بالواجبات وترك المحرّمات؛ حتّى لا يوجد ما هو </w:t>
      </w:r>
      <w:bookmarkStart w:id="396" w:name="pg17323_406166"/>
    </w:p>
    <w:p>
      <w:pPr>
        <w:pStyle w:val="BookText"/>
        <w:rPr/>
      </w:pPr>
      <w:bookmarkEnd w:id="396"/>
      <w:r>
        <w:rPr>
          <w:rFonts w:ascii="Amiri" w:hAnsi="Amiri" w:eastAsia="Amiri" w:cs="Amiri"/>
          <w:color w:val="111111"/>
          <w:sz w:val="28"/>
          <w:sz w:val="28"/>
          <w:szCs w:val="28"/>
          <w:rtl w:val="true"/>
          <w:lang w:bidi="ar-SA"/>
        </w:rPr>
        <w:t>مبغوض للشارع ولا يترك ما هو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الملتفت كما يحرم عليه مخالفة التكاليف الإلزامية من ارتكاب المحرّمات وترك الواجبات فكذلك يحرم عليه التسبيب إلى مخالفتها بإلقاء الجاهل في الحرام الواقعي؛ لأنّ مناط الحرمة في ذلك إنّما هو تفويت غرض المولى بإيجاد المفسدة وترك المصلحة الملزمتين، وهذا المناط موجود في كلتا الصورتين؛ فالأدلّة الأوّلية كما تقتضي حرمة مخالفة التكاليف الإلزامية بالمباشرة فكذلك تقتضي حرمة مخالفتها بالتسبيب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فتغرير الجاهل بالأحكام الواقعية وإن لم يوجب مخالفة المغرور التكاليف الإلزامية إلاّ أنّه يوجب تفويت غرض الشارع،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إذا نهى عبيده عن الدخول عليه في وقت خاصّ عيّنه لفراغه، فإنّ نهيه هذا يشمل المباشرة والتسبيب؛ ولذلك لو سبّب أحد العبيد لدخول أحد على مولاه في ذلك الوقت لصحّ عقابه كما يصحّ عقابه لو دخل هو بنفسه؛ لاتّحاد الملاك في كلتا الصورتين بحكم الضرورة والبدلية</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فيه بين أن يستند المغرور في دخوله على مولاه إلى الأصل أو لا يستند؛ وذلك لتفويت غرض المولى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 من الأدلّة والمؤيّدات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التغرير حرام تكليفاً، وموجب للضمان</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876080_1280447820"/>
      <w:bookmarkStart w:id="398" w:name="_Toc145"/>
      <w:bookmarkEnd w:id="397"/>
      <w:r>
        <w:rPr>
          <w:rtl w:val="true"/>
        </w:rPr>
        <w:t>الأمر الثالث</w:t>
      </w:r>
      <w:r>
        <w:rPr>
          <w:rtl w:val="true"/>
        </w:rPr>
        <w:t xml:space="preserve">: </w:t>
      </w:r>
      <w:r>
        <w:rPr>
          <w:rtl w:val="true"/>
        </w:rPr>
        <w:t>إنّ التغرير محرّم سواء كان بالتسبيب أو إعداد المقدمات</w:t>
      </w:r>
      <w:bookmarkEnd w:id="39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التغرير محرّم سواء كان بالتسبيب أو إعداد المقدّمات بداعي دخول المغرور في الحرام؛ لأنّ للغار حينئذ مدخلية في الإلقاء في المفاسد أو تفويت المصالح، ومعه فالتغرير صادق فتشمله أدلّة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دخالته بنحو لا </w:t>
      </w:r>
      <w:bookmarkStart w:id="399" w:name="pg17323_406167"/>
    </w:p>
    <w:p>
      <w:pPr>
        <w:pStyle w:val="BookText"/>
        <w:rPr/>
      </w:pPr>
      <w:bookmarkEnd w:id="399"/>
      <w:r>
        <w:rPr>
          <w:rFonts w:ascii="Amiri" w:hAnsi="Amiri" w:eastAsia="Amiri" w:cs="Amiri"/>
          <w:color w:val="111111"/>
          <w:sz w:val="28"/>
          <w:sz w:val="28"/>
          <w:szCs w:val="28"/>
          <w:rtl w:val="true"/>
          <w:lang w:bidi="ar-SA"/>
        </w:rPr>
        <w:t>يصدق معه التغرير فلا تشمله أدلّة حرمة التغرير كما لا يخفى</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876082_1280447820"/>
      <w:bookmarkStart w:id="401" w:name="_Toc146"/>
      <w:bookmarkEnd w:id="400"/>
      <w:r>
        <w:rPr>
          <w:rtl w:val="true"/>
        </w:rPr>
        <w:t>الأمر الرابع</w:t>
      </w:r>
      <w:r>
        <w:rPr>
          <w:rtl w:val="true"/>
        </w:rPr>
        <w:t xml:space="preserve">: </w:t>
      </w:r>
      <w:r>
        <w:rPr>
          <w:rtl w:val="true"/>
        </w:rPr>
        <w:t>إنّ الغارّ يتوقّف صدقه على كونه عالماً بالمفاسد</w:t>
      </w:r>
      <w:bookmarkEnd w:id="401"/>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الغارّ يتوقّف صدقه على كونه عالماً بالمفاسد، وأمّا إذا لم يكن كذلك بل كان هو والمغرور كلاهما جاهلين فلا يصدق عليهما عنوان الغارّ والمغرور لعدم كون الأوّل مسبّباً أو معدّاً بداعي ارتكاب الحرام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هو وجوب تسبيب الغير للإتيان بما إذا كانت مصلحته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بأس به، بل هو من موارد الأمر بالمعروف إلاّ إذا كان الغير غير مكلّف، فلا إلزام حينئذ بالنسبة إليه كما لا يخفى</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876084_1280447820"/>
      <w:bookmarkStart w:id="403" w:name="_Toc147"/>
      <w:bookmarkEnd w:id="402"/>
      <w:r>
        <w:rPr>
          <w:rtl w:val="true"/>
        </w:rPr>
        <w:t>الأمر الخامس</w:t>
      </w:r>
      <w:r>
        <w:rPr>
          <w:rtl w:val="true"/>
        </w:rPr>
        <w:t xml:space="preserve">: </w:t>
      </w:r>
      <w:r>
        <w:rPr>
          <w:rtl w:val="true"/>
        </w:rPr>
        <w:t>هل يجب الإعلام أو المنع أو الدفع اذا رأى غيره أراد ما فيه المفسدة</w:t>
      </w:r>
      <w:bookmarkEnd w:id="403"/>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الإعلام أو المنع أو الدفع على من يرى شخصاً يريد أن يفعل ما فيه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يعلم، أو لا يجب‌؟</w:t>
      </w:r>
    </w:p>
    <w:p>
      <w:pPr>
        <w:pStyle w:val="BookText"/>
        <w:rPr/>
      </w:pPr>
      <w:r>
        <w:rPr>
          <w:rFonts w:ascii="Amiri" w:hAnsi="Amiri" w:eastAsia="Amiri" w:cs="Amiri"/>
          <w:color w:val="111111"/>
          <w:sz w:val="28"/>
          <w:sz w:val="28"/>
          <w:szCs w:val="28"/>
          <w:rtl w:val="true"/>
          <w:lang w:bidi="ar-SA"/>
        </w:rPr>
        <w:t>يمكن القول بالثاني؛ لعدم صدق الغارّ عليه في صورة سكوته أو عدم منعه أو دفعه؛ وذلك لعدم مدخليّته فيه وكونه سبباً ومعدّاً، ولعدم صدق المنكر على الفعل المذكور؛ لإتيانه جهلاً، والمنكر منوط بإتيانه مع العلم بالحرمة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لذا استشكل الشيخ الأعظم</w:t>
      </w:r>
      <w:r>
        <w:rPr>
          <w:rStyle w:val="FootnoteAnchor"/>
          <w:rtl w:val="true"/>
        </w:rPr>
        <w:footnoteReference w:id="643"/>
      </w:r>
      <w:r>
        <w:rPr>
          <w:rFonts w:ascii="Amiri" w:hAnsi="Amiri" w:eastAsia="Amiri" w:cs="Amiri"/>
          <w:color w:val="111111"/>
          <w:sz w:val="28"/>
          <w:sz w:val="28"/>
          <w:szCs w:val="28"/>
          <w:rtl w:val="true"/>
          <w:lang w:bidi="ar-SA"/>
        </w:rPr>
        <w:t>على العلاّمة قدس سره الذى ذهب إلى وجوب الإعلام فيما إذا رأى في ثوب المصلّي نجاسة؛ من باب وجوب النهي عن المنكر،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أدلّة النهي عن المنكر وجوب الردع عن المعصية، فلا يدلّ على وجوب إعلام الجاهل بكون فعله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ذلك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الجهل بالحكم لا بالموضوع؛ لوجوب تبليغ التكاليف ليستمرّ التكليف إلى الأبد، ولتتمّ الحجّة على الجاهل،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المورد شيئاً علم من الخارج عدم رضا الشارع بوقوعه كقتل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لم يرتدع بالإعلام وجب منعه عن الفعل المذكور بأيّ طريق كان كما </w:t>
      </w:r>
      <w:bookmarkStart w:id="404" w:name="pg17323_406168"/>
    </w:p>
    <w:p>
      <w:pPr>
        <w:pStyle w:val="BookText"/>
        <w:rPr/>
      </w:pPr>
      <w:bookmarkEnd w:id="404"/>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876086_1280447820"/>
      <w:bookmarkStart w:id="406" w:name="_Toc148"/>
      <w:bookmarkEnd w:id="405"/>
      <w:r>
        <w:rPr>
          <w:rtl w:val="true"/>
        </w:rPr>
        <w:t>الأمر السادس</w:t>
      </w:r>
      <w:r>
        <w:rPr>
          <w:rtl w:val="true"/>
        </w:rPr>
        <w:t xml:space="preserve">: </w:t>
      </w:r>
      <w:r>
        <w:rPr>
          <w:rtl w:val="true"/>
        </w:rPr>
        <w:t>لا يحرم التغرير فيما إذا كان المورد من الموارد التى يكون وجودها وعدمها على حد سواء</w:t>
      </w:r>
      <w:bookmarkEnd w:id="406"/>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التغرير فيما إذا كان المورد من الموارد التي يكون وجودها وعدمها على حدّ سواء، كما إذا قدّم شخص ثوباً متنجّساً لمن أراد الصلاة، فلبسه وصلّى فيه وهو جاهل بنجاسته، حيث لا يترتّب على نجاسة الثوب وطهارته أثر إذا كان جاهلاً بالحال؛ إذ صلاته على أيّ تقدير صحيحة ولا تنقص عن الصلاة في الثوب الطاهر</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76088_1280447820"/>
      <w:bookmarkStart w:id="408" w:name="_Toc149"/>
      <w:bookmarkEnd w:id="407"/>
      <w:r>
        <w:rPr>
          <w:rtl w:val="true"/>
        </w:rPr>
        <w:t>الأمر السابع</w:t>
      </w:r>
      <w:r>
        <w:rPr>
          <w:rtl w:val="true"/>
        </w:rPr>
        <w:t xml:space="preserve">: </w:t>
      </w:r>
      <w:r>
        <w:rPr>
          <w:rtl w:val="true"/>
        </w:rPr>
        <w:t>في تعدّد الغارّ</w:t>
      </w:r>
      <w:bookmarkEnd w:id="408"/>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الغارّ؛ فإن كانا مستقلّين في حدوث الغرور واجتمعا في التأثير فإنّ كلّ واحد منهما يكون غارّاً وفاعلاً للحرام فيشتركان في الضمان، وإن كان أحدهما سابقاً ومستقلاًّ والآخر تابعاً فالسابق يكون غارّاً وفعله حراماً والضمان عليه، دون الثاني؛ لاختصاص التأثير بالأوّل كما لا يخفى</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876090_1280447820"/>
      <w:bookmarkStart w:id="410" w:name="_Toc150"/>
      <w:bookmarkEnd w:id="409"/>
      <w:r>
        <w:rPr>
          <w:rtl w:val="true"/>
        </w:rPr>
        <w:t>الأمر التاسع</w:t>
      </w:r>
      <w:r>
        <w:rPr>
          <w:rtl w:val="true"/>
        </w:rPr>
        <w:t xml:space="preserve">: </w:t>
      </w:r>
      <w:r>
        <w:rPr>
          <w:rtl w:val="true"/>
        </w:rPr>
        <w:t>التغرير موجب للضمان</w:t>
      </w:r>
      <w:bookmarkEnd w:id="410"/>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التغرير موجب للضمان، ولا إشكال فيه، لكنّه بحاجة إلى توضيح وتفصيل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الغارّ سبباً تامّاً لوقوع المغرور في الضرر والخسارة بالتصرّف في مال الغير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مورد التزويج بالأمة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للتأمّل في كون ذلك موجباً لضمان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أن يرجع مالك الأمة إلى المغرور من أوّل الأمر ويأخذ قيمة الولد منه فيرجع المغرور إلى الغارّ، أو يرجع من أوّل الأمر إلى الغارّ؛ وذلك لاستقرار الضمان على الغارّ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الغارّ مسبّباً ومقتضياً لوقوع المغرور في الضرر والخسارة بحيث يصدق عليه الغارّ حقيقةً فالظاهر أنّه كالصورة الاُولى موجب للضمان؛ أخذاً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غرّ الرجل وخدعه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الغارّ موجباً لإتلاف مال الغير، كأكل شيء أو شرب شيء بزعم أنّه مال الغارّ، </w:t>
      </w:r>
    </w:p>
    <w:p>
      <w:pPr>
        <w:pStyle w:val="BookText"/>
        <w:rPr/>
      </w:pPr>
      <w:r>
        <w:rPr>
          <w:rFonts w:ascii="Amiri" w:hAnsi="Amiri" w:eastAsia="Amiri" w:cs="Amiri"/>
          <w:color w:val="111111"/>
          <w:sz w:val="28"/>
          <w:sz w:val="28"/>
          <w:szCs w:val="28"/>
          <w:rtl w:val="true"/>
          <w:lang w:bidi="ar-SA"/>
        </w:rPr>
        <w:t>فهو أيضاً يوجب الضمان على الغارّ بالتفصيل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الغارّ موجباً لاشتراء شيء فيه ضرر على المغرور، فالإضرار موجب للضمان، ويجب على الغارّ أن يؤدّي مقدار الضرر إلى المغرور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الغارّ موجباً لإكراء المغرور واسطة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وإنفاق مال للوصول إلى ما غرّه فيه، ثمّ بان الخلاف، فالأقرب هو ضمان الغارّ ما أنفقه المغرور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 عند وكيله وأمينه مال معيّن خارجىّ فأحال دائنه عليه ليدفع إليه بما عنده، فقبل المحتال والمحال عليه، وجب عليه الدفع إليه وإن لم يكن من الحوالة المصطلحة، وإذا لم يدفع له الرجوع على المحيل؛ لبقاء شغل ذمّته، ولو لم يتمكّن من الاستيفاء منه ضمن الوكيل المحال عليه إذا كانت الخسارة الواردة عليه مستندة إليه؛ للمغرور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الغارّ موجباً لعدم وصول نفع إلى المغرور، فكونه موجباً للضمان محلّ تأملّ ونظر؛ لعدم صدق الضرر والخسارة على عدم النفع، ولعدم التصرّف في مال الغير؛ كما في مورد التزويج بأمة الغير، ولعدم كونه موجباً لإتلاف مال الغير؛ كما في مورد أكل شيء أو شرب شيء بزعم أنّه مال الغارّ، ولعدم إنفاق مال معتمداً على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استندت الخسارة فيه إلى الغارّ فهو ضامن، والله هو الهادي</w:t>
      </w:r>
      <w:r>
        <w:rPr>
          <w:rFonts w:eastAsia="Amiri" w:cs="Amiri" w:ascii="Amiri" w:hAnsi="Amiri"/>
          <w:color w:val="111111"/>
          <w:sz w:val="28"/>
          <w:szCs w:val="28"/>
          <w:rtl w:val="true"/>
          <w:lang w:bidi="ar-SA"/>
        </w:rPr>
        <w:t xml:space="preserve">. </w:t>
      </w:r>
      <w:bookmarkStart w:id="411" w:name="pg17323_406170"/>
    </w:p>
    <w:p>
      <w:pPr>
        <w:pStyle w:val="Heading2"/>
        <w:numPr>
          <w:ilvl w:val="1"/>
          <w:numId w:val="1"/>
        </w:numPr>
        <w:rPr/>
      </w:pPr>
      <w:bookmarkStart w:id="412" w:name="__RefHeading___Toc876092_1280447820"/>
      <w:bookmarkStart w:id="413" w:name="_Toc151"/>
      <w:bookmarkEnd w:id="411"/>
      <w:bookmarkEnd w:id="412"/>
      <w:r>
        <w:rPr>
          <w:rtl w:val="true"/>
        </w:rPr>
        <w:t xml:space="preserve">المسألة السابعة والثلاثون </w:t>
      </w:r>
      <w:r>
        <w:rPr>
          <w:rtl w:val="true"/>
        </w:rPr>
        <w:t>«</w:t>
      </w:r>
      <w:r>
        <w:rPr>
          <w:rtl w:val="true"/>
        </w:rPr>
        <w:t>في الغشّ‌</w:t>
      </w:r>
      <w:r>
        <w:rPr>
          <w:rtl w:val="true"/>
        </w:rPr>
        <w:t>»</w:t>
      </w:r>
      <w:bookmarkEnd w:id="413"/>
    </w:p>
    <w:p>
      <w:pPr>
        <w:pStyle w:val="Heading3"/>
        <w:numPr>
          <w:ilvl w:val="2"/>
          <w:numId w:val="1"/>
        </w:numPr>
        <w:rPr/>
      </w:pPr>
      <w:bookmarkStart w:id="414" w:name="__RefHeading___Toc876094_1280447820"/>
      <w:bookmarkStart w:id="415" w:name="_Toc152"/>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والكلام فيه يقع ضمن اُمور</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876096_1280447820"/>
      <w:bookmarkStart w:id="417" w:name="_Toc153"/>
      <w:bookmarkEnd w:id="416"/>
      <w:r>
        <w:rPr>
          <w:rtl w:val="true"/>
        </w:rPr>
        <w:t>الأمر الأوّل</w:t>
      </w:r>
      <w:r>
        <w:rPr>
          <w:rtl w:val="true"/>
        </w:rPr>
        <w:t xml:space="preserve">: </w:t>
      </w:r>
      <w:r>
        <w:rPr>
          <w:rtl w:val="true"/>
        </w:rPr>
        <w:t>في معنى الغشّ‌</w:t>
      </w:r>
      <w:bookmarkEnd w:id="417"/>
    </w:p>
    <w:p>
      <w:pPr>
        <w:pStyle w:val="BookText"/>
        <w:rPr/>
      </w:pPr>
      <w:r>
        <w:rPr>
          <w:rFonts w:ascii="Amiri" w:hAnsi="Amiri" w:eastAsia="Amiri" w:cs="Amiri"/>
          <w:color w:val="111111"/>
          <w:sz w:val="28"/>
          <w:sz w:val="28"/>
          <w:szCs w:val="28"/>
          <w:rtl w:val="true"/>
          <w:lang w:bidi="ar-SA"/>
        </w:rPr>
        <w:t>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والاسم غِشّ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ينصحه، وزيّن له غير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 بالماء</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 غير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الغشّ أمر وجوديّ لا أنّه مجرّد ترك النصيحة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الزبيدي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يغشّه غشّاً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يمحضه النصح، وأظهر له خلاف ما أضمره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له خلاف ما أضمره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عدم الإمحاض في النصيحة، فلا حاجة إلى إيراده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والغِشّ بالكسر اسم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 المشوب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 أو هو المشرب الكَدِر كما هو نصّ ابن الأنباري، ونقله هكذا الأزهري والصاغاني،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p>
    <w:p>
      <w:pPr>
        <w:pStyle w:val="BookText"/>
        <w:rPr/>
      </w:pPr>
      <w:r>
        <w:rPr>
          <w:rFonts w:ascii="Amiri" w:hAnsi="Amiri" w:eastAsia="Amiri" w:cs="Amiri"/>
          <w:color w:val="111111"/>
          <w:sz w:val="28"/>
          <w:sz w:val="28"/>
          <w:szCs w:val="28"/>
          <w:rtl w:val="true"/>
          <w:lang w:bidi="ar-SA"/>
        </w:rPr>
        <w:t>اُخذ الغشّ نقيض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إمكان أن يكون 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وأظهر له خلاف ما أضمره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الغشّ أمر وجوديّ يضادّ النصيحة لا أنّه ترك النصيحة، فلا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حاجة إلى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غشّه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يمحضه النصح، أو أظهر له خلاف ما أضمره، وزيّن له غير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المغشوش اسم مفعول،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الخالص،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مغشوش؛ أي مخلوط بالماء غير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أظهر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ينسجم مع ما عرفت من الزبيدي؛ حيث عبّر بالواو، والمستفاد منه دخالة ذلك في تحقّق معنى الغشّ‌؛ ولذا استظهرنا منه أنّه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الغشّ ضدّ النصح، وهو أن يظهر له خلاف ما أضمره، وله مصاديق عديدة ولا يختصّ بمورد النقص، والإظهار أو التزيين من الاُمور بالقصدية، وعليه فالغشّ أمر وجوديّ 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النراقي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 خلاف النصح والخلوص، أو إظهار خلاف ما أضمر، وحصوله في المعاملات إنّما يكون إذا كان في المبيع نقص ورداءة، وله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النقص الذي يمكن أن يتحقّق فيه الغشّ يتصوّر على وجوه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سببه إمّا يكون مزج المبيع بغير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كاللبن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كالجيّد بالرديء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بغير المزج، وهو قد يكون بعيب فيه إخفاء بإبداء وصف يستره أو عدم إظهاره مع كونه مستوراً، وقد يكون بتغييره عمّا هو في الواقع إلى الأدنى لمصلحة نفسه؛ كبلّ اليابس لزيادة الوزن، وقد يكون بالتباس السلعة بأن يزعم الرديء الجيّد؛ كأن يبيع لبن البقر مكان لبن المعز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النقص خفيّاً حال المعاملة عرفاً، أو غير خفيّ بل يكون ممّا يعرف غالباً، 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ممّا يظهر النقص حال المعاملة بالفحص ويكون خفاؤه لتقصير المشتري، أو لا يظهر بالفحص،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يعلم تفطّن المشتري به أو عدم تفطّنه، أو لا يعلم، 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يبيعه على ما هو المتعارف في الخالي عن النقص من السعر أو على ما يتعارف مع النقص، 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حصول النقص بفعل البائع بقصد الغشّ أو لا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فإنّ حصر معنى الغشّ في النقص لا وجه له، بل هو أعمّ منه؛ ولذا يصدق الغشّ على إظهار صفة كمالاً على خلاف الواقع مع أنّه لا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المذكور في تاج العروس في معنى الغشّ هو أنّه لم يمحضه النصح وأظهر له خلاف ما أضمره، وظاهره دخالة الإظهار المذكور، فلا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 خلاف النصح والخلوص، أو إظهار خلاف ما أضمر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صحّة جعل بعض موارد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كالنقص غير الخفيّ الذي يعرفه الناس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الغشّ‌، مع أنّه ليس كذلك؛ إذ إظهار خلاف ما في الضمير والتزيين لغير المصلحة لا يكون بدون الخفاء، وعليه فالخفاء معتبر في حقيقته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اعتبار الخفاء في حقيقته وإلاّ لم يكن غشّاً، فلو كان المزج بما لا يخفى أو أخبر بمزج ما يخفى فلا غشّ فيه، ولعلّ من ذلك وضع القطن العتيق في القلانس باعتبار تفاوته</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هو الظاهر من الأخبار أيضاً،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الأخبار هو </w:t>
      </w:r>
    </w:p>
    <w:p>
      <w:pPr>
        <w:pStyle w:val="BookText"/>
        <w:rPr/>
      </w:pPr>
      <w:r>
        <w:rPr>
          <w:rFonts w:ascii="Amiri" w:hAnsi="Amiri" w:eastAsia="Amiri" w:cs="Amiri"/>
          <w:color w:val="111111"/>
          <w:sz w:val="28"/>
          <w:sz w:val="28"/>
          <w:szCs w:val="28"/>
          <w:rtl w:val="true"/>
          <w:lang w:bidi="ar-SA"/>
        </w:rPr>
        <w:t>كون الغشّ بما يخفى؛ كمزج اللبن بالماء، وخلط الجيّد بالرديء في مثل الدهن، فمنه وضع الحرير في مكان بارد ليكتسب ثقلاً،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المزج والخلط بما لا يخفى فلا يحرم؛ لعدم انصراف الغشّ إليه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نعم، لا يبعد صدق الغشّ فيما إذا كان قصد البائع تلبيس الأمر على المشتري سواء كان العيب خفيّاً أم لا؛ وذلك لأنّ التلبيس لا يخلو من نوع من الخفاء، وهو كاف في صدق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بلغة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الظاهر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التلبيس على المشتري بالخلط، أو عمل وجوديّ غيره</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من هذه الناحية على المحقّق النراقي 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 خفيّ بل يكون ممّا يعرف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أعني صورة قصد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الخلط بغير الخفيّ إذا كان للمشتري طريق إلى معرفته بالنظر والفحص مع عدم قصد التلبيس هو ليس بغشّ ولا يكون حراماً، ولا يجب على البائع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خبر الإسكاف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النبيّ صلى الله عليه وآله 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سعره، فأوحى الله عزّوجلّ إليه أن يدسّ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الطعام ففعل، فأخرج طعاماً رديئاً،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وقد جمعت خيانةً وغشّاً للمسلمين</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الخلط بما لايخفى ممّا يعلم بالنظر والفحص غشّ ومحرّم، ولم يقيّده بقصد التلبيس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ظاهر رواية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يبيع السابريّ في الظلال، فقال له أبو الحسن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البيع في الظلال غشّ‌، والغشّ لا يحلّ‌</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الغشّ على البيع في الظلال، مع أنّ الطريق إلى معرفته موجود، ولم يقيّده بقصد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ظاهر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يشتري طعاماً، فيكون أحسن له وأنفق له أن يبلّه من غير أن يلتمس زيادته‌؟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بيعاً لا يصلحه إلاّ ذلك ولا ينفقه غيره من غير أن يلتمس فيه زيادة فلا بأس، وإن كان إنّما يغشّ به المسلمين فلا يصلح</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المستفاد منها أنّه كلّ ما لم يكن إصلاحاً للمبيع كان غشّاً ولو كان له طريق إلى معرفته بالنظر والفحص، ولم يقيّده بالتلبيس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بلغة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الأوّل هو إناطة صدق الغشّ بقصد التلبيس، حيث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إلاّ وقد جمعت خيانةً وغشّاً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أنّك غطّيت الرديء بالجيّد بقصد الغشّ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بيع السابريّ في الظلال فهو ليس من قبيل إخفاء العيب بل من قبيل إظهار الجودة وشدّة السواد للسابريّ‌، وفي مثله يعتبر قصد التلبيس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الحلبي فالظاهر منها هو اعتبار قصد التلبيس؛ لأنّ التماس الزيادة عبارة اُخرى عن قصد التلبيس؛ فإنّه إذا خلط لالتماس الزيادة فقد قصد إلقاء المشتري في الجهل وزعم جودة الجميع، وإلاّ لم يكن معنى لالتماس الزيادة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الخلط بما لا يخفى مع عدم قصد التلبيس ليس بغشّ على الأظهر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ما في مصباح الفقاهة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دليل على اعتبار القصد بمعنى </w:t>
      </w:r>
      <w:bookmarkStart w:id="418" w:name="pg17323_406175"/>
    </w:p>
    <w:p>
      <w:pPr>
        <w:pStyle w:val="BookText"/>
        <w:rPr/>
      </w:pPr>
      <w:bookmarkEnd w:id="418"/>
      <w:r>
        <w:rPr>
          <w:rFonts w:ascii="Amiri" w:hAnsi="Amiri" w:eastAsia="Amiri" w:cs="Amiri"/>
          <w:color w:val="111111"/>
          <w:sz w:val="28"/>
          <w:sz w:val="28"/>
          <w:szCs w:val="28"/>
          <w:rtl w:val="true"/>
          <w:lang w:bidi="ar-SA"/>
        </w:rPr>
        <w:t>الداعي في مفهوم الغشّ‌؛ بداهة كونه من الاُمور الواقعية، وهي لا تختلف باختلاف الدواعي كالاُمور القصدية، وإنّما المعتبر فيه علم البائع بالخلط مع جهل المشتري إيّاه</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وذلك لما عرفت من أنّ التزيين والإظهار والتلبيس من مقوّمات الغشّ‌، وهي لا تخلو من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تحقّق عنوان الغشّ هو احتمال الخلط من البائع مع جهل المشتري، ولا يعتبر فيه علم البائع بالخلط، فلا تغفل</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876098_1280447820"/>
      <w:bookmarkStart w:id="420" w:name="_Toc154"/>
      <w:bookmarkEnd w:id="419"/>
      <w:r>
        <w:rPr>
          <w:rtl w:val="true"/>
        </w:rPr>
        <w:t>الأمر الثاني</w:t>
      </w:r>
      <w:r>
        <w:rPr>
          <w:rtl w:val="true"/>
        </w:rPr>
        <w:t xml:space="preserve">: </w:t>
      </w:r>
      <w:r>
        <w:rPr>
          <w:rtl w:val="true"/>
        </w:rPr>
        <w:t>في كلمات العلماء حول حرمة الغشّ‌</w:t>
      </w:r>
      <w:bookmarkEnd w:id="420"/>
    </w:p>
    <w:p>
      <w:pPr>
        <w:pStyle w:val="BookText"/>
        <w:rPr/>
      </w:pPr>
      <w:r>
        <w:rPr>
          <w:rFonts w:ascii="Amiri" w:hAnsi="Amiri" w:eastAsia="Amiri" w:cs="Amiri"/>
          <w:color w:val="111111"/>
          <w:sz w:val="28"/>
          <w:sz w:val="28"/>
          <w:szCs w:val="28"/>
          <w:rtl w:val="true"/>
          <w:lang w:bidi="ar-SA"/>
        </w:rPr>
        <w:t>قال الشيخ الطوسي في النهاية في عداد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غشّ فيه فالتجارة فيه والتكسّب به بالبيع والشراء وغير ذلك حرامٌ محظور</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لأحد أن يغشّ أحداً من الناس فيما يبيعه أو يشتريه، ويجب عليه النصيحة فيما يفعله لكلّ أحد</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ويجتنب بيع الثياب في المواضع المظلمة التي يتستّر فيها العيوب</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 في جميع الأشياء</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زهرة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المحرّمات الغشّ في جميع الأشياء</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وتبعهم المتأخّرون،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والغشّ بما يخفى، كشوب اللبن بالماء</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سعيد في الجامع للشرائع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والغشّ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بيع الثياب في المواضع المظلمة، وشوب اللبن بالماء</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والغشّ بما يخفى، كمزج اللبن بالماء</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تلخيص المرام</w:t>
      </w:r>
      <w:r>
        <w:rPr>
          <w:rStyle w:val="FootnoteAnchor"/>
          <w:rtl w:val="true"/>
        </w:rPr>
        <w:footnoteReference w:id="663"/>
      </w:r>
      <w:r>
        <w:rPr>
          <w:rFonts w:ascii="Amiri" w:hAnsi="Amiri" w:eastAsia="Amiri" w:cs="Amiri"/>
          <w:color w:val="111111"/>
          <w:sz w:val="28"/>
          <w:sz w:val="28"/>
          <w:szCs w:val="28"/>
          <w:rtl w:val="true"/>
          <w:lang w:bidi="ar-SA"/>
        </w:rPr>
        <w:t>والتبصرة</w:t>
      </w:r>
      <w:r>
        <w:rPr>
          <w:rStyle w:val="FootnoteAnchor"/>
          <w:rtl w:val="true"/>
        </w:rPr>
        <w:footnoteReference w:id="664"/>
      </w:r>
      <w:r>
        <w:rPr>
          <w:rFonts w:ascii="IRNazanin" w:hAnsi="IRNazanin" w:eastAsia="IRNazanin"/>
          <w:color w:val="111111"/>
          <w:sz w:val="28"/>
          <w:sz w:val="28"/>
          <w:szCs w:val="28"/>
          <w:rtl w:val="true"/>
          <w:lang w:bidi="fa-IR"/>
        </w:rPr>
        <w:t>وإرشاد الأذهان</w:t>
      </w:r>
      <w:r>
        <w:rPr>
          <w:rStyle w:val="FootnoteAnchor"/>
          <w:rtl w:val="true"/>
        </w:rPr>
        <w:footnoteReference w:id="665"/>
      </w:r>
      <w:r>
        <w:rPr>
          <w:rFonts w:ascii="Amiri" w:hAnsi="Amiri" w:eastAsia="Amiri" w:cs="Amiri"/>
          <w:color w:val="111111"/>
          <w:sz w:val="28"/>
          <w:sz w:val="28"/>
          <w:szCs w:val="28"/>
          <w:rtl w:val="true"/>
          <w:lang w:bidi="ar-SA"/>
        </w:rPr>
        <w:t>والتذكرة</w:t>
      </w:r>
      <w:r>
        <w:rPr>
          <w:rStyle w:val="FootnoteAnchor"/>
          <w:rtl w:val="true"/>
        </w:rPr>
        <w:footnoteReference w:id="666"/>
      </w:r>
      <w:r>
        <w:rPr>
          <w:rFonts w:ascii="IRNazanin" w:hAnsi="IRNazanin" w:eastAsia="IRNazanin"/>
          <w:color w:val="111111"/>
          <w:sz w:val="28"/>
          <w:sz w:val="28"/>
          <w:szCs w:val="28"/>
          <w:rtl w:val="true"/>
          <w:lang w:bidi="fa-IR"/>
        </w:rPr>
        <w:t>والدروس</w:t>
      </w:r>
      <w:r>
        <w:rPr>
          <w:rStyle w:val="FootnoteAnchor"/>
          <w:rtl w:val="true"/>
        </w:rPr>
        <w:footnoteReference w:id="667"/>
      </w:r>
      <w:r>
        <w:rPr>
          <w:rFonts w:ascii="Amiri" w:hAnsi="Amiri" w:eastAsia="Amiri" w:cs="Amiri"/>
          <w:color w:val="111111"/>
          <w:sz w:val="28"/>
          <w:sz w:val="28"/>
          <w:szCs w:val="28"/>
          <w:rtl w:val="true"/>
          <w:lang w:bidi="ar-SA"/>
        </w:rPr>
        <w:t>واللمعة</w:t>
      </w:r>
      <w:r>
        <w:rPr>
          <w:rStyle w:val="FootnoteAnchor"/>
          <w:rtl w:val="true"/>
        </w:rPr>
        <w:footnoteReference w:id="668"/>
      </w:r>
      <w:r>
        <w:rPr>
          <w:rFonts w:ascii="IRNazanin" w:hAnsi="IRNazanin" w:eastAsia="IRNazanin"/>
          <w:color w:val="111111"/>
          <w:sz w:val="28"/>
          <w:sz w:val="28"/>
          <w:szCs w:val="28"/>
          <w:rtl w:val="true"/>
          <w:lang w:bidi="fa-IR"/>
        </w:rPr>
        <w:t>وجامع المقاصد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الكلمات الدالّة على عدم الخلاف في المسألة بل الإجماع عليه،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الإجماع بقسميه عليه</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وقال الشيخ الأعظم قدس سره</w:t>
      </w:r>
      <w:r>
        <w:rPr>
          <w:rFonts w:eastAsia="Amiri" w:cs="Amiri" w:ascii="Amiri" w:hAnsi="Amiri"/>
          <w:color w:val="111111"/>
          <w:sz w:val="28"/>
          <w:szCs w:val="28"/>
          <w:rtl w:val="true"/>
          <w:lang w:bidi="ar-SA"/>
        </w:rPr>
        <w:t xml:space="preserve">: </w:t>
      </w:r>
      <w:bookmarkStart w:id="421" w:name="pg17323_406177"/>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 وقال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حرمة غشّ المسلم في الجملة بلا خلاف بين الشيعة وأهل السنّة؛ لتواتر الروايات من طرقنا ومن طرق العامّة، بل هي من ضروريّات مذهب المسلمين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876100_1280447820"/>
      <w:bookmarkStart w:id="423" w:name="_Toc155"/>
      <w:bookmarkEnd w:id="422"/>
      <w:r>
        <w:rPr>
          <w:rtl w:val="true"/>
        </w:rPr>
        <w:t>الأمر الثالث</w:t>
      </w:r>
      <w:r>
        <w:rPr>
          <w:rtl w:val="true"/>
        </w:rPr>
        <w:t xml:space="preserve">: </w:t>
      </w:r>
      <w:r>
        <w:rPr>
          <w:rtl w:val="true"/>
        </w:rPr>
        <w:t>في الروايات الدالّة على حرمة الغشّ‌</w:t>
      </w:r>
      <w:bookmarkEnd w:id="423"/>
    </w:p>
    <w:p>
      <w:pPr>
        <w:pStyle w:val="BookText"/>
        <w:rPr/>
      </w:pP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السابريّ في الظلال، فمرّ بي أبوالحسن الأوّل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البيع في الظلال غشّ‌، والغشّ لا يحلّ‌</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وآله أن يشاب اللبن بالماء للبيع</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الحسين بن زيد الهاشمي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زينب العطّارة الحولاء إلى نساء النبيّ صلى الله عليه وآله وبناته وكانت تبيع منهنّ العطر، فجاء النبيّ وهي عندهنّ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 فأحسني ولا تغشّي؛ فإنّه أتقى وأبقى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بسند صحيح، عن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بهذا الإسناد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لرجل يبيع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علمت أنّه ليس من المسلمين من غشّهم‌؟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العيون بأسانيد تقدّمت في إسباغ الوضوء، عن الرضا عليه السلام،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عقاب 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ابن زيد، عن حمّاد بن عمرو الصيني، عن أبي الحسن الخراساني، عن ميسرة ابن عبدالله، عن أبي عائشة السعدي، عن يزيد بن عمر بن عبد العزيز، عن أبي سلمة بن عبد الرحمان، عن أبي هريرة وعبدالله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وآله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خطبة خطبها بالمدينة حتّى لحق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 بمواعظ ذرفت منها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غشّ مسلماً في بيع أو شراء فليس منّا، ويحشر مع اليهود يوم القيامة؛ لأنّ من غشّ الناس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وفي قلبه غشّ لأخيه المسلم بات في سخط الله تعالى، وأصبح كذلك وهو في سخط الله حتّى يتوب ويرجع، وإن مات كذلك مات على غير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غشّ مسلماً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غشّ أخاه المسلم نزع الله </w:t>
      </w:r>
      <w:bookmarkStart w:id="424" w:name="pg17323_406179"/>
    </w:p>
    <w:p>
      <w:pPr>
        <w:pStyle w:val="BookText"/>
        <w:rPr/>
      </w:pPr>
      <w:bookmarkEnd w:id="424"/>
      <w:r>
        <w:rPr>
          <w:rFonts w:ascii="Amiri" w:hAnsi="Amiri" w:eastAsia="Amiri" w:cs="Amiri"/>
          <w:color w:val="111111"/>
          <w:sz w:val="28"/>
          <w:sz w:val="28"/>
          <w:szCs w:val="28"/>
          <w:rtl w:val="true"/>
          <w:lang w:bidi="ar-SA"/>
        </w:rPr>
        <w:t>منه بركة رزقه، وأفسد عليه معيشته، ووكله إلى نفسه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عليّ بن إبراهيم، عن أبيه عن ابن محبوب، عن أبي جميلة، عن سعد الإسكاف،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النبيّ صلى الله عليه وآله 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سعره، فأوحى الله عزّ وجلّ إليه أن يدسّ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الطعام ففعل، فأخرج طعاماً رديئاً،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وقد جمعت خيانةً وغشّاً للمسلمين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عليه السلام وإذا دنانير مصبوبة بين يديه، فنظر إلى دينار فأخذه بيده، ثمّ قطعه بنصفين،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إسناده عن موسى بن بكر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صحيحة هشام وموثّقة السكوني كفاية، ولا يضرّ عدم استظهار الحرمة من بعض الأخبار الدالّة على أنّ من غشّ مسلماً ليس منّا، ولكونه أعمّ من الكراهة، فتدبّر جيّداً</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876102_1280447820"/>
      <w:bookmarkStart w:id="426" w:name="_Toc156"/>
      <w:bookmarkEnd w:id="425"/>
      <w:r>
        <w:rPr>
          <w:rtl w:val="true"/>
        </w:rPr>
        <w:t>الأمر الرابع</w:t>
      </w:r>
      <w:r>
        <w:rPr>
          <w:rtl w:val="true"/>
        </w:rPr>
        <w:t xml:space="preserve">: </w:t>
      </w:r>
      <w:r>
        <w:rPr>
          <w:rtl w:val="true"/>
        </w:rPr>
        <w:t>في الظاهر من الكلمات والأخبار</w:t>
      </w:r>
      <w:bookmarkEnd w:id="42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الكلمات والأخبار حرمة نفس الغشّ بما هو غشّ‌، وعليه فلا وجه لإرجاع الحرمة إلى العناوين الاُخرى كالكذب وأكل أموال الناس بلا إذن منهم، والسبر والتقسيم </w:t>
      </w:r>
    </w:p>
    <w:p>
      <w:pPr>
        <w:pStyle w:val="BookText"/>
        <w:rPr/>
      </w:pPr>
      <w:r>
        <w:rPr>
          <w:rFonts w:ascii="Amiri" w:hAnsi="Amiri" w:eastAsia="Amiri" w:cs="Amiri"/>
          <w:color w:val="111111"/>
          <w:sz w:val="28"/>
          <w:sz w:val="28"/>
          <w:szCs w:val="28"/>
          <w:rtl w:val="true"/>
          <w:lang w:bidi="ar-SA"/>
        </w:rPr>
        <w:t>ونفي الحرمة عن الغشّ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من المحقّق الإيرواني حيث ألغى عنوان الغشّ عن الموضوعية والتزم بحرمته للعناوين الثانوية؛ من الكذب وأكل أموال الناس بلا رضا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الروايات حجّة عليه؛ لظهورها في حرمة الغشّ في نفسه، فإذا تحقّق موضوعه في مورد ترتّب عليه حكمه كسائر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لما ارتكبه المحقّق المذكور من السبر والتقسيم في نفي موضوعية الغشّ‌، بدعوى أنّه لا دليل على حرمة شوب اللبن بالماء ولا على حرمة عرض المشوب على البيع ولا على حرمة مجرّد الإنشاء، فتعيّن أن يكون الغشّ المحرّم أخذ قيمة غير المغشوش بإزاء المغشوش</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ما ذكره السيّد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أحكام الغشّ حتّى فيما إذا لم يكن إظهار خلاف ما أضمر، كما إذا كان الغشّ بقصد التلبيس بما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إذا كان الغشّ بالتورية، فمعها لا كذب كما أفاد في إرشاد الطالب</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بعض الأخبار وإن كان حرمة مطلق الغشّ ولو في غير المعاملات، ولكن يرفع اليد عنه ويحمل على خصوص المعاملات، 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من صرف الأخبار إلى خصوص المعاملات في الجملة؛ بداهة أنّه لا بأس بتزيين الدور والألبسة والأمتعة لإراءة أنّها جديدة مع أنّها عتيقة، وكذلك لا بأس بإطعام الطعام المغشوش وسقي اللبن الممزوج للضيف وغيره وبذل الأموال المغشوشة </w:t>
      </w:r>
      <w:bookmarkStart w:id="427" w:name="pg17323_406181"/>
    </w:p>
    <w:p>
      <w:pPr>
        <w:pStyle w:val="BookText"/>
        <w:rPr/>
      </w:pPr>
      <w:bookmarkEnd w:id="427"/>
      <w:r>
        <w:rPr>
          <w:rFonts w:ascii="Amiri" w:hAnsi="Amiri" w:eastAsia="Amiri" w:cs="Amiri"/>
          <w:color w:val="111111"/>
          <w:sz w:val="28"/>
          <w:sz w:val="28"/>
          <w:szCs w:val="28"/>
          <w:rtl w:val="true"/>
          <w:lang w:bidi="ar-SA"/>
        </w:rPr>
        <w:t>للفقراء، بل يمكن عدم صدق الغشّ في هذه الموارد أو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أخبر بموافقة الظاهر في ذلك للواقع كان حراماً من جهة الكذب سواء كان إخباره قوليّاً أو فعليّاً، وهو أجنبيّ عمّا نحن فيه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يبعد الأخذ بإطلاق مثل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المرجوحية لمطلق الغشّ بالنسبة إلى غير المعاملات من الاُمور الاجتماعية وغيرها؛ كأن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أذهب إلى سفر، مع أنّه أراد السفر، ونحو ذلك ممّا يصدق عليه عنوان الغشّ‌، مضافاً إلى صدق عنوان الكذب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لا يستفاد من تلك الأخبار حرمة مطلق الغشّ‌؛ لأنّها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وأمّا ما يدلّ على الحرمة فهو مختصّ بالمعاملات، كصحيحة هشام وموثّقة السكوني، فراجع</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876104_1280447820"/>
      <w:bookmarkStart w:id="429" w:name="_Toc157"/>
      <w:bookmarkEnd w:id="428"/>
      <w:r>
        <w:rPr>
          <w:rtl w:val="true"/>
        </w:rPr>
        <w:t>الأمر الخامس</w:t>
      </w:r>
      <w:r>
        <w:rPr>
          <w:rtl w:val="true"/>
        </w:rPr>
        <w:t xml:space="preserve">: </w:t>
      </w:r>
      <w:r>
        <w:rPr>
          <w:rtl w:val="true"/>
        </w:rPr>
        <w:t>في الصحّة والفساد</w:t>
      </w:r>
      <w:bookmarkEnd w:id="42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الغشّ بما يخفى بعد تمثيله له بمزج اللبن بالماء وجهين في صحّة المعاملة وفسادها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المحرّم هو الغشّ والمبيع عين مملوكة ينتفع بها، ومن أنّ المقصود بالبيع هو اللبن، والجاري عليه العقد هو المشوب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في باب الجماعة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نوى الاقتداء بإمام معيّن على أنّه زيد فبان عمرو أنّ في الحكم نظراً، ومثله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 فإذا هو حمار، وجعل منشأ التردّد تغليب الإشارة أو الوصف</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الشيخ الأعظم بعد نقل عبارة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ذكره من وجهي الصحّة والفساد جار في مطلق العيب؛ لأنّ المقصود هو الصحيح، والجاري عليه العقد هو المعيب، وجعله من باب تعارض الإشارة والوصف مبنيّ على إرادة الصحيح من عنوان المبيع،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بعد تبيّن كونه أعمى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ليس الأمر كذلك كما سيجيء في باب العيب، بل وصف الصحّة ملحوظ على وجه الشرطية وعدم كونه مقوّماً للمبيع، كما يشهد به العرف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كون المراد من عنوان المشار إليه هو الصحيح لم يكن إشكال في تقديم العنوان على الإشارة بعدما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بالبيع هو اللبن والجاري عليه العقد هو المشوب؛ لأنّ ما قصد لم يقع وما وقع لم يقصد؛ ولذا اتّفقوا على بطلان الصرف فيما إذا تبيّن أحد العوضين معيباً من 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التردّد في مسألة تعارض الإشارة والعنوان فهو من جهة اشتباه ما هو المقصود بالذات بحسب الدلالة اللفظية؛ فإنّها مردّدة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متعلّق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وبالذات هو العين الحاضرة، ويكون اتّصافه بالعنوان مبنيّاً على الاعتقاد، وكونِ متعلّقه هو العنوان والإشارة إليه باعتبار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تقدير العلم بما هو المقصود بالذات ومغايرته للموجود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يتردّد أحد في البطلان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تشبيه مسألة الاقتداء في الذكرى بتعارض الإشارة والوصف في الكلام مع عدم الإجمال في النيّة فباعتبار عروض الاشتباه للناوي بعد ذلك فيما نواه؛ إذ كثيراً ما يشتبه على الناوي أنّه حضر في ذهنه العنوان ونوى الاقتداء به معتقداً لحضوره المعتبر في إمام الجماعة، فيكون الإمام هو المعنون بذلك العنوان وإنّما أشار إليه معتقداً لحضوره، </w:t>
      </w:r>
    </w:p>
    <w:p>
      <w:pPr>
        <w:pStyle w:val="BookText"/>
        <w:rPr/>
      </w:pPr>
      <w:r>
        <w:rPr>
          <w:rFonts w:ascii="Amiri" w:hAnsi="Amiri" w:eastAsia="Amiri" w:cs="Amiri"/>
          <w:color w:val="111111"/>
          <w:sz w:val="28"/>
          <w:sz w:val="28"/>
          <w:szCs w:val="28"/>
          <w:rtl w:val="true"/>
          <w:lang w:bidi="ar-SA"/>
        </w:rPr>
        <w:t xml:space="preserve">أو أنّه نوى الاقتداء بالحاضر وعنونه بذلك العنوان لإحراز معرفته بالعدالة، أو تعنون به بمقتضى الاعتقاد من دون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حينئذ في المسألة صحّة البيع في غير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الغشّ بإظهار الشيء على خلاف جنسه، كبيع المموّه على أنّه ذهب أو فضّة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الكلام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الأوصاف في المعاملات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كوصف الصحّة وغير المخلوط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عناوين للمبيع، بل هي مشروطة في ضمن الالتزام بالبيع والمعاملة، والاشتراط في ضمن الالتزام بالبيع يؤول إلى الالتزام الفقهي وهو الالتزام في ضمن الالتزام؛ ولذا لا يكون تخلّفها موجباً للبطلان وإنّما يقتضي الخيار؛ ولهذا صرّح الشيخ قدس سره بأنّ وصف الصحّة إنّما اُخذ على وجه الشرطية وعدم كونه مقوّماً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الوصف مأخوذاً بنحو المقوّمية كبيع المموّه على أنّه ذهب أو فضّة فإنّ تخلّفه يوجب مغايرة الباقي مع الموصوف عرفاً؛ ولذا يكون محكوماً بالبطلان، ولا يؤثّر في الصحّة الإشارة حينئذ؛ إذ المقصود هو الجنس الذي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مسألتنا ليست من باب تعارض الوصف والإشارة؛ للعلم بأنّ الوصف مأخوذ على نحو الشرطية، ولو فرض أنّه مأخوذ بنحو وصف المقوّمية فلا إشكال في البطلان، وتشبيه مسألة الاقتداء بتعارض الإشارة والوصف لا يصحّ إلاّ بحسب مقام الإثبات؛ وإلاّ فبحسب مقام الثبوت لا إجمال ولا ترديد فيه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كانت المعاملات شخصية، وأمّا إذا كانت كلّية وكان الغشّ في الفرد المقبوض فلا إشكال في الصحّة ولو كان الفرد المقبوض من غير جنس المبيع؛ لأنّ غايته هو الحكم ببطلان المقبوض، وأمّا المعاملة فهي صحيحة؛ لعدم كون الغشّ في البيع وإنّما </w:t>
      </w:r>
    </w:p>
    <w:p>
      <w:pPr>
        <w:pStyle w:val="BookText"/>
        <w:rPr/>
      </w:pPr>
      <w:r>
        <w:rPr>
          <w:rFonts w:ascii="Amiri" w:hAnsi="Amiri" w:eastAsia="Amiri" w:cs="Amiri"/>
          <w:color w:val="111111"/>
          <w:sz w:val="28"/>
          <w:sz w:val="28"/>
          <w:szCs w:val="28"/>
          <w:rtl w:val="true"/>
          <w:lang w:bidi="ar-SA"/>
        </w:rPr>
        <w:t>هو في تطبيق المبيع الكلّي على الفرد الخارجي، فللمشتري تبديله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المتراءى من عبارة الشيخ قدس سره أنّ الوصف لو لم يؤخذ بنحو الشرطية يوجب البطلان ولو لم يكن مقوّماً، وهو محلّ تأمّل ونظر؛ لأنّ العرف يجعل الوصف غير المقوّم كالمشروط في كون المعاملة متعلّقة بذات الموصوف، والوصف كالمشروط التزام في ضمن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معلّق على الوصف، فينتفي البيع مع انتفاء الوصف؛ للتعليق المجمع على كونه مبطلاً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لو اُريد من الشرط الشرط الاُصولي، وأمّا إن اُريد منه الشرط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في ضمن الالتزام في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البطلان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النهي عن بيع المغشوش؛ فإنّه 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نجد ما يدلّ على النهي عن بيع المغشوش إلاّ خبر موسى بن بكر عن أبي الحسن عليه السلام في الدينار المغشوش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مضافاً إلى ما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أجد إسناد الصدوق إلى موسى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إذا كان المقصود منه حراماً، نظير آلات اللهو والقمار؛ إذ من المعلوم أنّ مثله بهيئته لا يقصد منه إلاّ التلبيس؛ فهو آلة الفساد لكلّ من دفع إليه، وأين هو من اللبن الممزوج بالماء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وأجاد الشيخ 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الغشّ فهو لا يفيد الفساد؛ لأنّ الغشّ أمر خارج عن البيع، والنهي إذا تعلّق بأمر خارج عن الشيء لا يدلّ على الفساد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يكون البيع باطلا فيما إذا كان الغشّ بإخفاء الأدنى في الأعلى كمزج الجيّد </w:t>
      </w:r>
    </w:p>
    <w:p>
      <w:pPr>
        <w:pStyle w:val="BookText"/>
        <w:rPr/>
      </w:pPr>
      <w:r>
        <w:rPr>
          <w:rFonts w:ascii="Amiri" w:hAnsi="Amiri" w:eastAsia="Amiri" w:cs="Amiri"/>
          <w:color w:val="111111"/>
          <w:sz w:val="28"/>
          <w:sz w:val="28"/>
          <w:szCs w:val="28"/>
          <w:rtl w:val="true"/>
          <w:lang w:bidi="ar-SA"/>
        </w:rPr>
        <w:t>بالرديء، أو غير المراد في المراد كإدخال الماء في اللبن، وبإظهار الصفة الجيّدة المفقودة واقعاً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إذا كان الغشّ بإظهار الشيء على خلاف جنسه، كبيع المموّه على أنّه ذهب أو فضّة، كما صرّح به الشيخ الأعظم قدس سره</w:t>
      </w:r>
      <w:r>
        <w:rPr>
          <w:rFonts w:eastAsia="Amiri" w:cs="Amiri" w:ascii="Amiri" w:hAnsi="Amiri"/>
          <w:color w:val="111111"/>
          <w:sz w:val="28"/>
          <w:szCs w:val="28"/>
          <w:rtl w:val="true"/>
          <w:lang w:bidi="ar-SA"/>
        </w:rPr>
        <w:t xml:space="preserve">. </w:t>
      </w:r>
      <w:bookmarkStart w:id="430" w:name="pg17323_406186"/>
    </w:p>
    <w:p>
      <w:pPr>
        <w:pStyle w:val="Heading2"/>
        <w:numPr>
          <w:ilvl w:val="1"/>
          <w:numId w:val="1"/>
        </w:numPr>
        <w:rPr/>
      </w:pPr>
      <w:bookmarkStart w:id="431" w:name="__RefHeading___Toc876106_1280447820"/>
      <w:bookmarkStart w:id="432" w:name="_Toc158"/>
      <w:bookmarkEnd w:id="430"/>
      <w:bookmarkEnd w:id="431"/>
      <w:r>
        <w:rPr>
          <w:rtl w:val="true"/>
        </w:rPr>
        <w:t xml:space="preserve">المسألة الثامنة والثلاثون </w:t>
      </w:r>
      <w:r>
        <w:rPr>
          <w:rtl w:val="true"/>
        </w:rPr>
        <w:t>«</w:t>
      </w:r>
      <w:r>
        <w:rPr>
          <w:rtl w:val="true"/>
        </w:rPr>
        <w:t>في الغناء</w:t>
      </w:r>
      <w:r>
        <w:rPr>
          <w:rtl w:val="true"/>
        </w:rPr>
        <w:t>»</w:t>
      </w:r>
      <w:bookmarkEnd w:id="432"/>
    </w:p>
    <w:p>
      <w:pPr>
        <w:pStyle w:val="Heading3"/>
        <w:numPr>
          <w:ilvl w:val="2"/>
          <w:numId w:val="1"/>
        </w:numPr>
        <w:rPr/>
      </w:pPr>
      <w:bookmarkStart w:id="433" w:name="__RefHeading___Toc876108_1280447820"/>
      <w:bookmarkStart w:id="434" w:name="_Toc159"/>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والبحث فيه يقع في عدّة جهات</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876110_1280447820"/>
      <w:bookmarkStart w:id="436" w:name="_Toc160"/>
      <w:bookmarkEnd w:id="435"/>
      <w:r>
        <w:rPr>
          <w:rtl w:val="true"/>
        </w:rPr>
        <w:t>الجهة الاُولى</w:t>
      </w:r>
      <w:r>
        <w:rPr>
          <w:rtl w:val="true"/>
        </w:rPr>
        <w:t xml:space="preserve">: </w:t>
      </w:r>
      <w:r>
        <w:rPr>
          <w:rtl w:val="true"/>
        </w:rPr>
        <w:t>في كلمات الأصحاب</w:t>
      </w:r>
      <w:bookmarkEnd w:id="436"/>
    </w:p>
    <w:p>
      <w:pPr>
        <w:pStyle w:val="BookText"/>
        <w:rPr/>
      </w:pPr>
      <w:r>
        <w:rPr>
          <w:rFonts w:ascii="Amiri" w:hAnsi="Amiri" w:eastAsia="Amiri" w:cs="Amiri"/>
          <w:color w:val="111111"/>
          <w:sz w:val="28"/>
          <w:sz w:val="28"/>
          <w:szCs w:val="28"/>
          <w:rtl w:val="true"/>
          <w:lang w:bidi="ar-SA"/>
        </w:rPr>
        <w:t>قال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كسب المغنّية حرام</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حرمة التكسّب بالغناء من دون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وكسب المغنّية حرام، ولا بأس بكسب المغنّية النائحة إذا قالت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أنّها تستحلّه بضرب إحدى يديها على الاُخرى</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حرمة التكسّب بالغناء من دون شرط، بخلاف النائحة فإنّ التكسّب بالنوح حرام إذا لم يكن صدقاً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 العيدان والطنابير وسائر الملاهي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 المغنّيات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ذلك وتعليمه محظور في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وكسب النوائح بالباطل حرام، ولا </w:t>
      </w:r>
    </w:p>
    <w:p>
      <w:pPr>
        <w:pStyle w:val="BookText"/>
        <w:rPr/>
      </w:pPr>
      <w:r>
        <w:rPr>
          <w:rFonts w:ascii="Amiri" w:hAnsi="Amiri" w:eastAsia="Amiri" w:cs="Amiri"/>
          <w:color w:val="111111"/>
          <w:sz w:val="28"/>
          <w:sz w:val="28"/>
          <w:szCs w:val="28"/>
          <w:rtl w:val="true"/>
          <w:lang w:bidi="ar-SA"/>
        </w:rPr>
        <w:t>بأس بالنوح على أهل الدين بالحقّ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بالأجر على ذلك، والتنزّه عن التكسّب به أولى في الدين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كعبارة الصدوق في تحريم الغناء من دون شرط، بخلاف تحريم النياحة حيث شرط فيه كونه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النهاية في عداد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جميع أنواع الملاهي والتجارة فيها والتكسّب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العيدان والطنابير وغيرهما من أنواع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 المغنّيات وتعلّم الغناء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 النوائح بالأباطيل حرام، ولا بأس بذلك على أهل الدين بالحقّ من الكلام</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الاستبصار بعد نقل روايات المغنّية التي تزفّ العرائس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هذه الأخبار الرخصة فيمن لا تتكلّم بالأباطيل ولا تلعب بالملاهي من العيدان وأشباهها ولا بالقصب ونحوه، بل يكون ممّن تزفّ العروس وتتكلّم عندها بإنشاد الشعر والقول البعيد من الفحش والأباطيل، فأمّا ما عدا هؤلاء ممّن يتغنّين بسائر الملاهي فلا يجوز على حال؛ سواء كان في العرائس أو غيرها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استثناء الغناء في ليلة الزفاف إذا لم تقترن معه المذكورات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سلاّر في المراسم في عداد المحرّم من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 الملاهي، والتجارة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 المغنّيات والنوائح بالباطل</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كره من المآكل والمشارب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المغنّيات في الأعراس إذا لم يغنّين بالأباطيل والضرب</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وجواز الغناء في الأعراس قيّده بما إذا لم يكن باطلا ومقترناً بالملاهي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 في فقه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علم الإنسان أو غلب على ظنّه أنّه لا يتمكّن من جميع ذلك فلا يجوز له التعرّض له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كسب المغنّيات،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تدعى إلى العرائس ليس به بأس، والتي يدخل عليها الرجال حرام،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زهرة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المحظور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وآلات الملاهي، والزمر، مثل الناي وجميع ما جرى مجراه، والقصيب، والشين وما جرى مجرى ذلك، والحبال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والطبال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وجوهه وضروبه وآلاته، والغناء</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الكيدري في إصباح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بيع أنواع الملاهي كالطنابير والعيدان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 المغنّيات والنوائح بالأباطيل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بأخذ اُجرة المغنّية في الأعراس إذا لم تغنّ بالأباطيل ولا يدخلن على الرجال</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إدريس في السرائر في عداد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وآلات جميع الملاهي على اختلاف ضروبها من الطبول والدفوف والزمر وما جرى مجراه، والقصب، والسير، والرقص، وجميع ما يطرب من الأصوات والأغاني وما جرى مجرى ذلك</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عداد المكروهات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 المغنّيات في الأعراس إذا لم يغنّين بالأباطيل على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الغناء محرّم ممّن كان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سعيد الحلّي في نزهة الناظر في عداد ما لا يجوز بيعه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 المغنّية بزيادة في ثمنها لأجل الغناء</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لتحريم ما قصد به، كآلات اللهو مثل العود والزمر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في نفسه، كعمل الصور المجسّمة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ونوح النائحة بالباطل</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كلام من سبق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الغناء من دون تقييد بالباطل، بخلاف نوح النائحة فإنّ حرمته متقيّدة بما إذا كان النوح بالباطل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المحرّمة، كعمل الصور المجسّمة، والغناء عدا المغنّية لزفّ العرائس إذا لم تغنّ بالباطل ولم تدخل عليها الرجال، والنوح بالباطل؛ أمّا بالحقّ فجائز</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العلاّمة في القواعد في عداد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المقصود منه حراماً كآلات اللهو كالعود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الشرع على تحريمه عيناً، كعمل الصور المجسّمة، والغناء وتعليمه واستماعه، وأجر المغنّية، وقد وردت رخصة في إباحة أجرها في العرس إذا لم تتكلّم بالباطل ولم تلعب بالملاهي ولم يدخل الرجال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أجر النائحة بالباطل، ويجوز بالحقّ‌</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تبصرة المتعلّمين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بما يحرم عمله، كعمل الصور المجسّمة، والغناء في غير العرس، والنوح بالباطل؛ ولا بأس بالحقّ‌</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إرشاد الأذهان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حرام في نفسه، كعمل الصور المجسّمة،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والنوح بالباطل</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تلخيص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التكسّب بالأعيان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الصور ذات الروح المجسّمة وغيرها على رأي،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والنوح بالباطل</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الشارع على تحريمه عيناً، كعمل الصور المجسّمة، والغناء وتعليمه واستماعه، وأجر المغنّية، قال الصادق عليه السلام وقد سأله رجل عن بيع الجواري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شراؤهنّ حرام، وبيعهنّ حرام، وتعلّمهنّ كفر، واستماعهنّ نفاق</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ملعونة؛ ملعون من أكل كسبها</w:t>
      </w:r>
      <w:r>
        <w:rPr>
          <w:rFonts w:eastAsia="Amiri" w:cs="Amiri" w:ascii="Amiri" w:hAnsi="Amiri"/>
          <w:color w:val="111111"/>
          <w:sz w:val="28"/>
          <w:szCs w:val="28"/>
          <w:rtl w:val="true"/>
          <w:lang w:bidi="ar-SA"/>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إسحاق </w:t>
      </w:r>
    </w:p>
    <w:p>
      <w:pPr>
        <w:pStyle w:val="BookText"/>
        <w:rPr/>
      </w:pPr>
      <w:r>
        <w:rPr>
          <w:rFonts w:ascii="Amiri" w:hAnsi="Amiri" w:eastAsia="Amiri" w:cs="Amiri"/>
          <w:color w:val="111111"/>
          <w:sz w:val="28"/>
          <w:sz w:val="28"/>
          <w:szCs w:val="28"/>
          <w:rtl w:val="true"/>
          <w:lang w:bidi="ar-SA"/>
        </w:rPr>
        <w:t>بن عمر عند وفاته بجوار له مغنّيات أن يبعن ويحمل ثمنهنّ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الجواري بثلاثمائة ألف درهم، وحملت الثمن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 يقال له إسحاق بن عمر أوصى عند وفاته ببيع جوار له مغنّيات وحمل الثمن إليك، وقد بعتهنّ‌، وهذا الثمن ثلاثمائة ألف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 إنّ هذا سحت، وتعليمهنّ كفر، والاستماع منهنّ نفاق، وثمنهنّ سحت</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الأوّل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عمل الصور المجسّمة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والنوح بالباطل</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يحرم إذا اشتمل على وجه قبيح، وهو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لعينه كالغناء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فعله وتعلّمه وتعليمه واستماعه والتكسّب به، إلاّ غناء العرس إذا لم يدخل الرجال على المرأة ولم يُتكلّم بالباطل ولم تلعب بالملاهي، وكرّهه القاضي، وحرّمه ابن إدريس والفاضل في التذكرة، والإباحة أصحّ طريقاً وأخصّ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والنياحة بالباطل</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طي في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المغنّية إذا بيعت بأكثر ممّا يرغب فيها لولا الغناء فالوجه التحريم، إذا كان اشتراها لكونها مغنّية لم يصحّ‌، وإلاّ صحّ ويفعل حراماً</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سقوط حرف الواو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المحقّق الثاني في جامع المقاصد في ذيل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ممدود،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المشتمل على الترجيع المطرب، وليس مطلق مدّ الصوت محرّماً وإن مالت القلوب إليه ما لم ينتهِ إلى حيث يكون مطرباً بسبب اشتماله على الترجيع المقتضي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الحُداء، وفعل المرأة له في الأعراس بشروطه الآتية، واستثنى بعضهم مراثي الحسين عليه السلام كذلك</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ذيل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 المغنّية، وقد وردت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على الرخصة وموردها، فلا ترخّص في غناء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عدم دخول الرجال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سماعهم صوتها؛ للقطع بالتحريم وإن لم يدخلوا عليها وذلك إذا كانوا أجانب، ويحتمل العموم؛ لإطلاق النصّ‌، وإنّما يحرم من الملاهي ما لا يجوز مثله في العرس، فالدفّ الذي لا صنج له ولا جلاجل له يجوز لعبها به على الظاهر؛ لاستثنائه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ذيل قوله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أجر النائحة بالباطل، ويجوز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عدم آلات اللهو وعدم سماع الرجال الأجانب صوتها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إيضاح الفوائد في ذيل قول والده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وردت رخصة في إباحة أجرها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العرس إذا لم تتكلّم بالباطل ولم تلعب بالملاهي ولم يدخل الرجال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ما جاز فعله مع قيام المانع لمعنىً اقتضى جوازه بدليل، وهاهنا كذلك؛ لقيام الدليل على تحريم الغناء والملاهي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p>
    <w:p>
      <w:pPr>
        <w:pStyle w:val="BookText"/>
        <w:rPr/>
      </w:pPr>
      <w:r>
        <w:rPr>
          <w:rFonts w:ascii="Amiri" w:hAnsi="Amiri" w:eastAsia="Amiri" w:cs="Amiri"/>
          <w:color w:val="111111"/>
          <w:sz w:val="28"/>
          <w:sz w:val="28"/>
          <w:szCs w:val="28"/>
          <w:rtl w:val="true"/>
          <w:lang w:bidi="ar-SA"/>
        </w:rPr>
        <w:t>أبي بصير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تغنّي لزفّ العرائس ليس به بأس؛ ليست التي يدخل عليها الرجال</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الأصحاب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بأجر المغنّية إذا لم تغنِّ بالباطل، ولا تدخل على الرجال، ولا يدخل الرجال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الغناء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المغنّية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ابن إدريس، وهو الأقوى؛ لأنّ هذه الرواية من الآحاد، فلا يعارض الدليل المانع؛ لتواتره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المشتمل على الترجيع المطرب، فلا يحرم بدون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الترجيع مع الإطراب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أحدهما، كذا عرّفه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بعضهم إلى العرف؛ فما سمّي فيه غناء يحرم وإن لم يطرب،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كونه في شعر وقرآن وغيرهما، واستثني منه الحداء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سوق الإبل بالغناء لها، وفعل المرأة له في الأعراس إذا لم تتكلّم بالباطل ولم تعمل بالملاهي ولم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الأجانب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من الأصحاب منهم العلاّمة في التذكرة إلى تحريم الغناء استناداً إلى أخبار مطلقة، ووجوب الجمع بينها وبين ما دلّ على الجواز هنا من الأخبار الصحيحة متعيّن؛ حذراً من اطّراح المقيّد</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الفيض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رواية من الفقيه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جارية لها صوت‌؟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عليك لو اشتريتها فذكّرتك الجنّة؛ </w:t>
      </w:r>
    </w:p>
    <w:p>
      <w:pPr>
        <w:pStyle w:val="BookText"/>
        <w:rPr/>
      </w:pPr>
      <w:r>
        <w:rPr>
          <w:rFonts w:ascii="Amiri" w:hAnsi="Amiri" w:eastAsia="Amiri" w:cs="Amiri"/>
          <w:color w:val="111111"/>
          <w:sz w:val="28"/>
          <w:sz w:val="28"/>
          <w:szCs w:val="28"/>
          <w:rtl w:val="true"/>
          <w:lang w:bidi="ar-SA"/>
        </w:rPr>
        <w:t>يعني بقراءة القرآن والزهد والفضائل التي ليست بغناء، فأمّا الغناء فمحظور</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التفسير 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ويستفاد منه أنّ مدّ الصوت وترجيعه بأمثال ذلك ليس بغناء أو ليس بمحظور، وفي الأحاديث التي مضت في باب ترتيل القرآن بالصوت الحسن من كتاب الصلاة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مجموع الأخبار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حرمة الغناء وما يتعلّق به من الأجر والتعليم والاستماع والبيع والشراء كلّها بما كان على النحو المعهود المتعارف في زمن بني اُميّة وبني العبّاس؛ من دخول الرجال عليهنّ وتكلّمهنّ بالأباطيل ولعبهنّ بالملاهي من العيدان والقضيب وغيرها، دون ما سوى ذلك كما يشعر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الاستبصار بعد نقل ما أوردناه في أوّل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هذه الأخبار الرخصة فيمن لا يتكلّم بالأباطيل ولا يلعب بالملاهي والعيدان وأشباهها ولا بالقضيب وغيره بل يكون ممن يزفّ العروس ويتكلّم عندها بإنشاد والشعر والقول البعيد عن الفحش والأباطيل، وأمّا ما عدا هؤلاء ممّن يتغنّين بسائر أنواع الملاهي فلا يجوز على حال؛ سواء كان في العرائس أو غيرها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الغناء إنّما هو لاشتماله على أفعال محرّمة، فإن لم يتضمّن شيئاً من ذلك جاز، وحينئذ فلا وجه لتخصيص الجواز بزفّ العرائس ولا سيّما وقد ورد الرخصة به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الأفعال لا يليق بذوي المروءات وإن كان مباحاً، فالميزان فيه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 وقول أبي 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ميّز الله بين الحقّ والباطل فأين يكون الغناء؟</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بأس بسماع التغنّي بالأشعار المتضمّنة ذكر الجنّة والنار، والتشويق إلى دار القرار، ووصف نعم الله الملك الجبّار، وذكر العبادات، والترغيب في الخيرات، والزهد في الفانيات، ونحو ذلك، كما اُشير إليه في حديث الفقيه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هذه كلّها ذكر الله تعالى، وربّما تقشعرّ منه جلود الذين يخشون ربّهم ثمّ تلين جلودهم وقلوبهم إلى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ذوي الحجى بعد سماع هذه الأخبار تمييز حقّ الغناء من باطله، وأنّ أكثر ما يتغنّى به المتصوّفة في محافلهم من قبيل الباطل</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ما نقله عن الشيخ من جواز الغناء غير المقرون بالمحرّمات مختصّ بالعرائس فلا يشمل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عمّم تحريم الغناء المقرون بأفعال محرّمة لصورتي العرس وغيره، وأمّا إذا لم يقترن بذلك فخصّ جوازه بصورة العرس، فلا يستفاد منه تجويز الغناء الذي لم يقترن بالمحرّمات في غير العرس، بل مقتضى تخصيص الجواز بالعرس عدم الجواز في غيره، وحمل عبارته على أنّ عدم الذكر من جهة منافاته مع المروءة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مرسلة الصدوق أجنبيّة عن المقام؛ لأنّ موضوعها هو الصوت لا الغناء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لا يستفاد من تفسير الصدوق أنّ الغناء بقراءة القرآن والزهد والفضائل لا محظور فيه، بل غايته أنّ إعمال الصوت في الفضائل والقرآن بالنحو الذي لا يصدق عليه أنّه غناء لهويّ لا بأس به، بخلاف ما إذا كان بنحو الغناء المتداول اللهويّ فهو </w:t>
      </w:r>
    </w:p>
    <w:p>
      <w:pPr>
        <w:pStyle w:val="BookText"/>
        <w:rPr/>
      </w:pPr>
      <w:r>
        <w:rPr>
          <w:rFonts w:ascii="Amiri" w:hAnsi="Amiri" w:eastAsia="Amiri" w:cs="Amiri"/>
          <w:color w:val="111111"/>
          <w:sz w:val="28"/>
          <w:sz w:val="28"/>
          <w:szCs w:val="28"/>
          <w:rtl w:val="true"/>
          <w:lang w:bidi="ar-SA"/>
        </w:rPr>
        <w:t>ممنوع، ومضافاً إلى أنّ الرواية مرسلة، وجزم الصدوق بها لا يستلزم جزمنا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السبزواري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محرّم في نفسه الغناء؛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المشتمل على الترجيع المطرب على 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اقتصر على الترجيع، وبعضهم على الإطراب من غير ذكر 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العامّة من فسّر بتحسين الصوت، ويظهر ذلك من بعض عبارات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في الغالب لا ينفكّ التحسين من الوصفين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فسّر بمدّ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صوتاً ووالاه فهو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الإطراب والترجيع مجتمعان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غناءً عرفاً وإن لم يشتمل على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عندنا في تحريم الغناء في الجملة، والأخبار الدالّة عليه 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المحقّق وجماعة ممّن تأخّر عنه بتحريم الغناء ولو كان في القرآن، لكن غير واحد من الأخبار يدلّ على جوازه بل استحبابه في القرآن، بناءً على دلالة الروايات على حسن الصوت والتحزين في القرآن، والظاهر أنّ شيئاً منها لا يوجد بدون الغناء على ما استفيد من كلام أهل اللغة وغيرهم وفصّلناه في بعض رسائلنا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مرسلة ابن أبي عمير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بالحزن فاقرؤوه بالحزن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أوحى إلى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بين يديّ فقف موقف الذليل الفقير، وإذا قرأت التوراة فأسمعنيها بصوت حزين</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خوفاً على نفسه من موسى بن جعفر عليه السلام ولا أرجى للناس منه، وكانت قراءته حزناً؛ فإذا قرأ فكأنّه يخاطب إنساناً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القرآن بألحان العرب وأصواتها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النوفلي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الصوت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القرآن، فربّما يمرّ به المارّ فصعق من حسن صوته و إنّ الإمام لو أظهر من ذلك شيئاً لما احتمله الناس من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عبدالله بن سنان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يعْطَ اُمّتي أقلّ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والصوت الحسن، والحفظ</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أجمل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 ونغمة الصوت الحسن</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عبدالله بن سنان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حلية، وحلية القرآن الصوت الحسن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عزّوجلّ نبيّاً إلاّ حسن الصوت</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وفي رواية اُخرى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بن الحسين عليه السلام أحسن الناس صوتاً بالقرآن، وكان السقّاؤون يمرّون فيقفون ببابه يستمعون قراءته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بالقرآن صوتك؛ فإنّ الله عزّ وجلّ يحبّ الصوت الحسن يرجّع فيه ترجيعاً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وروى معاوية بن عمّار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يرى أنّه صنع شيئاً في الدعاء وفي القرآن حتّى يرفع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الناس صوتاً بالقرآن، فكان يرفع صوته حتّى يسمعه أهل الدار، وإنّ أبا جعفر عليه السلام كان أحسن الناس صوتاً بالقرآن، و كان إذا قام من الليل وقرأ رفع صوته، فيمرّ به مارّ الطريق من الساقين وغيرهم فيقومون فيستمعون إلى قراءته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جارية لها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 يعني بقراءة القرآن والزهد والفضائل التي ليست بغناء، فأمّا الغناء فمحظور</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ولحون أهل الفسق وأهل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سيجيء من بعدي أقوام يرجّعون القرآن ترجيع الغناء والنوح والرهبانية ولا يجوز تراقيهم، قلوبهم مغلوبةٌ وقلوب من يعجبه شأنهم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وارتكاب التأويل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يجتمع مع القول بتحريم الغناء في القرآن يحتاج إلى تكلّف بيّن، والشيخ أبو جعفر الطبرسي قال في كتاب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يستحبّ للقارئ من تحسين اللفظ وتزيين الصوت بقراءة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روايات من طريق العامّة حتّى نقل رواية عبد الرحمان الثابت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سعد بن أبي وقّاص، فأتيته مسلّماً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أخي، بلغني أنّك حسن الصوت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بالحزن، فإذا قرأتموه فابكوا، فإن لم تبكوا فتباكوا، وتغنّوا به، فمن لم يتغنَّ بالقرآن فليس منّا</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وتأوّل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استغنوا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العلماء على أنّه تزيين الصوت وتحزينه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تحسين الصوت بالقرآن والتغنّي به مستحبّ عنده، وأنّ خلاف ذلك لم يكن معروفاً بين القدماء، وكلام السيّد المرتضى في الغرر والدرر لا يخلو عن إشكال واضح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ترتيل القرآن بالصوت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وأورد أكثر الأخبار المذكورة، وأنت تعلم طريقة القدماء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هذه الأخبار والأخبار الكثيرة الدالّة على تحريم الغناء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تلك الأخبار بما عدا القرآن، وحمل ما يدلّ على ذمّ التغنّي بالقرآن على قراءة تكون على سبيل اللهو كما يصنعه الفسّاق في غنائهم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تلك الأخبار الغناء، والمفرد المعرّف باللام لا يدلّ على العموم لغةً‌، وعمومه إنّما يستنبط من حيث إنّه لا قرينة على إرادة الخاصّ‌، وإرادة بعض الأفراد من غير تعيين ينافي غرض الإفادة وسياق البيان والحكمة، فلابدّ من حمله على الاستغراق والعموم، وهاهنا ليس كذلك؛ لأنّ الشائع في ذلك الزمان الغناء على سبيل اللهو من الجواري والمغنّيات وغيرهنّ في مجالس الفجور والخمور وغيرها، فحمل المفرد على تلك الأفراد الشائعة في ذلك الزمان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عدّة من تلك الأخبار إشعار بكونه لهواً باطلا، وصدق ذلك في القرآن والدعوات والأذكار المقروءة بالأصوات الطيّبة المذكّرة للآخرة والمهيّجة للأشواق إلى عالم القدس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إجماع في غير الغناء على سبيل اللهو كان متّبعاً، وإلاّ بقي حكمه على أصل الإباحة، وطريق 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استثناء الحداء؛ وهو سوق الإبل بالغناء لها، ولا أعلم حجّة عليه إلاّ أن يقال بعدم شمول أدلّة المنع 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فعل المرأة له في الأعراس إذا لم تتكلّم بالباطل ولم تعمل بالملاهي ولم تسمع صوتها الأجانب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فأباحه جماعة منهم الشيخان، وكرّهه القاضي، 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إدريس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التحريم استناداً إلى أخبار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الجمع بينها وبين الصحيح الدالّ على الجواز يقتضي المصير إلى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بعضهم استثناء مراثي الحسين عليه السلام، وهو غير بعيد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ما فيه؛ لأنّ حمل الصوت الحسن وتحزينه على الغناء الذي من الملاهي أو القول بملازمتهما كماترى، ولا وجه له، إلاّ أن نلتزم بأنّ الغناء مطلق الصوت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يُفتِ أحد بحرمة الغناء بهذا المعنى؛ ولذا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فرض كون الغناء موضوعاً لمطلق الصوت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ما تقدّم في تفسير معنى التطريب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الكاشاني والسبزواري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أظنّ أحداً يفتي بإطلاق حرمة الصوت الحسن، والأخبار بمدح الصوت الحسن، وأنّه من أجمل الجمال، واستحباب القراءة والدعاء به، وأنّه حلية القرآن، واتّصاف الأنبياء والأئمّة به؛ في غاية الكثرة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وجه لنسبة استحباب التغنّي بالقرآن إلى أكثر العلماء إلاّ بالمعنى المذكور، لا الغناء بالمعنى المعروف الذي هو من الملاهي، والأخبار الواردة في استحباب التغنّي بهذا المعنى لا تتعارض مع أخبار حرمة التغنّي الذي هو من الملاهي، ومع عدم المعارضة بينهما لا يحتاج إلى الجمع بينهما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الجمع المذكور من الاستدلال لاختصاص الحرمة بالصوت المقارن للملاهي دون نفس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اللام للعهد والإشارة إلى المتعارف في مجالس اللهو من الغناء على سبيل اللهو من الجواري والمغنّيات وغيرهنّ في مجالس الفجور والخمور وغيرها، مع أنّ المتعارف والشائع لا يختصّ بذلك، بل التغنّي من دون الاقتران بإحدى المذكورات شائع، ومع شمول الغناء لكليهما كيف يمكن الرجوع في غير المقرون بذلك إلى أصالة البراءة‌؟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ذهبوا إلى حرمة الغناء مطلقاً ولو كان في القرآن </w:t>
      </w:r>
      <w:bookmarkStart w:id="437" w:name="pg17323_406202"/>
    </w:p>
    <w:p>
      <w:pPr>
        <w:pStyle w:val="BookText"/>
        <w:rPr/>
      </w:pPr>
      <w:bookmarkEnd w:id="437"/>
      <w:r>
        <w:rPr>
          <w:rFonts w:ascii="Amiri" w:hAnsi="Amiri" w:eastAsia="Amiri" w:cs="Amiri"/>
          <w:color w:val="111111"/>
          <w:sz w:val="28"/>
          <w:sz w:val="28"/>
          <w:szCs w:val="28"/>
          <w:rtl w:val="true"/>
          <w:lang w:bidi="ar-SA"/>
        </w:rPr>
        <w:t xml:space="preserve">والدعاء وغير ذلك من الكلمات الحقّة، عدا ما يظهر من كلام الفيض الكاشاني قدس سره من اختصاص حرمة الغناء وما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الأجر والتعليم والاستماع والبيع والشراء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على النحو المعهود المتعارف في زمن بني اُميّة وبني العبّاس؛ من دخول الرجال عليهنّ‌، وتكلّمهن بالأباطيل، ولعبهنّ بالملاهي من العيدان والقضيب وغيرها دون ما سوى ذلك</w:t>
      </w:r>
      <w:r>
        <w:rPr>
          <w:rStyle w:val="FootnoteAnchor"/>
          <w:rtl w:val="true"/>
        </w:rPr>
        <w:footnoteReference w:id="743"/>
      </w:r>
      <w:r>
        <w:rPr>
          <w:rFonts w:ascii="Amiri" w:hAnsi="Amiri" w:eastAsia="Amiri" w:cs="Amiri"/>
          <w:color w:val="111111"/>
          <w:sz w:val="28"/>
          <w:sz w:val="28"/>
          <w:szCs w:val="28"/>
          <w:rtl w:val="true"/>
          <w:lang w:bidi="ar-SA"/>
        </w:rPr>
        <w:t>، وعدا ما احتمله السبزواري في الكفاية من جريان البراءة في المجرّد عن المحرّمات</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ونسبة ذلك إلى الصدوق أو الشيخ غير ثابتة؛ لما قدّمناه حول كلامهما،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حرمة الغناء لجهات خارجية، وإلاّ فهو بنفسه أمر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فقه المذاهب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التغنّي من حيث كونه ترديد الصوت بالألحان مباح لا شيء فيه، ولكن قد يعرض له ما يجعله حراماً أو مكروهاً، وعلى هذا المنهج تفصيل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أبي حنيفة من أنّه يكره الغناء ويجعل سماعه من الذنوب، فهو محمول على النوع المحرّم منه</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876112_1280447820"/>
      <w:bookmarkStart w:id="439" w:name="_Toc161"/>
      <w:bookmarkEnd w:id="438"/>
      <w:r>
        <w:rPr>
          <w:rtl w:val="true"/>
        </w:rPr>
        <w:t>الجهة الثانية</w:t>
      </w:r>
      <w:r>
        <w:rPr>
          <w:rtl w:val="true"/>
        </w:rPr>
        <w:t xml:space="preserve">: </w:t>
      </w:r>
      <w:r>
        <w:rPr>
          <w:rtl w:val="true"/>
        </w:rPr>
        <w:t>في حقيقة الغناء</w:t>
      </w:r>
      <w:bookmarkEnd w:id="439"/>
    </w:p>
    <w:p>
      <w:pPr>
        <w:pStyle w:val="BookText"/>
        <w:rPr/>
      </w:pPr>
      <w:r>
        <w:rPr>
          <w:rFonts w:ascii="Amiri" w:hAnsi="Amiri" w:eastAsia="Amiri" w:cs="Amiri"/>
          <w:color w:val="111111"/>
          <w:sz w:val="28"/>
          <w:sz w:val="28"/>
          <w:szCs w:val="28"/>
          <w:rtl w:val="true"/>
          <w:lang w:bidi="ar-SA"/>
        </w:rPr>
        <w:t>اختلفت كلمات اللغويّين في تفسير الغناء، وإليك بعضها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الفيّومي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وقياسه الضمّ‌؛ </w:t>
      </w:r>
    </w:p>
    <w:p>
      <w:pPr>
        <w:pStyle w:val="BookText"/>
        <w:rPr/>
      </w:pPr>
      <w:r>
        <w:rPr>
          <w:rFonts w:ascii="Amiri" w:hAnsi="Amiri" w:eastAsia="Amiri" w:cs="Amiri"/>
          <w:color w:val="111111"/>
          <w:sz w:val="28"/>
          <w:sz w:val="28"/>
          <w:szCs w:val="28"/>
          <w:rtl w:val="true"/>
          <w:lang w:bidi="ar-SA"/>
        </w:rPr>
        <w:t>لأنّه صوت</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إطلاقه هو كون كلّ صوت غناءً ولو لم يكن لهويّاً، أللّهم إلاّ أن تكون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عهد وإشارة إلى المفهوم المعيّن المتعارف منه، فتأمّل؛ إذ لا شاهد لحمله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طرب به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تفسير الغناء بالصوت المطرب إن اُريد به بيان موضوع أدلّة الحرمة فهو، ولكنّه لا يناسب شأن اللغوي، وإن اُريد به بيان اللغة فلا وجه لتخصيص الغناء بالمطرب مع كونه أعمّ منه في اللغة كما عرفت من 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الزبيدي في تاج العروس بعد نقل كلام صاحب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حميد بن 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به أنّى يكون غناؤها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الصوت وموالاته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المحكي عن الكلّيات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ولا يتحقّق ذلك إلاّ بكون الألحان من الشعر وانضمام التصفيق لها، فهو من أنواع اللعب</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الضعف؛ حيث إنّ مقتضاه هو نفي الغناء عمّا لا ينضمّ إليه التصفيق، والمعلوم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تخصيصه بالشعر محلّ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والمحكي عن الشافعي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تحزين القراءة و ترقيقها</w:t>
      </w:r>
      <w:r>
        <w:rPr>
          <w:rStyle w:val="FootnoteAnchor"/>
          <w:rtl w:val="true"/>
        </w:rPr>
        <w:footnoteReference w:id="751"/>
      </w:r>
      <w:r>
        <w:rPr>
          <w:rFonts w:ascii="Amiri" w:hAnsi="Amiri" w:eastAsia="Amiri" w:cs="Amiri"/>
          <w:color w:val="111111"/>
          <w:sz w:val="28"/>
          <w:sz w:val="28"/>
          <w:szCs w:val="28"/>
          <w:rtl w:val="true"/>
          <w:lang w:bidi="ar-SA"/>
        </w:rPr>
        <w:t>، وبعضهم اقتصر على الترجيع أو على الإطراب</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وادّعى السبزواري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الغالب لا ينفكّ التحسين من الوصفين المذكورين</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إذ لا دليل على عدم الانفكاك كما لا ملازمة بين الترجيع والإطراب؛ لجواز انفكاكهما، والظاهر أنّ الغناء في اللغة أعمّ‌، ولا ينافيه اختصاص موضوع أدلّة الحرمة بالصوت اللهوي الخاصّ‌؛ للانصراف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هذه المفاهيم ممّا يعلم عدم حرمتها وعدم صدق الغناء عليها فكلّها إشارة إلى المفهوم المعيّن عرفاً، والأحسن من الكلّ ما تقدّم من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من السماع،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مسمّعة أي مغنّية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في الصحاح حيث فسّر الغناء بالسماع، وهو المعروف عند أهل العرف، وقد تقدّم في رواية محمّد بن أبي عبّاد المستهتر بالسماع وبشرب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السماع‌؟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الحجاز فيه رأي، وهو في حيّز الباطل واللهو، أما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فالمحصّل من الأدلّة المتقدّمة حرمة الصوت المرجّع فيه على سبيل اللهو؛ فإنّ اللهو كما يكون بآلة من غير صوت كضرب الأوتار ونحوه وبالصوت في الآلة كالمزمار والقصب </w:t>
      </w:r>
    </w:p>
    <w:p>
      <w:pPr>
        <w:pStyle w:val="BookText"/>
        <w:rPr/>
      </w:pPr>
      <w:r>
        <w:rPr>
          <w:rFonts w:ascii="Amiri" w:hAnsi="Amiri" w:eastAsia="Amiri" w:cs="Amiri"/>
          <w:color w:val="111111"/>
          <w:sz w:val="28"/>
          <w:sz w:val="28"/>
          <w:szCs w:val="28"/>
          <w:rtl w:val="true"/>
          <w:lang w:bidi="ar-SA"/>
        </w:rPr>
        <w:t>ونحوهما، فقد يكون بالصوت المجرّد فكلّ صوت يكون لهواً بكيفية ومعدوداً من ألحان أهل الفسوق والمعاصي فهو حرام وإن فرض أنّه ليس بغناء، وكلّ ما لا يعدّ لهواً فليس بحرام وان فرض صدق الغناء عليه فرضاً غير محقّق؛ لعدم الدليل على حرمة الغناء إلاّ من حيث كونه باطلا ولهواً ولغواً وزوراً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اللّهو يتحقّق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التلّهي وإن لم يكن لهواً،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لهواً في نفسه عند المستمعين وإن لم يقصد به التلهّي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المرجع في اللهو إلى العرف، والحاكم بتحقّقه هو الوجدان؛ حيث يجد الصوت المذكور مناسباً لبعض آلات اللهو والرقص، ولحضور ما يستلذّه القوى الشهوية من كون المغنّي جارية أو أمرداً ونحو ذلك، ومراتب الوجدان المذكور مختلفة في الوضوح والخفاء؛ فقد يحسّ بعض الترجيع من مبادئ الغناء ولم يبلغه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يمكن قصد التلهّي بما يعلم عدم كونه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العبارة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لهواً بالنسبة إلى المستمعين؛ لعدم وجود المستمع أو لعدم التهائهم به لمرض أو شدّة همّ أو نحو ذلك من موانع التلهّي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العبارتين يرجع إلى ما تقدّم من أنّ المراد من المطرب ما يكون مطرباً في الجملة بالنسبة إلى المغنّي أو المستمع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الشيخ خصّص الغناء بما يتعارف بين أهل الفسق والفجور من الصوت اللهوي الخاصّ مع أنّ الغناء في اللغة أعمّ‌، إنّما موضوع أدلّة الحرمة مختصّ بالصوت اللهوي الخاصّ‌، ولا وجه لجعل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أهل اللغة إشارة إلى موضوع أدلّة الحرمة أو المفهوم المعيّن الخاصّ عرفاً؛ لعدم الدليل عليه مع إطلاق </w:t>
      </w:r>
    </w:p>
    <w:p>
      <w:pPr>
        <w:pStyle w:val="BookText"/>
        <w:rPr/>
      </w:pPr>
      <w:r>
        <w:rPr>
          <w:rFonts w:ascii="Amiri" w:hAnsi="Amiri" w:eastAsia="Amiri" w:cs="Amiri"/>
          <w:color w:val="111111"/>
          <w:sz w:val="28"/>
          <w:sz w:val="28"/>
          <w:szCs w:val="28"/>
          <w:rtl w:val="true"/>
          <w:lang w:bidi="ar-SA"/>
        </w:rPr>
        <w:t>الغناء في اللغة على غيرهما، ومجرّد اختصاص موضوع أدلّة الحرمة به لا يوجب رفع اليد عن إطلاق الغناء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تبع السيّد المحقّق الخوئي الشيخ الأعظم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عرّفوا الغناء بتعاريف مختلفة، إلاّ أنّها ليست تعاريف حقيقية؛ لعدم الاطّراد والانعكاس، بل هي بين إفراط وتفريط، فقد عرّفه في المصباح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المشتمل على الترجيع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قوله هذا يخرج أكثر أفراد الغناء ممّا لم يحتوِ على القيدين المذكورين؛ فإنّ من أظهر أفراده الألحان التي يستعملها أهل الفسوق، وهي لا توجب الطرب إلاّ أحياناً، ولذا التجأ الطريحي في المجمع وبعض آخر في غيره إلى توسعة التعريف المذكور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يسمّى في العرف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يحصل الطرب لحسن الصوت وإن لم يشتمل على 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 آخرون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مدّ الصوت أو رفعه؛ مع الترجيع أو بدونه، وبأنّه تحسين الصوت فقط أو ترجيعه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هذه التعاريف أن يدخل في الغناء ما ليس من أفراده قطعاً، كرفع الصوت لنداء أحد من البعيد ورفع الصوت أو تحسينه لقراءة القرآن والمراثي والمدائح والخطب بل التكلّم العنيف، مع أنّ الشارع قد ندب إلى قراءة القرآن بصوت حسن وبألحان العرب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صوتاً بالقرآن</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وفي بعضها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يقرأ القرآن، فربّما مرّ به المارّ فصعق من حسن صوته</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بالقرآن صوتك؛ فإنّ الله عزّوجلّ يحبّ الصوت الحسن يرجّع به ترجيعاً</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وستأتي الإشارة إلى هذه الروايات، فإنّ جميع هذه الأفراد ممّا يصدق عليه الغناء على التفاسير المذكورة، وهي ليست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ثبت في الشريعة المقدّسة استحباب رفع الصوت بالأذان ولم يتوهّم أحد أنّه غناء، وقد 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حسن الصوت</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ومن الواضح جدّاً أنّ حسن الصوت لايعلم إلاّ بالمدّ والرفع والترجيع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السيرة القطعية المتّصلة إلى زمان المعصوم عليه السلام على جواز رفع الصوت بقراءة المراثي، بل ورد الحثّ على قراءة الرثاء للأئمّة وأولادهم، ودلّت الروايات على مدح بعض الراثين كدعبل وغيره؛ فلو كان مجرّد رفع الصوت غناء لما جاز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خروج جميع المذكورات بالتخصيص تكلّف في تكلّف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مجموع الروايات بعد ضمّ بعضها إلى بعض هو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حرمة الصوت المرجّع فيه على سبيل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المحرّم عبارة عن الصوت المرجّع فيه على سبيل اللهو والباطل والإضلال عن الحقّ سواء تحقّق في كلام باطل أم في كلام حقّ‌، وسمّاه في الصحاح بالسماع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عليه في العرف أنّه قول زور وصوت لهويّ‌؛ فإنّ اللهو المحرّم قد يكون بآلة اللهو من غير صوت كضرب الأوتار، وقد يكون بالصوت المجرّد، وقد يكون بالصوت في آلة اللهو كالنفخ في المزمار والقصب، وقد يكون بالحركات المجرّدة كالرقص، وقد يكون بغيرها من موجبات اللهو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فكلّ صوت كان صوتاً لهويّاً ومعدوداً في الخارج من ألحان أهل الفسوق والمعاصي فهو غناء محرّم، ومن أظهر مصاديقه الأغاني الشائعة بين الناس في الراديوات ونحوها، وما لم يدخل في المعيار المذكور فلا دليل على كونه غناء فضلا عن حرمته وإن صدق عليه بعض التعاريف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الضابطة المذكورة إنّما تتحقّق بأحد أمرين على سبيل مانعة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الأصوات المتّصفة بصفة الغناء مقترنة بكلام لا يعدّ عند العقلاء إلاّ باطلا؛ لعدم اشتماله على المعاني الصحيحة بحيث يكون لكلّ واحد من اللحن وبطلان المادّة دخل في تحقّق معنى السماع والغناء،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المصوغة على هيئة خاصّة المشتملة على الأوزان والسجع والقافية والمعاني المهيّجة للشهوة الباطلة والعشق الحيواني من دون أن تشتمل على غرض عقلائي، بل قد لا تكون كلماتها متناسبة كما تداول ذلك كثيراً بين شبّان العصر وشابّاته وقد يقترن بالتصفيق وضرب الأوتار وشرب الخمور وهتك الناس وغيرها من الاُمور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وجد اللحن المذكور في كلام له معنى صحيح عند العقلاء لما كان غناءً‌،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والأدعية والخطب والأشعار المشتملة على الحِكم والمواعظ ومدائح الأنبياء والأوصياء وأعاظم الدين ومصائبهم ورثائهم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صدق الغناء على رفع الصوت وترجيعه بالاُمور المذكورة لجملة من التعاريف المتقدّمة، فيكون مشمولاً لإطلاقات حرمة الغناء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عرفت أنّها تعاريف لفظية، وإنّما سيقت لمجرّد شرح الاسم فقط، وإن كان بلفظ أعمّ فلا تكون مطّردة ولا منعكسة، وعليه فلا وجه لما ذكره بعضهم من عدّ المراثي من المستثنيات من حرمة الغناء؛ فإنّها خارجة عنه موضوعاً كما عرفت، وإذا ثبت كونها </w:t>
      </w:r>
    </w:p>
    <w:p>
      <w:pPr>
        <w:pStyle w:val="BookText"/>
        <w:rPr/>
      </w:pPr>
      <w:r>
        <w:rPr>
          <w:rFonts w:ascii="Amiri" w:hAnsi="Amiri" w:eastAsia="Amiri" w:cs="Amiri"/>
          <w:color w:val="111111"/>
          <w:sz w:val="28"/>
          <w:sz w:val="28"/>
          <w:szCs w:val="28"/>
          <w:rtl w:val="true"/>
          <w:lang w:bidi="ar-SA"/>
        </w:rPr>
        <w:t>غناء فلا دليل على الاستثناء الذي يدّعيه هؤلاء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الصوت بنفسه مصداقاً للغناء وقول الزور واللهو المحرّم، كألحان أهل الفسوق والكبائر التي لا تصلح إلاّ للرقص والطرب سواء تحقّقت بكلمات باطلة أم تحقّقت بكلمات مشتملة على المعاني الراقية كالقرآن ونهج البلاغة والأدعية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في هذه الاُمور المعظّمة وما أشبهها أبغض؛ لكونها هتكاً للدين، بل قد ينجرّ إلى الكفر والزندقة؛ ومن هنا نهي في بعض الأحاديث عن قراءة القرآن بألحان أهل الفسوق والكبائر أو بألحان أهل الكتابين كما في بعض الأحاديث، ويريدون بأهل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ما ذكر في غناء جواري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جئناكم جئناكم، حيّونا حيّونا، نحيّيكم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أيضاً الرجز الذي يشبه ما جاء في غناء جواري الأنصار؛ فإنّ التكلّم العادي بذلك ليس من المحرّمات في الشريعة المقدّسة، بل هو مطلوب؛ لكونه مصداقاً للتحيّة والإكرام، وإنّما يكون حراماً إذا تكيّف في الخارج بكيفية لهويّة وظهر في صورة السماع والغناء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للصوت تأثيراً في النفوس، فإن كان إيجاده للحزن والبكاء وذكر الجنّة والنار بقراءة القرآن ونحوه لم يكن غناءً ليحكم بحرمته، بل يكون القارئ مأجوراً عند الله، وإن كان ذلك للرقص والتلهّي كان غناءً وسماعاً ومشمولاً للروايات المتواترة الدالّة على حرمة الغناء، والله العالم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قبول ما ذهب إليه الشيخ بحسب الكبرى؛ من حرمة الصوت المرجّع فيه على سبيل اللهو، سواء كان كذلك في نفسه مع قطع النظر عن محتوى الكلام، أو مع </w:t>
      </w:r>
    </w:p>
    <w:p>
      <w:pPr>
        <w:pStyle w:val="BookText"/>
        <w:rPr/>
      </w:pPr>
      <w:r>
        <w:rPr>
          <w:rFonts w:ascii="Amiri" w:hAnsi="Amiri" w:eastAsia="Amiri" w:cs="Amiri"/>
          <w:color w:val="111111"/>
          <w:sz w:val="28"/>
          <w:sz w:val="28"/>
          <w:szCs w:val="28"/>
          <w:rtl w:val="true"/>
          <w:lang w:bidi="ar-SA"/>
        </w:rPr>
        <w:t>محتوى باطل، أو مع انضمام محرّم من المحرّمات، فكلّ مورد يكون لهواً مستقلاًّ أو مع انضمام باطل سواء كان هو محتواه أو اقترن به محرّم آخر فهو محرّم، وأمّا إذا لم يكن مؤثّراً في تحقّق سماع الغناء ولو بنحو جزء العلّة فلا إشكال فيه، فما وجد من اللحن في محتوى صحيح وغير محرّم ولم يقترن بمحرّم آخر فلا وجه لحرمته، كالألحان الواقعة في قراءة القرآن أو الأدعية أو غيرهما وإن كانت مع ترجيع ورفع صوت؛ لأنّ المفروض أنّها غير دخيلة في تحقّق السماع والغناء لا مستقلاًّ ولا مع الاقتران مع كلام لا يعدّ عند العقلاء إلاّ باطلا، فالغناء هو الذي يكون بنفسه أو مع ضميمة لهواً، وأمّا ما لا يكون كذلك فلا يكون غناءً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بحسب اللغة أنّ الغناء مطلق الصوت والسماع، ومن المعلوم أنّه أعمّ من الغناء المصطلح الذي وقع موضوعاً لأدلّة الحرمة، ولا ينافي أعمّية الغناء بحسب اللغة اختصاص موضوع النصوص الناهية بالغناء المصطلح؛ كما أنّ لفظ الشراب في اللغة أعمّ من كلّ ما يشرب حلالاً كان أو حراماً، ولكن إذا صار موضوعاً لحدّ الشراب كان منصرفاً إلى الحرام منه، كشرب الخمر؛ إذ مناسبة الحكم والموضوع من قرائن الاختصاص، ومع الاختصاص المذكور لا تسري حرمة الغناء المصطلح إلى مطلق السماع والغناء اللغوي حتّى يحتاج خروج غير المصطلح إلى التخصيص، فلا يرد عليه بأنّه تكلّف في تكلّف كما في عبارة مصباح الفقاهة، بل الحكم بالحرمة مختصّ بنوع من الغناء؛ وهو الغناء المصطلح كما لا يخفى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فالغناء الذي حرّم في الشرع هو الصوت اللهوي المخصوص بمجالس الفسق والفجور، بخلاف الغناء اللغوي فإنّه أعمّ منه، ولا دليل على حرمته؛ ولذا يقال في مثل ما ورد في صحيحة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عليه السلام عن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في الفطر </w:t>
      </w:r>
    </w:p>
    <w:p>
      <w:pPr>
        <w:pStyle w:val="BookText"/>
        <w:rPr/>
      </w:pPr>
      <w:r>
        <w:rPr>
          <w:rFonts w:ascii="Amiri" w:hAnsi="Amiri" w:eastAsia="Amiri" w:cs="Amiri"/>
          <w:color w:val="111111"/>
          <w:sz w:val="28"/>
          <w:sz w:val="28"/>
          <w:szCs w:val="28"/>
          <w:rtl w:val="true"/>
          <w:lang w:bidi="ar-SA"/>
        </w:rPr>
        <w:t>والأضحى والفرح‌؟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عن مطلق ما يصدق عليه الغناء، 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الحرمة بما إذا تحقّقت المعصية بنفس الغناء كما إذا كان لهويّاً، وعليه فلا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الغناء في الأدلّة الناهية عنه على الغناء اللهوي المخصوص بمجالس الفسق والفجور يكون للانصراف إلى المعروف المتداول بين أهل الفسوق والفجور، لا لأنّ المراد من المعنى اللغوي أو العرفي هو الصوت اللهوي المذكور كما يظهر من عبارة الشيخ الأعظم ومن تبعه، وبذلك يمكن الجمع بين ما ورد من الأمر بالتغنّي والمنع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كالشراب أعمّ من الحرام، وحرمة بعض أنواعه لا تنافي حلّية بعض آخر أو رجحانه، فالصوت اللهوي المناسب لمجالس أهل الفسوق والفجور غناء محرّم، وأمّا الصوت الحسن المناسب للقرآن فهو غناء محلّل، ولا دليل لحصر الغناء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أفاد وأجاد الفاضل الشعراني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يظهر لنا من تتبّع كلام العرب وأشعارهم وعبارات الفقهاء وأهل الأدب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اسم مطلق الصوت، أو لكلّ صوت يرتفع ويرجّع فيه وإن لم يمل إليه الطبع، فهو نظير القول والسماع؛ فالقول يطلق على كلّ كلام يتكلّم به، وقد يختصّ في بعض العبارات بالغناء المطرب، ويطلق القوّال على المغنّي، وروي أنّ الأنصار قوم يعجبهم القول؛ أي الغناء، وكذلك السماع اسم لاستماع كلّ كلام وصوت، وقد يخصّ في اصطلاحهم بالغناء وسماعه،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سماع حسن سمعته من حسن، فكما أنّ القول والسماع لغةً أعمّ من المحرّم كذلك الغناء ومدّ الصوت أعمّ منه، وليس مطلق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 مدّ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الشراب؛ فإنّه في اللغة كلّ ما يشرب وليس حراماً، وقد خصّ في بعض </w:t>
      </w:r>
    </w:p>
    <w:p>
      <w:pPr>
        <w:pStyle w:val="BookText"/>
        <w:rPr/>
      </w:pPr>
      <w:r>
        <w:rPr>
          <w:rFonts w:ascii="Amiri" w:hAnsi="Amiri" w:eastAsia="Amiri" w:cs="Amiri"/>
          <w:color w:val="111111"/>
          <w:sz w:val="28"/>
          <w:sz w:val="28"/>
          <w:szCs w:val="28"/>
          <w:rtl w:val="true"/>
          <w:lang w:bidi="ar-SA"/>
        </w:rPr>
        <w:t xml:space="preserve">الاصطلاحات بالمسكر وهو حرام، فكما يجب تقسيم الشراب إلى محرّم ومحلّل كذلك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والسماع والقول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محرّم وقسم محلّل، إلاّ أنّه غلب اللفظ على القسم المحرّم، نظير البدعة فإنّها اسم للشيء الحادث وغلبت على المذموم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في 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هي غنّت أبهت الناس حُسنها وأطرق إجلالاً لها كلُّ حاذقِ‌</w:t>
      </w:r>
    </w:p>
    <w:p>
      <w:pPr>
        <w:pStyle w:val="BookText"/>
        <w:rPr/>
      </w:pPr>
      <w:r>
        <w:rPr>
          <w:rFonts w:ascii="Amiri" w:hAnsi="Amiri" w:eastAsia="Amiri" w:cs="Amiri"/>
          <w:color w:val="111111"/>
          <w:sz w:val="28"/>
          <w:sz w:val="28"/>
          <w:szCs w:val="28"/>
          <w:rtl w:val="true"/>
          <w:lang w:bidi="ar-SA"/>
        </w:rPr>
        <w:t>ولا ريب في صحّة إطلاق التغنّي على صوت الحمام مع عدم حرمته والالتذاذ بصوته وصوت سائر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أيضاً في صدق الغناء على النوح والمراثي، وتأثير الصوت ليس خاصّاً بالشهوة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تغنّيت بالمديح ففخِّم، أو بالنسيب فاخضع، أو بالمراثي فاحزن، أو بالهجاء فشدِّد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الغناء ما أشجاك وأبكاك؛ وأطربك وألهاك، وليس مخصوصاً بالبكاء في العشق واللهو، بل في المراثي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العارفين بهذا الشأن أحوال غريبة وأعمال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بن إسحاق الكندي لعب بالعود عند مريض مشرف على الموت فتهيّج فيه الحرارة الغريزية وقعد وأوصى بما أراد، ثمّ لمّا زال أثر الغناء سقط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بعضهم كان عنده لحن منوّم، وبعضهم كان يغنّي بلحن يثير الحماسة ويحمي الغيرة في الحرب، وبعضهم يوجد الخوف من العدوّ فيهرب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لتركيب أنواع النغم على أنحاء مختلفة تأثيرٌ في النفوس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صوت له تأثيرٌ حرام، ولا إنّ كلّ صوت حسن بتركيب </w:t>
      </w:r>
    </w:p>
    <w:p>
      <w:pPr>
        <w:pStyle w:val="BookText"/>
        <w:rPr/>
      </w:pPr>
      <w:r>
        <w:rPr>
          <w:rFonts w:ascii="Amiri" w:hAnsi="Amiri" w:eastAsia="Amiri" w:cs="Amiri"/>
          <w:color w:val="111111"/>
          <w:sz w:val="28"/>
          <w:sz w:val="28"/>
          <w:szCs w:val="28"/>
          <w:rtl w:val="true"/>
          <w:lang w:bidi="ar-SA"/>
        </w:rPr>
        <w:t>نغماته يميل إليه الطبع حرام؛ لما قد سبق في كتاب الصلاة من قراءة سيّدنا السجّاد عليه السلام واجتماع الناس لصوته</w:t>
      </w:r>
      <w:r>
        <w:rPr>
          <w:rStyle w:val="FootnoteAnchor"/>
          <w:rtl w:val="true"/>
        </w:rPr>
        <w:footnoteReference w:id="763"/>
      </w:r>
      <w:r>
        <w:rPr>
          <w:rFonts w:ascii="Amiri" w:hAnsi="Amiri" w:eastAsia="Amiri" w:cs="Amiri"/>
          <w:color w:val="111111"/>
          <w:sz w:val="28"/>
          <w:sz w:val="28"/>
          <w:szCs w:val="28"/>
          <w:rtl w:val="true"/>
          <w:lang w:bidi="ar-SA"/>
        </w:rPr>
        <w:t>، وقال النبيّ صلى الله عليه وآله لبريدة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اعطي هذا من مزامير آل داود</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لمّا سمع قراءته القرآن بصوت حسن،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يتغنَّ بالقرآن ليس منّا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وقد سبق أنّ الباقر عليه السلام أوصى بمال للنائحة تنوح عليه أيّام منى</w:t>
      </w:r>
      <w:r>
        <w:rPr>
          <w:rStyle w:val="FootnoteAnchor"/>
          <w:rtl w:val="true"/>
        </w:rPr>
        <w:footnoteReference w:id="766"/>
      </w:r>
      <w:r>
        <w:rPr>
          <w:rFonts w:ascii="Amiri" w:hAnsi="Amiri" w:eastAsia="Amiri" w:cs="Amiri"/>
          <w:color w:val="111111"/>
          <w:sz w:val="28"/>
          <w:sz w:val="28"/>
          <w:szCs w:val="28"/>
          <w:rtl w:val="true"/>
          <w:lang w:bidi="ar-SA"/>
        </w:rPr>
        <w:t>، والنوح لا يخلو من صوت بلحن شجيّ‌، والحُداء للإبل معروف، ولم يمنع منه أحد؛ مع أنّه مركّب من أصوات ونغمات على نحو يؤثّر في الجملة، مع صدق التغنّي والغناء على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يذهب مذهب الشيخ في الاستبصار ويحمل المنع من الغناء على مصاحباته لا على نفس الصوت من حيث هو صوت، أو تخصّ الحرمة بنوع خاصّ من الألحان؛ وهي ما ترغّب في الحرام وتبعث عليه، كتهييج الشهوة والرغبة في شرب المسكر واللهو والفساد، أو يثير الغيرة والحميّة لقتل نفس محرّمة وإثارة فتنة نائمة فتكون حراماً؛ لأنّها سبب الحرام، وهو المنصرف إليه من إطلاق الأحاديث المانعة وعبارة الفقهاء الأقدمين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الألحان التي توجب الرغبة إلى الله والعبادة وترك النظر إلى الزخارف الفانية والحزن على المظلومين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بيان مناقبهم بلحن يوجب تأثيرها في القلوب فليس من المحرّم في شيء، فهي نظير الصوت الحسن 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الراغب في كتاب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ماسرجويه بكى من قراءة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تبكي لكتاب لا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أبكاني الشجا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الصوت عجيب؛ منه ما يسرّ سروراً يرقص، ومنه ما يُبكي، ومنه ما يُكمِد، ومنه ما يزيل العقل حتّى يُغشى على صاحبه، وليس يعتري ذلك من قبل المعاني؛ لأنّهم في كثير من الأحوال لا يفهمون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 سروراً يرقص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ينصرف إليه المطلق؛ فإنّه الذي كان مكسباً لجماعة يأخذون عليه اُجرة ويسمّون بالمغنّي والمغنّية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نظير بكاء العشّاق وأهل اللهو في السكر فهو أيضاً حرام، وإن كان في النوح والمراثي والمواعظ وذكر الجنّة والنار فهو محلّل، ولا ينصرف إليه المنع عن الغناء في الأحاديث وإن اُطلق عليه لفظ الغناء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فرض نادراً أنّ بعض الألحان قد تستعمل في مجالس أهل الفسوق وقد تستعمل في المواعظ والمراثي، فلا نضايق عن الحكم بالحرمة في الأوّل وعدمها في الثاني، وإن فُرض أنّ لحناً لا يناسب القرآن والدعاء والمواعظ أصلاً بحيث لا يمكن أن يغنّي به أحد ولا يقصد به اللهو والفسوق وإن ادّعى أنّي ما أردت اللهو لم يقبل منه، فحرامٌ في العبادات وإن لم نقل بحرمة الغناء من حيث هو صوت؛ فإنّه استخفاف وتوهين للقرآن والوعظ، وقد ورد في الحديث الأمر بقراءة القرآن بألحان العرب لابألحان أهل الفسق، كما مرّ في كتاب الصلاة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يبعد كلّ البعد أن يتحقّق الغناء المحرّم في مجالس القرآن ومراثي أبي عبدالله الحسين عليه السلام وفي مجالس الذكر والوعظ؛ لأنّ الألحان المستعملة فيها ليست لتهييج الشهوة ولا تناسب الفسوق ولا يقصد بها الفساد، بل توجب الحزن على </w:t>
      </w:r>
    </w:p>
    <w:p>
      <w:pPr>
        <w:pStyle w:val="BookText"/>
        <w:rPr/>
      </w:pPr>
      <w:r>
        <w:rPr>
          <w:rFonts w:ascii="Amiri" w:hAnsi="Amiri" w:eastAsia="Amiri" w:cs="Amiri"/>
          <w:color w:val="111111"/>
          <w:sz w:val="28"/>
          <w:sz w:val="28"/>
          <w:szCs w:val="28"/>
          <w:rtl w:val="true"/>
          <w:lang w:bidi="ar-SA"/>
        </w:rPr>
        <w:t>مصائب آل محمّد صلى الله عليه وآله، وهو أمر مندوب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أنّ راثياً اختار لحناً من لحون أهل الفسق سُخِر منه وضُحِك قطعاً؛ لعدم المناسبة، واستهزأ الناس به حتّى الفسّاق، وتقوّض عليه مجلسه، وبار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اختار أهل الفسق في مجالسهم آية من آيات القرآن أو شعراً من المراثي وغنّوا بها لهواً بلحن يناسب الرقص والعزف كان حراماً البتّة؛ فهو لهو بألفاظ القرآن، لا قرآن بألحان اللهو</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أفاد وأجاد، ولكنّ كلامه غير خال عن بعض المناقشات، كنسبة حرمة الغناء من ناحية المقرونات إلى الشيخ الطوسي قدس سره؛ لما عرفت من عدم صحّة هذه النسبة، وكاختصاص حرمة اللحن الذي لا يمكن أن يغنّي به أحد ولا يقصد به اللهو والفسوق بالعبادات، مع أنّه إذا كان الصوت في نفسه لهويّاً ومناسباً لمجالس الفسق والفجور فإنّ ذلك لا يختصّ بالعبادات، بل اللحن المذكور حرام مطلقاً سواء كان في العبادات أو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حرمة اللحن المذكور حينئذ تكون من جهة نفس اللحن لا من جهة حرمة الاستخفاف؛ إذ الاستخفاف حرام آخر،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شأنية التهييج تكفي للحرمة وإن لم يقصد باللحن ذلك، وعليه فالألحان المخصوصة بمجالس الفسق والفجور محرّمة في مجالس القرآن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شأنية التهييج تكفي للحرمة وإن لم يقصد باللحن ذلك لزم أن يكون شرب الخمر ولو من دون قصد وعمد فعلاً اختياريّاً ومحرّماً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قصد التهييج مع قصد الإتيان بما فيه شأنية التهييج لا يوجب خروج اللحن المذكور عن القصد والاختيار، كما أنّ عدم قصد شرب الخمر بعنوان شرب </w:t>
      </w:r>
    </w:p>
    <w:p>
      <w:pPr>
        <w:pStyle w:val="BookText"/>
        <w:rPr/>
      </w:pPr>
      <w:r>
        <w:rPr>
          <w:rFonts w:ascii="Amiri" w:hAnsi="Amiri" w:eastAsia="Amiri" w:cs="Amiri"/>
          <w:color w:val="111111"/>
          <w:sz w:val="28"/>
          <w:sz w:val="28"/>
          <w:szCs w:val="28"/>
          <w:rtl w:val="true"/>
          <w:lang w:bidi="ar-SA"/>
        </w:rPr>
        <w:t>الخمر لا يوجب أن يكون شرب الخمر غير اختياريّ‌، بل الفعل صدر عن عمد وقصد ولو اُتي به بعنوان آخر كرفع العطش أو أمر آخر،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الغناء المصطلح من جهة كونه لغواً أو لعباً أو لهواً أو باطلا، وحرمة هذه الاُمور بإطلاقها محلّ تأملّ ونظر؛ لأنّ مطلق اللغو ليس بحرام،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في مقام المدح، ولا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اللعب هو الحركة لا لغرض عقلائي، ولا خلاف في عدم حرمته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الصحاح والقاموس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اللعب لا لغرض عقلائي، فإذا كان كذلك فلا وجه لتحريمه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خصّ اللهو في تفسيره بما يكون من بطر، وفسّر البطر بشدّة الفرح وهو ما تلتذّ به النفس وينبعث عن القوى الشهوية، فالمعروف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يساعد هذا التفسير عدّ السفر للصيد من اللهو، مع أنّه لا يصدق التفسير المذكور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دلالة الروايات الواردة في كون السفر للصيد لا يوجب القصر على حرمة السفر اللهوي، ومضافاً إلى أنّ التلذّذ بالنحو المذكور من سماع صوت حسن ليس بغناء، أو من مشاهدة بعض المناظر ليس بغناء، ولا يلتزم بحرمتهما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لا دليل على حرمة مطلق الباطل، والتمسّك بمثل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أنّه سئل عن الشطرنج وعن لعبة شبيب التي يقال لها لعبة الأمير، وعن لعبة الثلاث‌؟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إذا ميّز الله الحقّ والباطل مع أيّهما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مطلق الباطل محلّ تأمّل ومنع؛ لأنّ نفي الخير لا يدلّ على الحرمة بل يناسب الكراهة أيضاً وإن كان المراد منه بالإضافة إلى بعض مورد السؤال أو كلّه الحرمة ولكنّها بقرينة خارجية، ولو كنّا وهذه الرواية لما أمكن الحكم بالحرمة حتّى في مورد السؤال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ليس هو حرمة مطلق اللغو واللعب واللهو والباطل، بل الخاصّ من هذه الاُمور؛ وهو ما تعارف في مجالس أهل الفسوق والمعاصي كما صرّح به الشيخ الأعظم وتبعه جماعة منهم السيّد المحقّق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حرمة الاُمور المذكورة بهذا المعنى، كما تدلّ عليه أدلّة حرمة الغناء الآتية التي منها موثّقة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عن شراء المغنّية‌؟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للرجل الجارية تلهيه، وما ثمنها إلاّ ثمن كلب، وثمن الكلب سحت، والسحت في النار</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إذ لا وجه لذلك إلاّ حرمة الغناء المتعارف الذي يتغنّى به في مجالس أهل الفسوق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اللهو المحرّم هو نفس الصوت ولو لم يكن الكلام لهواً أو لم يقترن به محرّم آخر أو لم يكن كلام؛ لصدق الغناء عليه عرفاً بالإتيان بالصوت بالكيفية المعهودة في مجالس الفسق والفجور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موثّقة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الغناء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صلى الله عليه وآله 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حيّونا، نحيّيكم‌؟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يحضر المجلس</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حيث إنّ محتوى الكلام ليس بلهو محرّم، فالحرمة من ناحية كيفية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تتوقّف حرمته على كون الكلام باطلا، بل لا تتوقّف على الكلام؛ فلو سمع من بعيد صوتاً يكون لحنه مناسباً لمجالس الفسوق والفجور يحكم بأنّه غناء محرّم وإن لم يحتوِ كلاماً؛ ولذلك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الغناء من مقولة الأصوات أو كيفيّاتها من غير مدخلية لأمر آخر، ولا ينافي ذلك عدّه من لغو الحديث وقول الزور ونحوها ممّا يمكن كون المراد منه أنّه كذلك باعتبار هذه الكيفية الخاصّة</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يذهب عليك أنّه إن اُحرز في مورد أنّ كيفية الصوت غناء ولهو مناسب لمجالس الفجور والفسوق فهو، وإلاّ فشمول مفهوم الغناء بالنسبة إلى مورد الشكّ غير محرز، وتكون الوظيفة في الشبهة المفهومية هي الأخذ بالمقدار المتيقّن والرجوع في غيره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للغناء الاصطلاحي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تصدّى العلم الفقيه الشيخ محمّد رضا آل الشيخ محمّدتقي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لطيفة مستقلّة،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صوت الإنسان الذي من شأنه إيجاد الطرب بتناسبه لمتعارف الناس، والطرب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الخفّة التي تعتري </w:t>
      </w:r>
    </w:p>
    <w:p>
      <w:pPr>
        <w:pStyle w:val="BookText"/>
        <w:rPr/>
      </w:pPr>
      <w:r>
        <w:rPr>
          <w:rFonts w:ascii="Amiri" w:hAnsi="Amiri" w:eastAsia="Amiri" w:cs="Amiri"/>
          <w:color w:val="111111"/>
          <w:sz w:val="28"/>
          <w:sz w:val="28"/>
          <w:szCs w:val="28"/>
          <w:rtl w:val="true"/>
          <w:lang w:bidi="ar-SA"/>
        </w:rPr>
        <w:t>الإنسان فتكاد أن تذهب بالعقل وتفعل فعل المسكر لمتعارف الناس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تصدّى لتشييده بذكر مقدّمة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من أظهر مظاهر الحسن، ولأجله يطلبه من يطلبه، فلابدّ لبيان ناموس الحسن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وإن كان ممّا تحيّر فيه العقول ويدرك ولا يوصف، ولكنّه في المركّبات لا يخرج عن حدّ التناسب، فأينما وجد فالتناسب سببه؛ فالخطّ الحسن ما تناسبت واواته وميماته، والشعر الحسن ما تناسبت ألفاظه ومعانيه، ولا يوصف الحيوان بالحسن إلاّ إذا تناسبت أعضاؤه، ولا يقال للوجه إنّه جميل إلاّ إذا تناسبت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بين مظاهر الحسن من أكثرها قبولاً للتناسب، فإذا كان الصوت متناسباً بَمُّه وزِيْرُه وبزاته ومدّه وارتفاعه وانخفاضه واتّصاله وانفصاله سمّي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لبيان هذه النسب وأقسامها فنّ الموسيقى الذي هو أحد أقسام العلوم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اُنشد الشعر على طبق مقرّرات الفنّ أوجب لسامعه إذا كان من متعارف الناس الطرب الخارج عن المتعارف حتّى يكاد أن يفعل فعل المسكر، فيصدر من الشريف الحكيم ما يأنف منه الأنذال من أقوال وأفعال يشبه أقوال السكارى وأفعالهم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الشيخ قدس سره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مناسباً لبعض آلات اللهو والرقص، وكأنّه تحاول ما ذكرناه؛ فإنّ النسب الموسيقية تنطبق على النسب الإيقاعية؛ ولذلك يطابق أهل اللهو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اُستاذ الصناعة على الرشيد بأنّ مغنّيك يغنّي بالثقل، وعوّادك يضرب بالخفيف، فالصوت الخالي عن النسبة لا يكون غناء وإن أوجب الطرب وقصد به اللهو، كما أنّ مجرّد تحريك الأوتار لا يقال له ضرب ولا يكون محرّماً، وكذلك مجرّد تحريك الأعضاء لا يكون رقصاً ما لم يكن على النسب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نقلناه بتفصيل؛ أداءً لبعض حقوقه، ولاشتماله على تحقيق وفوائد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ما ذكره وحقّقه أحسن ما قيل في الباب وأقرب بإصابة الواقع، وإن كان في بعض ما أفاده مجال للمناقشة، كانتهائه حدّ الإطراب بما يكاد أن يزيل بالعقل، وأنّ العلّة في الغناء عين العلّة في المسكر؛ وذلك لعدم الشاهد عليه في العرف واللغة؛ لصدق الغناء على ما لم يبلغ الإطراب ذلك الحدّ ولم يكن من شأنه ذلك أيضاً؛ فإنّ للغناء أقساماً كثيرة ومراتب كثيرة غاية الكثرة في الحسن والإطراب، فربّما بلغ فيه غايته، كما لو كان الصوت بذاته في كمال الرقّة والرخامة وكان الصائت ماهراً في البحور الموسيقية وكان البحر مناسباً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كالبحر الخفيف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يبعد أن يكون مزيلاً للعقل ومهيّجاً للحليم وموجباً لصدور أعمال من الشريف الحكيم ما لا يصدر من الأنذال والأرذال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لا يكون بتلك المرتبة كما لعلّه كذلك غالباً، وكلمات اللغويّين أيضاً لا تساعده؛ لعدم تقييد مهرة الفنّ بحصول تلك المرتبة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تعريف الغناء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الإنسان الذي له رقّة وحسن ذاتيّ ولو في الجملة، وله شأنية إيجاد الطرب بتناسبه لمتعارف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ذكرناه تظهر الخدشة في الحدّ المنتسب إلى المشهور؛ وهو مدّ الصوت المشتمل على الترجيع المطرب؛ فإنّ الغناء لا يتقوّم بالمدّ ولا الترجيع، ففي كثير من أقسامه لا يكون مدّ ولا ترجيع، لعلّ القيدين في كلماتهم لأجل كون المتعارف من الغناء في أعصارهم هو ما يكون مشتملاً عليهما فظنّ أنّه متقوّم بهما، كما أنّ المطربية الفعلية غير معتبرة فيه بما مرّ، وأنّ الصوت ما لم يكن فيه رخامة وصفاء ليس بغناء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ذكرناه في المقام هو تحصيل ماهيّة الغناء من غير نظر إلى ما كان موضوعاً للحكم الشرعي، ولعلّ موضوعه أعمّ أو 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ليس مساوقاً للصوت اللهوي والباطل ولا لألحان أهل الفسوق والكبائر، بل كثير من الألحان اللهوية وأهل الفسوق والأباطيل خارج عن حدّه ولا يكون في العرف والعادة غناءً‌، ولكلّ طائفة من أهل اللهو والفسوق والتغنّي شغل خاصّ في عصرنا ومحالّ خاصّة معدّة له، ولشغله وصنعته اسم خاصّ يعرفه أهل تلك الفنون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اللغوي أعمّ من الصوت اللهوي وما له شأنية الطرب، وعليه فتفسير الغناء اللغوي بما له شأنية إيجاد الطرب بتناسبه لمتعارف الناس لا يساعد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مناسب لموضوع الحكم الشرعي، ومعه 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في المقام هو تحصيل ماهيّة الغناء من غير نظر إلى ما كان موضوعاً للحكم الشرعي، ولعلّ موضوعه أعمّ أو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بذلك تعريف الغناء الاصطلاحي فلا وجه لما أفاد من أنّ الغناء ليس مساوقاً للصوت اللهوي والباطل ولا لألحان أهل الفسوق والكبائر؛ لأنّ الغناء الاصطلاحي لا يخلو عن اللهو والباطل ولا عن ألحان أهل الفسوق والكبائر، بل القدر المتيقّن من الغناء الاصطلاحي هو المشتمل على الاُمور المذكورة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الصوت الحسن، وهو أعمّ من الغناء المصطلح المختصّ بمجالس الفسوق والفجور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ما ذكرناه كون الموضوع في الأخبار الناهية هو الصوت اللهوي منه المختصّ بمجالس الفسوق والفجور من جهة الانصراف؛ سواء كان من ناحية كثرة الاستعمال أو كان بمناسبة الحكم والموضوع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القدر المتيقّن من الغناء المختصّ بمجالس أهل الفسق والفجور هو الصوت اللهوي الذي له شأنية الإطراب، والمراد من الإطراب ليس هو الخفّة المزيلة للعقل بل الخفّة التي تصلح لتهييج الشهوة وجعل السامع ممّن لا يبالي بالدين؛ فيعمل الأعمال القبيحة والمحرّمة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تصل هذه الخفّة إلى حدّ يكاد أن يذهب بالعقل ويفعل السامع ما يفعله شارب الخمر، ولكن لا يتقيّد الغناء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تحقّق شأنية الإطراب وعدمه موكول إلى العرف كسائر الموضوعات، وليس تعيين ذلك من وظيفة الفقيه، والمراد من العرف هو العرف العامّ‌،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عبرة بعرف عامّة سواد الناس؛ فإنّه الآن مشتبه قطعاً؛ لعدّهم الكيفية الخاصّة من الصوت في غير القرآن والدعاء وتعزية الحسين عليه السلام غناءً‌، ونفىِ ذلك عنها فيها، وما ذلك إلاّ لاشتباهه؛ للقطع بعدم مدخلية خصوص ألفاظ فيه؛ لما عرفت من أنّه كيفية خاصّة للصوت بأيّ لفظ كان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أنّه لا فرق بين الغناء وسائر الموضوعات في أنّ المرجع في تحقّقه وعدمه هو العرف العامّ‌، لا العرف الخاصّ كأهل الخبرة، إلاّ إذا كان الموضوع من الموضوعات التي لا يعلمها إلاّ أهل الخبرة، وما نحن فيه من الموضوعات التي يعرفها العرف العامّ‌؛ فإنّ شأنية الإطراب كشأنية الإسكار ممّا يعرفه العرف، ولا فرق عندهم بين أن يكون ذلك في غير القرآن والدعاء وتعزية الحسين عليه السلام أو يكون في هذه الموارد، ولا اشتباه لهم في ذلك كما لا يخفى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أفاد وأجاد الشيخ الأعظم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المرجع في اللهو إلى العرف، والحاكم بتحقّقه هو الوجدان؛ حيث يجد الصوت المذكور مناسباً لبعض آلات اللهو </w:t>
      </w:r>
    </w:p>
    <w:p>
      <w:pPr>
        <w:pStyle w:val="BookText"/>
        <w:rPr/>
      </w:pPr>
      <w:r>
        <w:rPr>
          <w:rFonts w:ascii="Amiri" w:hAnsi="Amiri" w:eastAsia="Amiri" w:cs="Amiri"/>
          <w:color w:val="111111"/>
          <w:sz w:val="28"/>
          <w:sz w:val="28"/>
          <w:szCs w:val="28"/>
          <w:rtl w:val="true"/>
          <w:lang w:bidi="ar-SA"/>
        </w:rPr>
        <w:t>والرقص، ولحضور ما يستلذّه القوى الشهوية من كون المغنّي جارية أو أمرداً ونحو ذلك، ومراتب الوجدان مختلفة في الوضوح والخفاء؛ فقد يحسّ بعض الترجيع من مبادئ الغناء ولم يبلغه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من الرياض أنّه يمكن أن يتحقّق الغناء عند العرف من دون إطراب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 الصوت المشتمل على الترجيع المطرب، وما يسمّى في العرف غناء وإن لم يطرب؛ سواء كان في الشعر أو قرآن أو غيرهما، على الأصحّ الأقوى، بل عليه إجماع العلماء كما حكاه بعض الأجلاّء</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نفي الإطراب فعليّة الإطراب فهو، وأمّا إن أراد نفي الإطراب ولو بحسب الشأنية ففيه منع؛ لانصراف موضوع أدلّة الحرمة إلى ما تعارف في مجالس الفسوق والفجور، وهو لا يخلو عن الشأنية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يلزم المدّ أو الترجيع في الغناء الذي له شأنية الإطراب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ما في زبدة البيان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مشهور، فكلّ ما يسمّى في العرف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محرّم؛ إذ لا معنى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ترجيع الصوت المطرب، وما اعتبر المطرب بعض، والأصل أنّ تحريمه ثابت، فكلّ ما يقال إنّه غناء فهو حرام إلاّ ما استثني مثل الحداء، فإن ثبت اعتبار الترجيع والطرب في الغناء فهو المحرّم فقط، وما نعرفه، وإلاّ فيحرم الكلّ‌، والاحتياط في ترك الكلّ‌</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وذلك لأنّ القدر المتيقّن من الغناء المحرّم هو الصوت اللهوي الذي له شأنية الإطراب وحرمته معلومة، ومقتضى </w:t>
      </w:r>
    </w:p>
    <w:p>
      <w:pPr>
        <w:pStyle w:val="BookText"/>
        <w:rPr/>
      </w:pPr>
      <w:r>
        <w:rPr>
          <w:rFonts w:ascii="Amiri" w:hAnsi="Amiri" w:eastAsia="Amiri" w:cs="Amiri"/>
          <w:color w:val="111111"/>
          <w:sz w:val="28"/>
          <w:sz w:val="28"/>
          <w:szCs w:val="28"/>
          <w:rtl w:val="true"/>
          <w:lang w:bidi="ar-SA"/>
        </w:rPr>
        <w:t>القاعدة في الشبهة المفهومية هو الأخذ بالقدر المتيقّن والرجوع إلى البراءة فيما شكّ فيه، وقد قال قدس سره في مجمعه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يستثنى المراثي للحسين عليه السلام، ودليله غير واضح، ولعلّ دليل الكلّ أنّه ما ثبت بالإجماع إلاّ في غيرها، والأخبار ليست بصحيحة صريحة في التحريم مطلقاً، والأصل الجواز، فما ثبت تحريمه يحرم والباقي يبقى،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والتفجّع عليه عليه السلام مطلوب ومرغوب وفيه ثواب عظيم، والغناء معين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إنّ من فسّر الغناء بالصوت اللهوي الخاصّ الذي له شأنية الإطراب إن أراد بذلك بيان الموضوع الشرعي الذي حرّمه الشارع فهو حقّ وظاهر، وإن أراد بذلك بيان المعنى اللغوي والعرفي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الفاضل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كذلك، بل يطلق الغناء اللغوي والعرفي على اللهو وغير اللهو، إلاّ أنّ اللهوي منه حرام وغير اللهوي جائز مع صدق الغناء عليهما جميعاً، لكنّ أكثر استعمال الغناء في اللهو؛ لأنّه المتداول المشهور المطلوب عند أهل الدنيا الذي صار أحد المشاغل والمعايش، ويعطى بإزائه الاُجرة، وتجرّد جماعة للتمهّر فيه، وهو المسؤول عنه والمطلوب حكمه، والنهي وارد عليه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دليل على حرمة الغناء بمعناه اللغوي إلاّ في نوع منه؛ وهو الصوت اللهوي الذي له شأنية الإطراب، وعليه فمقتضى الجمع بين ما ورد في حرمة الغناء وما ورد في تحسين التغنّي بالقرآن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منه هو اللهوي الذي له شأنية الإطراب وأمّا الصوت الحسن الذي ليس كذلك فمستحسن في القرآن، فلا 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كلام الفيض يؤول إلى الاختلاف في المعنى؛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الغناء لغةً هو الصوت الحسن وهو مطلوب في </w:t>
      </w:r>
      <w:bookmarkStart w:id="440" w:name="pg17323_406225"/>
    </w:p>
    <w:p>
      <w:pPr>
        <w:pStyle w:val="BookText"/>
        <w:rPr/>
      </w:pPr>
      <w:bookmarkEnd w:id="440"/>
      <w:r>
        <w:rPr>
          <w:rFonts w:ascii="Amiri" w:hAnsi="Amiri" w:eastAsia="Amiri" w:cs="Amiri"/>
          <w:color w:val="111111"/>
          <w:sz w:val="28"/>
          <w:sz w:val="28"/>
          <w:szCs w:val="28"/>
          <w:rtl w:val="true"/>
          <w:lang w:bidi="ar-SA"/>
        </w:rPr>
        <w:t>القرآن، لا أنّ الصوت اللهوى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لأنّه في مقام نفي التحريم عن الصوت الحسن المذكِّر باُمور الآخرة؛ المُنسي لشهوات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بعض كلماتهما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المحدّث الكاشاني والسبزواري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فيما نسب إليهما من التفصيل في الصوت اللهوي الذي ليس هو عند التأمّل تفصيلاً؛ بل قولاً بإطلاق جواز الغناء وأنّه لا حرمة فيه أصلاً، وإنّما الحرام ما يقترن به من المحرّمات</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الحزن والبكاء ربّما جُعلا من أنواع الغناء، ولعلّ المراد بهما هو ما إذا كانا للعشق الشهواني، وأمّا إذا كانا لمحبّة أهل البيت عليهم السلام فهو مندوب، ولا يكون الصوت الموجب لهما من أنواع الغناء كما صرّح به في محكيّ شرح الإرشاد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المراثي طرب، بل ليس فيها إلاّ الحزن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الفاضل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نظير بكاء العشّاق وأهل اللهو في السكر فهو حرام، وإن كان في النوح والمراثي والمواعظ وذكر الجنّة والنار فهو محلّل، ولا ينصرف إليه المنع عن الغناء في الأحاديث وإن اُطلق عليه لفظ الغناء في اللغة</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876114_1280447820"/>
      <w:bookmarkStart w:id="442" w:name="_Toc162"/>
      <w:bookmarkEnd w:id="441"/>
      <w:r>
        <w:rPr>
          <w:rtl w:val="true"/>
        </w:rPr>
        <w:t>الجهة الثالثة</w:t>
      </w:r>
      <w:r>
        <w:rPr>
          <w:rtl w:val="true"/>
        </w:rPr>
        <w:t xml:space="preserve">: </w:t>
      </w:r>
      <w:r>
        <w:rPr>
          <w:rtl w:val="true"/>
        </w:rPr>
        <w:t>في أدلّة حرمة الغناء</w:t>
      </w:r>
      <w:bookmarkEnd w:id="442"/>
    </w:p>
    <w:p>
      <w:pPr>
        <w:pStyle w:val="Heading4"/>
        <w:numPr>
          <w:ilvl w:val="3"/>
          <w:numId w:val="1"/>
        </w:numPr>
        <w:rPr/>
      </w:pPr>
      <w:bookmarkStart w:id="443" w:name="__RefHeading___Toc876116_1280447820"/>
      <w:bookmarkStart w:id="444" w:name="_Toc163"/>
      <w:bookmarkEnd w:id="443"/>
      <w:r>
        <w:rPr>
          <w:rtl w:val="true"/>
        </w:rPr>
        <w:t>اشارة</w:t>
      </w:r>
      <w:bookmarkEnd w:id="44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الإمامية في حرمة الغناء،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الإجماع بقسميه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كونه ضروريّاً في المذهب</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ويدلّ عليه جملة من الآيات المفسّرة في الروايات بالغناء، وهي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والزور هو الباطل، وقد دلّت طائفة من الأخبار على أنّ الغناء من الزور، كمرسلة ابن أبي عمير، عن بعض أصحابه، عن أبي عبدالله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وكمصحّحة درست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توثيق درست بن منصور؛ لنقل البزنطي وابن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زيد الشحّام هو زيد بن يونس أبو اُسامة الأزدي مولاهم الشحّام الكوفي، له كتاب يرويه جماعة منهم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نقل جماعة من الأجلاّء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وكصحيحة هشام المحكيّة عن تفسير عليّ بن إبراهيم عن أبي عبدالله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ظاهر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الكريمة هو الوجوب، فيجب </w:t>
      </w:r>
    </w:p>
    <w:p>
      <w:pPr>
        <w:pStyle w:val="BookText"/>
        <w:rPr/>
      </w:pPr>
      <w:r>
        <w:rPr>
          <w:rFonts w:ascii="Amiri" w:hAnsi="Amiri" w:eastAsia="Amiri" w:cs="Amiri"/>
          <w:color w:val="111111"/>
          <w:sz w:val="28"/>
          <w:sz w:val="28"/>
          <w:szCs w:val="28"/>
          <w:rtl w:val="true"/>
          <w:lang w:bidi="ar-SA"/>
        </w:rPr>
        <w:t xml:space="preserve">الاجتناب عن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بصريح هذه الروايات المفسّرة للآية الكريمة، فالغناء منهيّ عنه بعنوان كونه مصداقاً للزور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دلّت طائفة اُخرى من الأخبار على تفسير لهو الحديث بالغناء، والإضافة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إضافة الصفة إلى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وعد الله عليه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صحيحة؛ لأنّ عليّ بن إسماعيل الواقع في الطريق والملقّب بالسندي ثقة، وقد روى عنه ابن أبي عمير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الغناء،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بصحّة الرواية اشتمال طريقها على سهل بن زياد؛ لأنّه على المختار ثقة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مهران بن محمّد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ممّا </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كون الرواية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وصفوان كانا يرويان عن مهران بن محمّد، وهو يكفي في وثاقته؛ لأنّهما لا يرويان ولا يرسلان إلاّ عن الثقة، ومن المعلوم أنّ اشتراء لهو الحديث ليضلّ عن سبيل الله من الكبائر وممّا وعد الله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يخدش في الاستدلال بروايات الطائفة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ظهورها في أنّ الغناء من مقولة الكلام؛ لتفسير قول الزور أو لهو الحديث به، فينافي كون الغناء كيفية الصوت اللهوي من دون اعتبار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صحيحة حمّاد بن عثمان عن أبي عبدالله عليه السلام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الزور أن يقول للّذي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حيث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تضمّنه لمدح الفاعل للحرام يكون زوراً وباطلا، فيوافق أنّ الغناء من مقولة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التي لها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لو اشتريتها فذكّرتك الجنّة؛ يعني بقراءة القرآن والزهد والفضائل التي ليست بغناء، فأمّا الغناء فمحظور</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عن الكلام الصحيح والفضائل الحقّة بعدم الغناء دليل على أنّ المراد بالغناء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استعمالاته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هذه الاُمور من الكلام الباطل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وإن كان من الصدوق لا الإمام عليه السلام إلاّ أنّه لا يضرّ؛ لأنّ تفسير الصدوق يدلّ على صحّة استعمال الغناء فيه في ذلك العصر،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هذه الروايات لإثبات حرمة نفس كيفية الصوت ولو لم تكن في الكلام، مع أنّ المدّعى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جامع المدارك من أنّه ليس معنى الغناء سوى الكيفية الخاصّة للصوت التي من شأنها التطريب الذي من شأنه أن يوجب خفّة تعتري الإنسان لشدّة حزن أو سرور، ولا اختصاص لها بالكلام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الغالب تحقّقها في الكلام الباطل، ومن جهة اتّحادها مع الكلام يطلق الغناء على الكلام، وما استشهد به أو أيّد به لما ذكر لا ينافي ما ذكر؛ فإنّ الظاهر أنّ ما ورد في بعض الأخبار أنّ من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للّذي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التنزيل،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السامع للغيبة أحد المغتابين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ريب في أنّ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للمغنّي بمجرّده ليس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حكي من 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شهادة له؛ لأنّ مجرّد الصوت والصوت الحسن ليسا بغناء بل ما من شأنه التطريب، وعلى هذا فيكون الغناء أخصّ مطلقاً من اللهو</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هو كيفية خاصّة للصوت التي من شأنها التطريب، وإطلاق الغناء على الكلام من باب اتّحاد الغناء معه بحسب الغالب، فما ينافي ذلك كون الغناء هو الكيفية المذكورة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مصباح الفقاهة من أنّه لا فرق بين كون الغناء نفسه من مقولة الكلام أو هو كيفية مسموعة تقوم به؛ لاتّحادهما في الخارج على كلّ حال، فلا وجه للخدشة في الروايات الواردة في تفسير الآية بأنّ مقتضاها أنّ الغناء من مقولة الكلام مع أنّه كيفية تقوم به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الغناء من مقوله الكلام فاللازم منه أن لا يكون الصوت المجرّد عن الكلام غناء وإن كان موجباً للطرب والخفّة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لصدق الغناء على الصوت اللهوي الذي له شأنية التطريب ولو لم يكن معه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الغناء من مقولة الصوت ولو كان مجرّداً عن الكلام فمقتضاه أن يتحقّق الغناء من دون كلام، ومعه لا مجال لدعوى اتّحاد الكيفية مع الكلام؛ إذ لا كلام حتّى يتّحد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الغناء من مقولة الأصوات أو كيفيّاتها من غير مدخلية لأمر آخر، ولا ينافي ذلك عدّه من لغو الحديث وقول الزور ونحوهما ممّا يمكن كون المراد منه أنّه كذلك باعتبار هذه الكيفية الخاصّة</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من كيفية الأصوات، وإطلاقه على الكلام من باب اتّحاده معه غالباً؛ فيصير الكلام بذلك لهواً وزوراً، فالدليل الدالّ على حرمة قول الزور أو لهو الحديث لا ينافي كون الغناء من كيفية الأصوات ومحرّماً،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 ويدلّ على تفسير 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 بمَشاهد الغناء من دون اشتراط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مَشاهد الزور التي مدح الله تعالى من لا يشهدها هي مجالس التغنّي بأباطيل الكلام، فيختصّ الغناء المحرّم بما كان مشتملاً على الكلام الباطل، فلا </w:t>
      </w:r>
    </w:p>
    <w:p>
      <w:pPr>
        <w:pStyle w:val="BookText"/>
        <w:rPr/>
      </w:pPr>
      <w:r>
        <w:rPr>
          <w:rFonts w:ascii="Amiri" w:hAnsi="Amiri" w:eastAsia="Amiri" w:cs="Amiri"/>
          <w:color w:val="111111"/>
          <w:sz w:val="28"/>
          <w:sz w:val="28"/>
          <w:szCs w:val="28"/>
          <w:rtl w:val="true"/>
          <w:lang w:bidi="ar-SA"/>
        </w:rPr>
        <w:t>تدلّ على حرمة نفس الكيفية ولو لم يكن في كلام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الغناء هو الكيفية في الأصوات ولا يختصّ الغناء في المجالس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الإشكال من ناحية اُخرى، وهي أنّ مدح الذين لا يشهدون الزور لا يكفي في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تقييد الغناء بالكلام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سيّدنا الإمام المجاهد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بضمّ الروايات المفسّرة، تدلّ على حرمة الغناء بذاته إذا كان مقروناً بقول، وبإلغاء الخصوصية عرفاً يستفاد منها حرمته مطلقاً ولو وُجد في مهمل لا يقال له قول أو وُجد في الصوت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المتحقّق في الكلام لا يقوم جميع قرعاته ورجعاته بالكلام، بل يقع كثير منها في خلاله وقبله وبعده، ولا شبهة في أنّ الصوت الكذائي بمطلق وجوده غناء، فتدلّ الروايات على حرمته ولو بتلك القطعات الغير القائمة بالألفاظ، ولا شبهة في عدم الفرق بين تلك القطعات المحرّمة والصوت المتحقّق بلا كلام إن كان غناء</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الآية الكريمة الدالّة على حرمة اشتراء لهو الحديث أنّ لهو الحديث قسمان، والمحرّم منه هو ما يشترى، وتكون الغاية منه إضلال الناس عن سبيل الله، وغاية ما تدلّ الروايات هو أنّ الغناء داخل في لهو الحديث، ومقتضاه أن يكون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وهو ما تكون الغاية منه الإضلال، ومحلّل وهو غيره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أفاد سيّدنا الإمام المجاهد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بالإضلال عن سبيل الله ليس خصوص الإضلال عن العقائد الحقّة، بل جميع الواجبات فعلاً والمحرّمات تركاً من سبيل الله، وكلّ شيء يوجب ترك واجب أو فعل محرّم يكون صادّاً عن سبيل الله ومضلاًّ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مقتضى إطلاق الأخبار أنّ مطلق الغناء داخل في الآية وأوعد الله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قلّما يتّفق لشخص أن يكون غاية تعلّمه للغناء أو تغنّيه الإضلال عن سبيل الله والصدّ عنه، فعليه يكون عدّ الغناء من الآية بنحو الإطلاق على الاحتمال المتقدّم في الإشكال كحمل المطلق على الفرد النادر جدّاً،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أوعد الله عليه النار في الآية مع عدم دخوله فيها إلاّ ما هو نادر كالمعدوم يعدّ مستهجناً قبيحاً، فلابدّ وأن تحمل اللام على النتيجة، أعمّ من كونها غاية أو لا، فلا ينافي ذلك ما ورد في شأن نزولها،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وكقول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لِدُوا للموت وابنوا للخراب</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بالنسبة إلى الآيات المفسّرة في الروايات بالغناء، وهناك طائفة اُخرى من الأخبار تدلّ على حرمة الغناء بذاته، وهي كثيرة جدّاً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حرمة الغناء وحرمة تعليمه وتعلّمه وحرمة التكسّب به واستماعه، وأنّه ينبت النفاق في القلب كما ينبت الماء الخضرة، وأنّه يورث الفقر والقساوة وينزع الحياء، وأنّه رُقية الزناء ويرفع البركة وينزل البلاء كما نزل البلاء على المغنّين من بني إسرائيل، وأنّه ممّا وعد الله عليه النار وبئس المصير، وأنّه غشّ النفاق، وأنّ الغناء مجلس لا ينظر الله إلى أهله، وأنّ استماع الغناء نفاق وتعلّمه كفر، وأنّ صاحب الغناء يحشر من قبره أعمى وأخرس وأبكم، وأنّ من ضرب في بيته شيئاً من الملاهي أربعين يوماً فقد باء بغضب من الله؛ فإن مات في أربعين مات فاجراً </w:t>
      </w:r>
    </w:p>
    <w:p>
      <w:pPr>
        <w:pStyle w:val="BookText"/>
        <w:rPr/>
      </w:pPr>
      <w:r>
        <w:rPr>
          <w:rFonts w:ascii="Amiri" w:hAnsi="Amiri" w:eastAsia="Amiri" w:cs="Amiri"/>
          <w:color w:val="111111"/>
          <w:sz w:val="28"/>
          <w:sz w:val="28"/>
          <w:szCs w:val="28"/>
          <w:rtl w:val="true"/>
          <w:lang w:bidi="ar-SA"/>
        </w:rPr>
        <w:t>فاسقاً مأواه النار وبئس المصير، وأنّ من أصغى إلى ناطق يؤدّي عن الشيطان فقد عبد الشيطان، وأنّ الغناء أخبث ما خلق الله وشرّ ما خلق الله، وأنّه يورث الفقر والنفاق، وأنّ من استمع إلى الغناء يذاب في اُذنه الإفك، وغير ذلك من المضامين المدهشة التي اشتملت عليها الأخبار المتواترة، والروايات الواردة في حرمة الغناء وإن كان أكثرها ضعيف السند ولكن في المعتبر منها غنى وكفاية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المحقّق الأردبيلي حيث قال في محكيّ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رواية صحيحة صريحة في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أعرف بمقاله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بالإشارة إلى جملة من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بسند موثّق عن محمّد بن يحيى، عن أحمد بن محمّد، عن ابن فضّال، عن يونس بن يعقوب، عن عبد الأعلى قال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عليه السلام عن الغناء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صلى الله عليه وآله رخّص في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جئناكم جئناكم، حيّونا حيّونا، نحيّيكم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يحضر المجلس</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كون الرواية موثّقة واضح؛ إذ غير عبد الأعلى من الرواة الواقعين في طريق الرواية صُرّح بوثاقتهم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 الأعلى فهو عبد الأعلى بن أعين، وقد حكي عن </w:t>
      </w:r>
    </w:p>
    <w:p>
      <w:pPr>
        <w:pStyle w:val="BookText"/>
        <w:rPr/>
      </w:pPr>
      <w:r>
        <w:rPr>
          <w:rFonts w:ascii="Amiri" w:hAnsi="Amiri" w:eastAsia="Amiri" w:cs="Amiri"/>
          <w:color w:val="111111"/>
          <w:sz w:val="28"/>
          <w:sz w:val="28"/>
          <w:szCs w:val="28"/>
          <w:rtl w:val="true"/>
          <w:lang w:bidi="ar-SA"/>
        </w:rPr>
        <w:t>تعليقة البهبهاني أنّ الظاهر من عبارة المفيد أنّه من فقهاء أصحاب الأئمّة عليهم السلام وخاصّتهم والرؤساء والأعلام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الرواية تدلّ على أنّ حرمة الغناء من حيث كيفية الصوت لا مفاد الكلام؛ إذ ليس مفاد الجمل المذكورة لهواً كما لا يخفى، وحمل الجمل على أنّها كناية عن اللهو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المذكور المرخّص فيه بزعمهم ليس بالباطل واللهو اللذين يكذّب الإمام عليه السلام رخصة النبيّ فيه، فليس الإنكار الشديد المذكور وجعل ما زعموا الرخصة فيه من اللهو والباطل إلاّ من جهة التغنّي به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دلالةَ الرواية على حرمة التغنّي من ناحية التمسّك بالآية الكريمة التي يستفاد منها كون التغنّي من اللهو ومن الباطل مع انضمام قوله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اَلْوَيْلُ مِمّٰا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يحضر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جامع المدارك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عدم الترخيص لا يستفاد منه الحرمة</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عليه السلام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يتعمّد الغناء، يجلس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تدلّ على حرمة الغناء بذاته، ومقتضى إطلاقه عدم الفرق بين كون الغناء في الكلام الباطل أو غيره من الكلام الصحيح، بل العمدة هو صدق الغناء ولو بمثل الأصوات </w:t>
      </w:r>
    </w:p>
    <w:p>
      <w:pPr>
        <w:pStyle w:val="BookText"/>
        <w:rPr/>
      </w:pPr>
      <w:r>
        <w:rPr>
          <w:rFonts w:ascii="Amiri" w:hAnsi="Amiri" w:eastAsia="Amiri" w:cs="Amiri"/>
          <w:color w:val="111111"/>
          <w:sz w:val="28"/>
          <w:sz w:val="28"/>
          <w:szCs w:val="28"/>
          <w:rtl w:val="true"/>
          <w:lang w:bidi="ar-SA"/>
        </w:rPr>
        <w:t>الملهية من دون ضميمة الكلام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سعيد بن محمّد الطاطري، عن أبيه،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الجواري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شراؤهنّ وبيعهنّ حرام، وتعليمهنّ كفر، واستماعهنّ نفاق</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إلى سعيد موثّق بابن فضّال، وعن الشيخ في العدّة أنّ الطائفة عملت بما رواه الطاطريّون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الحرمة باعتبار تحريم الشراء والبيع؛ إذ لا وجه لحرمة المعاملة إلاّ لحرمة فعلهنّ وهو الغناء، ومقتضى إطلاقها هو حرمة الغناء ولو لم يكن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عن محمّد بن يحيى، عن بعض أصحابنا، عن محمّد بن إسماعيل،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إسحاق بن عمر بجوار له مغنّيات أن تبيعهنّ‌</w:t>
      </w:r>
      <w:r>
        <w:rPr>
          <w:rStyle w:val="FootnoteAnchor"/>
          <w:rtl w:val="true"/>
        </w:rPr>
        <w:footnoteReference w:id="812"/>
      </w:r>
      <w:r>
        <w:rPr>
          <w:rFonts w:ascii="Amiri" w:hAnsi="Amiri" w:eastAsia="Amiri" w:cs="Amiri"/>
          <w:color w:val="111111"/>
          <w:sz w:val="28"/>
          <w:sz w:val="28"/>
          <w:szCs w:val="28"/>
          <w:rtl w:val="true"/>
          <w:lang w:bidi="ar-SA"/>
        </w:rPr>
        <w:t>ويحمل ثمنهنّ إلى أبي الحسن عليه السلام،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الجواري بثلاثمائة ألف درهم وحملت الثمن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 يقال له إسحاق بن عمر أوصى عند وفاته ببيع جوار له مغنّيات وحمل الثمن إليك، وقد بعتهنّ‌، وهذا الثمن ثلاثمائة ألف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 إنّ هذا سحت، وتعليمهنّ كفر، والاستماع منهنّ نفاق، وثمنهنّ سحت</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كدلالة معتبرة الطاطري، ولكنّها ضعيفة بالإرسال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ملعون، والكاهن ملعون، والساحر ملعون، والمغنّية ملعونة، ومن آواها وأكل كسبها ملعون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توثيق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إسحاق بن إبراهيم الحصيني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يصرّح بوثاقته إلاّ أنّ الوحيد البهبهاني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قبول قوله؛ لكونه وكيلاً</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الوثاقة، وأمّا نصر بن قابوس فقد صرّح بوثاقته الشيخ المفيد في محكيّ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إطلاقها عدم الفرق بين كونه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باطلاً أو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هناك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خفىّ أنّ كلمة اللعن ظاهرة في الحرمة خصوصاً مع اقتران هذه الجملة مع لعن المنجّم والكاهن والساحر، والمفروض أنّ حرمة هذه الاُمور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الريّان بن الصلت المرويّة في عيون الأخبار، عن أحمد بن زياد بن جعفر الهمداني، عن عليّ بن إبراهيم بن هاشم،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الخراساني قدس سره عن الغناء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ذكر عنك أنّك ترخّص في الغناء؟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قلت له، سألني عن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عليه السلام 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والباطل فأين يكون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منها الحرمة، كما يشهد لذلك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تصديق تطبيق الباطل عليه، ومن المعلوم أنّ نفي الترخيص يساوي </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والكبائر محرّمة، وهي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والملاهي التي تصدّ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كالغناء وضرب 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الوسائل بعد نقل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في آخره محمول‍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التحريم أو على التقيّة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إرشاد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يدلّ على أنّه بإطلاقه من الكبائر؛ حيث إنّ المذكور فيها الملاهي التي تصدّ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ملهى بمعنى اللهو؛ بقرينة التمثيل بالفعل، ومدلولها كون الغناء الموجب لنسيان الله كبيرة، فلا تعمّ ما يكون في ضمن الأشعار المتضمّنة للوعظ والإرشاد ونحوهما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نفس الصوت إذا كان لهويّاً مناسباً لمجالس أهل الفسق والفجور يكون ممّا يصدّ عن ذكر الله، فيشمله ولو كان في ضمن الأشعار المتضمّنة للوعظ والإرشاد، فلا وجه لنفي شموله وعمومه لما يكون في ضمن الأشعار المذكورة ونحوها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الوشّاء المرويّة في الكافي عن عدّة من أصحابنا، عن سهل بن زياد،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عن شراء المغنّية،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تكون للرجل الجارية تلهيه، وما ثمنها إلاّ ثمن كلب، وثمن الكلب سحت، والسحت في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وجه لجعل الثمن سحتاً إلاّ حرمة الغناء، ومقتضى الإطلاق هو حرمة الغناء الملهي سواء كان ذلك بكلام لهويّ أو بدونه؛ فقد حكم في الرواية بكون ثمن الجارية سحتاً، ومقتضاه عدم حلّية منفعتها، وهي الغناء بإطلاقه؛ وإلاّ فلا مجال لإطلاق تحريم ثمن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عليّ بن محمّد، عن إبراهيم الأحمر، عن عبدالله بن حمّاد، عن عبدالله 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القرآن بألحان العرب وأصواتها، وإيّاكم ولحون أهل الفسق وأهل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سيجيء من بعدي أقوام يرجّعون القرآن ترجيع الغناء والنوح والرهبانية، لا يجوز تراقيهم، قلوبهم مقلوبة، وقلوب من يعجبه شأنهم</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 بعد نقل جملة من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جملة من الأخبار الصريحة الدالّة في تحريم الغناء مطلقاً من غير تقييد بما قدّمنا ذكره عن المجوّز له في حدّ ذاته، ويعضدها الأخبار الدالّة على تحريم الاستماع له والأخبار الدالّة على تحريم ثمن المغنّية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ذكر بعض هذه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والتقريب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الغناء جائزاً وحلالاً بل مستحبّاً، كما هو ظاهر كلامهم في نحو القرآن والأدعية والمناجاة، وإنّما يحرم بسبب ما يعرض له من المحرّمات الخارجة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يتمّ الحكم بتحريم سماعه وتحريم ثمن المغنّية وأنّ تعليمه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بحمد الله سبحانه ظاهر لكلّ ذي عقل ورويّة، لا ينكره إلاّ من قابل بالصدود أو الاستكبار عن الحقّ‌ </w:t>
      </w:r>
    </w:p>
    <w:p>
      <w:pPr>
        <w:pStyle w:val="BookText"/>
        <w:rPr/>
      </w:pPr>
      <w:r>
        <w:rPr>
          <w:rFonts w:ascii="Amiri" w:hAnsi="Amiri" w:eastAsia="Amiri" w:cs="Amiri"/>
          <w:color w:val="111111"/>
          <w:sz w:val="28"/>
          <w:sz w:val="28"/>
          <w:szCs w:val="28"/>
          <w:rtl w:val="true"/>
          <w:lang w:bidi="ar-SA"/>
        </w:rPr>
        <w:t>بالكلّية</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مقصوده أن الحكم بتحريم السماع مطلقاً وتحريم ثمن المغنّية مطلقاً وكذا الحكم بكون تعليمه كفراً لاينسجم مع القول بأنّه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كلام الأردبيلي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ما رأيت رواية صحيحة صريحة في التحريم، ولعلّ الشهرة تكفي مع الأخبار الكثيرة، بل الإجماع على تحريم الغناء، والتخصيص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ليست بحجّة وإنّما الإجماع والشهرة مع القيدين، فلاحجّة على غيره، والأصل دليل قوىّ‌، والاحتياط واضح</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كلامه في الغناء الذي يكون خالياً عن الترجيع والتطريب،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بما هو غناء مع قطع النظر عن المحرّمات الخارجة موضوع للحرمة ولا يكون مقيّداً بما إذا كان مقروناً ببعض المعاصي أو بما إذا كان محتواه كلاماً فضلا عن كونه باطلا، وليس الغناء المذكور إلاّ الصوت اللهوي الذي يكون متعارفاً في مجالس أهل الفسق والفجور، وهو الصوت الذي له شأنية التطريب على التفصيل الذي تقدّم في البحث عن حقيقة الغناء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لغةً أعمّ من الصوت اللهوي، والذي كان موضوعاً للأخبار الناهية هو خصوص الصوت اللهوي؛ وهو الذي يكون له شأنية التطريب، ولا فرق فيه بين أن يكون الصوت المذكور علّة تامّة مستقلّة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نفس الصوت لهواً من دون حاجة إلى انضمام اشتماله على الكلام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جزء العلة ومتمّماً بحيث يكون </w:t>
      </w:r>
    </w:p>
    <w:p>
      <w:pPr>
        <w:pStyle w:val="BookText"/>
        <w:rPr/>
      </w:pPr>
      <w:r>
        <w:rPr>
          <w:rFonts w:ascii="Amiri" w:hAnsi="Amiri" w:eastAsia="Amiri" w:cs="Amiri"/>
          <w:color w:val="111111"/>
          <w:sz w:val="28"/>
          <w:sz w:val="28"/>
          <w:szCs w:val="28"/>
          <w:rtl w:val="true"/>
          <w:lang w:bidi="ar-SA"/>
        </w:rPr>
        <w:t>لكلّ واحد من اللحن وبطلان المادّة دخل في تحقّق الصوت اللهوي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تقوّمت لهويّة الصوت بكونه في الكلام الباطل بحيث إذا انفكّ عنه لا يكون له شأنية التطريب سواء كان مجرّداً عن الكلام أو كان في الكلام الصحيح، فلا دليل على حرمته؛ إذ لا يكون علّة تامّة ولا جزء العلّة التامّة للتطريب ولو بنحو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الصوت باقياً على لهويّته ولو انفكّ عن الكلام الباطل فحرمته باقية وإن كان الصوت المذكور مقروناً بالكلام الصحيح كالقرآن والمراثي والأدعية ونحوها، أو كان المجلس من مجالس الذكر أو العزاء ونحوهما؛ لأنّ المفروض أنّ الصوت علّة تامّة لشأنية 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فرض أنّ صوتاً في بلد ما يعدّ صوتاً لهويّاً فيه دون غيره من البلدان الاُخرى، اختصّت الحرمة بالبلد الذي يكون الصوت فيه لهويّاً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الاجتناب عنه في جميع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الصوت اللهوي كما لا يجوز التغنّي به كذلك لا يجوز استماعه؛ للتصريح به في الأخبار، كصحيحة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يتعمّد الغناء، يجلس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وكمعتبرة الطاطري، عن أبيه،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الجواري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شراؤهنّ وبيعهنّ حرام، وتعليمهنّ كفر، واستماعهنّ نفاق</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يلحق بالتغنّي بالصوت المذكور إيجاد الصوت اللهوي بوسيلة بعض الآلات؛ لإلغاء الخصوصية وعمومية الحكمة، والله العالم</w:t>
      </w:r>
      <w:r>
        <w:rPr>
          <w:rFonts w:eastAsia="Amiri" w:cs="Amiri" w:ascii="Amiri" w:hAnsi="Amiri"/>
          <w:color w:val="111111"/>
          <w:sz w:val="28"/>
          <w:szCs w:val="28"/>
          <w:rtl w:val="true"/>
          <w:lang w:bidi="ar-SA"/>
        </w:rPr>
        <w:t xml:space="preserve">. </w:t>
      </w:r>
      <w:bookmarkStart w:id="445" w:name="pg17323_406241"/>
    </w:p>
    <w:p>
      <w:pPr>
        <w:pStyle w:val="Heading4"/>
        <w:numPr>
          <w:ilvl w:val="3"/>
          <w:numId w:val="1"/>
        </w:numPr>
        <w:rPr/>
      </w:pPr>
      <w:bookmarkStart w:id="446" w:name="__RefHeading___Toc876118_1280447820"/>
      <w:bookmarkStart w:id="447" w:name="_Toc164"/>
      <w:bookmarkEnd w:id="445"/>
      <w:bookmarkEnd w:id="446"/>
      <w:r>
        <w:rPr>
          <w:rtl w:val="true"/>
        </w:rPr>
        <w:t>تفصيل الفيض الكاشاني قدس سره</w:t>
      </w:r>
      <w:r>
        <w:rPr>
          <w:rtl w:val="true"/>
        </w:rPr>
        <w:t>:</w:t>
      </w:r>
      <w:bookmarkEnd w:id="447"/>
    </w:p>
    <w:p>
      <w:pPr>
        <w:pStyle w:val="BookText"/>
        <w:rPr/>
      </w:pPr>
      <w:r>
        <w:rPr>
          <w:rFonts w:ascii="Amiri" w:hAnsi="Amiri" w:eastAsia="Amiri" w:cs="Amiri"/>
          <w:color w:val="111111"/>
          <w:sz w:val="28"/>
          <w:sz w:val="28"/>
          <w:szCs w:val="28"/>
          <w:rtl w:val="true"/>
          <w:lang w:bidi="ar-SA"/>
        </w:rPr>
        <w:t>لا يذهب عليك أنّه قد نسب إلى الفيض الكاشاني قدس سره تخصيص حرمة الغناء بما إذا اشتمل على محرّم، مثل اللعب بالآلات اللهوية أو دخول الرجال على النساء أو التغنّي بكلام باطل، وإلاّ فهو ليس بغناء أو ليس بمحرّم وإن كان الصوت صوتاً لهويّاً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جارية لها صوت،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فذكّرتك الجنّة؛ يعني بقراءة القرآن والزهد والفضائل التي ليست بغناء، فأمّا الغناء فمحظور</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التفسير 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ويستفاد منه أن مدّ الصوت وترجيعه بأمثال ذلك ليس بغناء أو ليس بمحظور</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الغناء نفياً وإثباتاً، 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الصدوق خارجة عن محلّ الكلام أصلاً؛ فإنّ المفروض فيها شراء الجارية التي لها صوت، ومورد البحث هنا بيع الجارية المغنّية، وبينهما بون بعيد</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كسب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والتي تدعى إلى الأعراس ليس به بأس،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830"/>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الحسين بن سعيد عن عليّ بن أبي حمزة البطائني؛ فإنّه يكشف عن كون النقل منه في حال استقامته؛ إذ الحسين بن سعيد من الأجلاّء، ولا يمكن أن ينقل عنه في حال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تقريب الاستدلال بروايتي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إشعارهما باختصاص حرمة الغناء وما يتعلّق به من الأجر والتعليم والاستماع والبيع والشراء كلّها بما كان على النحو المعهود المتعارف في زمن بني اُميّة وبني العبّاس؛ من دخول الرجال عليهنّ وتكلّمهن بالأباطيل ولعبهنّ بالملاهي من العيدان والقضيب وغيرها، دون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بالتي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مشعر بالعلّية أو دالّ عليها، فتدلّ على أنّ المحرّم قسم منه، وهو المقارن للمعاصي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الرجال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حرمة الغناء منوطة بما يقصد منه؛ فإن كان المقصود إقامة مجلس اللهو حرم وإلاّ فلا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في مصباح الفقاهة بعد نقل الرواية الاُولى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وإن كانت صحيحة إلاّ أنّها لا دلالة فيها على مقصد المحدّث المذكور؛ فإنّ غاية ما يستفاد منها ومن رواية اُخرى لأبي بصير أنّه لا بأس بأجر المغنّية التي تدعى إلى العرائس ولا يدخل عليها الرجال، أمّا الغناء في غير زفّ العرائس فلا تعرّض في </w:t>
      </w:r>
    </w:p>
    <w:p>
      <w:pPr>
        <w:pStyle w:val="BookText"/>
        <w:rPr/>
      </w:pPr>
      <w:r>
        <w:rPr>
          <w:rFonts w:ascii="Amiri" w:hAnsi="Amiri" w:eastAsia="Amiri" w:cs="Amiri"/>
          <w:color w:val="111111"/>
          <w:sz w:val="28"/>
          <w:sz w:val="28"/>
          <w:szCs w:val="28"/>
          <w:rtl w:val="true"/>
          <w:lang w:bidi="ar-SA"/>
        </w:rPr>
        <w:t>الروايتين لحكمه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الأعظم قدس سره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تدلّ إلاّ على كون غناء المغنّية التي يدخل عليها الرجال داخلاً في لهو الحديث في الآية وعدم دخول غناء التي تدعى إلى الأعراس فيها، وهذا لا يدلّ على دخول ما لم يكن منهما في القسم المباح مع كونه من لهو الحديث قطعاً، فإذا فرضنا أنّ المغنّي يغنّي بأشعار باطلة فدخول هذا في الآية أقرب من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فالمذكور في الرواية تقسيم غناء المغنّية باعتبار ما هو الغالب من أنّها تطلب للتغنّي إمّا في المجالس المختصّة بالنساء كما في الأعراس وإمّا للتغنّي في مجالس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الإنصاف أنّه لا يخلو من إشعار بكون المحرّم هو الذي يدخل فيه الرجال على المغنّيات، لكن المنصف لا يرفع اليد عن الإطلاقات لأجل هذا الإشعار، خصوصاً مع معارضته بما هو كالصريح في حرمة غناء المغنّية ولو لخصوص مولاها، كما تقدّم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صحيحة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للرجل الجارية تلهيه، وما ثمنها إلاّ كثمن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 هذا القول بعد ملاحظة النصوص أظهر من أن يحتاج إلى الإظهار، وما أبعد ما بين هذا وبين ما سيجيء من فخر الدين من عدم تجويز الغناء بالأعراس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الروايتين وإن كانتا نصّين في الجواز إلاّ أنّهما لا تقاومان الأخبار المانعة؛ لتواترها</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ما لم يكن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القسم المباح مع كونه من لهو الحديث، إلاّ أنّ تخصيص ذلك بما إذا كان التغنّي بأشعار باطلة لا دليل </w:t>
      </w:r>
    </w:p>
    <w:p>
      <w:pPr>
        <w:pStyle w:val="BookText"/>
        <w:rPr/>
      </w:pPr>
      <w:r>
        <w:rPr>
          <w:rFonts w:ascii="Amiri" w:hAnsi="Amiri" w:eastAsia="Amiri" w:cs="Amiri"/>
          <w:color w:val="111111"/>
          <w:sz w:val="28"/>
          <w:sz w:val="28"/>
          <w:szCs w:val="28"/>
          <w:rtl w:val="true"/>
          <w:lang w:bidi="ar-SA"/>
        </w:rPr>
        <w:t>عليه، بل يعمّ ما إذا كان التغنّي بأشعار صحيحة وبصوت لهويّ‌،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قرب الاسناد عن عبدالله بن الحسن، عن عليّ بن جعفر، عن أخيه، سألته عن الغناء هل يصلح في الفطر والأضحى والفرح‌؟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ظاهراً أنّه لا بأس بالغناء ما لم يصر سبباً للمعصية ولا مقدّمةً للمعاصي المقارنة له، فيعلم منه أنّ الغناء بما هو هو ليس بمحرّم في الفطر والأضحى والفرح، وإنّما حرمته من ناحية مقدّميّته للمحرّمات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 قدس سره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ظاهرة في تحقّق المعصية بنفس الغناء، فيكون المراد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الصوت المشتمل على الترجيع؛ وقد يكون مطرباً ملهياً، وقد لا ينتهي إلى ذلك الحدّ فلا يعصى به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الغناء في اللغة أعمّ من الصوت اللهوي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ضعف الرواية بعبد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رواها في الوسائل عن عليّ بن جعفر في كتابه،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يؤمر به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البحار أيضاً من غير طريق الحميري، عن عليّ بن جعفر،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الغناء أيصلح في الفطر والأضحى والفرح‌؟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مالم يزمر به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وكيف كان، فما رواه في الوسائل عن كتاب علىّ بن جعفر صحيح، إلاّ أنّ الظاهر 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إذ لا معنى لها، 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البحار، لكنّ الطريق المذكور فيه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فتقريب الاستدلال بها كالتقريب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في خبر قرب الاسناد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فيه ترجيع المزمار، أو لم يقصد منه قصد المزمار، أو أنّ المراد من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على سبيل اللهو</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كرواية الحميري ظاهرة في تحقّق المعصية بنفس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يؤول ما في مصباح الفقاهة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الصوت بنفسه صوت مزماريّ ولحن رقصيّ كألحان أهل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صوت يكون في المزمار؛ وإلاّ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 المزمار أو بالنفخ في المزمار، وعليه فيدلّ على تحقّق الغناء بالصوت المزماري واللحن الرقصي لا مطلقاً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ما في كلام سيّدنا الإمام المجاهد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عدم جواز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توضيح الواضح</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 أبعدها ما احتمله الشيخ الأنصاري؛ وهو أنّ المراد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الحسن الأعمّ من الغناء المحرّم، وبالجواب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قسم منه وهو ما ليس بغناء، وتحريم قسم وهو الغناء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والإنصاف أنّ هذا الحمل يساوق الطرح، ولعلّ ما دعاه إلى هذا الحمل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 على تعارضها مع الروايات الكثيرة المستفيضة أو المتواترة، فرأى أنّ التصرّف فيها أوهن من رفع اليد عنها؛ مع أنّ بينها وبين الروايات جمعاً عقلائيّاً؛ وهو حمل المطلقات عليها، وتجويز الغناء في أيّام الأعياد المقتضية للسرور والفرح،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يكن سبباً للمعصية أو ما لم يقترن بها أو ما يتّحد معها، كما لو كان التغنّي بالفحش والكذب ونحوهما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المتفاهم منها أنّ الغناء في الأعياد وأيّام الفرح لا بأس به بذاته ما لم يقترن بمعصية، وهو بوجه نظير ما ورد في بعض الروايات من رفع القلم في بعض الأعياد، والمراد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أيّام العيد والسرور كالتغنّي والتلهّي، لا مطلق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يتغنّ في المزمار؛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بالمزمار، فتدلّ على جواز الغناء في الأعياد دون المزامير، مع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فتوافق الاُولى</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يشكل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باستثنائه فيها، بل عدم نقل احتماله من أحد مع بُعد تجويزه في العيدين الشريفين المعدّين لطاعة الله تعالى والصلاة والانقطاع إليه تعالى، كمايظهر من الأدعية والأذكار والعبادات الواردة فيهما وفي الأعياد المذهبية بل بعض الأعياد الملّية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الرواية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الحسن المجهول وإن كان كثير الرواية عن عليّ بن جعفر، والظاهر إتقان رواياته، وعن الكفاية أنّه مرويّ عن قرب الاسناد للحميري بإسناد لا يبعد إلحاقه بالصحاح، وإن قال بعض المدقّقين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رأيت ذلك في الكفاية في باب الغناء والمكاسب وفي كتاب 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لم يصل الاعتماد عليها بحدّ يمكن تقييد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تلك المطلقات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الاُخرى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يرجّع به ترجيع المزمار، أو لم يتغنّ به على سبيل اللهو، أو لم يقصد منه قصد 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ظهورها في الأوّل معتدّاً به أمكن معه تقييد المطلقات الكثيرة، فالأحوط بل الأقوى عدم استثناء أيّام العيد والفرح</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لماعرفت من أنّه لا وجه لمنع كون الغناء أعمّ من الحرام، مع أنّ الظاهر من تتبّع كلمات العرب وأشعارهم وعبارات الفقهاء وأهل الأدب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الفاضل الشعراني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اسم لمطلق الصوت، أو لكلّ صوت يرتفع به ويرجّع فيه وإن لم يمل إليه الطبع، فهو نظير القول والسماع؛ فالقول يطلق على كلّ كلام يتكلّم به، وقد يخصّ في بعض العبارات بالغناء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السماع اسم لاستماع كلّ كلام وصوت، وقد يخصّ في اصطلاحهم بالغناء وسماعه،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سماع حسن سمعته من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القول والسماع لغةً أعمّ من المحرّم، كذلك الغناء ومدّ الصوت أعمّ منه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فالرواية أفادت حلّية الغناء الذي ليس بلهويّ‌، بخلاف اللهوي فإنّه محرّم، ومع إفادة ذلك لا وجه لجعل احتمال الشيخ مساوقاً للطرح؛ لإفادته حرمة بعض أنواع الغناء اللغوي فيما إذا كان صوتاً لهويّاً، فيؤول المعنى إلى أنّه لا بأس بالصوت الحسن ما لم يبلغ حدّ الحرمة؛ وهو الصوت اللهوي المناسب لمجالس المعاصي ولو لم يقترن بمحرّم آخر، فهو يفيد خلاف ما ذهب إليه الفيض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ما عرفت من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هو ما إذا كان نفس الصوت صوتاً مزماريّاً ولحناً رقصيّاً كألحان أهل الفسوق والفجور، لا الصوت في المزمار،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هذه الروايات سنداً أو دلالةً لإثبات حلّية الغناء اللهوي إذا لم يكن مقروناً بمحرّم من المحرّمات كما نسب إلى الفيض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للفيض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الأدلّة عن إثبات حرمة مطلق الغناء؛ لعدم الإطلاق فيما تدلّ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قصور في إطلاق كثير من الروايات الدالّة على حرمة الغناء من دون تقييده باقترانه مع بعض المحرّمات، وقد مضى البحث عنها عند ذكر أدلّة حرمة الغناء،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انصراف الأدلّة إلى الغناء المتعارف المعهود في زمن بني اُميّة وبني العبّاس</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سيّدنا الإمام المجاهد قدس سره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عدم مجال لهذه الدعوى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يتعمّد الغناء، يجلس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الظاهرة في المنع عن الجلوس عند من يتغنّى من غير أن يكون هنا معاص اُخر كالمزامير وغيرها كما هو ظاهرها، وكحسنة عبد الأعلى الدالّة على أن التغنّي بمثل ألفاظ التحيّة أيضاً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يخفى على المتأمّل أنّ كون غالب أفراده ما يتعارف في عصر الخبيثتين من اشتمالها على محرّمات اُخر ممنوعة،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التغنّي بالأشعار عند الناس كان متعارفاً في كلّ عصر، وربّما يتّفق </w:t>
      </w:r>
    </w:p>
    <w:p>
      <w:pPr>
        <w:pStyle w:val="BookText"/>
        <w:rPr/>
      </w:pPr>
      <w:r>
        <w:rPr>
          <w:rFonts w:ascii="Amiri" w:hAnsi="Amiri" w:eastAsia="Amiri" w:cs="Amiri"/>
          <w:color w:val="111111"/>
          <w:sz w:val="28"/>
          <w:sz w:val="28"/>
          <w:szCs w:val="28"/>
          <w:rtl w:val="true"/>
          <w:lang w:bidi="ar-SA"/>
        </w:rPr>
        <w:t>معه سائر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المتعارف عند سلاطين الطائفتين أو الاُمراء في عصرهم وسائر الأعصار ذلك لا يوجب أن يكون نوع التغنّيات كذلك حتّى يدّعى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كثرة أفراد طبيعة في قسم لا توجب الانصراف؛ فإنّ الإطلاق عبارة عن الحكم على طبيعة من غير قيد، فلابدّ في دعوى الانصراف من دعوى كون الكثرة والتعارف واُنس الذهن بوجه تصير كقيد حافّ بالطبيعة، وهو في المقام ممنوع سيّما في مثل مقارنات الطبيعة لا مصاديقها وأصنافها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فدعوى الانصراف كدعوى عدم الإطلاق في الضعف</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فالغناء بمعنى الصوت اللهوي حرام، ولا فرق فيه بين أن يقترن بمحرّم من المحرّمات أو لم يقترن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الفيض أنكر حرمة الغناء اللهوي أساساً، وإنّما حرّمه من ناحية اقتران سائر المحرّمات، كدخول الرجال على النساء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يناقش في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أنّها خلاف ظاهر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التغنّي بالأشعار المتضمّنة لذكر الجنّة والنار والتشويق إلى دار القرار،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متعارف في مجالس أهل اللهو كمجالس بني اُميّة وبني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 هذه العبارة بل صريحها 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سيّدنا الإمام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على قسمين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قارن تلك الخصوصيّات؛ بمعنى أنّ الغناء المقارن لها حرام لا أنّ المقارنات حرام فقط؛ ولهذا حرم أجرهنّ وتعليمهنّ والاستماع منهنّ‌، ولولا ذهابه إلى </w:t>
      </w:r>
    </w:p>
    <w:p>
      <w:pPr>
        <w:pStyle w:val="BookText"/>
        <w:rPr/>
      </w:pPr>
      <w:r>
        <w:rPr>
          <w:rFonts w:ascii="Amiri" w:hAnsi="Amiri" w:eastAsia="Amiri" w:cs="Amiri"/>
          <w:color w:val="111111"/>
          <w:sz w:val="28"/>
          <w:sz w:val="28"/>
          <w:szCs w:val="28"/>
          <w:rtl w:val="true"/>
          <w:lang w:bidi="ar-SA"/>
        </w:rPr>
        <w:t>تحريمه ذاتاً لا وجه لتحريم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يتغنّى بالمواعظ ونحوها، فقد استثنى من حرمة الغناء قسماً هو التغنّي بذكر الله تعالى، كما استثنى بعضهم التغنّي بالمراثي وبعضهم التغنّي بالقرآن وبعضهم الحُداء وبعضهم في العرائس، وهذا أمر لم يثبت أنّه خلاف الإجماع أو خلاف المذهب حتّى يستوجب صاحبه الطعن والنسبة إلى الخرافة والأراجيف</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الفيض جعل الغناء محرّماً ذاتاً ومع ذلك استثنى منه التغنّي بذكر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في كلام الشيخ الأعظم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كلام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التأمّل تفصيلاً؛ بل قولاً بإطلاق جواز الغناء وأنّه لا حرمة فيه أصلاً، وإنّما الحرام ما يقترن به من المحرّمات</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وذلك لظهور عبارة الفيض في أنّ نفس الغناء محرّم فيما لو اقترن بحرام من المحرّمات، والشاهد على ذلك حرمة الاُجرة؛ وإلاّ فالحرمة العارضة من ناحية المقرونات لا توجب حرمة الاُجرة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استثناء الغناء اللهوي في التغنّي بالذكر والقرآن والمواعظ، بل استثناؤه خلاف الإجماع أو خلاف المذهب، ومع كونه كذلك لا وجه لمنع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سيّدنا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يفتِ أحد بجواز الغناء اللهوي في مثل الذكر والقرآن والدعاء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طعنه ونسبته إلى ما لا يناسب مقامه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إلاّ أن يكون مقصوده هو استثناء الغناء غير اللهوي بناءً على كون الغناء أعمّ من اللهوي وغيره كما عرفت في البحث عن حقيقة الغناء، وعليه فيكون الغناء اللهوي عنده </w:t>
      </w:r>
      <w:bookmarkStart w:id="448" w:name="pg17323_406251"/>
    </w:p>
    <w:p>
      <w:pPr>
        <w:pStyle w:val="BookText"/>
        <w:rPr/>
      </w:pPr>
      <w:bookmarkEnd w:id="448"/>
      <w:r>
        <w:rPr>
          <w:rFonts w:ascii="Amiri" w:hAnsi="Amiri" w:eastAsia="Amiri" w:cs="Amiri"/>
          <w:color w:val="111111"/>
          <w:sz w:val="28"/>
          <w:sz w:val="28"/>
          <w:szCs w:val="28"/>
          <w:rtl w:val="true"/>
          <w:lang w:bidi="ar-SA"/>
        </w:rPr>
        <w:t xml:space="preserve">حراماً، بخلاف غير اللهوي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جائز</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876120_1280447820"/>
      <w:bookmarkStart w:id="450" w:name="_Toc165"/>
      <w:bookmarkEnd w:id="449"/>
      <w:r>
        <w:rPr>
          <w:rtl w:val="true"/>
        </w:rPr>
        <w:t>كلام السبزواري قدس سره</w:t>
      </w:r>
      <w:r>
        <w:rPr>
          <w:rtl w:val="true"/>
        </w:rPr>
        <w:t>:</w:t>
      </w:r>
      <w:bookmarkEnd w:id="450"/>
    </w:p>
    <w:p>
      <w:pPr>
        <w:pStyle w:val="BookText"/>
        <w:rPr/>
      </w:pPr>
      <w:r>
        <w:rPr>
          <w:rFonts w:ascii="Amiri" w:hAnsi="Amiri" w:eastAsia="Amiri" w:cs="Amiri"/>
          <w:color w:val="111111"/>
          <w:sz w:val="28"/>
          <w:sz w:val="28"/>
          <w:szCs w:val="28"/>
          <w:rtl w:val="true"/>
          <w:lang w:bidi="ar-SA"/>
        </w:rPr>
        <w:t xml:space="preserve">قال السبزواري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الأخبار المتخالفة جوازاً ومنعاً في القرآن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الجمع بين هذه الأخبار والأخبار الكثيرة الدالّة على تحريم الغناء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تلك الأخبار بما عدا القرآن، وحمل ما يدلّ على ذمّ التغنّي بالقرآن على قراءة تكون على سبيل اللهو كما يصنعه الفسّاق في غنائهم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تلك الأخبار الغناء، والمفرد المعرّف باللام لا يدلّ على العموم لغةً‌، وعمومه يستنبط من حيث إنّه لا قرينة على إرادة الخاصّ‌، وإرادة بعض الأفراد من غير تعيين ينافي غرض الإفادة وسياق البيان والحكمة، فلابدّ من حمله على الاستغراق والعموم، وهاهنا ليس كذلك؛ لأنّ الشائع في ذلك الزمان الغناء على سبيل اللهو من الجواري والمغنّيات وغيرهنّ في مجالس الفجور والخمور وغيرها، فحمل المفرد على تلك الأفراد الشائعة في ذلك الزمان غير بعيد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عدّة من تلك الأخبار إشعار بكونه لهواً باطلا، وصدق ذلك في القرآن والدعوات والأذكار المقروءة بالأصوات الطيّبة المذكّرة للآخرة والمهيّجة للأشواق إلى عالم القدس </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إجماع في غير الغناء على سبيل اللهو كان متّبعاً، وإلاّ بقي حكمه على أصل الإباحة، وطريق الاحتياط واضح</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الغناء من مقولة الصوت وكيفيّته، فإذا كان نفس الصوت لهويّاً فإنّ اقترانه بالذكر والقرآن والموعظة لا يخرجه عن اللهوية، كما لا تتوقّف لهويّته على الاقتران بمحرّم من المحرّمات، وعليه فالصوت اللهوي في القرآن والذكر مصداق للغناء ويكون محرّماً، واستثناؤه خلاف المذهب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الصوت لهويّاً لا يكون حراماً، ومجرّد إطلاق الغناء بمعنى الصوت الحسن عليه في اللغة لا إجماع على حرمته؛ لاختصاص أدلّة الحرمة بما إذا كان الصوت لهويّاً، ولا دليل على حرمة مطلق الصوت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مقصود السبزواري من التأمّل هذا القسم،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تعارف في مجالس الخلفاء من تقارنه مع محرّم من المحرّمات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كون جميع المجالس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اللهوي حراماً مطلقاً؛ سواء اقترن بمحرّم من المحرّمات أو لم يقترن، والوجه في حرمته هو لهويّة الصوت مع قطع النظر عن محرّم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صاحب الكفاية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استفدنا من الأخبار بل فتاوى الأصحاب وقول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الملاهي نظير ضرب الأوتار والنفخ في القصب والمزمار، وقد تقدّم التصريح بذلك في رواية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والكبائر محرّمة،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والملاهي التي تصدّ عن ذكر الله عزّ وجلّ‌ </w:t>
      </w:r>
    </w:p>
    <w:p>
      <w:pPr>
        <w:pStyle w:val="BookText"/>
        <w:rPr/>
      </w:pPr>
      <w:r>
        <w:rPr>
          <w:rFonts w:ascii="Amiri" w:hAnsi="Amiri" w:eastAsia="Amiri" w:cs="Amiri"/>
          <w:color w:val="111111"/>
          <w:sz w:val="28"/>
          <w:sz w:val="28"/>
          <w:szCs w:val="28"/>
          <w:rtl w:val="true"/>
          <w:lang w:bidi="ar-SA"/>
        </w:rPr>
        <w:t>مكروهة كالغناء</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الواردة في الكبائر، فلا يحتاج إلى أن يقترن بالمحرّمات، كما هو ظاهر بعض ما تقدّم من المحدّثين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الفيض والسبزواري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كون الغناء موضوعاً لمطلق الصوت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ما تقدّم في تفسير معنى التطريب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ما ذكراه، بل لا أظنّ أحداً يفتي بإطلاق حرمة الصوت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بمدح الصوت الحسن، وأنّه من أجمل الجمال، واستحباب القراءة والدعاء به، وأنّه حلية القرآن، واتّصاف الأنبياء والأئمّة به، في غاية الكثرة، وقد جمعها في الكفاية بعدما ذكر أنّ غير واحد من الأخبار يدلّ على جواز الغناء في القرآن بل استحبابه بناءً على دلالة الروايات على استحباب حسن الصوت والتحزين والترجيع به، والظاهر أنّ شيئاً منها لا يوجد بدون الغناء على ما استفيد من كلام أهل اللغة وغيرهم على ما فصّلناه في بعض رسائلنا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إقرؤوا القرآن بألحان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اللحن هو الغناء، وبالجملة، فنسبة الخلاف إليه في معنى الغناء أولى من نسبة التفصيل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الصوت اللهوي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ظاهر أكثر كلمات المحدّث الكاشاني أيضاً ذلك؛ لأنّه في مقام نفي التحريم عن الصوت الحسن المذكّر لاُمور الآخرة المنسي لشهوات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 كلماتهما ظاهرة فيما نسب إليهما من التفصيل في الصوت اللهوي الذي ليس هو عند التأمّل تفصيلاً؛ بل قولاً بإطلاق جواز الغناء وأنّه لا حرمة فيه أصلاً، وإنّما الحرام ما يقترن به من المحرّمات،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صدق نسبته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لا شاهد له يقيّد الإطلاقات الكثيرة المدّعى تواترها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451" w:name="pg17323_406254"/>
    </w:p>
    <w:p>
      <w:pPr>
        <w:pStyle w:val="BookText"/>
        <w:rPr/>
      </w:pPr>
      <w:bookmarkEnd w:id="451"/>
      <w:r>
        <w:rPr>
          <w:rFonts w:ascii="Amiri" w:hAnsi="Amiri" w:eastAsia="Amiri" w:cs="Amiri"/>
          <w:color w:val="111111"/>
          <w:sz w:val="28"/>
          <w:sz w:val="28"/>
          <w:szCs w:val="28"/>
          <w:rtl w:val="true"/>
          <w:lang w:bidi="ar-SA"/>
        </w:rPr>
        <w:t>ولا يخفى عليك أنّ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في اللغة هو الصوت الحسن، وهو يشمل اللهوي وغيره، ولا ينافي ذلك انصراف أدلّة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دليل على تقسيم اللهوي إلى الحلال والحرام، بل الصوت اللهوي محرّم أينما وُجد، ولا فرق فيه بين أن يقترن بالباطل أو لم يقترن، وبين أن يكون مشتملاً على حرام من المحرّمات أو لا، فدعوى الانصراف إلى اللهوي المقارن للحرام كما ترى</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876122_1280447820"/>
      <w:bookmarkStart w:id="453" w:name="_Toc166"/>
      <w:bookmarkEnd w:id="452"/>
      <w:r>
        <w:rPr>
          <w:rtl w:val="true"/>
        </w:rPr>
        <w:t>كلام السيّد المحقّق الخوئي قدس سره</w:t>
      </w:r>
      <w:r>
        <w:rPr>
          <w:rtl w:val="true"/>
        </w:rPr>
        <w:t>:</w:t>
      </w:r>
      <w:bookmarkEnd w:id="453"/>
    </w:p>
    <w:p>
      <w:p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مانعة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الأصوات المتّصفة بصفة الغناء مقترنة بكلام لا يعدّ عند العقلاء إلاّ باطلا؛ لعدم اشتماله على المعاني الصحيحة بحيث يكون لكلّ واحد من اللحن وبطلان المادّة دخل في تحقّق معنى السماع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المصوغة على هيئة خاصّة؛ المشتملة على الأوزان والسجع والقافية والمعاني المهيّجة الباطلة والعشق الحيواني من دون أن تشتمل على غرض عقلائي بل قد لا تكون كلماتها متناسبة كما تداو ل ذلك كثيراً بين شبّان العصر وشابّاته، وقد يقترن بالتصفيق وضرب الأوتار وشرب الخمور وهتك الناس وغيرها من الاُمور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وجد اللحن المذكور في كلام له معنى صحيح عند العقلاء لما كان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والأدعية والخطب والأشعار المشتملة على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الصوت بنفسه مصداقاً للغناء وقول الزور واللهو المحرّم، كألحان أهل الفسوق والكبائر التي لا تصلح إلاّ للرقص والطرب؛ سواء تحقّقت بكلمات باطلة أم </w:t>
      </w:r>
      <w:bookmarkStart w:id="454" w:name="pg17323_406255"/>
    </w:p>
    <w:p>
      <w:pPr>
        <w:pStyle w:val="BookText"/>
        <w:rPr/>
      </w:pPr>
      <w:bookmarkEnd w:id="454"/>
      <w:r>
        <w:rPr>
          <w:rFonts w:ascii="Amiri" w:hAnsi="Amiri" w:eastAsia="Amiri" w:cs="Amiri"/>
          <w:color w:val="111111"/>
          <w:sz w:val="28"/>
          <w:sz w:val="28"/>
          <w:szCs w:val="28"/>
          <w:rtl w:val="true"/>
          <w:lang w:bidi="ar-SA"/>
        </w:rPr>
        <w:t>تحقّقت بكلمات مشتملة على المعاني الراقية</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بعدما عرفت أنّه من مقولة الأصوات لا وجه لفرض مدخلية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كمادّة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تحقّقه، ثمّ إنّ كلّ واحد من الصوت والمادّة يقتضي مقتضاه، وعليه فالصوت المقتضي لشأنية التطريب إذا اجتمع مع مادّة باطلة ولم يكن مانع عن تأثيرهما، فقد أثّرا أثرهما، بخلاف ما إذا اجتمع الصوت المقتضي لشأنية التطريب مع الذكر ونحوه؛ فإنّه يمكن أن يمنع عن تأثير الصوت المذكور مادّة الكلام الصحيحة ولكن مع ذلك لا يخرج الصوت المذكور عن كونه غناءً ومقتضياً لشأنية التطريب بالتزاحم كما يكون الأمر كذلك في جميع المتزاحمات؛ لبقاء الملاكات وصدق العناوين مع التزاحم، ومع عدم خروجه عن ذلك وصدق الغناء والصوت اللهوي عليه فلا يبعد دعوى شمول عموم حرمة الغناء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فالتغنّي في القرآن والدعاء بالصوت اللهوي المقرون بالمانع عن فعليّة التأثير لا يخلو عن إشكال ونظر،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خرج عن اللهوية مطلقاً فلا إشكال أيضاً لو كان هناك صوت مشترك بين مجالس الذكر ومجالس الفسق ولكنّه ليس لهواً بنفسه فلا إشكال فيه بنفسه، وإنّما الإشكال من ناحية ضمائمه من اللهويّات، فلا تغفل</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876124_1280447820"/>
      <w:bookmarkStart w:id="456" w:name="_Toc167"/>
      <w:bookmarkEnd w:id="455"/>
      <w:r>
        <w:rPr>
          <w:rtl w:val="true"/>
        </w:rPr>
        <w:t>أسئلة وأجوبة</w:t>
      </w:r>
      <w:r>
        <w:rPr>
          <w:rtl w:val="true"/>
        </w:rPr>
        <w:t>:</w:t>
      </w:r>
      <w:bookmarkEnd w:id="456"/>
    </w:p>
    <w:p>
      <w:pPr>
        <w:pStyle w:val="Heading5"/>
        <w:numPr>
          <w:ilvl w:val="4"/>
          <w:numId w:val="1"/>
        </w:numPr>
        <w:rPr/>
      </w:pPr>
      <w:bookmarkStart w:id="457" w:name="__RefHeading___Toc876126_1280447820"/>
      <w:bookmarkStart w:id="458" w:name="_Toc168"/>
      <w:bookmarkEnd w:id="457"/>
      <w:r>
        <w:rPr>
          <w:rtl w:val="true"/>
        </w:rPr>
        <w:t>السؤال الأوّل</w:t>
      </w:r>
      <w:r>
        <w:rPr>
          <w:rtl w:val="true"/>
        </w:rPr>
        <w:t xml:space="preserve">: </w:t>
      </w:r>
      <w:r>
        <w:rPr>
          <w:rtl w:val="true"/>
        </w:rPr>
        <w:t>هل يكون التغنّي بالنثر كالتغنّي بالنظم</w:t>
      </w:r>
      <w:bookmarkEnd w:id="458"/>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التغنّي بالنثر كالتغنّي بالنظم في الحرمة، أو 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إلحاقه به إذا كان الصوت في النثر كالصوت في الشعر لهويّاً وله شأنية التطريب وإن لم يصدق عليه عنوان الشعر؛ لعموم علّة الحرمة التي هي مبغوضية شأنية </w:t>
      </w:r>
      <w:bookmarkStart w:id="459" w:name="pg17323_406256"/>
    </w:p>
    <w:p>
      <w:pPr>
        <w:pStyle w:val="BookText"/>
        <w:rPr/>
      </w:pPr>
      <w:bookmarkEnd w:id="459"/>
      <w:r>
        <w:rPr>
          <w:rFonts w:ascii="Amiri" w:hAnsi="Amiri" w:eastAsia="Amiri" w:cs="Amiri"/>
          <w:color w:val="111111"/>
          <w:sz w:val="28"/>
          <w:sz w:val="28"/>
          <w:szCs w:val="28"/>
          <w:rtl w:val="true"/>
          <w:lang w:bidi="ar-SA"/>
        </w:rPr>
        <w:t>التطريب</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876128_1280447820"/>
      <w:bookmarkStart w:id="461" w:name="_Toc169"/>
      <w:bookmarkEnd w:id="460"/>
      <w:r>
        <w:rPr>
          <w:rtl w:val="true"/>
        </w:rPr>
        <w:t>السؤال الثاني</w:t>
      </w:r>
      <w:r>
        <w:rPr>
          <w:rtl w:val="true"/>
        </w:rPr>
        <w:t xml:space="preserve">: </w:t>
      </w:r>
      <w:r>
        <w:rPr>
          <w:rtl w:val="true"/>
        </w:rPr>
        <w:t>هل تختصّ حرمة الغناء باللغة العربية أو لا؟</w:t>
      </w:r>
      <w:bookmarkEnd w:id="461"/>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حرمة الغناء باللغة العربية‌؟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لحرمة الغناء بلغة من اللغات، بل المعيار هو صدق شأنية التطريب على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قوّة حرمة استماع الصوت الخارجي اللهوي الذي له شأنية التطريب ولو لم تكن الكلمات معلومة أو مفهومة</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876130_1280447820"/>
      <w:bookmarkStart w:id="463" w:name="_Toc170"/>
      <w:bookmarkEnd w:id="462"/>
      <w:r>
        <w:rPr>
          <w:rtl w:val="true"/>
        </w:rPr>
        <w:t>السؤال الثالث</w:t>
      </w:r>
      <w:r>
        <w:rPr>
          <w:rtl w:val="true"/>
        </w:rPr>
        <w:t xml:space="preserve">: </w:t>
      </w:r>
      <w:r>
        <w:rPr>
          <w:rtl w:val="true"/>
        </w:rPr>
        <w:t>هل تكون حرمة الغناء من ناحية نفس الصوت أو من ناحية المحتوى‌؟</w:t>
      </w:r>
      <w:bookmarkEnd w:id="463"/>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حرمة الغناء من ناحية نفس الصوت، أو من ناحية الكلام‌؟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الكلام لا دخالة له، بل الموضوع هو الصوت اللهوي وكيفيّته ولو كان ذلك بألفاظ مهملة أو بدون ألفاظ أصلاً</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876132_1280447820"/>
      <w:bookmarkStart w:id="465" w:name="_Toc171"/>
      <w:bookmarkEnd w:id="464"/>
      <w:r>
        <w:rPr>
          <w:rtl w:val="true"/>
        </w:rPr>
        <w:t>السؤال الرابع</w:t>
      </w:r>
      <w:r>
        <w:rPr>
          <w:rtl w:val="true"/>
        </w:rPr>
        <w:t xml:space="preserve">: </w:t>
      </w:r>
      <w:r>
        <w:rPr>
          <w:rtl w:val="true"/>
        </w:rPr>
        <w:t>هل يكون حرمة الغناء مختصّة بما إذا قصد التطريب أو لا؟</w:t>
      </w:r>
      <w:bookmarkEnd w:id="465"/>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حرمة الغناء مختصّة بما إذا قصد التطريب، أو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للقصد والنيّة، بل الموضوع هو الصوت اللهوي وشأنية التطريب ولو صدر عنه بعنوان آخر، وعليه فلا يجوز أن يستمع الغناء بقصد إشغال الوقت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يظهر أنّه لا فرق في الحرمة بين أن يكون للمغنّي قصد الإلهاء والإطراب وبين أن لا يكون له ذلك؛ إذ المعيار هو صدق الإلهاء والإطراب على نفس الصوت الذي يتعمّده المغنّي، فلا دخل للقصد والنيّة لا من طرف المغنّي ولا من طرف المستمع، كما في سائر المحرّمات؛ فإنّها محرّمة وإن اُتي بها لا بعنوان كونها من المحرّمات؛ فمن شرب الخمر لرفع العطش فقد شرب خمراً واستحقّ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فتدبّر جيّداً</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76134_1280447820"/>
      <w:bookmarkStart w:id="467" w:name="_Toc172"/>
      <w:bookmarkEnd w:id="466"/>
      <w:r>
        <w:rPr>
          <w:rtl w:val="true"/>
        </w:rPr>
        <w:t>السؤال الخامس</w:t>
      </w:r>
      <w:r>
        <w:rPr>
          <w:rtl w:val="true"/>
        </w:rPr>
        <w:t xml:space="preserve">: </w:t>
      </w:r>
      <w:r>
        <w:rPr>
          <w:rtl w:val="true"/>
        </w:rPr>
        <w:t>هل يجوز توليد الصوت اللهوي بالآلات الحديثة‌؟</w:t>
      </w:r>
      <w:bookmarkEnd w:id="467"/>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توليد الصوت اللهوي الذي له شأنية التطريب بالآلات الحديثة من غير طريق الفم‌؟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إلحاقه بالصوت اللهوي المتعارف من ناحية عمومية العلّة؛ وهي </w:t>
      </w:r>
      <w:bookmarkStart w:id="468" w:name="pg17323_406257"/>
    </w:p>
    <w:p>
      <w:pPr>
        <w:pStyle w:val="BookText"/>
        <w:rPr/>
      </w:pPr>
      <w:bookmarkEnd w:id="468"/>
      <w:r>
        <w:rPr>
          <w:rFonts w:ascii="Amiri" w:hAnsi="Amiri" w:eastAsia="Amiri" w:cs="Amiri"/>
          <w:color w:val="111111"/>
          <w:sz w:val="28"/>
          <w:sz w:val="28"/>
          <w:szCs w:val="28"/>
          <w:rtl w:val="true"/>
          <w:lang w:bidi="ar-SA"/>
        </w:rPr>
        <w:t>اللهوية وشأنية التطريب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وغيرهما من الأدلّة يشمل الصوت المذكور بعد البناء على أنّ المعيار هو صدق اللهوية أو شأنية الإطراب على نفس الصوت،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منصرفة عن مثلها؛ فيتعدّى عن مورد الأدلّة بعموم العلّة</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876136_1280447820"/>
      <w:bookmarkStart w:id="470" w:name="_Toc173"/>
      <w:bookmarkEnd w:id="469"/>
      <w:r>
        <w:rPr>
          <w:rtl w:val="true"/>
        </w:rPr>
        <w:t>السؤال السادس</w:t>
      </w:r>
      <w:r>
        <w:rPr>
          <w:rtl w:val="true"/>
        </w:rPr>
        <w:t xml:space="preserve">: </w:t>
      </w:r>
      <w:r>
        <w:rPr>
          <w:rtl w:val="true"/>
        </w:rPr>
        <w:t>هل يجوز استماع الصوت اللهوي الذي يكون وسيلة للطرب المعنوي‌؟</w:t>
      </w:r>
      <w:bookmarkEnd w:id="470"/>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استماع الصوت اللهوي الذي له شأنية التطريب لمن يقدر أن يجعله وسيلة للطرب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التذكّر والتوجّه إلى الخير والحقّ والعبودية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يجوز؟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أدلّة حرمة استماع الغناء وكفاية شأنية التطريب لنوع الناس هو حرمة الاستماع المذكور بعد فرض تسليم إمكان ذلك</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876138_1280447820"/>
      <w:bookmarkStart w:id="472" w:name="_Toc174"/>
      <w:bookmarkEnd w:id="471"/>
      <w:r>
        <w:rPr>
          <w:rtl w:val="true"/>
        </w:rPr>
        <w:t>السؤال السابع</w:t>
      </w:r>
      <w:r>
        <w:rPr>
          <w:rtl w:val="true"/>
        </w:rPr>
        <w:t xml:space="preserve">: </w:t>
      </w:r>
      <w:r>
        <w:rPr>
          <w:rtl w:val="true"/>
        </w:rPr>
        <w:t>هل تختصّ حرمة الغناء بالنسوان أو لا؟</w:t>
      </w:r>
      <w:bookmarkEnd w:id="472"/>
    </w:p>
    <w:p>
      <w:pPr>
        <w:pStyle w:val="BookText"/>
        <w:rPr/>
      </w:pPr>
      <w:r>
        <w:rPr>
          <w:rFonts w:ascii="Amiri" w:hAnsi="Amiri" w:eastAsia="Amiri" w:cs="Amiri"/>
          <w:color w:val="111111"/>
          <w:sz w:val="28"/>
          <w:sz w:val="28"/>
          <w:szCs w:val="28"/>
          <w:rtl w:val="true"/>
          <w:lang w:bidi="ar-SA"/>
        </w:rPr>
        <w:t>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حرمة الغناء بالنساء، أو تشمل الرجال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الحرمة بين الرجال والنساء؛ لإطلاق الأدلّة وإن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يظهر أنّه لا فرق في حرمة الاستماع بين أن يكون المغنّي رجلاً أو امرأة؛ وذلك للإطلاق والعموم</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876140_1280447820"/>
      <w:bookmarkStart w:id="474" w:name="_Toc175"/>
      <w:bookmarkEnd w:id="473"/>
      <w:r>
        <w:rPr>
          <w:rtl w:val="true"/>
        </w:rPr>
        <w:t>السؤال الثامن</w:t>
      </w:r>
      <w:r>
        <w:rPr>
          <w:rtl w:val="true"/>
        </w:rPr>
        <w:t xml:space="preserve">: </w:t>
      </w:r>
      <w:r>
        <w:rPr>
          <w:rtl w:val="true"/>
        </w:rPr>
        <w:t>هل يجوز التداوى بالغناء أو لا؟</w:t>
      </w:r>
      <w:bookmarkEnd w:id="474"/>
    </w:p>
    <w:p>
      <w:pPr>
        <w:pStyle w:val="BookText"/>
        <w:rPr/>
      </w:pPr>
      <w:r>
        <w:rPr>
          <w:rFonts w:ascii="Amiri" w:hAnsi="Amiri" w:eastAsia="Amiri" w:cs="Amiri"/>
          <w:color w:val="111111"/>
          <w:sz w:val="28"/>
          <w:sz w:val="28"/>
          <w:szCs w:val="28"/>
          <w:rtl w:val="true"/>
          <w:lang w:bidi="ar-SA"/>
        </w:rPr>
        <w:t>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التداوي بالغناء، أو لا؟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التداوي حقيقةً به بحيث يكون المنع عنه موجباً لاستمرار المرض أو شدّته جاز في مقام المعالجة لو لم يوجب مفسدة اُخرى، فتدبّر</w:t>
      </w:r>
      <w:r>
        <w:rPr>
          <w:rFonts w:eastAsia="Amiri" w:cs="Amiri" w:ascii="Amiri" w:hAnsi="Amiri"/>
          <w:color w:val="111111"/>
          <w:sz w:val="28"/>
          <w:szCs w:val="28"/>
          <w:rtl w:val="true"/>
          <w:lang w:bidi="ar-SA"/>
        </w:rPr>
        <w:t xml:space="preserve">. </w:t>
      </w:r>
      <w:bookmarkStart w:id="475" w:name="pg17323_406258"/>
    </w:p>
    <w:p>
      <w:pPr>
        <w:pStyle w:val="Heading3"/>
        <w:numPr>
          <w:ilvl w:val="2"/>
          <w:numId w:val="1"/>
        </w:numPr>
        <w:rPr/>
      </w:pPr>
      <w:bookmarkStart w:id="476" w:name="__RefHeading___Toc876142_1280447820"/>
      <w:bookmarkStart w:id="477" w:name="_Toc176"/>
      <w:bookmarkEnd w:id="475"/>
      <w:bookmarkEnd w:id="476"/>
      <w:r>
        <w:rPr>
          <w:rtl w:val="true"/>
        </w:rPr>
        <w:t>الجهة الرابعة</w:t>
      </w:r>
      <w:r>
        <w:rPr>
          <w:rtl w:val="true"/>
        </w:rPr>
        <w:t xml:space="preserve">: </w:t>
      </w:r>
      <w:r>
        <w:rPr>
          <w:rtl w:val="true"/>
        </w:rPr>
        <w:t>في موارد الاستثناء</w:t>
      </w:r>
      <w:bookmarkEnd w:id="477"/>
    </w:p>
    <w:p>
      <w:pPr>
        <w:pStyle w:val="Heading4"/>
        <w:numPr>
          <w:ilvl w:val="3"/>
          <w:numId w:val="1"/>
        </w:numPr>
        <w:rPr/>
      </w:pPr>
      <w:bookmarkStart w:id="478" w:name="__RefHeading___Toc876144_1280447820"/>
      <w:bookmarkStart w:id="479" w:name="_Toc177"/>
      <w:bookmarkEnd w:id="478"/>
      <w:r>
        <w:rPr>
          <w:rtl w:val="true"/>
        </w:rPr>
        <w:t>أحدها</w:t>
      </w:r>
      <w:r>
        <w:rPr>
          <w:rtl w:val="true"/>
        </w:rPr>
        <w:t xml:space="preserve">: </w:t>
      </w:r>
      <w:r>
        <w:rPr>
          <w:rtl w:val="true"/>
        </w:rPr>
        <w:t>المراثي ونحوها</w:t>
      </w:r>
      <w:bookmarkEnd w:id="479"/>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المراثي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حكي عن بعضهم من استثناء مراثي الحسين عليه السلام إن اُريد به الخروج عن الموضوع باعتبار اندراجه في النوح الذي ستعرف جوازه فلا إشكال فيه، وإلاّ كان ممنوعاً؛ لعدم الدليل الصالح، وكونه معيناً على البكاء المرغّب فيه طاعةً لله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استمرار السيرة عليه، ممنوعة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بالْهَلْهُوْلة على الظاهر؛ لكونها صوتاً من غير لفظ، والغناء من الألفاظ</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أنّ الغناء اللهوي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اللهوي الذي له شأنية التطريب ولو لم يكن هناك لفظ، وعليه فلو كان الصوت المجرّد عن الألفاظ لهويّاً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آنفاً أنّ المراثي خارجة عن الغناء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باعتبار اندراجه في النوح كما أشار إليه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لذكرها من مستثنيات 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إطلاق الغناء عليها لشملتها إطلاقات حرمة الغناء المتقدّمة، ولا دليل على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السيرة على الرثاء وإقامة التعزية على المعصومين عليهم السلام في بلاد المسلمين وإن كان مسلّماً ولكنّها لا تدلّ على جواز الغناء فيها الذي ثبت تحريمه بالآيات والروايات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دلّ على ثواب البكاء على الحسين أو ما دلّ على جواز النوح على الميّت فلا </w:t>
      </w:r>
    </w:p>
    <w:p>
      <w:pPr>
        <w:pStyle w:val="BookText"/>
        <w:rPr/>
      </w:pPr>
      <w:r>
        <w:rPr>
          <w:rFonts w:ascii="Amiri" w:hAnsi="Amiri" w:eastAsia="Amiri" w:cs="Amiri"/>
          <w:color w:val="111111"/>
          <w:sz w:val="28"/>
          <w:sz w:val="28"/>
          <w:szCs w:val="28"/>
          <w:rtl w:val="true"/>
          <w:lang w:bidi="ar-SA"/>
        </w:rPr>
        <w:t>يعارض بما دلّ على حرمة الغناء</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الغناء في 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متأخّري المتأخّرين بعمومات أدلّة الإبكاء والرثاء، وقد أخذ ذلك ممّا تقدّم من صاحب الكفاية من الاستدلال بإطلاق أدلّة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المستحبّات لا تقاوم أدلّة المحرّمات خصوصاً التي يكون من مقدّماتها؛ فإنّ مرجع أدلّة الاستحباب إلى استحباب إيجاد الشيء بسببه المباح لا بسببه المحرّم ألا ترى أنّه لا يجوز إدخال السرور في قلب المؤمن وإجابته بالمحرّمات كالزنا واللواط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دليل الاستحباب إنّما يدلّ على كون الفعل لو خلّي وطبعه خالياً عمّا يوجب لزوم أحد طرفيه، فلا ينافي ذلك طروء عنوان من الخارج يوجب لزوم فعله أو تركه، كما إذا صار مقدّمة لواجب أو صادفه عنوان محرّم، فإجابة المؤمن وإدخال السرور في قلبه ليس في نفسه شيء ملزم</w:t>
      </w:r>
      <w:r>
        <w:rPr>
          <w:rStyle w:val="FootnoteAnchor"/>
          <w:rtl w:val="true"/>
        </w:rPr>
        <w:footnoteReference w:id="856"/>
      </w:r>
      <w:r>
        <w:rPr>
          <w:rFonts w:ascii="Amiri" w:hAnsi="Amiri" w:eastAsia="Amiri" w:cs="Amiri"/>
          <w:color w:val="111111"/>
          <w:sz w:val="28"/>
          <w:sz w:val="28"/>
          <w:szCs w:val="28"/>
          <w:rtl w:val="true"/>
          <w:lang w:bidi="ar-SA"/>
        </w:rPr>
        <w:t>لفعله أو تركه، فإذا تحقّق في ضمن الزنا فقد طرأ عليه عنوان ملزم لتركه، كما أنّه إذا أمر به الوالد أو السيّد طرأ عليه عنوان ملزم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جهات الأحكام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الإباحة والاستحباب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تزاحم جهة الوجوب أو الحرمة، فالحكم لهما مع اجتماع جهتيهما مع إحدى الجهات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بما ذكرنا من عدم تأدّي المستحبّات في ضمن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القرآن بألحان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ولحون أهل الفسوق والكبائر</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فالغناء اللهوي في الرثاء ونحوه محرّم بإطلاق أدلّة حرمة الغناء، ولا يعارضه أدلّة </w:t>
      </w:r>
    </w:p>
    <w:p>
      <w:pPr>
        <w:pStyle w:val="BookText"/>
        <w:rPr/>
      </w:pPr>
      <w:r>
        <w:rPr>
          <w:rFonts w:ascii="Amiri" w:hAnsi="Amiri" w:eastAsia="Amiri" w:cs="Amiri"/>
          <w:color w:val="111111"/>
          <w:sz w:val="28"/>
          <w:sz w:val="28"/>
          <w:szCs w:val="28"/>
          <w:rtl w:val="true"/>
          <w:lang w:bidi="ar-SA"/>
        </w:rPr>
        <w:t>استحباب الرثاء والإبكاء؛ لما عرفت من أنّها تدلّ على الاستحباب لو خلّي وطبعه، ولا نظر لها بالنسبة إلى جهات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الذي أفاده صاحب الجواهر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جواز ذلك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القرآن والدعاء والتعزية على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غناء في غيرها لإطلاق ما دلّ على الأمر بها الشامل لهذه الكيفية الخاصّة، بل جاء في خصوص القرآن الأمر بالتغنّي فيه وما يقضي بجواز الغناء فيه، واضحة الفساد؛ لمعلومية تحكيم النهي في أمثال ذلك، وليس من التعارض من وجه المحتاج إلى ترجيح، بل فهم أهل العرف كاف فيه، نحو العامّ والخاصّ والمطلق والمقيّد؛ وإلاّ لتحقّق التعارض من وجه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قضاء حاجة المؤمن مثلاً، والنهي عن اللواط والزنا والكذب وغيرها من المحرّمات المعلوم بطلانه بضرورة الشرع أنّه لا يطاع من حيث يعصى، وما ورد في خصوص القرآن ممّا لا ريب في قصوره عن معارضة ما دلّ على الحرمة من وجوه مطّرح أو مؤوّل أو موضوع</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ورد في خصوص القرآن على تحسين الصوت ومدّه على نحو لا يكون لهويّاً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سيّدنا الإمام المجاهد قدس سره سلك في توجيه عدم المعارضة بين أدلّة استحباب المراثي وبين أدلّة حرمة الغناء مسلكاً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الأحكام في المطلقات لم تتعلّق إلاّ بنفس الطبائع دون أفرادها، ولم تكن ناظرة إلى أحوال الأفراد فضلا عن كونها ناظرة إلى طبيعة اُخرى وأفرادها أو حال المزاحمات بين الأفراد أو المقتضيات في حال انطباق العناوين على الموضوعات الخارجية، وعليه يكون حكم كلّ عنوان عليه فعليّاً من غير تعارض بين الدليلين؛ فإنّ مصبّ التعارض بين الأدلّة هو </w:t>
      </w:r>
    </w:p>
    <w:p>
      <w:pPr>
        <w:pStyle w:val="BookText"/>
        <w:rPr/>
      </w:pPr>
      <w:r>
        <w:rPr>
          <w:rFonts w:ascii="Amiri" w:hAnsi="Amiri" w:eastAsia="Amiri" w:cs="Amiri"/>
          <w:color w:val="111111"/>
          <w:sz w:val="28"/>
          <w:sz w:val="28"/>
          <w:szCs w:val="28"/>
          <w:rtl w:val="true"/>
          <w:lang w:bidi="ar-SA"/>
        </w:rPr>
        <w:t>مقام الدلالة والمدلول، والفرض أنّ الحكم متعلّق بالطبائع وكلّ طبيعة تغاير الاُخرى، فلا مساس بين الدليلين ولا الحكمين المتعلّقين بالطبيعتين، فلا تعارض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البكاء والإبكاء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الدلالات وتعلّق الأحكام بالموضوعات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مقام انطباق العناوين على الأفراد الخارجية فخارج عن باب تعارض الأدلّة والدلالات؛ لعدم كون الأفراد من مداليل الأدلّة في المطلقات، فالعناوين التي بينها عموم من وجه بحسب التصادق خارج عن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الغناء على عنوانه باقية فعلية، واستحباب قراءة القرآن والرثاء على أبي عبدالله الحسين عليه السلام كذلك من غير تعارض بين الدليلين أو تزاحم بين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العقل في مقام الامتثال يحكم بلزوم الاحتراز من باب حفظ الغرض الأهمّ‌، فلو سمّي هذا عدمَ مزاحمةِ مقتضي المستحبّات لمقتضي المحرّمات فلا بأس به بعد وضوح المراد، فالترجيح في مقام الامتثال بحكم العقل غير مرتبط بمقام جعل الأحكام على عناوين الموضوعات، هذا بحسب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موردٌ يكون بقاء الاستحباب مخالفاً لارتكاز المتشرّعة؛ يكشف ذلك عن قيد في دليل الاستحباب، كما لو فرض أنّ إكرام الضيف بالمحرّم لم يكن مستحبّاً بارتكاز المتشرّعة أو بدليل آخر؛ يكشف ذلك عن قيد في دليل استحبابه، كما ورد في صحيحة صفوان بن يحيى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تسخطوا الله برضا أحد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عدم كون الأفراد من مداليل الأدلّة في المطلقات بعد كون كلّ‌ </w:t>
      </w:r>
      <w:bookmarkStart w:id="480" w:name="pg17323_406262"/>
    </w:p>
    <w:p>
      <w:pPr>
        <w:pStyle w:val="BookText"/>
        <w:rPr/>
      </w:pPr>
      <w:bookmarkEnd w:id="480"/>
      <w:r>
        <w:rPr>
          <w:rFonts w:ascii="Amiri" w:hAnsi="Amiri" w:eastAsia="Amiri" w:cs="Amiri"/>
          <w:color w:val="111111"/>
          <w:sz w:val="28"/>
          <w:sz w:val="28"/>
          <w:szCs w:val="28"/>
          <w:rtl w:val="true"/>
          <w:lang w:bidi="ar-SA"/>
        </w:rPr>
        <w:t>طبيعة حاكية عن أفرادها، وعليه فالعناوين التي تكون النسبة بينها العموم من وجه داخلة في التعارض، فالعمدة في الجواب عن الاستدلال بإطلاق أدلّة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 بعدم إطلاق أدلّة المستحبّات والمكروهات والمباحات، ومع عدم إطلاقها لا مجال للمعارضة بينها وبين أدلّة الواجبات والمحرّمات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الرثاء أو استحبابه إنّما هو في صورة عدم كونه بكيفية الغناء اللهوي وإن صدق عليه الغناء بمعناه اللغوي من مدّ الصوت وحسنه، وإلاّ فيكون الرثاء محرّماً مع فرض كونه مصداقاً للغناء اللهوي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ممّا ذكر حكم المديح، فإنّه يجوز أو يستحبّ فيما إذا لم يكن بكيفية الغناء اللهوي؛ لما ذكر في المراثي، ولا يضرّ صدق الغناء اللغوي فيما إذا لم يكن لهويّاً؛ لاختصاص حرمة الغناء بما إذا كان لهويّاً وزوراً كما لا يخفى</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876146_1280447820"/>
      <w:bookmarkStart w:id="482" w:name="_Toc178"/>
      <w:bookmarkEnd w:id="481"/>
      <w:r>
        <w:rPr>
          <w:rtl w:val="true"/>
        </w:rPr>
        <w:t>ثانيها</w:t>
      </w:r>
      <w:r>
        <w:rPr>
          <w:rtl w:val="true"/>
        </w:rPr>
        <w:t xml:space="preserve">: </w:t>
      </w:r>
      <w:r>
        <w:rPr>
          <w:rtl w:val="true"/>
        </w:rPr>
        <w:t>غناء المغنّية لزفّ العرائس</w:t>
      </w:r>
      <w:bookmarkEnd w:id="482"/>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المغنّية لزفّ 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غير واحد ورود الرخصة في إباحة اُجرة المغنّية في الأعراس، بل نسبه بعض مشايخنا إلى الشهرة، ومقتضاه جواز غنائها فيه؛ ضرورة التلازم بين إباحة الاُجرة عليه وبين إباحته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تتكلّم بالباطل ولم تلعب بالملاهي ولم تدخل عليها الرجال، وآخر بالأوّل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محرّمات خارجة عنه لا مدخلية له فيها، خصوصاً الأخير الذي قد يتوهّم أخذه من دليل الجواز؛ وهو قول الصادق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ليست بالتي تدخل عليها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في خبره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عن كسب المغنّيات التي يدخل عليها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والتي تدعى إلى الأعراس ليس به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المقابلة لا التخصيص؛ بمعنى أنّ هذه أجرها حلال، لا المغنّية في غير الأعراس وهي التي يدخل عليها الرجال لاتّخاذ مجالس اللهو، وحينئذ لا دلالة فيهما على أزيد ممّا في قوله في الخبر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سند هذه الروايات أبا بصير، وهو غير صحيح</w:t>
      </w:r>
      <w:r>
        <w:rPr>
          <w:rStyle w:val="FootnoteAnchor"/>
          <w:rtl w:val="true"/>
        </w:rPr>
        <w:footnoteReference w:id="861"/>
      </w:r>
      <w:r>
        <w:rPr>
          <w:rFonts w:ascii="Amiri" w:hAnsi="Amiri" w:eastAsia="Amiri" w:cs="Amiri"/>
          <w:color w:val="111111"/>
          <w:sz w:val="28"/>
          <w:sz w:val="28"/>
          <w:szCs w:val="28"/>
          <w:rtl w:val="true"/>
          <w:lang w:bidi="ar-SA"/>
        </w:rPr>
        <w:t>، والشهرة على وجه يوجب الانجبار غير ثابتة؛ لأنّ المحكيّ عن المفيد والمرتضى وظاهر الحلبي وصريح الحلّي والتذكرة والإيضاح بل كلّ من لم يذكر الاستثناء بعد التعميم،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أجاب عنه الشيخ الأعظم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الإنصاف أنّ سند الروايات وإن انتهت إلى أبي بصير إلاّ أنّه لا يخلو من وثوق، والعمل بها تبعاً للأكثر غير بعيد، وإن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والله العالم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فيكفي في جواز غناء المغنّية لزفّ العرائس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وليست بالتي يدخل عليها الرجال</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للتلازم بين جواز الاُجرة والحلّية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ومعتبرة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كسب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يدخل </w:t>
      </w:r>
    </w:p>
    <w:p>
      <w:pPr>
        <w:pStyle w:val="BookText"/>
        <w:rPr/>
      </w:pPr>
      <w:r>
        <w:rPr>
          <w:rFonts w:ascii="Amiri" w:hAnsi="Amiri" w:eastAsia="Amiri" w:cs="Amiri"/>
          <w:color w:val="111111"/>
          <w:sz w:val="28"/>
          <w:sz w:val="28"/>
          <w:szCs w:val="28"/>
          <w:rtl w:val="true"/>
          <w:lang w:bidi="ar-SA"/>
        </w:rPr>
        <w:t>عليها الرجال حرام، والتي تدعى إلى الأعراس ليس به بأس</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سند هذه المعتبرة عليّ بن أبي حمزة البطائني،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 مثل الحسين بن سعيد عنه يكشف عن كون ذلك قبل انحرافه؛ لأنّ الحسين بن سعيد من الأجلاّء، ولا يمكن أن ينقل عنه في حال انحرافه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لا تصمد أمام ما دلّ على الحرمة؛ لأنّ أدلّة التحريم بقول مطلق آبية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الإباء المذكور لا يساعده ذهاب الأكثر إلى جوازه؛ فإنّه لو كان كذلك لما ذهبوا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حرمته أشدّ من الربا، ولا لسان أدلّته أشدّ وأغلظ من أدلّته، وهي مخصّصة بموارد، كالربا بين الوالد والولد والزوج والزوجة وغيرهما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جواز الغناء في زفّ العرائس مختصّ بالمغنّية لا المغنّي، وبمجلس العرس المختصّ بالنساء لا غير، بل الأحوط الاقتصار على زفّ العرائس لا غير؛ لتقيّد الرواية الاُولى بزفّ العرائس، بل لا يخلو من قوّة؛ لاحتمال وحدتهما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يشترط في جواز الغناء في زفّ العرائس عدم اقترانه مع عنوان آخر محرّم، كالتكلّم بالأباطيل والكذب وضرب الأوتار ودخول الرجال عليهنّ وغيرها من الاُمور المحرّمة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الاُمور خارجة عن الغناء، ومعه فالمحرّم هو المقترنات لا الغناء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هو حرمة الغناء، والمتيقّن من الاستثناء هو الغناء الذي لا يكون مقروناً بأحد المحرّمات المذكورة، فيبقى الباقي تحت العمومات الدالّة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الأحوط عدم دخول المَحرم أيضاً؛ لأنّ إسماع الغناء واستماعه محرّم ولو كان الإسماع لمَحرم، وإنّما الخارج زفّ الأعراس مع عدم دخول الرجال، ومع وجود الرجال ولو المحارم يكون التغنّي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بعموم أدلّة حرمة التغنّي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أخذ الأجر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زفّ الأعراس إلى بيت الأزواج وتجويز الغناء لذلك ملازم لسماع الأجانب فضلا عن بعض المحارم، فالتجويز للزفّ ملازم لتجويز الإسماع، لكنّ مقدار الملازمة هو الإسماع الاتّفاقي للعابر ونحوه، ولا يلزم منه جوازه للداخل لتلك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منصرفة عن المحارم، وهو ليس ببعيد، وإن كان الأحوط ما ذكر</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بأخذ الأجر للغناء وإن اقترنت معه المحرّمات الخارجية، كما لو كان مقترناً بآلات اللهو، وإن كانت المغنّية ضاربة لها مع تغنّيها يجوز أخذه في مقابل تغنّيها لا العمل المحرّم المقارن له</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مورد الاستثناء هو ما إذا كان الغناء في ليلة الزفاف غير مقرون بأحد المحرّمات، ومع حرمة الغناء المقرون بأحدها لا يجوز أخذ شيء في قبال التغنّي كما لا يخفى، بل هذا هو مقتضى قوله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وجود الرجال ولو المحارم يكون التغنّي حراماً، وكذا أخذ الأجر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bookmarkStart w:id="483" w:name="pg17323_406266"/>
    </w:p>
    <w:p>
      <w:pPr>
        <w:pStyle w:val="BookText"/>
        <w:rPr/>
      </w:pPr>
      <w:bookmarkEnd w:id="483"/>
      <w:r>
        <w:rPr>
          <w:rFonts w:ascii="Amiri" w:hAnsi="Amiri" w:eastAsia="Amiri" w:cs="Amiri"/>
          <w:color w:val="111111"/>
          <w:sz w:val="28"/>
          <w:sz w:val="28"/>
          <w:szCs w:val="28"/>
          <w:rtl w:val="true"/>
          <w:lang w:bidi="ar-SA"/>
        </w:rPr>
        <w:t>ثمّ إنّ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من الغناء في الزفاف كان مقترناً باستعمال الملاهي،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الجائز هو غناء المغنّية لزفّ العرائس مع عدم اقترانه بأحد المحرّمات؛ وإلاّ فلا دليل على الجواز بعد عدم إطلاق في الباب وإن لم يستظهر التقييد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بالتي يدخل عليها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تغفل</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876148_1280447820"/>
      <w:bookmarkStart w:id="485" w:name="_Toc179"/>
      <w:bookmarkEnd w:id="484"/>
      <w:r>
        <w:rPr>
          <w:rtl w:val="true"/>
        </w:rPr>
        <w:t>ثالثها</w:t>
      </w:r>
      <w:r>
        <w:rPr>
          <w:rtl w:val="true"/>
        </w:rPr>
        <w:t xml:space="preserve">: </w:t>
      </w:r>
      <w:r>
        <w:rPr>
          <w:rtl w:val="true"/>
        </w:rPr>
        <w:t>الحداء لسوق الإبل</w:t>
      </w:r>
      <w:bookmarkEnd w:id="485"/>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الحداء لسوق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الشيخ الأعظم إلى أنّ ظاهر الأصحاب أنّ الحداء من الأصوات اللهوية؛ بشهادة استثنائهم إيّاه من الغناء بعد أخذهم الإطراب في تعريفه على أنّه من الأصوات اللهوية، فلم أجد ما يصلح لاستثنائه مع تواتر الأخبار بالتحريم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لا يراه مطرباً بالنسبة إلى آحاد الناس حتّى يكون لهويّاً، وعليه فالظاهر أنّه خارج من مفهوم الغناء موضوعاً بناءً على اختصاصه بالصوت اللهوي، ومع حكم العرف بأنّه خارج من مفهوم الغناء موضوعاً يكون استثناء الأصحاب من باب الاستثناء المنقطع، ولا حاجة في جوازه إلى دليل؛ ولذا 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خروجه من مفهوم الغناء موضوعاً، وقد مال إليه صاحب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ادّعي أنّ الحداء قسيم للغناء بشهادة العرف، وحينئذ يكون خارجاً عن الموضوع</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بناءً على تسليم كون الحداء من الغناء فلا إشكال في أنّ حلّيّته تحتاج إلى الدليل، وقد استدلّ له بوجوه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فإنّها كاشفة عن النصّ أو التقرير، على ما قرّرناه في الاُصول؛ فإنّ‌ </w:t>
      </w:r>
    </w:p>
    <w:p>
      <w:pPr>
        <w:pStyle w:val="BookText"/>
        <w:rPr/>
      </w:pPr>
      <w:r>
        <w:rPr>
          <w:rFonts w:ascii="Amiri" w:hAnsi="Amiri" w:eastAsia="Amiri" w:cs="Amiri"/>
          <w:color w:val="111111"/>
          <w:sz w:val="28"/>
          <w:sz w:val="28"/>
          <w:szCs w:val="28"/>
          <w:rtl w:val="true"/>
          <w:lang w:bidi="ar-SA"/>
        </w:rPr>
        <w:t>المشهور لا يقولون بشيء إلاّ بدليل، كما أنّ المعصوم لا يسكت عن الإرشاد لو ذهبوا إلى شيء لم يرض به في محضره عليه السلام، ولكنّ تمام الكلام في إثبات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المحقّق في كتاب الشهادات استثناء الحداء من الغناء حكماً، وهو المحكي عن العلاّمة في القواعد والشهيد في الدروس والخراساني، بل عنه دعوى الشهرة عليه، وفي شرح الفقيه المجلسي الأوّل أنّ ظاهر أكثر الأصحاب استثناء الحداء، وفي الرياض 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استثناؤه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تأمّل صاحب مفتاح الكرامة في الشهرة، وجزم في الجواهر بعدمها، واحتمل تحقّقها على الخلاف، ولعلّه لإطلاق الأصحاب وعدم استثنائهم ذلك ما عدا المحقّق ومن عرفت ممّن هو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الشهرة المعتمدة في طرفي القضيّة</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بما روي عن النبيّ صلى الله عليه وآله من أنّه قال لعبد الله 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 بالنوق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فاندفع يرتجز، وكان عبدالله جيّد الحداء، وكان مع الرجال، وكان أنجشة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النساء، فلمّا سمعه تبعه، فقال صلى الله عليه وآله لأنجشة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رويدك، رفقاً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النساء</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مضافاً إلى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سيّدنا الإمام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ارتجز لتحريك النوق، والإنشاد ببحر الرجز يخالف الغناء، ولا يحصل به الخفّة والطرب الخاصّ بالغناء، بل يحصل منه التهيّج الخاصّ بالحرب ونحوه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إشعار بعدم جواز الحداء والتغنّي للإبل؛ فإنّ تركه والأخذ </w:t>
      </w:r>
    </w:p>
    <w:p>
      <w:pPr>
        <w:pStyle w:val="BookText"/>
        <w:rPr/>
      </w:pPr>
      <w:r>
        <w:rPr>
          <w:rFonts w:ascii="Amiri" w:hAnsi="Amiri" w:eastAsia="Amiri" w:cs="Amiri"/>
          <w:color w:val="111111"/>
          <w:sz w:val="28"/>
          <w:sz w:val="28"/>
          <w:szCs w:val="28"/>
          <w:rtl w:val="true"/>
          <w:lang w:bidi="ar-SA"/>
        </w:rPr>
        <w:t>بالرجز مع مناسبة الأوّل للسوق مشعر بممنوعيّته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عبدالله جيّد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 الراوي ولا يدلّ على حدوه بالتغنّي</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بما رواه ابن بابويه في الفقيه بإسناده عن السكوني، بإسناده عن جعفر بن محمّد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 والشعر ما كان منه ليس فيه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البرقي في المحاسن عن النوفلي عن السكوني</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الفقيه إلى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نقل الرواية المذكورة في المحاسن؛ فإنّ سنده إلى أبي عبدالله عليه السلام صحيح، ولكن الموجود في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منه ليس فيه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دلالتها؛ لاحتمال أن يكون الحداء قسيماً للغناء، فلا يدلّ على استثناء الحداء الغنائي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الإشكال في دلالتها منشؤه الشكّ في معنى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بمعنى سوق الإبل مطلقاً بأيّة وسيلة كان‌؟ كما هو ظاهر القاموس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 الإبل وبها حدواً وحداءً وحداءً‌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وساقها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له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سوقها بمطلق الصوت الأعمّ من الغناء؟ كما يظهر منه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للناس حداءٌ‌، فضرب أعرابيّ غلامه وعضّ أصابعه، فمشى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يا يدي، فسارت الإبل على صوته،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 وخلع عليه، فهذا أصل الحداء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مشترك بين سوق الإبل مطلقاً والتغنّي لها؟ كما هو محتمل الصحاح والمنجد ومجمع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الإبل والغناء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منه في تالييه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سوق الإبل بالغناء؟ كما هو محتمل عبارة الصحاح وبعده وظاهر الوافي والمسالك وشرح الفقيه للمجلسي والرياض والمستند ومجمع البرهان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سوق الإبل بالترنّم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الإبل بالغناء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منهم تفسيره مطلقاً، لا ما هو موضوع الحكم الشرعي أو مورد استثناء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مباين للغناء؟ كما هو صريح مفتاح الكرامة؛ تمسّكاً بشهادة العرف، وكأنّه مال إليه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عبارةً عن التغنّي للإبل فتكون الرواية أخصّ مطلقاً من أدلّة التحريم، ولا مانع من تقييدها لها سواء في ذلك النسخ المختلفة؛ لأنّ كونه مطرباً من لوازم الغناء، فلا يرجع إليه القيد ولو كان الحنان بمعنى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الغناء هو المطربية الاقتضائية، والمراد بالحنان هو المطربية الفعلية، لكنّه مع بعده يفيد استثناء الغناء إلاّ إذا أثّر الطرب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أحد معنييه التغنّي لها والآخر السوق بغير صوت، وأمّا لو كان أعمّ من التغنّي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إمّا مطلق سوق الإبل بصوت أو غيره بالتغنّي أو لا، أو بمعنى سوقها بمطلق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الرواية أعمّ من وجه من روايات التحريم، فيأتي فيها ما تقدّم من الكلام، وعلى فرض عمل المعارضة تقدّم عليها روايات التحريم بوجوه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على فرض الأعمّية تصير مجملة؛ لاحتمال رجوع القيد المجمل إليه، وإن لا يبعد ظهوره في الرجوع إلى الشعر؛ لتأخّره، وكون الضمير مفرداً، وعدم احتمال </w:t>
      </w:r>
    </w:p>
    <w:p>
      <w:pPr>
        <w:pStyle w:val="BookText"/>
        <w:rPr/>
      </w:pPr>
      <w:r>
        <w:rPr>
          <w:rFonts w:ascii="IRNazanin" w:hAnsi="IRNazanin" w:eastAsia="IRNazanin"/>
          <w:color w:val="111111"/>
          <w:sz w:val="28"/>
          <w:sz w:val="28"/>
          <w:szCs w:val="28"/>
          <w:rtl w:val="true"/>
          <w:lang w:bidi="fa-IR"/>
        </w:rPr>
        <w:t>رجوعه إلى المتقدّم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فالمتحصّل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استثناء الحداء من الغناء</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أفاد وأجاد،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تكون النسبة بين موثّقة السكوني وأدلّة تحريم الغناء هي العموم والخصوص المطلق لو كان المراد من الحداء هو الغناء، ومقتضى القاعدة حينئذ هو تخصيص عمومات حرمة الغناء بموثّقة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تكون النسبة بينها وبين أدلّة تحريم الغناء هي العموم من وجه لو كان الحداء أعمّ من الغناء، فتقدّم العمومات الدالّة على تحريم الغناء؛ لقوّتها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تكون النسبة بينهما هي التباين لو كان الحداء قسيماً للغناء، فتجويزه لا يعارض أدلّة تحريم الغناء؛ لتغاير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نرجّح أحد هذه الوجوه على الاُخرى فإنّ الإجمال يبقى على حاله، فلا يستفاد منه استثناء الحداء من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الحداء عند العرف قسيم للغناء فلا حاجة فيه إلى إقامة دليل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قال في بلغة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أيّ حال، يمكن دعوى استقرار السيرة على جواز الحداء، فلو كان من الغناء كان خارجاً عنه حكماً، لكن من المعلوم أنّ الغناء بالمعنى الذي فسّره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الحداء</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الحداء من الغناء لزم الاستدلال على جوازه واستثنائه بأحد الاُمور المذكورة، وأمّا إذا كان المراد منه أنّه قسيم للغناء فلا حاجة إليها في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السيرة على الغناء بمعنى الصوت اللهوي، ممنوعة، وإنّما المتيقّن منها هو الغناء اللغوي، وهو غير اللهوي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استثناء الحداء من الغناء، والله هو العالم</w:t>
      </w:r>
      <w:r>
        <w:rPr>
          <w:rFonts w:eastAsia="Amiri" w:cs="Amiri" w:ascii="Amiri" w:hAnsi="Amiri"/>
          <w:color w:val="111111"/>
          <w:sz w:val="28"/>
          <w:szCs w:val="28"/>
          <w:rtl w:val="true"/>
          <w:lang w:bidi="ar-SA"/>
        </w:rPr>
        <w:t xml:space="preserve">. </w:t>
      </w:r>
      <w:bookmarkStart w:id="486" w:name="pg17323_406272"/>
    </w:p>
    <w:p>
      <w:pPr>
        <w:pStyle w:val="Heading2"/>
        <w:numPr>
          <w:ilvl w:val="1"/>
          <w:numId w:val="1"/>
        </w:numPr>
        <w:rPr/>
      </w:pPr>
      <w:bookmarkStart w:id="487" w:name="__RefHeading___Toc876150_1280447820"/>
      <w:bookmarkStart w:id="488" w:name="_Toc180"/>
      <w:bookmarkEnd w:id="486"/>
      <w:bookmarkEnd w:id="487"/>
      <w:r>
        <w:rPr>
          <w:rtl w:val="true"/>
        </w:rPr>
        <w:t xml:space="preserve">المسألة التاسعة والثلاثون </w:t>
      </w:r>
      <w:r>
        <w:rPr>
          <w:rtl w:val="true"/>
        </w:rPr>
        <w:t>«</w:t>
      </w:r>
      <w:r>
        <w:rPr>
          <w:rtl w:val="true"/>
        </w:rPr>
        <w:t>في الغيبة</w:t>
      </w:r>
      <w:r>
        <w:rPr>
          <w:rtl w:val="true"/>
        </w:rPr>
        <w:t>»</w:t>
      </w:r>
      <w:bookmarkEnd w:id="488"/>
    </w:p>
    <w:p>
      <w:pPr>
        <w:pStyle w:val="Heading3"/>
        <w:numPr>
          <w:ilvl w:val="2"/>
          <w:numId w:val="1"/>
        </w:numPr>
        <w:rPr/>
      </w:pPr>
      <w:bookmarkStart w:id="489" w:name="__RefHeading___Toc876152_1280447820"/>
      <w:bookmarkStart w:id="490" w:name="_Toc181"/>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والكلام فيها يقع في مقامات</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876154_1280447820"/>
      <w:bookmarkStart w:id="492" w:name="_Toc182"/>
      <w:bookmarkEnd w:id="491"/>
      <w:r>
        <w:rPr>
          <w:rtl w:val="true"/>
        </w:rPr>
        <w:t>المقام الأوّل</w:t>
      </w:r>
      <w:r>
        <w:rPr>
          <w:rtl w:val="true"/>
        </w:rPr>
        <w:t xml:space="preserve">: </w:t>
      </w:r>
      <w:r>
        <w:rPr>
          <w:rtl w:val="true"/>
        </w:rPr>
        <w:t>في تعريف الغيبة</w:t>
      </w:r>
      <w:bookmarkEnd w:id="492"/>
    </w:p>
    <w:p>
      <w:pPr>
        <w:pStyle w:val="Heading4"/>
        <w:numPr>
          <w:ilvl w:val="3"/>
          <w:numId w:val="1"/>
        </w:numPr>
        <w:rPr/>
      </w:pPr>
      <w:bookmarkStart w:id="493" w:name="__RefHeading___Toc876156_1280447820"/>
      <w:bookmarkStart w:id="494" w:name="_Toc183"/>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اغتابه اغتياباً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وهو أن يتكلّم خلف إنسان مستور بما يغمّه لو سمعه، فإن كان صدقاً سمّي غيبة، وإن كان كذباً سمّي بهتاناً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أنّ عدم حضور المغتاب مأخوذ في مفهوم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وذكره بما فيه من السوء، كاعتابه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منه تكون حسنة أو قبيحة</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أنّ ذكر السوء والعيب مأخوذ في مفهوم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p>
    <w:p>
      <w:pPr>
        <w:pStyle w:val="BookText"/>
        <w:rPr/>
      </w:pPr>
      <w:r>
        <w:rPr>
          <w:rFonts w:ascii="Amiri" w:hAnsi="Amiri" w:eastAsia="Amiri" w:cs="Amiri"/>
          <w:color w:val="111111"/>
          <w:sz w:val="28"/>
          <w:sz w:val="28"/>
          <w:szCs w:val="28"/>
          <w:rtl w:val="true"/>
          <w:lang w:bidi="ar-SA"/>
        </w:rPr>
        <w:t>حسنة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بيان الفعلة لا بيان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بما يكرهه من العيوب وهو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أنّ موضوع الغيبة هو ما يكرهه المغتاب من عيوبه، وقد أشار إليه في الصحاح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يغمّه لو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يذكر الإنسان في غيبته بسوء ممّا يكون فيه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التعريف خال عن ذكر الكراهة، وبهذا الاعتبار يكون 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منتهى 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السوء خلف شخص، وهي اسم للاغتياب إن كان صدقاً، وإن كان كذباً سمّي بهتاناً</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التعريف قريب ممّا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 بعد نقل كلمات جماعة من اللغويّين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من الكراهة في عبارة المصباح كراهة وجوده، ولكنّه غير مقصود قطعاً، فالمراد إمّا كراهة ظهوره ولو لم يكره وجوده كالميل إلى القبائح، وإمّا كراهة ذكره بذلك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التعريف دلّت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أبو ذرّ عن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نبويّ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ذكرك </w:t>
      </w:r>
    </w:p>
    <w:p>
      <w:pPr>
        <w:pStyle w:val="BookText"/>
        <w:rPr/>
      </w:pPr>
      <w:r>
        <w:rPr>
          <w:rFonts w:ascii="Amiri" w:hAnsi="Amiri" w:eastAsia="Amiri" w:cs="Amiri"/>
          <w:color w:val="111111"/>
          <w:sz w:val="28"/>
          <w:sz w:val="28"/>
          <w:szCs w:val="28"/>
          <w:rtl w:val="true"/>
          <w:lang w:bidi="ar-SA"/>
        </w:rPr>
        <w:t>أخاك بما يكرهه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أنّ ما ذكره الشيخ قدس سره من تأييد بعض التعاريف اللغوية بجملة من الأخبار مثل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أبو ذر عن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ذكرك أخاك 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ذكره في غيابه كما هو الظاهر من جواب السائل عن الغيبة، ومبنىّ على أنّ المذكور في غيابه هو السوء الذي يكون فيه كما لعلّه كذلك، فلذا لا يشمل ذكر المحاسن ولو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الكراهة المذكورة أو الاغتمام المذكور في اللغة لا يكونان إلاّ من ناحية الذكر والظهور، كما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الصحاح، لا من ناحية أصل وجود ميل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إلى وجود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وصف الإنسان بالمستور في الصحاح يوجب اختصاص التعريف بغير المتجاهر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تخصيص الكراهة بالظهور فهو مشعر بكون العيوب مستورة، فتعريف الغيبة في اللغة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التكلّم خلف إنسان عفيف بما يكرهه من عيوبه المستورة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توافقه بعض الروايات في الجملة، كما أشار إليه الشيخ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في مصباح الفقاهة على تعريف صحاح اللغة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التعريف لا يرجع إلى معنى محصّل؛ فإنّ المراد من الموصول فيه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هو الذكر بحيث يكون حاصله أنّ الغيبة ذكر غيره بذكر لا يرضى به لو سمعه، دخل في التعريف ما ليس بغيبة قطعاً إذا كره المقول فيه، كذكره بفعل بعض المباحات بل وبعض المستحبّات؛ من المواظبة على الأدعية والأذكار، والقيام على النوافل </w:t>
      </w:r>
    </w:p>
    <w:p>
      <w:pPr>
        <w:pStyle w:val="BookText"/>
        <w:rPr/>
      </w:pPr>
      <w:r>
        <w:rPr>
          <w:rFonts w:ascii="Amiri" w:hAnsi="Amiri" w:eastAsia="Amiri" w:cs="Amiri"/>
          <w:color w:val="111111"/>
          <w:sz w:val="28"/>
          <w:sz w:val="28"/>
          <w:szCs w:val="28"/>
          <w:rtl w:val="true"/>
          <w:lang w:bidi="ar-SA"/>
        </w:rPr>
        <w:t>والعبادات، والالتزام بالزيارات، وإعطاء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فالتعريف المذكور تعريف بالأعمّ‌، كما أنّ تعريف المصباح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 بما يكرهه من العيوب وهو حقّ‌،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تعريفاً بالأخصّ‌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الموصول في التعريف الأوصاف المذمومة والأفعال القبيحة الصادرة من المقول فيه ويقربه التعريف المتقدّم من المصباح، خرج عن الغيبة ما لا يشكّ أحد كونه منها، كذكر الغير بالاُمور المحرّمة التي ارتكبها عن رغبة وشهوة من غير أن يشمئزّ منها ومن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التعريف المذكور جامعاً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نصّ صحيح في تحديد مفهوم الغيبة ولا تعريف من أهل اللغة كي يكون جامعاً للأفراد ومانعاً للأغيار، وعلى هذا فلابدّ من أخذ المتيقّن من مفهوم الغيبة وترتيب الحكم عليه؛ وهو أن تقول في أخيك ما ستره الله عليه، وأمّا في المقدار الزائد فيرجع إلى الاُصول العملية</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وضوح كون المذكور في كلمات أهل اللغة هو السوء أو العيوب فلا يدخل في التعريف ما ليس بغيبة كذكر المباحات والمستحبّات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فالإشكال على التعريف بأنّه ليس بمانع عن الأغيار لشموله لذكر محاسنه إذا لم يرضَ بذكرها،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يتكلّم خلف إنسان مستور بما يغمّه 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ذكر المباحات والمستحبّات الذي لا ينافي كون المغتاب مستوراً وعفيفاً كما لا يخفى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النهاية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يذكر الإنسان في غيبته بسوء ممّا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w:t>
      </w:r>
    </w:p>
    <w:p>
      <w:pPr>
        <w:pStyle w:val="BookText"/>
        <w:rPr/>
      </w:pPr>
      <w:r>
        <w:rPr>
          <w:rFonts w:ascii="Amiri" w:hAnsi="Amiri" w:eastAsia="Amiri" w:cs="Amiri"/>
          <w:color w:val="111111"/>
          <w:sz w:val="28"/>
          <w:sz w:val="28"/>
          <w:szCs w:val="28"/>
          <w:rtl w:val="true"/>
          <w:lang w:bidi="ar-SA"/>
        </w:rPr>
        <w:t>عن ذكر الكراهة، وهو يشمل من ارتكب العيوب عن رغبة وشهوة من غير أن يشئمزّ منها ومن ذكرها، فيكون تعريفه جامعاً لأفراده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فالكراهة المذكورة في سائر التعاريف محمولة على الغلبة، فلا يلزم من ذكرها خروج من لا يشمئزّ منها ومن ذكرها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نصّ صحيح لاعتبار الكراهة في الغيبة،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جعله قدراً متيقّناً يشمل ذكر ما يكون فيه من السوء في حضوره، مع أنّه ليس بغيبة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حيث كان عنوان الغيبة فلا يشمل ذكر السوء في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ما ستره الله يكون أعمّ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ستره الله منصرف إلى العيوب؛ فلا يشمل المستحبّات والمحسّنات المستورة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عدم ورود نصّ صحيح محلّ تأمّل ونظر بعد ورود حسنة عبد الرحمان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في أخيك ما ستره الله عليه، وأمّا الأمر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الحدّة 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فيه ما ليس فيه</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النهاية قريب ممّا ذكر في حسنة عبد الرحمان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عيوبه المستورة؛ بقرينة ذكر العيوب الظاهرة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يؤخذ بالحسنة فيما يدلّ عليه من الإضافات، كقيد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هي أن يتكلّم خلف إنسان مؤمن عفيف بما ستره الله عليه من عيوبه، ولكن إضافة القيود إلى المعنى اللغوي ليس بمعنى رفع اليد عن المعنى اللغوي وبيان الحقيقة الشرعية كما لا يخفى</w:t>
      </w:r>
      <w:r>
        <w:rPr>
          <w:rFonts w:eastAsia="Amiri" w:cs="Amiri" w:ascii="Amiri" w:hAnsi="Amiri"/>
          <w:color w:val="111111"/>
          <w:sz w:val="28"/>
          <w:szCs w:val="28"/>
          <w:rtl w:val="true"/>
          <w:lang w:bidi="ar-SA"/>
        </w:rPr>
        <w:t xml:space="preserve">. </w:t>
      </w:r>
      <w:bookmarkStart w:id="495" w:name="pg17323_406277"/>
    </w:p>
    <w:p>
      <w:pPr>
        <w:pStyle w:val="Heading4"/>
        <w:numPr>
          <w:ilvl w:val="3"/>
          <w:numId w:val="1"/>
        </w:numPr>
        <w:rPr/>
      </w:pPr>
      <w:bookmarkStart w:id="496" w:name="__RefHeading___Toc876158_1280447820"/>
      <w:bookmarkStart w:id="497" w:name="_Toc184"/>
      <w:bookmarkEnd w:id="495"/>
      <w:bookmarkEnd w:id="496"/>
      <w:r>
        <w:rPr>
          <w:rtl w:val="true"/>
        </w:rPr>
        <w:t>تنبيهات</w:t>
      </w:r>
      <w:r>
        <w:rPr>
          <w:rtl w:val="true"/>
        </w:rPr>
        <w:t>:</w:t>
      </w:r>
      <w:bookmarkEnd w:id="497"/>
    </w:p>
    <w:p>
      <w:pPr>
        <w:pStyle w:val="Heading5"/>
        <w:numPr>
          <w:ilvl w:val="4"/>
          <w:numId w:val="1"/>
        </w:numPr>
        <w:rPr/>
      </w:pPr>
      <w:bookmarkStart w:id="498" w:name="__RefHeading___Toc876160_1280447820"/>
      <w:bookmarkStart w:id="499" w:name="_Toc185"/>
      <w:bookmarkEnd w:id="498"/>
      <w:r>
        <w:rPr>
          <w:rtl w:val="true"/>
        </w:rPr>
        <w:t>التنبيه الأوّل</w:t>
      </w:r>
      <w:r>
        <w:rPr>
          <w:rtl w:val="true"/>
        </w:rPr>
        <w:t xml:space="preserve">: </w:t>
      </w:r>
      <w:r>
        <w:rPr>
          <w:rtl w:val="true"/>
        </w:rPr>
        <w:t>في عدم اعتبار قصد الانتقاص</w:t>
      </w:r>
      <w:bookmarkEnd w:id="499"/>
    </w:p>
    <w:p>
      <w:pPr>
        <w:pStyle w:val="BookText"/>
        <w:rPr/>
      </w:pPr>
      <w:r>
        <w:rPr>
          <w:rFonts w:ascii="Amiri" w:hAnsi="Amiri" w:eastAsia="Amiri" w:cs="Amiri"/>
          <w:color w:val="111111"/>
          <w:sz w:val="28"/>
          <w:sz w:val="28"/>
          <w:szCs w:val="28"/>
          <w:rtl w:val="true"/>
          <w:lang w:bidi="ar-SA"/>
        </w:rPr>
        <w:t>صرّح الشيخ قدس سره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القاموس المفسّر لها أوّلاً بالعيب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ذكره في مقام الانتقاص، والمراد بالموصول هو نفس النقص 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الشهيد الثاني في كشف الريبة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ذكر الإنسان في غيبته بما يكره نسبته إليه ممّا يعدّ نقصاً في العرف بقصد الانتقاص والذمّ‌</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عليه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ذلك هو خروج ما إذا ذكر الشخص بصفات ظاهرة يكون وجودها نقصاً مع عدم قصد انتقاصه بذلك، مع أنّه داخل في التعريف عند الشهيد أيضاً؛ حيث عدّ من الغيبة ذكر بعض الأشخاص بالصفات المعروف بها، كالأعمش والأعور ونحوهما، وكذلك ذكر عيوب الجارية التي يراد شراؤها إذا لم يقصد من ذكرها إلاّ بيان الواقع، وغير ذلك ممّا ذكره هو وغيره 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الانتقاص يحصل بمجرّد بيان النقائص، موجبةٌ لاستدراك ذكره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يعدّ نقصاً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تقدّم من الأخبار وكلمات الأصحاب بناءً على إرجاع الكراهة إلى الكلام المذكور به لا إلى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الغيبة أن يذكر الإنسان بكلام يسوء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بإظهار عيبه المستور وإن لم يقصد انتقاصه، وإمّا بانتقاصه بعيب غير مستور؛ إمّا بقصد المتكلّم أو بكون الكلام بنفسه منقّصاً له، كما إذا اتّصف الشخص بالألقاب المشعرة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اُرجعت الكراهة إلى الوصف الذي يسند إلى الإنسان تعيّن إرادة كراهة ظهورها، فيختصّ بالقسم الأوّل؛ وهو ما كان إظهاراً لأمر </w:t>
      </w:r>
    </w:p>
    <w:p>
      <w:pPr>
        <w:pStyle w:val="BookText"/>
        <w:rPr/>
      </w:pP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اختار الشيخ إرادة كراهة الظهور، وأيّده بل عيّنه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هذا الاحتمال بل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الدالّة على اعتبار كون المقول مستوراً غير منكشف، مثل قوله عليه السلام فيما رواه العيّاشي بسنده عن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في أخيك ما فيه ممّا قد ستره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وحسنة عبد الرحمان بن سيّابة بابن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في أخيك ما ستره الله عليه، وأمّا الأمر الظاهر مثل الحدّة والعجلة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فيه 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اعتبار كون الشيء غير 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والعمل بالمستفيضة لا يخلو عن قوّة وإن كان ظاهر الأكثر خلافه، فيكون ذكر الشخص بالعيوب الظاهرة الذي لا يفيد السامع اطّلاعاً لم يعلمه ولا يعلمه عادةً من غير خبر مخبر ليس غيبة، فلا يحرم إلاّ إذا ثبت الحرمة من حيث المذمّة والتعيير</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عدم اعتبار قصد الانتقاص، وإنّما المعتبر هو إظهار عيبه المستور وإن لم يقصد انتقاصه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عليك أنّ دعوى ظهور الأكثر على الخلاف وأنّ مراد اللغويّين هو ذكره في مقام الانتقاص، ممنوعة؛ لما أفاده في بلغة الطالب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ظهور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ممنوع؛ ضرورة أنّه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عيبه، وأمّا كون ذلك بقصد الانتقاص حتّى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فلا، كما هو كذلك وجداناً عند بيان عيوب الجارية بعد سؤال المشتري عن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ذكر العيب وقصد ظهور ما يستلزمه من نقص المعيوب ورداءته،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الملزوم مستلزم لقصد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يكون التقييد بقصد الانتقاص لمجرّد التوضيح، ولذا لا نجد في الأخبار الواردة في بيان موضوع الغيبة ما يشير إلى اعتبار ذلك، فلا وجه لما سيجيء من كشف الريبة من اعتباره فيها</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 أهل اللغة ليست مخالفة لإطلاق الروايات المستفيضة الدالّة على عدم اعتبار قصد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السيّد المحقّق الخوئي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 عنوان العيب على المقول أمر عرفىّ لا يرتبط بالقصد، ولا يقاس هذا بالتعظيم والهتك المتقوّمين بالقصد</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 يظهر ما في المحكي عن كشف الريبة</w:t>
      </w:r>
      <w:r>
        <w:rPr>
          <w:rStyle w:val="FootnoteAnchor"/>
          <w:rtl w:val="true"/>
        </w:rPr>
        <w:footnoteReference w:id="892"/>
      </w:r>
      <w:r>
        <w:rPr>
          <w:rFonts w:ascii="Amiri" w:hAnsi="Amiri" w:eastAsia="Amiri" w:cs="Amiri"/>
          <w:color w:val="111111"/>
          <w:sz w:val="28"/>
          <w:sz w:val="28"/>
          <w:szCs w:val="28"/>
          <w:rtl w:val="true"/>
          <w:lang w:bidi="ar-SA"/>
        </w:rPr>
        <w:t xml:space="preserve">من عدّ ذكر بعض الأشخاص بالصفات المعروف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كالعمش والعور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مع أنّك عرفت أنّه ليس من الغيبة؛ لأنّ هذه الصفات لا مساس لها بالستر والعفاف، ولا تكون ممّا ستره الله عليه، كما أنّ ذكر عيوب الجارية التي يراد شراؤها إذا لم يقصد من ذكرها إلاّ بيان الواقع ليس بخارج عن الغيبة، نعم يكون من موارد الاستثناء من حكم الغيبة وهو الحرمة كما لا يخفى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قصد الانتقاص في الغيبة لا في اللغة ولا في السنّة، فالغيبة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ذكرك خلف أخيك ما ستره الله عليه من العيوب والنواقص، كما تشهد له حسنة عبد الرحمان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في أخيك ما ستره الله عليه، وأمّا الأمر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الحدّة 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bookmarkStart w:id="500" w:name="pg17323_406280"/>
    </w:p>
    <w:p>
      <w:pPr>
        <w:pStyle w:val="BookText"/>
        <w:rPr/>
      </w:pPr>
      <w:bookmarkEnd w:id="500"/>
      <w:r>
        <w:rPr>
          <w:rFonts w:ascii="Amiri" w:hAnsi="Amiri" w:eastAsia="Amiri" w:cs="Amiri"/>
          <w:color w:val="111111"/>
          <w:sz w:val="28"/>
          <w:sz w:val="28"/>
          <w:szCs w:val="28"/>
          <w:rtl w:val="true"/>
          <w:lang w:bidi="ar-SA"/>
        </w:rPr>
        <w:t>فيه ما ليس فيه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876162_1280447820"/>
      <w:bookmarkStart w:id="502" w:name="_Toc186"/>
      <w:bookmarkEnd w:id="501"/>
      <w:r>
        <w:rPr>
          <w:rtl w:val="true"/>
        </w:rPr>
        <w:t>التنبيه الثاني</w:t>
      </w:r>
      <w:r>
        <w:rPr>
          <w:rtl w:val="true"/>
        </w:rPr>
        <w:t xml:space="preserve">: </w:t>
      </w:r>
      <w:r>
        <w:rPr>
          <w:rtl w:val="true"/>
        </w:rPr>
        <w:t>في عدم اختصاص الغيبة بما يكون في ارتكابه حدّ</w:t>
      </w:r>
      <w:bookmarkEnd w:id="502"/>
    </w:p>
    <w:p>
      <w:pPr>
        <w:pStyle w:val="BookText"/>
        <w:rPr/>
      </w:pPr>
      <w:r>
        <w:rPr>
          <w:rFonts w:ascii="Amiri" w:hAnsi="Amiri" w:eastAsia="Amiri" w:cs="Amiri"/>
          <w:color w:val="111111"/>
          <w:sz w:val="28"/>
          <w:sz w:val="28"/>
          <w:szCs w:val="28"/>
          <w:rtl w:val="true"/>
          <w:lang w:bidi="ar-SA"/>
        </w:rPr>
        <w:t>وذلك للمطلقات، وعدم الدليل على هذا القيد إلاّ رواية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 تقول لأخيك في دينك ما لم يفعل،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أمراً قد ستره الله عليه لم يقم عليه فيه حدّ</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تعليقة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نقلت نسخة اُخرى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هذه الرواية تدلّ على أنّ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تقول لأخيك في دينك ما لم يفعل ممّا كان مقتضى الديانة تركه، وتثبت عليه أمراً قد ستره الله عليه ولم يقم عليه فيه حدّ، وعليه فتختصّ حرمة الغيبة بإظهار مستور يكون في ارتكابه حدّ ولم يقم عليه فيه حدّ، وأمّا ما لا يكون في ارتكابه حدّ فليس بغيبة، كما أنّه إذا قام عليه الحدّ لا يكون غيبة؛ لظهوره عند الناس وخروجه عن عنوان ما ستره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الرواية بمعلّى بن محمّد الواقع في طريقها؛ لعدم وجود توثيق خاصّ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مشايخ الإجازة ومن شيوخ مشايخ الكليني، وله كتب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تعليقة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نطّلع على خبر يدلّ على اضطرابه في الحديث والمذهب كما ذكره بعض الأصحاب، وعليه لا يبعد دعوى الاعتماد عليه</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الجمع بين هذه الرواية وحسنة عبد الرحمان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اليد </w:t>
      </w:r>
      <w:bookmarkStart w:id="503" w:name="pg17323_406281"/>
    </w:p>
    <w:p>
      <w:pPr>
        <w:pStyle w:val="BookText"/>
        <w:rPr/>
      </w:pPr>
      <w:bookmarkEnd w:id="503"/>
      <w:r>
        <w:rPr>
          <w:rFonts w:ascii="Amiri" w:hAnsi="Amiri" w:eastAsia="Amiri" w:cs="Amiri"/>
          <w:color w:val="111111"/>
          <w:sz w:val="28"/>
          <w:sz w:val="28"/>
          <w:szCs w:val="28"/>
          <w:rtl w:val="true"/>
          <w:lang w:bidi="ar-SA"/>
        </w:rPr>
        <w:t>عن القيد المذكور ببركة حسنة عبد الرحمان 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هو العكس؛ لأنّ الأخصّ مقدّم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إرشاد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دلالة في الرواية على التقييد؛ فإنّ عدم قيام الحدّ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يصدق على ما إذا لم يكن في ارتكابه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ذكر ذلك القيد هو التنبيه على أنّ مع قيام الحدّ يكون الارتكاب ظاهراً عند الناس، فلا يكون في البين غيبة وكشف عيب مستور</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876164_1280447820"/>
      <w:bookmarkStart w:id="505" w:name="_Toc187"/>
      <w:bookmarkEnd w:id="504"/>
      <w:r>
        <w:rPr>
          <w:rtl w:val="true"/>
        </w:rPr>
        <w:t>التنبيه الثالث</w:t>
      </w:r>
      <w:r>
        <w:rPr>
          <w:rtl w:val="true"/>
        </w:rPr>
        <w:t xml:space="preserve">: </w:t>
      </w:r>
      <w:r>
        <w:rPr>
          <w:rtl w:val="true"/>
        </w:rPr>
        <w:t>في حكم نفي الكمال</w:t>
      </w:r>
      <w:bookmarkEnd w:id="505"/>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والملخّص من مجموع ما ورد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المقول إن لم يكن نقصاً فلا يكون ذكر الشخص حينئذ غيبة وإن اعتقد المقول فيه كونه نقصاً عليه، نظير ما إذا نفى عنه الاجتهاد وليس ممّن يكون ذلك نقصاً في حقّه إلاّ أنّه معتقد باجتهاد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يحرم هذا من وجه آخر</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876166_1280447820"/>
      <w:bookmarkStart w:id="507" w:name="_Toc188"/>
      <w:bookmarkEnd w:id="506"/>
      <w:r>
        <w:rPr>
          <w:rtl w:val="true"/>
        </w:rPr>
        <w:t>التنبيه الرابع</w:t>
      </w:r>
      <w:r>
        <w:rPr>
          <w:rtl w:val="true"/>
        </w:rPr>
        <w:t xml:space="preserve">: </w:t>
      </w:r>
      <w:r>
        <w:rPr>
          <w:rtl w:val="true"/>
        </w:rPr>
        <w:t>في العيوب الظاهرة</w:t>
      </w:r>
      <w:bookmarkEnd w:id="50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الغيبة كون العيب مستوراً، كما دلّت عليه حسنة عبد الرحمان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الشخص بالعيوب الظاهرة الذي لا يفيد السامع اطّلاعاً لم يعلمه ولا يعلمه عادةً من غير خبر مخبر ليس غيبة، فلا يحرم إلاّ إذا ثبت الحرمة من حيث المذمّة والتعيير، أو من جهة كون نفس الاتّصاف بتلك الصفة ممّا يستنكفه المغتاب ولو باعتبار بعض التعبيرات، فيحرم من جهة الإيذاء والاستخفاف والذمّ والتعيير</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508" w:name="pg17323_406282"/>
    </w:p>
    <w:p>
      <w:pPr>
        <w:pStyle w:val="Heading5"/>
        <w:numPr>
          <w:ilvl w:val="4"/>
          <w:numId w:val="1"/>
        </w:numPr>
        <w:rPr/>
      </w:pPr>
      <w:bookmarkStart w:id="509" w:name="__RefHeading___Toc876168_1280447820"/>
      <w:bookmarkStart w:id="510" w:name="_Toc189"/>
      <w:bookmarkEnd w:id="508"/>
      <w:bookmarkEnd w:id="509"/>
      <w:r>
        <w:rPr>
          <w:rtl w:val="true"/>
        </w:rPr>
        <w:t>التنبيه الخامس</w:t>
      </w:r>
      <w:r>
        <w:rPr>
          <w:rtl w:val="true"/>
        </w:rPr>
        <w:t xml:space="preserve">: </w:t>
      </w:r>
      <w:r>
        <w:rPr>
          <w:rtl w:val="true"/>
        </w:rPr>
        <w:t>في أنواع العيب والنقصان</w:t>
      </w:r>
      <w:bookmarkEnd w:id="510"/>
    </w:p>
    <w:p>
      <w:pPr>
        <w:pStyle w:val="BookText"/>
        <w:rPr/>
      </w:pPr>
      <w:r>
        <w:rPr>
          <w:rFonts w:ascii="Amiri" w:hAnsi="Amiri" w:eastAsia="Amiri" w:cs="Amiri"/>
          <w:color w:val="111111"/>
          <w:sz w:val="28"/>
          <w:sz w:val="28"/>
          <w:szCs w:val="28"/>
          <w:rtl w:val="true"/>
          <w:lang w:bidi="ar-SA"/>
        </w:rPr>
        <w:t>لا فرق في العيب والنقصان بين كونه في بدنه أو نسبه أو خلقه أو فعله أو قوله أو دينه أو دنياه، حتّى في ثوبه أو داره أو دابّته أو غير ذلك، ولكنّ اللازم أن يكون العيب مستوراً حتّى يدخل ذكره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عن مولانا الصادق عليه السلام الإشارة إلى ذلك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الغيبة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عيب في الخلق، والفعل، والمعاملة، والمذهب، والجهل، وأشباهه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البدن فكذكرك فيه العَمَش، والحَوَل والعَوَر، والقَرَع، والقِصَر، والطول، والسواد، والصفرة، وجميع ما يتصوّر أن يوصف به ممّا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 فبأن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فاسق، أو خبيث، أو خسيس، أو إسكاف، أو حائك، أو نحو ذلك ممّا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الخلق فبأن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سيّئ الخلق، بخيل، مرّاء، متكبّر، شديد الغضب، جبان، ضعيف القلب،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أفعاله المتعلّقة بالدين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كذّاب، شارب، خائن، ظالم، متهاون بالصلاة، لا يحسن الركوع والسجود، ولا يجتنب من النجاسات، ليس بارّاً بوالديه، لا يحرس نفسه من الغيبة والتعرّض لأعراض الناس</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أفعاله المتعلّقة بالدنيا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الأدب، متهاون بالناس، لا يرى لأحد عليه حقّاً، كثير الكلام، كثير الأكل والنوم، يجلس في غير موضعه</w:t>
      </w:r>
      <w:r>
        <w:rPr>
          <w:rFonts w:eastAsia="Amiri" w:cs="Amiri" w:ascii="Amiri" w:hAnsi="Amiri"/>
          <w:color w:val="111111"/>
          <w:sz w:val="28"/>
          <w:szCs w:val="28"/>
          <w:rtl w:val="true"/>
          <w:lang w:bidi="ar-SA"/>
        </w:rPr>
        <w:t xml:space="preserve">. </w:t>
      </w:r>
      <w:bookmarkStart w:id="511" w:name="pg17323_406283"/>
    </w:p>
    <w:p>
      <w:pPr>
        <w:pStyle w:val="BookText"/>
        <w:rPr/>
      </w:pPr>
      <w:bookmarkEnd w:id="511"/>
      <w:r>
        <w:rPr>
          <w:rFonts w:ascii="Amiri" w:hAnsi="Amiri" w:eastAsia="Amiri" w:cs="Amiri"/>
          <w:color w:val="111111"/>
          <w:sz w:val="28"/>
          <w:sz w:val="28"/>
          <w:szCs w:val="28"/>
          <w:rtl w:val="true"/>
          <w:lang w:bidi="ar-SA"/>
        </w:rPr>
        <w:t>وأمّا في ثوبه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واسع الكمّ‌، طويل الذيل، وسخ الثياب، ونحو ذلك</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بعض ما ذكر في توضيح ما أشار إليه الإمام الصادق عليه السلام لا يساعد ما عرفت من اختصاص الغيبة بالمستور؛ لظهور بعض هذه الموارد كما لا يخفى، وقد مرّ عليك تعريف الغيبة في حسنة عبد الرحمان بن سيّابة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في أخيك ما ستره الله عليه، وأمّا الأمر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الحدّة 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فيه ما ليس فيه</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فليحمل إطلاق ما ذكر على صريح حسنة عبد الرحمان بن سيّابة، فيختصّ مورد الغيبة بما ستره الله عليه؛ فلا حرمة في ذكر العيوب الظاهرة من ناحية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رواية حسنة ابن سيّابة بعبد الرحمان 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نقل الأجلاّء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بن محبوب وأبان بن عثمان ويونس بن عبد الرحمان وعبدالله بن سنان وابن فضّال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أفاده في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يعمّه التوثيق العامّ الذي ذكره الشيخ في العدّة؛ فإنّه من مشايخ ابن أبي عمير</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أجد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من ذكرها الإهانة أو التعيير أو الذمّ يكون حراماً من تلك الناحية كما لا يخفى</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876170_1280447820"/>
      <w:bookmarkStart w:id="513" w:name="_Toc190"/>
      <w:bookmarkEnd w:id="512"/>
      <w:r>
        <w:rPr>
          <w:rtl w:val="true"/>
        </w:rPr>
        <w:t>التنبيه السادس</w:t>
      </w:r>
      <w:r>
        <w:rPr>
          <w:rtl w:val="true"/>
        </w:rPr>
        <w:t xml:space="preserve">: </w:t>
      </w:r>
      <w:r>
        <w:rPr>
          <w:rtl w:val="true"/>
        </w:rPr>
        <w:t>في أنواع ذكر العيب</w:t>
      </w:r>
      <w:bookmarkEnd w:id="51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الغيبة بين أن يذكر العيوب باللسان أو بالإشارة أو الكتابة؛ لأنّ كلّ ما </w:t>
      </w:r>
    </w:p>
    <w:p>
      <w:pPr>
        <w:pStyle w:val="BookText"/>
        <w:rPr/>
      </w:pPr>
      <w:r>
        <w:rPr>
          <w:rFonts w:ascii="Amiri" w:hAnsi="Amiri" w:eastAsia="Amiri" w:cs="Amiri"/>
          <w:color w:val="111111"/>
          <w:sz w:val="28"/>
          <w:sz w:val="28"/>
          <w:szCs w:val="28"/>
          <w:rtl w:val="true"/>
          <w:lang w:bidi="ar-SA"/>
        </w:rPr>
        <w:t>يوجب ذكر الشخص من القول أو الفعل أو الإشارة أو غيرها فهو مصداق لذكر الغير بالعيوب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تهجين المطلب الذي ذكره بعض المصنّفين بحيث يفهم منها الإزراء بحال ذلك المصنّف؛ فإنّ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المطلب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لصاحبه بأنّه لا يعرف البديهيّات، بخلاف 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مستلزم لما هو بديهيّ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 تعريضاً بأنّ صاحبه لم ينتقل إلى الملازمة بين المطلب وبين ما هو بديهيّ البطلان، ولعلّ الملازمة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من بعض الأعلام بالنسبة إلى بعضهم ما لابدّ له من الحمل والتوجيه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الغرور، وإعجاب المرء بنفسه، وحسده على غيره، والاستئكال بالعلم</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تتحقّق الغيبة بالتعريض والإشارة؛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يبتلني بالسلطان وبالميل إلى الحكّام،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يحكي مشية الغائب، بل هو أشدّ من الذكر باللسان؛ لكونه أعظم في الانتقاص، أو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القلم أحد اللسانين؛ فإنّ المناط في تحقّق الغيبة كشف ما ستره الله، ولا خصوصية للكاشف</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حكاية مشية الغائب غيبةً 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يتفرّع على هذا التنبيه عدم جواز ما شاع في زماننا هذا بعنوان الكاريكاتير فيما إذا كان موجباً لكشف ما ستره الله عليه، ولا يسوّغه إظهار رضا المغتاب أو عدم كراهته 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الكراهة في صدق الغيبة؛ لما في النبوي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 xml:space="preserve">». </w:t>
      </w:r>
      <w:bookmarkStart w:id="514" w:name="pg17323_406285"/>
    </w:p>
    <w:p>
      <w:pPr>
        <w:pStyle w:val="BookText"/>
        <w:rPr/>
      </w:pPr>
      <w:bookmarkEnd w:id="514"/>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دخالة الكراهة؛ لضعف ما ورد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اللازم هو حمل الكراهة على الغلبة؛ وإلاّ خرج عن الغيبة ما لا يشكّ أحد في كونه منها، كذكر الغير بالاُمور المحرّمة التي ارتكبها عن رغبة وشهوة من غير أن يشمئزّ منها ومن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أظهر الرضا أهدر حقّه، ومع الإهدار لم لا تجوز غيبته‌؟</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وإن أوجبت حقّاً للمغتاب ومع الإهدار لا حقّ له، ولكنّها تكون معصية لله تعالى، كما صرّح بذلك في موثّقة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لحمه معصية لله</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فالإهدار لا يوجب جواز الغيبة، كما أنّه لا يجوز إذلال المؤمن وإهانته بإظهار رضاه، هذا كلّه مع الغمض عن عناوين اُخرى محرّمة كالإيذاء والإهانة والسخرية ونحوها؛ وإلاّ فمع صدقها على مثل الكاريكاتير فلا إشكال في حرمتها كما لا يخفى</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876172_1280447820"/>
      <w:bookmarkStart w:id="516" w:name="_Toc191"/>
      <w:bookmarkEnd w:id="515"/>
      <w:r>
        <w:rPr>
          <w:rtl w:val="true"/>
        </w:rPr>
        <w:t>التنبيه السابع</w:t>
      </w:r>
      <w:r>
        <w:rPr>
          <w:rtl w:val="true"/>
        </w:rPr>
        <w:t xml:space="preserve">: </w:t>
      </w:r>
      <w:r>
        <w:rPr>
          <w:rtl w:val="true"/>
        </w:rPr>
        <w:t>في المراد من الستر</w:t>
      </w:r>
      <w:bookmarkEnd w:id="516"/>
    </w:p>
    <w:p>
      <w:pPr>
        <w:pStyle w:val="BookText"/>
        <w:rPr/>
      </w:pPr>
      <w:r>
        <w:rPr>
          <w:rFonts w:ascii="Amiri" w:hAnsi="Amiri" w:eastAsia="Amiri" w:cs="Amiri"/>
          <w:color w:val="111111"/>
          <w:sz w:val="28"/>
          <w:sz w:val="28"/>
          <w:szCs w:val="28"/>
          <w:rtl w:val="true"/>
          <w:lang w:bidi="ar-SA"/>
        </w:rPr>
        <w:t>لا يخرج ذكر عيب الغير عن عنوان الغيبة فيما إذا علم العيب واحد أو اثنان أو ثلاثة مع عدم علم جلّ معاشريه؛ لصدق ما ستره الله على عيبه، وإنّما لا يصدق ذلك فيما إذا علمه جلّ معاشريه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لو كان علم الواحد أو الاثنين أو الثلاثة مجوّزاً للغيبة لزم تجويز الغيبة في أغلب الموارد؛ لأنّها لا تخلو عن مثل ذلك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العيب مستوراً عند طائفة وظاهراً عند اُخرى،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ذكره عند الطائفة الاُولى أنّه غيبة؛ لأنّه عيب لم يستره الله على ذلك الإنسان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 لأنّ ذكر العيب عند الطائفة التي لم تطّلع على العيب يصدق عليه أنّه ذكر لعيب مستور وإن لم يكن مستوراً عند الطائفة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حكمها باختلاف صدقها وعدمه، فكما أنّ حكم المكيل والموزون والمعدود يختلف باختلاف الأمكنة والبلاد، فكذلك يختلف حكم الغيبة باختلاف موارد الاطّلاع وعدمه، فذكر العيب عند الطائفة الاُولى يصدق عليه أنّه ذكر للعيب المستور، فتترتّب عليه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التأمّل في جواز إظهار ذلك العيب عند الجاهل به من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الروايات الواردة في تحديد الغيبة وتفسيرها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إظهار عيبه عنده مع أنّه إسقاط لعرضه عنده جاز عند الطائفة الاُولى أيضاً؛ باعتبار عدم احتمال الفرق</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الفرق بينهما واضح؛ لصدق الغيبة على ذكره عند الطائفة الاُولى وعدم صدقها عند الطائفة الثانية؛ وإلاّ لزم أن لا تجوز الغيبة ولو في عيب يعرفه الناس جميعاً عدا المخاطب، وهو كما ترى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عيب الغير عند طائفة لم تطّلع على ذلك العيب يصدق عليه أنّه ذكر عيب لم يعرفه الناس؛ إذ المقصود من الناس هو جماعة منهم لا جميعهم أو جلّهم؛ وإلاّ لما بقي مصداق للغيبة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أبان عن رجل لا نعلمه إلاّ يحيى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رجلاً من خلفه بما هو فيه ممّا عرفه الناس لم يغتبه، ومن ذكره من خلفه بما هو فيه ممّا لا يعرفه الناس اغتابه، ومن ذكره بما ليس فيه </w:t>
      </w:r>
      <w:bookmarkStart w:id="517" w:name="pg17323_406287"/>
    </w:p>
    <w:p>
      <w:pPr>
        <w:pStyle w:val="BookText"/>
        <w:rPr/>
      </w:pPr>
      <w:bookmarkEnd w:id="517"/>
      <w:r>
        <w:rPr>
          <w:rFonts w:ascii="IRNazanin" w:hAnsi="IRNazanin" w:eastAsia="IRNazanin"/>
          <w:color w:val="111111"/>
          <w:sz w:val="28"/>
          <w:sz w:val="28"/>
          <w:szCs w:val="28"/>
          <w:rtl w:val="true"/>
          <w:lang w:bidi="fa-IR"/>
        </w:rPr>
        <w:t>فقد بهته</w:t>
      </w:r>
      <w:r>
        <w:rPr>
          <w:rFonts w:eastAsia="IRNazanin" w:cs="IRNazanin"/>
          <w:color w:val="111111"/>
          <w:sz w:val="28"/>
          <w:szCs w:val="28"/>
          <w:rtl w:val="true"/>
          <w:lang w:bidi="fa-IR"/>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 الناس طائفة منهم لا جميعهم أو 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الأصل في المؤمن الاحترام على الإطلاق كما هو المعلوم من مذاق الشارع المقدّس، فالواجب حينئذ الاقتصار على ما يتيقّن خروجه، وعليه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الغيبة عند طائفة لم تطّلع على العيب وإن اطّلعت عليه طائفة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رواية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تقول لأخيك في دينه ما لم يفعل، وتبثّ عليه أمراً قد ستره الله عليه لم يقم عليه فيه حدّ</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يكفي لتجويز الغيبة عند اطّلاع طائفة؛ لأنّ إجراء الحدّ لا يوجب اطّلاع جميع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ذلك؛ لأنّ إجراء الحدّ ممّا يوجب اطّلاع عموم الناس أو جلّهم بحسب العادة، وفرض عدم اطّلاع طائفة على ذلك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غايته هو جواز غيبة من لم يرد الله ستر عيبه بإقامة الحدّ عليه، فيجوز غيبته عند طائفة لا تعرف عيبه، فلا تدلّ على جواز ذلك مطلقاً،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يصدق إظهار ما ستره الله فيما إذا كان المخاطب كالمتكلّم عالماً بالعيب، فلا يحرم من ناحية الغيبة، وأمّا إذا كان ذلك موجباً لإيذاء المؤمن فلا يجوز</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876174_1280447820"/>
      <w:bookmarkStart w:id="519" w:name="_Toc192"/>
      <w:bookmarkEnd w:id="518"/>
      <w:r>
        <w:rPr>
          <w:rtl w:val="true"/>
        </w:rPr>
        <w:t>التنبيه الثامن</w:t>
      </w:r>
      <w:r>
        <w:rPr>
          <w:rtl w:val="true"/>
        </w:rPr>
        <w:t xml:space="preserve">: </w:t>
      </w:r>
      <w:r>
        <w:rPr>
          <w:rtl w:val="true"/>
        </w:rPr>
        <w:t>في اعتبار حضور المخاطب الملتفت عند من يذكر عيب الغير</w:t>
      </w:r>
      <w:bookmarkEnd w:id="51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الأكثر دخول ذكر عيب الغير عند نفسه في الغيبة المحرّمة كما صرّح به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يستثنى من حكمها عند من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520" w:name="pg17323_406288"/>
    </w:p>
    <w:p>
      <w:pPr>
        <w:pStyle w:val="BookText"/>
        <w:rPr/>
      </w:pPr>
      <w:bookmarkEnd w:id="520"/>
      <w:r>
        <w:rPr>
          <w:rFonts w:ascii="Amiri" w:hAnsi="Amiri" w:eastAsia="Amiri" w:cs="Amiri"/>
          <w:color w:val="111111"/>
          <w:sz w:val="28"/>
          <w:sz w:val="28"/>
          <w:szCs w:val="28"/>
          <w:rtl w:val="true"/>
          <w:lang w:bidi="ar-SA"/>
        </w:rPr>
        <w:t>لو علم اثنان صفة شخص فيذكر أحدهما بحضرة الآخر، وأمّا على ما قوّيناه من الرجوع في تعريف الغيبة إلى ما دلّ عليه المستفيضة المتقدّمة من كونها هتك ستر مستور فلا يدخل ذلك في الغيبة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الهتك لا يصدق مع عدم وجود أحد يقصد بالتفهيم، 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في صدق الغيبة من وجود أحد يقصد بالتفهيم؛ لأنّها إظهار ما ستره الله، وهو لا يتحقّق بمجرّد حديث النفس؛ فإنّه لا يزيد على الصور العلمية والملكات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علم عدم تحقّق الغيبة أيضاً بذكر الإنسان بعيوب يعلمها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يحرم ذلك من جهة اُخرى</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 يظهر حكم الغيبة عند من يلتفت كالمجانين والأطفال ممّن لا تمييز لهم</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876176_1280447820"/>
      <w:bookmarkStart w:id="522" w:name="_Toc193"/>
      <w:bookmarkEnd w:id="521"/>
      <w:r>
        <w:rPr>
          <w:rtl w:val="true"/>
        </w:rPr>
        <w:t>التنبيه التاسع</w:t>
      </w:r>
      <w:r>
        <w:rPr>
          <w:rtl w:val="true"/>
        </w:rPr>
        <w:t xml:space="preserve">: </w:t>
      </w:r>
      <w:r>
        <w:rPr>
          <w:rtl w:val="true"/>
        </w:rPr>
        <w:t>في عدم صدق الغيبة مع حضور المغتاب بالفتح</w:t>
      </w:r>
      <w:bookmarkEnd w:id="522"/>
    </w:p>
    <w:p>
      <w:pPr>
        <w:pStyle w:val="BookText"/>
        <w:rPr/>
      </w:pPr>
      <w:r>
        <w:rPr>
          <w:rFonts w:ascii="Amiri" w:hAnsi="Amiri" w:eastAsia="Amiri" w:cs="Amiri"/>
          <w:color w:val="111111"/>
          <w:sz w:val="28"/>
          <w:sz w:val="28"/>
          <w:szCs w:val="28"/>
          <w:rtl w:val="true"/>
          <w:lang w:bidi="ar-SA"/>
        </w:rPr>
        <w:t xml:space="preserve">إنّ مقتضى ما عرفت من تعريف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يتكلّم خلف إنسان مستور بما يغمّه لو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صدق الغيبة مع حضور المغتاب بالفتح،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بالميتة؛ لعدم شعوره بما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إطلاق قوله عليه السلام في حسنة عبد الرحمان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في أخيك 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صدق الغيبة مع حضور المغتاب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حسنة عبد الرحمان في مقام بيان التفصيل بين العيوب الظاهرة والمستورة لا خصوصيّات المغتاب، فتأمّل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تعريف الغيبة بما ذكر في حسنة عبد الرحمان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bookmarkStart w:id="523" w:name="pg17323_406289"/>
    </w:p>
    <w:p>
      <w:pPr>
        <w:pStyle w:val="BookText"/>
        <w:rPr/>
      </w:pPr>
      <w:bookmarkEnd w:id="523"/>
      <w:r>
        <w:rPr>
          <w:rFonts w:ascii="Amiri" w:hAnsi="Amiri" w:eastAsia="Amiri" w:cs="Amiri"/>
          <w:color w:val="111111"/>
          <w:sz w:val="28"/>
          <w:sz w:val="28"/>
          <w:szCs w:val="28"/>
          <w:rtl w:val="true"/>
          <w:lang w:bidi="ar-SA"/>
        </w:rPr>
        <w:t xml:space="preserve">السؤال عن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مفروغية اعتبار عدم حضور المغتاب، فتدبّر جيّداً</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876178_1280447820"/>
      <w:bookmarkStart w:id="525" w:name="_Toc194"/>
      <w:bookmarkEnd w:id="524"/>
      <w:r>
        <w:rPr>
          <w:rtl w:val="true"/>
        </w:rPr>
        <w:t>التنبيه العاشر</w:t>
      </w:r>
      <w:r>
        <w:rPr>
          <w:rtl w:val="true"/>
        </w:rPr>
        <w:t xml:space="preserve">: </w:t>
      </w:r>
      <w:r>
        <w:rPr>
          <w:rtl w:val="true"/>
        </w:rPr>
        <w:t>في الشك في دخالة شىء في تحقق موضوع الغيبة</w:t>
      </w:r>
      <w:bookmarkEnd w:id="525"/>
    </w:p>
    <w:p>
      <w:pPr>
        <w:pStyle w:val="BookText"/>
        <w:rPr/>
      </w:pPr>
      <w:r>
        <w:rPr>
          <w:rFonts w:ascii="Amiri" w:hAnsi="Amiri" w:eastAsia="Amiri" w:cs="Amiri"/>
          <w:color w:val="111111"/>
          <w:sz w:val="28"/>
          <w:sz w:val="28"/>
          <w:szCs w:val="28"/>
          <w:rtl w:val="true"/>
          <w:lang w:bidi="ar-SA"/>
        </w:rPr>
        <w:t>إذا شككنا في دخالة شيء في تحقّق موضوع الغيبة، 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فلابدّ من الأخذ بالمتيقّن من مفهوم الغيبة وترتيب الحكم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في أخيك ما ستره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المقدار الزائد فيرجع فيه إلى الاُصول العملية</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فإذا شكّ في اعتبار قصد الانتقاص أو دخالة الكراهة ونحوهما يرجع فيه إلى أصالة عدم دخالتهما في حقيقة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حسنة عبد الرحمان بن سيّابة في معنى الغيبة، لا مجال للأخذ بالأصل في الشكّ في المقدار الزائد، بل يكفي في نفيه الأخذ بإطلاق حسنة عبد الرحمان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في أخيك 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الوجه فيما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عنده تعريف جامع أو نصّ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القول بعدم ما يعتمد عليه في تعريف الغيبة وتفسيرها وعدم ورود رواية صحيحة في ذلك كما أدّى إليه نظره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العكس؛ وهو عدم حرمة الغيبة إلاّ إذا اجتمع في تحقّقها جميع ما يحتمل له دخالة، والرجوع في غيره إلى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يراد من القدر المتيقّن أنّ كشف ما ستره الله عليه حرامٌ على كلّ تقدير؛ سواء كان لقصد الانتقاص أو الكراهة دخالة فيها أم لم يكن،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حفظ أعراض المؤمنين يوجب لزوم الاحتياط في موارد الشكّ‌؛ وإلاّ لم يمتثل وجوب الحفظ كما لا يخفى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الخروج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الحسنة؛ لظهور تقدّم </w:t>
      </w:r>
      <w:bookmarkStart w:id="526" w:name="pg17323_406290"/>
    </w:p>
    <w:p>
      <w:pPr>
        <w:pStyle w:val="BookText"/>
        <w:rPr/>
      </w:pPr>
      <w:bookmarkEnd w:id="526"/>
      <w:r>
        <w:rPr>
          <w:rFonts w:ascii="Amiri" w:hAnsi="Amiri" w:eastAsia="Amiri" w:cs="Amiri"/>
          <w:color w:val="111111"/>
          <w:sz w:val="28"/>
          <w:sz w:val="28"/>
          <w:szCs w:val="28"/>
          <w:rtl w:val="true"/>
          <w:lang w:bidi="ar-SA"/>
        </w:rPr>
        <w:t>الإطلاق على ما يقتضيه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الاجتناب عن الغيبة والاكتفاء بصدق ما ستره الله عليه في وجوب الاجتناب من دون توقّف على الكراهة أو قصد الانتقاص يوافق الاحتياط، ويكون حفظاً لأعراض المؤمنين كما لا يخفى</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876180_1280447820"/>
      <w:bookmarkStart w:id="528" w:name="_Toc195"/>
      <w:bookmarkEnd w:id="527"/>
      <w:r>
        <w:rPr>
          <w:rtl w:val="true"/>
        </w:rPr>
        <w:t>التنبيه الحادي عشر</w:t>
      </w:r>
      <w:r>
        <w:rPr>
          <w:rtl w:val="true"/>
        </w:rPr>
        <w:t xml:space="preserve">: </w:t>
      </w:r>
      <w:r>
        <w:rPr>
          <w:rtl w:val="true"/>
        </w:rPr>
        <w:t>في عدم الفرق بين أن تكون الغيبة بالدلالة المطابقية أو بغيرها</w:t>
      </w:r>
      <w:bookmarkEnd w:id="528"/>
    </w:p>
    <w:p>
      <w:pPr>
        <w:pStyle w:val="BookText"/>
        <w:rPr/>
      </w:pPr>
      <w:r>
        <w:rPr>
          <w:rFonts w:ascii="Amiri" w:hAnsi="Amiri" w:eastAsia="Amiri" w:cs="Amiri"/>
          <w:color w:val="111111"/>
          <w:sz w:val="28"/>
          <w:sz w:val="28"/>
          <w:szCs w:val="28"/>
          <w:rtl w:val="true"/>
          <w:lang w:bidi="ar-SA"/>
        </w:rPr>
        <w:t>لا فرق في الغيبة بين أن تكون بالدلالة المطابقية أو الالتزامية أو الكنائية؛ لصدق الغيبة عليها على كلّ تقدير؛ لأنّها إظهار لما ستره الله عليه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دواعي الغيبة في حرمتها، فمن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ضعيف الرأي وركيك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الكلمات المشعرة بالذمّ وقصد بذلك ترفيع نفسه بتنقيص غيره فقد ارتكب غيبةً ولو كان المقصود الأصلي هو ترفيع نفسه، وعليه فلا تفاوت بين أن تكون الغيبة غرضاً أصليّاً أو تبعيّاً، كلّ ذلك لصدق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ذكر الشخص قد يتّضح كونه غيبة وقد يخفى على النفس لحبّ أو بغض؛ فيرى أنّه لم يغتب وقد وقع في أعظمها،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قد يغتمّ بسببِ ما يبتلى به أخوه في الدين لأجل أمر يرجع إلى نقص في فعله أو رأيه، فيذكره المغتمّ في مقام التأسّف عليه بما يكره ظهوره للغير، مع أنّه كان يمكنه بيان حاله للغير على وجه لا يذكر اسمه ليكون قد أحرز ثواب الاغتمام على ما أصاب المؤمن، لكن الشيطان يخدعه ويوقعه في ذكر الاسم</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الميزان في تحقّق الغيبة هو إظهار ما ستره الله عليه، ولا دخالة لكراهة </w:t>
      </w:r>
      <w:bookmarkStart w:id="529" w:name="pg17323_406291"/>
    </w:p>
    <w:p>
      <w:pPr>
        <w:pStyle w:val="BookText"/>
        <w:rPr/>
      </w:pPr>
      <w:bookmarkEnd w:id="529"/>
      <w:r>
        <w:rPr>
          <w:rFonts w:ascii="IRNazanin" w:hAnsi="IRNazanin" w:eastAsia="IRNazanin"/>
          <w:color w:val="111111"/>
          <w:sz w:val="28"/>
          <w:sz w:val="28"/>
          <w:szCs w:val="28"/>
          <w:rtl w:val="true"/>
          <w:lang w:bidi="fa-IR"/>
        </w:rPr>
        <w:t>المغتاب</w:t>
      </w:r>
      <w:r>
        <w:rPr>
          <w:rFonts w:eastAsia="IRNazanin" w:cs="IRNazanin"/>
          <w:color w:val="111111"/>
          <w:sz w:val="28"/>
          <w:szCs w:val="28"/>
          <w:rtl w:val="true"/>
          <w:lang w:bidi="fa-IR"/>
        </w:rPr>
        <w:t>.</w:t>
      </w:r>
    </w:p>
    <w:p>
      <w:pPr>
        <w:pStyle w:val="Heading5"/>
        <w:numPr>
          <w:ilvl w:val="4"/>
          <w:numId w:val="1"/>
        </w:numPr>
        <w:rPr/>
      </w:pPr>
      <w:bookmarkStart w:id="530" w:name="__RefHeading___Toc876182_1280447820"/>
      <w:bookmarkStart w:id="531" w:name="_Toc196"/>
      <w:bookmarkEnd w:id="530"/>
      <w:r>
        <w:rPr>
          <w:rtl w:val="true"/>
        </w:rPr>
        <w:t>التنبيه الثاني عشر</w:t>
      </w:r>
      <w:r>
        <w:rPr>
          <w:rtl w:val="true"/>
        </w:rPr>
        <w:t xml:space="preserve">: </w:t>
      </w:r>
      <w:r>
        <w:rPr>
          <w:rtl w:val="true"/>
        </w:rPr>
        <w:t>في حكم غيبة من يكون مردّداً بين أشخاص</w:t>
      </w:r>
      <w:bookmarkEnd w:id="531"/>
    </w:p>
    <w:p>
      <w:pPr>
        <w:pStyle w:val="BookText"/>
        <w:rPr/>
      </w:pPr>
      <w:r>
        <w:rPr>
          <w:rFonts w:ascii="Amiri" w:hAnsi="Amiri" w:eastAsia="Amiri" w:cs="Amiri"/>
          <w:color w:val="111111"/>
          <w:sz w:val="28"/>
          <w:sz w:val="28"/>
          <w:szCs w:val="28"/>
          <w:rtl w:val="true"/>
          <w:lang w:bidi="ar-SA"/>
        </w:rPr>
        <w:t>لا يدخل في الغيبة ما لو كان الغائب مجهولاً عند المخاطب ومردّداً بين أشخاص غير محصورين،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اليوم رجل بخيل دنيء ذميم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تعريف الأكثر دخوله وإن خرج عن الحكم بناءً على اعتبار التأثير عند السامع، وظاهر المستفيضة المتقدّمة عدم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كلّه لو كان الغائب المذكور مشتبهاً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مردّداً بين أشخاص؛ فإن كان بحيث لا يكره كلّهم ذكر واحد مبهم منهم كان كالمشتبه على الإطلاق،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عجميّ أو عربيّ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بحيث يكون الذمّ راجعاً إلى العنوان؛ كأن يكون في المثالين تعريض إلى ذمّ تمام العجم أو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بحيث يكره كلّهم ذكر واحد مبهم منهم،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ابنَي زيد أو أحد أخويه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اغتياباً لكلّ منهما؛ لذكرهما بما يكرهانه من التعريض لاحتمال كونه هو المعيوب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وعدمه؛ لعدم تهتّك ستر المعيوب منهما،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أهل البلد الفلاني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فرق بينهما من جهة كون ما نحن فيه محرّماً من حيث الإساءة إلى المؤمن بتعريضه للاحتمال دون المثال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كونه اغتياباً للمعيوب الواقعي منهما وإساءةً بالنسبة إلى غيره؛ لأنّه تهتّك بالنسبة إليه؛ لأنّه إظهار في الجملة لعيبه بتقليل مشاركه في احتمال العيب، فيكون الاطّلاع عليه </w:t>
      </w:r>
    </w:p>
    <w:p>
      <w:pPr>
        <w:pStyle w:val="BookText"/>
        <w:rPr/>
      </w:pPr>
      <w:r>
        <w:rPr>
          <w:rFonts w:ascii="Amiri" w:hAnsi="Amiri" w:eastAsia="Amiri" w:cs="Amiri"/>
          <w:color w:val="111111"/>
          <w:sz w:val="28"/>
          <w:sz w:val="28"/>
          <w:szCs w:val="28"/>
          <w:rtl w:val="true"/>
          <w:lang w:bidi="ar-SA"/>
        </w:rPr>
        <w:t>قريباً، وأمّا الآخر فقد أساء بالنسبة إليه، حيث عرّضه لاحتمال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هو الثاني من الوجوه؛ لعدم صدق كشف ستر المعيوب، ولا أقلّ من الشكّ‌، فلا دليل على الحرمة وإن كان مقتضى الاحتياط هو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عدم تعيين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كشفاً لعيبه المستور عليه فلا يصدق على الإظهار المزبور عنوان الغيبة، إلاّ أنّ ملاك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إيراد النقص على مؤمن وإسقاطه من أعين الناس بل عنوان أكل لحمه الوارد في موثّقة أبي بصير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بالإضافة إلى كلّ منهما؛ فإنّه بذلك يكون كلّ منهما معرّضاً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كراهة كلّ منهما وعدمه فقد تقدّم أنّه لا دخل لكراهة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عنوان الغيبة، بل ولا في حرمة الإظهار وعدمها</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من تأمّل؛ لعدم إحراز الملاك؛ لإمكان دخالة التعيين في حرمة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شرط الغيبة أن يكون متعلّقها محصوراً، وإلاّ فلا تعدّ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الشيخ الأعظم قدس سره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أراد أنّ ذمّ جمع غير محصور لا يعدّ غيبة وإن قصد انتقاص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هذه القرية أو هذه البلدة كلّهم 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إشكال في كونها غيبة محرّمة، ولا وجه لإخراجه عن موضوعها أو حكمها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أنّ ذمّ المردّد بين غير المحصور لا يعدّ غيبة، فلا بأس كما ذكرنا؛ ولذا ذكر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مستثنيات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علّق الذمّ بطائفة أو أهل بلدة أو </w:t>
      </w:r>
      <w:bookmarkStart w:id="532" w:name="pg17323_406293"/>
    </w:p>
    <w:p>
      <w:pPr>
        <w:pStyle w:val="BookText"/>
        <w:rPr/>
      </w:pPr>
      <w:bookmarkEnd w:id="532"/>
      <w:r>
        <w:rPr>
          <w:rFonts w:ascii="Amiri" w:hAnsi="Amiri" w:eastAsia="Amiri" w:cs="Amiri"/>
          <w:color w:val="111111"/>
          <w:sz w:val="28"/>
          <w:sz w:val="28"/>
          <w:szCs w:val="28"/>
          <w:rtl w:val="true"/>
          <w:lang w:bidi="ar-SA"/>
        </w:rPr>
        <w:t>أهل قرية مع قيام القرينة على عدم إرادة الجميع، كذمّ العرب أو العجم أو أهل الكوفة أو البصرة وبعض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الأغلب، ففي كونه اغتياباً لكلّ منهم وعدمه ما تقدّم في المحصور</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الوجوه المذكورة هناك، وقد عرفت أنّ الأظهر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إذا قال لمن لا يعرف زوجته أو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أو ابني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ذلك غيبة أم لا؟ لا يبعد الأوّل؛ لأنّه إظهار ما ستره الله لمن يكون معلوماً بالإضافة وإن لم يكن معلوماً بالاسم وغيره، فتدبّر</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876184_1280447820"/>
      <w:bookmarkStart w:id="534" w:name="_Toc197"/>
      <w:bookmarkEnd w:id="533"/>
      <w:r>
        <w:rPr>
          <w:rtl w:val="true"/>
        </w:rPr>
        <w:t>المقام الثاني</w:t>
      </w:r>
      <w:r>
        <w:rPr>
          <w:rtl w:val="true"/>
        </w:rPr>
        <w:t xml:space="preserve">: </w:t>
      </w:r>
      <w:r>
        <w:rPr>
          <w:rtl w:val="true"/>
        </w:rPr>
        <w:t>في أدلّة تحريم الغيبة</w:t>
      </w:r>
      <w:bookmarkEnd w:id="534"/>
    </w:p>
    <w:p>
      <w:pPr>
        <w:pStyle w:val="Heading4"/>
        <w:numPr>
          <w:ilvl w:val="3"/>
          <w:numId w:val="1"/>
        </w:numPr>
        <w:rPr/>
      </w:pPr>
      <w:bookmarkStart w:id="535" w:name="__RefHeading___Toc876186_1280447820"/>
      <w:bookmarkStart w:id="536" w:name="_Toc198"/>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لا إشكال في حرمة الغيبة، واستدلّ لها بطائفة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اللحم أو الأخ، قال في زبدة البيان في ذيل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تمثيلاً لما يناله المغتاب من عرض المغتاب على أفحش وجه مع مبالغات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المقرّر، والإسناد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للتعميم، وتعليق المحبّة بما هو في غاية الكراهة، وتمثيل الاغتياب بأكل لحم الإنسان، وجعل المأكول الأخ الميّت، وتعقيب </w:t>
      </w:r>
    </w:p>
    <w:p>
      <w:pPr>
        <w:pStyle w:val="BookText"/>
        <w:rPr/>
      </w:pP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وتحقيقاً لذلك</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الكريمة تدلّ بصدرها على الحرمة، وبذيلها على عِظَم هذا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ذلك في مصباح الفقاهة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تعالى بعد نهيه عن الغيبة صريحاً أراد بيان كونها من الكبائر الموبقة والجرائم المهلكة، فشبّه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بآكل الميتة؛ إمّا لأنّه يأكل الجيف في الآخرة كما في بعض الروايات، أو تشبيهه بالسباع والكلاب، أو لكون حرمة الغيبة كحرمة أكل الميتة بل أعظم كما في رواية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شبّه عرض المؤمن باللحم؛ فإنّه ينتقص بالهتك كما ينتقص اللحم بالأكل، وشبّه الاغتياب بالأكل لحصول الالتذاذ بهما، ووصف المؤمن بأنّه أخ فإنّ المؤمنين إخوة؛ ومن طبيعة الإخوة أن يكون بينهم تحابب وتوادد، وشبّه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بالميّت لعدم حضوره في أكثر حالات الاغتياب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بالاستفهام الإنكاري إشعاراً للفاعل بأنّ هذا العمل يقبح أن يصدر من أحد؛ إذ كما لا يحبّ أحد أن يأكل لحم أخيه الميّت لاشمئزاز طبعه عنه وشدّة رأفته به فكذلك لابدّ وأن يشمئزّ عقله عن الغيبة؛ لكونها هتكاً لعرض أخيه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المحقّق الإيرواني على التقريب المذكور لبيان حرمة الغيبة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الآية إشعار على إرادة تشبيه الموضوع بالموضوع سيّما بهذا البسط؛ بتشبيه كلّ جزء من أجزاء المشبّه بجزء من أجزاء المشبّه به مع بطلان التشبيه فيما ذكره، وأيّة مناسبة بين العرض واللحم، وأيضاً بين التكلّم والأكل، وكذا بين عدم الحضور والالتفات وبين الموت ليصحّ تشبيه كلّ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التشبيه واقع بين حكميهما؛ </w:t>
      </w:r>
    </w:p>
    <w:p>
      <w:pPr>
        <w:pStyle w:val="BookText"/>
        <w:rPr/>
      </w:pPr>
      <w:r>
        <w:rPr>
          <w:rFonts w:ascii="Amiri" w:hAnsi="Amiri" w:eastAsia="Amiri" w:cs="Amiri"/>
          <w:color w:val="111111"/>
          <w:sz w:val="28"/>
          <w:sz w:val="28"/>
          <w:szCs w:val="28"/>
          <w:rtl w:val="true"/>
          <w:lang w:bidi="ar-SA"/>
        </w:rPr>
        <w:t>يعني أنّ الغيبة في اشتداد الحرمة وتأكّد المنع كأكل لحم الأخ الميّت، أو أنّ مناط المنع عنها هو مناط المنع عن أكل لحم الأخ الميّت، والاشمئزاز الحاصل هناك حاصل هنا مع الالتفات بالجهات التي هي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الآية تنبّه على جزاء الغيبة وأنّه يؤمر المغتاب يوم القيامة بأكل لحم الأخ الميّت أو تتجسّم غيبته بصورة لحم الأخ الميّت، فمن أحبّ هذا ووطّن نفسه على ذلك فليغتب، وفي بعض الأخبار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إدام كلاب النار</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حسن التشبيه على إحدى المناسبات المذكورة في حسن التشبيه، بل الملاك هو قبول الطبع ولو لم تكن فيه تلك المناسبات كما قرّر في محلّه، وعليه فلا إشكال من هذه الناحية في حسن التشبيه من جهة الموضوع بالموضوع، كتشبيه العرض باللحم والتكلّم بالأكل؛ لأنّ الأكل يوجب نقص اللحم والغيبة توجب نقص عرض المؤمن، ولأنّ الأكل يوجب الالتذاذ والتكلّم بالغيبة يكون كذلك، وهكذا عدم حضوره بمنزلة الموت من جهة عدم تمكّنه من الدفاع، وهذه التشبيهات مقبولة عند العقلاء كما لا يخفى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دليل على تخصّص التشبيه بالحكم؛ لإمكان أن يكون التشبيه باعتبار الموضوع والحكم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 وجه لتخصيص الآية بما يرتبط بالقيامة مع إطلاق الذيل بالنسبة إلى الدنيا والآخرة، كما لا وجه لتخصيصها بالدنيا مستدلاًّ بأنّه قد عبّر في بعض الروايات المعتبرة عن الغيبة بأكل لحوم الناس، كما في صحيحة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وقتاله كفر، وأكل </w:t>
      </w:r>
    </w:p>
    <w:p>
      <w:pPr>
        <w:pStyle w:val="BookText"/>
        <w:rPr/>
      </w:pPr>
      <w:r>
        <w:rPr>
          <w:rFonts w:ascii="Amiri" w:hAnsi="Amiri" w:eastAsia="Amiri" w:cs="Amiri"/>
          <w:color w:val="111111"/>
          <w:sz w:val="28"/>
          <w:sz w:val="28"/>
          <w:szCs w:val="28"/>
          <w:rtl w:val="true"/>
          <w:lang w:bidi="ar-SA"/>
        </w:rPr>
        <w:t>لحمه معصية، وحرمة ماله كحرمة دمه</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فإنّ إطلاق أكل اللحم على الغيبة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وأكل لحمه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الدنيا؛ حيث إنّها دار المعصية ووعاء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نوف البكالي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لها على تعيين غذاء المغتابين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ولعلّ كلاب النار غيرهم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التعبير في هذه الرواية عن الغيبة بأكل لحم الناس مع التصريح بأنّه معصية لا يوجب تخصيص الآية بالدنيا؛ إذ لا منافاة بين كون أكل لحمه معصية في الدنيا وبين كونه عقوبة 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يستدلّ بذيل الآية الكريمة على كون الغيبة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سيّدنا الإمام المجاهد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كون الغيبة كبيرةً بالآية الكريمة بناءً على أنّ ذيلها تنبيه على تجسّم عمل المغتاب في الآخرة بصورة أكل لحم ميتة أخيه، وهو إيعاد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كان المراد من ذيلها التنزيل الحكمي بمعنى أنّ الغيبة بمنزلة أكل لحم ميتة الأخ في الحكم بناءً على أنّ أكل الميتة من الكبائر، كما تدلّ عليه حسنة الفضل بن شاذان عن الرضا عليه السلام في كتابه إلى المأمون، وفيها عدّ أكل الميتة من الكبائر</w:t>
      </w:r>
      <w:r>
        <w:rPr>
          <w:rStyle w:val="FootnoteAnchor"/>
          <w:rtl w:val="true"/>
        </w:rPr>
        <w:footnoteReference w:id="924"/>
      </w:r>
      <w:r>
        <w:rPr>
          <w:rFonts w:ascii="Amiri" w:hAnsi="Amiri" w:eastAsia="Amiri" w:cs="Amiri"/>
          <w:color w:val="111111"/>
          <w:sz w:val="28"/>
          <w:sz w:val="28"/>
          <w:szCs w:val="28"/>
          <w:rtl w:val="true"/>
          <w:lang w:bidi="ar-SA"/>
        </w:rPr>
        <w:t>، ومعلوم أنّ ميتة الآدمي إمّا داخلة في إطلاقها أو أكلها أعظم من غيرها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الاستدلال بالآية الكريمة على كونها كبيرة بل على أصل تحريمها؛ لاحتمال أن يكون المراد من ذيلها تنظير الغيبة والتفكّه بأعراض الناس بأكل لحم ميتة </w:t>
      </w:r>
    </w:p>
    <w:p>
      <w:pPr>
        <w:pStyle w:val="BookText"/>
        <w:rPr/>
      </w:pPr>
      <w:r>
        <w:rPr>
          <w:rFonts w:ascii="Amiri" w:hAnsi="Amiri" w:eastAsia="Amiri" w:cs="Amiri"/>
          <w:color w:val="111111"/>
          <w:sz w:val="28"/>
          <w:sz w:val="28"/>
          <w:szCs w:val="28"/>
          <w:rtl w:val="true"/>
          <w:lang w:bidi="ar-SA"/>
        </w:rPr>
        <w:t>الأخ في تنفّر الطباع السليمة عنه، وانتقاص أعراضهم كأكل لحومهم، فيكون إرشاداً إلى حكم العقل، فلا تدلّ على التحريم فضلا عن كونها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سيّدنا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يكون الاحتمال الأخير أقرب إلى فهم العرف، وإن كان إنكار دلالتها على أصل التحريم مكابرة، فدلالتها على الحرمة غير قابلة للإنكار؛ لظهورها وسياقها وعدم فهم مجرّد الإرشاد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تدلّ على كونها كبيرة؛ لما قلناه من أقربية الاحتمال الأخير، ولا أقلّ في عدم ظهورها في أحد الأوّلين</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أنّه لا مجال للتشكيك في حرمة الغيبة وكونها من الكبائر بعد تشبيه الغيبة بأكل لحم الأخ الميّت في ذيل الآية الكريمة وتصريح الإمام في حسنة الفضل بن شاذان بكون لحم الميتة من الكبائر، فتأمّل، أو بعد إدراج الغيبة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في صحيحة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وسمعته اُذناه فهو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إذ لا إشكال في كون إشاعة الفحشاء من الكبائر؛ بقرينة ذيل هذه الآية؛ أعني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والآية وإن كان موضوعها هو إشاعة الفاحشة، ولكن بعد إدراج الغيبة فيها يعلم أنّ المراد من الإشاعة المذكورة هو مطلق الإظهار وكشف الستر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اعتضاد كون الغيبة من الكبائر بجملة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w:t>
      </w:r>
    </w:p>
    <w:p>
      <w:pPr>
        <w:pStyle w:val="BookText"/>
        <w:rPr/>
      </w:pPr>
      <w:r>
        <w:rPr>
          <w:rFonts w:ascii="Amiri" w:hAnsi="Amiri" w:eastAsia="Amiri" w:cs="Amiri"/>
          <w:color w:val="111111"/>
          <w:sz w:val="28"/>
          <w:sz w:val="28"/>
          <w:szCs w:val="28"/>
          <w:rtl w:val="true"/>
          <w:lang w:bidi="ar-SA"/>
        </w:rPr>
        <w:t>خطب يوماً فذكر الربا وعظّم شأنه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الدرهم يصيبه الرجل من الربا أعظم من ستّة وثلاثين زنية، وإنّ أربى الربا عرض المسلم</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حمل ذيل آية تحريم الغيبة على الإرشاد لا يوجب رفع اليد عن ظهور النهي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في الحرمة؛ لأنّ الذيل المذكور ينسجم مع حرمة الغيبة؛ لأنّ مفاده هو التنبيه على عِظَم ذنب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نظير 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عقيبها لوازمها ممّا يحكم العقل بها؛ ألا ترى صحّة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 إنّ الكذب يذهب وجاهة الإنسان في المجتمع الإنساني ويدخله في 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 يتنافى مع حرمة الكذب،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يعيبك في الغيب، وهو مرادف للمغتاب بالكسر،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التفجيع والإيعاد بالعذاب، وعليه فيمكن استفادة حرمتها بل كونها من الكبائر من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الهُمَزة ليست بظاهرة في ذلك المعنى؛ لاختلاف كلمات اللغويّين في معناها، ومع الاختلاف المذكور لا يمكن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وهمز همزاً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في غيبته فهو همّاز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الهمّاز 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يخلف الناس من ورائهم ويأكل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الهمّاز 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يهمز أخاه في قفاه من خلفه</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تاج العروس هو اختيار عكس ما اختاره في المصباح؛ حيث صرّح في البداية بأنّ معناه هو العيّاب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الغمّاز والعيّاب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الهمّاز 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يخلف الناس من ورائهم ويأكل لحومهم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اللمّاز واللُّمَزة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العيّاب للناس، أو الذي يعيبك في وجهك، 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يعيبك في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 واللُّمَزة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العيّاب، أو 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وأشار إليه بعينه ونحوها مع كلام خفيّ‌</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وعباراته متهافتة؛ فإنّ الظاهر من صدره أنّ الهمزة بمعنى العيّاب، وظاهر ذيله أنّه بمعنى من يعيبك في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ثبت ظهورها فيمن يعيبك في الغيب أمكن الاستدلال بالآية الكريمة للمقام، وأمّا إذا كان معناها هو العيّاب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الغياب أم في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عنوان آخر كعنوان الإيذاء، فتكون النسبة 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الهُمَزة واللُّمَزة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كثير الطعن على غيره بغير حقّ سواء كان في الغياب أم في الحضور، وسواء كان باللسان أم بغيره، وسيأتي أنّ الغيبة عبارة عن إظهار ما ستره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العنوانين عموم من وجه</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 فمع اختلاف أهل اللغة لا مجال للاستدلال بالآية الكريمة لحرمة عنوان الغيبة؛ لاحتمال أن يكون معنى الهمزة أعمّ وتكون النسبة بينها وبين الغيبة عموماً من وجه، ولا يصلح الاستدلال بما دلّ على حرمة أحد العنوانين اللذين تكون النسبة بينهما عموماً من وجه على حرمة العنوان الآخر؛ إذ مع كون النسبة كذلك يكون مورد افتراق العنوان الآخر خارجاً عن العنوان الذي حكم بحرمته، وعليه فالحكم بحرمة العنوان الآخر بجميع أفراده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النسبة بين عنوان العيّاب والغيبة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هي العموم والخصوص المطلق؛ لأنّ كلّ غيبة عيب بخلاف العكس، وعليه فالآية تدلّ على حرمة الغيبة على التقديرين، إلاّ أنّه على تقدير كون معنى الهمزة هو العيّاب فالغيبة محرّمة بما هي ذكر عيب كما أنّها محرّمة بعنوان أنّها 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اللمزة والهمزة متعاكستان في المعنى، فإن كانت اللمزة بمعنى مطلق ذكر العيب فالهمزة بمعنى ذكر العيب في الغيب، وإن كانت الهمزة بمعنى ذكر العيب فاللمزة بمعنى ذكر العيب في الغيب، وعليه فالآية تدلّ على حرمة ذكر العيب في الغيب،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تامّ لو لم تكن كلتاهما بمعنى ذكر العيب مطلقاً؛ وإلاّ فالآية تدلّ على حرمة عنوان آخر كما لايخفى، ولا أقلّ من الشكّ‌، فالاستدلال بالآية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الغيبة بما هي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ونظر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فِي اَلَّذِينَ آمَنُوا لَهُمْ‌ </w:t>
      </w:r>
    </w:p>
    <w:p>
      <w:pPr>
        <w:pStyle w:val="BookText"/>
        <w:rPr/>
      </w:pPr>
      <w:r>
        <w:rPr>
          <w:rFonts w:ascii="Amiri" w:hAnsi="Amiri" w:eastAsia="Amiri" w:cs="Amiri"/>
          <w:color w:val="111111"/>
          <w:sz w:val="28"/>
          <w:sz w:val="28"/>
          <w:szCs w:val="28"/>
          <w:rtl w:val="true"/>
          <w:lang w:bidi="ar-SA"/>
        </w:rPr>
        <w:t>عَذٰابٌ أَلِيمٌ فِي اَلدُّنْيٰا وَ اَلْآخِرَةِ 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الغيبة من مقولة الإخبار وإظهار المستور، وهذا العنوان مباين لعنوان حبّ نشر الفاحشة؛ فإنّه من مقولة كيف النفس، ومع التباين بينهما لا يصلح الاستدلال بأحدهما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الظاهر من حبّ شيوع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بلغة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كثرة وجود الفاحشة دون مجرّد ذكرها</w:t>
      </w:r>
      <w:r>
        <w:rPr>
          <w:rStyle w:val="FootnoteAnchor"/>
          <w:rtl w:val="true"/>
        </w:rPr>
        <w:footnoteReference w:id="937"/>
      </w:r>
      <w:r>
        <w:rPr>
          <w:rFonts w:ascii="Amiri" w:hAnsi="Amiri" w:eastAsia="Amiri" w:cs="Amiri"/>
          <w:color w:val="111111"/>
          <w:sz w:val="28"/>
          <w:sz w:val="28"/>
          <w:szCs w:val="28"/>
          <w:rtl w:val="true"/>
          <w:lang w:bidi="ar-SA"/>
        </w:rPr>
        <w:t>، إلاّ إذا كان الإخبار عن العيوب المستورة مصداقاً لحبّ شيوع الفاحشة، ولكنّه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صحيحة محمّد بن الحسن، عن الصفّار، عن أيّوب بن نوح، عن محمّد بن أبي عمير، عن محمّد بن حمران،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وسمعته اُذناه؛ فهو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هو إدراج مطلق الغيبة والإخبار عن العيوب المستورة في حبّ شيوع الفاحشة تعبّداً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فالرواية صحيحة دالّة على أنّ مطلق الغيبة داخل في الآية الكريمة، فتدلّ على أنّ المراد بالآية ليس الحبّ فقط ولا الشياع بمعناه المعروف بل مطلق الإظهار وكشف الستر، ولو كان المراد به الإلحاق الحكمي بلسان الإلحاق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إليه في استماع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بالاستدلال على المطلوب</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حينئذ تكون محرّمة بعنوان أنّها موجبة لإشاعة الفحشاء، مع أنّ الغيبة قد لا تكون كذلك، وعليه فالاستدلال المذكور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بالآية على حرمة الغيبة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الغيبة في الآية بعد التوسعة في معنى الحبّ والإشاعة؛ بأن يراد منهما مطلق الإظهار وكشف الستر، كما تؤيّده الرواية المتقدّمة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جعله من مصاديقه، فلو كان إدراجاً حكميّاً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اُريد بالتعبّد والحكومة منها هذا المعنى فلا يكون الاستدلال المذكور أخصّ من المدّعى؛ لأنّ المدّعى هو حرمة مطلق الإظهار وكشف الستر، والمفروض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الرواية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الإدراج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يكون المراد من الرواية هو إلحاق كشف الستر وإظهار العيب بحبّ الإشاعة في الحكم من دون تصرّف في الإشاعة، وهو إلحاق حكميّ‌، وفي هذه الصورة يجري على كشف الستر وإظهار العيب حكم الإشاعة؛ من الحرمة وكونه موجباً للنار، ولا يكون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بأن يكون الإدراج المذكور إلحاقاً حكميّاً بلحاظ الإلحاق الموضوعي؛ وذلك لأنّ الإلحاق المذكور مع كون الإشاعة غير شاملة لذلك بمجرّد الإظهار يكون قرينة على أنّ الإلحاق الحكمي بلحاظ الإلحاق الموضوعي؛ بأن تدرج الغيبة في الإشاعة كي يترتّب عليها حكم الإشاعة، وهذا لا يمكن إلاّ بحمل الإشاعة على مجرّد الإظهار وكشف الستر حتّى تكون الغيبة من أفرادها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على كلّ تقدير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ومن الكبائر </w:t>
      </w:r>
    </w:p>
    <w:p>
      <w:pPr>
        <w:pStyle w:val="BookText"/>
        <w:rPr/>
      </w:pPr>
      <w:r>
        <w:rPr>
          <w:rFonts w:ascii="Amiri" w:hAnsi="Amiri" w:eastAsia="Amiri" w:cs="Amiri"/>
          <w:color w:val="111111"/>
          <w:sz w:val="28"/>
          <w:sz w:val="28"/>
          <w:szCs w:val="28"/>
          <w:rtl w:val="true"/>
          <w:lang w:bidi="ar-SA"/>
        </w:rPr>
        <w:t>التي يستحقّ مرتكبها العذاب الدنيوي والاُخروي، والله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وقتاله كفر، وأكل لحمه معصية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ماله كحرمة دمه</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غيبة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فهذه الرواية صريحة في كون الغيبة من معاصي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سفلته‌؟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هو إذاعة سرّه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إذاعة السرّ عنوان أعمّ من ذكر العيب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إذاعة سرّه تختصّ بذكر العيب ولا تشمل غيره؛ بقرينة التعبير عن السرّ بالعورة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كان ممّن حرمت غيبته وكملت مروءته وظهر عدله ووجبت اُخوّته</w:t>
      </w:r>
      <w:r>
        <w:rPr>
          <w:rFonts w:eastAsia="Amiri" w:cs="Amiri" w:ascii="Amiri" w:hAnsi="Amiri"/>
          <w:color w:val="111111"/>
          <w:sz w:val="28"/>
          <w:szCs w:val="28"/>
          <w:rtl w:val="true"/>
          <w:lang w:bidi="ar-SA"/>
        </w:rPr>
        <w:t>»</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مفروغية حرمة الغيبة، وإنّما كان عليه السلام بصدد بيان شرائط المغتاب، بالفتح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إذ ظاهر الرواية اختصاص الحرمة بمن اجتمعت فيه هذه الأوصاف؛ وهو العادل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ممّن حرمت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يدلّ على أنّ الذي تجتمع فيه هذه الخصال يكون ممّن حرمت غيبته، وهذا التعبير لا يدلّ على اختصاص الغيبة بالعادل، ولعلّ غير العادل كذلك كما هو المفتى به فيما إذا لم يتجاهر بالمعصية،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عرفت من صحيحة محمّد بن حمران الدالّة على ذلك، وغيرها من الأخبار الكثيرة الدالّة على النهي عن الغيبة أو الدالّة على أنّ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 في النار، أو الدالّة على أنّ الغيبة أشدّ من الزنا وإن كانت ضعيفة بحسب السند أو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الأخبار المتعدّدة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ظاهر هذه الأخبار كون الغيبة من الكبائر كما ذكره جماعة، بل أشدّ من بعضها، وعدّ في غير واحد من الأخبار من الكبائر الخيانة، ويمكن إرجاع الغيبة إليها، فأيّ خيانة أعظم من التفكّه بلحم الأخ على غفلة منه وعدم شعور؟</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الغيبة أشدّ من بعض الكبائر في الوزر وإن كان مقتضاه أنّها أيضاً من الكبائر، إلاّ أنّ كونها أشدّ من الكبيرة في التخلّص عن وزرها لا يقتضي ذلك، كما إذا كانت الغيبة من حقوق الناس وحرمة شرب الخمر من حقوق الله، فالتخلّص عن وزر شرب الخمر يكون بمجرّد التوبة، بخلاف وزر الغيبة، فمثل هذه الأشدّية لا تقتضي أن تكون الغيبة من الكبائر، والمرويّ عن النبيّ صلى الله عليه وآله بعدّة طرق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ناظر إلى مرحلة التخلّص عن الوزر، كما هو مفاد ذيله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يزني فيتوب ويتوب الله عليه، وإنّ صاحب الغيبة لا يغفر له حتّى يغفر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537" w:name="pg17323_406305"/>
    </w:p>
    <w:p>
      <w:pPr>
        <w:pStyle w:val="BookText"/>
        <w:rPr/>
      </w:pPr>
      <w:bookmarkEnd w:id="537"/>
      <w:r>
        <w:rPr>
          <w:rFonts w:ascii="Amiri" w:hAnsi="Amiri" w:eastAsia="Amiri" w:cs="Amiri"/>
          <w:color w:val="111111"/>
          <w:sz w:val="28"/>
          <w:sz w:val="28"/>
          <w:szCs w:val="28"/>
          <w:rtl w:val="true"/>
          <w:lang w:bidi="ar-SA"/>
        </w:rPr>
        <w:t>روي أنّ الغيبة أشدّ من ستّة وثلاثين زنية، وذكر العدد ظاهره النظر إلى العقاب؛ وإلاّ لكان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أشدّ من الزنا، ولكنّ النبوي مرسل لا يمكن الاعتماد عليه، بل لو كان حديثاً صحيحاً لكان اللازم تأويله لو لم يمكن طرحه؛ للجزم بأنّ الغيبة لا تكون أشدّ حرمةً ووزراً من زنية واحدة فضلا عن ستّة وثلاثين؛ ولذا لو اُكره على الزنا أو الغيبة تعيّن اختيار الثاني، وذكرنا نظير ذلك فيما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اندراج الغيبة في الخيانة ممنوع،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البين دليل على حرمتها بعنوان الغيبة فباعتبار دخولها في الخبر الصدق كانت جائزة، بل على تقدير كونها خيانة لما أمكن الحكم بكونها من الكبائر؛ حيث لا دليل على كون الخيانة بمعناها العامّ من الكبائر</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876188_1280447820"/>
      <w:bookmarkStart w:id="539" w:name="_Toc199"/>
      <w:bookmarkEnd w:id="538"/>
      <w:r>
        <w:rPr>
          <w:rtl w:val="true"/>
        </w:rPr>
        <w:t>هل تختصّ حرمة الغيبة بالمؤمن‌؟</w:t>
      </w:r>
      <w:bookmarkEnd w:id="53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ظاهر الأخبار اختصاص حرمة الغيبة بالمؤمن، فيجوز اغتياب المخالف كما يجوز لعنه، وتوهّم عموم الآية كبعض الروايات لمطلق المسلم مدفوع بما علم بضرورة المذهب من عدم احترامهم وعدم جريان أحكام الإسلام عليهم إلاّ قليلاً ممّا يتوقّف استقامة نظم معاش المؤمنين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انفعال ما يلاقيهم بالرطوبة، وحلّ ذبائحهم ومناكحتهم، وحرمة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لحكمة دفع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ونسائهم؛ لأنّ لكلّ قوم نكاحاً، ونحو ذلك، مع أنّ التمثيل المذكور في الآية مختصّ بمن ثبت اُخوّته فلا يعمّ من وجب التبرّي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إشكال في المسألة بعد ملاحظة الروايات </w:t>
      </w:r>
    </w:p>
    <w:p>
      <w:pPr>
        <w:pStyle w:val="BookText"/>
        <w:rPr/>
      </w:pPr>
      <w:r>
        <w:rPr>
          <w:rFonts w:ascii="Amiri" w:hAnsi="Amiri" w:eastAsia="Amiri" w:cs="Amiri"/>
          <w:color w:val="111111"/>
          <w:sz w:val="28"/>
          <w:sz w:val="28"/>
          <w:szCs w:val="28"/>
          <w:rtl w:val="true"/>
          <w:lang w:bidi="ar-SA"/>
        </w:rPr>
        <w:t>الواردة في الغيبة وفي حكمة حرمتها وفي حال غير المؤمن في نظر الشارع</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المحكي عن المقدّس الأردبيلي وظاهر السبزواري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عموم أدلّة تحريم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وغيرهم؛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للمكلّفين أو المسلمين؛ لجواز غيبة الكافر، وألسنة أكثرها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معاً شاملان للجميع، ولا استبعاد في ذلك؛ إذ كما لا يجوز أخذ مال المخالف وقتله لا يجوز تناول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ظنّي أنّ الشهيد في قواعده جوّز غيبة المخالف من جهة مذهبه ودينه لا غير</w:t>
      </w:r>
      <w:r>
        <w:rPr>
          <w:rFonts w:eastAsia="Amiri" w:cs="Amiri" w:ascii="Amiri" w:hAnsi="Amiri"/>
          <w:color w:val="111111"/>
          <w:sz w:val="28"/>
          <w:szCs w:val="28"/>
          <w:rtl w:val="true"/>
          <w:lang w:bidi="ar-SA"/>
        </w:rPr>
        <w:t>»</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الناصبين والمقصّرين من العامّة لا تشملهم أدلّة حرمة الغيبة؛ لأنّ الناصبين في حكم الكفّار والمقصّرين لا يشملهم عنوان المؤمنين؛ لأنّ الإيمان وإن كان قبل نصب رسول الله صلى الله عليه وآله عليّاً عليه السلام للولاية عبارةً عن التصديق بالله تعالى ورسوله صلى الله عليه وآله، ولكن بعد نصبه عليه السلام صارت الولاية والإمامة من أركان الإيمان، فمن أنكره عن تقصير فهو خارج عن عنوان المؤمنين؛ فلا تشمله أحكام عنوان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قاصراً في عدم الاعتقاد بالولاية كان ذلك موجباً لرفع العذاب عنه، ولكن لا يدرجه في عنوان المؤمنين بعد عدم الاعتقاد بما يلزم الاعتقاد به كما أنّ القاصرين من الكفّار لا يدخلون في عنوان المؤمنين وإن لم يكونوا معذّبين، وعليه فمقتضى القاعدة هو جواز غيبتهم؛ لاختصاص الحرمة بعنوان المؤمنين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بحسب الواقع وإن كان كما ذكر، ولكن مقتضى معتبرة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استقرّ في القلب وأفضى </w:t>
      </w:r>
    </w:p>
    <w:p>
      <w:pPr>
        <w:pStyle w:val="BookText"/>
        <w:rPr/>
      </w:pPr>
      <w:r>
        <w:rPr>
          <w:rFonts w:ascii="Amiri" w:hAnsi="Amiri" w:eastAsia="Amiri" w:cs="Amiri"/>
          <w:color w:val="111111"/>
          <w:sz w:val="28"/>
          <w:sz w:val="28"/>
          <w:szCs w:val="28"/>
          <w:rtl w:val="true"/>
          <w:lang w:bidi="ar-SA"/>
        </w:rPr>
        <w:t>به إلى الله عزّ وجلّ‌، وصدّقه العمل بالطاعة لله والتسليم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قول أو فعل، وهو الذي عليه جماعة الناس من الفرق كلّها، وبه حقنت الدماء، وعليه جرت المواريث، وجاز النكاح، واجتمعوا على الصلاة والزكاة والصوم والحجّ‌، فخرجوا بذلك من الكفر واُضيفوا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لا يشرك الإيمان، والإيمان يشرك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للمؤمن فضل على المسلم في شيء من الفضائل والأحكام والحدود وغير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هما يجريان في ذلك مجرىً واحداً، ولكن للمؤمن فضل على المسلم في أعمالهما وما يتقرّبان به إلى الله عزوجلّ‌</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المؤمن والمسلم مشتركان في الأحكام تعبّداً من دون فرق بين المذاهب عدا ما خرج بالأدلّة والنصوص، وعليه فدعوى عدم جريان أحكام الإسلام عليهم إلاّ قليلاً محلّ تأمّل ونظر؛ إذ المستفاد من الرواية هو اشتراكهما بحسب الظاهر في الأحكام ما لم يدلّ دليل على الخلاف، وعليه فتجويز غيبته محلّ تأمّل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شيخنا الاُستاذ الأراكي عن اُستاذه المحقّق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المتحصّل من الأدلّة عدم الفرق بين المؤمن وغيره، ويكون الشارع قد تعامل معهم في ظاهر الدنيا معاملة المؤمن في المواريث والأنكحة والذبائح وطهارة البدن وحرمة الدم والمال والعرض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شيخنا الاُستاذ الأراكي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السيرة على جواز اغتيابهم</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قصّر في التحقيق وتعمّد ترك الشهادة بمجموع ما جاء به النبيّ صلى الله عليه وآله ولو بترك الفحص عن الحقّ لا يصدق عليه الإسلام؛ لعدم شهادته بمجموع ما جاء به النبيّ صلى الله عليه وآله</w:t>
      </w:r>
      <w:r>
        <w:rPr>
          <w:rFonts w:eastAsia="Amiri" w:cs="Amiri" w:ascii="Amiri" w:hAnsi="Amiri"/>
          <w:color w:val="111111"/>
          <w:sz w:val="28"/>
          <w:szCs w:val="28"/>
          <w:rtl w:val="true"/>
          <w:lang w:bidi="ar-SA"/>
        </w:rPr>
        <w:t xml:space="preserve">. </w:t>
      </w:r>
      <w:bookmarkStart w:id="540" w:name="pg17323_406308"/>
    </w:p>
    <w:p>
      <w:pPr>
        <w:pStyle w:val="BookText"/>
        <w:rPr/>
      </w:pPr>
      <w:bookmarkEnd w:id="540"/>
      <w:r>
        <w:rPr>
          <w:rFonts w:ascii="Amiri" w:hAnsi="Amiri" w:eastAsia="Amiri" w:cs="Amiri"/>
          <w:color w:val="111111"/>
          <w:sz w:val="28"/>
          <w:sz w:val="28"/>
          <w:szCs w:val="28"/>
          <w:rtl w:val="true"/>
          <w:lang w:bidi="ar-SA"/>
        </w:rPr>
        <w:t>هذا مضافاً إلى كونه من أظهر أفراد الفسّاق والمتجاهرين بفسقهم؛ إذ التجاهر بترك الولاية أشدّ من التجاهر بترك سائر الواجبات؛ لأنّ الولاية أهمّ ما يبنى عليه الإسلام بحسب الروايات الكثيرة الدالّة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 أنّ الناظر في الروايات لا ينبغي أن يرتاب في قصورها عن إثبات حرمة غيبتهم، بل لا ينبغي أن يرتاب في أنّ الظاهر من مجموعها اختصاصها بغيبة المؤمن الموالي لأئمّة الحقّ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سلّم إطلاق بعضها وغضّ النظر عن تحكيم الروايات التي في مقام التحديد عليها فلا شبهة في عدم احترامهم، بل هو من ضروريّ المذهب كما 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الناظر في الأخبار الكثيرة في الأبواب المتفرّقة لا يرتاب في جواز هتكهم والوقيعة فيهم، بل الأئمّة المعصومون عليهم السلام أكثروا في الطعن واللعن عليهم وذكر مسائيهم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مساوئهم</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ما دلّ على الإكثار في الطعن واللعن وذكر مساوئهم على فرض صحّته سنداً ودلالةً محمول على الناصبين والمقصّرين بمناسبة الحكم والموضوع، فلا يشمل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معتبرة حمران بن أعين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ذيل الرواية الوارد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للمؤمن فضل على المسلم في أعمالهما وما يتقرّبان به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يساعد حملها على التقيّة، والمسألة محتاجة إلى تأمّل زائد</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876190_1280447820"/>
      <w:bookmarkStart w:id="542" w:name="_Toc200"/>
      <w:bookmarkEnd w:id="541"/>
      <w:r>
        <w:rPr>
          <w:rtl w:val="true"/>
        </w:rPr>
        <w:t>غيبة الصبيان والمجانين</w:t>
      </w:r>
      <w:r>
        <w:rPr>
          <w:rtl w:val="true"/>
        </w:rPr>
        <w:t>:</w:t>
      </w:r>
      <w:bookmarkEnd w:id="54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الصبيّ المميّز المتأثّر بالغيبة لو سمعها؛ </w:t>
      </w:r>
    </w:p>
    <w:p>
      <w:pPr>
        <w:pStyle w:val="BookText"/>
        <w:rPr/>
      </w:pPr>
      <w:r>
        <w:rPr>
          <w:rFonts w:ascii="Amiri" w:hAnsi="Amiri" w:eastAsia="Amiri" w:cs="Amiri"/>
          <w:color w:val="111111"/>
          <w:sz w:val="28"/>
          <w:sz w:val="28"/>
          <w:szCs w:val="28"/>
          <w:rtl w:val="true"/>
          <w:lang w:bidi="ar-SA"/>
        </w:rPr>
        <w:t>لعموم بعض النصوص الدالّة على حرمة اغتياب الناس وأكل لحومهم، مع صدق عنوان الأخ عليه، كما يشهد به قوله تعالى في الأيتام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تُخٰالِطُوهُمْ فَإِخْوٰانُكُمْ‌</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وإمكان دعوى صدق المؤمن عليه مطلقاً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كشف الريبة بعدم الفرق بين الصغير والكبير، وظاهره الشمول لغير المميّز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المجنون، إلاّ أنّه صرّح بعض الأساطين باستثناء من لا عقل له ولا تمييز معلّلاً بالشكّ في دخوله تحت أدلّة الحرمة، ولعلّه من جهة أنّ الإطلاقات منصرفة إلى من يتأثر لو سمع، وسيتّضح ذلك زيادةً على ذلك</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يشترط في حرمة الغيبة كون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مكلّفاً، بل المستفاد من الروايات المتقدّمة وغيرها أنّ المناط في حرمة الغيبة صدق المؤمن على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معنى الغيبة هي كشف أمر قد ستره الله، وسيأتي، ومن الضروري أنّ الصبيّ المميّز ممّن يصدق عليه عنوان المؤمن إذا أقرّ بما يعتبر في الإيمان، بل قد يكون أكمل إيماناً من أكثر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الله قد ستر عيوب الناس حتّى الصبيان المميّزين، فذكرهم بالمساوى الموجودة فيهم كشفٌ لما ستره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بذكر الاُمور التي هي من مقتضيات الصباوة بحيث لا تعدّ من العيوب والمساوئ، كاللعب بالجوز والكعاب والكرة ونحوها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الصبيان أو المجانين غير المميّزين فلا شبهة في جواز اغتيابهم، لأنّ الاُمور </w:t>
      </w:r>
      <w:bookmarkStart w:id="543" w:name="pg17323_406310"/>
    </w:p>
    <w:p>
      <w:pPr>
        <w:pStyle w:val="BookText"/>
        <w:rPr/>
      </w:pPr>
      <w:bookmarkEnd w:id="543"/>
      <w:r>
        <w:rPr>
          <w:rFonts w:ascii="Amiri" w:hAnsi="Amiri" w:eastAsia="Amiri" w:cs="Amiri"/>
          <w:color w:val="111111"/>
          <w:sz w:val="28"/>
          <w:sz w:val="28"/>
          <w:szCs w:val="28"/>
          <w:rtl w:val="true"/>
          <w:lang w:bidi="ar-SA"/>
        </w:rPr>
        <w:t>الصادرة منهم لا تعدّ عيباً حتّى يكون ذكرها كشفاً لما ستره الله عليهم</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عليك أنّه لا دليل على لزوم التأثّر، بناءً على ما مرّ في البحث عن تعريف حقيقة الغيبة من أنّ الكراهة لا دليل على اعتبارها، وعليه فلو لم يتأثّر المميّز بالغيبة كانت الغيبة محرّمة أيضاً؛ قضاءً لإطلاق الأدلّة الدالّة على حرمة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يجوز غيبة المجانين إذا كانوا عاقلين قبل صيرورتهم مجانين أو لا يجوز؟</w:t>
      </w:r>
    </w:p>
    <w:p>
      <w:pPr>
        <w:pStyle w:val="BookText"/>
        <w:rPr/>
      </w:pPr>
      <w:r>
        <w:rPr>
          <w:rFonts w:ascii="Amiri" w:hAnsi="Amiri" w:eastAsia="Amiri" w:cs="Amiri"/>
          <w:color w:val="111111"/>
          <w:sz w:val="28"/>
          <w:sz w:val="28"/>
          <w:szCs w:val="28"/>
          <w:rtl w:val="true"/>
          <w:lang w:bidi="ar-SA"/>
        </w:rPr>
        <w:t>يمكن القول بالأوّل؛ لأنّهم حال الغيبة مجانين، فالأدلّة منصرفة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غيبتهم قبل صيرورتهم مجانين كانت محرّمة، فنستصحب الحرمة بعد صيرورتهم مجانين لو لم نقل بعدم بقاء الموضوع، فتدبّر</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876192_1280447820"/>
      <w:bookmarkStart w:id="545" w:name="_Toc201"/>
      <w:bookmarkEnd w:id="544"/>
      <w:r>
        <w:rPr>
          <w:rtl w:val="true"/>
        </w:rPr>
        <w:t>المقام الثالث</w:t>
      </w:r>
      <w:r>
        <w:rPr>
          <w:rtl w:val="true"/>
        </w:rPr>
        <w:t xml:space="preserve">: </w:t>
      </w:r>
      <w:r>
        <w:rPr>
          <w:rtl w:val="true"/>
        </w:rPr>
        <w:t>في كفّارة الغيبة</w:t>
      </w:r>
      <w:bookmarkEnd w:id="545"/>
    </w:p>
    <w:p>
      <w:pPr>
        <w:pStyle w:val="BookText"/>
        <w:rPr/>
      </w:pPr>
      <w:r>
        <w:rPr>
          <w:rFonts w:ascii="Amiri" w:hAnsi="Amiri" w:eastAsia="Amiri" w:cs="Amiri"/>
          <w:color w:val="111111"/>
          <w:sz w:val="28"/>
          <w:sz w:val="28"/>
          <w:szCs w:val="28"/>
          <w:rtl w:val="true"/>
          <w:lang w:bidi="ar-SA"/>
        </w:rPr>
        <w:t>لا يخفى أنّ الذي قيل أو يمكن أن يقال في بيان كفّارة الغيبة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الاستحلال من المغتاب؛ وذلك لأنّ الغيبة ظلم في حقّ المغتاب لكونها توجب النقص له، وهو من حقوق الناس، وهذه هي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ترتفع حقوق الناس إلاّ بالاستحلال من ذويها، وهذه هي الكبرى، وهي التي عليها بناء العقلاء، ولا ردع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شهادة بعض الأخبار على لزوم الاستبراء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كمعتبرة سعد بن طريف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وظلم لا يغفره الله، وظلم لا يدعه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الظلم الذي لا يغفره فالشرك، وأمّا الظلم الذي يغفره </w:t>
      </w:r>
    </w:p>
    <w:p>
      <w:pPr>
        <w:pStyle w:val="BookText"/>
        <w:rPr/>
      </w:pPr>
      <w:r>
        <w:rPr>
          <w:rFonts w:ascii="Amiri" w:hAnsi="Amiri" w:eastAsia="Amiri" w:cs="Amiri"/>
          <w:color w:val="111111"/>
          <w:sz w:val="28"/>
          <w:sz w:val="28"/>
          <w:szCs w:val="28"/>
          <w:rtl w:val="true"/>
          <w:lang w:bidi="ar-SA"/>
        </w:rPr>
        <w:t>فظلم الرجل نفسه فيما بينه وبين الله، وأمّا الظلم الذي لا يدعه فالمداينة بين العباد</w:t>
      </w:r>
      <w:r>
        <w:rPr>
          <w:rFonts w:eastAsia="Amiri" w:cs="Amiri" w:ascii="Amiri" w:hAnsi="Amiri"/>
          <w:color w:val="111111"/>
          <w:sz w:val="28"/>
          <w:szCs w:val="28"/>
          <w:rtl w:val="true"/>
          <w:lang w:bidi="ar-SA"/>
        </w:rPr>
        <w:t>»</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أنّه لا مخلص مادامت الذمّة مشتغلة بالدين للغير، بناءً على شمول الدين لمثل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وفاته فليستغفر الله له؛ فإنّه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عليّ بن الحسين في عقاب الأعمال، عن أبيه، عن عليّ بن إبراهيم مثله</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المفهوم منها عدم كفاية الاستغفار له عند التمكّن من استحلال عن المغتاب، وهو ظاهر في لزوم الاستحلال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واُورد على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ضعيفة بالنوفلي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فيها على أنّ الاستغفار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الغيبة ظلماً على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ولذا لو لم يكن في البين أدلّة تحريم الغيبة وأكل لحم المؤمن لما كانت أدلّة تحريم الظلم كافية لإثباتها، مع أنّه ليس الظلم مطلقاً من حقوق الناس، كما في الزنا، فإنّه لا يجب على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توبته الاستحلال من أب البنت أو زوج المرأة ممّن يكون عرضه مع ظهور الزنا مورد المناقشة بين الناس</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النوفلي معتمد؛ لأنّ كتاب السكوني المعمول به عند الأصحاب لم ينقل أكثره إلاّ بواسطة النوفلي، وهو شاهد على أنّ النوفلي معتمد، ولا يضرّ بذلك نقل </w:t>
      </w:r>
    </w:p>
    <w:p>
      <w:pPr>
        <w:pStyle w:val="BookText"/>
        <w:rPr/>
      </w:pPr>
      <w:r>
        <w:rPr>
          <w:rFonts w:ascii="Amiri" w:hAnsi="Amiri" w:eastAsia="Amiri" w:cs="Amiri"/>
          <w:color w:val="111111"/>
          <w:sz w:val="28"/>
          <w:sz w:val="28"/>
          <w:szCs w:val="28"/>
          <w:rtl w:val="true"/>
          <w:lang w:bidi="ar-SA"/>
        </w:rPr>
        <w:t>غير النوفلي عن السكوني في بعض الموارد القليلة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السكوني في كون الاستغفار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أنّه لا ينبغي الإشكال في كون الغيبة ظلماً عرفاً، كما لا وجه للمناقشة في كون الظلم من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والنقص بالزنا ليس في محلّه؛ لأنّ الزنا لا يوجب نقصاً في عرض الأب أو الزوج ما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موجباً لذلك أمكن القول بصدق الظلم، ويترتّب عليه حكمه من لزوم الاستحلال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الشارع بالحدّ فلا يجب الاستحلال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الاكتفاء، كما لم يكتف في السرقة بإجراء الحدّ عليه ويلزم عليه أداء المال المسروق إلى صاحبه،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وإن سلّمنا ثبوت حقّ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كونه بحيث يقتضي الاستبراء والتخلّص عنه بالاعتذار والترضية لم نعلم به إلاّ من بعض ما لا يصحّ سنده، فأصالة البراءة عن الاستبراء لا قاطع لها، واستصحاب بقاء الحقّ بعد الاستغفار وعدم حصول البراءة منه وإن كان جارياً إلاّ أنّه لا يقطع أصالة البراءة عن الاستبراء؛ إذ ليس وجوب الاستبراء والاعتذار من آثار هذا الحقّ حتّى يقدّم الاستصحاب وتنقطع البراءة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العرضي كالظلم المالي، وعليه فكما أنّ اللازم في الظلم المالي هو الاسترضاء فكذلك في المقام، ومع وضوح بناء العقلاء على الكبرى المذكورة من أنّه لا ترتفع حقوق الناس إلاّ بالاستحلال لا مجال لأصالة البراءة؛ لأنّه مع استصحاب بقاء الحقّ بعد الاستغفار يترتّب عليه ما عليه العقلاء من لزوم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دلالة </w:t>
      </w:r>
    </w:p>
    <w:p>
      <w:pPr>
        <w:pStyle w:val="BookText"/>
        <w:rPr/>
      </w:pPr>
      <w:r>
        <w:rPr>
          <w:rFonts w:ascii="Amiri" w:hAnsi="Amiri" w:eastAsia="Amiri" w:cs="Amiri"/>
          <w:color w:val="111111"/>
          <w:sz w:val="28"/>
          <w:sz w:val="28"/>
          <w:szCs w:val="28"/>
          <w:rtl w:val="true"/>
          <w:lang w:bidi="ar-SA"/>
        </w:rPr>
        <w:t>بعض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 في ابتداء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كونها من حقوق الناس توقّف رفعها إلى إسقاط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من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ظلم على المغتاب، وللأخبار في أنّ من حقّ المؤمن على المؤمن أن لا يغتابه، وأنّ حرمة عرض المسلم كحرمة دمه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توقّف رفعها على إبراء ذي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فللمستفيضة المعتضدة بالأصل</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حاجة في إثبات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توقّف رفعها على الاستبراء من ذوي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الاستدلال بالأخبار؛ لأنّ التوقّف المذكور ممّا عليه بناء العقلاء، والوجه فيه هو اشتغال الذمّة بحقوق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يرد نصّ لكفاية الاستغفار؛ وإلاّ فالكبرى المذكورة أو الأخبار الدالّة على مفاد الكبرى تتقيّد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أبي عبدالله، عن أبيه، عن هارون ابن الجهم، عن حفص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بأحمد بن أبي عبدالله هو أحمد بن محمّد بن خالد البرقي، وهو وأبوه كلاهما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بحفص بن عمر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الاستغفار كفّارة لا يدلّ على البراءة؛ فلعلّه كفّارة للذنب من حيث كونه حقّاً لله تعالى، نظير كفّارة قتل الخطاء التي لا توجب </w:t>
      </w:r>
    </w:p>
    <w:p>
      <w:pPr>
        <w:pStyle w:val="BookText"/>
        <w:rPr/>
      </w:pPr>
      <w:r>
        <w:rPr>
          <w:rFonts w:ascii="Amiri" w:hAnsi="Amiri" w:eastAsia="Amiri" w:cs="Amiri"/>
          <w:color w:val="111111"/>
          <w:sz w:val="28"/>
          <w:sz w:val="28"/>
          <w:szCs w:val="28"/>
          <w:rtl w:val="true"/>
          <w:lang w:bidi="ar-SA"/>
        </w:rPr>
        <w:t>براءة القاتل، إلاّ أن يدّعى ظهور السياق في البراءة</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من ظهور السياق أنّ الاستغفار لو كان لحقّ الله تعالى فلا حاجة إلى تكراره؛ لحصول الغفران له بدفعة واحدة، وعليه فلزوم تكرار الاستغفار يكون طريقاً إلى حصول البراءة بالنسبة إلى حقوق المغتاب، والعمدة هو ضعف الرواية، فلا دليل على كفاية الاستغفار عن الاستحلال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الاستغفار للمغتاب عند عدم التمكّن من الاستحلال منه؛ جمعاً بين ما يدلّ على لزوم الاستحلال وما يدلّ على أنّ كفّارة الاغتياب أن تستغفر لمن اغتبته كلّما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في الاستحلال إثارة للفتنة وجلباً للضغائن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على حصول البراءة بالاستغفار لمن اغتبته كلّما ذكرته ضعيفٌ‌، ومعه يتعيّن طرحه والرجوع إلى الأصل وإطلاق الأخبار المتقدّمة، وتعذّر الاستبراء ووجود المفسدة لا يوجب وجود مبرئ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المراد من الأصل هو استصحاب بقاء الحقّ‌، والمراد من إطلاق الأخبار المتقدّمة هو إطلاق أنّ الغيبة لا تغفر حتّى يغفر صاحبها، 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على أخيه ثلاثون حقّاً؛ لا براءة له منها إلاّ بأدائها أو العفو</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ليدع من حقوق أخيه شيئاً فيطالبه به يوم القيامة ويقضى له وعليه</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وغير ذلك من الأخبار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عدل الشيخ عمّا ذكر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والإنصاف أنّ الأخبار الواردة في هذا الباب كلّها غير نقيّة السند، وأصالة البراءة تقتضي عدم وجوب الاستحلال ولا الاستغفار، وأصالة بقاء </w:t>
      </w:r>
    </w:p>
    <w:p>
      <w:pPr>
        <w:pStyle w:val="BookText"/>
        <w:rPr/>
      </w:pPr>
      <w:r>
        <w:rPr>
          <w:rFonts w:ascii="Amiri" w:hAnsi="Amiri" w:eastAsia="Amiri" w:cs="Amiri"/>
          <w:color w:val="111111"/>
          <w:sz w:val="28"/>
          <w:sz w:val="28"/>
          <w:szCs w:val="28"/>
          <w:rtl w:val="true"/>
          <w:lang w:bidi="ar-SA"/>
        </w:rPr>
        <w:t xml:space="preserve">الحقّ الثابت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عدم الخروج منه إلاّ بالاستحلال خاصّة، لكنّ المثبت لكون الغيبة حقّاً بمعنى وجوب البراءة منه ليس إلاّ الأخبار الغير النقيّة السند، مع أنّ السند لو كان نقيّاً كانت الدلالة ضعيفة، لذكر حقوق اُخر في الروايات لا قائل بوجوب البراءة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فالقول بعدم كونه حقّاً للناس بمعنى وجوب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الحقوق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 وإن كان الاحتياط في خلافه، بل لا يخلو عن قرب؛ من جهة كثرة الأخبار الدالّة على وجوب الاستبراء منها، بل اعتبار سند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الاستحلال إن تيسّر وإلاّ فالاستغفار</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أنّه مع بناء العقلاء على لزوم الاستحلال لا حاجة إلى استصحاب بقاء الحقّ ولا إلى الأخبار، ولا مورد للبراءة مع بناء العقلاء على لزوم الاستحلال، وعليه فالأقوى هو لزوم الاستحلال، ولا يسقط وجوب الاستحلال إلاّ إذا ترتّب عليه الفساد، فيسقط الوجوب للتزاحم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تمامية دلالة الأخبار،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 بين الاستحلال والاستغفار، فيرجع إلى الأصل وهو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موثّقة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فليستغفر الله له؛ فإنّه كفّارة له</w:t>
      </w:r>
      <w:r>
        <w:rPr>
          <w:rFonts w:eastAsia="Amiri" w:cs="Amiri" w:ascii="Amiri" w:hAnsi="Amiri"/>
          <w:color w:val="111111"/>
          <w:sz w:val="28"/>
          <w:szCs w:val="28"/>
          <w:rtl w:val="true"/>
          <w:lang w:bidi="ar-SA"/>
        </w:rPr>
        <w:t>»</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تكون شاهدة جمع بين الطائفتين المتعارضتين، وعليه يكفي الاستغفار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التمكّن من الاستحلال منه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إنّ تلك الرواية مع اعتبارها سنداً حاكمة </w:t>
      </w:r>
    </w:p>
    <w:p>
      <w:pPr>
        <w:pStyle w:val="BookText"/>
        <w:rPr/>
      </w:pPr>
      <w:r>
        <w:rPr>
          <w:rFonts w:ascii="Amiri" w:hAnsi="Amiri" w:eastAsia="Amiri" w:cs="Amiri"/>
          <w:color w:val="111111"/>
          <w:sz w:val="28"/>
          <w:sz w:val="28"/>
          <w:szCs w:val="28"/>
          <w:rtl w:val="true"/>
          <w:lang w:bidi="ar-SA"/>
        </w:rPr>
        <w:t>على الطائفتين من الروايات، ومفسّرة لها، وقرينة على المراد منها</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استشكل قدس سره في الموثّقة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دلالتها على المطلوب إشكال؛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الظلم الذي يجب الاستغفار لصاحبه هو ما يمكن جبرانه عند وجود المظلوم وليس مطلق الظلم ممّا يكون له جبران، وكون الغيبة كذلك أوّل الكلام، بل لا تدلّ على وجوب الجبران عند عدم فوت صاحب المظلمة؛ لعدم تعرّضه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وجوب الاستغفار له، فيدلّ على وجوب أداء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الأخذ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الاستغفار له على الاستحباب؛ لعدم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الجبران في مطلق الظلم، أو حمل الظلم على ما يكون له جبران وإبقاء الأمر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دليل معتمد على وجوب الاستحلال أو الاستغفار للمغتاب؛ فإنّ ما له دلالة قاصرة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وغالبها قاصرة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وبعض ما هو معتمد كرواية السكوني قد عرفت حالها، مع احتمال أن يكون الاستغفار المذكور هو الاستغفار لنفسه عن ذنبه، وإن كان المظنون أن يكون الاستغفار لصاحبه كما أشرنا إليه، لكنّه ظنّ خارجيّ لا حجّية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روايات الاستغفار له تامّة السند، لكان احتمال قرينيّتها على المراد فيها قريباً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احتمال آخر في متن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الجعفريّات المتقدّمة؛ لتشابههما كتباً، واحتمال العكس أبعد، وعليه تخرج الرواية عن شهادة الجمع، ولا يرد عليها الإشكال المتقدّم في الحقوق المالية، بل لعلّه صار قرينة على غلط النسخة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الإنصاف أنّ هذه الاحتمالات لا يعتنى بها</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المعتمد هو بناء العقلاء في لزوم الاستحلال بعد صدق الظلم، ولا وجه للمناقشة في صدق الظلم بالغيبة؛ لكونها موجبة للنقص في العرض، وعليه فاللازم الاستحلال، ولا حاجة فيه إلى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موثّقة السكوني تدلّ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الاستغفار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له، وإنّما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كفاية الاستغفار للكفّارة بصورة فقدان المغتاب، وعلى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أعمّ من هذه الصورة، ولكن مع اختلاف النسختين يلزم الأخذ بالقدر المتيقّن منهما؛ وهو صورة فقدان المغتاب أو عدم التمكّن من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الاستغفار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المدلول ليس ظنّاً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ذيل الرواية يصلح للشهادة على أنّ المراد من الظلم هو ما يكون له 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حقوق الناس لا ترتفع إلاّ بالاستحلال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عليه بناء العقلاء، ولا يرفع اليد عنها إلاّ بالقدر المتيقّن من موثّقة السكوني؛ وهو صورة فقدان المغتاب، أو عدم إمكان الوصول إليه، أو احتمال وقوع الفتنة ونحوها، ففي هذه الموارد يجوز الاكتفاء بالاستغفار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بالموثّقة؛ إذ لو لزم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كالتصدّق عن المغتابين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لأشار إليه، فالوجه الثاني لا يخلو من قوّة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وصول الغيبة للمقول فيه وبين عدم وصولها إليه؛ فيجب </w:t>
      </w:r>
    </w:p>
    <w:p>
      <w:pPr>
        <w:pStyle w:val="BookText"/>
        <w:rPr/>
      </w:pPr>
      <w:r>
        <w:rPr>
          <w:rFonts w:ascii="Amiri" w:hAnsi="Amiri" w:eastAsia="Amiri" w:cs="Amiri"/>
          <w:color w:val="111111"/>
          <w:sz w:val="28"/>
          <w:sz w:val="28"/>
          <w:szCs w:val="28"/>
          <w:rtl w:val="true"/>
          <w:lang w:bidi="ar-SA"/>
        </w:rPr>
        <w:t>الاستحلال منه في الصورة الاُولى، ويجب الاستغفار له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مصباح الشريعة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اغتبت فبلغ المغتاب فاستحلّ منه، فإن لم تبلغه ولم تلحقه فاستغفر الله له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حقوق الناس وجب الاستحلال من المقول فيه سواء علم بذلك أم لا، وإلاّ بقي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الذمّة إلى الأبد، ويكون شأن الغيبة في ذلك شأن الحقوق المالية، وإن لم يكن من حقوق الناس فلا وجه لوجوب الاستحلال من المقول فيه وإن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وجه للتفصيل المذكور، ولابدّ إمّا من حمل الرواية على الجهات الأخلاقية، أو ردّ علمها إلى قائلها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تقييد وجوب الاستحلال بما إذا لم تترتّب على الاستحلال مفسدة أكثر من مصلحة الاستحلال، وإلاّ فيسقط وجوب الاستحلال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صورة العلم والجهل، ففي كلّ مورد يكون في الاستحلال مفسدة يسقط وجوب الاستحلال سواء علم المقول فيه بالغيبة أم لم يعلم، ولكن يبقى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الذمّة إلى الأبد كما في تزاحم أداء الحقوق المالية مع المفسدة،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إلاّ أن يؤخذ بإطلاق موثّقة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فليستغفر له؛ فإنّه كفّارة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التزاحم أو عدم إمكان الاستحلال يكتفى بالاستغفار له ولا شيء عليه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الاكتفاء بالتوبة في محو تبعات الغيبة كما يكتفى بها في محو تبعات سائر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المتعيّن؛ لقيام الضرورة ودلالة الآيات </w:t>
      </w:r>
    </w:p>
    <w:p>
      <w:pPr>
        <w:pStyle w:val="BookText"/>
        <w:rPr/>
      </w:pPr>
      <w:r>
        <w:rPr>
          <w:rFonts w:ascii="Amiri" w:hAnsi="Amiri" w:eastAsia="Amiri" w:cs="Amiri"/>
          <w:color w:val="111111"/>
          <w:sz w:val="28"/>
          <w:sz w:val="28"/>
          <w:szCs w:val="28"/>
          <w:rtl w:val="true"/>
          <w:lang w:bidi="ar-SA"/>
        </w:rPr>
        <w:t>المتظافرة والروايات المتواترة من الفريقين على أنّ التائب عن ذنبه كمن لا ذنب له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فإنّ النظر في أدلّة التوبة إلى محو تبعات المخالفة لحقّ الله، ولا ينافيها ما عليه بناء العقلاء من لزوم الاستحلال في حقوق الناس، ألا ترى أنّ التوبة لا تكفي في رفع الاشتغال بالحقوق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بين الاستحلال وبين الاستغفار للمغتاب، 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الروايات الدالّة على وجوب الاستحلال هو كون وجوبه وجوباً تعيينيّاً، ومقتضى رواية السكوني هو لزوم الاستغفار للمغتاب تعيّناً، فمع تعارضهما قيل يرفع اليد عن كلا الإطلاقين بحمل الوجوب فيهما على التخييري، كما هو مقتضى الجمع العرفي بين الأمر بفعل في خطاب والأمر بفعل آخر في خطاب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إرشاد الطالب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النحو من الجمع في المقام غير ممكن؛ لما ورد من كون الغيبة أشدّ من الزنا في التخلّص عن وزرها، ومع التخيير بين الاستحلال والاستغفار لا يكون في البين ما يوجب كون التخلّص من وزرها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الجمع بحمل الفعل في كلّ من الخطابين على التخييري يختصّ بما إذا علم بعدم وجوب كلا الفعلين معاً، كما في مسألة دلالة إحدى الروايتين على وجوب صلاة الجمعة والاُخرى على وجوب صلاة الظهر؛ حيث يعلم بعدم وجوب كلتا الصلاتين معاً، وأمّا فيما احتمل وجوب كلّ منهما تعييناً فيؤخذ بإطلاق الوجوب في كلّ منهما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 من الروايتين عدم وجوب الفعل الآخر؛ فإنّ مقتضى رواية حفص بن عمر كون الاستغفار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في تكفير ذنب الاغتياب؛ فلا </w:t>
      </w:r>
    </w:p>
    <w:p>
      <w:pPr>
        <w:pStyle w:val="BookText"/>
        <w:rPr/>
      </w:pPr>
      <w:r>
        <w:rPr>
          <w:rFonts w:ascii="Amiri" w:hAnsi="Amiri" w:eastAsia="Amiri" w:cs="Amiri"/>
          <w:color w:val="111111"/>
          <w:sz w:val="28"/>
          <w:sz w:val="28"/>
          <w:szCs w:val="28"/>
          <w:rtl w:val="true"/>
          <w:lang w:bidi="ar-SA"/>
        </w:rPr>
        <w:t>حاجة معه إلى الاستحلال، كما أنّ ظاهر النبوي</w:t>
      </w:r>
      <w:r>
        <w:rPr>
          <w:rStyle w:val="FootnoteAnchor"/>
          <w:rtl w:val="true"/>
        </w:rPr>
        <w:footnoteReference w:id="971"/>
      </w:r>
      <w:r>
        <w:rPr>
          <w:rFonts w:ascii="Amiri" w:hAnsi="Amiri" w:eastAsia="Amiri" w:cs="Amiri"/>
          <w:color w:val="111111"/>
          <w:sz w:val="28"/>
          <w:sz w:val="28"/>
          <w:szCs w:val="28"/>
          <w:rtl w:val="true"/>
          <w:lang w:bidi="ar-SA"/>
        </w:rPr>
        <w:t>كون الاستحلال كافياً ولا حاجة معه إلى 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الظهور إطلاقيّ ومن باب السكوت في مقام بيان كفّارة الاغتياب، فينتفي هذا الإطلاق عن كلّ من الطائفتين بقرينة الاُخرى؛ فإنّ مدلول رواية حفص عدم الحاجة إلى غير الاستغفار من سائر الأفعال ومنها الاستحلال، فيرفع اليد عن الإطلاق بالإضافة إلى الاستحلال، وكذا الحال في ناحية النبوي؛ حيث إنّ مدلوله أيضاً عدم الحاجة إلى غير الاستحلال من سائر الأفعال ومنها الاستغفار للمغتاب، فيرفع اليد بالإضافة إلى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العرفي بين الروايتين هو الالتزام بوجوب كلا الأمرين، وهذا يناسب أيضاً كون الغيبة أشدّ من الزنا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البين أنّ هذا الجمع فرع اعتبار كلّ من الطائفتين، ومع ضعف سندهما لا يمكن الاعتماد عليهما حتّى يجمع بينهما بما ذكر</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أفاد وأجاد في أنّ مقتضى الجمع بين الروايتين هو الحكم بوجوبهما بعد احتمال وجوبهما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التخيير هو الاحتمال الثالث، وكلّ واحدة من الروايتين تنفي الاحتمال الثاني وهو المعارض الدالّ على وجوب شيء آخر، كما أنّهما تنفيان الاحتمال الثالث وهو التخيير بينهما، وعليه فاحتمال التخيير ضعيف جدّاً، فلا مجال إلاّ للاحتياط بعد العلم بوجوب أحدهما كما هو مقتضى العلم الإجمالي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أنّ ما دلّ على وجوب الاستغفار أمره يدور بين وجوب </w:t>
      </w:r>
      <w:bookmarkStart w:id="546" w:name="pg17323_406321"/>
    </w:p>
    <w:p>
      <w:pPr>
        <w:pStyle w:val="BookText"/>
        <w:rPr/>
      </w:pPr>
      <w:bookmarkEnd w:id="546"/>
      <w:r>
        <w:rPr>
          <w:rFonts w:ascii="Amiri" w:hAnsi="Amiri" w:eastAsia="Amiri" w:cs="Amiri"/>
          <w:color w:val="111111"/>
          <w:sz w:val="28"/>
          <w:sz w:val="28"/>
          <w:szCs w:val="28"/>
          <w:rtl w:val="true"/>
          <w:lang w:bidi="ar-SA"/>
        </w:rPr>
        <w:t xml:space="preserve">الاستغفار عند عدم التمكّن من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الاستغفار مطلقاً، وحيث لم تثبت النسخة المصحّحة يؤخذ بالمتيقّن منها؛ وهو وجوب الاستغفار له عند عدم التمكّن من الوصول إلى المغتاب، فبه يقيّد ما عليه العقلاء من وجوب الاستحلال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الاستحلال واجب عند التمكّن، ومع عدمه يسقط وجوب الاستحلال ويلزم الاستغفار للمغتاب؛ جمعاً بين الكبرى التي عليها بناء العقلاء وموثّقة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دليل الاستغفار له هو جواز الاكتفاء به؛ إذ لو لزم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كالتصدّق عن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لأشار إليه في الرواية، فلا تغفل</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876194_1280447820"/>
      <w:bookmarkStart w:id="548" w:name="_Toc202"/>
      <w:bookmarkEnd w:id="547"/>
      <w:r>
        <w:rPr>
          <w:rtl w:val="true"/>
        </w:rPr>
        <w:t>المقام الرابع</w:t>
      </w:r>
      <w:r>
        <w:rPr>
          <w:rtl w:val="true"/>
        </w:rPr>
        <w:t xml:space="preserve">: </w:t>
      </w:r>
      <w:r>
        <w:rPr>
          <w:rtl w:val="true"/>
        </w:rPr>
        <w:t>في موارد الاستثناء</w:t>
      </w:r>
      <w:bookmarkEnd w:id="548"/>
    </w:p>
    <w:p>
      <w:pPr>
        <w:pStyle w:val="Heading4"/>
        <w:numPr>
          <w:ilvl w:val="3"/>
          <w:numId w:val="1"/>
        </w:numPr>
        <w:rPr/>
      </w:pPr>
      <w:bookmarkStart w:id="549" w:name="__RefHeading___Toc876196_1280447820"/>
      <w:bookmarkStart w:id="550" w:name="_Toc203"/>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وقبل الشروع في البحث عن موارد الاستثناء بالخصوص ينبغي أن يبحث عن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هناك ملاك كلّي وضابط عامّ لتجويز الغيبة، أو لا يوجد بل يحتاج ذلك إلى إقامة الأدلّة في موارد خاصّة‌؟</w:t>
      </w:r>
    </w:p>
    <w:p>
      <w:pPr>
        <w:pStyle w:val="BookText"/>
        <w:rPr/>
      </w:pPr>
      <w:r>
        <w:rPr>
          <w:rFonts w:ascii="Amiri" w:hAnsi="Amiri" w:eastAsia="Amiri" w:cs="Amiri"/>
          <w:color w:val="111111"/>
          <w:sz w:val="28"/>
          <w:sz w:val="28"/>
          <w:szCs w:val="28"/>
          <w:rtl w:val="true"/>
          <w:lang w:bidi="ar-SA"/>
        </w:rPr>
        <w:t xml:space="preserve">والظاهر من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للشهيد والمحقّق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فرض هناك مصلحة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راجعة إلى المغتاب بالكسر أو بالفتح أو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العقل أو الشرع على كونها أعظم من مسألة احترام المؤمن بترك ذلك القول فيه، وجب كون الحكم على طبق أقوى المصلحتين، كما هو الحال في كلّ معصية من حقوق الله وحقوق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عليه غير واحد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ضابط الغيبة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يقصد به هتك عرض المؤمن أو التفكّه به أو إضحاك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لغرض صحيح فلا يحرم؛ كنصح المستشير، والتظلّم وسماعه، والجرح والتعديل، وردّ من ادّعى نسباً ليس له، والقدح في </w:t>
      </w:r>
    </w:p>
    <w:p>
      <w:pPr>
        <w:pStyle w:val="BookText"/>
        <w:rPr/>
      </w:pPr>
      <w:r>
        <w:rPr>
          <w:rFonts w:ascii="Amiri" w:hAnsi="Amiri" w:eastAsia="Amiri" w:cs="Amiri"/>
          <w:color w:val="111111"/>
          <w:sz w:val="28"/>
          <w:sz w:val="28"/>
          <w:szCs w:val="28"/>
          <w:rtl w:val="true"/>
          <w:lang w:bidi="ar-SA"/>
        </w:rPr>
        <w:t>مقالة باطلة خصوصاً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المرخّص في ذكر مساوئ الغير غرض صحيح لا يمكن التوصّل إليه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فموارد الاستثناء لا تنحصر في عدد</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 سيّدنا الإمام المجاهد قدس سره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المراد من الضابط المذكور قصور إطلاق أدلّة الغيبة عن شمول مورد يكون للمغتاب غرض صحيح، أو انصرافها عنه كما هو محتمل كلام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بعيداً عن ظاهر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منع؛ لعدم قصور الآية الكريمة بل سائر الآيات وكثير من الروايات؛ فلها إطلاق من غير انصراف عن المورد المدّعى، كما لا تنصرف أدلّة سائر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موارد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مصلحة احترام المؤمن أو مفسدة حرمة الغيبة لا تزاحم سائر المصالح مطلقاً؛ لكون مصلحة حرمة المؤمن ومفسدة الغيبة ضعيفة لا تقاوم سائر المصالح المزاحمة،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كلّية ذلك؛ لأنّ الغيبة من كبائر الذنوب كما تقدّم، وقد علم اهتمام الشارع بتركها من أدلّة الباب، والتعبيرات الواردة فيها وفي حرمة المؤمن كما هو أحد الطرق إلى كشف أهمّية الأحكام فلا شبهة في أنّ مفسدتها أهمّ من كثير من المصالح، سواء رجعت إلى المغتاب بالفتح أو بالكسر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ثابت في الجملة، فلابدّ من النظر في الموارد الخاصّة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أنّ الدليل قائم على استثناء مطلق موارد يكون للمغتاب فيها غرض صحيح فالظاهر فقدان ذلك بهذا 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وردت روايات وأدلّة في موارد </w:t>
      </w:r>
    </w:p>
    <w:p>
      <w:pPr>
        <w:pStyle w:val="BookText"/>
        <w:rPr/>
      </w:pPr>
      <w:r>
        <w:rPr>
          <w:rFonts w:ascii="Amiri" w:hAnsi="Amiri" w:eastAsia="Amiri" w:cs="Amiri"/>
          <w:color w:val="111111"/>
          <w:sz w:val="28"/>
          <w:sz w:val="28"/>
          <w:szCs w:val="28"/>
          <w:rtl w:val="true"/>
          <w:lang w:bidi="ar-SA"/>
        </w:rPr>
        <w:t>خاصّة لكن لا يمكن إلغاء الخصوصية عنها إلى كلّ ذي مصلحة وملاك، مع أنّ عمدة ما وردت فيها الأدلّة المرخّصة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المتجاهر بالفسق والمتظلّم، والترخيص فيهما ليس للتزاحم وتقديم جانب المقتضي ظاهراً، فلا وجه لاحتمال إلغاء الخصوصية</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صريح كلام الشيخ هو تجويز الغيبة فيما إذا دلّ العقل والشرع على كون المصلحة الراجعة إلى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أو بالفتح أو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مسألة احترام المؤمن بترك ذلك القول فيه، ولا مانع من دعوى الكلّية فيه، وعليه فمقصود الشيخ أنّ الأدلّة الدالّة على تحريم الغيبة بعنوانها الأوّلي مطلقة سواء انطبقت عليها سائر العناوين المحرّمة أو المحلّلة أم لا، فمع التزاحم في موارد لا يتمكّن المكلّف من الجمع بين امتثال النهي عن الغيبة والإتيان بتكليف آخر يكون الضابط هو ترجيح ما دلّ العقل والنقل على أهمّيته، ولعلّ مقصود الشهيد والمحقّق الكركي هو ذلك أيضاً، وهذا لا يختصّ بباب الغيبة، بل الأمر كذلك في كلّ محرّم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أفاد وأجاد في مصباح الفقاهة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المصنّف تبعاً لجامع المقاصد في ضابطة ترجيح الأهمّ على المهمّ فهو في غاية المتانة والجودة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نقّحناه 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تحصى ثمراته في علم الفقه، إلاّ أنّه لا وجه لذكر هذه الضابطة في المقام؛ فإنّ الكلام هنا متمحّض لبيان مستثنيات الغيبة بحسب التعبّد بالأدلّة الخاصّة، فلا مساس له بلحاظ المناط والعمل بطبق أقوى الملاكين</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القول بأنّه مع التزاحم وأهمّية ما دلّ العقل والنقل عليه تجوز الغيبة مطلقاً، وأمّا سائر الموارد التي لم يدلّ العقل والنقل على أهمّيتها فمع التعارض </w:t>
      </w:r>
    </w:p>
    <w:p>
      <w:pPr>
        <w:pStyle w:val="BookText"/>
        <w:rPr/>
      </w:pPr>
      <w:r>
        <w:rPr>
          <w:rFonts w:ascii="Amiri" w:hAnsi="Amiri" w:eastAsia="Amiri" w:cs="Amiri"/>
          <w:color w:val="111111"/>
          <w:sz w:val="28"/>
          <w:sz w:val="28"/>
          <w:szCs w:val="28"/>
          <w:rtl w:val="true"/>
          <w:lang w:bidi="ar-SA"/>
        </w:rPr>
        <w:t>وكون النسبة بينهما العموم من وجه يسقطان ويرجع إلى أصل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مورد الاجتماع من تقديم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كما هو الحال في كلّ مورد يتعارض فيه الخبر والآية بالعموم من وجه، مع أنّ دلالة الآية على العموم وضعية، فتقدّم على الإطلاقية حتّى فيما إذا كانت الإطلاقية في الآية أيضاً، وتفصيل ذلك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الأخبار العلاجية لا تشمل التعارض بنحو العموم من وجه؛ لاختصاصها بما إذا كانا متعارضين في جميع مدلولهما كما هو مقتضى إطلاق المعارضة، وعليه فلا وجه لتقديم الآية على الرواية المعارضة فيما إذا كانت النسبة بينهما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لسان الرواية لسان التفسير والحكومة فهي مقدّمة على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بين الدلالة الوضعية وبين الدلالة الإطلاقية بعد انعقاد الظهور، فلا موجب لترجيح الوضعية على غيرها لمجرّد كونها وضعية،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النسبة بينهما التباين؛ فإن كان بينهما مرجّح فهو، وإلاّ فإن قلنا بالتخيير فهو، وإلاّ فيسقطان ويرجع إلى أصل آخر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يرد على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قصد الهتك في صدق الغيبة محلّ نظر؛ لما مرّ من أنّه لا دخل للقصد في صدق الغيبة، بل مقتضى إطلاق دليل حرمة الغيبة هو الحكم بالحرمة ولو لم تكن الغيبة بقصد الهتك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للرجالي فيما إذا علم فسق الراوي أن يترك توثيقه؛ فإنّ هذا يكفي في سقوط روايته عن الاعتبار، ولا يلزم التعرّض لفسقه المستور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مدّعي النسب؛ فإنّه يمكن ردّ دعواه بنحو لا يكون ظاهراً في كون دعواه من قبيل </w:t>
      </w:r>
    </w:p>
    <w:p>
      <w:pPr>
        <w:pStyle w:val="BookText"/>
        <w:rPr/>
      </w:pPr>
      <w:r>
        <w:rPr>
          <w:rFonts w:ascii="Amiri" w:hAnsi="Amiri" w:eastAsia="Amiri" w:cs="Amiri"/>
          <w:color w:val="111111"/>
          <w:sz w:val="28"/>
          <w:sz w:val="28"/>
          <w:szCs w:val="28"/>
          <w:rtl w:val="true"/>
          <w:lang w:bidi="ar-SA"/>
        </w:rPr>
        <w:t>التعمّد إلى الكذب،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خطأ وليس لك هذا النسب، فيمكن نصح المؤمن في ذلك المورد بنحو لا يدخل في عنوان الاغتياب، كما إذا قال لأخيه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صلاحاً في تزويج ابنتك من فلان، ولا يلزم أن يظهر أنّه شارب الخمر مثلاً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فاعلم أنّه ذكر الأصحاب صوراً بعنوان أنّها من موارد مزاحمة الأهمّ مع المهمّ‌، وذكر الشيخ الأعظم قدس سره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المستشير؛ فإنّ النصيحة واجبة للمستشير؛ لأنّ خيانته قد تكون أقوى مفسدة من الوقوع في المغتاب، وكذلك النصح من غير استشارة؛ فإنّ من أراد تزويج امرأة وأنت تعلم بقبائحها التي توجب وقوع الرجل من أجلها في الغيبة والفساد فلا ريب أنّ التنبيه 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أوجب الوقيعة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ترك نصح المؤمن، مع ظهور عدّة من الأخبار في وجوبه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ثبت بالدليل حرمة الخيانة لا وجوب النصح خصوصاً بالنسبة إلى غير المستشير، ولا ينافي ذلك كونه من حقوق المؤمن</w:t>
      </w:r>
      <w:r>
        <w:rPr>
          <w:rStyle w:val="FootnoteAnchor"/>
          <w:rtl w:val="true"/>
        </w:rPr>
        <w:footnoteReference w:id="979"/>
      </w:r>
      <w:r>
        <w:rPr>
          <w:rFonts w:ascii="Amiri" w:hAnsi="Amiri" w:eastAsia="Amiri" w:cs="Amiri"/>
          <w:color w:val="111111"/>
          <w:sz w:val="28"/>
          <w:sz w:val="28"/>
          <w:szCs w:val="28"/>
          <w:rtl w:val="true"/>
          <w:lang w:bidi="ar-SA"/>
        </w:rPr>
        <w:t>، فمع عدم ثبوت وجوب النصح كيف يتصوّر التزاحم بين النصح وحرمة الغيبة وجعل النصح أهمّ مطلقاً؟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الاقتصار على كون النصيحة واجبة مع كون المقام من موارد التزاحم كماترى، 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الظاهر أنّ ما نحن فيه من صغريات باب التزاحم لا التعارض؛ فإنّ الغيبة في موارد الاجتماع مأخوذة في مقدّمات النصح وإنّه يتولّد منها ويتوقّف عليها، نظير توقّف إنقاذ الغريق والإتيان بالصلاة على التصرّف في </w:t>
      </w:r>
    </w:p>
    <w:p>
      <w:pPr>
        <w:pStyle w:val="BookText"/>
        <w:rPr/>
      </w:pPr>
      <w:r>
        <w:rPr>
          <w:rFonts w:ascii="Amiri" w:hAnsi="Amiri" w:eastAsia="Amiri" w:cs="Amiri"/>
          <w:color w:val="111111"/>
          <w:sz w:val="28"/>
          <w:sz w:val="28"/>
          <w:szCs w:val="28"/>
          <w:rtl w:val="true"/>
          <w:lang w:bidi="ar-SA"/>
        </w:rPr>
        <w:t>ملك غيره، وعليه فيتّصف كلّ من النصح والغيبة بالأحكام الخمسة حسب اختلاف الموارد بقوّة الملاك وضعفه؛ فإن تساوى الملاكان كان النصح والغيبة مباحين، وإن زاد أحدهما على الآخر كان الزائد متّصفاً بالوجوب أو الاستحباب بقدر ما فيه من زيادة الملاك، وكان الناقص محرّماً أو مكروهاً بمقدار ما فيه من نقصه</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القول بتقدّم النصح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إرشاد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رعاية المصلحة الراجحة موقوفة على الاطّلاع على الملاكات، وأين لنا ذلك‌؟ بل هذه الرعاية من وظيفة الشارع في مقام جعل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 مقام الثبوت، وأمّا في مقام الإثبات فإذا طرأ على غيبة المؤمن عنوان يحتمل معه تبدّل فسادها ولم يكن ذلك العنوان الطارئ مورد الأمر أو الترخيص في شيء من الخطابات الشرعية، فيؤخذ بإطلاق دليل حرمة الغيبة، ومع تعلّق الأمر أو الترخيص بذلك العنوان في خطاب تلاحظ النسبة بينه وبين خطاب النهي عن الغيبة على تفصيل مذكور في بحث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التزاحم بين حرمة الغيبة وتكليف آخر من قبيل التزاحم بين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يتمكّن المكلّف من الجمع بين امتثال النهي عن الغيبة وموافقة التكليف الآخر المتعلّق بفعل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الأهمّ منهما أو محتمله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ظهور الأخبار في وجوب نصح المشير محلّ تأمّل بل منع، ولا بأس بذكرها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ابن عمر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استشار أخاه فلم </w:t>
      </w:r>
    </w:p>
    <w:p>
      <w:pPr>
        <w:pStyle w:val="BookText"/>
        <w:rPr/>
      </w:pPr>
      <w:r>
        <w:rPr>
          <w:rFonts w:ascii="Amiri" w:hAnsi="Amiri" w:eastAsia="Amiri" w:cs="Amiri"/>
          <w:color w:val="111111"/>
          <w:sz w:val="28"/>
          <w:sz w:val="28"/>
          <w:szCs w:val="28"/>
          <w:rtl w:val="true"/>
          <w:lang w:bidi="ar-SA"/>
        </w:rPr>
        <w:t>ينصحه محض الرأي؛ سلبه الله عزّ وجلّ رأيه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النوفلي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استشاره أخوه المؤمن فلم يمحضه النصيحة؛ سلبه الله لبّه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التوعيد في هاتين الروايتين بالعقوبة الدنيوية من سلب اللبّ والرأي لا يدلّ على أزيد من الاستحباب ورجحان العمل؛ فإنّ العقل من أعظم النعم الإلهية، وقد منّ به سبحانه على عباده لهدايتهم، فصرفه إلى غير ما خلق لأجله يوجب الزوال، وهو من النقمات الشديدة، كما أنّ صرفه إلى ما خلق لأجله يوجب المزيّة والاستكمال، ولا شبهة في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 قوله عليه السلام في رواية عباية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وانصح لمن استشارك</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إرشاد إلى ما ذكرناه، فيكون محمولاً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الروايات المذكورة كلّها مجهولة الرواة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فدعوى وجوب تقديم النصيحة على الغيبة مطلقاً بملاك الأهمّية محلّ تأمّل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القول بتقديمها إذا كانت أهمّ من مفسدة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 بأن يقول للمفتي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فلان في حقّي، فكيف طريقي في الخلاص‌؟ هذا إذا كان الاستفتاء موقوفاً على ذكر الظالم بالخصوص، وإلاّ فلا يجوز</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الشيخ الأعظم قدس سره بصحيحة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p>
    <w:p>
      <w:pPr>
        <w:pStyle w:val="BookText"/>
        <w:rPr/>
      </w:pPr>
      <w:r>
        <w:rPr>
          <w:rFonts w:ascii="Amiri" w:hAnsi="Amiri" w:eastAsia="Amiri" w:cs="Amiri"/>
          <w:color w:val="111111"/>
          <w:sz w:val="28"/>
          <w:sz w:val="28"/>
          <w:szCs w:val="28"/>
          <w:rtl w:val="true"/>
          <w:lang w:bidi="ar-SA"/>
        </w:rPr>
        <w:t>رجل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 لا تدفع يد لامس،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فقيّدها؛ فإنّك لا تبرّها بشيء أفضل من أن تمنعها عن محارم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كونها متجاهرة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يظهر لنا من الرواية كون المرأة معروفة عند النبيّ صلى الله عليه وآله، وقد عرفت فيما سبق اعتبار العلم بالمغتاب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الغيبة، وذكرها بعنوان الاُمومة لا يستلزم التعيين، ويتّفق نظير ذلك كثيراً للمراجع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المذكور في الرواية قضيّة شخصية، وخصوصيّاتها مجهولة لنا، فيحتمل أن تكون الاُمّ متجاهرة بالزنا، كما هو الظاهر من قول ابنها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اُمّي لا تدفع يد لامس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فلا مجال لاستصحاب عدم التجاهر كما صنعه المصنّف، على أنّه لا يترتّب عليه أثر إلاّ على القول بالأصل المثبت</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أنّه يكفي في المعلومية إضافة المرأة بعنوان الاُمومة إلى نفسه؛ فإنّها معلومة بالإضافة المذكورة، وذكر عيبها إظهار لما ستره الله عليها، فتشمله أدلّة حرمة الغيبة، ولا يلزم في المعلومية العلم بالاسم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ذكرها بعنوان الاُمومة لا يستلزم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من أنّ الاُمومة المضافة إلى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المعلومية، ويصدق على ذكرها بالسوء كشف ما ستره الله، وتكره الاُمّ ذلك إذا سمعت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كون الاُمّ متجاهرة بالزنا مع تخصيص الخطاب بالابن منفيّ‌؛ لأنّ‌ </w:t>
      </w:r>
    </w:p>
    <w:p>
      <w:pPr>
        <w:pStyle w:val="BookText"/>
        <w:rPr/>
      </w:pPr>
      <w:r>
        <w:rPr>
          <w:rFonts w:ascii="Amiri" w:hAnsi="Amiri" w:eastAsia="Amiri" w:cs="Amiri"/>
          <w:color w:val="111111"/>
          <w:sz w:val="28"/>
          <w:sz w:val="28"/>
          <w:szCs w:val="28"/>
          <w:rtl w:val="true"/>
          <w:lang w:bidi="ar-SA"/>
        </w:rPr>
        <w:t>منع المتجاهرة بالزنا وظيفة جميع المسلمين لا خصوص ابن المتجاهرة، ولا يجوز التجاوز من المرتبة الأدنى إلى المرتبة الأعلى مع إمكان الانتهاء بالدانية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الإطلاق باحتمال كون القضيّة شخصية لا وجه له بعد كون الناقل هو الإمام الصادق عليه السلام؛ فإنّ نقله عليه السلام يشهد على أنّ القضيّة ليست بشخصية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يؤخذ بالقدر المتيقّن منه؛ وهو ما إذا كان الاستفتاء موقوفاً على ذكر المغتاب، ولا بأس بذلك؛ لأهمّية تعلّم الأحكام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وضوح عدم كون المرأة متجاهرة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إجراء استصحاب عدم التجاهر حتّى يرد عليه بأنّه لا أثر له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الغيبة بعد تخصيص الأدلّة بالمتجاهر بالفسق مركّب؛ وهو هتك ستر المسلم غير المتجاهر بالفسق، ومعه يجري استصحاب عدم كون هذا المسلم متجاهراً ولو بالعدم الأزلي، فيثبت موضوع الحرمة جزءاً بالوجدان وهو كونه مسلماً، وجزءاً بالتعبّد وهو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الاستفتاء إذا توقّف على الغيبة يوجب رفع حرمة الغيبة؛ لأهمّية تعلّم الأحكام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ردع المغتاب عن المنكر الذي يفعله؛ فإنّه أولى من ستر المنكر عليه، فهو في الحقيقة إحسان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أدلّة النهي عن المنكر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الأوّل أخصّ من المدّعى؛ إذ ربّما لا يرتدع المقول فيه عن فعل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الغيبة محرّمة على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الإحسان بالأمر المحرّم؛ فإنّه إنّما يتقبّل الله من المتّقين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وبأنّ الدليل الثاني منصرف عن المقام؛ لأنّه لا يجوز ردع المنكر بالمنكر؛ وإلاّ لجاز ردع الزناة بالزنا بأعراضهم، وردع السرّاق بسرقة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ردع ذلك المنكر مطلوباً من كلّ أحد؛ وإلاّ وجب ردعه على كلّ من اطّلع عليه بأيّ نحو اتّفق، كمن تصدّى لقتل النفوس المصونة وهتك الأعراض المحترمة وأخذ الأموال الخطيرة، فإنّ منعه واجب بما هو أعظم من الغيبة فضلا عنها؛ لأنّ حفظ الاُمور المذكورة أهمّ في نظر الشارع من ترك الغيبة ونحوها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تحمل صحيحة عبدالله بن سنان الدالّة على حبس الاُمّ وتقييدها مع أنّهما محرّمان بالأولوية؛ لوضوح حرمة التأفيف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منها وجوب منعها عن المنكر بما ذكر، بل غاية مدلولها جواز المنع أو استحبابه في مورد توقّف المنع على مثل الضرب والحبس أو اتّحاده معهما وعدم إمكان المنع بغيرهما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فقيّدها؛ فإنّك لا تبرّها بشيء أفضل من أن تمنعها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لا ينافي وجوب المنع المستفاد من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قاعدة الأهمّ والمهمّ قاعدة عقلائية لم يردع عنها الشارع، فهي حجّة، ولا حاجة في حجّيّتها إلى الاستدلال بمثل الصحيحة، فتدبّر جيّداً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حسم مادّة فساد المغتاب عن الناس، كالمبتدع الذي يخاف من إضلاله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مصلحة دفع الفتنة عن الناس أولى من ستر عيوب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الكافي بسنده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 لكم به الدرجات</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حفظ الدين توجب الترخيص أو الوجوب في غيبة المبدع وإظهار البراءة ونحوهما ممّا يدفع شرّ المبدع عن المجتمع الإسلامي، والكلّية في هذا العنوان محفوظة، وجعله من موارد تزاحم الأهمّ والمهمّ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الشهود،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دلّ على جوازه، ولأنّ مصلحة عدم الحكم بشهادة الفسّاق أولى من الستر على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بل أولى بالجواز جرح الرواة؛ فإنّ مفسدة العمل برواية الفاسق أعظم من مفسدة شهادته، ويلحق بذلك الشهادة بالزنا وغيره لإقامة الحدود</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المهتمّ به عن المغتاب، كالقتل وهتك العرض وغصب الأموال ونحوها ممّا يكون حفظها أهمّ في الشريعة المقدّسة من ستر ما فيه من العيوب، ولا إشكال فيه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الأعظم قدس سره حمل عليه ما ورد في ذمّ زرارة من عدّة أحاديث، وقد بيّن ذلك الإمام عليه السلام بقوله في بعض ما أمر عليه السلام عبدالله بن زرارة بتبليغ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منّي على والدك السلام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أعيبك دفاعاً منّي عنك؛ فإنّ الناس يسارعون إلى كلّ من قرّبناه ومجّدناه لإدخال الأذى فيمن نحبّه ونقرّبه، ويذمّونه لمحبّتنا له وقربه ودنوّه منّا ويرون </w:t>
      </w:r>
    </w:p>
    <w:p>
      <w:pPr>
        <w:pStyle w:val="BookText"/>
        <w:rPr/>
      </w:pPr>
      <w:r>
        <w:rPr>
          <w:rFonts w:ascii="Amiri" w:hAnsi="Amiri" w:eastAsia="Amiri" w:cs="Amiri"/>
          <w:color w:val="111111"/>
          <w:sz w:val="28"/>
          <w:sz w:val="28"/>
          <w:szCs w:val="28"/>
          <w:rtl w:val="true"/>
          <w:lang w:bidi="ar-SA"/>
        </w:rPr>
        <w:t xml:space="preserve">إدخال الأذى عليه وقتله، ويحمدون كلّ من عيّبناه نحن، وإنّما أعيبك لأنّك رجل اشتهرت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بميلك إلينا، وأنت في ذلك مذموم عند الناس؛ غير محمود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لمودّتك لنا وميلك إلينا، فأحببت أن أعيبك ليحمدوا أمرك في الدين بعيبك ونقصك، ويكون ذلك منّا دافع شرّهم عنك،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التنزيل من عند الله، ألا والله ما عابها إلاّ لكي تسلم من الملك ولا تغصب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صالحةً ليس للعيب فيها مساغ،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والله أحبّ الناس إليّ‌، وأحبّ أصحاب أبي إلىّ حيّاً وميّتاً، وإنّك أفضل سفن ذلك البحر القمقام العظيم الزاخر، وإنّ وراءك لملكاً ظلوماً غصوباً يرقب عبور كلّ سفينة صالحة ترد من بحر الهدى ليأخذها غصباً ويغصب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فرحمة الله عليك حيّاً، ورحمة الله عليك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مصباح الفقاهة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إظهار ما ستره الله عليه، ومن الواضح أنّه لم يكن في زرارة عيب دينيّ ليكون ذكره غيبة</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التهمة إذا جازت دفعاً للضرر المهتمّ به جازت الغيبة؛ لإلغاء الخصوصية أو للأولوية، ولعدم الخصوصية ألحق الشيخ الأعظم قدس سره بذلك الغيبة للتقيّة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ويلحق بذلك الغيبة للتقيّة على نفس المتكلّم أو ماله أو عرضه أو عن ثالث؛ </w:t>
      </w:r>
    </w:p>
    <w:p>
      <w:pPr>
        <w:pStyle w:val="BookText"/>
        <w:rPr/>
      </w:pPr>
      <w:r>
        <w:rPr>
          <w:rFonts w:ascii="Amiri" w:hAnsi="Amiri" w:eastAsia="Amiri" w:cs="Amiri"/>
          <w:color w:val="111111"/>
          <w:sz w:val="28"/>
          <w:sz w:val="28"/>
          <w:szCs w:val="28"/>
          <w:rtl w:val="true"/>
          <w:lang w:bidi="ar-SA"/>
        </w:rPr>
        <w:t>فإنّ الضرورات تبيح المحظورات</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ادّعى نسباً ليس له،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مصلحة حفظ الأنساب أولى من مراعاة حرمة المغتاب</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مصباح الفقاهة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أهمّية حفظ الأنساب ثابتة فيما إذا ترتّب على النسب أثر شرعي من التوارث والنظر إلى النساء ونحوها، وأمّا إذا لم يترتّب عليه أثر شرعي أو ترتّب الأثر على دعوى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ادّعاه لصيانة نفسه أو عرضه أو ماله من إصابة الظالم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الغيبة بردّ هذه الدعوى، ومع الشكّ في مورد يرجع إلى المطلقات الدالّة على حرمة الغيبة على وجه الإطلاق؛ لأنّ الشبهة وإن كانت مصداقية إلاّ أنّ التخصيص من جهة المزاحمة، فلابدّ من الاقتصار على المتيقّن</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مقالة باطلة وإن دلّ على نقصان قائلها إذا توقّف حفظ الحقّ وإضاعة الباطل عليه،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وقع من بعض العلماء بالنسبة إلى من تقدّم عليه منهم من الجهر بالسوء من القول، فلم يعرف له وجه مع شيوعه بينهم من قديم الأيّام</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القدح في المقالة الباطلة أجنبيّ عن الغيبة، وإن صحّ القول بالحرمة فيما إذا كان القدح بمثل الفحش والشتم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كونه أجنبيّاً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القدح المذكور يكشف به عيب المقالة لا عيب صاحب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استلزم </w:t>
      </w:r>
    </w:p>
    <w:p>
      <w:pPr>
        <w:pStyle w:val="BookText"/>
        <w:rPr/>
      </w:pPr>
      <w:r>
        <w:rPr>
          <w:rFonts w:ascii="Amiri" w:hAnsi="Amiri" w:eastAsia="Amiri" w:cs="Amiri"/>
          <w:color w:val="111111"/>
          <w:sz w:val="28"/>
          <w:sz w:val="28"/>
          <w:szCs w:val="28"/>
          <w:rtl w:val="true"/>
          <w:lang w:bidi="ar-SA"/>
        </w:rPr>
        <w:t>قدحها لذلك في بعض الأحيان أو الموارد فلا يكون أجنبيّاً عن الغيبة، ولكن مع ذلك يجوز إذا كان القدح أهمّ‌،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بعض ما ذكروه لصحّة جعله من موارد تكون مصلحة كشف ما ستره الله فيها أهمّ من مفسدته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إنّهم ذكروا موارد اُخرى للاستثناء لا حاجة إلى ذكرها بعد ما قدّمنا أنّ الضابط في الرخصة وجود مصلحة غالبة على مفسدة هتك احترام المؤمن، وهذا يختلف باختلاف تلك المصالح ومراتب مفسدة هتك المؤمن، فإنّها مندرجة في القوّة والضعف، فربّ مؤمن لا يساوي عرضَه شيء من المصالح، فالواجب التحرّي في الترجيح بين المصلحة والمفسدة</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مورد تكون مصلحة الغيبة فيه أهمّ من مفسدتها فلا إشكال في تجويزها، وأمّا استثناء الموارد بالعناوين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كنصح المستشير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أكثرها عن الإشكال والنظر؛ لما عرفت من عدم كون مواردها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حان الوقت لذكر الموارد الخاصّة، ولا يخفى عليك أنّ الأصحاب ذكروا موارد بعنوان الاستثناء من دون تقييدها بالمصلحة فضلاً عن الأهميّة 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المغتاب متجاهراً بالفسق، ولا إشكال فيه بعدما عرفت من أنّ الغيبة هي إظهار لما ستره الله عليه؛ فإنّ ذكر فسق المتجاهر حينئذ ليس إظهاراً لما ستره الله عليه، بل هو خارج موضوعاً عن الغيبة، فيجوز ذلك لو لم يترتّب عليه عنوان من العناوين المحرّمة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الأمر لو اعتبرنا الكراهة في حقيقة الغيبة؛ لأنّ المتجاهر بالفسق لا يكره أن يُغتاب فيما تجاهر به؛ ولذا قال الشيخ الأعظم قدس سره في تعليل جواز غيبة المتجاهر بالفسق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لا يبالي بظهور فسقه بين الناس لا يكره ذكره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مقام ذمّه كرهه من حيث المذمّة، لكنّ المذمّة على الفسق المتجاهر به لا تحرم كما لا يحرم لعنه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عدم صدق الغيبة بأحد الوجهين فلا حاجة في جواز ذكر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المتجاهر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إقامة الأدلّة عليه؛ لما عرفت من أنّ ذكر العيب المتجاهر به خارج عن الغيبة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أفاد وأجاد في مصباح الفقاهة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 في معنى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عبارة عن كشف ما ستره الله على العباد، وأيّدناه ببعض الروايات، فيكون المتجاهر بالفسق خارجاً عن حدود الغيبة تخصّصاً وموضوعاً؛ لأنّه قد كشف ستره بنفسه قبل أن يكشفه المغتاب، بالكسر</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أبيت عن ذلك فاعلم أنّهم استدلّوا لاستثناء غيبة المتجاهر بأخبار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كان ممّن حرمت غيبته وكملت مروءته وظهر عدله ووجبت اُخوّته</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مفهومها هو انتفاء حرمة الغيبة مع انتفاء الشروط المذكورة، وهذا المفهوم بإطلاقه يشمل المتجاهر بالفسق</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في بلغة الطالب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فظاهره اعتبار العدالة فيمن تحرم غيبته، وهو خلاف الإجماع، والالتزام بعدم المفهوم له أولى من الالتزام بعمومه ودعوى خروج ما خرج بالإجماع بأنّ هذا تخصيص مستهجن</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لعدم ثبوت المفهوم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الموثّقة هو ترتّب مجموع الأحكام المذكورة في الجزاء على مجموع الشروط المذكورة، فيكون مفهومها انتفاء المجموع بانتفاء مجموع الشروط، وهو في حكم الموجبة الجزئية بالنسبة إلى الجواز، ولا ينافي ثبوت بعض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الغيبة في فرض انتفاء مجموع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آخر كالفاسق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القضيّة في ترتّب كلّ واحد من الأحكام المذكورة على الشرط</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لعدم ثبوت ظهور القضيّة في ذلك بعد احتمال ترتّب المجموع على المجموع، وعليه فالمفهوم هو جواز غيبة غير الذي اُحرزت عدالته في الجملة، ولا عموم ولا إطلاق له حتّى يحتاج إلى التخصيص، ويمكن تعيين المفهوم بالإجماع على حرمة غيبة الفاسق مع عدم التجاهر، فيدلّ مفهوم الرواية حينئذ مع الإجماع المذكور على جواز غيبة الفاسق المتجاهر، ولا يلزم منه تخصيص ولا استهجان كما لا يخفى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المفهوم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المفهوم هو جواز غيبة الفاسق المحرز فسقه سواء كان متجاهراً أو متستّراً؛ حيث إنّ المذكورات في الشرط بمجموعها طريق إلى عدالة الشخص، فيكون إحرازها إحرازاً لعدالته، وإحراز خلافها إحرازاً لفسقه، </w:t>
      </w:r>
    </w:p>
    <w:p>
      <w:pPr>
        <w:pStyle w:val="BookText"/>
        <w:rPr/>
      </w:pPr>
      <w:r>
        <w:rPr>
          <w:rFonts w:ascii="Amiri" w:hAnsi="Amiri" w:eastAsia="Amiri" w:cs="Amiri"/>
          <w:color w:val="111111"/>
          <w:sz w:val="28"/>
          <w:sz w:val="28"/>
          <w:szCs w:val="28"/>
          <w:rtl w:val="true"/>
          <w:lang w:bidi="ar-SA"/>
        </w:rPr>
        <w:t>وترتّب حرمة الاغتياب على صورة الطريق إلى عدالته مقتضاه عدم الحرمة في الصورة الثانية؛ كان متجاهراً بفسقه أم لا، والمفهوم المزبور أخصّ ممّا دل على حرمة اغتياب المؤمن، فيرفع اليد عن إطلاقه بالمفهوم، فيختصّ ما دلّ على حرمة الاغتياب بما إذا لم يظهر فسق المغتاب، ولا فرق في جوازها مع ظهوره بين كونه متجاهراً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أنّه يرفع اليد عن إطلاق المفهوم بالتقييد الوارد في 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فيها بعد السؤال عن العدالة في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بالستر والعفاف، وكفّ البطن والفرج واليد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ساتراً لجميع عيوبه؛ حتّى يحرم على المسلمين ما وراء ذلك من عثراته وعيوبه وتفتيش ما وراء ذلك</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اعتبار الستر في حرمة الفحص عن عيوبه، فيجوز مع عدم الستر، ولا يحتمل الفرق في الجواز وعدمه بين التفتيش عن سائر عيوبه وبين إظهارها بعد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الصحيحة مع رواية هارون بن الجهم قرينتان على رفع اليد عن إطلاق المفهوم في الموثّقة</w:t>
      </w:r>
      <w:r>
        <w:rPr>
          <w:rStyle w:val="FootnoteAnchor"/>
          <w:rtl w:val="true"/>
        </w:rPr>
        <w:footnoteReference w:id="1006"/>
      </w:r>
      <w:r>
        <w:rPr>
          <w:rFonts w:ascii="Amiri" w:hAnsi="Amiri" w:eastAsia="Amiri" w:cs="Amiri"/>
          <w:color w:val="111111"/>
          <w:sz w:val="28"/>
          <w:sz w:val="28"/>
          <w:szCs w:val="28"/>
          <w:rtl w:val="true"/>
          <w:lang w:bidi="ar-SA"/>
        </w:rPr>
        <w:t>، فينحصر مفهومها في المتجاهر بالفسق، ولا يجوز غيبة الفاسق غير المتجاهر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فإنّ مفهوم الموثّقة لا إطلاق له كما عرفت؛ فإنّ انتفاء المجموع بانتفاء المجموع لا يفيد إلاّ القضيّة الجزئية، ومع عدم الإطلاق لا حاجة إلى تقييد المفهوم المذكور بالتجاهر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التعدّي عن التفتيش إلى إظهار العيوب بالغيبة محلّ تأمّل ومنع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أفاد وأجاد في بلغة الطالب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حرمة الفحص والتفتيش عن العيوب لا ربط لها بحرمة الغيبة</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أن يستدلّ بمفهوم موثّقة سماعة بن مهران على جواز غيبة المتجاهر بعد تعيّنه بالإجماع القائم على حرمة غيبة الفاسق المتستّر؛ فإنّ جواز الغيبة حينئذ ينحصر في المتجاهر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المذكورة ضعيفة بعثمان بن عيسى الموجود في طريقها، لعدم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نقل صفوان عنه؛ لأنّه لا يروي ولا يرسل إلاّ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نقل الأجلاّء عنه وعدّ بعضهم إيّاه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صالح بن عقبة عن علقمة عن الصادق عليه السلام،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 أو لم يشهد عليه بذلك شاهدان فهو من أهل العدالة والستر، وشهادته مقبولة وإن كان في نفسه مذنباً، ومن اغتابه بما فيه فهو خارج من ولاية الله؛ داخل في ولاية الشيطان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ترتّب حرمة بالاغتياب وقبول الشهادة على كونه من أهل الستر وكونه من أهل العدالة على طريق اللفّ والنشر، أو على اشتراط الكلّ بكون الرجل لم تُرَ منه المعصية ولم يُسْهَد عليه بها، ومقتضى المفهوم جواز الاغتياب مع عدم الشرائط، خرج منه غير المتجاهر وبقي الباقي في المفهوم؛ وهو الفاسق المتجاهر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من ناحية صالح بن عقبة وعلقمة؛ فإنّهما لم يوثّقا</w:t>
      </w:r>
      <w:r>
        <w:rPr>
          <w:rFonts w:eastAsia="Amiri" w:cs="Amiri" w:ascii="Amiri" w:hAnsi="Amiri"/>
          <w:color w:val="111111"/>
          <w:sz w:val="28"/>
          <w:szCs w:val="28"/>
          <w:rtl w:val="true"/>
          <w:lang w:bidi="ar-SA"/>
        </w:rPr>
        <w:t xml:space="preserve">. </w:t>
      </w:r>
      <w:bookmarkStart w:id="551" w:name="pg17323_406339"/>
    </w:p>
    <w:p>
      <w:pPr>
        <w:pStyle w:val="BookText"/>
        <w:rPr/>
      </w:pPr>
      <w:bookmarkEnd w:id="551"/>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ظاهرها اعتبار العدالة في حرمة الغيبة، وهو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مفهومها جواز غيبة الرجل لمن يشاهد صدور المعصية منه أو إذا شهد عليه بها شاهدان، وعليه فتنححصر موارد الأدلّة الدالّة على حرمة الغيبة بالعيوب البدنية والأخلاقية؛ فإنّ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من العلم حين يغتاب؛ وإلاّ كان من البهتان لا من الغيبة، وهذا خلاف صراحة غير واحدة من الروايات الدالّة على حرمتها، على أنّه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من الخطاب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الكلّي والقضيّة الحقيقية، وكان معناه أنّ صدور المعصية منه بمرأى من الناس ومسمع منهم بحيث يرى الناس ويرونه وهو يوقع المعصية، لسلم</w:t>
      </w:r>
      <w:r>
        <w:rPr>
          <w:rStyle w:val="FootnoteAnchor"/>
          <w:rtl w:val="true"/>
        </w:rPr>
        <w:footnoteReference w:id="1009"/>
      </w:r>
      <w:r>
        <w:rPr>
          <w:rFonts w:ascii="Amiri" w:hAnsi="Amiri" w:eastAsia="Amiri" w:cs="Amiri"/>
          <w:color w:val="111111"/>
          <w:sz w:val="28"/>
          <w:sz w:val="28"/>
          <w:szCs w:val="28"/>
          <w:rtl w:val="true"/>
          <w:lang w:bidi="ar-SA"/>
        </w:rPr>
        <w:t>عن هذا الإشكال</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كلام في جواز غيبة المتجاهر فيما تجاهر به؛ لخروجها عنها تخصّصاً، وإن أبيت عن ذلك أمكن الاستدلال للجواز بمفهوم موثّقة سماعة بن مهران بالتقريب المذكور آنفاً</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876198_1280447820"/>
      <w:bookmarkStart w:id="553" w:name="_Toc204"/>
      <w:bookmarkEnd w:id="552"/>
      <w:r>
        <w:rPr>
          <w:rtl w:val="true"/>
        </w:rPr>
        <w:t>تنبيهات</w:t>
      </w:r>
      <w:r>
        <w:rPr>
          <w:rtl w:val="true"/>
        </w:rPr>
        <w:t>:</w:t>
      </w:r>
      <w:bookmarkEnd w:id="553"/>
    </w:p>
    <w:p>
      <w:pPr>
        <w:pStyle w:val="Heading5"/>
        <w:numPr>
          <w:ilvl w:val="4"/>
          <w:numId w:val="1"/>
        </w:numPr>
        <w:rPr/>
      </w:pPr>
      <w:bookmarkStart w:id="554" w:name="__RefHeading___Toc876200_1280447820"/>
      <w:bookmarkStart w:id="555" w:name="_Toc205"/>
      <w:bookmarkEnd w:id="554"/>
      <w:r>
        <w:rPr>
          <w:rtl w:val="true"/>
        </w:rPr>
        <w:t>التنبيه الأوّل</w:t>
      </w:r>
      <w:r>
        <w:rPr>
          <w:rtl w:val="true"/>
        </w:rPr>
        <w:t xml:space="preserve">: </w:t>
      </w:r>
      <w:r>
        <w:rPr>
          <w:rtl w:val="true"/>
        </w:rPr>
        <w:t>في جواز غيبة المتجاهر فيما تجاهر به</w:t>
      </w:r>
      <w:bookmarkEnd w:id="55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غيبة المتجاهر فيما تجاهر به ولو مع عدم قصد غرض صحيح، ولم أجد من قال باعتبار قصد الغرض الصحيح وهو ارتداعه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عن الشهيد الثاني احتمال اعتبار </w:t>
      </w:r>
      <w:bookmarkStart w:id="556" w:name="pg17323_406340"/>
    </w:p>
    <w:p>
      <w:pPr>
        <w:pStyle w:val="BookText"/>
        <w:rPr/>
      </w:pPr>
      <w:bookmarkEnd w:id="556"/>
      <w:r>
        <w:rPr>
          <w:rFonts w:ascii="Amiri" w:hAnsi="Amiri" w:eastAsia="Amiri" w:cs="Amiri"/>
          <w:color w:val="111111"/>
          <w:sz w:val="28"/>
          <w:sz w:val="28"/>
          <w:szCs w:val="28"/>
          <w:rtl w:val="true"/>
          <w:lang w:bidi="ar-SA"/>
        </w:rPr>
        <w:t>قصد النهي عن المنكر في جواز سبّ المتجاهر، مع اعترافه بأنّ ظاهر النصّ والفتوى عدمه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العمل بالإطلاقات المتقدّمة الدالّة على نفي الغيبة عن المتجاهر بالفسق هو عدم اعتبار قصد الغرض الصحيح في جواز غيبة المتجاهر بالفسق؛ إذ لم يتقيّد المطلقات بالقصد المذكور، كما أنّ ذلك أيضاً مقتضى ما ذكرنا من خروج ذكر المتجاهر بالفسق عن تعريف الغيبة موضوعاً؛ إذ لم يتقيّد عنوان الغيبة بأكثر من كونها كشفاً لما ستره الله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الستر مع التجاهر بالفسق لا يصدق سواء قصد الغرض الصحيح أم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خروج ذكر المتجاهر عن تعريف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التخصيص، فمقتضى إطلاق المفهوم في المطلقات الدالّة على حرمة غيبة العدول هو جواز غيبة الفاسق، وحيث إنّ غيبة الفاسق غير المتجاهر ممنوعة بالإجماع فيبقى جواز غيبة الفاسق المتجاهر، ومقتضى إطلاق ذلك هو جواز غيبته سواء كان الغرض من الغيبة صحيحاً أم لم يكن، فتأمّل؛ لعدم ثبوت الإطلاق</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876202_1280447820"/>
      <w:bookmarkStart w:id="558" w:name="_Toc206"/>
      <w:bookmarkEnd w:id="557"/>
      <w:r>
        <w:rPr>
          <w:rtl w:val="true"/>
        </w:rPr>
        <w:t>التنبيه الثاني</w:t>
      </w:r>
      <w:r>
        <w:rPr>
          <w:rtl w:val="true"/>
        </w:rPr>
        <w:t xml:space="preserve">: </w:t>
      </w:r>
      <w:r>
        <w:rPr>
          <w:rtl w:val="true"/>
        </w:rPr>
        <w:t>هل يجوز اغتياب المتجاهر في غير ما تجاهر به‌؟</w:t>
      </w:r>
      <w:bookmarkEnd w:id="558"/>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اغتياب المتجاهر في غير ما تجاهر به‌؟</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الشهيد الثاني وغيره بعدم الجواز، وحكي عن الشهيد أيضاً، وظاهر الروايات النافية لاحترام المتجاهر وغير الساتر هو الجواز، واستظهره في الحدائق من كلام جملة من الأعلام، وصرّح به بعض الأساطين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إلحاق ما يتستّر به بما يتجاهر فيه إذا كان دونه في القبح، فمن تجاهر باللواط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اغتيابه بالتعرّض للنساء الأجانب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تجاهر بقطع الطرق جاز اغتيابه بالسرقة، ومن تجاهر بكونه جلاّد السلطان يقتل الناس وينكّلهم جاز اغتيابه بشرب الخمر، ومن تجاهر بالقبائح المعروفة جاز اغتيابه بكلّ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تجاهر بمعصية خاصّة وعدّ مستوراً بالنسبة إلى غيرها، كبعض عمّال 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المعاصي التي دون ما تجاهر بها في القبح وبين غيرها؛ فيجوز اغتيابه في الحالة الاُولى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مصباح الفقاهة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بالتفصيل المذكور لا دليل عليه بوجه؛ فإنّ بعض الناس قد يتجاهر بالذنوب الكبيرة كقتل النفوس المحترمة وشرب الخمور وأكل أموال الناس ومع ذلك يتستّر فيما هو دونها، كإيذاء الجار والنظر إلى الأجنبيّات وترك العبادات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تجاهر في معصية جاز اغتيابه بها وبلوازمها، فإذا تجاهر بشرب الخمر جاز اغتيابه بتهيئة مقدّمات الشرب من الشراء والحمل أو الصنع؛ فإنّ الالتزام بشيء التزام بلوازمه، ومن ألقى جلباب الحياء في معصية ألقى جلبابه في لوازمه أيضاً، وعليه فيدور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بالجواز مطلقاً، وبين القول بعدم الجواز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هو جواز اغتياب المتجاهر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ولكنّك قد عرفت ضعف الروايات المذكورة، فلا يمكن التمسّك بإطلاقها، وعليه فالاقتصار على المقدار المتيقّن يقتضي عدم جواز غيبة المتجاهر بغير ما تجاهر فيه وفي لوازمه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جواز اغتياب المتجاهر بما تجاهر به هو عدم صدق الغيبة </w:t>
      </w:r>
      <w:bookmarkStart w:id="559" w:name="pg17323_406342"/>
    </w:p>
    <w:p>
      <w:pPr>
        <w:pStyle w:val="BookText"/>
        <w:rPr/>
      </w:pPr>
      <w:bookmarkEnd w:id="559"/>
      <w:r>
        <w:rPr>
          <w:rFonts w:ascii="Amiri" w:hAnsi="Amiri" w:eastAsia="Amiri" w:cs="Amiri"/>
          <w:color w:val="111111"/>
          <w:sz w:val="28"/>
          <w:sz w:val="28"/>
          <w:szCs w:val="28"/>
          <w:rtl w:val="true"/>
          <w:lang w:bidi="ar-SA"/>
        </w:rPr>
        <w:t xml:space="preserve">حقيقةً على ذكر العيب الذي تجاهر به؛ لأنّ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إظهار ما ستره الله،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إظهار ما ستره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صادقاً على ذكر عيب المتجاهر الذي تجاهر به، بخلاف العيب الذي لم يتجاهر به؛ فإنّ الغيبة صادقة على ذكره، وبعد صدق الغيبة تشمله عمومات حرمة الغيبة، ولا دليل على رفع اليد عن تلك العمومات؛ إذ مفهوم موثّقة سماعة بن مهران في حكم الجزئي، والقدر المتيقّن منه هو جواز غيبة المتجاهر فيما تجاهر به، ومعه لا مجال لتجويز غيبة المتجاهر في غير ما تجاهر به، فلا تغفل</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876204_1280447820"/>
      <w:bookmarkStart w:id="561" w:name="_Toc207"/>
      <w:bookmarkEnd w:id="560"/>
      <w:r>
        <w:rPr>
          <w:rtl w:val="true"/>
        </w:rPr>
        <w:t>التنبيه الثالث</w:t>
      </w:r>
      <w:r>
        <w:rPr>
          <w:rtl w:val="true"/>
        </w:rPr>
        <w:t xml:space="preserve">: </w:t>
      </w:r>
      <w:r>
        <w:rPr>
          <w:rtl w:val="true"/>
        </w:rPr>
        <w:t>في المراد من المتجاهر بالفسق</w:t>
      </w:r>
      <w:bookmarkEnd w:id="561"/>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بالمتجاهر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تجاهر بالقبيح بعنوان أنّه قبيح، فلو تجاهر به مع إظهار محمل لا يعرف فساده 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من عمّال الظلمة وادّعى في ذلك عذراً مخالفاً للواقع أو غير مسموع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متجاهراً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اعتذاره واضح الفساد لم يخرج عن المتجاهر</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أوضح ذلك في مصباح الفقاهة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من مطاوي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صدق التجاهر بالفسق أن يكون المتجاهر به ممّا يوجب الفسق والخروج عن العدالة، فلو ارتكب أحدٌ الحرام الواقعي لشبهة حكمية أو موضوعية فإنّه ليس بمذنب، فضلا عن كونه متجاهراً بالفسق</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876206_1280447820"/>
      <w:bookmarkStart w:id="563" w:name="_Toc208"/>
      <w:bookmarkEnd w:id="562"/>
      <w:r>
        <w:rPr>
          <w:rtl w:val="true"/>
        </w:rPr>
        <w:t>التنبيه الرابع</w:t>
      </w:r>
      <w:r>
        <w:rPr>
          <w:rtl w:val="true"/>
        </w:rPr>
        <w:t xml:space="preserve">: </w:t>
      </w:r>
      <w:r>
        <w:rPr>
          <w:rtl w:val="true"/>
        </w:rPr>
        <w:t>في حكم غيبة المتجاهر في غير بلده إذا كان مستور الفسق عندهم</w:t>
      </w:r>
      <w:bookmarkEnd w:id="563"/>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متجاهراً عند أهل بلده أو محلّته؛ مستوراً عند غيرهم، هل يجوز ذكره عند غيرهم أو لا؟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إشكال؛ من إمكان دعوى ظهور روايات الرخصة فيمن لا يستنكف عن الاطّلاع على عمله مطلقاً، فربّ متجاهر في بلد متستّر في بلاد الغربة أو </w:t>
      </w:r>
    </w:p>
    <w:p>
      <w:pPr>
        <w:pStyle w:val="BookText"/>
        <w:rPr/>
      </w:pPr>
      <w:r>
        <w:rPr>
          <w:rFonts w:ascii="Amiri" w:hAnsi="Amiri" w:eastAsia="Amiri" w:cs="Amiri"/>
          <w:color w:val="111111"/>
          <w:sz w:val="28"/>
          <w:sz w:val="28"/>
          <w:szCs w:val="28"/>
          <w:rtl w:val="true"/>
          <w:lang w:bidi="ar-SA"/>
        </w:rPr>
        <w:t>في طريق الحجّ والزيارة؛ لئلاّ يقع عن عيون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كان الأصل في المؤمن الاحترام على الإطلاق وجب الاقتصار على ما تيقّن خروجه، فالأحوط الاقتصار على ذكر المتجاهر بما لا يكرهه لو سمعه ولا يستنكف من ظهوره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تأذّى من ذمّه بذلك دون ظهوره لم يقدح في الجواز؛ ولذا جاز سبّه بما لا يكون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 السبّ والغيبة؛ حيث إنّ مناط الأوّل المذمّة والتنقيص فيجوز، ومناط الثاني إظهار عيوبه فلا يجوز إلاّ بمقدار الرخصة</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السيّد المحقّق الخوئي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العمل بالمطلقات هو جواز غيبة المتجاهر مطلقاً بمجرّد تجاهره بمعصية من المعاصي، فيكون التجاهر ولو في معصية واحدة علّة تامّة لجواز الغيبة، وعليه فلا يفرّق في ذلك بين أن يكون معروفاً بالتجاهر في الفسق بين جميع الناس وفي جميع الأمكنة والأصقاع أو بين بعضهم وفي بعض البلاد والقرى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وجه لما استشكله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ظهور روايات الرخصة فيمن لا يستنكف عن الاطّلاع على عمله مطلقاً، فربّ متجاهر في بلد متستّر في بلاد الغربة أو في طريق الحجّ والزيارة؛ لئلاّ يقع عن عيون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تجاهر بذلك بين جماعة هم أصحاب سرّه ورفقائه في العمل فإنّه لا يعدّ متجاهراً بالفسق</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عدل عن هذا الإشكال في نهاية الأمر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 عرفت ضعف المطلقات المذكورة، فلا يمكن الاستناد إليها في تجويز هتك عرض المؤمن وافتضاحه بين الناس، ولا تصلح لتقييد المطلقات الدالّة على حرمة الغيبة،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تجوز غيبة المتجاهر إلاّ لمن تجاهر بالمعصية عنده، لا من جهة الروايات بل لعدم تحقّق مفهوم </w:t>
      </w:r>
      <w:bookmarkStart w:id="564" w:name="pg17323_406344"/>
    </w:p>
    <w:p>
      <w:pPr>
        <w:pStyle w:val="BookText"/>
        <w:rPr/>
      </w:pPr>
      <w:bookmarkEnd w:id="564"/>
      <w:r>
        <w:rPr>
          <w:rFonts w:ascii="Amiri" w:hAnsi="Amiri" w:eastAsia="Amiri" w:cs="Amiri"/>
          <w:color w:val="111111"/>
          <w:sz w:val="28"/>
          <w:sz w:val="28"/>
          <w:szCs w:val="28"/>
          <w:rtl w:val="true"/>
          <w:lang w:bidi="ar-SA"/>
        </w:rPr>
        <w:t>الغيبة مع التجاهر على ما ذكرناه في تفسيرها، والله العالم</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صحيحة ابن أبي يعفور مع مفهوم موثّقة سماعة بن مهران في الدلالة على جواز غيبة المتجاهر مطلقاً ولو في بلد لم يكن متجاهراً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الموثّقة لا إطلاق له، وإنّما تدلّ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اجتماع شرائط حرمة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الغيبة في الجملة كما مرّ،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تسليم إطلاق مفهوم موثّقة سماعة يمكن تقييده بصحيحة ابن أبي يعفور، فينحصر مفهومها في المتجاهر بالفسق ولا يجوز في غير المتجاهر</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876208_1280447820"/>
      <w:bookmarkStart w:id="566" w:name="_Toc209"/>
      <w:bookmarkEnd w:id="565"/>
      <w:r>
        <w:rPr>
          <w:rtl w:val="true"/>
        </w:rPr>
        <w:t>التنبيه الخامس</w:t>
      </w:r>
      <w:r>
        <w:rPr>
          <w:rtl w:val="true"/>
        </w:rPr>
        <w:t xml:space="preserve">: </w:t>
      </w:r>
      <w:r>
        <w:rPr>
          <w:rtl w:val="true"/>
        </w:rPr>
        <w:t>إذا صار المتجاهر ساتراً لعيوبه وتائباً</w:t>
      </w:r>
      <w:bookmarkEnd w:id="566"/>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المتجاهر ساتراً لعيوبه واعتذر عن عيبه المتجاهر به وتاب عنه، فلا يجوز اغتيابه؛ لأنّ الخارج من أدلّة حرمة الغيبة هو المتجاهر، وهو مع التوبة وصيرورته ساتراً لعيوبه غير صادق، ومقتضى عموم أدلّة حرمة الغيبة هو حرمة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إرشاد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الأدلّة كون الحكم مادام كونه جاهراً؛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الاغتياب بعدما صار الشخص ساتراً لعيوبه؛ حتّى بإظهار عيبه الذي كان عليه زمان تجاهره كما لا يخفى</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فيرجع فيه إلى عموم أدلّة حرمة الغيبة بعد عدم دلالة دليل على الجواز،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موارد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المظلوم وإظهار ما فعل به الظالم وإن كان متستّراً به، 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ذكره بذلك عند من لا يعلم ذلك منه</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بآيات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جواز الانتصار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أَصٰابَهُمُ اَلْبَغْيُ هُمْ يَنْتَصِرُونَ‌</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يدلّ على جوازه بمدح المنتصرين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فقد قال سيّدنا الإمام المجاهد قدس سره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إطلاقه جواز الاستنصار وطلب النصر من كلّ من يرجو منه النصر؛ كان الظالم متجاهراً أم لا، والسامع عالماً بمساءته أم لا، هذا بناءً على أنّ المراد وَلَمَنِ من الانتصار هو طلب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المراد منه هو الانتقام من الظالم فلأنّ جواز الانتقام من الظالم مستلزم لجواز الانتصار من الغير؛ وإلاّ قلّما يكون المظلوم بنفسه يمكنه الانتقام من ظالمه، والانتصار ملازم لذكر مساءة الظالم، ولا أقلّ من أنّ إطلاق الانتصار يقتضي جواز انتقامه بمعاونة الغير كعشيرته وقبيلته إذا لم يمكنه بنفسه، وهو ملازم للغيبة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الانتصار والانتقام للمظلوم بنفسه من الظالم يوجب الهرج والمرج، وإنّما نصب الوالي والقاضي للانتصاف والانتصار وتنظيم اُمور الناس، ومعه كيف يطلق ذلك للناس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اعتبار ضعيف مخالف للإطلاق بل والاعتبار الصحيح، وقد وقع نظيره في الشرع، كتجويز التقاصّ للدائن، وتجويز الدفاع عن النفس والعرض والمال، ودفع المشرف على بيت الرجل، وقتل من سبّ النبيّ صلى الله عليه وآله أو أحد </w:t>
      </w:r>
    </w:p>
    <w:p>
      <w:pPr>
        <w:pStyle w:val="BookText"/>
        <w:rPr/>
      </w:pP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فهل ترى من نفسك وجوب القعود عن دفع السارق المهاجم على عرض الرجل وماله وعدم جواز دفعه ثمّ بعد فعله ما فعل يقال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الرجوع إلى المحاكم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للاستبعاد بعد قيام الدليل</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غايته هو جواز الانتصار مع وساطة الحاكم الإسلامي، وهو أيضاً لا يخلو عن ملازمة ذكر مساءة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الآية جواز انتقام المظلوم من ظالمه بالمثل، كما يؤيّده ملاحظة ما قبلها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Fonts w:eastAsia="Amiri" w:cs="Amiri" w:ascii="Amiri" w:hAnsi="Amiri"/>
          <w:color w:val="111111"/>
          <w:sz w:val="28"/>
          <w:szCs w:val="28"/>
          <w:rtl w:val="true"/>
          <w:lang w:bidi="ar-SA"/>
        </w:rPr>
        <w:t>)</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الاغتياب من ظالمه بإظهار ظلمه أو حتّى سائر عيوبه المستورة عليه فلا دلالة لها عليه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 الآية الكريمة هو جواز الانتقام بالمثل لا جواز الاغتياب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الاستدلال بإطلاق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سيّدنا الإمام</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المراد من الانتصار هو طلب النصر أو الانتقام؛ لما عرفت من ملازمة الانتقام لذكر مساءة الظالم، وعليه فلا وجه لتخصيص الآية الكريمة بخصوص الانتقام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تقييد الإطلاق بأدلّة حرمة الغيبة، ولكنّه لا يخلو عن التأمّل والنظر؛ لأنّ النسبة هي العموم من وجه، ومقتضى ذلك هو التعارض والتساقط والرجوع إلى أصل آخر من الإباحة والبراءة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من الخارج أنّ الغيبة من الجهر بالسوء؛ فإنّها إظهار ما ستره الله من العيوب الموجبة لهتك المقول فيه وإهانته، وعليه فتنطبق الآية على ما نحن فيه،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يحبّ الاغتياب إلاّ من المظلوم؛ فإنّ له أن يتظلّم إلى الناس بذكر مساوئ الظالم وإن لم يرجُ ارتداعه عن ظلمه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الجهر بالسوء فسّر في بعض الروايات بأنّ المراد منه هو الشتم، وعليه فلا يرتبط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انطباقه على الشتم لا ينافي انطباقه على الغيبة أيضاً؛ لما عرفت مراراً أنّ الروايات الواردة في تفسير القرآن لبيان المصاديق وتنقيح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ضعف سند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ومقتضاه جواز اغتياب الظالم من قبل المظلوم مطلقاً؛ سواء احتمل ارتداعه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 بعد ذكر المؤيّدات وتضعيفها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كلّه فالأحوط عدّ هذه الصورة من الصور التي رخّص فيها في الغيبة لغرض صحيح أقوى من مصلحة احترام المغتاب</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بعد كون الآية الكريمة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ترك الاحتياط، فتدبّر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ظلمه هو الاغتياب والتنقيص المسقط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أعين الناس فيجوز للمغتاب الانتقام من ظالمه بإظهار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للآية بالنسبة إلى المجازاة بالمحرّمات؛ وإلاّ لجاز الاعتداء بالزنا ونحوه، ولم يلتزم به أحد، بل هو ضروريّ البطلان</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الأخبار أيضاً تدلّ على جواز التظلّم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تفسير العيّاشي 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 وإن وجب توجيهها إمّا بحمل الإساءة على ما يكون ظلماً وهتكاً لاحترامهم أو بغير ذلك، إلاّ أنّه دالّة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وأنّ كلّ من ظلم فلا جناح عليه فيما قال في الظالم</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صورة الظلم والهتك في الضيافة نوع من التظلّم، فيكون مشمولاً للآية من دون احتياج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بجعل الرواية مؤيّدة لتطبيق الآية على إساءة الضيافة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أعرابيّاً تقاضى النبيّ صلى الله عليه وآله ديناً كان له عليه فأغلظ له، فهمّ به أصحاب النبيّ صلى الله عليه وآله،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دعوه؛ فإنّ لصاحب الحقّ‌ </w:t>
      </w:r>
    </w:p>
    <w:p>
      <w:pPr>
        <w:pStyle w:val="BookText"/>
        <w:rPr/>
      </w:pPr>
      <w:r>
        <w:rPr>
          <w:rFonts w:ascii="Amiri" w:hAnsi="Amiri" w:eastAsia="Amiri" w:cs="Amiri"/>
          <w:color w:val="111111"/>
          <w:sz w:val="28"/>
          <w:sz w:val="28"/>
          <w:szCs w:val="28"/>
          <w:rtl w:val="true"/>
          <w:lang w:bidi="ar-SA"/>
        </w:rPr>
        <w:t>مقالاً</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ثبت له حقّ فعليّ على أحد من الحقوق المالية والعرضية والبدنية وغيرها فله مقال في المطالبة به والمرافعة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يشمل المظلوم الذي اُضيع حقّه وفات بالظلم عليه؛ إذ ليس له حقّ فعليّ حتّى يكون له مقال في المطالبة به والمرافعة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اختصاصه بالدين فقط، فيكون مساوقاً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لىّ الواجد بالدين يحلّ عرضه وعقوبته ما لم يكن دينه فيما يكره الله عزّ وجلّ‌</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وهو يوجب جواز ملامته على التأخير وعقوبته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مطلق، وهو يعمّ الغيبة؛ لأنّ تنقيص الغير ظلم فعليّ‌، ومع فعليّة الظلم تتعلّق ذمّة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ذمّة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الفعلي، فلا وجه لتخصيص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لصاحب الحقّ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والعمدة أنّ الرواية ضعيفة، نعم هي تصلح للتأييد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تقييد جواز الغيبة بكونها عند من يرجو إزالة الظلم عنه، وقوّاه بعض الأساطين، خلافاً لكاشف الريبة وجمع ممّن تأخّر عنه فقيّدوه؛ اقتصاراً في مخالفة الأصل على المتيقّن من الأدلّة؛ لعدم عموم في الآية، وعدم نهوض ما تقدّم في تفسيرها للحجّية، مع أنّ المروي عن الباقر عليه السلام في تفسيرها المحكي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 الشتم في الانتصار إلاّ من ظلم، فلا بأس له أن ينتصر ممّن ظلمه بما يجوز الانتصار به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الكتاب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ونظيره </w:t>
      </w:r>
    </w:p>
    <w:p>
      <w:pPr>
        <w:pStyle w:val="BookText"/>
        <w:rPr/>
      </w:pPr>
      <w:r>
        <w:rPr>
          <w:rFonts w:ascii="Amiri" w:hAnsi="Amiri" w:eastAsia="Amiri" w:cs="Amiri"/>
          <w:color w:val="111111"/>
          <w:sz w:val="28"/>
          <w:sz w:val="28"/>
          <w:szCs w:val="28"/>
          <w:rtl w:val="true"/>
          <w:lang w:bidi="ar-SA"/>
        </w:rPr>
        <w:t>وانتصروا من بعد ما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بعد الآية لا يصلح للخروج بها عن الأصل الثابت بالأدلّة العقلية والنقلية، ومقتضاه الاقتصار على مورد رجاء تدارك الظلم، فلو لم يكن قابلاً للتدارك لم يكن فائدة في هتك الظالم</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وإن لم تشتمل على شيء من ألفاظ العموم وأدواته، 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فبمقتضى مقدّمات الحكمة فيه يفيد العموم، وعليه فيجوز للمظلوم اغتياب الظالم؛ سواء احتمل ارتداعه أم لا</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إطلاق الآية فلا حاجة في تفسيرها إلى الرواية، مع ما فيها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بالآية الكريمة عن الأصل الثابت بالأدلّة العقلية والنقلية، فلا يختصّ جواز الانتصار على مورد رجاء تدارك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ليست صريحة في إرادة الإطلاق من هذه الجهة، بل المراد أنّه رفع منعه عن الظلم إلاّ أنّه عن كلّ نوع من الظلم وبكلّ وجه؛ فلا يعلم لها إطلاق</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إطلاق الآية؛ لوجود مقدّمات الحكمة، ولا يلزم في استفادة الإطلاق إلى صراحة الدلالة،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جعل المراد هو رفع منعه عن الظلم كما ترى؛ إذ مفاد الآية الكريمة أنّ للمظلوم أن يجهر بالسوء من القول، ومن المعلوم أنّ الجهر بالسوء من القول ليس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جواز الغيبة بذكر ترك الأولى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ذكر ترك الأولى عيباً ستره الله تعالى، عمّته أدلّة حرمة الغيبة؛ ولذلك قال </w:t>
      </w:r>
    </w:p>
    <w:p>
      <w:pPr>
        <w:pStyle w:val="BookText"/>
        <w:rPr/>
      </w:pPr>
      <w:r>
        <w:rPr>
          <w:rFonts w:ascii="Amiri" w:hAnsi="Amiri" w:eastAsia="Amiri" w:cs="Amiri"/>
          <w:color w:val="111111"/>
          <w:sz w:val="28"/>
          <w:sz w:val="28"/>
          <w:szCs w:val="28"/>
          <w:rtl w:val="true"/>
          <w:lang w:bidi="ar-SA"/>
        </w:rPr>
        <w:t>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ما فعل به ظلماً بل كان من ترك الأولى، وإن كان يظهر من بعض الأخبار جواز الاشتكاء لذلك</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الكافي والتهذيب بسندين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عبدالله عليه السلام فشكا إليه رجلاً من أصحابه، فلم يلبث أن جاء المشكوّ، فقال له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لفلان يشكوك‌؟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عبدالله عليه السلام مغضباً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إذا استقضيت حقّك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ما حكى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يَخٰافُونَ سُوءَ اَلْحِسٰابِ‌</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أن يجور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خافوا إلاّ الاستقضاء، فسمّاه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استقضى فقد أساء</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ضعيف؛ لجهالة معلّى بن محمّد الواقع في طريق الكافي وجهالة محمّد بن يحيى الصيرفي الواقع في سند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ثعلبة بن ميمون المرويّة عن الكافي، عمّن ذكره،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قوم يحدّثهم، إذ ذكر رجل منهم رجلاً فوقع فيه وشكاه، فقال له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 بأخيك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الرجال المهذّب‌؟</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ضعيف بالإرسال،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الرجال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كونه من كلام الإمام عليه السلام أو الراوي، وكيف كان فهو تمثيل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بأخيك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الأخ التامّ في الاُخوّة؛ أي لا يحصل مثل ذلك إلاّ نادراً، فتوقّع ذلك كتوقّع أمر محال، فارْضَ من الناس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الغرر والدرر عن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لم أترك لنفسي ريبة</w:t>
      </w:r>
      <w:r>
        <w:rPr>
          <w:rStyle w:val="FootnoteAnchor"/>
          <w:rtl w:val="true"/>
        </w:rPr>
        <w:footnoteReference w:id="1042"/>
      </w:r>
      <w:r>
        <w:rPr>
          <w:rFonts w:ascii="Amiri" w:hAnsi="Amiri" w:eastAsia="Amiri" w:cs="Amiri"/>
          <w:color w:val="111111"/>
          <w:sz w:val="28"/>
          <w:sz w:val="28"/>
          <w:szCs w:val="28"/>
          <w:rtl w:val="true"/>
          <w:lang w:bidi="ar-SA"/>
        </w:rPr>
        <w:t>وليس وراء الله للمرء مذهَبُ‌</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لئن كنتَ قد بُلّغتَ عنّي خيانةً لَمُبلغك الواشي أغَشُّ وأكذَبُ‌</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فلست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أىّ الرجال المهذَّبُ‌</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الشيخ بعد ذكر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كلّه فالأحوط عدّ هذه الصورة من الصور العشر الآتية التي رخّص فيها في الغيبة لغرض صحيح أقوى من مصلحة احترام المغتاب</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الخبرين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في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ظاهرها أنّ الدائن قد تعدّى على المديون، فطلب منه أداء الدين مع عدم وجوب الأداء عليه لعسر أو لغيره، ولا شبهة أنّ ذلك ظلم تباح معه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على النسخة المعروفة التي تبعها صاحب الوسائل والمصنّف في النقل، وأمّا على نسختي الوافي والمستدرك وما ذكره المجلسي عن بعض النسخ القديمة من تبديل الضاد المعجمة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بالصاد المهملة </w:t>
      </w:r>
      <w:bookmarkStart w:id="567" w:name="pg17323_406353"/>
    </w:p>
    <w:p>
      <w:pPr>
        <w:pStyle w:val="BookText"/>
        <w:rPr/>
      </w:pPr>
      <w:bookmarkEnd w:id="567"/>
      <w:r>
        <w:rPr>
          <w:rFonts w:ascii="Amiri" w:hAnsi="Amiri" w:eastAsia="Amiri" w:cs="Amiri"/>
          <w:color w:val="111111"/>
          <w:sz w:val="28"/>
          <w:sz w:val="28"/>
          <w:szCs w:val="28"/>
          <w:rtl w:val="true"/>
          <w:lang w:bidi="ar-SA"/>
        </w:rPr>
        <w:t>فالرواية تكاد تكون نصّاً فيما ذكرناه؛ فإنّ معنى الاستقصاء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إلى الغاية في المطالبة، ومن الواضح أنّ ذلك قد يؤدّي إلى الهتك والظلم فيكون حراماً، وعليه فتكون الرواية من جملة ما دلّ على جواز اغتياب الظالم من قبل المظلوم بذكر أوصافه المحرّمة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ومضافاً إلى ما 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مرسلة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جواب الإمام ظاهر في أنّ الصنع الذي شكا منه الرجل أمر يصيب به جميع الناس، وليس يوجد من لا يصيب به إلاّ الأوحدي، وعليه فيخرج هذا عن موضوع الغيبة؛ فقد عرفت أنّها كشف ما ستره الله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الصنع المذكور شائعاً وصادراً من جميع الناس فليس هو أمراً مستوراً، فالخبران أجنبيّان عن المقام، فلا دليل على جواز ذكر ترك الأولى إذا كان ذكر عيب ستره الله تعالى؛ لما عرفت من عموم دليل حرمة الغيبة وعدم وجود المخصّص، فالأصل فيه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طرأ عليه عنوان له مصلحة أهمّ كان ذكر ترك الأولى جائزاً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876210_1280447820"/>
      <w:bookmarkStart w:id="569" w:name="_Toc210"/>
      <w:bookmarkEnd w:id="568"/>
      <w:r>
        <w:rPr>
          <w:rtl w:val="true"/>
        </w:rPr>
        <w:t>المقام الخامس</w:t>
      </w:r>
      <w:r>
        <w:rPr>
          <w:rtl w:val="true"/>
        </w:rPr>
        <w:t xml:space="preserve">: </w:t>
      </w:r>
      <w:r>
        <w:rPr>
          <w:rtl w:val="true"/>
        </w:rPr>
        <w:t>في حكم استماع الغيبة</w:t>
      </w:r>
      <w:bookmarkEnd w:id="569"/>
    </w:p>
    <w:p>
      <w:pPr>
        <w:pStyle w:val="Heading4"/>
        <w:numPr>
          <w:ilvl w:val="3"/>
          <w:numId w:val="1"/>
        </w:numPr>
        <w:rPr/>
      </w:pPr>
      <w:bookmarkStart w:id="570" w:name="__RefHeading___Toc876212_1280447820"/>
      <w:bookmarkStart w:id="571" w:name="_Toc211"/>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استماع الغيبة بلا خلاف؛ فقد ورد أنّ السامع للغيبة أحد المغتابين، والأخبار في حرمته كثيرة، إلاّ أنّ ما يدلّ على كونه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كالرواية المذكورة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لا خلاف بين الشيعة والسنّة في حرمة </w:t>
      </w:r>
    </w:p>
    <w:p>
      <w:pPr>
        <w:pStyle w:val="BookText"/>
        <w:rPr/>
      </w:pPr>
      <w:r>
        <w:rPr>
          <w:rFonts w:ascii="Amiri" w:hAnsi="Amiri" w:eastAsia="Amiri" w:cs="Amiri"/>
          <w:color w:val="111111"/>
          <w:sz w:val="28"/>
          <w:sz w:val="28"/>
          <w:szCs w:val="28"/>
          <w:rtl w:val="true"/>
          <w:lang w:bidi="ar-SA"/>
        </w:rPr>
        <w:t>استماع الغيبة، ولكنّا لم نجد دليلاً صحيحاً يدلّ عليها بحيث يكون استماع الغيبة من المحرّمات فضلا عن كونه من الكبائر؛ إذ ما ورد في حرمته من طرق الخاصّة ومن طرق العامّة كلُّه لا يخلو عن الإرسال وضعف السند، فلا يكون قابلاً للاستناد إليه</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فعمدة ما استدلّ به للحرمة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المعروف المنقول عن تفسير أبي الفتوح الرازي أنّه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استدلال الشيخ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استماع الغيبة من الكبائر، ولعلّ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التثنية، فحينئذ يدلّ على تنزيل المستمع منزلة القائل في الحرمة وكونها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 في ظهوره في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هذا التركيب بصيغة التثنية كثيراً،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 أحد اللسانين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عليه في بلغة الطالب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اعتبار الغلبة في ثبوت الظهور بمجرّد ذلك،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الكلام ناظر إلى دفع توهّم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وزر الغيبة لا يصيب إلاّ القائل، وأمّا المستمع فلم يصدر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دفع هذا التوهّم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السامع لا ينقص عن المتكلّم، بل هو بمنزلة المتكلّم للغيبة وكأنّه الصادر منه الغيبة، وهذا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المعين على القتل أحد القاتلين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المشير إلى الصيد أحد الصائدين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بنفس إشارته وإعانته واستماعه يزيد على العدد الموجود واحد، فيصير </w:t>
      </w:r>
    </w:p>
    <w:p>
      <w:pPr>
        <w:pStyle w:val="BookText"/>
        <w:rPr/>
      </w:pP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Style w:val="FootnoteAnchor"/>
          <w:rtl w:val="true"/>
        </w:rPr>
        <w:footnoteReference w:id="1052"/>
      </w:r>
      <w:r>
        <w:rPr>
          <w:rFonts w:ascii="Amiri" w:hAnsi="Amiri" w:eastAsia="Amiri" w:cs="Amiri"/>
          <w:color w:val="111111"/>
          <w:sz w:val="28"/>
          <w:sz w:val="28"/>
          <w:szCs w:val="28"/>
          <w:rtl w:val="true"/>
          <w:lang w:bidi="ar-SA"/>
        </w:rPr>
        <w:t>فمن هذه الجهة يقوى ظهوره في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سيّدنا الإمام المجاهد قدس سره من أنّ إرادة الجمع بعيد؛ لعدم فائدة في ذكر الجمع لإفادة هذا المعنى</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صيغة تثنية، ويكون تنزيل المستمع منزلة المتكلّم في صدور الغيبة والتنزيل يفيد الحرمة بل كونها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سيّدنا الإمام المجاهد قدس سره من أنّ هذا اللسان كأنّه ينافي التنزيل بلسان إثبات الموضوع؛ لأنّ لسان إثباته يقتضي أن يكون بإيقاع الهوهوية لا الاثنينية والتغاير كما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به جعل العَدل للمغتاب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مغتابٌ آخر عدلُ المغتاب، وعليه لا تبعد تمامية دلالته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العدلية يقتضي الاشتراك في جميع الآثار والأحكام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يخلو ذلك أيضاً عن الإشكال؛ لعدم ثبوت عموم التنزيل أو عموم العدلية، وعليه فلا يستفاد من الرواية المذكورة كون الاستماع من الكبائر ولو مع الغمض عن السند، فلا تغفل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المستدرك عن جامع الأخبار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عمر مجلسٌ بالغيبة إلاّ خرب من الدين، فتنزّهوا أسماعكم من استماع الغيبة؛ فإنّ القائل والمستمع لها شريكان في الإثم</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اشتراكهما في الإثم يدلّ على حرمة استماع الغيبة، بل إطلاق الاشتراك يدلّ على كونها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من المرسلات، ودعوى كون مرسلات الصدوق معتبرةً ممنوعةٌ إلاّ في مرسلات من لا يحضره الفقيه، على إشكال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ثبوت كونها من مرسلات الصدوق؛ لأنّ مؤلّف جامع الأخبار مردّد بين عدّة أشخاص، فراجع</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الاختصاص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أميرالمؤمنين عليه السلام إلى رجل يغتاب رجلاً عند الحسن ابنه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نزّه سمعك عن مثل هذا؛ فإنّه نظر إلى أخبث ما في وعائه فأفرغه في وعائك</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المحقّق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يدّعى كونه رواية مسندة قد أرسلها صاحب الاختصاص للاختصار، فيدلّ ذلك على وثاقة رواتها المحذوفين عنده؛ إذ فرق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القول الأوّل ظاهر في كون المنقول مرسلاً دون الثاني، وعليه فهي رواية معتبرة تدلّ على حرمة استماع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الاعتبار عنده لا يستلزم ثبوته عندنا؛ إذ لعلّه يعتمد على ما لا نعتمده</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لو كان للشيخ المفيد وكشفنا اعتماده على الرواة من جهة نسبته إلى أميرالمؤمنين عليه السلام بالجزم لصحّ الاعتماد عليه؛ لأنّه في حكم الشهادة؛ لقرب عهده بحال </w:t>
      </w:r>
    </w:p>
    <w:p>
      <w:pPr>
        <w:pStyle w:val="BookText"/>
        <w:rPr/>
      </w:pPr>
      <w:r>
        <w:rPr>
          <w:rFonts w:ascii="Amiri" w:hAnsi="Amiri" w:eastAsia="Amiri" w:cs="Amiri"/>
          <w:color w:val="111111"/>
          <w:sz w:val="28"/>
          <w:sz w:val="28"/>
          <w:szCs w:val="28"/>
          <w:rtl w:val="true"/>
          <w:lang w:bidi="ar-SA"/>
        </w:rPr>
        <w:t>الرواة، ولا يسأل في الشهادة عن أسبابها، إلاّ أنّ الكلام في صحّة نسبة الكتاب إلى الشيخ المفيد لنقله فيه عن ابن الوليد، مع أنّ سنين عمره لا تصلح للنقل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أفاده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متنها إشكالاً؛ لأنّ نهيه عليه السلام ابنه عليه السلام إن كان من استماع الغيبة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الرواية مخالفة لاُصول المذهب؛ ضرورة أنّ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يستمع إليها، وإن كان من الاستماع الجائز فلا تدلّ على المقصود، فهي مطروحة أو غير دالّة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الرواية حرمة الاستماع بعد أن احتمل أنّ النهي عن الاستماع الجائز لمرجوحيّته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يغتاب رجلاً عند الحسن ابنه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يريد أن يغتاب رجلاً عند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أميرالمؤمنين عليه السلام ابنه عن استماع كلامه، فلا يبقى إشكال في تمامية دلالته، ولكن عرفت عدم ثبوت نسبة الكتاب إلى الشيخ المفيد قدس سره،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الإمام الصادق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وآله نهى عن الغيبة والاستماع إليها، ونهى عن النميمة والاستماع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 عن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امرءاً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ومن تطوّل على أخيه في غيبة سمعها في مجلس فردّها عنه؛ ردّ الله عنه ألف باب من الشرّ في الدنيا والآخرة، فإن هو لم يردّها وهو قادر على ردّها كان عليه كوزر من اغتابه سبعين مرّة</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لجهالة شعيب بن واقد الواقع في طريقه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 وإن كان ظاهراً في الحرمة مطلقاً، إلاّ أنّ ذيله قرينة على حرمة الاستماع مع عدم الردّ فقط، وعليه فالرواية أخصّ‌، وحمل الذيل على السماع القهري خلاف الظاهر منها، على أنّه أمر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المناهي لاشتماله على الاُمور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الغيبة موجبة لبطلان الوضوء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أزيد من النهي التنزيهي والإرشاد إلى الجهات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ثبت كونه راجعاً إلى الأخلاقيّات تُرفع اليد فيه عن ظهور النهي في الحرمة، وأمّا غيره فيؤخذ بظهوره لا محالة، كما حقّق في محلّه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العديدة الدالّة على أنّ الراضي بفعل قوم كالداخل معهم،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الصلت الهروي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رضي شيئاً كان كمن أتاه</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وموثّقة طلحة بن زيد عن جعفر بن محمّد عن آبائه عن علىّ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والراضي به والمعين عليه؛ شركاء ثلاثة</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وهو حرمة مطلق الاستماع سواء كان مع الرضا أم بدونه، وهي غير مستفادة من هذه الأحاديث؛ حيث إنّ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استمع ولم يرضَ بالغيبة لم يرتكب محرّماً، وهو خلاف المدّعى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المبغوض هو كشف الستر اختياراً، وهو مبغوض في ذاته، ولا دخالة </w:t>
      </w:r>
    </w:p>
    <w:p>
      <w:pPr>
        <w:pStyle w:val="BookText"/>
        <w:rPr/>
      </w:pPr>
      <w:r>
        <w:rPr>
          <w:rFonts w:ascii="Amiri" w:hAnsi="Amiri" w:eastAsia="Amiri" w:cs="Amiri"/>
          <w:color w:val="111111"/>
          <w:sz w:val="28"/>
          <w:sz w:val="28"/>
          <w:szCs w:val="28"/>
          <w:rtl w:val="true"/>
          <w:lang w:bidi="ar-SA"/>
        </w:rPr>
        <w:t>لصدورها من مكلّف خاصّ في المبغوضية، وعليه فهذا المبغوض يوجب مبغوضية أسبابه من الذكر والاستماع، فإذا علم السامع أنّ المتكلّم يريد تحقّق هذا المبغوض وجب عليه الامتناع عن الاستماع؛ لأنّه مبغوض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لا يكفي لإثبات الحرمة لعنوان الاستماع؛ فإنّه سبب أو ملازم للمحرّم، وما هو محرّم كشف الستر اختياراً،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الكشف المبغوض صار سبباً لجعل الحكم على الغيبة والاستماع، تأمّلْ‌،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التحليل والتجزئة عقليّ‌، والعرف يفهم من الأدلّة حرمة الاغتياب والاستماع المتّحدين مع الكشف، تدبّرْ</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الأخير من كلامه تكون حرمة الكشف عين حرمة الغيبة والاستماع؛ لاتّحادهما مع الكشف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عن ذلك فلا إشكال في أنّ حرمة كشف الستر توجب الاحتراز عن أسبابه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عقلاً، وعلى كلا التقديرين يجب الاجتناب عن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أشار سيّدنا الإمام المجاهد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تأمّله عدم ثبوت وجوب المقدّمة شرعاً عنده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أبي عمير، عن بعض أصحابه،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وسمعته اُذناه؛ فهو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الصدوق مسندة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سيّدنا الإمام المجاهد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من </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هو أنّ المغتاب مصداق حقيقيّ للآية الكريمة، والتنزيل الموضوعي بلحاظ الحكم خلاف ظاهره؛ لأنّه مجاز يحتاج إلى التأوّل والدعوى، فتكون الرواية مفسّرة للآية بتعميمِ الحبّ للعمل الناشئ من الرضا والإرادة، وتعميمِ الشياع لمطلق النشوء والنشر الشاملين للذكر عند واحد كما هو مقتضى إطلاق الرواية، فيصير مفاد الآية شاملاً لكلّ عمل اختياريّ موجب لنشوء الفاحشة ورفع الستر عنها في الجملة، فتشمل السامع كما تشمل المغتاب بلا افتراق بينهما؛ لأنّ السامع أيضاً عمل بفعله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موجب لنشوء الفاحشة ورفع الستر عنها، وليس مفاد الآية حرمة إشاعة الفاحشة حتّى يقال إنّ الإشاعة عرفاً من فعل المغتاب، بل مفادها حبّ شيوعها، وهو أعمّ من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تحكيم الرواية على الآية تفسيراً وتوضيحاً تدلّ الآية على حرمة الاستماع وكونه من الكبائر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ناقش سيّدنا الإمام المجاهد قدس سره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من الرواية وإن كان الاندراج الحقيقي، لكنّ حملَ الآية على ما ذكر والتصرّف في الحبّ والشياع بما ذكر خلافُ ظاهر بل ظاهرين، فدار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ارتكاب خلافِ ظاهر واحد شائع في الشرع والعرف، وهو التنزيل الحكمي بلسان الاندراج الموضوعي مع قيام قرينة عقلية عليه وهو عدم كون الاغتياب داخلاً في مفادها وجداناً، وبين ارتكاب خلافِ ظاهرَين بعيدين عن الأفهام غريبين عن الأذهان بلا قرينة في نفس الآية الكريمة، ولا شبهة في تعيّن الأوّل، فعليه فيكون مفاد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المغتاب منزلة الذين يحبّون أن تشيع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إطلاقها كون الغيبة كبيرة دون استماعها</w:t>
      </w:r>
      <w:r>
        <w:rPr>
          <w:rFonts w:eastAsia="Amiri" w:cs="Amiri" w:ascii="Amiri" w:hAnsi="Amiri"/>
          <w:color w:val="111111"/>
          <w:sz w:val="28"/>
          <w:szCs w:val="28"/>
          <w:rtl w:val="true"/>
          <w:lang w:bidi="ar-SA"/>
        </w:rPr>
        <w:t>»</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للآية الكريمة حينئذ تعرّض لحرمة الاستماع، فضلا عن كونه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لا تتحقّق إلاّ بالمستمع، وعليه فما دلّ على حرمة الغيبة يدلّ على حرمة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الغيبة لا تلازم حرمة الاستماع وإن كان بينهما تلازم خارجاً؛ فإنّ التلازم في الخارج لا يستدعي التلازم في الحكم، وقد جاز سماع الغيبة للردّ جزماً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الاستماع ممّا لا تتحقّق الغيبة إلاّ به، وعليه فالاستماع مقدّمة، وتترتّب عليه أحكامها من الحرمة الشرعية أو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الاستماع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فلتزاحم مصلحة الردّ مع مفسدة الغيبة، وترجيحِ الاُولى وأهمّيّتها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وجوب ردّ الغيبة؛ بدعوى أنّها تدلّ على حرمة الاستماع مع عدم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المضمون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كخبر أنس بن محمّد، عن أبيه، عن جعفر بن محمّد،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النبىّ صلى الله عليه وآله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اغتيب عنده أخوه المسلم فاستطاع نصره فلم ينصره؛ خذله الله في الدنيا والآخرة</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ومعتبرة أبي الورد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اغتيب عنده أخوه المؤمن فنصره وأعانه؛ نصره الله وأعانه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ينصره ولم يعنه ولم يدفع عنه وهو يقدر على نصرته وعونه؛ إلاّ خفضه الله في الدنيا والآخرة</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إبراهيم بن عمر اليماني عن أبي عبدالله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مؤمن يخذل أخاه </w:t>
      </w:r>
    </w:p>
    <w:p>
      <w:pPr>
        <w:pStyle w:val="BookText"/>
        <w:rPr/>
      </w:pPr>
      <w:r>
        <w:rPr>
          <w:rFonts w:ascii="Amiri" w:hAnsi="Amiri" w:eastAsia="Amiri" w:cs="Amiri"/>
          <w:color w:val="111111"/>
          <w:sz w:val="28"/>
          <w:sz w:val="28"/>
          <w:szCs w:val="28"/>
          <w:rtl w:val="true"/>
          <w:lang w:bidi="ar-SA"/>
        </w:rPr>
        <w:t>وهو يقدر على نصرته؛ إلاّ خذله الله في الدنيا والآخرة</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الرواية أنّ الخاذل هو المؤمن؛ 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مع أنّ الظاهر بقرينة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يقدر على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قراءة الرفع؛ أي يُخذَلُ أخوه، وأنّ الخاذل غيره،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عيادة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أنّه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ردّ عن أخيه غيبة سمعها في مجلس؛ ردّ الله عنه ألف باب من الشرّ في الدنيا والآخرة، فإن لم يردّ عنه وأعجبه كان عليه كوزر من اغتاب</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الدالّة على وجوب ردّ الغيبة والانتصار للمغتاب،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أجنبيّة عن الدلالة على حرمة الاستماع، كما هي أجنبيّة عن الدلالة على جوازها، بل تدلّ على أنّه لو سمع الغيبة يجب عليه الردّ</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الرواية الأخيرة مطلق؛ فيشمل الاستماع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أنّه بملاحظة الحكم والموضوع تكون الأخبار ظاهرة في السماع لا الاستماع الاختياري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اتّصل إلاجماع والاتّفاق إلى زمان المعصوم عليه السلام، فإنّ ذلك يكفي لكشف تقرير المعصوم عليه السلام لما أجمعوا عليه وإن استندوا فيه إلى استدلالات غير تامّة؛ لما قرّر في محلّه من وجوب إرشادهم لو لم يكن كذلك، فعند عدم إرشادهم إلى غيره يكشف ذلك عن تقريره لما ذهبوا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هو حرمة الاستماع، بل لا يبعد القول بكونه من </w:t>
      </w:r>
      <w:bookmarkStart w:id="572" w:name="pg17323_406363"/>
    </w:p>
    <w:p>
      <w:pPr>
        <w:pStyle w:val="BookText"/>
        <w:rPr/>
      </w:pPr>
      <w:bookmarkEnd w:id="572"/>
      <w:r>
        <w:rPr>
          <w:rFonts w:ascii="Amiri" w:hAnsi="Amiri" w:eastAsia="Amiri" w:cs="Amiri"/>
          <w:color w:val="111111"/>
          <w:sz w:val="28"/>
          <w:sz w:val="28"/>
          <w:szCs w:val="28"/>
          <w:rtl w:val="true"/>
          <w:lang w:bidi="ar-SA"/>
        </w:rPr>
        <w:t>الكبائر؛ لأنّ هتك المؤمن إثم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متجاهراً فلا بأس بالاستماع؛ لعدم تحقّق الهتك مع التجاهر</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876214_1280447820"/>
      <w:bookmarkStart w:id="574" w:name="_Toc212"/>
      <w:bookmarkEnd w:id="573"/>
      <w:r>
        <w:rPr>
          <w:rtl w:val="true"/>
        </w:rPr>
        <w:t>فروع</w:t>
      </w:r>
      <w:r>
        <w:rPr>
          <w:rtl w:val="true"/>
        </w:rPr>
        <w:t>:</w:t>
      </w:r>
      <w:bookmarkEnd w:id="574"/>
    </w:p>
    <w:p>
      <w:pPr>
        <w:pStyle w:val="Heading5"/>
        <w:numPr>
          <w:ilvl w:val="4"/>
          <w:numId w:val="1"/>
        </w:numPr>
        <w:rPr/>
      </w:pPr>
      <w:bookmarkStart w:id="575" w:name="__RefHeading___Toc876216_1280447820"/>
      <w:bookmarkStart w:id="576" w:name="_Toc213"/>
      <w:bookmarkEnd w:id="575"/>
      <w:r>
        <w:rPr>
          <w:rtl w:val="true"/>
        </w:rPr>
        <w:t>الأوّل</w:t>
      </w:r>
      <w:r>
        <w:rPr>
          <w:rtl w:val="true"/>
        </w:rPr>
        <w:t xml:space="preserve">: </w:t>
      </w:r>
      <w:r>
        <w:rPr>
          <w:rtl w:val="true"/>
        </w:rPr>
        <w:t>في حكم عدم الملازمة بين جواز الغيبة بالإكراه وجواز الاستماع</w:t>
      </w:r>
      <w:bookmarkEnd w:id="5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اغتياب الناس بسبب الإكراه فلا يجوز لغيره استماع الغيبة عنه، وهكذا جواز الاستماع للمكره لا يلازم جواز الغيبة لمن لا يكون مكرهاً؛ فإنّ ارتفاع الحكم عن أحدهما لا يستلزم ارتفاعه عن الآخر، فلا ملازمة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ملازمة عرفية بين جواز الغيبة وجواز الاستماع إليها كتظلّم المظلوم فلا مانع من الاستماع، فالنسبة بين جواز الغيبة وجواز الاستماع هي العموم من وجه؛ إذ قد تحرم الغيبة دون الاستماع كالمكره على الاستماع، وقد يحرم الاستماع دون الغيبة كما إذا كان المتكلّم معذوراً في ذلك دون المستمع، وقد يجتمعان ويحرمان</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876218_1280447820"/>
      <w:bookmarkStart w:id="578" w:name="_Toc214"/>
      <w:bookmarkEnd w:id="577"/>
      <w:r>
        <w:rPr>
          <w:rtl w:val="true"/>
        </w:rPr>
        <w:t>الثاني</w:t>
      </w:r>
      <w:r>
        <w:rPr>
          <w:rtl w:val="true"/>
        </w:rPr>
        <w:t xml:space="preserve">: </w:t>
      </w:r>
      <w:r>
        <w:rPr>
          <w:rtl w:val="true"/>
        </w:rPr>
        <w:t>في حكم غيبة من يكون متجاهراً عند المغتاب بالكسر ومستوراً عند المستمع</w:t>
      </w:r>
      <w:bookmarkEnd w:id="5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متجاهراً عند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مستوراً عند المستمع وقلنا بجواز الغيبة حينئذ للمتكلّم، فهل يجوز الاستماع حينئذ مع احتمال كون المغتاب متجاهراً عند المتكلّم أو لا يجوز؟</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المحكي عن بعض جواز الاستماع مع احتمال كونه متجاهراً عند المتكلّم، ويمكن القول بحرمة استماع هذه الغيبة مع فرض جوازها للقائل؛ لأنّ السامع أحد المغتابين، فكما أنّ المغتاب يحرم عليه الغيبة إلاّ إذا علم التجاهر المسوّغ، فكذلك السامع يحرم عليه الاستماع إلاّ إذا علم التجاهر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نهي القائل فغير لازم مع دعوى القائل العذر المسوّغ، بل مع احتماله في حقّه وإن اعتقد الناهي عدم التجاهر، نعم لو علم عدم اعتقاد </w:t>
      </w:r>
    </w:p>
    <w:p>
      <w:pPr>
        <w:pStyle w:val="BookText"/>
        <w:rPr/>
      </w:pPr>
      <w:r>
        <w:rPr>
          <w:rFonts w:ascii="IRNazanin" w:hAnsi="IRNazanin" w:eastAsia="IRNazanin"/>
          <w:color w:val="111111"/>
          <w:sz w:val="28"/>
          <w:sz w:val="28"/>
          <w:szCs w:val="28"/>
          <w:rtl w:val="true"/>
          <w:lang w:bidi="fa-IR"/>
        </w:rPr>
        <w:t>القائل بالتجاهر وجب ردعه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الشيخ الأعظم قدس سره ذهب في نهاية المطاف إلى جواز الاستماع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جواز الاستماع إذا جاز للقائل؛ لأنّه قول غير منكر، فلا يحرم الإصغاء إليه؛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أحد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صحّتها تدلّ على أنّ السامع لغيبة كقائل تلك الغيبة؛ فإن كان القائل عاصياً كان المستمع كذلك، فيكون دليلاً على الجواز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استُظهر منها أنّ السامع للغيبة كأنّه متكلّم بها؛ فإن جاز للسامع التكلّم بغيبة جاز سماعها وإن حرم عليه حرم سماعها أيضاً، كانت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للتحريم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الظاهر من الرواية على تقدير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 وإن كان هو الظاهر على تقدير قراءته بالجمع، لكنّ هذا التقدير خلاف الظاهر، وقد تقدّم في مسألة التشبيب أنّه إذا شكّ السامع في حصول شرط حرمته من القائل لم يحرم استماعه</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خلاف الظاهر من الرواية على تقدير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بين السامع والقائل لا بين استماع السامع وتكلّمه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دعوى ظهوره في ذلك لو كانت قراءته بالجمع؛ لأنّ جعله أحد المغتابين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بكون استماعه في حكم الغيبة، ولكن لا قرينة على قراءة الجمع</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أورد عليه في مصباح الفقاهة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محلّه أنّ عنوان المخصّص إذا كان أمراً وجوديّاً فإنّه ينفى بالأصل الموضوعي في مورد الشكّ‌، وينقّح به موضوع التمسّك بالعامّ‌، ولا يلزم منه التمسّك بالعامّ في الشبهة المصداقية، وكذلك في </w:t>
      </w:r>
      <w:bookmarkStart w:id="579" w:name="pg17323_406365"/>
    </w:p>
    <w:p>
      <w:pPr>
        <w:pStyle w:val="BookText"/>
        <w:rPr/>
      </w:pPr>
      <w:bookmarkEnd w:id="579"/>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أنّ المقول فيه جائز الغيبة عند القائل أم لا نستصحب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 عدم كونه متجاهراً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وينقّح به موضوع التمسّك بعموم ما دلّ على حرمة استماع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وبعموم ما دلّ على وجوب ردّ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المتعارف من أفراد الغيبة هو أنّ السامع لا يعلم نوعاً بحال المقول فيه، والظاهر من الروايات الدالّة على وجوب ردّ الغيبة أنّ ذلك هو المراد؛ إذ لو حملناها على خصوص ما إذا علم السامع بكون المقول فيه غير جائز الغيبة كان ذلك حملاً لها على المورد النادر</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أفاد وأجاد، إلاّ أنّ ذلك وجيه فيما إذا كان هناك عموم أو إطلاق لفظىّ‌، وأمّا إذا لم يكن كما في حرمة استماع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ثبوته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فالدليل لبّي يقتصر فيه على القدر المتيقّن؛ فلا عموم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ينقّح موضوع الدليل العامّ الدالّ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يترك الاحتياط بترك الاستماع فيما إذا كان متجاهراً عند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ومستوراً عند المستمع</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876220_1280447820"/>
      <w:bookmarkStart w:id="581" w:name="_Toc215"/>
      <w:bookmarkEnd w:id="580"/>
      <w:r>
        <w:rPr>
          <w:rtl w:val="true"/>
        </w:rPr>
        <w:t>الثالث</w:t>
      </w:r>
      <w:r>
        <w:rPr>
          <w:rtl w:val="true"/>
        </w:rPr>
        <w:t xml:space="preserve">: </w:t>
      </w:r>
      <w:r>
        <w:rPr>
          <w:rtl w:val="true"/>
        </w:rPr>
        <w:t>يجب عند الاغتياب أمران</w:t>
      </w:r>
      <w:r>
        <w:rPr>
          <w:rtl w:val="true"/>
        </w:rPr>
        <w:t xml:space="preserve">: </w:t>
      </w:r>
      <w:r>
        <w:rPr>
          <w:rtl w:val="true"/>
        </w:rPr>
        <w:t>أحدهما</w:t>
      </w:r>
      <w:r>
        <w:rPr>
          <w:rtl w:val="true"/>
        </w:rPr>
        <w:t xml:space="preserve">: </w:t>
      </w:r>
      <w:r>
        <w:rPr>
          <w:rtl w:val="true"/>
        </w:rPr>
        <w:t>نهي المغتاب بالكسر وثانيهما</w:t>
      </w:r>
      <w:r>
        <w:rPr>
          <w:rtl w:val="true"/>
        </w:rPr>
        <w:t xml:space="preserve">: </w:t>
      </w:r>
      <w:r>
        <w:rPr>
          <w:rtl w:val="true"/>
        </w:rPr>
        <w:t>ردّ الغيبة</w:t>
      </w:r>
      <w:bookmarkEnd w:id="58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عند الاغتياب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بينهما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يجب النهي عن الغيبة لوجوب النهي عن المنكر إذا لم يكن جائز الغيبة عند القائل، ولا يجب ردّها لكون المقول فيه جائز الغيبة عند السامع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يجب ردّ الغيبة ولا يجب النهي عن الغيبة، كما إذا كان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فإنّ فعله ليس بمنكر كي يجب النهي عنه، إلاّ أنّه يجب على السامع حينئذ ردّ الغيبة؛ حفظاً لاحترام أخيه المؤمن</w:t>
      </w:r>
      <w:r>
        <w:rPr>
          <w:rFonts w:eastAsia="Amiri" w:cs="Amiri" w:ascii="Amiri" w:hAnsi="Amiri"/>
          <w:color w:val="111111"/>
          <w:sz w:val="28"/>
          <w:szCs w:val="28"/>
          <w:rtl w:val="true"/>
          <w:lang w:bidi="ar-SA"/>
        </w:rPr>
        <w:t xml:space="preserve">. </w:t>
      </w:r>
      <w:bookmarkStart w:id="582" w:name="pg17323_406366"/>
    </w:p>
    <w:p>
      <w:pPr>
        <w:pStyle w:val="BookText"/>
        <w:rPr/>
      </w:pPr>
      <w:bookmarkEnd w:id="582"/>
      <w:r>
        <w:rPr>
          <w:rFonts w:ascii="Amiri" w:hAnsi="Amiri" w:eastAsia="Amiri" w:cs="Amiri"/>
          <w:color w:val="111111"/>
          <w:sz w:val="28"/>
          <w:sz w:val="28"/>
          <w:szCs w:val="28"/>
          <w:rtl w:val="true"/>
          <w:lang w:bidi="ar-SA"/>
        </w:rPr>
        <w:t>وقد يجتمعان، كما إذا علم السامع بكون الاغتياب حراماً؛ فإنّه من حيث كونه منكراً يجب النهي عنه، ومن حيث كونه هتكاً للمؤمن يجب ردّه</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876222_1280447820"/>
      <w:bookmarkStart w:id="584" w:name="_Toc216"/>
      <w:bookmarkEnd w:id="583"/>
      <w:r>
        <w:rPr>
          <w:rtl w:val="true"/>
        </w:rPr>
        <w:t>الرابع</w:t>
      </w:r>
      <w:r>
        <w:rPr>
          <w:rtl w:val="true"/>
        </w:rPr>
        <w:t xml:space="preserve">: </w:t>
      </w:r>
      <w:r>
        <w:rPr>
          <w:rtl w:val="true"/>
        </w:rPr>
        <w:t>المراد من ردّ الغيبة هو انتصار المغتاب بالفتح</w:t>
      </w:r>
      <w:bookmarkEnd w:id="58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ردّ الغيبة هو الانتصار للمغتاب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 تلك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فيه، وإنّما الكلام في كيفيّة الانتصار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عيباً دنيويّاً انتصر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العيب ليس إلاّ ما عاب الله به من المعاصي التي من أكبرها ذكرك أخاك بما لم يعبه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عيباً دينيّاً وجّهه بمحامل تخرجه عن المعصية، فإن لم يقبل التوجيه انتصر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المؤمن قد يبتلى بالمعصية، فينبغي أن تستغفر له وتهتمّ له، لا أن تعيّر عليه؛ وإنّ تعييرك إيّاه لعلّه أعظم عند الله من معصيته، ونحو ذلك</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أنّ الفقرة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عيباً دنيويّاً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تصديق القائل، بل سائر الفقرات لا تخلو عن ذلك</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بلغة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من ذلك ما ذكره العلاّمة الاُستاذ التقيّ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التكذيب وأنّ نسبته إليه مخالف للواقع؛ معتمداً في ذلك إلى أصالة عدم وقوع ذلك منه وعدم صدوره، وحملاً لفعل المسلم على الصحيح، فيحكم بكذب مدّعيه وكون كلامه مخالفاً للواقع؛ مستشعراً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خَيْراً وَ قٰالُوا هٰذٰا إِفْكٌ مُبِينٌ‌</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جٰاؤُ عَلَيْهِ بِأَرْبَعَةِ شُهَدٰاءَ فَإِذْ لَمْ يَأْتُوا بِالشُّهَدٰاءِ فَأُولٰئِكَ عِنْدَ اَللّٰهِ هُمُ اَلْكٰاذِبُونَ‌</w:t>
      </w:r>
      <w:r>
        <w:rPr>
          <w:rFonts w:eastAsia="Amiri" w:cs="Amiri" w:ascii="Amiri" w:hAnsi="Amiri"/>
          <w:color w:val="111111"/>
          <w:sz w:val="28"/>
          <w:szCs w:val="28"/>
          <w:rtl w:val="true"/>
          <w:lang w:bidi="ar-SA"/>
        </w:rPr>
        <w:t>)</w:t>
      </w:r>
      <w:r>
        <w:rPr>
          <w:rStyle w:val="FootnoteAnchor"/>
          <w:rtl w:val="true"/>
        </w:rPr>
        <w:footnoteReference w:id="1078"/>
      </w:r>
      <w:r>
        <w:rPr>
          <w:rFonts w:ascii="IRNazanin" w:hAnsi="IRNazanin" w:eastAsia="IRNazanin"/>
          <w:color w:val="111111"/>
          <w:sz w:val="28"/>
          <w:sz w:val="28"/>
          <w:szCs w:val="28"/>
          <w:rtl w:val="true"/>
          <w:lang w:bidi="fa-IR"/>
        </w:rPr>
        <w:t xml:space="preserve">، وقوله </w:t>
      </w:r>
      <w:bookmarkStart w:id="585" w:name="pg17323_406367"/>
    </w:p>
    <w:p>
      <w:pPr>
        <w:pStyle w:val="BookText"/>
        <w:rPr/>
      </w:pPr>
      <w:bookmarkEnd w:id="585"/>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إِذْ سَمِعْتُمُوهُ قُلْتُمْ مٰا يَكُونُ لَنٰا أَنْ نَتَكَلَّمَ بِهٰذٰا سُبْحٰانَكَ هٰذٰا بُهْتٰانٌ عَظِيمٌ‌</w:t>
      </w:r>
      <w:r>
        <w:rPr>
          <w:rFonts w:eastAsia="Amiri" w:cs="Amiri" w:ascii="Amiri" w:hAnsi="Amiri"/>
          <w:color w:val="111111"/>
          <w:sz w:val="28"/>
          <w:szCs w:val="28"/>
          <w:rtl w:val="true"/>
          <w:lang w:bidi="ar-SA"/>
        </w:rPr>
        <w:t>)</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تعيّن هذا الوجه بالنسبة إلى ما في الكتاب؛ لأنّ ما في الكتاب من الانتصار راجع إلى تصديق القائل،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يتمكّن من التكذيب تعيّن ما في الكتاب على وجه لا يرجع إلى تقرير القائل وتصديقه</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التعبير بالإشعار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الآيات هو البهتان لا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كلام شيخنا الاُستاذ الأراكي قدس سره هو تقديم التوجيه على التكذيب،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وتفصيل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عدم إمكان النهي عن أصل الغيبة واستماع القضيّة يدور الأمر في انتصار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تصديق أصل القضيّة والصيرورة بصدد توجيهها وتصحيحها على وجه يبرّئ ذيل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لوث المعصية، وبين تكذيب أصل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الانتصار في الأوّل أزيد من الثاني</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أمكن انتصار المغتاب بما يبرّئ ذيله عن لوث المعصية؛ فهو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ذلك وأمكن التكذيب معتمداً فيه على أصالة عدم وقوع ذلك وحملاً لفعل المسلم على الصحيح؛ فعليه أن يحكم بكذب مدّعيه وكون كلامه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التكذيب لقيام قرينة قطعية على وقوع ذلك؛ فما أفاده الشيخ متعيّن، فلا تغفل</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876224_1280447820"/>
      <w:bookmarkStart w:id="587" w:name="_Toc217"/>
      <w:bookmarkEnd w:id="586"/>
      <w:r>
        <w:rPr>
          <w:rtl w:val="true"/>
        </w:rPr>
        <w:t>الخامس</w:t>
      </w:r>
      <w:r>
        <w:rPr>
          <w:rtl w:val="true"/>
        </w:rPr>
        <w:t xml:space="preserve">: </w:t>
      </w:r>
      <w:r>
        <w:rPr>
          <w:rtl w:val="true"/>
        </w:rPr>
        <w:t>في حكم ذي اللسانين</w:t>
      </w:r>
      <w:bookmarkEnd w:id="58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الشيخ الأعظم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يتضاعف عقاب المغتاب إذا كان ممّن يمدح المغتاب في حضوره، وهذا وإن كان في نفسه مباحاً إلاّ أنّه إذا انضمّ مع </w:t>
      </w:r>
    </w:p>
    <w:p>
      <w:pPr>
        <w:pStyle w:val="BookText"/>
        <w:rPr/>
      </w:pPr>
      <w:r>
        <w:rPr>
          <w:rFonts w:ascii="Amiri" w:hAnsi="Amiri" w:eastAsia="Amiri" w:cs="Amiri"/>
          <w:color w:val="111111"/>
          <w:sz w:val="28"/>
          <w:sz w:val="28"/>
          <w:szCs w:val="28"/>
          <w:rtl w:val="true"/>
          <w:lang w:bidi="ar-SA"/>
        </w:rPr>
        <w:t>ذمّه في غيبته سمّي صاحبه ذا اللسانين، وتأكّد حرمته؛ ولذا ورد في المستفيضة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ذو اللسانين يوم القيامة وله لسانان من النار</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فإنّ لسان المدح في الحضور وإن لم يكن لساناً من النار إلاّ أنّه إذا انضمّ إلى لسان الذمّ في الغياب صار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المجالس بسنده عن حفص بن غياث، عن الصادق عن آبائهعن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أخاه المؤمن في وجهه واغتابه من ورائه فقد انقطع ما بينهما من العصمة</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يكون ذا وجهين وذا لسانين؛ يطري أخاه شاهداً ويأكله غائباً، إن اُعطي حسده، وإن ابتلي خذله</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في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أخبار متعدّدة تدلّ على تضاعف عقاب ذي اللسانين،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عمرو بن خالد، عن زيد بن عليّ‌،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ذو الوجهين دالعاً لسانه في قفاه وآخر من قدّامه يلتهبان ناراً حتّى يلهبا جسده،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في الدنيا ذا وجهين ولسانين؛ يعرف بذلك يوم القيامة</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تتضاعف عقوبة الغيبة بذكر سوء ليس في المغتاب، بناءً على أنّ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أعمّ 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يطلق الاغتياب على البهتان؛ وهو أن يقال في شخص ما ليس فيه، وهو أغلظ تحريماً من الغيبة، ووجهه ظاهر؛ لأنّه جامع بين مفسدتي الكذب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بتعدّد العقاب من جهة كلّ من العنوانين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علقمة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آبائه،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في الجنّة أبداً، ومن اغتاب مؤمناً بما ليس فيه فقد انقطعت العصمة بينهما، وكان المغتاب في النار خالداً فيها وبئس المصير</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وظاهره صدق الغيبة على ما ليس في المغتاب، وهو مبنيّ على أنّ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ذكرك أخاك بما يكرهه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عليك أنّ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أن تقول في أخيك 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يدلّ على أنّ الغيبة لا تتحقّق بدون عيب مستور، وعليه فكيف يمكن أن تطلق الغيبة على مورد البهتان مع أنّ المأخوذ فيه هو ذكر الأخ بما ليس فيه، بل هما متباينان مفهوماً ومصداقاً ولا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يتصوّر تعدّد العقاب من جهة تعدّد العنوان مع أنّهما متباينان‌؟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إطلاق الغيبة على البهتان في رواية علقمة فبنحو من المسامحة والتجوّز، على أنّها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عقاب التهمة أشدّ من الغيبة فلاشتمالها على الفرية والهتك معاً</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588" w:name="pg17323_406370"/>
    </w:p>
    <w:p>
      <w:pPr>
        <w:pStyle w:val="BookText"/>
        <w:rPr/>
      </w:pPr>
      <w:bookmarkEnd w:id="588"/>
      <w:r>
        <w:rPr>
          <w:rFonts w:ascii="Amiri" w:hAnsi="Amiri" w:eastAsia="Amiri" w:cs="Amiri"/>
          <w:color w:val="111111"/>
          <w:sz w:val="28"/>
          <w:sz w:val="28"/>
          <w:szCs w:val="28"/>
          <w:rtl w:val="true"/>
          <w:lang w:bidi="ar-SA"/>
        </w:rPr>
        <w:t xml:space="preserve">ولا منافاة بينهما، إلاّ أنّ اجتماع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البهتان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إذ البهتان هو الفرية، والهتك من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منافاة بين كون البهتان عنواناً واحداً ومع ذلك تكون عقوبته أشدّ من الغيبة من جهة لوازمها، كما تدلّ عليه رواية علقمة لو أغمضنا عن ضعف سندها، فتدبّر</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876226_1280447820"/>
      <w:bookmarkStart w:id="590" w:name="_Toc218"/>
      <w:bookmarkEnd w:id="589"/>
      <w:r>
        <w:rPr>
          <w:rtl w:val="true"/>
        </w:rPr>
        <w:t>السادس</w:t>
      </w:r>
      <w:r>
        <w:rPr>
          <w:rtl w:val="true"/>
        </w:rPr>
        <w:t xml:space="preserve">: </w:t>
      </w:r>
      <w:r>
        <w:rPr>
          <w:rtl w:val="true"/>
        </w:rPr>
        <w:t>في حكم الشبهة الموضوعية</w:t>
      </w:r>
      <w:bookmarkEnd w:id="59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الاُستاذ الأراكي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بعضاً من القيود المأخوذة في مفهوم الغيبة؛ من الإسلام والإيمان والكراهة، وبعضاً منها في حكمها؛ من عدم التجاهر وعدم التظلّم وعدم المبتدعية، فمع العلم بثبوت الجميع أو انتفاء البعض لا كلام، أمّا لو شكّ في واحد منها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موضوعية في القسم الأوّل، ومصداقية في الثاني، وقد تقرّر في محلّه عدم الرجوع فيهما إلى عموم العامّ‌، بل المرجع أصالة البراءة العقلية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استثنوا من هذه الكلّية باب الدماء والفروج والأعراض؛ لأنّ اهتمام الشارع بحفظ تلك مانعٌ عن الترخيص في الاقتحام في شبهاتها، وكاشفٌ عن إيجاب الاحتياط؛ فلهذا لو رأيت شبحاً من بعيد ولم تعلم أنّه مهدور الدم أو محقونه لا يجوز لك رميه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الفرق بين أصل الإباحة وسائر الاُصول‌؟ وقد رأيناهم يعملون في هذه الموارد بالاستصحاب، كما في استصحاب عدم تحقّق الرضاع المحرّم أو النسب بينك وبين امرأة تشكّ أنّها اُختك أو رضيعتك، فيحكمون بصحّة تزويجها، والاهتمام المذكور لو كان هو المانع عن إجراء أصل الإباحة لكان مانعاً عن إجراء الاستصحاب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الاهتمام إن صار مقطوعاً كان كذلك، لكن أنّى لنا باستكشافه‌؟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الاهتمام غير منجّز عقلاً، ولا فرق بينه وبين احتمال أصل التكليف في كون </w:t>
      </w:r>
    </w:p>
    <w:p>
      <w:pPr>
        <w:pStyle w:val="BookText"/>
        <w:rPr/>
      </w:pPr>
      <w:r>
        <w:rPr>
          <w:rFonts w:ascii="Amiri" w:hAnsi="Amiri" w:eastAsia="Amiri" w:cs="Amiri"/>
          <w:color w:val="111111"/>
          <w:sz w:val="28"/>
          <w:sz w:val="28"/>
          <w:szCs w:val="28"/>
          <w:rtl w:val="true"/>
          <w:lang w:bidi="ar-SA"/>
        </w:rPr>
        <w:t>العقاب عليه بلا نصب دلالة من الشارع عليه قبيحاً،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مفرّ لك من الاحتمال في شيء من الوقائع الموضوعية والحكمية، فالمائع المردّد بين الماء والخمر؛ والتتن المردّد حكمه بين الحرمة والحلّية، تشربهما، وأنّى لك بالقطع بعدم الاهتمام من الشرع في هذين التحريمين على تقدير ثبوتهما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أمثال هذه المقامات لا شبهة موضوعية أو مصداقية في البين، ويمكن التمسّك بنفس الدليل؛ وذلك أنّ الدليل متكفّل لإثبات الحرمة والاحترام والرعاية والحفظ في هذه الموضوعات الواقعية، ففي صورة الشكّ في تحقّق الموضوع وعدمه وإن كان الشكّ من جهة نفس الموضوع شكّاً في الموضوع، لكن ما هو المضاف إلى هذا الموضوع من الاحترام والحفظ منقّح الموضوع؛ فإنّ حفظ الشيء من التلف يصدق حقيقةً في مورد احتماله، كما أنّ عدم المبالاة فيه صادق حقيقةً على ترك الحفظ ولو لم يكن لنفس الشيء تحقّق وواقعية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الحفظ حال الاحتياط؛ فكما أنّه صادق في مورد احتمال الضرر ولو لم يكن ضرر واقعاً، وتركه تهوّر كذلك أيضاً، ولا يدور شيء منهما مدار وجود الواقع بل الاحتمال هو الدخيل التامّ في صدقهما، فكذلك الحفظ ورعاية الجانب، فإذا رأيت شخصاً واحتملت كونه مسلماً ورميته فقد صدق عليك أنّك ما حافظت عن نفس المسلم، وصرت بمقام تعريضه في الخطر، فأنت فاعل للحرام وإن كان المرميّ كافراً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مساغ للرجوع إلى أصل البراءة، لكن لا ينافي هذا مع جريان الأصل المنقّح للموضوع نفياً وإثباتاً، فإذا كان عدم الضرر له الحالة السابقة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مقامنا لو كان مسبوقاً بالكفر أو عدم الإيمان أو التجاهر أو عدم الكراهة جاز استصحاب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يقال في الأصل الحاكم بالنسبة إلى الأصل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بلسان إثبات الواقع لا في موضوع الشكّ في موضوعه، والثاني حكم في موضوع الشكّ فيه، والأوّل وإن كان ليس لسانه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 الشكّ ولا تعتنِ به، لكن إذا كان لسانه الأوّلي إعطاء الواقع فهو بغرض رفع الشكّ‌، وهذا أيضاً شريك مع لسان نفي الشكّ في ملاك الحكومة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وإن رتّب على الاحتمال والاحترام بنحو تمام الدخل، لكن من المعلوم أنّ الواقع علّة لهذا الحكم، فهو وإن لم يكن حيثية تقييدية لكنّه حيثية تعليلية؛ فإنّ الشارع إنّما حرّم الإقدام والاقتحام في محتمل الضرر لكون النفس والعرض من المسلم عنده محترماً وذا شأن، فإذا قام أصل على نفي هذه العلّة وأنّ هذا موضوع لا يرى له الشارع شأناً واحتراماً، فلا محالة يكون حاكماً على الدليل الدالّ على احترام المؤمن ووجوب احتفاظ دمه وعرضه؛ فإنّ الدليل لسانه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ذو شأن عند الشارع فاحتفظه، والأصل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الشخص ليس مؤمناً قد أوجب الشارع احترامه وحمايته، ومن المعلوم حكومة هذا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إجراء الاستصحاب في الشخص المقول عنه، ويمكن إجراؤه في نفس القول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لم يكن في السابق غيبة ووقيعة في المؤمن الكاره الغير المتجاهر، والآن نشكّ في بقائه، فالأصل بقاؤه على ما كان</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للبراءة في الشبهات الموضوعية والمصداقية في الغيبة؛ لأنّها من الأعراض، والأصحاب لا يأخذون بالبراءة في الدماء والأموال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حفظ الأعراض والدماء والأموال تقتضي الاجتناب عن الشبهات، ومع قيام الأدلّة على حفظ هذه الاُمور لا مجال للتمسّك بأصل البراءة؛ لأنّ‌ </w:t>
      </w:r>
      <w:bookmarkStart w:id="591" w:name="pg17323_406373"/>
    </w:p>
    <w:p>
      <w:pPr>
        <w:pStyle w:val="BookText"/>
        <w:rPr/>
      </w:pPr>
      <w:bookmarkEnd w:id="591"/>
      <w:r>
        <w:rPr>
          <w:rFonts w:ascii="Amiri" w:hAnsi="Amiri" w:eastAsia="Amiri" w:cs="Amiri"/>
          <w:color w:val="111111"/>
          <w:sz w:val="28"/>
          <w:sz w:val="28"/>
          <w:szCs w:val="28"/>
          <w:rtl w:val="true"/>
          <w:lang w:bidi="ar-SA"/>
        </w:rPr>
        <w:t>الأصل دليل حيث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جرى في موضوع الدليل المذكور أصل منقّح قدّم عليه؛ لأنّه حاكم بالتقريب المذكور، وبه يتّضح الفرق بين البراءة والاستصحاب؛ فإنّ البراءة لا تجري مع الدليل، ولكنّ الاستصحاب الموضوعي الحاكم يجري، ومع جريانه لا مجال للدليل تعبّداً، فلا تغفل</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876228_1280447820"/>
      <w:bookmarkStart w:id="593" w:name="_Toc219"/>
      <w:bookmarkEnd w:id="592"/>
      <w:r>
        <w:rPr>
          <w:rtl w:val="true"/>
        </w:rPr>
        <w:t>السابع</w:t>
      </w:r>
      <w:r>
        <w:rPr>
          <w:rtl w:val="true"/>
        </w:rPr>
        <w:t xml:space="preserve">: </w:t>
      </w:r>
      <w:r>
        <w:rPr>
          <w:rtl w:val="true"/>
        </w:rPr>
        <w:t>في حكم استماع الغيبة بقصد صحيح</w:t>
      </w:r>
      <w:bookmarkEnd w:id="59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الاُستاذ الأراكي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من خبر مصباح الشريعة</w:t>
      </w:r>
      <w:r>
        <w:rPr>
          <w:rStyle w:val="FootnoteAnchor"/>
          <w:rtl w:val="true"/>
        </w:rPr>
        <w:footnoteReference w:id="1091"/>
      </w:r>
      <w:r>
        <w:rPr>
          <w:rFonts w:ascii="Amiri" w:hAnsi="Amiri" w:eastAsia="Amiri" w:cs="Amiri"/>
          <w:color w:val="111111"/>
          <w:sz w:val="28"/>
          <w:sz w:val="28"/>
          <w:szCs w:val="28"/>
          <w:rtl w:val="true"/>
          <w:lang w:bidi="ar-SA"/>
        </w:rPr>
        <w:t xml:space="preserve">دخل فساد المراد في مفهوم الغيبة فيما إذا كان العيب المذكور معصية، وعلى هذا فيجري هذا في الاستماع بقضيّة تنزيله منزلة الغيبة، كما يجري فيه سائر القيود؛ مثل عدم التجاهر وعدم الابتداع وغير ذلك، فكما تجوز الغيبة مع صلاح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ليست بغيبة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لو استمع بقصد صحيح، كما لو كان المستمع ممّن يحتشم من استماعه وإن كان القائل ممّن لا يبالى بقوله ولا يعبأ بشأنه؛ فإنّه إذا كان قصد القائل قصداً فاسداً لا مقدّمةً لاستماع هذا الشخص ولا غيره من الأغراض الصحيحة كان قوله غيبة واقعاً بالنسبة إليه، ولا يكون الاستماع غيبة واقعاً بالنسبة إلى المستمع، كما أنّ شخص القول الواحد عن شخص واحد يختلف في قائلين بل في قائل واحد في التسمية وعدمها على حسب اختلاف القصد في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فيتّضح جواز الاستماع لأجل الردّ على </w:t>
      </w:r>
    </w:p>
    <w:p>
      <w:pPr>
        <w:pStyle w:val="BookText"/>
        <w:rPr/>
      </w:pPr>
      <w:r>
        <w:rPr>
          <w:rFonts w:ascii="Amiri" w:hAnsi="Amiri" w:eastAsia="Amiri" w:cs="Amiri"/>
          <w:color w:val="111111"/>
          <w:sz w:val="28"/>
          <w:sz w:val="28"/>
          <w:szCs w:val="28"/>
          <w:rtl w:val="true"/>
          <w:lang w:bidi="ar-SA"/>
        </w:rPr>
        <w:t>القائل والانتصار من المقول عنه الذي دلّت الأخبار الكثيرة على وجوبه بلسان النصرة له في خصوص مورد الاغتياب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الانتصار يتوقّف على الاستماع حتّى يفهم ما يقوله القائل ثمّ يصير بمقام الانتصار والردّ؛ فإنّ ردّ المقال وإبطاله فرع فهم أصله، فهو نظير حفظ كتب الضلال ومطالعة ما فيها والغور فيه لأجل النقض والردّ والإبطال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يجب الاستماع؛ لكونه مقدّمةً للدفع والذبّ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لعدم توقّف الدفع عليه مطلقاً، فإذا علم من حال المتكلّم أنّه يريد غيبة مؤمن وأمكن نهيه عن فعل الغيبة كان هو المتعيّن بواسطة أدلّة النهي عن المنكر، ولا يزاحمه حرمة الإيذاء لو كان متوقّفاً عليه؛ لأنّ أدلّة حرمة الإيذاء مخصّصة بأدلّة النهي عن المنكر؛ لعدم انفكاكه غالباً عن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يجتمع شرائط النهي عن المنكر فلا نضايق حينئذ من وجوب الاستماع؛ إذ لا مانع من إطلاق وجوب الانتصار والدفع والذبّ حينئذ، وإنّما المتيقّن اشتراطه بالنسبة إلى أصل عمل الاغتياب، والمفروض حصوله وعدم إمكان الردع عنه، فيجب الاستماع حينئذ؛ لكونه مقدّمةً للواجب المطلق</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نمنع دخالة قصد فساد المراد في حقيقة الغيبة؛ إذ لا دليل عليه لا في اللغة ولا في السنّة، بل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نصّ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تقول في أخيك ما ستره الله عليه، ولا دخالة لقصد الفساد في مفهومها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عنوان العيب على المقول أمر عرفيّ لا يرتبط بالقصد، ولا يقاس هذا بالتعظيم والهتك المتقوّمين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تخصيص الغيبة بما ليس هو عند الله عيباً لا وجه له، بل ما يكون عند الله عيباً كالمعاصي يكون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w:t>
      </w:r>
      <w:bookmarkStart w:id="594" w:name="pg17323_406375"/>
    </w:p>
    <w:p>
      <w:pPr>
        <w:pStyle w:val="BookText"/>
        <w:rPr/>
      </w:pPr>
      <w:bookmarkEnd w:id="594"/>
      <w:r>
        <w:rPr>
          <w:rFonts w:ascii="Amiri" w:hAnsi="Amiri" w:eastAsia="Amiri" w:cs="Amiri"/>
          <w:color w:val="111111"/>
          <w:sz w:val="28"/>
          <w:sz w:val="28"/>
          <w:szCs w:val="28"/>
          <w:rtl w:val="true"/>
          <w:lang w:bidi="ar-SA"/>
        </w:rPr>
        <w:t>أيضاً، والتفصيل المذكور خلاف النصوص والاتّفاق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في ذلك إلى مصباح الشريعة مع ضعفه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الاستدلال عليه بتنزيل الاستماع منزلة الغيبة؛ لأنّه متوقّف على عموم التنزيل،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وجوب النصرة راجعة إلى السماع لا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النهي عن المنكر أو دفعه أو النصرة على الاستماع فلا يبعد وجوب الاستماع مع فرض كونه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قصد الفساد في حرمة الغيبة واستماعها، ولا على تخصيص الغيبة بما ليس هو عند الله عيباً</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876230_1280447820"/>
      <w:bookmarkStart w:id="596" w:name="_Toc220"/>
      <w:bookmarkEnd w:id="595"/>
      <w:r>
        <w:rPr>
          <w:rtl w:val="true"/>
        </w:rPr>
        <w:t>الثامن</w:t>
      </w:r>
      <w:r>
        <w:rPr>
          <w:rtl w:val="true"/>
        </w:rPr>
        <w:t xml:space="preserve">: </w:t>
      </w:r>
      <w:r>
        <w:rPr>
          <w:rtl w:val="true"/>
        </w:rPr>
        <w:t>في حكم غيبة أحد عند من علم بما في المغتاب بالفتح</w:t>
      </w:r>
      <w:bookmarkEnd w:id="596"/>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المغتاب والمستمع عالمين بما في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وتذاكرا ما علماه لم يكن ذلك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واضح؛ لأنّ الغيبة هي كشف المستور، وقد ذكرنا سابقاً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خلف أخيك ما ستره الله عليه من العيوب والنواقص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نصّ عليه في حسنة عبد الرحمان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في أخيك ما ستره الله عليه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وذكرهما في الفرض المزبور لا يوجب كشف 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ذكرهما موجباً لكشف بعض ما اُجمل أو اُهمل فالأظهر أنّه لا يجوز؛ لصدق كشف المستور بالنسبة إلى الموارد المذكورة كما لا يخفى</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لم يكن ذكرهما موجباً للعناوين المحرّمة الاُخرى كالإيذاء، وإلاّ فهو محرّم من تلك الجهة كما لا يخفى</w:t>
      </w:r>
      <w:r>
        <w:rPr>
          <w:rFonts w:eastAsia="Amiri" w:cs="Amiri" w:ascii="Amiri" w:hAnsi="Amiri"/>
          <w:color w:val="111111"/>
          <w:sz w:val="28"/>
          <w:szCs w:val="28"/>
          <w:rtl w:val="true"/>
          <w:lang w:bidi="ar-SA"/>
        </w:rPr>
        <w:t xml:space="preserve">. </w:t>
      </w:r>
      <w:bookmarkStart w:id="597" w:name="pg17323_406376"/>
    </w:p>
    <w:p>
      <w:pPr>
        <w:pStyle w:val="Heading5"/>
        <w:numPr>
          <w:ilvl w:val="4"/>
          <w:numId w:val="1"/>
        </w:numPr>
        <w:rPr/>
      </w:pPr>
      <w:bookmarkStart w:id="598" w:name="__RefHeading___Toc876232_1280447820"/>
      <w:bookmarkStart w:id="599" w:name="_Toc221"/>
      <w:bookmarkEnd w:id="597"/>
      <w:bookmarkEnd w:id="598"/>
      <w:r>
        <w:rPr>
          <w:rtl w:val="true"/>
        </w:rPr>
        <w:t>التاسع</w:t>
      </w:r>
      <w:r>
        <w:rPr>
          <w:rtl w:val="true"/>
        </w:rPr>
        <w:t xml:space="preserve">: </w:t>
      </w:r>
      <w:r>
        <w:rPr>
          <w:rtl w:val="true"/>
        </w:rPr>
        <w:t>في حكم استماع من لا يعرف المغتاب بالفتح غيبة أحد</w:t>
      </w:r>
      <w:bookmarkEnd w:id="599"/>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اغتاب شخص عند آخر واستمع ثالث لا يعرف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بالنسبة إلى الشخص الثالث كشف المستور، ومعه لا تتحقّق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 من نهيهما وجب عليه ذلك لو لم يكن من موارد الجواز، ولو كان استماع الثالث موجباً لإيذاء المغتاب لزم عليه ترك الاستماع من جهة الإيذاء</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876234_1280447820"/>
      <w:bookmarkStart w:id="601" w:name="_Toc222"/>
      <w:bookmarkEnd w:id="600"/>
      <w:r>
        <w:rPr>
          <w:rtl w:val="true"/>
        </w:rPr>
        <w:t>العاشر</w:t>
      </w:r>
      <w:r>
        <w:rPr>
          <w:rtl w:val="true"/>
        </w:rPr>
        <w:t xml:space="preserve">: </w:t>
      </w:r>
      <w:r>
        <w:rPr>
          <w:rtl w:val="true"/>
        </w:rPr>
        <w:t>في حكم غيبة من كان عيبه مستوراً عند الغيبة ولكن يكشف لاحقاً</w:t>
      </w:r>
      <w:bookmarkEnd w:id="601"/>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خلف أخيه شيئاً لا يكشف عن شيء حال الذكر ولكن يكشف عن عيوبه لاحقاً،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لصدق كشف المستور؛ إذ من المعلوم أنّه 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 ذكر خلف أخيه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إذ لا يصدق الكشف حين الذكر، والكشف اللاحق ليس من فعله ولا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فيما إذا علم حين الذكر أنّه سيكشف بما ليس من فعله؛ لقوّة استناد الكشف إليه حينئذ، بل الأحوط الترك فيما إذا احتمل احتمالاً عقلائيّاً ذلك</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876236_1280447820"/>
      <w:bookmarkStart w:id="603" w:name="_Toc223"/>
      <w:bookmarkEnd w:id="602"/>
      <w:r>
        <w:rPr>
          <w:rtl w:val="true"/>
        </w:rPr>
        <w:t>الحادي عشر</w:t>
      </w:r>
      <w:r>
        <w:rPr>
          <w:rtl w:val="true"/>
        </w:rPr>
        <w:t xml:space="preserve">: </w:t>
      </w:r>
      <w:r>
        <w:rPr>
          <w:rtl w:val="true"/>
        </w:rPr>
        <w:t>لا يندرج فى الغيبة ذكر موارد الخلل والنقص فى وظائف المتصدّين</w:t>
      </w:r>
      <w:bookmarkEnd w:id="603"/>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يندرج في الغيبة ذكر موارد الخلل والنقص في وظائف وأعمال المتصدّين لإدارة الدولة أو العاملين في الدوائر أو المعامل أو غير ذلك لمن فوقهم لو كان مكشوفاً، بل لا يكون محرّماً لو كان مستوراً إن كانت مصلحة ذكره أهمّ وأغلب من مفسدته، أو تزاحمت مفسدة ذكره مع مصلحة أقوى تفوت بعدم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يكون الذكر بالقول أو الكتابة أو الكاريكاتير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تجوز الإهانة والإيذاء زائداً على ذلك بالنسبة إلى المؤمنين والمسلمين</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876238_1280447820"/>
      <w:bookmarkStart w:id="605" w:name="_Toc224"/>
      <w:bookmarkEnd w:id="604"/>
      <w:r>
        <w:rPr>
          <w:rtl w:val="true"/>
        </w:rPr>
        <w:t>الثاني عشر</w:t>
      </w:r>
      <w:r>
        <w:rPr>
          <w:rtl w:val="true"/>
        </w:rPr>
        <w:t xml:space="preserve">: </w:t>
      </w:r>
      <w:r>
        <w:rPr>
          <w:rtl w:val="true"/>
        </w:rPr>
        <w:t>لا يجوز أخذ الاُجرة على الغيبة المحرّمة</w:t>
      </w:r>
      <w:bookmarkEnd w:id="60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على الغيبة المحرّمة؛ لأنّ العمل المحرّم مسلوب المالية شرعاً، فأخذ المال في قباله سحت وأكل للمال بالباطل</w:t>
      </w:r>
      <w:r>
        <w:rPr>
          <w:rFonts w:eastAsia="Amiri" w:cs="Amiri" w:ascii="Amiri" w:hAnsi="Amiri"/>
          <w:color w:val="111111"/>
          <w:sz w:val="28"/>
          <w:szCs w:val="28"/>
          <w:rtl w:val="true"/>
          <w:lang w:bidi="ar-SA"/>
        </w:rPr>
        <w:t xml:space="preserve">. </w:t>
      </w:r>
      <w:bookmarkStart w:id="606" w:name="pg17323_406377"/>
    </w:p>
    <w:p>
      <w:pPr>
        <w:pStyle w:val="Heading5"/>
        <w:numPr>
          <w:ilvl w:val="4"/>
          <w:numId w:val="1"/>
        </w:numPr>
        <w:rPr/>
      </w:pPr>
      <w:bookmarkStart w:id="607" w:name="__RefHeading___Toc876240_1280447820"/>
      <w:bookmarkStart w:id="608" w:name="_Toc225"/>
      <w:bookmarkEnd w:id="606"/>
      <w:bookmarkEnd w:id="607"/>
      <w:r>
        <w:rPr>
          <w:rtl w:val="true"/>
        </w:rPr>
        <w:t>الثالث عشر</w:t>
      </w:r>
      <w:r>
        <w:rPr>
          <w:rtl w:val="true"/>
        </w:rPr>
        <w:t xml:space="preserve">: </w:t>
      </w:r>
      <w:r>
        <w:rPr>
          <w:rtl w:val="true"/>
        </w:rPr>
        <w:t>في حرمة نقل الغيبة عن الغير</w:t>
      </w:r>
      <w:bookmarkEnd w:id="608"/>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تحرم نفس الغيبة كذلك يحرم نقلها؛ إذ كشف المستور صادق فيهما معاً من دون فرق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مجرّد ذكر المستور أمام جهاز التسجيل ونقله إلى الغير فهل يعدّ غيبة أو لا؟</w:t>
      </w:r>
    </w:p>
    <w:p>
      <w:pPr>
        <w:pStyle w:val="BookText"/>
        <w:rPr/>
      </w:pPr>
      <w:r>
        <w:rPr>
          <w:rFonts w:ascii="Amiri" w:hAnsi="Amiri" w:eastAsia="Amiri" w:cs="Amiri"/>
          <w:color w:val="111111"/>
          <w:sz w:val="28"/>
          <w:sz w:val="28"/>
          <w:szCs w:val="28"/>
          <w:rtl w:val="true"/>
          <w:lang w:bidi="ar-SA"/>
        </w:rPr>
        <w:t>يمكن القول بالمنع؛ لأنّ ذكر المستور أمام الجهاز المذكور مع عدم وجود مخاطب لا يوجب كشف المستور، كما أنّه عند نقل الجهاز إلى مخاطب لا يكون ثمّة قائل حتّى يصدق أنّه اغتاب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الهتك والإهانة متحقّقان، وهما من الاُمور المبغوضة للشارع والمنهيّ عنها من دون ريب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حكم نظائر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إذا اُلقي فيها ما يكشف عيوب الآخرين من المؤمنين ولو لم يكن لها مخاطب حين الإلقاء،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الحمد أولاً و آخراً</w:t>
      </w:r>
    </w:p>
    <w:p>
      <w:pPr>
        <w:pStyle w:val="BookText"/>
        <w:rPr/>
      </w:pPr>
      <w:r>
        <w:rPr>
          <w:rFonts w:ascii="Amiri" w:hAnsi="Amiri" w:eastAsia="Amiri" w:cs="Amiri"/>
          <w:color w:val="111111"/>
          <w:sz w:val="28"/>
          <w:sz w:val="28"/>
          <w:szCs w:val="28"/>
          <w:rtl w:val="true"/>
          <w:lang w:bidi="ar-SA"/>
        </w:rPr>
        <w:t>السيد محسن الخرازي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الاُولى من 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609" w:name="pg17323_406378"/>
    </w:p>
    <w:p>
      <w:pPr>
        <w:pStyle w:val="Heading2"/>
        <w:numPr>
          <w:ilvl w:val="1"/>
          <w:numId w:val="1"/>
        </w:numPr>
        <w:rPr/>
      </w:pPr>
      <w:bookmarkStart w:id="610" w:name="__RefHeading___Toc876242_1280447820"/>
      <w:bookmarkStart w:id="611" w:name="_Toc226"/>
      <w:bookmarkEnd w:id="609"/>
      <w:bookmarkEnd w:id="610"/>
      <w:r>
        <w:rPr>
          <w:rtl w:val="true"/>
        </w:rPr>
        <w:t>الفهرس</w:t>
      </w:r>
      <w:bookmarkEnd w:id="6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 والعشرون في الرشوة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الرشوة وحقيقتها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الرّشوة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أخذ الجعل والاُجرة على القضاء وتصدّي أمر المرافعة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أخذ الجعل والاُجرة على التصدّي لأمر الفتوى أو بيان الأحكام والمعارف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ارتزاق القاضي من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أخذ القضاة الهدايا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الهدايا للاُمراء والولاة والعمّال وغيرهم ممّن يشتغل في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الرشوة في غير الأحكام القضائية والإجرائية والعرفية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مورد الرشوة مباحاً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مورد الرشوة حراماً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المورد مشتركاً بين الحلال والحرام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القضاة بالنسبة إلى المأخوذ اُجرة أو جعالة أو رشوة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المعطى عوضاً عن الحكم بنحو الإجارة أو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المحاباة مع القاضي بتقليل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إرسال الهدايا إلى القاضي بداعى الحكم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نفوذ حكم الحاكم الآخذ للرشوة وإن كان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إبراء الذمّة بإعطاء الخمس أو الزكوة إلى الحاكم بعنوان الرشوة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والحكمية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إعطاء الرشوة للقاضي فيما إذا توقّف استنقاذ الحقّ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اختلاف الدافع والقابض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 والعشرون في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العمل بالرياء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بطلان العبادة بالرياء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 والعشرون في زخرفة المساجد والمصاحف والمقابر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زخرفة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كلمات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حرمة زخرفة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حرمة زخرفة المصاحف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زخرفة القبور بالتجصيص أو التطيين أو البناء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 والعشرون في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السابعة والعشرون في السباب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تبعات السبّ‌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الثامنة والعشرون في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لغةً وعرفاً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القدماء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على حرمة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رفع السحر بالسحر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تسخير الجنّ والأرواح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التاسعة والعشرون في السخرية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السخرية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حرمتها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كفر من استهزء بالآيات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الحرمة بما إذا كان الفرض هتكاً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الأكل في مقابل السخرية أكل المال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الثلاثون سدّ المعابر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نوعان نافذ وغير نافذ فالأول يسمّى بالشارع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 غير النافذ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الحادية والثلاثون في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 والثلاثون في الشرب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السموم القاتلة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شرب الأفيون والسقمونيا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شرب المضرّ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شرب المواد المخدّرة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توليد المواد المخدّرة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التخلف عند نهى الحاكم عن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إدمان المضرّ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المدمن للحد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المعالجة بالمواد المخدّرة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توزيع المواد المخدّرة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الاشتغال بالمواد المخدّرة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البيع و شراء المواد المخدّرة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شرب التتن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اختصاص الأحكام بعنوان الهيروئين أو الترياك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شرب التتن الخمر فى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 حرمة الإضرار والإسكار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الاجتناب عن شرب التتن فى الأمكنة العامّه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شرب الخمر والمسكر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الجلوس على مائدة فيها خمر أو 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التداوى بالخمر أو المسكر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ارتياد الأماكن التى يقدم فيها الخمر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ترك المقهى لو شرب الخمر فيه بعض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شرب الأدوية المخلوطة بالكحول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شرب بعض الادوية التى استهلك المسكر فيه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التداوى بالمسكر أو الخمر بغير 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ركوب الطائرات ونحوها مع العلم بشرب الخمر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شرب ماء الشعير الذى يجوزه الأطبّاء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مالية الخمر أو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المعاملة على الخمر أو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دوران الأمر بين شرب الخمر و بين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الاجتناب عما يشك فى اشتماله على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 والثلاثون في الشعبذة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 والثلاثون في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الدالّة على مرجوحية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ذمّ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الدالّة على رجحان الأشعار المنظومة في رثاء اهل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الجمع بين الأخبار والأدلّة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استماع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اتّصاف الأشعار بالمرجوحية من جهة اشتمالها على الباطل فقط أو مع ضميمية النظم والوزن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الكراهة بين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 والثلاثون في العجب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العجب المذموم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المفيد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يونس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البطلان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المقارن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المتأخّر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إضرار العجب بصحة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 والثلاثون في الغرور والتغرير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اعتماد المغرور على قول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حرمة التغرير وضمان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التغرير محرّم سواء كان بالتسبيب أو إعداد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الغارّ يتوقّف صدقه على كونه عالماً بالمفاسد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الإعلام أو المنع أو الدفع اذا رأى غيره أراد ما فيه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التغرير فيما إذا كان المورد من الموارد التى يكون وجودها وعدمها على حد سواء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التغرير موجب للضمان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السابعة والثلاثون في الغشّ‌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العلماء حول حرمة الغشّ‌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الدالّة على حرمة الغشّ‌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من الكلمات والأخبار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الثامنة والثلاثون في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حرمة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الفيض الكاشاني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السبزواري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السيّد المحقق الخوئى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التغنّي بالنثر كالتغنّي بالنظم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حرمة الغناء باللغة العربية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حرمة الغناء من ناحية نفس الصوت أو من ناحية المحتوى‌؟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حرمة الغناء مختصّة بما إذا قصد التطريب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توليد الصوت اللهوي بالآلات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استماع الصوت اللهوي الذي يكون وسيلة للطرب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حرمة الغناء بالنسوان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التداوى بالغناء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المراثي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المغنّية لزفّ العرائس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الحداء لسوق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التاسعة والثلاثون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اعتبار قصد الانتقاص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اختصاص الغيبة بما يكون في ارتكابه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نفي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العيوب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العيب والنقصان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ذكر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حضور المخاطب الملتفت عند من يذكر عيب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صدق الغيبة مع حضور المغتاب بالفتح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دخالة شيء في تحقق موضوع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بين أن يكون الغيبة بالدلالة المطابقية أو بغيرها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غيبة من يكون مردّداً بين أشخاص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تحريم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الغيبة بالمؤمن‌؟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الصبيان والمجانين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غيبة المتجاهر فيما تجاهر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اغتياب المتجاهر في غير ما تجاهر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المتجاهر بالفسق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غيبة المتجاهر في غير بلده إذا كان مستور الفسق عندهم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المتجاهر ساتراً لعيوبه وتائباً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استماع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عدم الملازمة بين جواز الغيبة بالإكراه وجواز الاستماع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غيبة من يكون متجاهراً عند المغتاب بالكسر ومستوراً عند المستمع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عند الاغتياب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المغتاب بالكسر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ردّ الغيبة هو انتصار المغتاب بالفتح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ذي اللسانين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استماع الغيبة بقصد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غيبة أحد عند من علم بما في المغتاب بالفتح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استماع من لا يعرف المغتاب بالفتح غيبة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غيبة من كان عيبه مستوراً عند الغيبة ولكن يكشف لاحقاً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يندرج فى الغيبة ذكر موارد الخلل والنقص فى وظائف المتصدّين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على الغيبة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نقل الغيبة عن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ابتغاء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الكلبايكاني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معنى الغلول والسحت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الميرزا الشيرازى، على المكاسب،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وملحقات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الصدوق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والشهادات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صاحب الوسائل في ذيلها أنّ الصدوق روى مثله وزاد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وحجّ بها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آداب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الأصفهاني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وغيره من المصادر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الخوئي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هامش الوسائل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هامش الوسائل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الوسائل، وفي هامشه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النيّة 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الرياء و اقسامه،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المحشاة بعدة من الفقهاء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المحشاة بتعليقات الفقهاء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الاستئجار، 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المحشاة بتعليقات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الاستئجار، 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الصلوة، مكروهات المساجد،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الاُسطوانات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عوارض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خشب سقفه المعرّضة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الحشيش الأخضر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 السقفُ‌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وغيرها في الجواهر عن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أحكام الملابس،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رواها في البحار عن أبي عامر التبّاني عن أحمد بن زكريا بن طهمان وعن عبدالله بن محمّد بن البلوي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أبي عامر واعظ أهل الحجاز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مزار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ابتغاء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السفه،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مات و ليس له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 الإيمان يشرك الإسلام والإسلام لا يشرك الإيمان،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ابتغاء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الغيبة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آنفاً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الإيضاح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الاستعانة بالنسب الرياضية؛ وهو علم الحيل وجرّ الأثقال، وهذان النوعان ليسا من السحر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البرهان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كلام يتكلّم به أو يكتبه أو رقية أو يعمل شيئاً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وإن كان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 للأخير،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يعمل شيئاً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لفريد وجدي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الملبّس عند المولّدين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لوز و نحوه يلبَّس سكّراً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سكون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اللطيفة الدقيقة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إحداث خيالات لاوجود لها في الحسّ‌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الزنديق الذي سأل أبا عبدالله عن مسائل كثيرة، منها ما ذكره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عن السحر ما أصله‌؟ وكيف يقدر الساحر على ما يوصف من عجائبه‌؟ وما يفعل‌؟ قال أبو 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السحر على وجوه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بمنزلة الطبّ‌؛ كما أنّ الأطبّاء وضعوا لكلّ داء دواء فكذلك علماء السحر احتالوا لكلّ صحّة آفة، ولكلّ عافية عاهة، ولكلّ معنى 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ونوع آخر منه خطفة وسرعة ومخاريق وخفّة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ونوع منه ما يأخذه أولياء الشياطين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من أكبر السحر النميمة يفرّق بها بين المتحابّين، ويجلب بها العداوة على المتصافين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طبعة النجف الأشرف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شفقي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يقعد عليه، والكساء من شعر، وما يلبس من نسيج الشعر على البدن تقشّفاً وقهراً، وتجمع على أمساح ومسوح</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السحر، الطبع الحجرى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ابتغاء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المطبعة الحيدرية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كتاب المشتركات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عصارة الخشخاش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السقمونيا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يستخرج من تجاويفه أو جذوره رطوبة لاصقة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الاطعمة المباحة،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پزشكي قانوني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المؤلّفه الدكتور محمّد قضائي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پزشكي قانوني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الدكتور فرامرز گودرزي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المسكر،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اضطرّ إلى شرب الخمر للعطش أو الجوع أو التداوي فالظاهر أنّه لايستبيحها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أنّه يجوز عند الاضطرار إلى الشرب أن يشرب، فأمّا الأكل والتداوي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وبهذاالتفصيل قال أصحاب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الثوري وأبو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 للمضطرّ إلى الطعام وإلى الشراب، وتحلّ للتداوي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 الفرقة وأخبارهم، وأيضاً طريقة الاحتياط تقتضي ذلك، وأيضاً تحريم الخمر معلوم ضرورةً‌، وإباحته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وإباحتها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وضع يحتاج إلى دليل، وما قلناه مجمع عليه، وما قالوه ليس عليه دليل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اُناساً ليتداوون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الوسائل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 اُناساً يتداوون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اُناساً ليتداوون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ولا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ولا شفاء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المباحة،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فيه لحوم الأفاعي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يجعل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فنعت له بكحل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وتحرير الوسيلة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للمغتربين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المتاجر،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شعوذ</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شعبذ</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ابتغاء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ابتغاء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لايُفصح شيئاً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الوجه في دعوى كون النسبة هي العموم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النظم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يرجع إلى</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ماوراء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محمّد الصدر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يؤيّد تخصيص الذمّ في الآية الكريمة بالباطل من الأشعار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الأشعار المنظومة من قِبل العلماء والصلحاء والأئمّة عليهم السلام، بل الشائع من الأشعار في عصر النزول هو الباطل منها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ماوراء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محمّد الصدر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ماوراء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ماوراء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المحشاة بتعليقات الفقهاء العظام،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غياثهم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الحوالة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غشش</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سبيل اللهو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سيأتي في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اقترانه بالملاهي، وبعد تخصيص الأخبار الدالّة على حرمة التغنّي بغير القرآن فالتغنّي بالقرآن عنده جائز فيما إذا لم يكن مقروناً بالملاهي وإن كان في نفسه من الملاهي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 والدعاء بالضمّ‌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أقرب الموارد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كتاب المتاجر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منشورات المكتبة المرتضوية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نقلة عن المحقق الاردبيلى فى محكى شرح الارشاد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المذكور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من سهو النسّاخ</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يكون معنى الرواية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البأس بالغناء المحرّم ما لم يكن محرّماً ومعصية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الحميري حيث قال عليه السلام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 ما لم يعص به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لسيّدنا الإمام المجاهد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فيكون الغناء عنده أعمّ من اللهوي وغيره، ومقتضى التخصيص المذكور أن يكون الغناء غيراللهوي جائزاً في القرآن، واللهوي منه حراماً فيه وفي غيره، وهذا ممّا لا إشكال فيه، ولايخالف المعروف إلاّ في معنى الغناء؛ فإنّه جعله أعمّ من اللهوي وغيره، وقد عرفت استظهار ذلك من كلام بعض اللغويّين، فراجع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الأولى التعبير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نفسه شيئاً ملزماً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منشأ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توهّم ضعف مثل ليث المرادي من جهة ورود بعض الروايات الدالّة على ذمّه، ولكنها معارضة بالصحاح الدالّة على مدحه هذا مضافاً إلى ضعف الروايات الذامّة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المنصرف من أبي بصير عند الإطلاق هو يحيى بن القاسم، وقد صرّح النجاشي بكونه ثقة وجيهاً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أتدري ما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ذكركم أخاكم بما يكرهه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 فى اقسام الغيبة، الطبعة الحجرية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محمد البصري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أنّ الإيمان يشرك الإسلام والإسلام لا يشرك الإيمان،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فى احكام الغيبة،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صاحب الغيبة لا يغفر له حتّى يغفر له صاحبه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نصح المستشير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المعصية بمرأى من الناس عبارة اُخرى عن التجاهر، فجواز الغيبة لمورد المتجاهر لا مورد المشاهدة، فلا تغفل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الوكالة في قضاء الدين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الشواهد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حلفت فلا أترك لنفسك ريبة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الشواهد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الخيانة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تجمعه ولا تضمّه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شتيت الاُمور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عليه السلام، عن أبيه، عن آبائه عليهم السلام، عن علىّ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مدح أخاه المؤمن في وجهه واغتابه من ورائه فقد انقطعت العصمة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أنّنا نقلنا الرواية كما وردت في الوسائل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 الذيل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المغتاب خالداً في النار وبئس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لكنّنا نقلنا الرواية كما وردت في الوسائل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حرام على كلّ مسلم؛ مأثوم صاحبها في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وصفة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تذكر أحداً بما ليس هو عند الله عيباً، أو تذمّ ما يحمده أهل العلم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الخوض في ذكر الغائب بما هو عند الله مذموم وصاحبه فيه ملوم فليس بغيبة وإن كره صاحبه إذا سمع به، وكنت أنت معافىً عنه وخالياً منه، وتكون في ذلك مبيّناً للحقّ من الباطل ببيان الله ورسوله، ولكن بشرط أن لا يكون للقائل بذلك مراد غير بيان الحقّ والباطل في دين الله عزّ وجلّ‌، وأمّا إذا أراد به نقص المذكور بغير ذلك المعنى فهو مأخوذ بفساد مراده وإن كان صواباً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اغتبت وبلغ المغتاب فاستحلّ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على ما نقل في حاشية المكاسب المحرمة لشيخنا الاُستاذ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64981</Words>
  <Characters>287906</Characters>
  <CharactersWithSpaces>351249</CharactersWithSpaces>
  <Paragraphs>1925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2026-08-25T08:59:48Z</dcterms:created>
  <dc:creator>ghaemiyeh.com</dc:creator>
  <dc:description/>
  <dc:language>en-US</dc:language>
  <cp:lastModifiedBy/>
  <dcterms:modified xsi:type="dcterms:W3CDTF">2026-08-25T12:30:06Z</dcterms:modified>
  <cp:revision>1</cp:revision>
  <dc:subject/>
  <dc:title>البحوث الهامة فی المکاسب المحرمة مرتضی انصاری جلد 6</dc:title>
</cp:coreProperties>
</file>

<file path=docProps/custom.xml><?xml version="1.0" encoding="utf-8"?>
<Properties xmlns="http://schemas.openxmlformats.org/officeDocument/2006/custom-properties" xmlns:vt="http://schemas.openxmlformats.org/officeDocument/2006/docPropsVTypes"/>
</file>